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23" w:type="pct"/>
        <w:tblInd w:w="-459" w:type="dxa"/>
        <w:tblLook w:val="01E0" w:firstRow="1" w:lastRow="1" w:firstColumn="1" w:lastColumn="1" w:noHBand="0" w:noVBand="0"/>
      </w:tblPr>
      <w:tblGrid>
        <w:gridCol w:w="1970"/>
        <w:gridCol w:w="8521"/>
      </w:tblGrid>
      <w:tr w:rsidR="00814667" w14:paraId="1908E81A" w14:textId="77777777" w:rsidTr="00554E0F">
        <w:tc>
          <w:tcPr>
            <w:tcW w:w="5000" w:type="pct"/>
            <w:gridSpan w:val="2"/>
          </w:tcPr>
          <w:p w14:paraId="19E59EC7" w14:textId="77777777" w:rsidR="00814667" w:rsidRDefault="00BA4284" w:rsidP="00554E0F">
            <w:pPr>
              <w:pStyle w:val="CoverTitleMain"/>
            </w:pPr>
            <w:r>
              <w:t>Project AGreement</w:t>
            </w:r>
            <w:r w:rsidR="00292587">
              <w:t xml:space="preserve"> </w:t>
            </w:r>
            <w:r w:rsidR="00554E0F">
              <w:t>for</w:t>
            </w:r>
            <w:r w:rsidR="00292587">
              <w:t xml:space="preserve"> </w:t>
            </w:r>
            <w:r w:rsidR="00873044">
              <w:t>Improving trachoma control services for indigenous australians</w:t>
            </w:r>
          </w:p>
        </w:tc>
      </w:tr>
      <w:tr w:rsidR="00814667" w14:paraId="394F6483" w14:textId="77777777" w:rsidTr="00554E0F">
        <w:tc>
          <w:tcPr>
            <w:tcW w:w="939" w:type="pct"/>
          </w:tcPr>
          <w:p w14:paraId="05BCDC94" w14:textId="77777777" w:rsidR="00814667" w:rsidRDefault="00814667">
            <w:pPr>
              <w:pStyle w:val="SingleParagraph"/>
              <w:tabs>
                <w:tab w:val="num" w:pos="1134"/>
              </w:tabs>
              <w:spacing w:after="240"/>
              <w:ind w:left="1134" w:hanging="567"/>
            </w:pPr>
          </w:p>
        </w:tc>
        <w:tc>
          <w:tcPr>
            <w:tcW w:w="4061" w:type="pct"/>
          </w:tcPr>
          <w:p w14:paraId="3966D6E8" w14:textId="77777777" w:rsidR="00814667" w:rsidRDefault="00814667">
            <w:pPr>
              <w:pStyle w:val="SingleParagraph"/>
              <w:tabs>
                <w:tab w:val="num" w:pos="1134"/>
              </w:tabs>
              <w:spacing w:after="240"/>
              <w:ind w:left="1134" w:hanging="567"/>
            </w:pPr>
          </w:p>
        </w:tc>
      </w:tr>
      <w:tr w:rsidR="00814667" w14:paraId="47A256EA" w14:textId="77777777" w:rsidTr="00554E0F">
        <w:tc>
          <w:tcPr>
            <w:tcW w:w="939" w:type="pct"/>
          </w:tcPr>
          <w:p w14:paraId="35CFD473" w14:textId="77777777" w:rsidR="00814667" w:rsidRDefault="00814667">
            <w:pPr>
              <w:pStyle w:val="SingleParagraph"/>
              <w:tabs>
                <w:tab w:val="num" w:pos="1134"/>
              </w:tabs>
              <w:spacing w:after="240"/>
              <w:ind w:left="1134" w:hanging="567"/>
            </w:pPr>
          </w:p>
        </w:tc>
        <w:tc>
          <w:tcPr>
            <w:tcW w:w="4061" w:type="pct"/>
          </w:tcPr>
          <w:p w14:paraId="011617F9" w14:textId="77777777" w:rsidR="00814667" w:rsidRPr="001E74D0" w:rsidRDefault="00814667">
            <w:pPr>
              <w:pStyle w:val="SingleParagraph"/>
              <w:tabs>
                <w:tab w:val="num" w:pos="1134"/>
              </w:tabs>
              <w:spacing w:after="240"/>
              <w:ind w:left="1134" w:hanging="567"/>
            </w:pPr>
          </w:p>
        </w:tc>
      </w:tr>
      <w:tr w:rsidR="00814667" w14:paraId="5C4A52B0" w14:textId="77777777" w:rsidTr="00554E0F">
        <w:tc>
          <w:tcPr>
            <w:tcW w:w="5000" w:type="pct"/>
            <w:gridSpan w:val="2"/>
          </w:tcPr>
          <w:p w14:paraId="39ED3656" w14:textId="77777777" w:rsidR="00814667" w:rsidRDefault="00814667">
            <w:pPr>
              <w:pStyle w:val="AgreementHeading"/>
              <w:tabs>
                <w:tab w:val="clear" w:pos="1134"/>
              </w:tabs>
            </w:pPr>
            <w:r>
              <w:t>An agreement between</w:t>
            </w:r>
            <w:r w:rsidR="00697494">
              <w:t>:</w:t>
            </w:r>
          </w:p>
        </w:tc>
      </w:tr>
      <w:tr w:rsidR="00814667" w14:paraId="626FE483" w14:textId="77777777" w:rsidTr="00554E0F">
        <w:tc>
          <w:tcPr>
            <w:tcW w:w="939" w:type="pct"/>
          </w:tcPr>
          <w:p w14:paraId="2A5314C9" w14:textId="77777777" w:rsidR="00814667" w:rsidRPr="001E74D0" w:rsidRDefault="00814667">
            <w:pPr>
              <w:pStyle w:val="AgreementHeading"/>
              <w:tabs>
                <w:tab w:val="clear" w:pos="1134"/>
              </w:tabs>
              <w:ind w:left="522"/>
            </w:pPr>
          </w:p>
        </w:tc>
        <w:tc>
          <w:tcPr>
            <w:tcW w:w="4061" w:type="pct"/>
          </w:tcPr>
          <w:p w14:paraId="50513D9B" w14:textId="77777777" w:rsidR="00814667" w:rsidRDefault="00814667">
            <w:pPr>
              <w:pStyle w:val="AgreementParties"/>
            </w:pPr>
            <w:r>
              <w:t xml:space="preserve">the </w:t>
            </w:r>
            <w:r>
              <w:rPr>
                <w:rStyle w:val="Bold"/>
              </w:rPr>
              <w:t>Commonwealth of Australia</w:t>
            </w:r>
            <w:r w:rsidR="00697494">
              <w:rPr>
                <w:rStyle w:val="Bold"/>
              </w:rPr>
              <w:t>;</w:t>
            </w:r>
            <w:r>
              <w:t xml:space="preserve"> and</w:t>
            </w:r>
          </w:p>
          <w:p w14:paraId="57B5544D" w14:textId="77777777" w:rsidR="00814667" w:rsidRPr="001E74D0" w:rsidRDefault="00814667" w:rsidP="006D0F4E">
            <w:pPr>
              <w:pStyle w:val="AgreementParties"/>
            </w:pPr>
            <w:r>
              <w:t xml:space="preserve">the </w:t>
            </w:r>
            <w:r>
              <w:rPr>
                <w:rStyle w:val="Bold"/>
              </w:rPr>
              <w:t>State</w:t>
            </w:r>
            <w:r w:rsidR="00697494">
              <w:rPr>
                <w:rStyle w:val="Bold"/>
              </w:rPr>
              <w:t xml:space="preserve"> </w:t>
            </w:r>
            <w:r w:rsidR="00697494" w:rsidRPr="00DE36EB">
              <w:rPr>
                <w:rStyle w:val="Bold"/>
              </w:rPr>
              <w:t>of</w:t>
            </w:r>
            <w:r w:rsidR="00C8629D">
              <w:rPr>
                <w:rStyle w:val="Bold"/>
              </w:rPr>
              <w:t xml:space="preserve"> Queensland.</w:t>
            </w:r>
          </w:p>
        </w:tc>
      </w:tr>
      <w:tr w:rsidR="00814667" w14:paraId="6EC979D0" w14:textId="77777777" w:rsidTr="00554E0F">
        <w:tc>
          <w:tcPr>
            <w:tcW w:w="939" w:type="pct"/>
          </w:tcPr>
          <w:p w14:paraId="799E6DEC" w14:textId="77777777" w:rsidR="00814667" w:rsidRDefault="00814667">
            <w:pPr>
              <w:pStyle w:val="SingleParagraph"/>
              <w:tabs>
                <w:tab w:val="num" w:pos="1134"/>
              </w:tabs>
              <w:spacing w:after="240"/>
              <w:ind w:left="1134" w:hanging="567"/>
            </w:pPr>
          </w:p>
        </w:tc>
        <w:tc>
          <w:tcPr>
            <w:tcW w:w="4061" w:type="pct"/>
            <w:tcBorders>
              <w:left w:val="nil"/>
            </w:tcBorders>
          </w:tcPr>
          <w:p w14:paraId="4DEBEBFF" w14:textId="77777777" w:rsidR="00EB7EDA" w:rsidRPr="00EB7EDA" w:rsidRDefault="00EB7EDA" w:rsidP="00815DAD">
            <w:pPr>
              <w:pStyle w:val="StatesList"/>
              <w:numPr>
                <w:ilvl w:val="0"/>
                <w:numId w:val="0"/>
              </w:numPr>
              <w:tabs>
                <w:tab w:val="clear" w:pos="1134"/>
              </w:tabs>
              <w:ind w:left="1134"/>
              <w:rPr>
                <w:i/>
              </w:rPr>
            </w:pPr>
          </w:p>
        </w:tc>
      </w:tr>
      <w:tr w:rsidR="00814667" w14:paraId="09453A94" w14:textId="77777777" w:rsidTr="00554E0F">
        <w:tc>
          <w:tcPr>
            <w:tcW w:w="5000" w:type="pct"/>
            <w:gridSpan w:val="2"/>
          </w:tcPr>
          <w:p w14:paraId="42531B25" w14:textId="77777777" w:rsidR="00814667" w:rsidRDefault="00814667">
            <w:pPr>
              <w:pStyle w:val="SingleParagraph"/>
              <w:tabs>
                <w:tab w:val="num" w:pos="1134"/>
              </w:tabs>
              <w:spacing w:after="240"/>
              <w:ind w:left="1134" w:hanging="567"/>
            </w:pPr>
          </w:p>
        </w:tc>
      </w:tr>
      <w:tr w:rsidR="00814667" w14:paraId="4D968038" w14:textId="77777777" w:rsidTr="00554E0F">
        <w:tc>
          <w:tcPr>
            <w:tcW w:w="5000" w:type="pct"/>
            <w:gridSpan w:val="2"/>
          </w:tcPr>
          <w:p w14:paraId="3FE4F4F7" w14:textId="77777777" w:rsidR="00814667" w:rsidRDefault="00771FFF" w:rsidP="00873044">
            <w:pPr>
              <w:pStyle w:val="Abstract"/>
            </w:pPr>
            <w:r>
              <w:t>The output of this project will be</w:t>
            </w:r>
            <w:r w:rsidR="00845BCC">
              <w:t xml:space="preserve"> </w:t>
            </w:r>
            <w:bookmarkStart w:id="0" w:name="OLE_LINK3"/>
            <w:bookmarkStart w:id="1" w:name="OLE_LINK4"/>
            <w:r w:rsidR="00873044">
              <w:t>the delivery of trachoma control services and activities to improve the identification, screening, treatment, management and prevention of trachoma and trichiasis in Indigenous Australians.</w:t>
            </w:r>
            <w:bookmarkEnd w:id="0"/>
            <w:bookmarkEnd w:id="1"/>
          </w:p>
        </w:tc>
      </w:tr>
    </w:tbl>
    <w:p w14:paraId="21C1D20A" w14:textId="77777777" w:rsidR="00814667" w:rsidRDefault="00FF5029">
      <w:pPr>
        <w:pStyle w:val="Title"/>
        <w:pageBreakBefore/>
      </w:pPr>
      <w:r>
        <w:lastRenderedPageBreak/>
        <w:t xml:space="preserve">Project </w:t>
      </w:r>
      <w:r w:rsidR="00D7336A">
        <w:t>Agreement</w:t>
      </w:r>
      <w:r>
        <w:t xml:space="preserve"> for</w:t>
      </w:r>
      <w:r w:rsidR="00C7093C">
        <w:t xml:space="preserve"> </w:t>
      </w:r>
      <w:bookmarkStart w:id="2" w:name="_GoBack"/>
      <w:r w:rsidR="00554E0F">
        <w:t>Improving Trachoma Control Services for Indigenous Australians</w:t>
      </w:r>
      <w:bookmarkEnd w:id="2"/>
    </w:p>
    <w:p w14:paraId="23A3A07A" w14:textId="77777777" w:rsidR="00596E88" w:rsidRPr="006F79D3" w:rsidRDefault="00596E88" w:rsidP="002A143D">
      <w:pPr>
        <w:jc w:val="left"/>
        <w:rPr>
          <w:i/>
        </w:rPr>
      </w:pPr>
    </w:p>
    <w:p w14:paraId="57502FCD" w14:textId="77777777" w:rsidR="004B2EF6" w:rsidRPr="004B2EF6" w:rsidRDefault="00804105" w:rsidP="00804105">
      <w:pPr>
        <w:pStyle w:val="Heading1"/>
        <w:pBdr>
          <w:top w:val="single" w:sz="4" w:space="1" w:color="auto"/>
          <w:left w:val="single" w:sz="4" w:space="4" w:color="auto"/>
          <w:bottom w:val="single" w:sz="4" w:space="1" w:color="auto"/>
          <w:right w:val="single" w:sz="4" w:space="4" w:color="auto"/>
        </w:pBdr>
        <w:shd w:val="clear" w:color="auto" w:fill="DAEEF3" w:themeFill="accent5" w:themeFillTint="33"/>
        <w:spacing w:before="0" w:after="240"/>
      </w:pPr>
      <w:r>
        <w:t>overview</w:t>
      </w:r>
    </w:p>
    <w:p w14:paraId="3A46B040" w14:textId="77777777" w:rsidR="00C960AA" w:rsidRPr="0096732C" w:rsidRDefault="00C960AA" w:rsidP="00453DEB">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AEEF3" w:themeFill="accent5" w:themeFillTint="33"/>
      </w:pPr>
      <w:r w:rsidRPr="004B1F38">
        <w:rPr>
          <w:color w:val="auto"/>
        </w:rPr>
        <w:t xml:space="preserve">This </w:t>
      </w:r>
      <w:r w:rsidR="00CB4D35">
        <w:rPr>
          <w:color w:val="auto"/>
        </w:rPr>
        <w:t>Project Agreement</w:t>
      </w:r>
      <w:r w:rsidRPr="004B1F38">
        <w:rPr>
          <w:color w:val="auto"/>
        </w:rPr>
        <w:t xml:space="preserve"> (the Agreement) is created subject to the provis</w:t>
      </w:r>
      <w:r w:rsidRPr="004B6083">
        <w:rPr>
          <w:color w:val="auto"/>
        </w:rPr>
        <w:t>i</w:t>
      </w:r>
      <w:r w:rsidRPr="004B1F38">
        <w:rPr>
          <w:color w:val="auto"/>
        </w:rPr>
        <w:t xml:space="preserve">ons of the </w:t>
      </w:r>
      <w:r w:rsidRPr="000614F9">
        <w:rPr>
          <w:color w:val="auto"/>
        </w:rPr>
        <w:t>Intergovernmental Agreement on Federal Financial Relations</w:t>
      </w:r>
      <w:r w:rsidRPr="004B1F38">
        <w:rPr>
          <w:color w:val="auto"/>
        </w:rPr>
        <w:t xml:space="preserve"> </w:t>
      </w:r>
      <w:r w:rsidR="00C2605C" w:rsidRPr="00DE36EB">
        <w:rPr>
          <w:color w:val="auto"/>
        </w:rPr>
        <w:t xml:space="preserve">(IGA FFR) </w:t>
      </w:r>
      <w:r w:rsidRPr="00DE36EB">
        <w:rPr>
          <w:color w:val="auto"/>
        </w:rPr>
        <w:t xml:space="preserve">and should be read in conjunction with that Agreement and </w:t>
      </w:r>
      <w:r w:rsidR="001C346E" w:rsidRPr="00DE36EB">
        <w:rPr>
          <w:color w:val="auto"/>
        </w:rPr>
        <w:t>its</w:t>
      </w:r>
      <w:r w:rsidRPr="00DE36EB">
        <w:rPr>
          <w:color w:val="auto"/>
        </w:rPr>
        <w:t xml:space="preserve"> </w:t>
      </w:r>
      <w:r w:rsidR="001C346E" w:rsidRPr="00DE36EB">
        <w:rPr>
          <w:color w:val="auto"/>
        </w:rPr>
        <w:t>S</w:t>
      </w:r>
      <w:r w:rsidRPr="00DE36EB">
        <w:rPr>
          <w:color w:val="auto"/>
        </w:rPr>
        <w:t>chedules</w:t>
      </w:r>
      <w:r w:rsidR="001C346E" w:rsidRPr="00DE36EB">
        <w:rPr>
          <w:color w:val="auto"/>
        </w:rPr>
        <w:t xml:space="preserve">, which provide information in relation to </w:t>
      </w:r>
      <w:r w:rsidRPr="00DE36EB">
        <w:rPr>
          <w:color w:val="auto"/>
        </w:rPr>
        <w:t>performance reporting and payment arrangements</w:t>
      </w:r>
      <w:r w:rsidR="001C346E" w:rsidRPr="00DE36EB">
        <w:rPr>
          <w:color w:val="auto"/>
        </w:rPr>
        <w:t xml:space="preserve"> under the </w:t>
      </w:r>
      <w:r w:rsidR="008148E2" w:rsidRPr="00DE36EB">
        <w:rPr>
          <w:color w:val="auto"/>
        </w:rPr>
        <w:t>I</w:t>
      </w:r>
      <w:r w:rsidR="00C2605C" w:rsidRPr="00DE36EB">
        <w:rPr>
          <w:color w:val="auto"/>
        </w:rPr>
        <w:t>GA FFR</w:t>
      </w:r>
      <w:r w:rsidRPr="00DE36EB">
        <w:rPr>
          <w:color w:val="auto"/>
        </w:rPr>
        <w:t>.</w:t>
      </w:r>
    </w:p>
    <w:p w14:paraId="44E46CDA" w14:textId="77777777" w:rsidR="0096732C" w:rsidRPr="004B1F38" w:rsidRDefault="0096732C" w:rsidP="00804105">
      <w:pPr>
        <w:pStyle w:val="Heading2"/>
        <w:pBdr>
          <w:top w:val="single" w:sz="4" w:space="1" w:color="auto"/>
          <w:left w:val="single" w:sz="4" w:space="4" w:color="auto"/>
          <w:bottom w:val="single" w:sz="4" w:space="1" w:color="auto"/>
          <w:right w:val="single" w:sz="4" w:space="4" w:color="auto"/>
        </w:pBdr>
        <w:shd w:val="clear" w:color="auto" w:fill="DAEEF3" w:themeFill="accent5" w:themeFillTint="33"/>
        <w:spacing w:before="0" w:after="240"/>
      </w:pPr>
      <w:r w:rsidRPr="0096732C">
        <w:t>Purpose</w:t>
      </w:r>
    </w:p>
    <w:p w14:paraId="0A30CCBA" w14:textId="77777777" w:rsidR="0096732C" w:rsidRDefault="00852ED8" w:rsidP="00453DEB">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AEEF3" w:themeFill="accent5" w:themeFillTint="33"/>
        <w:tabs>
          <w:tab w:val="left" w:pos="567"/>
        </w:tabs>
      </w:pPr>
      <w:r w:rsidRPr="004B1F38">
        <w:t xml:space="preserve">This Agreement will </w:t>
      </w:r>
      <w:r w:rsidR="006146F2">
        <w:t>support the delivery of</w:t>
      </w:r>
      <w:r w:rsidR="00554E0F" w:rsidRPr="00554E0F">
        <w:t xml:space="preserve"> additional trachoma </w:t>
      </w:r>
      <w:r w:rsidR="004641F9">
        <w:t xml:space="preserve">control services and </w:t>
      </w:r>
      <w:r w:rsidR="005E2592">
        <w:t xml:space="preserve">additional </w:t>
      </w:r>
      <w:r w:rsidR="00554E0F" w:rsidRPr="00554E0F">
        <w:t>activities to improve the identification, screening, treatment, management and prevention of trachoma and trichiasis for Indigenous Australians</w:t>
      </w:r>
      <w:r w:rsidR="00907E9B">
        <w:t xml:space="preserve"> as part of the broader measure on </w:t>
      </w:r>
      <w:r w:rsidR="00907E9B" w:rsidRPr="005F2CDE">
        <w:rPr>
          <w:i/>
        </w:rPr>
        <w:t xml:space="preserve">Closing the Gap - </w:t>
      </w:r>
      <w:r w:rsidR="00907E9B">
        <w:rPr>
          <w:i/>
        </w:rPr>
        <w:t>Improving Eye and E</w:t>
      </w:r>
      <w:r w:rsidR="00907E9B" w:rsidRPr="00F06783">
        <w:rPr>
          <w:i/>
        </w:rPr>
        <w:t>ar Health Services for Ind</w:t>
      </w:r>
      <w:r w:rsidR="00907E9B">
        <w:rPr>
          <w:i/>
        </w:rPr>
        <w:t>igenous Australians</w:t>
      </w:r>
      <w:r w:rsidR="00907E9B" w:rsidRPr="00F06783">
        <w:rPr>
          <w:i/>
        </w:rPr>
        <w:t>.</w:t>
      </w:r>
    </w:p>
    <w:p w14:paraId="0D2AB3C5" w14:textId="77777777" w:rsidR="0096732C" w:rsidRDefault="0096732C" w:rsidP="00804105">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AEEF3" w:themeFill="accent5" w:themeFillTint="33"/>
        <w:jc w:val="left"/>
      </w:pPr>
      <w:r w:rsidRPr="0096732C">
        <w:rPr>
          <w:rFonts w:cs="Arial"/>
          <w:b/>
          <w:bCs/>
          <w:iCs/>
          <w:color w:val="3D4B67"/>
          <w:sz w:val="29"/>
          <w:szCs w:val="28"/>
        </w:rPr>
        <w:t>Reporting Arrangements</w:t>
      </w:r>
      <w:r>
        <w:t xml:space="preserve"> </w:t>
      </w:r>
    </w:p>
    <w:p w14:paraId="3A3F48E2" w14:textId="77777777" w:rsidR="0096732C" w:rsidRDefault="00554E0F" w:rsidP="00453DEB">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AEEF3" w:themeFill="accent5" w:themeFillTint="33"/>
        <w:jc w:val="left"/>
      </w:pPr>
      <w:r>
        <w:t>Queensland</w:t>
      </w:r>
      <w:r w:rsidR="0096732C">
        <w:t xml:space="preserve"> will report annually against the agreed milestones during the operation of this Agreement, as set out in Part 4 – Project Milestones, Reporting and Payments. </w:t>
      </w:r>
    </w:p>
    <w:p w14:paraId="28DBE869" w14:textId="77777777" w:rsidR="0096732C" w:rsidRPr="0096732C" w:rsidRDefault="0096732C" w:rsidP="00804105">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AEEF3" w:themeFill="accent5" w:themeFillTint="33"/>
        <w:jc w:val="left"/>
        <w:rPr>
          <w:rFonts w:cs="Arial"/>
          <w:b/>
          <w:bCs/>
          <w:iCs/>
          <w:color w:val="3D4B67"/>
          <w:sz w:val="29"/>
          <w:szCs w:val="28"/>
        </w:rPr>
      </w:pPr>
      <w:r w:rsidRPr="0096732C">
        <w:rPr>
          <w:rFonts w:cs="Arial"/>
          <w:b/>
          <w:bCs/>
          <w:iCs/>
          <w:color w:val="3D4B67"/>
          <w:sz w:val="29"/>
          <w:szCs w:val="28"/>
        </w:rPr>
        <w:t xml:space="preserve">Financial Arrangements </w:t>
      </w:r>
    </w:p>
    <w:p w14:paraId="176FC39D" w14:textId="77777777" w:rsidR="0096732C" w:rsidRPr="0096732C" w:rsidRDefault="0096732C" w:rsidP="00453DEB">
      <w:pPr>
        <w:pStyle w:val="Normalnumbered"/>
        <w:numPr>
          <w:ilvl w:val="0"/>
          <w:numId w:val="10"/>
        </w:numPr>
        <w:pBdr>
          <w:top w:val="single" w:sz="4" w:space="1" w:color="auto"/>
          <w:left w:val="single" w:sz="4" w:space="4" w:color="auto"/>
          <w:bottom w:val="single" w:sz="4" w:space="1" w:color="auto"/>
          <w:right w:val="single" w:sz="4" w:space="4" w:color="auto"/>
        </w:pBdr>
        <w:shd w:val="clear" w:color="auto" w:fill="DAEEF3" w:themeFill="accent5" w:themeFillTint="33"/>
        <w:jc w:val="left"/>
      </w:pPr>
      <w:r w:rsidRPr="007179FE">
        <w:t xml:space="preserve">The Commonwealth will provide </w:t>
      </w:r>
      <w:r>
        <w:t>a</w:t>
      </w:r>
      <w:r w:rsidR="00F234AB">
        <w:t>n estimated</w:t>
      </w:r>
      <w:r>
        <w:t xml:space="preserve"> total </w:t>
      </w:r>
      <w:r w:rsidRPr="007179FE">
        <w:t>fina</w:t>
      </w:r>
      <w:r w:rsidR="00554E0F">
        <w:t>ncial contribution to Queensland</w:t>
      </w:r>
      <w:r>
        <w:t xml:space="preserve"> </w:t>
      </w:r>
      <w:r w:rsidR="00BE3621">
        <w:t xml:space="preserve">of </w:t>
      </w:r>
      <w:r>
        <w:t>$</w:t>
      </w:r>
      <w:r w:rsidR="00554E0F">
        <w:t>100,000</w:t>
      </w:r>
      <w:r w:rsidR="00F234AB">
        <w:t xml:space="preserve"> exclusive of GST</w:t>
      </w:r>
      <w:r w:rsidR="00EF33DE">
        <w:t xml:space="preserve"> </w:t>
      </w:r>
      <w:r>
        <w:t>in respect of this Agreement</w:t>
      </w:r>
      <w:r w:rsidR="00FC055C">
        <w:t>,</w:t>
      </w:r>
      <w:r>
        <w:t xml:space="preserve"> as set out </w:t>
      </w:r>
      <w:r w:rsidRPr="007179FE">
        <w:t xml:space="preserve">in </w:t>
      </w:r>
      <w:r>
        <w:t>Part 5 – Financial Arrangements</w:t>
      </w:r>
      <w:r w:rsidRPr="007179FE">
        <w:t>.</w:t>
      </w:r>
    </w:p>
    <w:p w14:paraId="35B00BBE" w14:textId="77777777" w:rsidR="0096732C" w:rsidRPr="004B1F38" w:rsidRDefault="00A25265" w:rsidP="00804105">
      <w:pPr>
        <w:pStyle w:val="Normalnumbered"/>
        <w:numPr>
          <w:ilvl w:val="0"/>
          <w:numId w:val="0"/>
        </w:numPr>
        <w:pBdr>
          <w:top w:val="single" w:sz="4" w:space="1" w:color="auto"/>
          <w:left w:val="single" w:sz="4" w:space="4" w:color="auto"/>
          <w:bottom w:val="single" w:sz="4" w:space="1" w:color="auto"/>
          <w:right w:val="single" w:sz="4" w:space="4" w:color="auto"/>
        </w:pBdr>
        <w:shd w:val="clear" w:color="auto" w:fill="DAEEF3" w:themeFill="accent5" w:themeFillTint="33"/>
      </w:pPr>
      <w:r w:rsidDel="00A25265">
        <w:t xml:space="preserve"> </w:t>
      </w:r>
    </w:p>
    <w:p w14:paraId="3DBF4A38" w14:textId="77777777" w:rsidR="00814667" w:rsidRDefault="00814667">
      <w:pPr>
        <w:pStyle w:val="Heading1"/>
      </w:pPr>
      <w:r>
        <w:t>Part 1 — Formalities</w:t>
      </w:r>
    </w:p>
    <w:p w14:paraId="6E8F2A25" w14:textId="77777777" w:rsidR="00804105" w:rsidRDefault="00804105" w:rsidP="00453DEB">
      <w:pPr>
        <w:pStyle w:val="Normalnumbered"/>
        <w:numPr>
          <w:ilvl w:val="0"/>
          <w:numId w:val="10"/>
        </w:numPr>
      </w:pPr>
      <w:r>
        <w:t>This Agreement constitutes the entire agreement for this project.</w:t>
      </w:r>
    </w:p>
    <w:p w14:paraId="0550CB8D" w14:textId="77777777" w:rsidR="00814667" w:rsidRDefault="00814667">
      <w:pPr>
        <w:pStyle w:val="Heading2"/>
      </w:pPr>
      <w:r>
        <w:t>Parties to this Agreement</w:t>
      </w:r>
    </w:p>
    <w:p w14:paraId="079D8850" w14:textId="77777777" w:rsidR="007B4B03" w:rsidRPr="007B4B03" w:rsidRDefault="00E7195E" w:rsidP="00453DEB">
      <w:pPr>
        <w:pStyle w:val="Normalnumbered"/>
        <w:numPr>
          <w:ilvl w:val="0"/>
          <w:numId w:val="10"/>
        </w:numPr>
      </w:pPr>
      <w:r w:rsidRPr="003012DA">
        <w:t xml:space="preserve">This </w:t>
      </w:r>
      <w:r w:rsidR="00E31096">
        <w:t xml:space="preserve">Agreement </w:t>
      </w:r>
      <w:r w:rsidRPr="003012DA">
        <w:t>is between the Commonwealth of Australia (the</w:t>
      </w:r>
      <w:r w:rsidR="00593821">
        <w:t xml:space="preserve"> Commonwealth</w:t>
      </w:r>
      <w:r w:rsidRPr="003012DA">
        <w:t xml:space="preserve">) and </w:t>
      </w:r>
      <w:r w:rsidR="008F1192">
        <w:t>Queensland</w:t>
      </w:r>
      <w:r w:rsidRPr="003012DA">
        <w:t xml:space="preserve">. </w:t>
      </w:r>
    </w:p>
    <w:p w14:paraId="41831F5B" w14:textId="77777777" w:rsidR="00814667" w:rsidRDefault="00814667">
      <w:pPr>
        <w:pStyle w:val="Heading2"/>
      </w:pPr>
      <w:r>
        <w:lastRenderedPageBreak/>
        <w:t>Term of the Agreement</w:t>
      </w:r>
    </w:p>
    <w:p w14:paraId="5E56CC09" w14:textId="77777777" w:rsidR="00814667" w:rsidRPr="00DE36EB" w:rsidRDefault="00814667" w:rsidP="00453DEB">
      <w:pPr>
        <w:pStyle w:val="Normalnumbered"/>
        <w:numPr>
          <w:ilvl w:val="0"/>
          <w:numId w:val="10"/>
        </w:numPr>
      </w:pPr>
      <w:r w:rsidRPr="00DE36EB">
        <w:t>This Agreement will commence as soon as the Commonwealth and</w:t>
      </w:r>
      <w:r w:rsidR="008F1192">
        <w:t xml:space="preserve"> Queensland</w:t>
      </w:r>
      <w:r w:rsidRPr="00DE36EB">
        <w:t xml:space="preserve"> </w:t>
      </w:r>
      <w:r w:rsidR="00726DB5" w:rsidRPr="00DE36EB">
        <w:t>sign</w:t>
      </w:r>
      <w:r w:rsidRPr="00DE36EB">
        <w:t xml:space="preserve"> </w:t>
      </w:r>
      <w:r w:rsidR="0096732C">
        <w:t xml:space="preserve">it </w:t>
      </w:r>
      <w:r w:rsidRPr="00DE36EB">
        <w:t>and will expire on</w:t>
      </w:r>
      <w:r w:rsidR="00C7093C" w:rsidRPr="00DE36EB">
        <w:t xml:space="preserve"> </w:t>
      </w:r>
      <w:r w:rsidR="008F1192">
        <w:t xml:space="preserve">30 June </w:t>
      </w:r>
      <w:r w:rsidR="00A85A80">
        <w:t>2017</w:t>
      </w:r>
      <w:r w:rsidR="008F1192">
        <w:t xml:space="preserve"> </w:t>
      </w:r>
      <w:r w:rsidR="00284884" w:rsidRPr="00DE36EB">
        <w:t>or on</w:t>
      </w:r>
      <w:r w:rsidR="00FA2EC0" w:rsidRPr="00DE36EB">
        <w:t xml:space="preserve"> complet</w:t>
      </w:r>
      <w:r w:rsidR="00284884" w:rsidRPr="00DE36EB">
        <w:t>ion of the project, including final performance reporting an</w:t>
      </w:r>
      <w:r w:rsidR="00AE2AFD" w:rsidRPr="00DE36EB">
        <w:t>d</w:t>
      </w:r>
      <w:r w:rsidR="00284884" w:rsidRPr="00DE36EB">
        <w:t xml:space="preserve"> processing of final payments against milestones</w:t>
      </w:r>
      <w:r w:rsidRPr="00DE36EB">
        <w:t xml:space="preserve">, </w:t>
      </w:r>
      <w:r w:rsidR="00852ED8" w:rsidRPr="00DE36EB">
        <w:t xml:space="preserve">unless </w:t>
      </w:r>
      <w:r w:rsidRPr="00DE36EB">
        <w:t>terminat</w:t>
      </w:r>
      <w:r w:rsidR="00852ED8" w:rsidRPr="00DE36EB">
        <w:t xml:space="preserve">ed </w:t>
      </w:r>
      <w:r w:rsidR="001A7A15" w:rsidRPr="00DE36EB">
        <w:t xml:space="preserve">earlier </w:t>
      </w:r>
      <w:r w:rsidR="00852ED8" w:rsidRPr="00DE36EB">
        <w:t xml:space="preserve">or extended </w:t>
      </w:r>
      <w:r w:rsidRPr="00DE36EB">
        <w:t>as agreed in writing by the Parties.</w:t>
      </w:r>
    </w:p>
    <w:p w14:paraId="42DE5747" w14:textId="77777777" w:rsidR="00784439" w:rsidRPr="009E093C" w:rsidRDefault="00784439" w:rsidP="00784439">
      <w:pPr>
        <w:pStyle w:val="Heading2"/>
        <w:ind w:right="-568"/>
        <w:rPr>
          <w:b w:val="0"/>
          <w:sz w:val="23"/>
          <w:szCs w:val="23"/>
        </w:rPr>
      </w:pPr>
      <w:r w:rsidRPr="00784439">
        <w:rPr>
          <w:rFonts w:ascii="Consolas" w:hAnsi="Consolas"/>
          <w:b w:val="0"/>
          <w:iCs w:val="0"/>
          <w:caps/>
          <w:kern w:val="32"/>
          <w:sz w:val="32"/>
          <w:szCs w:val="36"/>
        </w:rPr>
        <w:t>P</w:t>
      </w:r>
      <w:r w:rsidR="00814667" w:rsidRPr="00784439">
        <w:rPr>
          <w:rFonts w:ascii="Consolas" w:hAnsi="Consolas"/>
          <w:b w:val="0"/>
          <w:iCs w:val="0"/>
          <w:caps/>
          <w:kern w:val="32"/>
          <w:sz w:val="32"/>
          <w:szCs w:val="36"/>
        </w:rPr>
        <w:t xml:space="preserve">art 2 — </w:t>
      </w:r>
      <w:r w:rsidR="00FF5029" w:rsidRPr="00784439">
        <w:rPr>
          <w:rFonts w:ascii="Consolas" w:hAnsi="Consolas"/>
          <w:b w:val="0"/>
          <w:iCs w:val="0"/>
          <w:caps/>
          <w:kern w:val="32"/>
          <w:sz w:val="32"/>
          <w:szCs w:val="36"/>
        </w:rPr>
        <w:t>Project</w:t>
      </w:r>
      <w:r w:rsidR="00814667" w:rsidRPr="00784439">
        <w:rPr>
          <w:rFonts w:ascii="Consolas" w:hAnsi="Consolas"/>
          <w:b w:val="0"/>
          <w:iCs w:val="0"/>
          <w:caps/>
          <w:kern w:val="32"/>
          <w:sz w:val="32"/>
          <w:szCs w:val="36"/>
        </w:rPr>
        <w:t xml:space="preserve"> outputs</w:t>
      </w:r>
    </w:p>
    <w:p w14:paraId="66C708BF" w14:textId="77777777" w:rsidR="00814667" w:rsidRDefault="00814667">
      <w:pPr>
        <w:pStyle w:val="Heading2"/>
      </w:pPr>
      <w:r>
        <w:t>Outputs</w:t>
      </w:r>
    </w:p>
    <w:p w14:paraId="7CA76BF0" w14:textId="77777777" w:rsidR="008F1192" w:rsidRDefault="008F1192" w:rsidP="00453DEB">
      <w:pPr>
        <w:pStyle w:val="Normalnumbered"/>
        <w:numPr>
          <w:ilvl w:val="0"/>
          <w:numId w:val="10"/>
        </w:numPr>
        <w:jc w:val="left"/>
      </w:pPr>
      <w:r w:rsidRPr="0085738D">
        <w:t>The o</w:t>
      </w:r>
      <w:r>
        <w:t>utputs of this Agreement will be to:</w:t>
      </w:r>
    </w:p>
    <w:p w14:paraId="3DE4CD40" w14:textId="77777777" w:rsidR="008F1192" w:rsidRDefault="008F1192" w:rsidP="00453DEB">
      <w:pPr>
        <w:pStyle w:val="AlphaParagraph"/>
        <w:numPr>
          <w:ilvl w:val="0"/>
          <w:numId w:val="19"/>
        </w:numPr>
        <w:tabs>
          <w:tab w:val="clear" w:pos="567"/>
          <w:tab w:val="clear" w:pos="1418"/>
          <w:tab w:val="clear" w:pos="1701"/>
        </w:tabs>
        <w:ind w:left="1134" w:hanging="567"/>
      </w:pPr>
      <w:r>
        <w:t xml:space="preserve">undertake comprehensive and systematic trachoma and trichiasis screening and treatment programs in communities at risk of trachoma and where trachoma and /or trichiasis is prevalent and report on results; </w:t>
      </w:r>
    </w:p>
    <w:p w14:paraId="0DA2DBDB" w14:textId="77777777" w:rsidR="008F1192" w:rsidRDefault="008F1192" w:rsidP="00453DEB">
      <w:pPr>
        <w:pStyle w:val="AlphaParagraph"/>
        <w:numPr>
          <w:ilvl w:val="0"/>
          <w:numId w:val="19"/>
        </w:numPr>
        <w:tabs>
          <w:tab w:val="clear" w:pos="567"/>
          <w:tab w:val="clear" w:pos="1418"/>
          <w:tab w:val="clear" w:pos="1701"/>
        </w:tabs>
        <w:ind w:left="1134" w:hanging="567"/>
      </w:pPr>
      <w:r>
        <w:t xml:space="preserve">deliver trachoma control activities in accordance with the 2013 </w:t>
      </w:r>
      <w:r w:rsidRPr="008C3419">
        <w:rPr>
          <w:i/>
        </w:rPr>
        <w:t>National Guidelines for the Public Health Management of Trachoma</w:t>
      </w:r>
      <w:r>
        <w:t xml:space="preserve"> (Communicable Disease Network of Australia); and</w:t>
      </w:r>
    </w:p>
    <w:p w14:paraId="3BD91E9A" w14:textId="77777777" w:rsidR="00681956" w:rsidRPr="0085738D" w:rsidRDefault="008F1192" w:rsidP="00453DEB">
      <w:pPr>
        <w:pStyle w:val="AlphaParagraph"/>
        <w:numPr>
          <w:ilvl w:val="0"/>
          <w:numId w:val="15"/>
        </w:numPr>
        <w:tabs>
          <w:tab w:val="clear" w:pos="567"/>
          <w:tab w:val="clear" w:pos="1418"/>
          <w:tab w:val="clear" w:pos="1701"/>
        </w:tabs>
        <w:ind w:left="1134" w:hanging="567"/>
      </w:pPr>
      <w:r>
        <w:t xml:space="preserve">submit required data to the National Trachoma Surveillance and Reporting Unit.  </w:t>
      </w:r>
    </w:p>
    <w:p w14:paraId="1377BCB6" w14:textId="77777777" w:rsidR="008F44F1" w:rsidRDefault="008F44F1">
      <w:pPr>
        <w:pStyle w:val="Heading1"/>
      </w:pPr>
      <w:r>
        <w:t>Part 3 — roles and responsibilities of each party</w:t>
      </w:r>
    </w:p>
    <w:p w14:paraId="738F3F85" w14:textId="77777777" w:rsidR="008F44F1" w:rsidRDefault="008F44F1" w:rsidP="008F44F1">
      <w:pPr>
        <w:pStyle w:val="Heading2"/>
      </w:pPr>
      <w:r w:rsidRPr="00814590">
        <w:t>Role of the Commonwealth</w:t>
      </w:r>
    </w:p>
    <w:p w14:paraId="5984D45D" w14:textId="77777777" w:rsidR="008F44F1" w:rsidRDefault="008F44F1" w:rsidP="00453DEB">
      <w:pPr>
        <w:pStyle w:val="Normalnumbered"/>
        <w:numPr>
          <w:ilvl w:val="0"/>
          <w:numId w:val="10"/>
        </w:numPr>
        <w:jc w:val="left"/>
      </w:pPr>
      <w:r>
        <w:t>The Commonwealth will be responsible for:</w:t>
      </w:r>
    </w:p>
    <w:p w14:paraId="57D3E826" w14:textId="77777777" w:rsidR="00103FA5" w:rsidRPr="00103FA5" w:rsidRDefault="00103FA5" w:rsidP="00C8629D">
      <w:pPr>
        <w:pStyle w:val="AlphaParagraph"/>
        <w:numPr>
          <w:ilvl w:val="0"/>
          <w:numId w:val="20"/>
        </w:numPr>
        <w:tabs>
          <w:tab w:val="clear" w:pos="283"/>
          <w:tab w:val="clear" w:pos="1418"/>
          <w:tab w:val="clear" w:pos="1701"/>
        </w:tabs>
        <w:ind w:left="1134" w:hanging="567"/>
        <w:rPr>
          <w:color w:val="auto"/>
        </w:rPr>
      </w:pPr>
      <w:r w:rsidRPr="00103FA5">
        <w:rPr>
          <w:color w:val="auto"/>
        </w:rPr>
        <w:t>monitoring and assessing achievement against milestones in the delivery of trachoma control services for Indigenous Australians under this Agreement to ensure that outputs are delivered within the agreed timeframe; and</w:t>
      </w:r>
    </w:p>
    <w:p w14:paraId="777DD703" w14:textId="77777777" w:rsidR="008F44F1" w:rsidRPr="00103FA5" w:rsidRDefault="00103FA5" w:rsidP="00C8629D">
      <w:pPr>
        <w:pStyle w:val="AlphaParagraph"/>
        <w:numPr>
          <w:ilvl w:val="0"/>
          <w:numId w:val="20"/>
        </w:numPr>
        <w:tabs>
          <w:tab w:val="clear" w:pos="283"/>
          <w:tab w:val="clear" w:pos="1418"/>
          <w:tab w:val="clear" w:pos="1701"/>
        </w:tabs>
        <w:ind w:left="1134" w:hanging="567"/>
        <w:rPr>
          <w:color w:val="auto"/>
        </w:rPr>
      </w:pPr>
      <w:r w:rsidRPr="00103FA5">
        <w:rPr>
          <w:color w:val="auto"/>
        </w:rPr>
        <w:t xml:space="preserve">providing a consequent financial contribution to </w:t>
      </w:r>
      <w:r w:rsidR="00A85A80">
        <w:rPr>
          <w:color w:val="auto"/>
        </w:rPr>
        <w:t>Queensland</w:t>
      </w:r>
      <w:r w:rsidRPr="00103FA5">
        <w:rPr>
          <w:color w:val="auto"/>
        </w:rPr>
        <w:t xml:space="preserve"> to support the implementation of this Agreement.</w:t>
      </w:r>
    </w:p>
    <w:p w14:paraId="31AE8CCB" w14:textId="77777777" w:rsidR="008F44F1" w:rsidRPr="00751725" w:rsidRDefault="008F44F1" w:rsidP="008F44F1">
      <w:pPr>
        <w:pStyle w:val="Heading2"/>
      </w:pPr>
      <w:r w:rsidRPr="00751725">
        <w:t xml:space="preserve">Role of </w:t>
      </w:r>
      <w:r w:rsidR="005E2592">
        <w:t>Queensland</w:t>
      </w:r>
    </w:p>
    <w:p w14:paraId="105C2795" w14:textId="77777777" w:rsidR="00103FA5" w:rsidRDefault="00A85A80" w:rsidP="00453DEB">
      <w:pPr>
        <w:pStyle w:val="Normalnumbered"/>
        <w:numPr>
          <w:ilvl w:val="0"/>
          <w:numId w:val="10"/>
        </w:numPr>
        <w:jc w:val="left"/>
      </w:pPr>
      <w:r>
        <w:t xml:space="preserve">Queensland </w:t>
      </w:r>
      <w:r w:rsidR="00103FA5">
        <w:t>will be responsible for:</w:t>
      </w:r>
    </w:p>
    <w:p w14:paraId="3A673ED2" w14:textId="77777777" w:rsidR="00103FA5" w:rsidRDefault="00103FA5" w:rsidP="00453DEB">
      <w:pPr>
        <w:pStyle w:val="Normalnumbered"/>
        <w:numPr>
          <w:ilvl w:val="0"/>
          <w:numId w:val="22"/>
        </w:numPr>
        <w:tabs>
          <w:tab w:val="num" w:pos="567"/>
          <w:tab w:val="left" w:pos="1134"/>
        </w:tabs>
        <w:ind w:left="1134" w:hanging="567"/>
        <w:jc w:val="left"/>
      </w:pPr>
      <w:r>
        <w:t>all aspects of delivering on the project outputs set out in this Agreement; and</w:t>
      </w:r>
    </w:p>
    <w:p w14:paraId="25E1C0E7" w14:textId="77777777" w:rsidR="004D11ED" w:rsidRPr="00CE3161" w:rsidRDefault="00103FA5" w:rsidP="00453DEB">
      <w:pPr>
        <w:pStyle w:val="AlphaParagraph"/>
        <w:numPr>
          <w:ilvl w:val="0"/>
          <w:numId w:val="22"/>
        </w:numPr>
        <w:tabs>
          <w:tab w:val="clear" w:pos="567"/>
          <w:tab w:val="clear" w:pos="1418"/>
          <w:tab w:val="clear" w:pos="1701"/>
          <w:tab w:val="left" w:pos="1134"/>
        </w:tabs>
        <w:ind w:left="1134" w:hanging="567"/>
      </w:pPr>
      <w:r w:rsidRPr="006B4DF0">
        <w:t xml:space="preserve">reporting on the delivery of </w:t>
      </w:r>
      <w:r>
        <w:t>outputs</w:t>
      </w:r>
      <w:r w:rsidRPr="006B4DF0">
        <w:t xml:space="preserve"> </w:t>
      </w:r>
      <w:r>
        <w:t>as set out in Part 4</w:t>
      </w:r>
      <w:r w:rsidRPr="006B4DF0">
        <w:t xml:space="preserve"> – P</w:t>
      </w:r>
      <w:r>
        <w:t>roject Milestones, Reporting and Payments.</w:t>
      </w:r>
    </w:p>
    <w:p w14:paraId="60B223C0" w14:textId="77777777" w:rsidR="008F44F1" w:rsidRDefault="008F44F1" w:rsidP="008F44F1">
      <w:pPr>
        <w:pStyle w:val="Heading2"/>
      </w:pPr>
      <w:r>
        <w:t>Shared roles</w:t>
      </w:r>
    </w:p>
    <w:p w14:paraId="2D1261AE" w14:textId="77777777" w:rsidR="008F44F1" w:rsidRDefault="008F44F1" w:rsidP="00453DEB">
      <w:pPr>
        <w:pStyle w:val="Normalnumbered"/>
        <w:numPr>
          <w:ilvl w:val="0"/>
          <w:numId w:val="10"/>
        </w:numPr>
        <w:spacing w:after="480"/>
      </w:pPr>
      <w:r>
        <w:rPr>
          <w:color w:val="auto"/>
        </w:rPr>
        <w:t>The</w:t>
      </w:r>
      <w:r w:rsidRPr="00166312">
        <w:rPr>
          <w:color w:val="auto"/>
        </w:rPr>
        <w:t xml:space="preserve"> Parties will</w:t>
      </w:r>
      <w:r>
        <w:rPr>
          <w:color w:val="auto"/>
        </w:rPr>
        <w:t xml:space="preserve"> </w:t>
      </w:r>
      <w:r>
        <w:t xml:space="preserve">meet the requirements of Schedule E, Clause 26 of </w:t>
      </w:r>
      <w:r w:rsidRPr="00183EAB">
        <w:rPr>
          <w:color w:val="auto"/>
        </w:rPr>
        <w:t xml:space="preserve">the </w:t>
      </w:r>
      <w:r w:rsidR="00C41265">
        <w:rPr>
          <w:color w:val="auto"/>
        </w:rPr>
        <w:t>IGA FFR</w:t>
      </w:r>
      <w:r w:rsidRPr="000614F9">
        <w:rPr>
          <w:color w:val="auto"/>
        </w:rPr>
        <w:t>, by ensuring that prior agreemen</w:t>
      </w:r>
      <w:r>
        <w:t>t is reached on the nature and content of any events, announcements, promotional material or publicity relating to activities under this Agreement, and that the roles of both Parties will be acknowledged and recognised appropriately.</w:t>
      </w:r>
    </w:p>
    <w:p w14:paraId="353A1D63" w14:textId="77777777" w:rsidR="00814667" w:rsidRPr="00814590" w:rsidRDefault="00814667">
      <w:pPr>
        <w:pStyle w:val="Heading1"/>
      </w:pPr>
      <w:r w:rsidRPr="00814590">
        <w:lastRenderedPageBreak/>
        <w:t xml:space="preserve">Part 4 — </w:t>
      </w:r>
      <w:r w:rsidR="0095223D" w:rsidRPr="00814590">
        <w:t>P</w:t>
      </w:r>
      <w:r w:rsidR="0095223D">
        <w:t>roject</w:t>
      </w:r>
      <w:r w:rsidR="0095223D" w:rsidRPr="00814590">
        <w:t xml:space="preserve"> </w:t>
      </w:r>
      <w:r w:rsidR="00F8684A">
        <w:t>milestones</w:t>
      </w:r>
      <w:r w:rsidR="0095223D">
        <w:t xml:space="preserve">, </w:t>
      </w:r>
      <w:r w:rsidRPr="00814590">
        <w:t>reporting</w:t>
      </w:r>
      <w:r w:rsidR="00B8096A">
        <w:t xml:space="preserve"> and Payment</w:t>
      </w:r>
      <w:r w:rsidR="0095223D">
        <w:t>s</w:t>
      </w:r>
    </w:p>
    <w:p w14:paraId="11863C41" w14:textId="77777777" w:rsidR="004B6083" w:rsidRDefault="00CE3161" w:rsidP="00453DEB">
      <w:pPr>
        <w:pStyle w:val="Normalnumbered"/>
        <w:numPr>
          <w:ilvl w:val="0"/>
          <w:numId w:val="10"/>
        </w:numPr>
      </w:pPr>
      <w:r>
        <w:t xml:space="preserve">Table 1 summarises the milestones for the project, their relationship to the outputs, expected completion dates, relevant reporting dates and expected payments to be made. </w:t>
      </w:r>
      <w:r w:rsidR="00ED2AC4">
        <w:t xml:space="preserve">The Commonwealth will make payments subject to the annual performance report demonstrating the relevant </w:t>
      </w:r>
      <w:r w:rsidR="00ED2AC4" w:rsidRPr="00CE3161">
        <w:rPr>
          <w:szCs w:val="23"/>
        </w:rPr>
        <w:t xml:space="preserve">milestone </w:t>
      </w:r>
      <w:r w:rsidR="00ED2AC4">
        <w:t>has been met.</w:t>
      </w:r>
    </w:p>
    <w:p w14:paraId="65C2428F" w14:textId="77777777" w:rsidR="001F3A1F" w:rsidRPr="001F3A1F" w:rsidRDefault="0095223D" w:rsidP="001F3A1F">
      <w:pPr>
        <w:pStyle w:val="Normalnumbered"/>
        <w:keepNext/>
        <w:numPr>
          <w:ilvl w:val="0"/>
          <w:numId w:val="0"/>
        </w:numPr>
      </w:pPr>
      <w:r w:rsidRPr="001D3CAD">
        <w:rPr>
          <w:b/>
        </w:rPr>
        <w:t xml:space="preserve">Table </w:t>
      </w:r>
      <w:r w:rsidR="00E204BB">
        <w:rPr>
          <w:b/>
        </w:rPr>
        <w:t>1</w:t>
      </w:r>
      <w:r w:rsidRPr="001D3CAD">
        <w:t xml:space="preserve">: </w:t>
      </w:r>
      <w:r w:rsidR="00806D94">
        <w:rPr>
          <w:b/>
        </w:rPr>
        <w:t>Performance requirements</w:t>
      </w:r>
      <w:r w:rsidRPr="001D3CAD">
        <w:rPr>
          <w:b/>
        </w:rPr>
        <w:t>, reporting and payment summary</w:t>
      </w:r>
      <w:r w:rsidR="001F3A1F">
        <w:t xml:space="preserve"> </w:t>
      </w:r>
    </w:p>
    <w:tbl>
      <w:tblPr>
        <w:tblW w:w="1003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242"/>
        <w:gridCol w:w="4820"/>
        <w:gridCol w:w="1417"/>
        <w:gridCol w:w="1418"/>
        <w:gridCol w:w="1134"/>
      </w:tblGrid>
      <w:tr w:rsidR="001F3A1F" w:rsidRPr="00C26C5B" w14:paraId="174B7AC5" w14:textId="77777777" w:rsidTr="001F3A1F">
        <w:tc>
          <w:tcPr>
            <w:tcW w:w="1242" w:type="dxa"/>
            <w:tcBorders>
              <w:top w:val="single" w:sz="8" w:space="0" w:color="4F81BD"/>
              <w:left w:val="single" w:sz="8" w:space="0" w:color="4F81BD"/>
              <w:bottom w:val="single" w:sz="8" w:space="0" w:color="4F81BD"/>
              <w:right w:val="single" w:sz="8" w:space="0" w:color="4F81BD"/>
            </w:tcBorders>
            <w:shd w:val="clear" w:color="auto" w:fill="FFFFFF"/>
          </w:tcPr>
          <w:p w14:paraId="68804396" w14:textId="77777777" w:rsidR="001F3A1F" w:rsidRPr="001F3A1F" w:rsidRDefault="001F3A1F" w:rsidP="001F3A1F">
            <w:pPr>
              <w:pStyle w:val="Heading2"/>
              <w:tabs>
                <w:tab w:val="left" w:pos="709"/>
                <w:tab w:val="left" w:pos="851"/>
              </w:tabs>
              <w:rPr>
                <w:b w:val="0"/>
                <w:bCs w:val="0"/>
                <w:color w:val="auto"/>
                <w:sz w:val="24"/>
                <w:szCs w:val="24"/>
              </w:rPr>
            </w:pPr>
            <w:r w:rsidRPr="001F3A1F">
              <w:rPr>
                <w:b w:val="0"/>
                <w:bCs w:val="0"/>
                <w:color w:val="auto"/>
                <w:sz w:val="24"/>
                <w:szCs w:val="24"/>
              </w:rPr>
              <w:t>Output</w:t>
            </w:r>
          </w:p>
        </w:tc>
        <w:tc>
          <w:tcPr>
            <w:tcW w:w="4820" w:type="dxa"/>
            <w:tcBorders>
              <w:top w:val="single" w:sz="8" w:space="0" w:color="4F81BD"/>
              <w:left w:val="single" w:sz="8" w:space="0" w:color="4F81BD"/>
              <w:bottom w:val="single" w:sz="8" w:space="0" w:color="4F81BD"/>
              <w:right w:val="single" w:sz="8" w:space="0" w:color="4F81BD"/>
            </w:tcBorders>
            <w:shd w:val="clear" w:color="auto" w:fill="FFFFFF"/>
          </w:tcPr>
          <w:p w14:paraId="1BADB0F4" w14:textId="77777777" w:rsidR="001F3A1F" w:rsidRPr="001F3A1F" w:rsidRDefault="001F3A1F" w:rsidP="001F3A1F">
            <w:pPr>
              <w:pStyle w:val="Heading2"/>
              <w:rPr>
                <w:b w:val="0"/>
                <w:color w:val="auto"/>
                <w:sz w:val="24"/>
                <w:szCs w:val="24"/>
              </w:rPr>
            </w:pPr>
            <w:r w:rsidRPr="001F3A1F">
              <w:rPr>
                <w:b w:val="0"/>
                <w:color w:val="auto"/>
                <w:sz w:val="24"/>
                <w:szCs w:val="24"/>
              </w:rPr>
              <w:t>Performance Milestones</w:t>
            </w:r>
          </w:p>
        </w:tc>
        <w:tc>
          <w:tcPr>
            <w:tcW w:w="1417" w:type="dxa"/>
            <w:tcBorders>
              <w:top w:val="single" w:sz="8" w:space="0" w:color="4F81BD"/>
              <w:left w:val="single" w:sz="8" w:space="0" w:color="4F81BD"/>
              <w:bottom w:val="single" w:sz="8" w:space="0" w:color="4F81BD"/>
              <w:right w:val="single" w:sz="8" w:space="0" w:color="4F81BD"/>
            </w:tcBorders>
            <w:shd w:val="clear" w:color="auto" w:fill="FFFFFF"/>
          </w:tcPr>
          <w:p w14:paraId="716A43D9" w14:textId="77777777" w:rsidR="001F3A1F" w:rsidRPr="001F3A1F" w:rsidRDefault="001F3A1F" w:rsidP="001F3A1F">
            <w:pPr>
              <w:jc w:val="left"/>
              <w:rPr>
                <w:sz w:val="24"/>
                <w:szCs w:val="24"/>
              </w:rPr>
            </w:pPr>
            <w:r w:rsidRPr="001F3A1F">
              <w:rPr>
                <w:sz w:val="24"/>
                <w:szCs w:val="24"/>
              </w:rPr>
              <w:t>Date due</w:t>
            </w:r>
          </w:p>
        </w:tc>
        <w:tc>
          <w:tcPr>
            <w:tcW w:w="1418" w:type="dxa"/>
            <w:tcBorders>
              <w:top w:val="single" w:sz="8" w:space="0" w:color="4F81BD"/>
              <w:left w:val="single" w:sz="8" w:space="0" w:color="4F81BD"/>
              <w:bottom w:val="single" w:sz="8" w:space="0" w:color="4F81BD"/>
              <w:right w:val="single" w:sz="8" w:space="0" w:color="4F81BD"/>
            </w:tcBorders>
            <w:shd w:val="clear" w:color="auto" w:fill="FFFFFF"/>
          </w:tcPr>
          <w:p w14:paraId="14B9D96A" w14:textId="77777777" w:rsidR="001F3A1F" w:rsidRPr="001F3A1F" w:rsidRDefault="001F3A1F" w:rsidP="001F3A1F">
            <w:pPr>
              <w:jc w:val="left"/>
              <w:rPr>
                <w:bCs/>
                <w:iCs/>
                <w:sz w:val="24"/>
                <w:szCs w:val="24"/>
              </w:rPr>
            </w:pPr>
            <w:r w:rsidRPr="001F3A1F">
              <w:rPr>
                <w:bCs/>
                <w:iCs/>
                <w:sz w:val="24"/>
                <w:szCs w:val="24"/>
              </w:rPr>
              <w:t>Relevant Report period</w:t>
            </w:r>
          </w:p>
        </w:tc>
        <w:tc>
          <w:tcPr>
            <w:tcW w:w="1134" w:type="dxa"/>
            <w:tcBorders>
              <w:top w:val="single" w:sz="8" w:space="0" w:color="4F81BD"/>
              <w:left w:val="single" w:sz="8" w:space="0" w:color="4F81BD"/>
              <w:bottom w:val="single" w:sz="8" w:space="0" w:color="4F81BD"/>
              <w:right w:val="single" w:sz="8" w:space="0" w:color="4F81BD"/>
            </w:tcBorders>
            <w:shd w:val="clear" w:color="auto" w:fill="FFFFFF"/>
          </w:tcPr>
          <w:p w14:paraId="38D67B78" w14:textId="77777777" w:rsidR="001F3A1F" w:rsidRPr="001F3A1F" w:rsidRDefault="001F3A1F" w:rsidP="001F3A1F">
            <w:pPr>
              <w:pStyle w:val="Heading2"/>
              <w:spacing w:before="0" w:after="480"/>
              <w:rPr>
                <w:b w:val="0"/>
                <w:color w:val="auto"/>
                <w:sz w:val="24"/>
                <w:szCs w:val="24"/>
              </w:rPr>
            </w:pPr>
            <w:r w:rsidRPr="001F3A1F">
              <w:rPr>
                <w:b w:val="0"/>
                <w:color w:val="auto"/>
                <w:sz w:val="24"/>
                <w:szCs w:val="24"/>
              </w:rPr>
              <w:t>Payment</w:t>
            </w:r>
          </w:p>
        </w:tc>
      </w:tr>
      <w:tr w:rsidR="001F3A1F" w:rsidRPr="00C26C5B" w14:paraId="010DEA51" w14:textId="77777777" w:rsidTr="001F3A1F">
        <w:tc>
          <w:tcPr>
            <w:tcW w:w="1242" w:type="dxa"/>
            <w:tcBorders>
              <w:top w:val="single" w:sz="8" w:space="0" w:color="4F81BD"/>
              <w:left w:val="single" w:sz="8" w:space="0" w:color="4F81BD"/>
              <w:bottom w:val="single" w:sz="8" w:space="0" w:color="4F81BD"/>
              <w:right w:val="single" w:sz="8" w:space="0" w:color="4F81BD"/>
            </w:tcBorders>
            <w:shd w:val="clear" w:color="auto" w:fill="FFFFFF"/>
          </w:tcPr>
          <w:p w14:paraId="45B198AE" w14:textId="77777777" w:rsidR="001F3A1F" w:rsidRPr="00D40BEB" w:rsidRDefault="001F3A1F" w:rsidP="001F3A1F">
            <w:pPr>
              <w:pStyle w:val="Heading2"/>
              <w:spacing w:after="0"/>
              <w:rPr>
                <w:b w:val="0"/>
              </w:rPr>
            </w:pPr>
            <w:r w:rsidRPr="00743507">
              <w:rPr>
                <w:b w:val="0"/>
                <w:color w:val="auto"/>
                <w:sz w:val="23"/>
                <w:szCs w:val="23"/>
              </w:rPr>
              <w:t>Screening</w:t>
            </w:r>
            <w:r>
              <w:rPr>
                <w:b w:val="0"/>
                <w:color w:val="auto"/>
                <w:sz w:val="23"/>
                <w:szCs w:val="23"/>
              </w:rPr>
              <w:t>, Treatment and Data</w:t>
            </w:r>
          </w:p>
        </w:tc>
        <w:tc>
          <w:tcPr>
            <w:tcW w:w="4820" w:type="dxa"/>
            <w:tcBorders>
              <w:top w:val="single" w:sz="8" w:space="0" w:color="4F81BD"/>
              <w:left w:val="single" w:sz="8" w:space="0" w:color="4F81BD"/>
              <w:bottom w:val="single" w:sz="8" w:space="0" w:color="4F81BD"/>
              <w:right w:val="single" w:sz="8" w:space="0" w:color="4F81BD"/>
            </w:tcBorders>
            <w:shd w:val="clear" w:color="auto" w:fill="FFFFFF"/>
          </w:tcPr>
          <w:p w14:paraId="493B1F21" w14:textId="77777777" w:rsidR="001F3A1F" w:rsidRPr="00FB4979" w:rsidRDefault="0090414E" w:rsidP="00103D0A">
            <w:pPr>
              <w:pStyle w:val="Heading2"/>
              <w:numPr>
                <w:ilvl w:val="0"/>
                <w:numId w:val="29"/>
              </w:numPr>
              <w:rPr>
                <w:b w:val="0"/>
                <w:color w:val="auto"/>
                <w:sz w:val="23"/>
                <w:szCs w:val="23"/>
              </w:rPr>
            </w:pPr>
            <w:r>
              <w:rPr>
                <w:b w:val="0"/>
                <w:color w:val="auto"/>
                <w:sz w:val="23"/>
                <w:szCs w:val="23"/>
              </w:rPr>
              <w:t>At least t</w:t>
            </w:r>
            <w:r w:rsidR="001F3A1F">
              <w:rPr>
                <w:b w:val="0"/>
                <w:color w:val="auto"/>
                <w:sz w:val="23"/>
                <w:szCs w:val="23"/>
              </w:rPr>
              <w:t>hree</w:t>
            </w:r>
            <w:r w:rsidR="001F3A1F" w:rsidRPr="00743507">
              <w:rPr>
                <w:b w:val="0"/>
                <w:color w:val="auto"/>
                <w:sz w:val="23"/>
                <w:szCs w:val="23"/>
              </w:rPr>
              <w:t xml:space="preserve"> </w:t>
            </w:r>
            <w:r w:rsidR="001F3A1F">
              <w:rPr>
                <w:b w:val="0"/>
                <w:color w:val="auto"/>
                <w:sz w:val="23"/>
                <w:szCs w:val="23"/>
              </w:rPr>
              <w:t xml:space="preserve">‘at-risk’ </w:t>
            </w:r>
            <w:r w:rsidR="001F3A1F" w:rsidRPr="00743507">
              <w:rPr>
                <w:b w:val="0"/>
                <w:color w:val="auto"/>
                <w:sz w:val="23"/>
                <w:szCs w:val="23"/>
              </w:rPr>
              <w:t xml:space="preserve">communities </w:t>
            </w:r>
            <w:r w:rsidR="00080EC5">
              <w:rPr>
                <w:b w:val="0"/>
                <w:color w:val="auto"/>
                <w:sz w:val="23"/>
                <w:szCs w:val="23"/>
              </w:rPr>
              <w:t xml:space="preserve">agreed by Queensland and the Commonwealth </w:t>
            </w:r>
            <w:r w:rsidR="001F3A1F" w:rsidRPr="00743507">
              <w:rPr>
                <w:b w:val="0"/>
                <w:color w:val="auto"/>
                <w:sz w:val="23"/>
                <w:szCs w:val="23"/>
              </w:rPr>
              <w:t xml:space="preserve">are screened for active trachoma in accordance with the CDNA National Guidelines for the Public Health Management of Trachoma (the Guidelines); at least 85% of 5-9 year old Aboriginal and Torres Strait Islander children in </w:t>
            </w:r>
            <w:r w:rsidR="000F7783">
              <w:rPr>
                <w:b w:val="0"/>
                <w:color w:val="auto"/>
                <w:sz w:val="23"/>
                <w:szCs w:val="23"/>
              </w:rPr>
              <w:t xml:space="preserve">the </w:t>
            </w:r>
            <w:r w:rsidR="001F3A1F">
              <w:rPr>
                <w:b w:val="0"/>
                <w:color w:val="auto"/>
                <w:sz w:val="23"/>
                <w:szCs w:val="23"/>
              </w:rPr>
              <w:t>three</w:t>
            </w:r>
            <w:r w:rsidR="001F3A1F" w:rsidRPr="00743507">
              <w:rPr>
                <w:b w:val="0"/>
                <w:color w:val="auto"/>
                <w:sz w:val="23"/>
                <w:szCs w:val="23"/>
              </w:rPr>
              <w:t xml:space="preserve"> </w:t>
            </w:r>
            <w:r w:rsidR="001F3A1F">
              <w:rPr>
                <w:b w:val="0"/>
                <w:color w:val="auto"/>
                <w:sz w:val="23"/>
                <w:szCs w:val="23"/>
              </w:rPr>
              <w:t xml:space="preserve">‘at-risk’ </w:t>
            </w:r>
            <w:r w:rsidR="001F3A1F" w:rsidRPr="00743507">
              <w:rPr>
                <w:b w:val="0"/>
                <w:color w:val="auto"/>
                <w:sz w:val="23"/>
                <w:szCs w:val="23"/>
              </w:rPr>
              <w:t>communities screened for trachoma</w:t>
            </w:r>
            <w:r w:rsidR="004B2BD1">
              <w:rPr>
                <w:b w:val="0"/>
                <w:color w:val="auto"/>
                <w:sz w:val="23"/>
                <w:szCs w:val="23"/>
              </w:rPr>
              <w:t>; and</w:t>
            </w:r>
            <w:r w:rsidR="001F3A1F" w:rsidRPr="00743507">
              <w:rPr>
                <w:b w:val="0"/>
                <w:color w:val="auto"/>
                <w:sz w:val="23"/>
                <w:szCs w:val="23"/>
              </w:rPr>
              <w:t xml:space="preserve"> </w:t>
            </w:r>
            <w:r w:rsidR="004B2BD1" w:rsidRPr="00FB4979">
              <w:rPr>
                <w:b w:val="0"/>
                <w:color w:val="auto"/>
                <w:sz w:val="23"/>
                <w:szCs w:val="23"/>
              </w:rPr>
              <w:t>a</w:t>
            </w:r>
            <w:r w:rsidR="001F3A1F" w:rsidRPr="009C497D">
              <w:rPr>
                <w:b w:val="0"/>
                <w:color w:val="auto"/>
                <w:sz w:val="23"/>
                <w:szCs w:val="23"/>
              </w:rPr>
              <w:t xml:space="preserve">t least 85% of children with active trachoma receive treatment with antibiotics and 85% of their contacts receive treatment.  Members of the household(s) of ‘active cases’ to be treated within one week of commencement of treatment. </w:t>
            </w:r>
            <w:r w:rsidR="001F3A1F" w:rsidRPr="00CD0E49">
              <w:rPr>
                <w:color w:val="auto"/>
                <w:sz w:val="23"/>
                <w:szCs w:val="23"/>
              </w:rPr>
              <w:t xml:space="preserve">Milestone payment weighting: </w:t>
            </w:r>
            <w:r w:rsidR="004B2BD1" w:rsidRPr="00CD0E49">
              <w:rPr>
                <w:color w:val="auto"/>
                <w:sz w:val="23"/>
                <w:szCs w:val="23"/>
              </w:rPr>
              <w:t>8</w:t>
            </w:r>
            <w:r w:rsidR="001F3A1F" w:rsidRPr="00CD0E49">
              <w:rPr>
                <w:color w:val="auto"/>
                <w:sz w:val="23"/>
                <w:szCs w:val="23"/>
              </w:rPr>
              <w:t>0%</w:t>
            </w:r>
          </w:p>
          <w:p w14:paraId="7C261F9C" w14:textId="77777777" w:rsidR="001F3A1F" w:rsidRPr="00853767" w:rsidRDefault="001F3A1F" w:rsidP="00F90849">
            <w:pPr>
              <w:pStyle w:val="Heading2"/>
              <w:numPr>
                <w:ilvl w:val="0"/>
                <w:numId w:val="29"/>
              </w:numPr>
              <w:rPr>
                <w:b w:val="0"/>
                <w:color w:val="auto"/>
                <w:sz w:val="23"/>
                <w:szCs w:val="23"/>
              </w:rPr>
            </w:pPr>
            <w:r w:rsidRPr="00853767">
              <w:rPr>
                <w:b w:val="0"/>
                <w:color w:val="auto"/>
                <w:sz w:val="23"/>
                <w:szCs w:val="23"/>
              </w:rPr>
              <w:t>100% children screened assessed for clean faces</w:t>
            </w:r>
            <w:r w:rsidR="00B2019C">
              <w:rPr>
                <w:b w:val="0"/>
                <w:color w:val="auto"/>
                <w:sz w:val="23"/>
                <w:szCs w:val="23"/>
              </w:rPr>
              <w:t xml:space="preserve"> (absence of nasal and ocular discharge on the face – a risk factor for trachoma)</w:t>
            </w:r>
            <w:r w:rsidRPr="00853767">
              <w:rPr>
                <w:b w:val="0"/>
                <w:color w:val="auto"/>
                <w:sz w:val="23"/>
                <w:szCs w:val="23"/>
              </w:rPr>
              <w:t>.</w:t>
            </w:r>
            <w:r>
              <w:rPr>
                <w:b w:val="0"/>
                <w:color w:val="auto"/>
                <w:sz w:val="23"/>
                <w:szCs w:val="23"/>
              </w:rPr>
              <w:t xml:space="preserve"> </w:t>
            </w:r>
            <w:r w:rsidRPr="003600B7">
              <w:rPr>
                <w:color w:val="auto"/>
                <w:sz w:val="23"/>
                <w:szCs w:val="23"/>
              </w:rPr>
              <w:t>Milestone payment weighting: 10%</w:t>
            </w:r>
          </w:p>
          <w:p w14:paraId="5D978FB8" w14:textId="77777777" w:rsidR="001F3A1F" w:rsidRPr="00853767" w:rsidRDefault="001F3A1F" w:rsidP="00F90849">
            <w:pPr>
              <w:pStyle w:val="Heading2"/>
              <w:numPr>
                <w:ilvl w:val="0"/>
                <w:numId w:val="29"/>
              </w:numPr>
              <w:rPr>
                <w:b w:val="0"/>
                <w:color w:val="auto"/>
                <w:sz w:val="23"/>
                <w:szCs w:val="23"/>
              </w:rPr>
            </w:pPr>
            <w:r w:rsidRPr="005850AF">
              <w:rPr>
                <w:b w:val="0"/>
                <w:color w:val="auto"/>
                <w:sz w:val="23"/>
                <w:szCs w:val="23"/>
              </w:rPr>
              <w:t>Timely, accurate, reliable and complete trachoma program data (including prevalence data, screening and treatment coverage data, and data on related activities) pr</w:t>
            </w:r>
            <w:r>
              <w:rPr>
                <w:b w:val="0"/>
                <w:color w:val="auto"/>
                <w:sz w:val="23"/>
                <w:szCs w:val="23"/>
              </w:rPr>
              <w:t xml:space="preserve">ovided to the National Trachoma Surveillance and Reporting Unit by 27 May 2016, unless otherwise negotiated. </w:t>
            </w:r>
            <w:r w:rsidRPr="003600B7">
              <w:rPr>
                <w:color w:val="auto"/>
                <w:sz w:val="23"/>
                <w:szCs w:val="23"/>
              </w:rPr>
              <w:t>Milestone payment weighting: 10%</w:t>
            </w:r>
          </w:p>
        </w:tc>
        <w:tc>
          <w:tcPr>
            <w:tcW w:w="1417" w:type="dxa"/>
            <w:tcBorders>
              <w:top w:val="single" w:sz="8" w:space="0" w:color="4F81BD"/>
              <w:left w:val="single" w:sz="8" w:space="0" w:color="4F81BD"/>
              <w:bottom w:val="single" w:sz="8" w:space="0" w:color="4F81BD"/>
              <w:right w:val="single" w:sz="8" w:space="0" w:color="4F81BD"/>
            </w:tcBorders>
            <w:shd w:val="clear" w:color="auto" w:fill="FFFFFF"/>
          </w:tcPr>
          <w:p w14:paraId="1A715CD7" w14:textId="77777777" w:rsidR="001F3A1F" w:rsidRPr="00C16002" w:rsidRDefault="001F3A1F" w:rsidP="0055553B">
            <w:pPr>
              <w:pStyle w:val="Heading2"/>
              <w:spacing w:before="0" w:after="480"/>
              <w:rPr>
                <w:b w:val="0"/>
                <w:color w:val="auto"/>
                <w:sz w:val="23"/>
                <w:szCs w:val="23"/>
              </w:rPr>
            </w:pPr>
            <w:r>
              <w:rPr>
                <w:b w:val="0"/>
                <w:color w:val="auto"/>
                <w:sz w:val="23"/>
                <w:szCs w:val="23"/>
              </w:rPr>
              <w:t>27/05/2016</w:t>
            </w:r>
          </w:p>
        </w:tc>
        <w:tc>
          <w:tcPr>
            <w:tcW w:w="1418" w:type="dxa"/>
            <w:tcBorders>
              <w:top w:val="single" w:sz="8" w:space="0" w:color="4F81BD"/>
              <w:left w:val="single" w:sz="8" w:space="0" w:color="4F81BD"/>
              <w:bottom w:val="single" w:sz="8" w:space="0" w:color="4F81BD"/>
              <w:right w:val="single" w:sz="8" w:space="0" w:color="4F81BD"/>
            </w:tcBorders>
            <w:shd w:val="clear" w:color="auto" w:fill="FFFFFF"/>
          </w:tcPr>
          <w:p w14:paraId="0A03532A" w14:textId="77777777" w:rsidR="001F3A1F" w:rsidRPr="00853767" w:rsidRDefault="001F3A1F" w:rsidP="0055553B">
            <w:pPr>
              <w:rPr>
                <w:bCs/>
                <w:iCs/>
              </w:rPr>
            </w:pPr>
            <w:r>
              <w:rPr>
                <w:bCs/>
                <w:iCs/>
              </w:rPr>
              <w:t>1/07/2015 – 30/06/2016</w:t>
            </w:r>
          </w:p>
        </w:tc>
        <w:tc>
          <w:tcPr>
            <w:tcW w:w="1134" w:type="dxa"/>
            <w:tcBorders>
              <w:top w:val="single" w:sz="8" w:space="0" w:color="4F81BD"/>
              <w:left w:val="single" w:sz="8" w:space="0" w:color="4F81BD"/>
              <w:bottom w:val="single" w:sz="8" w:space="0" w:color="4F81BD"/>
              <w:right w:val="single" w:sz="8" w:space="0" w:color="4F81BD"/>
            </w:tcBorders>
            <w:shd w:val="clear" w:color="auto" w:fill="FFFFFF"/>
          </w:tcPr>
          <w:p w14:paraId="3C9A286E" w14:textId="77777777" w:rsidR="001F3A1F" w:rsidRPr="00853767" w:rsidRDefault="001F3A1F" w:rsidP="0055553B">
            <w:pPr>
              <w:pStyle w:val="Heading2"/>
              <w:spacing w:before="0" w:after="480"/>
              <w:rPr>
                <w:b w:val="0"/>
                <w:color w:val="auto"/>
                <w:sz w:val="23"/>
                <w:szCs w:val="23"/>
              </w:rPr>
            </w:pPr>
            <w:r>
              <w:rPr>
                <w:b w:val="0"/>
                <w:color w:val="auto"/>
                <w:sz w:val="23"/>
                <w:szCs w:val="23"/>
              </w:rPr>
              <w:t>$0.050m</w:t>
            </w:r>
          </w:p>
        </w:tc>
      </w:tr>
    </w:tbl>
    <w:p w14:paraId="0DE2DD8D" w14:textId="77777777" w:rsidR="001F3A1F" w:rsidRPr="002F20DA" w:rsidRDefault="001F3A1F" w:rsidP="001F3A1F">
      <w:pPr>
        <w:pStyle w:val="Normalnumbered"/>
        <w:numPr>
          <w:ilvl w:val="0"/>
          <w:numId w:val="0"/>
        </w:numPr>
        <w:rPr>
          <w:b/>
        </w:rPr>
      </w:pPr>
    </w:p>
    <w:tbl>
      <w:tblPr>
        <w:tblW w:w="1017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242"/>
        <w:gridCol w:w="4820"/>
        <w:gridCol w:w="1417"/>
        <w:gridCol w:w="1418"/>
        <w:gridCol w:w="1276"/>
      </w:tblGrid>
      <w:tr w:rsidR="001F3A1F" w:rsidRPr="00C26C5B" w14:paraId="2556BBA0" w14:textId="77777777" w:rsidTr="001F3A1F">
        <w:trPr>
          <w:trHeight w:val="830"/>
        </w:trPr>
        <w:tc>
          <w:tcPr>
            <w:tcW w:w="1242" w:type="dxa"/>
            <w:tcBorders>
              <w:bottom w:val="single" w:sz="18" w:space="0" w:color="4F81BD"/>
            </w:tcBorders>
          </w:tcPr>
          <w:p w14:paraId="535A1F92" w14:textId="77777777" w:rsidR="001F3A1F" w:rsidRPr="00C26C5B" w:rsidRDefault="001F3A1F" w:rsidP="0055553B">
            <w:pPr>
              <w:pStyle w:val="Heading2"/>
              <w:rPr>
                <w:bCs w:val="0"/>
                <w:sz w:val="24"/>
                <w:szCs w:val="24"/>
              </w:rPr>
            </w:pPr>
            <w:r w:rsidRPr="00C26C5B">
              <w:rPr>
                <w:bCs w:val="0"/>
                <w:sz w:val="24"/>
                <w:szCs w:val="24"/>
              </w:rPr>
              <w:lastRenderedPageBreak/>
              <w:t>Output</w:t>
            </w:r>
          </w:p>
        </w:tc>
        <w:tc>
          <w:tcPr>
            <w:tcW w:w="4820" w:type="dxa"/>
            <w:tcBorders>
              <w:bottom w:val="single" w:sz="18" w:space="0" w:color="4F81BD"/>
            </w:tcBorders>
          </w:tcPr>
          <w:p w14:paraId="437A15F8" w14:textId="77777777" w:rsidR="001F3A1F" w:rsidRPr="00C26C5B" w:rsidRDefault="001F3A1F" w:rsidP="0055553B">
            <w:pPr>
              <w:pStyle w:val="Heading2"/>
              <w:rPr>
                <w:bCs w:val="0"/>
                <w:sz w:val="24"/>
                <w:szCs w:val="24"/>
              </w:rPr>
            </w:pPr>
            <w:r w:rsidRPr="00C26C5B">
              <w:rPr>
                <w:bCs w:val="0"/>
                <w:sz w:val="24"/>
                <w:szCs w:val="24"/>
              </w:rPr>
              <w:t>Milestone</w:t>
            </w:r>
            <w:r w:rsidRPr="00BA4BEA">
              <w:rPr>
                <w:bCs w:val="0"/>
                <w:sz w:val="24"/>
                <w:szCs w:val="24"/>
              </w:rPr>
              <w:t>s</w:t>
            </w:r>
          </w:p>
        </w:tc>
        <w:tc>
          <w:tcPr>
            <w:tcW w:w="1417" w:type="dxa"/>
            <w:tcBorders>
              <w:bottom w:val="single" w:sz="18" w:space="0" w:color="4F81BD"/>
            </w:tcBorders>
          </w:tcPr>
          <w:p w14:paraId="3DA998DF" w14:textId="77777777" w:rsidR="001F3A1F" w:rsidRPr="00C26C5B" w:rsidRDefault="001F3A1F" w:rsidP="0055553B">
            <w:pPr>
              <w:pStyle w:val="Heading2"/>
              <w:rPr>
                <w:bCs w:val="0"/>
                <w:sz w:val="24"/>
                <w:szCs w:val="24"/>
              </w:rPr>
            </w:pPr>
            <w:r w:rsidRPr="00C26C5B">
              <w:rPr>
                <w:bCs w:val="0"/>
                <w:sz w:val="24"/>
                <w:szCs w:val="24"/>
              </w:rPr>
              <w:t>Date due</w:t>
            </w:r>
          </w:p>
        </w:tc>
        <w:tc>
          <w:tcPr>
            <w:tcW w:w="1418" w:type="dxa"/>
            <w:tcBorders>
              <w:bottom w:val="single" w:sz="18" w:space="0" w:color="4F81BD"/>
            </w:tcBorders>
          </w:tcPr>
          <w:p w14:paraId="2E5A6B52" w14:textId="77777777" w:rsidR="001F3A1F" w:rsidRPr="00974706" w:rsidRDefault="001F3A1F" w:rsidP="0055553B">
            <w:pPr>
              <w:pStyle w:val="Heading2"/>
              <w:rPr>
                <w:bCs w:val="0"/>
                <w:sz w:val="24"/>
                <w:szCs w:val="24"/>
              </w:rPr>
            </w:pPr>
            <w:r w:rsidRPr="00C26C5B">
              <w:rPr>
                <w:bCs w:val="0"/>
                <w:sz w:val="24"/>
                <w:szCs w:val="24"/>
              </w:rPr>
              <w:t xml:space="preserve">Relevant Report </w:t>
            </w:r>
            <w:r>
              <w:rPr>
                <w:bCs w:val="0"/>
                <w:sz w:val="24"/>
                <w:szCs w:val="24"/>
              </w:rPr>
              <w:t>period</w:t>
            </w:r>
          </w:p>
        </w:tc>
        <w:tc>
          <w:tcPr>
            <w:tcW w:w="1276" w:type="dxa"/>
            <w:tcBorders>
              <w:bottom w:val="single" w:sz="18" w:space="0" w:color="4F81BD"/>
            </w:tcBorders>
          </w:tcPr>
          <w:p w14:paraId="5DD3E721" w14:textId="77777777" w:rsidR="001F3A1F" w:rsidRPr="00C26C5B" w:rsidRDefault="001F3A1F" w:rsidP="0055553B">
            <w:pPr>
              <w:pStyle w:val="Heading2"/>
              <w:rPr>
                <w:bCs w:val="0"/>
                <w:sz w:val="24"/>
                <w:szCs w:val="24"/>
              </w:rPr>
            </w:pPr>
            <w:r w:rsidRPr="00C26C5B">
              <w:rPr>
                <w:bCs w:val="0"/>
                <w:sz w:val="24"/>
                <w:szCs w:val="24"/>
              </w:rPr>
              <w:t>Payment</w:t>
            </w:r>
          </w:p>
        </w:tc>
      </w:tr>
      <w:tr w:rsidR="001F3A1F" w:rsidRPr="00C26C5B" w14:paraId="0B12989F" w14:textId="77777777" w:rsidTr="001F3A1F">
        <w:trPr>
          <w:trHeight w:val="4145"/>
        </w:trPr>
        <w:tc>
          <w:tcPr>
            <w:tcW w:w="1242" w:type="dxa"/>
            <w:shd w:val="clear" w:color="auto" w:fill="FFFFFF"/>
          </w:tcPr>
          <w:p w14:paraId="0B68AC6A" w14:textId="77777777" w:rsidR="001F3A1F" w:rsidRPr="007D55A7" w:rsidRDefault="001F3A1F" w:rsidP="001F3A1F">
            <w:pPr>
              <w:pStyle w:val="Heading2"/>
              <w:spacing w:after="0"/>
              <w:rPr>
                <w:b w:val="0"/>
                <w:bCs w:val="0"/>
                <w:color w:val="auto"/>
                <w:sz w:val="23"/>
                <w:szCs w:val="23"/>
              </w:rPr>
            </w:pPr>
            <w:r>
              <w:rPr>
                <w:b w:val="0"/>
                <w:bCs w:val="0"/>
                <w:color w:val="auto"/>
                <w:sz w:val="23"/>
                <w:szCs w:val="23"/>
              </w:rPr>
              <w:t>Screening, Treatment and Data</w:t>
            </w:r>
          </w:p>
        </w:tc>
        <w:tc>
          <w:tcPr>
            <w:tcW w:w="4820" w:type="dxa"/>
            <w:shd w:val="clear" w:color="auto" w:fill="FFFFFF"/>
          </w:tcPr>
          <w:p w14:paraId="49AB1654" w14:textId="77777777" w:rsidR="001F3A1F" w:rsidRPr="004B2BD1" w:rsidRDefault="00EE368C" w:rsidP="00103D0A">
            <w:pPr>
              <w:pStyle w:val="Heading2"/>
              <w:ind w:left="360" w:hanging="326"/>
              <w:rPr>
                <w:b w:val="0"/>
                <w:color w:val="auto"/>
                <w:sz w:val="23"/>
                <w:szCs w:val="23"/>
              </w:rPr>
            </w:pPr>
            <w:r>
              <w:rPr>
                <w:b w:val="0"/>
                <w:color w:val="auto"/>
                <w:sz w:val="23"/>
                <w:szCs w:val="23"/>
              </w:rPr>
              <w:t xml:space="preserve">(a) </w:t>
            </w:r>
            <w:r w:rsidR="00103D0A">
              <w:rPr>
                <w:b w:val="0"/>
                <w:color w:val="auto"/>
                <w:sz w:val="23"/>
                <w:szCs w:val="23"/>
              </w:rPr>
              <w:t xml:space="preserve"> </w:t>
            </w:r>
            <w:r w:rsidR="0090414E">
              <w:rPr>
                <w:b w:val="0"/>
                <w:color w:val="auto"/>
                <w:sz w:val="23"/>
                <w:szCs w:val="23"/>
              </w:rPr>
              <w:t>At least t</w:t>
            </w:r>
            <w:r w:rsidR="001F3A1F" w:rsidRPr="004B2BD1">
              <w:rPr>
                <w:b w:val="0"/>
                <w:color w:val="auto"/>
                <w:sz w:val="23"/>
                <w:szCs w:val="23"/>
              </w:rPr>
              <w:t>hree ‘at-risk’ communities</w:t>
            </w:r>
            <w:r w:rsidR="00103D0A">
              <w:rPr>
                <w:b w:val="0"/>
                <w:color w:val="auto"/>
                <w:sz w:val="23"/>
                <w:szCs w:val="23"/>
              </w:rPr>
              <w:t xml:space="preserve"> </w:t>
            </w:r>
            <w:r w:rsidR="009D6D07">
              <w:rPr>
                <w:b w:val="0"/>
                <w:color w:val="auto"/>
                <w:sz w:val="23"/>
                <w:szCs w:val="23"/>
              </w:rPr>
              <w:t xml:space="preserve">agreed by Queensland and the Commonwealth </w:t>
            </w:r>
            <w:r w:rsidR="001F3A1F" w:rsidRPr="004B2BD1">
              <w:rPr>
                <w:b w:val="0"/>
                <w:color w:val="auto"/>
                <w:sz w:val="23"/>
                <w:szCs w:val="23"/>
              </w:rPr>
              <w:t xml:space="preserve">are screened for active trachoma in accordance with the CDNA National Guidelines for the Public Health Management of Trachoma (the Guidelines); at least 85% of 5-9 year old Aboriginal and Torres Strait Islander children in </w:t>
            </w:r>
            <w:r w:rsidR="00236117">
              <w:rPr>
                <w:b w:val="0"/>
                <w:color w:val="auto"/>
                <w:sz w:val="23"/>
                <w:szCs w:val="23"/>
              </w:rPr>
              <w:t xml:space="preserve">the </w:t>
            </w:r>
            <w:r w:rsidR="001F3A1F" w:rsidRPr="00075B94">
              <w:rPr>
                <w:b w:val="0"/>
                <w:color w:val="auto"/>
                <w:sz w:val="23"/>
                <w:szCs w:val="23"/>
              </w:rPr>
              <w:t>three ‘at-risk’ communities screened for trachoma</w:t>
            </w:r>
            <w:r w:rsidR="004B2BD1">
              <w:rPr>
                <w:b w:val="0"/>
                <w:color w:val="auto"/>
                <w:sz w:val="23"/>
                <w:szCs w:val="23"/>
              </w:rPr>
              <w:t>; and</w:t>
            </w:r>
            <w:r w:rsidR="001F3A1F" w:rsidRPr="004B2BD1">
              <w:rPr>
                <w:b w:val="0"/>
                <w:color w:val="auto"/>
                <w:sz w:val="23"/>
                <w:szCs w:val="23"/>
              </w:rPr>
              <w:t xml:space="preserve"> </w:t>
            </w:r>
            <w:r w:rsidR="004B2BD1">
              <w:rPr>
                <w:b w:val="0"/>
                <w:color w:val="auto"/>
                <w:sz w:val="23"/>
                <w:szCs w:val="23"/>
              </w:rPr>
              <w:t>a</w:t>
            </w:r>
            <w:r w:rsidR="001F3A1F" w:rsidRPr="004B2BD1">
              <w:rPr>
                <w:b w:val="0"/>
                <w:color w:val="auto"/>
                <w:sz w:val="23"/>
                <w:szCs w:val="23"/>
              </w:rPr>
              <w:t>t least 85% of children with active trachoma receive treatment with antibiotics and 85% of their contacts receive treatment.  Members of the household(s) of ‘active cases’ to be treated within one week of commencement of treatment</w:t>
            </w:r>
            <w:r w:rsidR="00103D0A">
              <w:rPr>
                <w:b w:val="0"/>
                <w:color w:val="auto"/>
                <w:sz w:val="23"/>
                <w:szCs w:val="23"/>
              </w:rPr>
              <w:t xml:space="preserve">. </w:t>
            </w:r>
            <w:r w:rsidR="001F3A1F" w:rsidRPr="004B2BD1">
              <w:rPr>
                <w:color w:val="auto"/>
                <w:sz w:val="23"/>
                <w:szCs w:val="23"/>
              </w:rPr>
              <w:t xml:space="preserve">Milestone payment weighting: </w:t>
            </w:r>
            <w:r w:rsidR="004B2BD1">
              <w:rPr>
                <w:color w:val="auto"/>
                <w:sz w:val="23"/>
                <w:szCs w:val="23"/>
              </w:rPr>
              <w:t>8</w:t>
            </w:r>
            <w:r w:rsidR="001F3A1F" w:rsidRPr="004B2BD1">
              <w:rPr>
                <w:color w:val="auto"/>
                <w:sz w:val="23"/>
                <w:szCs w:val="23"/>
              </w:rPr>
              <w:t>0%</w:t>
            </w:r>
          </w:p>
          <w:p w14:paraId="43847AB8" w14:textId="77777777" w:rsidR="001F3A1F" w:rsidRDefault="00EE368C" w:rsidP="00103D0A">
            <w:pPr>
              <w:pStyle w:val="Heading2"/>
              <w:ind w:left="360" w:hanging="326"/>
              <w:rPr>
                <w:color w:val="auto"/>
                <w:sz w:val="23"/>
                <w:szCs w:val="23"/>
              </w:rPr>
            </w:pPr>
            <w:r>
              <w:rPr>
                <w:b w:val="0"/>
                <w:color w:val="auto"/>
                <w:sz w:val="23"/>
                <w:szCs w:val="23"/>
              </w:rPr>
              <w:t xml:space="preserve">(b) </w:t>
            </w:r>
            <w:r w:rsidR="001F3A1F" w:rsidRPr="00D40BEB">
              <w:rPr>
                <w:b w:val="0"/>
                <w:color w:val="auto"/>
                <w:sz w:val="23"/>
                <w:szCs w:val="23"/>
              </w:rPr>
              <w:t xml:space="preserve">100% children screened assessed for clean faces. </w:t>
            </w:r>
            <w:r w:rsidR="001F3A1F" w:rsidRPr="00D40BEB">
              <w:rPr>
                <w:color w:val="auto"/>
                <w:sz w:val="23"/>
                <w:szCs w:val="23"/>
              </w:rPr>
              <w:t>Milestone payment weighting: 10%</w:t>
            </w:r>
          </w:p>
          <w:p w14:paraId="4C64B564" w14:textId="77777777" w:rsidR="001F3A1F" w:rsidRPr="00D40BEB" w:rsidRDefault="00EE368C" w:rsidP="00103D0A">
            <w:pPr>
              <w:pStyle w:val="Heading2"/>
              <w:ind w:left="360" w:hanging="326"/>
              <w:rPr>
                <w:b w:val="0"/>
              </w:rPr>
            </w:pPr>
            <w:r>
              <w:rPr>
                <w:b w:val="0"/>
                <w:color w:val="auto"/>
                <w:sz w:val="23"/>
                <w:szCs w:val="23"/>
              </w:rPr>
              <w:t xml:space="preserve">(c) </w:t>
            </w:r>
            <w:r w:rsidR="001F3A1F" w:rsidRPr="00D40BEB">
              <w:rPr>
                <w:b w:val="0"/>
                <w:color w:val="auto"/>
                <w:sz w:val="23"/>
                <w:szCs w:val="23"/>
              </w:rPr>
              <w:t xml:space="preserve">Timely, accurate, reliable and complete trachoma program data (including prevalence data, screening and treatment coverage data, and data on related activities) provided to the National Trachoma Surveillance and Reporting Unit by </w:t>
            </w:r>
            <w:r w:rsidR="001F3A1F" w:rsidRPr="006A1C01">
              <w:rPr>
                <w:b w:val="0"/>
                <w:color w:val="auto"/>
                <w:sz w:val="23"/>
                <w:szCs w:val="23"/>
              </w:rPr>
              <w:t>26 May 2017</w:t>
            </w:r>
            <w:r w:rsidR="001F3A1F" w:rsidRPr="00D40BEB">
              <w:rPr>
                <w:b w:val="0"/>
                <w:color w:val="auto"/>
                <w:sz w:val="23"/>
                <w:szCs w:val="23"/>
              </w:rPr>
              <w:t>, unless otherwise negotiated.</w:t>
            </w:r>
            <w:r w:rsidR="001F3A1F">
              <w:rPr>
                <w:b w:val="0"/>
                <w:color w:val="auto"/>
                <w:sz w:val="23"/>
                <w:szCs w:val="23"/>
              </w:rPr>
              <w:t xml:space="preserve"> </w:t>
            </w:r>
            <w:r w:rsidR="001F3A1F" w:rsidRPr="003600B7">
              <w:rPr>
                <w:color w:val="auto"/>
                <w:sz w:val="23"/>
                <w:szCs w:val="23"/>
              </w:rPr>
              <w:t>Milestone payment weighting: 10%</w:t>
            </w:r>
          </w:p>
        </w:tc>
        <w:tc>
          <w:tcPr>
            <w:tcW w:w="1417" w:type="dxa"/>
            <w:shd w:val="clear" w:color="auto" w:fill="FFFFFF"/>
          </w:tcPr>
          <w:p w14:paraId="4E8FA148" w14:textId="77777777" w:rsidR="001F3A1F" w:rsidRPr="000E365A" w:rsidRDefault="001F3A1F" w:rsidP="0055553B">
            <w:pPr>
              <w:pStyle w:val="Heading2"/>
              <w:spacing w:before="0" w:after="480"/>
              <w:rPr>
                <w:b w:val="0"/>
                <w:color w:val="auto"/>
                <w:sz w:val="23"/>
                <w:szCs w:val="23"/>
              </w:rPr>
            </w:pPr>
            <w:r>
              <w:rPr>
                <w:b w:val="0"/>
                <w:color w:val="auto"/>
                <w:sz w:val="23"/>
                <w:szCs w:val="23"/>
              </w:rPr>
              <w:t>26/05/2017</w:t>
            </w:r>
          </w:p>
          <w:p w14:paraId="772B2CD5" w14:textId="77777777" w:rsidR="001F3A1F" w:rsidRPr="00B72FEB" w:rsidRDefault="001F3A1F" w:rsidP="0055553B"/>
        </w:tc>
        <w:tc>
          <w:tcPr>
            <w:tcW w:w="1418" w:type="dxa"/>
            <w:shd w:val="clear" w:color="auto" w:fill="FFFFFF"/>
          </w:tcPr>
          <w:p w14:paraId="4E63D3E0" w14:textId="77777777" w:rsidR="001F3A1F" w:rsidRPr="0001634A" w:rsidRDefault="001F3A1F" w:rsidP="0055553B">
            <w:r>
              <w:t>01/07/2016-30/06/2017</w:t>
            </w:r>
          </w:p>
        </w:tc>
        <w:tc>
          <w:tcPr>
            <w:tcW w:w="1276" w:type="dxa"/>
            <w:shd w:val="clear" w:color="auto" w:fill="FFFFFF"/>
          </w:tcPr>
          <w:p w14:paraId="66C412D0" w14:textId="77777777" w:rsidR="001F3A1F" w:rsidRPr="00C26C5B" w:rsidRDefault="001F3A1F" w:rsidP="0055553B">
            <w:pPr>
              <w:pStyle w:val="Heading2"/>
              <w:spacing w:before="0" w:after="480"/>
              <w:rPr>
                <w:b w:val="0"/>
                <w:color w:val="auto"/>
                <w:sz w:val="23"/>
                <w:szCs w:val="23"/>
              </w:rPr>
            </w:pPr>
            <w:r>
              <w:rPr>
                <w:b w:val="0"/>
                <w:color w:val="auto"/>
                <w:sz w:val="23"/>
                <w:szCs w:val="23"/>
              </w:rPr>
              <w:t>$0.050m</w:t>
            </w:r>
          </w:p>
        </w:tc>
      </w:tr>
    </w:tbl>
    <w:p w14:paraId="6375C42E" w14:textId="77777777" w:rsidR="001F3A1F" w:rsidRDefault="001F3A1F" w:rsidP="001F3A1F">
      <w:pPr>
        <w:spacing w:after="0" w:line="240" w:lineRule="auto"/>
        <w:jc w:val="left"/>
        <w:rPr>
          <w:b/>
        </w:rPr>
      </w:pPr>
    </w:p>
    <w:p w14:paraId="37F4104C" w14:textId="77777777" w:rsidR="00172360" w:rsidRDefault="002E144A" w:rsidP="00453DEB">
      <w:pPr>
        <w:pStyle w:val="Normalnumbered"/>
        <w:numPr>
          <w:ilvl w:val="0"/>
          <w:numId w:val="10"/>
        </w:numPr>
      </w:pPr>
      <w:r>
        <w:t>If</w:t>
      </w:r>
      <w:r w:rsidR="00172360" w:rsidRPr="00804105">
        <w:t xml:space="preserve"> a milestone is met in advance of the due date, </w:t>
      </w:r>
      <w:r>
        <w:t xml:space="preserve">where </w:t>
      </w:r>
      <w:r w:rsidR="00172360" w:rsidRPr="00804105">
        <w:t>the relevant performance report demonstrat</w:t>
      </w:r>
      <w:r>
        <w:t>es</w:t>
      </w:r>
      <w:r w:rsidR="00172360" w:rsidRPr="00804105">
        <w:t xml:space="preserve"> </w:t>
      </w:r>
      <w:r w:rsidR="00413E74">
        <w:t xml:space="preserve">that </w:t>
      </w:r>
      <w:r w:rsidR="00172360" w:rsidRPr="00804105">
        <w:t>the milestone has been met, the Commonwealth may make the associated payment earlier than scheduled provided it falls within the same financial year as the original milestone date.</w:t>
      </w:r>
      <w:r w:rsidR="00172360">
        <w:t xml:space="preserve"> </w:t>
      </w:r>
    </w:p>
    <w:p w14:paraId="2922098E" w14:textId="77777777" w:rsidR="002444A8" w:rsidRPr="006141AC" w:rsidRDefault="00F3245D" w:rsidP="006141AC">
      <w:pPr>
        <w:pStyle w:val="Heading2"/>
      </w:pPr>
      <w:r>
        <w:t>Reporting arrangements</w:t>
      </w:r>
    </w:p>
    <w:p w14:paraId="19D54D2D" w14:textId="77777777" w:rsidR="00CE3161" w:rsidRPr="0095223D" w:rsidRDefault="00CE3161" w:rsidP="00203319">
      <w:pPr>
        <w:pStyle w:val="Normalnumbered"/>
        <w:numPr>
          <w:ilvl w:val="0"/>
          <w:numId w:val="10"/>
        </w:numPr>
        <w:tabs>
          <w:tab w:val="left" w:pos="1134"/>
        </w:tabs>
        <w:jc w:val="left"/>
      </w:pPr>
      <w:r>
        <w:t xml:space="preserve">Queensland </w:t>
      </w:r>
      <w:r w:rsidR="009E151E">
        <w:t xml:space="preserve">will </w:t>
      </w:r>
      <w:r w:rsidR="0095223D">
        <w:t xml:space="preserve">provide performance reports in accordance with </w:t>
      </w:r>
      <w:r w:rsidR="00C2605C">
        <w:t>T</w:t>
      </w:r>
      <w:r w:rsidR="0095223D">
        <w:t xml:space="preserve">able </w:t>
      </w:r>
      <w:r w:rsidR="00C2605C">
        <w:t xml:space="preserve">1 </w:t>
      </w:r>
      <w:r w:rsidR="009E151E">
        <w:t>during</w:t>
      </w:r>
      <w:r w:rsidR="00C42ACA">
        <w:t xml:space="preserve"> </w:t>
      </w:r>
      <w:r w:rsidR="009E151E">
        <w:t>t</w:t>
      </w:r>
      <w:r w:rsidR="00515AF2">
        <w:t xml:space="preserve">he operation of the Agreement.  </w:t>
      </w:r>
      <w:r>
        <w:t xml:space="preserve">Each performance report is to contain </w:t>
      </w:r>
      <w:r w:rsidR="00034006">
        <w:t xml:space="preserve">a </w:t>
      </w:r>
      <w:r>
        <w:t xml:space="preserve">description of </w:t>
      </w:r>
      <w:r w:rsidR="00BE3621">
        <w:t xml:space="preserve">Queensland’s </w:t>
      </w:r>
      <w:r>
        <w:t>actual performance in the period to date against the project milestones</w:t>
      </w:r>
      <w:r w:rsidR="002444A8">
        <w:t>.</w:t>
      </w:r>
      <w:r w:rsidR="002444A8" w:rsidDel="002444A8">
        <w:t xml:space="preserve"> </w:t>
      </w:r>
    </w:p>
    <w:p w14:paraId="26FE80DB" w14:textId="77777777" w:rsidR="00CE3161" w:rsidRPr="00500AE2" w:rsidRDefault="00CE3161" w:rsidP="00453DEB">
      <w:pPr>
        <w:pStyle w:val="Normalnumbered"/>
        <w:numPr>
          <w:ilvl w:val="0"/>
          <w:numId w:val="10"/>
        </w:numPr>
        <w:tabs>
          <w:tab w:val="left" w:pos="1134"/>
        </w:tabs>
        <w:jc w:val="left"/>
      </w:pPr>
      <w:r>
        <w:rPr>
          <w:szCs w:val="23"/>
        </w:rPr>
        <w:t xml:space="preserve">If </w:t>
      </w:r>
      <w:r w:rsidR="00EF488F">
        <w:rPr>
          <w:szCs w:val="23"/>
        </w:rPr>
        <w:t xml:space="preserve">Queensland </w:t>
      </w:r>
      <w:r>
        <w:t xml:space="preserve">does not achieve one or more trachoma screening and/or treatment performance milestones in full due to circumstances </w:t>
      </w:r>
      <w:r>
        <w:rPr>
          <w:szCs w:val="22"/>
        </w:rPr>
        <w:t xml:space="preserve">beyond </w:t>
      </w:r>
      <w:r>
        <w:rPr>
          <w:szCs w:val="23"/>
        </w:rPr>
        <w:t>its</w:t>
      </w:r>
      <w:r>
        <w:rPr>
          <w:szCs w:val="22"/>
        </w:rPr>
        <w:t xml:space="preserve"> control or circumstances not anticipated at the time of signing the Project</w:t>
      </w:r>
      <w:r w:rsidRPr="00A90A97">
        <w:rPr>
          <w:szCs w:val="22"/>
        </w:rPr>
        <w:t xml:space="preserve"> </w:t>
      </w:r>
      <w:r>
        <w:rPr>
          <w:szCs w:val="22"/>
        </w:rPr>
        <w:t xml:space="preserve">Agreement, the Commonwealth may provide a partial payment to </w:t>
      </w:r>
      <w:r w:rsidR="00BE3621">
        <w:rPr>
          <w:szCs w:val="22"/>
        </w:rPr>
        <w:t>Queensland</w:t>
      </w:r>
      <w:r>
        <w:rPr>
          <w:szCs w:val="22"/>
        </w:rPr>
        <w:t xml:space="preserve">.  </w:t>
      </w:r>
    </w:p>
    <w:p w14:paraId="0CA20C4E" w14:textId="77777777" w:rsidR="00CE3161" w:rsidRDefault="00CE3161" w:rsidP="00453DEB">
      <w:pPr>
        <w:pStyle w:val="AlphaParagraph"/>
        <w:numPr>
          <w:ilvl w:val="0"/>
          <w:numId w:val="23"/>
        </w:numPr>
        <w:tabs>
          <w:tab w:val="clear" w:pos="567"/>
          <w:tab w:val="clear" w:pos="1418"/>
          <w:tab w:val="clear" w:pos="1701"/>
        </w:tabs>
        <w:ind w:left="1134" w:hanging="567"/>
      </w:pPr>
      <w:r>
        <w:t>The Commonwealth will only consider making a partial payment if:</w:t>
      </w:r>
    </w:p>
    <w:p w14:paraId="3FBECF66" w14:textId="77777777" w:rsidR="00CE3161" w:rsidRDefault="00BE3621" w:rsidP="00F90849">
      <w:pPr>
        <w:pStyle w:val="AlphaParagraph"/>
        <w:numPr>
          <w:ilvl w:val="2"/>
          <w:numId w:val="31"/>
        </w:numPr>
        <w:tabs>
          <w:tab w:val="clear" w:pos="283"/>
          <w:tab w:val="clear" w:pos="567"/>
          <w:tab w:val="clear" w:pos="1134"/>
          <w:tab w:val="clear" w:pos="1418"/>
        </w:tabs>
      </w:pPr>
      <w:r>
        <w:lastRenderedPageBreak/>
        <w:t>Queensland</w:t>
      </w:r>
      <w:r w:rsidR="00CE3161">
        <w:t xml:space="preserve"> is able to demonstrate that it implemented adequate and appropriate arrangements that would have achieved the relevant performance milestone but for those circumstances;</w:t>
      </w:r>
    </w:p>
    <w:p w14:paraId="16274556" w14:textId="77777777" w:rsidR="00CE3161" w:rsidRDefault="00CE3161" w:rsidP="00F90849">
      <w:pPr>
        <w:pStyle w:val="AlphaParagraph"/>
        <w:numPr>
          <w:ilvl w:val="2"/>
          <w:numId w:val="31"/>
        </w:numPr>
        <w:tabs>
          <w:tab w:val="clear" w:pos="283"/>
          <w:tab w:val="clear" w:pos="567"/>
          <w:tab w:val="clear" w:pos="1134"/>
          <w:tab w:val="clear" w:pos="1418"/>
        </w:tabs>
      </w:pPr>
      <w:r>
        <w:t>at least 70 per cent of each of the performance milestones has been met; and</w:t>
      </w:r>
    </w:p>
    <w:p w14:paraId="7B9BC071" w14:textId="77777777" w:rsidR="00CE3161" w:rsidRDefault="00BE3621" w:rsidP="00F90849">
      <w:pPr>
        <w:pStyle w:val="AlphaParagraph"/>
        <w:numPr>
          <w:ilvl w:val="2"/>
          <w:numId w:val="31"/>
        </w:numPr>
        <w:tabs>
          <w:tab w:val="clear" w:pos="283"/>
          <w:tab w:val="clear" w:pos="567"/>
          <w:tab w:val="clear" w:pos="1134"/>
          <w:tab w:val="clear" w:pos="1418"/>
        </w:tabs>
      </w:pPr>
      <w:r>
        <w:t>Queensland</w:t>
      </w:r>
      <w:r w:rsidR="00CE3161">
        <w:t xml:space="preserve"> has submitted a satisfactory performance report.</w:t>
      </w:r>
    </w:p>
    <w:p w14:paraId="2132A4D7" w14:textId="77777777" w:rsidR="00CE3161" w:rsidRDefault="00CE3161" w:rsidP="00453DEB">
      <w:pPr>
        <w:pStyle w:val="AlphaParagraph"/>
        <w:numPr>
          <w:ilvl w:val="0"/>
          <w:numId w:val="23"/>
        </w:numPr>
        <w:tabs>
          <w:tab w:val="clear" w:pos="567"/>
          <w:tab w:val="clear" w:pos="1418"/>
          <w:tab w:val="clear" w:pos="1701"/>
        </w:tabs>
        <w:ind w:left="1134" w:hanging="567"/>
      </w:pPr>
      <w:r w:rsidRPr="004C36D4">
        <w:t>Where</w:t>
      </w:r>
      <w:r>
        <w:t xml:space="preserve"> a </w:t>
      </w:r>
      <w:r w:rsidRPr="004C36D4">
        <w:t>partial payment</w:t>
      </w:r>
      <w:r>
        <w:t xml:space="preserve"> is made, the amount </w:t>
      </w:r>
      <w:r w:rsidRPr="004C36D4">
        <w:t xml:space="preserve">will be calculated based on the proportion of each </w:t>
      </w:r>
      <w:r>
        <w:t>milestone</w:t>
      </w:r>
      <w:r w:rsidRPr="004C36D4">
        <w:t xml:space="preserve"> achieved and in accordance with </w:t>
      </w:r>
      <w:r>
        <w:t>its</w:t>
      </w:r>
      <w:r w:rsidRPr="004C36D4">
        <w:t xml:space="preserve"> </w:t>
      </w:r>
      <w:r>
        <w:t xml:space="preserve">payment </w:t>
      </w:r>
      <w:r w:rsidRPr="004C36D4">
        <w:t>weighting.</w:t>
      </w:r>
      <w:r>
        <w:t xml:space="preserve"> </w:t>
      </w:r>
      <w:r w:rsidRPr="004C36D4">
        <w:t xml:space="preserve">Payment will be made pro rata </w:t>
      </w:r>
      <w:r>
        <w:t>based on achievement above 70 per cent.</w:t>
      </w:r>
    </w:p>
    <w:p w14:paraId="2EEA9443" w14:textId="77777777" w:rsidR="008E7527" w:rsidRDefault="008E7527" w:rsidP="009E093C">
      <w:pPr>
        <w:pStyle w:val="Heading1"/>
      </w:pPr>
      <w:r>
        <w:t>Part 5</w:t>
      </w:r>
      <w:r w:rsidRPr="00751725">
        <w:t xml:space="preserve"> — financial arrangements</w:t>
      </w:r>
    </w:p>
    <w:p w14:paraId="7846A51B" w14:textId="77777777" w:rsidR="00EF488F" w:rsidRDefault="00EF488F" w:rsidP="00453DEB">
      <w:pPr>
        <w:pStyle w:val="Normalnumbered"/>
        <w:numPr>
          <w:ilvl w:val="0"/>
          <w:numId w:val="10"/>
        </w:numPr>
        <w:jc w:val="left"/>
      </w:pPr>
      <w:r w:rsidRPr="000E48C3">
        <w:t xml:space="preserve">The Commonwealth will </w:t>
      </w:r>
      <w:r>
        <w:t>provide</w:t>
      </w:r>
      <w:r w:rsidRPr="000E48C3">
        <w:t xml:space="preserve"> a</w:t>
      </w:r>
      <w:r w:rsidR="00034006">
        <w:t>n estimated</w:t>
      </w:r>
      <w:r>
        <w:t xml:space="preserve"> total</w:t>
      </w:r>
      <w:r w:rsidRPr="000E48C3">
        <w:t xml:space="preserve"> financial contribution to </w:t>
      </w:r>
      <w:r w:rsidR="00A85A80">
        <w:t xml:space="preserve">Queensland </w:t>
      </w:r>
      <w:r>
        <w:t xml:space="preserve">of </w:t>
      </w:r>
      <w:r w:rsidR="00A85A80">
        <w:t xml:space="preserve">$0.1 </w:t>
      </w:r>
      <w:r w:rsidRPr="001762BD">
        <w:t>million</w:t>
      </w:r>
      <w:r>
        <w:t xml:space="preserve"> in respect of this Agreement. </w:t>
      </w:r>
      <w:r w:rsidRPr="000E48C3">
        <w:t xml:space="preserve"> </w:t>
      </w:r>
      <w:r>
        <w:t>All payments are GST exclusive.</w:t>
      </w:r>
    </w:p>
    <w:p w14:paraId="4938E3AF" w14:textId="77777777" w:rsidR="00EF488F" w:rsidRDefault="00EF488F" w:rsidP="00453DEB">
      <w:pPr>
        <w:pStyle w:val="Normalnumbered"/>
        <w:numPr>
          <w:ilvl w:val="0"/>
          <w:numId w:val="10"/>
        </w:numPr>
        <w:jc w:val="left"/>
      </w:pPr>
      <w:r w:rsidRPr="002B7E1B">
        <w:t xml:space="preserve">The Commonwealth’s funding contribution will not be reduced where </w:t>
      </w:r>
      <w:r w:rsidR="00A85A80">
        <w:t>Queensland</w:t>
      </w:r>
      <w:r w:rsidRPr="002B7E1B">
        <w:t xml:space="preserve"> secure</w:t>
      </w:r>
      <w:r w:rsidR="00A85A80">
        <w:t>s</w:t>
      </w:r>
      <w:r w:rsidRPr="002B7E1B">
        <w:t xml:space="preserve"> funding from other activity partners.</w:t>
      </w:r>
    </w:p>
    <w:p w14:paraId="2683998D" w14:textId="77777777" w:rsidR="00EF488F" w:rsidRPr="00751725" w:rsidRDefault="00EF488F" w:rsidP="00453DEB">
      <w:pPr>
        <w:pStyle w:val="Normalnumbered"/>
        <w:keepNext/>
        <w:keepLines/>
        <w:numPr>
          <w:ilvl w:val="0"/>
          <w:numId w:val="10"/>
        </w:numPr>
      </w:pPr>
      <w:r w:rsidRPr="00751725">
        <w:t>The Commonwealth</w:t>
      </w:r>
      <w:r>
        <w:t>’s</w:t>
      </w:r>
      <w:r w:rsidRPr="00751725">
        <w:t xml:space="preserve"> and </w:t>
      </w:r>
      <w:r>
        <w:t xml:space="preserve">Queensland's estimated </w:t>
      </w:r>
      <w:r w:rsidRPr="00751725">
        <w:t>financial contribution</w:t>
      </w:r>
      <w:r>
        <w:t>s</w:t>
      </w:r>
      <w:r w:rsidRPr="00751725">
        <w:t xml:space="preserve"> to the operation of </w:t>
      </w:r>
      <w:r>
        <w:t xml:space="preserve">this Agreement, including through National Partnership payments to the States paid in accordance with </w:t>
      </w:r>
      <w:r w:rsidRPr="002B7E1B">
        <w:rPr>
          <w:i/>
        </w:rPr>
        <w:t>Schedule</w:t>
      </w:r>
      <w:r>
        <w:rPr>
          <w:i/>
        </w:rPr>
        <w:t> </w:t>
      </w:r>
      <w:r w:rsidRPr="002B7E1B">
        <w:rPr>
          <w:i/>
        </w:rPr>
        <w:t>D — Payment Arrangements</w:t>
      </w:r>
      <w:r>
        <w:t xml:space="preserve"> of the IGA FFR, are shown in Table 2</w:t>
      </w:r>
      <w:r w:rsidRPr="00751725">
        <w:t>.</w:t>
      </w:r>
    </w:p>
    <w:p w14:paraId="21A67C0F" w14:textId="77777777" w:rsidR="008E7527" w:rsidRPr="00A05C1E" w:rsidRDefault="00E204BB" w:rsidP="00907E9B">
      <w:pPr>
        <w:pStyle w:val="Normalnumbered"/>
        <w:keepNext/>
        <w:keepLines/>
        <w:numPr>
          <w:ilvl w:val="0"/>
          <w:numId w:val="0"/>
        </w:numPr>
        <w:rPr>
          <w:b/>
          <w:i/>
        </w:rPr>
      </w:pPr>
      <w:r>
        <w:rPr>
          <w:b/>
        </w:rPr>
        <w:t>Table 2</w:t>
      </w:r>
      <w:r w:rsidR="008E7527" w:rsidRPr="00E204BB">
        <w:rPr>
          <w:b/>
        </w:rPr>
        <w:t xml:space="preserve">: Estimated financial contributions </w:t>
      </w:r>
    </w:p>
    <w:tbl>
      <w:tblPr>
        <w:tblW w:w="0" w:type="auto"/>
        <w:tblLook w:val="01E0" w:firstRow="1" w:lastRow="1" w:firstColumn="1" w:lastColumn="1" w:noHBand="0" w:noVBand="0"/>
      </w:tblPr>
      <w:tblGrid>
        <w:gridCol w:w="5008"/>
        <w:gridCol w:w="1579"/>
        <w:gridCol w:w="1580"/>
        <w:gridCol w:w="1580"/>
      </w:tblGrid>
      <w:tr w:rsidR="00EF488F" w14:paraId="4E9362CD" w14:textId="77777777" w:rsidTr="00F90849">
        <w:trPr>
          <w:cantSplit/>
        </w:trPr>
        <w:tc>
          <w:tcPr>
            <w:tcW w:w="5008" w:type="dxa"/>
            <w:tcBorders>
              <w:top w:val="single" w:sz="4" w:space="0" w:color="000080"/>
            </w:tcBorders>
          </w:tcPr>
          <w:p w14:paraId="0AF20A05" w14:textId="77777777" w:rsidR="00EF488F" w:rsidRPr="00C2711B" w:rsidRDefault="00EF488F" w:rsidP="00907E9B">
            <w:pPr>
              <w:keepNext/>
              <w:keepLines/>
              <w:spacing w:before="40" w:after="40"/>
              <w:jc w:val="left"/>
              <w:rPr>
                <w:b/>
              </w:rPr>
            </w:pPr>
            <w:r w:rsidRPr="00C2711B">
              <w:rPr>
                <w:b/>
              </w:rPr>
              <w:t>($ million)</w:t>
            </w:r>
          </w:p>
        </w:tc>
        <w:tc>
          <w:tcPr>
            <w:tcW w:w="1579" w:type="dxa"/>
            <w:tcBorders>
              <w:top w:val="single" w:sz="4" w:space="0" w:color="000080"/>
              <w:bottom w:val="single" w:sz="4" w:space="0" w:color="000080"/>
            </w:tcBorders>
          </w:tcPr>
          <w:p w14:paraId="027708A2" w14:textId="77777777" w:rsidR="00EF488F" w:rsidRDefault="00EF488F" w:rsidP="00907E9B">
            <w:pPr>
              <w:keepNext/>
              <w:keepLines/>
              <w:spacing w:before="40" w:after="40"/>
              <w:jc w:val="right"/>
            </w:pPr>
            <w:r>
              <w:t>2015-16</w:t>
            </w:r>
          </w:p>
        </w:tc>
        <w:tc>
          <w:tcPr>
            <w:tcW w:w="1580" w:type="dxa"/>
            <w:tcBorders>
              <w:top w:val="single" w:sz="4" w:space="0" w:color="000080"/>
              <w:bottom w:val="single" w:sz="4" w:space="0" w:color="000080"/>
            </w:tcBorders>
          </w:tcPr>
          <w:p w14:paraId="2B92E5C7" w14:textId="77777777" w:rsidR="00EF488F" w:rsidRDefault="00EF488F" w:rsidP="00907E9B">
            <w:pPr>
              <w:keepNext/>
              <w:keepLines/>
              <w:spacing w:before="40" w:after="40"/>
              <w:jc w:val="right"/>
            </w:pPr>
            <w:r>
              <w:t>2016-17</w:t>
            </w:r>
          </w:p>
        </w:tc>
        <w:tc>
          <w:tcPr>
            <w:tcW w:w="1580" w:type="dxa"/>
            <w:tcBorders>
              <w:top w:val="single" w:sz="4" w:space="0" w:color="000080"/>
              <w:bottom w:val="single" w:sz="4" w:space="0" w:color="000080"/>
            </w:tcBorders>
          </w:tcPr>
          <w:p w14:paraId="3D85BC3E" w14:textId="77777777" w:rsidR="00EF488F" w:rsidRDefault="00EF488F" w:rsidP="00907E9B">
            <w:pPr>
              <w:keepNext/>
              <w:keepLines/>
              <w:spacing w:before="40" w:after="40"/>
              <w:jc w:val="right"/>
            </w:pPr>
            <w:r>
              <w:t>Total</w:t>
            </w:r>
          </w:p>
        </w:tc>
      </w:tr>
      <w:tr w:rsidR="00EF488F" w14:paraId="2E47F90A" w14:textId="77777777" w:rsidTr="00F90849">
        <w:trPr>
          <w:cantSplit/>
        </w:trPr>
        <w:tc>
          <w:tcPr>
            <w:tcW w:w="5008" w:type="dxa"/>
          </w:tcPr>
          <w:p w14:paraId="074228DE" w14:textId="77777777" w:rsidR="00EF488F" w:rsidRPr="005B4C1B" w:rsidRDefault="00EF488F" w:rsidP="00AB71A5">
            <w:pPr>
              <w:keepNext/>
              <w:keepLines/>
              <w:spacing w:before="60" w:after="60"/>
              <w:rPr>
                <w:b/>
              </w:rPr>
            </w:pPr>
            <w:r w:rsidRPr="005B4C1B">
              <w:rPr>
                <w:b/>
              </w:rPr>
              <w:t>Estimated total budget</w:t>
            </w:r>
          </w:p>
        </w:tc>
        <w:tc>
          <w:tcPr>
            <w:tcW w:w="1579" w:type="dxa"/>
            <w:tcBorders>
              <w:top w:val="single" w:sz="4" w:space="0" w:color="000080"/>
            </w:tcBorders>
          </w:tcPr>
          <w:p w14:paraId="102690B0" w14:textId="77777777" w:rsidR="00EF488F" w:rsidRPr="005B4C1B" w:rsidRDefault="00EF488F" w:rsidP="00AB71A5">
            <w:pPr>
              <w:keepNext/>
              <w:keepLines/>
              <w:spacing w:before="40" w:after="40"/>
              <w:jc w:val="right"/>
              <w:rPr>
                <w:b/>
              </w:rPr>
            </w:pPr>
            <w:r>
              <w:rPr>
                <w:b/>
              </w:rPr>
              <w:t>0.05</w:t>
            </w:r>
          </w:p>
        </w:tc>
        <w:tc>
          <w:tcPr>
            <w:tcW w:w="1580" w:type="dxa"/>
            <w:tcBorders>
              <w:top w:val="single" w:sz="4" w:space="0" w:color="000080"/>
            </w:tcBorders>
          </w:tcPr>
          <w:p w14:paraId="328960B8" w14:textId="77777777" w:rsidR="00EF488F" w:rsidRPr="005B4C1B" w:rsidRDefault="00EF488F" w:rsidP="00AB71A5">
            <w:pPr>
              <w:keepNext/>
              <w:keepLines/>
              <w:spacing w:before="40" w:after="40"/>
              <w:jc w:val="right"/>
              <w:rPr>
                <w:b/>
              </w:rPr>
            </w:pPr>
            <w:r>
              <w:rPr>
                <w:b/>
              </w:rPr>
              <w:t>0.05</w:t>
            </w:r>
          </w:p>
        </w:tc>
        <w:tc>
          <w:tcPr>
            <w:tcW w:w="1580" w:type="dxa"/>
            <w:tcBorders>
              <w:top w:val="single" w:sz="4" w:space="0" w:color="000080"/>
            </w:tcBorders>
          </w:tcPr>
          <w:p w14:paraId="5B502FD6" w14:textId="77777777" w:rsidR="00EF488F" w:rsidRPr="005B4C1B" w:rsidRDefault="00EF488F" w:rsidP="00AB71A5">
            <w:pPr>
              <w:keepNext/>
              <w:keepLines/>
              <w:spacing w:before="40" w:after="40"/>
              <w:jc w:val="right"/>
              <w:rPr>
                <w:b/>
              </w:rPr>
            </w:pPr>
            <w:r>
              <w:rPr>
                <w:b/>
              </w:rPr>
              <w:t>0.1</w:t>
            </w:r>
          </w:p>
        </w:tc>
      </w:tr>
      <w:tr w:rsidR="00EF488F" w14:paraId="05AEB9E0" w14:textId="77777777" w:rsidTr="00F90849">
        <w:trPr>
          <w:cantSplit/>
        </w:trPr>
        <w:tc>
          <w:tcPr>
            <w:tcW w:w="5008" w:type="dxa"/>
          </w:tcPr>
          <w:p w14:paraId="1A29B560" w14:textId="77777777" w:rsidR="00EF488F" w:rsidRPr="004A673A" w:rsidRDefault="00EF488F" w:rsidP="00AB71A5">
            <w:pPr>
              <w:keepNext/>
              <w:keepLines/>
              <w:spacing w:before="60" w:after="60"/>
            </w:pPr>
            <w:r>
              <w:t>Less estimated National Partnership Payments</w:t>
            </w:r>
          </w:p>
        </w:tc>
        <w:tc>
          <w:tcPr>
            <w:tcW w:w="1579" w:type="dxa"/>
            <w:tcBorders>
              <w:bottom w:val="single" w:sz="4" w:space="0" w:color="000080"/>
            </w:tcBorders>
          </w:tcPr>
          <w:p w14:paraId="4D1FD4F4" w14:textId="77777777" w:rsidR="00EF488F" w:rsidRPr="005B4C1B" w:rsidRDefault="00EF488F" w:rsidP="0055553B">
            <w:pPr>
              <w:keepNext/>
              <w:keepLines/>
              <w:spacing w:before="40" w:after="40"/>
              <w:jc w:val="right"/>
              <w:rPr>
                <w:b/>
              </w:rPr>
            </w:pPr>
            <w:r>
              <w:rPr>
                <w:b/>
              </w:rPr>
              <w:t>0.05</w:t>
            </w:r>
          </w:p>
        </w:tc>
        <w:tc>
          <w:tcPr>
            <w:tcW w:w="1580" w:type="dxa"/>
            <w:tcBorders>
              <w:bottom w:val="single" w:sz="4" w:space="0" w:color="000080"/>
            </w:tcBorders>
          </w:tcPr>
          <w:p w14:paraId="59396D81" w14:textId="77777777" w:rsidR="00EF488F" w:rsidRPr="005B4C1B" w:rsidRDefault="00EF488F" w:rsidP="0055553B">
            <w:pPr>
              <w:keepNext/>
              <w:keepLines/>
              <w:spacing w:before="40" w:after="40"/>
              <w:jc w:val="right"/>
              <w:rPr>
                <w:b/>
              </w:rPr>
            </w:pPr>
            <w:r>
              <w:rPr>
                <w:b/>
              </w:rPr>
              <w:t>0.05</w:t>
            </w:r>
          </w:p>
        </w:tc>
        <w:tc>
          <w:tcPr>
            <w:tcW w:w="1580" w:type="dxa"/>
            <w:tcBorders>
              <w:bottom w:val="single" w:sz="4" w:space="0" w:color="000080"/>
            </w:tcBorders>
          </w:tcPr>
          <w:p w14:paraId="0B2AD80A" w14:textId="77777777" w:rsidR="00EF488F" w:rsidRPr="005B4C1B" w:rsidRDefault="00EF488F" w:rsidP="0055553B">
            <w:pPr>
              <w:keepNext/>
              <w:keepLines/>
              <w:spacing w:before="40" w:after="40"/>
              <w:jc w:val="right"/>
              <w:rPr>
                <w:b/>
              </w:rPr>
            </w:pPr>
            <w:r>
              <w:rPr>
                <w:b/>
              </w:rPr>
              <w:t>0.1</w:t>
            </w:r>
          </w:p>
        </w:tc>
      </w:tr>
      <w:tr w:rsidR="00EF488F" w14:paraId="05726A80" w14:textId="77777777" w:rsidTr="00F90849">
        <w:trPr>
          <w:cantSplit/>
        </w:trPr>
        <w:tc>
          <w:tcPr>
            <w:tcW w:w="5008" w:type="dxa"/>
            <w:tcBorders>
              <w:bottom w:val="single" w:sz="4" w:space="0" w:color="000080"/>
            </w:tcBorders>
          </w:tcPr>
          <w:p w14:paraId="1B1D695E" w14:textId="77777777" w:rsidR="00EF488F" w:rsidRPr="006146F2" w:rsidRDefault="00EF488F" w:rsidP="00AB71A5">
            <w:pPr>
              <w:keepNext/>
              <w:keepLines/>
              <w:spacing w:before="40" w:after="40"/>
            </w:pPr>
            <w:r w:rsidRPr="006146F2">
              <w:t>Balance of non-Commonwealth contribution</w:t>
            </w:r>
            <w:r>
              <w:t>s</w:t>
            </w:r>
          </w:p>
        </w:tc>
        <w:tc>
          <w:tcPr>
            <w:tcW w:w="1579" w:type="dxa"/>
            <w:tcBorders>
              <w:bottom w:val="single" w:sz="4" w:space="0" w:color="000080"/>
            </w:tcBorders>
          </w:tcPr>
          <w:p w14:paraId="52600E51" w14:textId="77777777" w:rsidR="00EF488F" w:rsidRDefault="00EF488F" w:rsidP="00AB71A5">
            <w:pPr>
              <w:keepNext/>
              <w:keepLines/>
              <w:spacing w:before="40" w:after="40"/>
              <w:jc w:val="right"/>
            </w:pPr>
            <w:r>
              <w:t>0.0</w:t>
            </w:r>
          </w:p>
        </w:tc>
        <w:tc>
          <w:tcPr>
            <w:tcW w:w="1580" w:type="dxa"/>
            <w:tcBorders>
              <w:bottom w:val="single" w:sz="4" w:space="0" w:color="000080"/>
            </w:tcBorders>
          </w:tcPr>
          <w:p w14:paraId="4A122B17" w14:textId="77777777" w:rsidR="00EF488F" w:rsidRDefault="00EF488F" w:rsidP="00AB71A5">
            <w:pPr>
              <w:keepNext/>
              <w:keepLines/>
              <w:spacing w:before="40" w:after="40"/>
              <w:jc w:val="right"/>
            </w:pPr>
            <w:r>
              <w:t>0.0</w:t>
            </w:r>
          </w:p>
        </w:tc>
        <w:tc>
          <w:tcPr>
            <w:tcW w:w="1580" w:type="dxa"/>
            <w:tcBorders>
              <w:bottom w:val="single" w:sz="4" w:space="0" w:color="000080"/>
            </w:tcBorders>
          </w:tcPr>
          <w:p w14:paraId="360C0040" w14:textId="77777777" w:rsidR="00EF488F" w:rsidRDefault="00EF488F" w:rsidP="00AB71A5">
            <w:pPr>
              <w:keepNext/>
              <w:keepLines/>
              <w:spacing w:before="40" w:after="40"/>
              <w:jc w:val="right"/>
            </w:pPr>
            <w:r>
              <w:t>0.0</w:t>
            </w:r>
          </w:p>
        </w:tc>
      </w:tr>
    </w:tbl>
    <w:p w14:paraId="116C5C69" w14:textId="77777777" w:rsidR="00EF488F" w:rsidRDefault="00EF488F" w:rsidP="00EF488F">
      <w:pPr>
        <w:pStyle w:val="Normalnumbered"/>
        <w:numPr>
          <w:ilvl w:val="0"/>
          <w:numId w:val="0"/>
        </w:numPr>
      </w:pPr>
    </w:p>
    <w:p w14:paraId="0521EC8F" w14:textId="77777777" w:rsidR="008E7527" w:rsidRDefault="008E7527" w:rsidP="00453DEB">
      <w:pPr>
        <w:pStyle w:val="Normalnumbered"/>
        <w:numPr>
          <w:ilvl w:val="0"/>
          <w:numId w:val="10"/>
        </w:numPr>
      </w:pPr>
      <w:r w:rsidRPr="00C738BD">
        <w:t xml:space="preserve">Having regard to the agreed estimated costs of projects specified in </w:t>
      </w:r>
      <w:r w:rsidR="006B43AF">
        <w:t>this</w:t>
      </w:r>
      <w:r>
        <w:t xml:space="preserve"> Agreement</w:t>
      </w:r>
      <w:r w:rsidRPr="00C738BD">
        <w:t xml:space="preserve">, </w:t>
      </w:r>
      <w:r w:rsidR="001D586E">
        <w:t>Queensland</w:t>
      </w:r>
      <w:r w:rsidR="00E11509">
        <w:t xml:space="preserve"> </w:t>
      </w:r>
      <w:r w:rsidRPr="00C738BD">
        <w:t>will not be required to pay a refund to the Commonwealth if the actual cost of the project is less than the agreed</w:t>
      </w:r>
      <w:r w:rsidR="00515AF2">
        <w:t xml:space="preserve"> estimated cost of the project.  </w:t>
      </w:r>
      <w:r w:rsidRPr="00C738BD">
        <w:t xml:space="preserve">Similarly, </w:t>
      </w:r>
      <w:r w:rsidR="001D586E">
        <w:t>Queensland</w:t>
      </w:r>
      <w:r>
        <w:t xml:space="preserve"> </w:t>
      </w:r>
      <w:r w:rsidRPr="00C738BD">
        <w:t>bear</w:t>
      </w:r>
      <w:r w:rsidR="001D586E">
        <w:t>s</w:t>
      </w:r>
      <w:r w:rsidRPr="00C738BD">
        <w:t xml:space="preserve"> all risk should the costs of a project exceed the agreed estimated cost</w:t>
      </w:r>
      <w:r>
        <w:t>s.</w:t>
      </w:r>
      <w:r w:rsidRPr="00C738BD">
        <w:t xml:space="preserve"> The Parties acknowledge that this arrangement provides the maximum incentive for </w:t>
      </w:r>
      <w:r w:rsidR="001D586E">
        <w:t>Queensland</w:t>
      </w:r>
      <w:r w:rsidRPr="00C738BD">
        <w:t xml:space="preserve"> to deliver projects cost effectively and efficiently.</w:t>
      </w:r>
    </w:p>
    <w:p w14:paraId="017CD736" w14:textId="77777777" w:rsidR="00814667" w:rsidRDefault="003A2157">
      <w:pPr>
        <w:pStyle w:val="Heading1"/>
      </w:pPr>
      <w:bookmarkStart w:id="3" w:name="top"/>
      <w:bookmarkEnd w:id="3"/>
      <w:r>
        <w:t xml:space="preserve">Part </w:t>
      </w:r>
      <w:r w:rsidR="000B4080">
        <w:t>6</w:t>
      </w:r>
      <w:r w:rsidR="00814667">
        <w:t xml:space="preserve"> — governance arrangements</w:t>
      </w:r>
    </w:p>
    <w:p w14:paraId="2D58DB01" w14:textId="77777777" w:rsidR="00BC4728" w:rsidRDefault="00BC4728" w:rsidP="00BC4728">
      <w:pPr>
        <w:pStyle w:val="Heading2"/>
      </w:pPr>
      <w:r w:rsidRPr="006F096A">
        <w:t>Enforceability of the Agreement</w:t>
      </w:r>
    </w:p>
    <w:p w14:paraId="44D68B88" w14:textId="77777777" w:rsidR="00BC4728" w:rsidRPr="00C40EBC" w:rsidRDefault="00BC4728" w:rsidP="00453DEB">
      <w:pPr>
        <w:pStyle w:val="Normalnumbered"/>
        <w:numPr>
          <w:ilvl w:val="0"/>
          <w:numId w:val="10"/>
        </w:numPr>
        <w:spacing w:line="240" w:lineRule="auto"/>
      </w:pPr>
      <w:r>
        <w:rPr>
          <w:szCs w:val="23"/>
        </w:rPr>
        <w:t>The Parties do not intend any of the provisions of this Agreement to be legally enforceable. However, that does not lessen the Parties’ commitment to this Agreement.</w:t>
      </w:r>
    </w:p>
    <w:p w14:paraId="75B3C166" w14:textId="77777777" w:rsidR="00814667" w:rsidRDefault="00814667">
      <w:pPr>
        <w:pStyle w:val="Heading2"/>
      </w:pPr>
      <w:r>
        <w:t>Variation of the Agreement</w:t>
      </w:r>
    </w:p>
    <w:p w14:paraId="0C0F5840" w14:textId="77777777" w:rsidR="00814667" w:rsidRPr="00DE36EB" w:rsidRDefault="00607B03" w:rsidP="00453DEB">
      <w:pPr>
        <w:pStyle w:val="Normalnumbered"/>
        <w:numPr>
          <w:ilvl w:val="0"/>
          <w:numId w:val="10"/>
        </w:numPr>
      </w:pPr>
      <w:r>
        <w:t>The A</w:t>
      </w:r>
      <w:r w:rsidR="00814667">
        <w:t xml:space="preserve">greement may be amended at any time by agreement in writing by </w:t>
      </w:r>
      <w:r w:rsidR="002B1C50" w:rsidRPr="00DE36EB">
        <w:t xml:space="preserve">both </w:t>
      </w:r>
      <w:r w:rsidR="00814667" w:rsidRPr="00DE36EB">
        <w:t>the Parties.</w:t>
      </w:r>
    </w:p>
    <w:p w14:paraId="43B93BD5" w14:textId="77777777" w:rsidR="00292587" w:rsidRDefault="00C2605C" w:rsidP="00453DEB">
      <w:pPr>
        <w:pStyle w:val="Normalnumbered"/>
        <w:numPr>
          <w:ilvl w:val="0"/>
          <w:numId w:val="10"/>
        </w:numPr>
      </w:pPr>
      <w:r w:rsidRPr="00DE36EB">
        <w:t xml:space="preserve">Either </w:t>
      </w:r>
      <w:r w:rsidR="00814667" w:rsidRPr="00DE36EB">
        <w:t>Party to the Agreement may terminate their part</w:t>
      </w:r>
      <w:r w:rsidR="00814667">
        <w:t>icipation in the Agreement at any time by notifying the other Part</w:t>
      </w:r>
      <w:r>
        <w:t>y</w:t>
      </w:r>
      <w:r>
        <w:rPr>
          <w:i/>
        </w:rPr>
        <w:t xml:space="preserve"> </w:t>
      </w:r>
      <w:r w:rsidR="00814667">
        <w:t>in writing.</w:t>
      </w:r>
    </w:p>
    <w:p w14:paraId="34393724" w14:textId="77777777" w:rsidR="009526E4" w:rsidRDefault="009526E4" w:rsidP="0036119D">
      <w:pPr>
        <w:pStyle w:val="Heading2"/>
      </w:pPr>
      <w:r>
        <w:lastRenderedPageBreak/>
        <w:t>Delegations</w:t>
      </w:r>
    </w:p>
    <w:p w14:paraId="120534FA" w14:textId="77777777" w:rsidR="009526E4" w:rsidRDefault="009526E4" w:rsidP="00907E9B">
      <w:pPr>
        <w:pStyle w:val="Normalnumbered"/>
        <w:numPr>
          <w:ilvl w:val="0"/>
          <w:numId w:val="10"/>
        </w:numPr>
      </w:pPr>
      <w:r>
        <w:t xml:space="preserve">The Commonwealth Minister may delegate the assessment of performance </w:t>
      </w:r>
      <w:r w:rsidR="00115A97">
        <w:t>against</w:t>
      </w:r>
      <w:r>
        <w:t xml:space="preserve"> milestones and the authorisation of related project payments to senior Commonwealth officials, having regard to the financial and policy risks associated with those payments.</w:t>
      </w:r>
    </w:p>
    <w:p w14:paraId="6CCE0693" w14:textId="77777777" w:rsidR="0036119D" w:rsidRDefault="0036119D" w:rsidP="0036119D">
      <w:pPr>
        <w:pStyle w:val="Heading2"/>
      </w:pPr>
      <w:r>
        <w:t>Dispute resolution</w:t>
      </w:r>
    </w:p>
    <w:p w14:paraId="36DF389A" w14:textId="77777777" w:rsidR="0036119D" w:rsidRPr="00DE36EB" w:rsidRDefault="00EF488F" w:rsidP="00907E9B">
      <w:pPr>
        <w:pStyle w:val="Normalnumbered"/>
        <w:numPr>
          <w:ilvl w:val="0"/>
          <w:numId w:val="10"/>
        </w:numPr>
      </w:pPr>
      <w:r>
        <w:t>E</w:t>
      </w:r>
      <w:r w:rsidR="002B1C50" w:rsidRPr="00DE36EB">
        <w:t xml:space="preserve">ither </w:t>
      </w:r>
      <w:r w:rsidR="0036119D" w:rsidRPr="00DE36EB">
        <w:t xml:space="preserve">Party may give notice to </w:t>
      </w:r>
      <w:r>
        <w:t xml:space="preserve">the </w:t>
      </w:r>
      <w:r w:rsidR="0036119D" w:rsidRPr="00DE36EB">
        <w:t xml:space="preserve">other </w:t>
      </w:r>
      <w:r w:rsidR="00684EC1" w:rsidRPr="00DE36EB">
        <w:t xml:space="preserve">Party </w:t>
      </w:r>
      <w:r w:rsidR="0036119D" w:rsidRPr="00DE36EB">
        <w:t>of a dispute under this Agreement.</w:t>
      </w:r>
    </w:p>
    <w:p w14:paraId="2C8B47E2" w14:textId="77777777" w:rsidR="0036119D" w:rsidRPr="00DE36EB" w:rsidRDefault="0036119D" w:rsidP="00907E9B">
      <w:pPr>
        <w:pStyle w:val="Normalnumbered"/>
        <w:numPr>
          <w:ilvl w:val="0"/>
          <w:numId w:val="10"/>
        </w:numPr>
      </w:pPr>
      <w:r w:rsidRPr="00DE36EB">
        <w:t xml:space="preserve">Officials of </w:t>
      </w:r>
      <w:r w:rsidR="00EF488F">
        <w:t>both</w:t>
      </w:r>
      <w:r w:rsidR="002B1C50" w:rsidRPr="00DE36EB">
        <w:rPr>
          <w:i/>
        </w:rPr>
        <w:t xml:space="preserve"> </w:t>
      </w:r>
      <w:r w:rsidRPr="00DE36EB">
        <w:t>Parties will attempt to resolve any dispute in the first instance.</w:t>
      </w:r>
    </w:p>
    <w:p w14:paraId="76517E11" w14:textId="77777777" w:rsidR="0036119D" w:rsidRPr="00DE36EB" w:rsidRDefault="0036119D" w:rsidP="00907E9B">
      <w:pPr>
        <w:pStyle w:val="Normalnumbered"/>
        <w:numPr>
          <w:ilvl w:val="0"/>
          <w:numId w:val="10"/>
        </w:numPr>
      </w:pPr>
      <w:r w:rsidRPr="00DE36EB">
        <w:t>If a dispute cannot be resolved by officials, it may be escalated to the relevant Ministers.</w:t>
      </w:r>
    </w:p>
    <w:p w14:paraId="2F5E51A1" w14:textId="77777777" w:rsidR="0036119D" w:rsidRPr="00DE36EB" w:rsidRDefault="0036119D" w:rsidP="0036119D">
      <w:pPr>
        <w:pStyle w:val="Heading2"/>
        <w:rPr>
          <w:b w:val="0"/>
          <w:i/>
          <w:sz w:val="23"/>
          <w:szCs w:val="23"/>
        </w:rPr>
      </w:pPr>
      <w:r>
        <w:t xml:space="preserve">Interpretation </w:t>
      </w:r>
    </w:p>
    <w:p w14:paraId="506E6647" w14:textId="77777777" w:rsidR="001F3A1F" w:rsidRDefault="0036119D" w:rsidP="00907E9B">
      <w:pPr>
        <w:pStyle w:val="Normalnumbered"/>
        <w:numPr>
          <w:ilvl w:val="0"/>
          <w:numId w:val="10"/>
        </w:numPr>
        <w:jc w:val="left"/>
      </w:pPr>
      <w:r>
        <w:t>For the purposes of this Agreement:</w:t>
      </w:r>
    </w:p>
    <w:p w14:paraId="36569500" w14:textId="77777777" w:rsidR="001F3A1F" w:rsidRDefault="001F3A1F" w:rsidP="00453DEB">
      <w:pPr>
        <w:pStyle w:val="Normalnumbered"/>
        <w:numPr>
          <w:ilvl w:val="0"/>
          <w:numId w:val="25"/>
        </w:numPr>
        <w:tabs>
          <w:tab w:val="clear" w:pos="360"/>
          <w:tab w:val="num" w:pos="1134"/>
        </w:tabs>
        <w:ind w:left="1134" w:hanging="567"/>
      </w:pPr>
      <w:r>
        <w:t>‘Community’ means a populated area with a school.  A community with two or more schools is considered a single community.</w:t>
      </w:r>
    </w:p>
    <w:p w14:paraId="329EE75C" w14:textId="77777777" w:rsidR="001F3A1F" w:rsidRDefault="001F3A1F" w:rsidP="00453DEB">
      <w:pPr>
        <w:pStyle w:val="Normalnumbered"/>
        <w:numPr>
          <w:ilvl w:val="0"/>
          <w:numId w:val="25"/>
        </w:numPr>
        <w:tabs>
          <w:tab w:val="clear" w:pos="360"/>
          <w:tab w:val="num" w:pos="1134"/>
        </w:tabs>
        <w:ind w:left="1134" w:hanging="567"/>
      </w:pPr>
      <w:r>
        <w:t xml:space="preserve">‘At Risk communities’ means communities classified by </w:t>
      </w:r>
      <w:r w:rsidR="00555A4C">
        <w:t>Queensland and the Commonwealth</w:t>
      </w:r>
      <w:r>
        <w:t xml:space="preserve"> as being at higher risk of trachoma.</w:t>
      </w:r>
    </w:p>
    <w:p w14:paraId="151E7D68" w14:textId="77777777" w:rsidR="001F3A1F" w:rsidRDefault="007C19AB" w:rsidP="00453DEB">
      <w:pPr>
        <w:pStyle w:val="Normalnumbered"/>
        <w:numPr>
          <w:ilvl w:val="0"/>
          <w:numId w:val="25"/>
        </w:numPr>
        <w:tabs>
          <w:tab w:val="clear" w:pos="360"/>
          <w:tab w:val="num" w:pos="1134"/>
        </w:tabs>
        <w:ind w:left="1134" w:hanging="567"/>
      </w:pPr>
      <w:r>
        <w:t xml:space="preserve"> </w:t>
      </w:r>
      <w:r w:rsidR="001F3A1F">
        <w:t xml:space="preserve">‘Active Trachoma’ means the presence of chronic inflammation of the conjunctiva caused by infection with </w:t>
      </w:r>
      <w:r w:rsidR="001F3A1F" w:rsidRPr="00EB3A8C">
        <w:rPr>
          <w:i/>
        </w:rPr>
        <w:t>Chlamydia trachomatis</w:t>
      </w:r>
      <w:r w:rsidR="001F3A1F">
        <w:t>; includes World Health Organisation grades Trachomatous inflammation follicular and/or Trachomatous inflammation intense.</w:t>
      </w:r>
    </w:p>
    <w:p w14:paraId="4DBDAF1C" w14:textId="77777777" w:rsidR="0036119D" w:rsidRPr="00FB6A2E" w:rsidRDefault="0036119D" w:rsidP="001F3A1F">
      <w:pPr>
        <w:pStyle w:val="AlphaParagraph"/>
        <w:tabs>
          <w:tab w:val="clear" w:pos="0"/>
          <w:tab w:val="clear" w:pos="283"/>
          <w:tab w:val="clear" w:pos="567"/>
          <w:tab w:val="clear" w:pos="1134"/>
          <w:tab w:val="clear" w:pos="1418"/>
          <w:tab w:val="clear" w:pos="1701"/>
          <w:tab w:val="num" w:pos="1200"/>
        </w:tabs>
        <w:ind w:firstLine="0"/>
      </w:pPr>
    </w:p>
    <w:p w14:paraId="00F3A516" w14:textId="77777777" w:rsidR="0036119D" w:rsidRDefault="0036119D" w:rsidP="000614F9">
      <w:pPr>
        <w:pStyle w:val="Normalnumbered"/>
        <w:numPr>
          <w:ilvl w:val="0"/>
          <w:numId w:val="0"/>
        </w:numPr>
        <w:jc w:val="left"/>
        <w:sectPr w:rsidR="0036119D" w:rsidSect="00CB6703">
          <w:headerReference w:type="even" r:id="rId15"/>
          <w:headerReference w:type="default" r:id="rId16"/>
          <w:footerReference w:type="even" r:id="rId17"/>
          <w:footerReference w:type="default" r:id="rId18"/>
          <w:footerReference w:type="first" r:id="rId19"/>
          <w:pgSz w:w="11906" w:h="16838" w:code="9"/>
          <w:pgMar w:top="1134" w:right="1134" w:bottom="1134" w:left="1134" w:header="709" w:footer="709" w:gutter="0"/>
          <w:cols w:space="708"/>
          <w:titlePg/>
          <w:docGrid w:linePitch="360"/>
        </w:sectPr>
      </w:pPr>
    </w:p>
    <w:p w14:paraId="1E10DD4A" w14:textId="77777777" w:rsidR="00814667" w:rsidRPr="00A50751" w:rsidRDefault="00814667">
      <w:pPr>
        <w:rPr>
          <w:lang w:val="en-GB"/>
        </w:rPr>
      </w:pPr>
      <w:r w:rsidRPr="00A50751">
        <w:rPr>
          <w:lang w:val="en-GB"/>
        </w:rPr>
        <w:lastRenderedPageBreak/>
        <w:t xml:space="preserve">The </w:t>
      </w:r>
      <w:r w:rsidRPr="00C57BB9">
        <w:rPr>
          <w:sz w:val="24"/>
          <w:szCs w:val="24"/>
        </w:rPr>
        <w:t>Parties</w:t>
      </w:r>
      <w:r w:rsidRPr="00A50751">
        <w:rPr>
          <w:lang w:val="en-GB"/>
        </w:rPr>
        <w:t xml:space="preserve"> have confirmed their commitment to this agreement as follows:</w:t>
      </w:r>
    </w:p>
    <w:tbl>
      <w:tblPr>
        <w:tblW w:w="0" w:type="auto"/>
        <w:jc w:val="center"/>
        <w:tblLayout w:type="fixed"/>
        <w:tblLook w:val="01E0" w:firstRow="1" w:lastRow="1" w:firstColumn="1" w:lastColumn="1" w:noHBand="0" w:noVBand="0"/>
      </w:tblPr>
      <w:tblGrid>
        <w:gridCol w:w="4536"/>
        <w:gridCol w:w="284"/>
        <w:gridCol w:w="4536"/>
      </w:tblGrid>
      <w:tr w:rsidR="00814667" w:rsidRPr="00A50751" w14:paraId="36AB170B" w14:textId="77777777">
        <w:trPr>
          <w:cantSplit/>
          <w:jc w:val="center"/>
        </w:trPr>
        <w:tc>
          <w:tcPr>
            <w:tcW w:w="4536" w:type="dxa"/>
          </w:tcPr>
          <w:p w14:paraId="08061E61" w14:textId="77777777" w:rsidR="00814667" w:rsidRPr="004A0AE7" w:rsidRDefault="00814667">
            <w:pPr>
              <w:pStyle w:val="Signed"/>
            </w:pPr>
            <w:r>
              <w:rPr>
                <w:rStyle w:val="SignedBold"/>
              </w:rPr>
              <w:t>Signed</w:t>
            </w:r>
            <w:r w:rsidRPr="004A0AE7">
              <w:t xml:space="preserve"> for and on behalf of the</w:t>
            </w:r>
            <w:r>
              <w:t xml:space="preserve"> </w:t>
            </w:r>
            <w:r w:rsidRPr="004A0AE7">
              <w:t xml:space="preserve">Commonwealth of </w:t>
            </w:r>
            <w:smartTag w:uri="urn:schemas-microsoft-com:office:smarttags" w:element="country-region">
              <w:smartTag w:uri="urn:schemas-microsoft-com:office:smarttags" w:element="place">
                <w:r w:rsidRPr="004A0AE7">
                  <w:t>Australia</w:t>
                </w:r>
              </w:smartTag>
            </w:smartTag>
            <w:r w:rsidRPr="004A0AE7">
              <w:t xml:space="preserve"> by</w:t>
            </w:r>
          </w:p>
          <w:p w14:paraId="6DC81A95" w14:textId="77777777" w:rsidR="00814667" w:rsidRPr="00A50751" w:rsidRDefault="00814667">
            <w:pPr>
              <w:pStyle w:val="LineForSignature"/>
            </w:pPr>
            <w:r>
              <w:tab/>
            </w:r>
          </w:p>
          <w:p w14:paraId="30B0B62F" w14:textId="77777777" w:rsidR="00814667" w:rsidRDefault="00814667">
            <w:pPr>
              <w:pStyle w:val="SingleParagraph"/>
              <w:rPr>
                <w:rStyle w:val="Bold"/>
              </w:rPr>
            </w:pPr>
            <w:r>
              <w:rPr>
                <w:rStyle w:val="Bold"/>
              </w:rPr>
              <w:t xml:space="preserve">The Honourable </w:t>
            </w:r>
            <w:r w:rsidR="006A252A">
              <w:rPr>
                <w:rStyle w:val="Bold"/>
              </w:rPr>
              <w:t>Fiona Nash</w:t>
            </w:r>
          </w:p>
          <w:p w14:paraId="064A0876" w14:textId="77777777" w:rsidR="00814667" w:rsidRDefault="0099742A">
            <w:pPr>
              <w:pStyle w:val="Position"/>
              <w:rPr>
                <w:lang w:val="en-GB"/>
              </w:rPr>
            </w:pPr>
            <w:r>
              <w:rPr>
                <w:lang w:val="en-GB"/>
              </w:rPr>
              <w:t>Minister for</w:t>
            </w:r>
            <w:r w:rsidR="005A0BD7">
              <w:rPr>
                <w:lang w:val="en-GB"/>
              </w:rPr>
              <w:t xml:space="preserve"> Regional Development, Minister for Regional Communications, and Minister for Rural Health</w:t>
            </w:r>
            <w:r>
              <w:rPr>
                <w:lang w:val="en-GB"/>
              </w:rPr>
              <w:t xml:space="preserve"> </w:t>
            </w:r>
          </w:p>
          <w:p w14:paraId="6133531C" w14:textId="77777777" w:rsidR="00814667" w:rsidRDefault="006A252A">
            <w:pPr>
              <w:pStyle w:val="SingleParagraph"/>
              <w:tabs>
                <w:tab w:val="num" w:pos="1134"/>
              </w:tabs>
              <w:spacing w:after="240"/>
              <w:ind w:left="1134" w:hanging="567"/>
              <w:rPr>
                <w:b/>
                <w:lang w:val="en-GB"/>
              </w:rPr>
            </w:pPr>
            <w:r>
              <w:rPr>
                <w:lang w:val="en-GB"/>
              </w:rPr>
              <w:t>Date:</w:t>
            </w:r>
          </w:p>
        </w:tc>
        <w:tc>
          <w:tcPr>
            <w:tcW w:w="284" w:type="dxa"/>
            <w:tcMar>
              <w:left w:w="0" w:type="dxa"/>
              <w:right w:w="0" w:type="dxa"/>
            </w:tcMar>
          </w:tcPr>
          <w:p w14:paraId="09083483" w14:textId="77777777" w:rsidR="00814667" w:rsidRPr="00A50751" w:rsidRDefault="00814667">
            <w:pPr>
              <w:rPr>
                <w:rFonts w:ascii="Book Antiqua" w:hAnsi="Book Antiqua"/>
                <w:lang w:val="en-GB"/>
              </w:rPr>
            </w:pPr>
          </w:p>
        </w:tc>
        <w:tc>
          <w:tcPr>
            <w:tcW w:w="4536" w:type="dxa"/>
          </w:tcPr>
          <w:p w14:paraId="1AD3492E" w14:textId="77777777" w:rsidR="00814667" w:rsidRPr="00A50751" w:rsidRDefault="00814667">
            <w:pPr>
              <w:rPr>
                <w:rFonts w:ascii="Book Antiqua" w:hAnsi="Book Antiqua"/>
                <w:lang w:val="en-GB"/>
              </w:rPr>
            </w:pPr>
          </w:p>
        </w:tc>
      </w:tr>
      <w:tr w:rsidR="00814667" w:rsidRPr="00A50751" w14:paraId="394076A1" w14:textId="77777777">
        <w:trPr>
          <w:cantSplit/>
          <w:jc w:val="center"/>
        </w:trPr>
        <w:tc>
          <w:tcPr>
            <w:tcW w:w="4536" w:type="dxa"/>
          </w:tcPr>
          <w:p w14:paraId="5C9FD6B6" w14:textId="77777777" w:rsidR="00814667" w:rsidRPr="00A50751" w:rsidRDefault="00814667">
            <w:pPr>
              <w:pStyle w:val="SingleParagraph"/>
              <w:rPr>
                <w:rFonts w:ascii="Book Antiqua" w:hAnsi="Book Antiqua"/>
                <w:lang w:val="en-GB"/>
              </w:rPr>
            </w:pPr>
          </w:p>
        </w:tc>
        <w:tc>
          <w:tcPr>
            <w:tcW w:w="284" w:type="dxa"/>
            <w:tcMar>
              <w:left w:w="0" w:type="dxa"/>
              <w:right w:w="0" w:type="dxa"/>
            </w:tcMar>
          </w:tcPr>
          <w:p w14:paraId="7AFCFC86" w14:textId="77777777" w:rsidR="00814667" w:rsidRPr="00A50751" w:rsidRDefault="00814667">
            <w:pPr>
              <w:pStyle w:val="SingleParagraph"/>
              <w:rPr>
                <w:rFonts w:ascii="Book Antiqua" w:hAnsi="Book Antiqua"/>
                <w:lang w:val="en-GB"/>
              </w:rPr>
            </w:pPr>
          </w:p>
        </w:tc>
        <w:tc>
          <w:tcPr>
            <w:tcW w:w="4536" w:type="dxa"/>
          </w:tcPr>
          <w:p w14:paraId="56709CE9" w14:textId="77777777" w:rsidR="00814667" w:rsidRPr="00A50751" w:rsidRDefault="00814667">
            <w:pPr>
              <w:pStyle w:val="SingleParagraph"/>
              <w:rPr>
                <w:rFonts w:ascii="Book Antiqua" w:hAnsi="Book Antiqua"/>
                <w:lang w:val="en-GB"/>
              </w:rPr>
            </w:pPr>
          </w:p>
        </w:tc>
      </w:tr>
      <w:tr w:rsidR="00814667" w:rsidRPr="00A50751" w14:paraId="03BE00BE" w14:textId="77777777">
        <w:trPr>
          <w:cantSplit/>
          <w:jc w:val="center"/>
        </w:trPr>
        <w:tc>
          <w:tcPr>
            <w:tcW w:w="4536" w:type="dxa"/>
          </w:tcPr>
          <w:p w14:paraId="7913CC1C" w14:textId="77777777" w:rsidR="001F3A1F" w:rsidRPr="00974EF9" w:rsidRDefault="001F3A1F" w:rsidP="001F3A1F">
            <w:pPr>
              <w:pStyle w:val="Signed"/>
            </w:pPr>
            <w:r w:rsidRPr="00974EF9">
              <w:rPr>
                <w:b/>
                <w:i w:val="0"/>
              </w:rPr>
              <w:t>Signed</w:t>
            </w:r>
            <w:r w:rsidRPr="00974EF9">
              <w:t xml:space="preserve"> for and on behalf of the State of Queensland by</w:t>
            </w:r>
          </w:p>
          <w:p w14:paraId="078A5545" w14:textId="77777777" w:rsidR="001F3A1F" w:rsidRPr="00974EF9" w:rsidRDefault="001F3A1F" w:rsidP="001F3A1F">
            <w:pPr>
              <w:pStyle w:val="LineForSignature"/>
            </w:pPr>
            <w:r w:rsidRPr="00974EF9">
              <w:tab/>
            </w:r>
          </w:p>
          <w:p w14:paraId="60F5FEB9" w14:textId="77777777" w:rsidR="001F3A1F" w:rsidRPr="00974EF9" w:rsidRDefault="001F3A1F" w:rsidP="001F3A1F">
            <w:pPr>
              <w:pStyle w:val="SingleParagraph"/>
              <w:rPr>
                <w:rStyle w:val="Bold"/>
              </w:rPr>
            </w:pPr>
            <w:r w:rsidRPr="00974EF9">
              <w:rPr>
                <w:rStyle w:val="Bold"/>
              </w:rPr>
              <w:t>The Honourable Cameron Dick, MP</w:t>
            </w:r>
          </w:p>
          <w:p w14:paraId="5839E40F" w14:textId="77777777" w:rsidR="001F3A1F" w:rsidRPr="00974EF9" w:rsidRDefault="001F3A1F" w:rsidP="001F3A1F">
            <w:pPr>
              <w:pStyle w:val="Position"/>
              <w:rPr>
                <w:lang w:val="en-GB"/>
              </w:rPr>
            </w:pPr>
            <w:r w:rsidRPr="00974EF9">
              <w:rPr>
                <w:lang w:val="en-GB"/>
              </w:rPr>
              <w:t>Minister for Health and Minister for Ambulance Services</w:t>
            </w:r>
          </w:p>
          <w:p w14:paraId="3FEF0005" w14:textId="77777777" w:rsidR="00814667" w:rsidRPr="00A50751" w:rsidRDefault="001F3A1F" w:rsidP="001F3A1F">
            <w:pPr>
              <w:pStyle w:val="SingleParagraph"/>
              <w:tabs>
                <w:tab w:val="num" w:pos="1134"/>
              </w:tabs>
              <w:spacing w:after="240"/>
              <w:ind w:left="1134" w:hanging="567"/>
              <w:rPr>
                <w:lang w:val="en-GB"/>
              </w:rPr>
            </w:pPr>
            <w:r w:rsidRPr="00974EF9">
              <w:rPr>
                <w:lang w:val="en-GB"/>
              </w:rPr>
              <w:t>Date:</w:t>
            </w:r>
          </w:p>
        </w:tc>
        <w:tc>
          <w:tcPr>
            <w:tcW w:w="284" w:type="dxa"/>
            <w:tcMar>
              <w:left w:w="0" w:type="dxa"/>
              <w:right w:w="0" w:type="dxa"/>
            </w:tcMar>
          </w:tcPr>
          <w:p w14:paraId="4EE0A139" w14:textId="77777777" w:rsidR="00814667" w:rsidRPr="00A50751" w:rsidRDefault="00814667">
            <w:pPr>
              <w:rPr>
                <w:rFonts w:ascii="Book Antiqua" w:hAnsi="Book Antiqua"/>
                <w:lang w:val="en-GB"/>
              </w:rPr>
            </w:pPr>
          </w:p>
        </w:tc>
        <w:tc>
          <w:tcPr>
            <w:tcW w:w="4536" w:type="dxa"/>
          </w:tcPr>
          <w:p w14:paraId="1A95E6A5" w14:textId="77777777" w:rsidR="00814667" w:rsidRPr="00A50751" w:rsidRDefault="00814667">
            <w:pPr>
              <w:pStyle w:val="SingleParagraph"/>
              <w:tabs>
                <w:tab w:val="num" w:pos="1134"/>
              </w:tabs>
              <w:spacing w:after="240"/>
              <w:ind w:left="1134" w:hanging="567"/>
              <w:rPr>
                <w:lang w:val="en-GB"/>
              </w:rPr>
            </w:pPr>
          </w:p>
        </w:tc>
      </w:tr>
      <w:tr w:rsidR="00814667" w:rsidRPr="00A50751" w14:paraId="20125941" w14:textId="77777777">
        <w:trPr>
          <w:cantSplit/>
          <w:jc w:val="center"/>
        </w:trPr>
        <w:tc>
          <w:tcPr>
            <w:tcW w:w="4536" w:type="dxa"/>
          </w:tcPr>
          <w:p w14:paraId="2B2F205D" w14:textId="77777777" w:rsidR="00814667" w:rsidRPr="00A50751" w:rsidRDefault="00814667">
            <w:pPr>
              <w:pStyle w:val="SingleParagraph"/>
              <w:rPr>
                <w:rFonts w:ascii="Book Antiqua" w:hAnsi="Book Antiqua"/>
                <w:lang w:val="en-GB"/>
              </w:rPr>
            </w:pPr>
          </w:p>
        </w:tc>
        <w:tc>
          <w:tcPr>
            <w:tcW w:w="284" w:type="dxa"/>
            <w:tcMar>
              <w:left w:w="0" w:type="dxa"/>
              <w:right w:w="0" w:type="dxa"/>
            </w:tcMar>
          </w:tcPr>
          <w:p w14:paraId="49F9511F" w14:textId="77777777" w:rsidR="00814667" w:rsidRPr="00A50751" w:rsidRDefault="00814667">
            <w:pPr>
              <w:pStyle w:val="SingleParagraph"/>
              <w:rPr>
                <w:rFonts w:ascii="Book Antiqua" w:hAnsi="Book Antiqua"/>
                <w:lang w:val="en-GB"/>
              </w:rPr>
            </w:pPr>
          </w:p>
        </w:tc>
        <w:tc>
          <w:tcPr>
            <w:tcW w:w="4536" w:type="dxa"/>
          </w:tcPr>
          <w:p w14:paraId="7CA9FB15" w14:textId="77777777" w:rsidR="00814667" w:rsidRPr="00A50751" w:rsidRDefault="00814667">
            <w:pPr>
              <w:pStyle w:val="SingleParagraph"/>
              <w:rPr>
                <w:rFonts w:ascii="Book Antiqua" w:hAnsi="Book Antiqua"/>
                <w:lang w:val="en-GB"/>
              </w:rPr>
            </w:pPr>
          </w:p>
        </w:tc>
      </w:tr>
    </w:tbl>
    <w:p w14:paraId="7AF6D96B" w14:textId="77777777" w:rsidR="008843EE" w:rsidRDefault="008843EE" w:rsidP="0020144E"/>
    <w:sectPr w:rsidR="008843EE" w:rsidSect="00C606F6">
      <w:headerReference w:type="first" r:id="rId20"/>
      <w:footerReference w:type="first" r:id="rId21"/>
      <w:type w:val="oddPage"/>
      <w:pgSz w:w="11906" w:h="16838" w:code="9"/>
      <w:pgMar w:top="1134" w:right="1134" w:bottom="1134" w:left="1134" w:header="709" w:footer="709" w:gutter="0"/>
      <w:pgNumType w:start="1" w:chapStyle="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4F3EC" w14:textId="77777777" w:rsidR="000E66C3" w:rsidRDefault="000E66C3">
      <w:r>
        <w:separator/>
      </w:r>
    </w:p>
  </w:endnote>
  <w:endnote w:type="continuationSeparator" w:id="0">
    <w:p w14:paraId="0188F407" w14:textId="77777777" w:rsidR="000E66C3" w:rsidRDefault="000E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altName w:val="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CBE27" w14:textId="77777777" w:rsidR="00AB76C6" w:rsidRDefault="00AB76C6">
    <w:pPr>
      <w:pStyle w:val="FooterEven"/>
      <w:keepNext/>
      <w:tabs>
        <w:tab w:val="num" w:pos="1701"/>
      </w:tabs>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CB6703">
      <w:rPr>
        <w:rStyle w:val="PageNumber"/>
        <w:noProof/>
      </w:rPr>
      <w:t>2</w:t>
    </w:r>
    <w:r>
      <w:rPr>
        <w:rStyle w:val="PageNumber"/>
      </w:rPr>
      <w:fldChar w:fldCharType="end"/>
    </w:r>
  </w:p>
  <w:p w14:paraId="43478A73" w14:textId="77777777" w:rsidR="00AB76C6" w:rsidRDefault="00AB76C6">
    <w:pPr>
      <w:pStyle w:val="FooterEven"/>
      <w:keepNext/>
      <w:tabs>
        <w:tab w:val="num" w:pos="170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002ED" w14:textId="77777777" w:rsidR="00AB76C6" w:rsidRDefault="00AB76C6">
    <w:pPr>
      <w:pStyle w:val="FooterOdd"/>
      <w:keepNext/>
      <w:tabs>
        <w:tab w:val="num" w:pos="567"/>
      </w:tabs>
    </w:pPr>
    <w:r>
      <w:t xml:space="preserve">Page </w:t>
    </w:r>
    <w:r>
      <w:rPr>
        <w:rStyle w:val="PageNumber"/>
      </w:rPr>
      <w:fldChar w:fldCharType="begin"/>
    </w:r>
    <w:r>
      <w:rPr>
        <w:rStyle w:val="PageNumber"/>
      </w:rPr>
      <w:instrText xml:space="preserve"> PAGE </w:instrText>
    </w:r>
    <w:r>
      <w:rPr>
        <w:rStyle w:val="PageNumber"/>
      </w:rPr>
      <w:fldChar w:fldCharType="separate"/>
    </w:r>
    <w:r w:rsidR="00085100">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AD5FB" w14:textId="77777777" w:rsidR="00AB76C6" w:rsidRDefault="00AB76C6">
    <w:pPr>
      <w:pStyle w:val="FooterOdd"/>
      <w:keepNext/>
      <w:tabs>
        <w:tab w:val="num" w:pos="567"/>
      </w:tabs>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085100">
      <w:rPr>
        <w:rStyle w:val="PageNumber"/>
        <w:noProof/>
      </w:rPr>
      <w:t>1</w:t>
    </w:r>
    <w:r>
      <w:rPr>
        <w:rStyle w:val="PageNumber"/>
      </w:rPr>
      <w:fldChar w:fldCharType="end"/>
    </w:r>
  </w:p>
  <w:p w14:paraId="725FDFBD" w14:textId="77777777" w:rsidR="00AB76C6" w:rsidRDefault="00896E0B">
    <w:pPr>
      <w:pStyle w:val="FooterOdd"/>
      <w:keepNext/>
      <w:tabs>
        <w:tab w:val="num" w:pos="567"/>
      </w:tabs>
    </w:pPr>
    <w:r w:rsidRPr="00896E0B">
      <w:rPr>
        <w:b/>
      </w:rPr>
      <w:t>DRAFT:</w:t>
    </w:r>
    <w:r>
      <w:t xml:space="preserve">   </w:t>
    </w:r>
    <w:r w:rsidR="00AB76C6">
      <w:t xml:space="preserve">Version of template: </w:t>
    </w:r>
    <w:r w:rsidR="00AB76C6">
      <w:fldChar w:fldCharType="begin"/>
    </w:r>
    <w:r w:rsidR="00AB76C6">
      <w:instrText xml:space="preserve"> DATE \@ "d/MM/yyyy" </w:instrText>
    </w:r>
    <w:r w:rsidR="00AB76C6">
      <w:fldChar w:fldCharType="separate"/>
    </w:r>
    <w:r w:rsidR="00085100">
      <w:rPr>
        <w:noProof/>
      </w:rPr>
      <w:t>12/01/2017</w:t>
    </w:r>
    <w:r w:rsidR="00AB76C6">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09621" w14:textId="77777777" w:rsidR="00AB76C6" w:rsidRDefault="00AB76C6" w:rsidP="00751725">
    <w:pPr>
      <w:pStyle w:val="FooterEven"/>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085100">
      <w:rPr>
        <w:rStyle w:val="PageNumber"/>
        <w:noProof/>
      </w:rPr>
      <w:t>1</w:t>
    </w:r>
    <w:r>
      <w:rPr>
        <w:rStyle w:val="PageNumber"/>
      </w:rPr>
      <w:fldChar w:fldCharType="end"/>
    </w:r>
    <w:r>
      <w:rPr>
        <w:rStyle w:val="PageNumber"/>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FD0A9" w14:textId="77777777" w:rsidR="000E66C3" w:rsidRDefault="000E66C3">
      <w:r>
        <w:separator/>
      </w:r>
    </w:p>
  </w:footnote>
  <w:footnote w:type="continuationSeparator" w:id="0">
    <w:p w14:paraId="339EE670" w14:textId="77777777" w:rsidR="000E66C3" w:rsidRDefault="000E6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6CBA0" w14:textId="77777777" w:rsidR="00AB76C6" w:rsidRPr="00814590" w:rsidRDefault="00CB6703">
    <w:pPr>
      <w:rPr>
        <w:color w:val="800000"/>
        <w:sz w:val="18"/>
        <w:szCs w:val="18"/>
      </w:rPr>
    </w:pPr>
    <w:r>
      <w:rPr>
        <w:color w:val="800000"/>
        <w:sz w:val="18"/>
        <w:szCs w:val="18"/>
      </w:rPr>
      <w:t>Project Agreement for [title of Project]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96C57" w14:textId="77777777" w:rsidR="00AB76C6" w:rsidRPr="00814590" w:rsidRDefault="00AB76C6">
    <w:pPr>
      <w:pStyle w:val="HeaderOdd"/>
      <w:tabs>
        <w:tab w:val="num" w:pos="1134"/>
      </w:tabs>
      <w:rPr>
        <w:color w:val="800000"/>
      </w:rPr>
    </w:pPr>
    <w:r>
      <w:rPr>
        <w:color w:val="800000"/>
      </w:rPr>
      <w:t xml:space="preserve">Project Agreement for </w:t>
    </w:r>
    <w:r w:rsidR="006D0F4E">
      <w:rPr>
        <w:color w:val="800000"/>
      </w:rPr>
      <w:t>Improving Trachoma Control Services for Indigenous Australians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03267" w14:textId="77777777" w:rsidR="00AB76C6" w:rsidRPr="00814590" w:rsidRDefault="00AB76C6" w:rsidP="0036474E">
    <w:pPr>
      <w:pStyle w:val="HeaderOdd"/>
      <w:tabs>
        <w:tab w:val="num" w:pos="1134"/>
      </w:tabs>
      <w:rPr>
        <w:color w:val="800000"/>
      </w:rPr>
    </w:pPr>
    <w:r>
      <w:rPr>
        <w:color w:val="800000"/>
      </w:rPr>
      <w:t xml:space="preserve">Project Agreement for </w:t>
    </w:r>
    <w:r w:rsidR="002279C4">
      <w:rPr>
        <w:color w:val="800000"/>
      </w:rPr>
      <w:t>Improving Trachoma Control Services for Indigenous Australians</w:t>
    </w:r>
  </w:p>
  <w:p w14:paraId="1B7A487A" w14:textId="77777777" w:rsidR="00AB76C6" w:rsidRPr="00751725" w:rsidRDefault="00AB76C6" w:rsidP="0028187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Normalnumbered"/>
      <w:lvlText w:val=""/>
      <w:lvlJc w:val="left"/>
      <w:pPr>
        <w:tabs>
          <w:tab w:val="num" w:pos="360"/>
        </w:tabs>
        <w:ind w:left="360" w:hanging="360"/>
      </w:pPr>
      <w:rPr>
        <w:rFonts w:ascii="Symbol" w:hAnsi="Symbol" w:hint="default"/>
      </w:rPr>
    </w:lvl>
  </w:abstractNum>
  <w:abstractNum w:abstractNumId="1">
    <w:nsid w:val="006F5162"/>
    <w:multiLevelType w:val="hybridMultilevel"/>
    <w:tmpl w:val="DC901E84"/>
    <w:lvl w:ilvl="0" w:tplc="B438712C">
      <w:start w:val="21"/>
      <w:numFmt w:val="decimal"/>
      <w:lvlText w:val="%1."/>
      <w:lvlJc w:val="left"/>
      <w:pPr>
        <w:tabs>
          <w:tab w:val="num" w:pos="567"/>
        </w:tabs>
        <w:ind w:left="567" w:hanging="567"/>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02AB058D"/>
    <w:multiLevelType w:val="multilevel"/>
    <w:tmpl w:val="459E52A0"/>
    <w:lvl w:ilvl="0">
      <w:start w:val="1"/>
      <w:numFmt w:val="lowerRoman"/>
      <w:lvlText w:val="%1."/>
      <w:lvlJc w:val="right"/>
      <w:pPr>
        <w:tabs>
          <w:tab w:val="num" w:pos="1134"/>
        </w:tabs>
        <w:ind w:left="567"/>
      </w:pPr>
      <w:rPr>
        <w:rFonts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lowerRoman"/>
      <w:lvlText w:val="%3."/>
      <w:lvlJc w:val="righ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3">
    <w:nsid w:val="048926AF"/>
    <w:multiLevelType w:val="hybridMultilevel"/>
    <w:tmpl w:val="F81E4EFE"/>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0CDC7973"/>
    <w:multiLevelType w:val="multilevel"/>
    <w:tmpl w:val="85DCB1C2"/>
    <w:lvl w:ilvl="0">
      <w:start w:val="1"/>
      <w:numFmt w:val="lowerRoman"/>
      <w:lvlRestart w:val="0"/>
      <w:pStyle w:val="Romannumeral"/>
      <w:lvlText w:val="(%1)"/>
      <w:lvlJc w:val="left"/>
      <w:pPr>
        <w:tabs>
          <w:tab w:val="num" w:pos="1701"/>
        </w:tabs>
        <w:ind w:left="1701" w:hanging="567"/>
      </w:pPr>
      <w:rPr>
        <w:rFonts w:cs="Times New Roman" w:hint="default"/>
        <w:b w:val="0"/>
        <w:i w:val="0"/>
        <w:color w:val="000000"/>
      </w:rPr>
    </w:lvl>
    <w:lvl w:ilvl="1">
      <w:start w:val="1"/>
      <w:numFmt w:val="decimal"/>
      <w:lvlText w:val="(%2)"/>
      <w:lvlJc w:val="left"/>
      <w:pPr>
        <w:tabs>
          <w:tab w:val="num" w:pos="1701"/>
        </w:tabs>
        <w:ind w:left="1701" w:hanging="283"/>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5">
    <w:nsid w:val="0E3402DD"/>
    <w:multiLevelType w:val="multilevel"/>
    <w:tmpl w:val="EC3431F4"/>
    <w:lvl w:ilvl="0">
      <w:start w:val="1"/>
      <w:numFmt w:val="lowerRoman"/>
      <w:lvlText w:val="%1."/>
      <w:lvlJc w:val="right"/>
      <w:pPr>
        <w:tabs>
          <w:tab w:val="num" w:pos="1134"/>
        </w:tabs>
        <w:ind w:left="567"/>
      </w:pPr>
      <w:rPr>
        <w:rFonts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lowerLetter"/>
      <w:lvlText w:val="%3)"/>
      <w:lvlJc w:val="lef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6">
    <w:nsid w:val="19C960FD"/>
    <w:multiLevelType w:val="multilevel"/>
    <w:tmpl w:val="F9EA08CE"/>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pStyle w:val="Dash"/>
      <w:lvlText w:val="%2"/>
      <w:lvlJc w:val="left"/>
      <w:pPr>
        <w:tabs>
          <w:tab w:val="num" w:pos="1134"/>
        </w:tabs>
        <w:ind w:left="1134" w:hanging="567"/>
      </w:pPr>
      <w:rPr>
        <w:rFonts w:ascii="Times New Roman" w:hAnsi="Times New Roman" w:cs="Times New Roman"/>
        <w:b w:val="0"/>
        <w:i w:val="0"/>
        <w:color w:val="000000"/>
      </w:rPr>
    </w:lvl>
    <w:lvl w:ilvl="2">
      <w:start w:val="1"/>
      <w:numFmt w:val="decimal"/>
      <w:pStyle w:val="DoubleDot"/>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7">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9">
    <w:nsid w:val="244237C5"/>
    <w:multiLevelType w:val="multilevel"/>
    <w:tmpl w:val="59163354"/>
    <w:lvl w:ilvl="0">
      <w:start w:val="1"/>
      <w:numFmt w:val="lowerLetter"/>
      <w:pStyle w:val="OutlineNumbered1"/>
      <w:lvlText w:val="%1)"/>
      <w:lvlJc w:val="left"/>
      <w:pPr>
        <w:tabs>
          <w:tab w:val="num" w:pos="543"/>
        </w:tabs>
        <w:ind w:left="543" w:hanging="543"/>
      </w:pPr>
      <w:rPr>
        <w:rFonts w:cs="Times New Roman"/>
        <w:b w:val="0"/>
        <w:i w:val="0"/>
      </w:rPr>
    </w:lvl>
    <w:lvl w:ilvl="1">
      <w:start w:val="1"/>
      <w:numFmt w:val="decimal"/>
      <w:pStyle w:val="OutlineNumbered2"/>
      <w:lvlText w:val="%1.%2."/>
      <w:lvlJc w:val="left"/>
      <w:pPr>
        <w:tabs>
          <w:tab w:val="num" w:pos="1086"/>
        </w:tabs>
        <w:ind w:left="1086" w:hanging="543"/>
      </w:pPr>
      <w:rPr>
        <w:rFonts w:cs="Times New Roman"/>
        <w:b w:val="0"/>
        <w:i w:val="0"/>
      </w:rPr>
    </w:lvl>
    <w:lvl w:ilvl="2">
      <w:start w:val="1"/>
      <w:numFmt w:val="decimal"/>
      <w:pStyle w:val="OutlineNumbered3"/>
      <w:lvlText w:val="%1.%2.%3."/>
      <w:lvlJc w:val="left"/>
      <w:pPr>
        <w:tabs>
          <w:tab w:val="num" w:pos="1629"/>
        </w:tabs>
        <w:ind w:left="1629" w:hanging="543"/>
      </w:pPr>
      <w:rPr>
        <w:rFonts w:cs="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0">
    <w:nsid w:val="24713418"/>
    <w:multiLevelType w:val="hybridMultilevel"/>
    <w:tmpl w:val="7F44FA3C"/>
    <w:lvl w:ilvl="0" w:tplc="660EB736">
      <w:start w:val="1"/>
      <w:numFmt w:val="lowerLetter"/>
      <w:lvlText w:val="(%1)"/>
      <w:lvlJc w:val="left"/>
      <w:pPr>
        <w:ind w:left="360" w:hanging="360"/>
      </w:pPr>
      <w:rPr>
        <w:rFonts w:hint="default"/>
        <w:b w:val="0"/>
        <w:color w:val="auto"/>
        <w:sz w:val="23"/>
        <w:szCs w:val="23"/>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278D78E7"/>
    <w:multiLevelType w:val="multilevel"/>
    <w:tmpl w:val="5C4AE05C"/>
    <w:lvl w:ilvl="0">
      <w:start w:val="1"/>
      <w:numFmt w:val="lowerRoman"/>
      <w:lvlRestart w:val="0"/>
      <w:lvlText w:val="(%1)"/>
      <w:lvlJc w:val="left"/>
      <w:pPr>
        <w:tabs>
          <w:tab w:val="num" w:pos="1418"/>
        </w:tabs>
        <w:ind w:left="1418" w:hanging="284"/>
      </w:pPr>
      <w:rPr>
        <w:rFonts w:cs="Times New Roman" w:hint="default"/>
        <w:b w:val="0"/>
        <w:i w:val="0"/>
        <w:color w:val="000000"/>
      </w:rPr>
    </w:lvl>
    <w:lvl w:ilvl="1">
      <w:start w:val="1"/>
      <w:numFmt w:val="decimal"/>
      <w:pStyle w:val="Indentednumberpara"/>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2">
    <w:nsid w:val="297A625E"/>
    <w:multiLevelType w:val="multilevel"/>
    <w:tmpl w:val="4412DE6C"/>
    <w:name w:val="AGSDash"/>
    <w:lvl w:ilvl="0">
      <w:start w:val="1"/>
      <w:numFmt w:val="none"/>
      <w:lvlRestart w:val="0"/>
      <w:pStyle w:val="TableIndentHanging"/>
      <w:suff w:val="nothing"/>
      <w:lvlText w:val=""/>
      <w:lvlJc w:val="left"/>
      <w:pPr>
        <w:tabs>
          <w:tab w:val="num" w:pos="567"/>
        </w:tabs>
        <w:ind w:left="567" w:hanging="284"/>
      </w:pPr>
      <w:rPr>
        <w:rFonts w:cs="Times New Roman"/>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13">
    <w:nsid w:val="328B3D39"/>
    <w:multiLevelType w:val="hybridMultilevel"/>
    <w:tmpl w:val="652836B2"/>
    <w:lvl w:ilvl="0" w:tplc="A27C1DFA">
      <w:start w:val="1"/>
      <w:numFmt w:val="bullet"/>
      <w:lvlText w:val=""/>
      <w:lvlJc w:val="left"/>
      <w:pPr>
        <w:tabs>
          <w:tab w:val="num" w:pos="1134"/>
        </w:tabs>
        <w:ind w:left="1134" w:hanging="567"/>
      </w:pPr>
      <w:rPr>
        <w:rFonts w:ascii="ZapfDingbats" w:hAnsi="ZapfDingbats" w:hint="default"/>
        <w:color w:val="000080"/>
        <w:sz w:val="20"/>
      </w:rPr>
    </w:lvl>
    <w:lvl w:ilvl="1" w:tplc="0C090003" w:tentative="1">
      <w:start w:val="1"/>
      <w:numFmt w:val="bullet"/>
      <w:lvlText w:val="o"/>
      <w:lvlJc w:val="left"/>
      <w:pPr>
        <w:tabs>
          <w:tab w:val="num" w:pos="2574"/>
        </w:tabs>
        <w:ind w:left="2574" w:hanging="360"/>
      </w:pPr>
      <w:rPr>
        <w:rFonts w:ascii="Courier New" w:hAnsi="Courier New" w:hint="default"/>
      </w:rPr>
    </w:lvl>
    <w:lvl w:ilvl="2" w:tplc="0C090005" w:tentative="1">
      <w:start w:val="1"/>
      <w:numFmt w:val="bullet"/>
      <w:lvlText w:val=""/>
      <w:lvlJc w:val="left"/>
      <w:pPr>
        <w:tabs>
          <w:tab w:val="num" w:pos="3294"/>
        </w:tabs>
        <w:ind w:left="3294" w:hanging="360"/>
      </w:pPr>
      <w:rPr>
        <w:rFonts w:ascii="Wingdings" w:hAnsi="Wingdings" w:hint="default"/>
      </w:rPr>
    </w:lvl>
    <w:lvl w:ilvl="3" w:tplc="0C090001" w:tentative="1">
      <w:start w:val="1"/>
      <w:numFmt w:val="bullet"/>
      <w:lvlText w:val=""/>
      <w:lvlJc w:val="left"/>
      <w:pPr>
        <w:tabs>
          <w:tab w:val="num" w:pos="4014"/>
        </w:tabs>
        <w:ind w:left="4014" w:hanging="360"/>
      </w:pPr>
      <w:rPr>
        <w:rFonts w:ascii="Symbol" w:hAnsi="Symbol" w:hint="default"/>
      </w:rPr>
    </w:lvl>
    <w:lvl w:ilvl="4" w:tplc="0C090003" w:tentative="1">
      <w:start w:val="1"/>
      <w:numFmt w:val="bullet"/>
      <w:lvlText w:val="o"/>
      <w:lvlJc w:val="left"/>
      <w:pPr>
        <w:tabs>
          <w:tab w:val="num" w:pos="4734"/>
        </w:tabs>
        <w:ind w:left="4734" w:hanging="360"/>
      </w:pPr>
      <w:rPr>
        <w:rFonts w:ascii="Courier New" w:hAnsi="Courier New" w:hint="default"/>
      </w:rPr>
    </w:lvl>
    <w:lvl w:ilvl="5" w:tplc="0C090005" w:tentative="1">
      <w:start w:val="1"/>
      <w:numFmt w:val="bullet"/>
      <w:lvlText w:val=""/>
      <w:lvlJc w:val="left"/>
      <w:pPr>
        <w:tabs>
          <w:tab w:val="num" w:pos="5454"/>
        </w:tabs>
        <w:ind w:left="5454" w:hanging="360"/>
      </w:pPr>
      <w:rPr>
        <w:rFonts w:ascii="Wingdings" w:hAnsi="Wingdings" w:hint="default"/>
      </w:rPr>
    </w:lvl>
    <w:lvl w:ilvl="6" w:tplc="0C090001" w:tentative="1">
      <w:start w:val="1"/>
      <w:numFmt w:val="bullet"/>
      <w:lvlText w:val=""/>
      <w:lvlJc w:val="left"/>
      <w:pPr>
        <w:tabs>
          <w:tab w:val="num" w:pos="6174"/>
        </w:tabs>
        <w:ind w:left="6174" w:hanging="360"/>
      </w:pPr>
      <w:rPr>
        <w:rFonts w:ascii="Symbol" w:hAnsi="Symbol" w:hint="default"/>
      </w:rPr>
    </w:lvl>
    <w:lvl w:ilvl="7" w:tplc="0C090003" w:tentative="1">
      <w:start w:val="1"/>
      <w:numFmt w:val="bullet"/>
      <w:lvlText w:val="o"/>
      <w:lvlJc w:val="left"/>
      <w:pPr>
        <w:tabs>
          <w:tab w:val="num" w:pos="6894"/>
        </w:tabs>
        <w:ind w:left="6894" w:hanging="360"/>
      </w:pPr>
      <w:rPr>
        <w:rFonts w:ascii="Courier New" w:hAnsi="Courier New" w:hint="default"/>
      </w:rPr>
    </w:lvl>
    <w:lvl w:ilvl="8" w:tplc="0C090005" w:tentative="1">
      <w:start w:val="1"/>
      <w:numFmt w:val="bullet"/>
      <w:lvlText w:val=""/>
      <w:lvlJc w:val="left"/>
      <w:pPr>
        <w:tabs>
          <w:tab w:val="num" w:pos="7614"/>
        </w:tabs>
        <w:ind w:left="7614" w:hanging="360"/>
      </w:pPr>
      <w:rPr>
        <w:rFonts w:ascii="Wingdings" w:hAnsi="Wingdings" w:hint="default"/>
      </w:rPr>
    </w:lvl>
  </w:abstractNum>
  <w:abstractNum w:abstractNumId="14">
    <w:nsid w:val="36FF0C5B"/>
    <w:multiLevelType w:val="hybridMultilevel"/>
    <w:tmpl w:val="E342E490"/>
    <w:lvl w:ilvl="0" w:tplc="FAB6A872">
      <w:start w:val="1"/>
      <w:numFmt w:val="lowerLetter"/>
      <w:lvlText w:val="(%1)"/>
      <w:lvlJc w:val="left"/>
      <w:pPr>
        <w:ind w:left="360" w:hanging="360"/>
      </w:pPr>
      <w:rPr>
        <w:rFonts w:ascii="Corbel" w:eastAsia="Times New Roman" w:hAnsi="Corbel" w:cs="Arial"/>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437110BE"/>
    <w:multiLevelType w:val="hybridMultilevel"/>
    <w:tmpl w:val="800EFCE6"/>
    <w:lvl w:ilvl="0" w:tplc="951E19A6">
      <w:start w:val="1"/>
      <w:numFmt w:val="lowerLetter"/>
      <w:lvlText w:val="%1)"/>
      <w:lvlJc w:val="left"/>
      <w:pPr>
        <w:ind w:left="360" w:hanging="360"/>
      </w:pPr>
      <w:rPr>
        <w:b w:val="0"/>
        <w:color w:val="auto"/>
        <w:sz w:val="23"/>
        <w:szCs w:val="23"/>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45227980"/>
    <w:multiLevelType w:val="multilevel"/>
    <w:tmpl w:val="73ECACC0"/>
    <w:lvl w:ilvl="0">
      <w:start w:val="1"/>
      <w:numFmt w:val="lowerLetter"/>
      <w:lvlRestart w:val="0"/>
      <w:lvlText w:val="(%1)"/>
      <w:lvlJc w:val="left"/>
      <w:pPr>
        <w:tabs>
          <w:tab w:val="num" w:pos="1701"/>
        </w:tabs>
        <w:ind w:left="1134"/>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7">
    <w:nsid w:val="467958A1"/>
    <w:multiLevelType w:val="multilevel"/>
    <w:tmpl w:val="4796CDC2"/>
    <w:lvl w:ilvl="0">
      <w:start w:val="1"/>
      <w:numFmt w:val="upperLetter"/>
      <w:pStyle w:val="ScheduleStartNnumber"/>
      <w:suff w:val="nothing"/>
      <w:lvlText w:val="%1"/>
      <w:lvlJc w:val="left"/>
      <w:rPr>
        <w:rFonts w:cs="Times New Roman" w:hint="default"/>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8">
    <w:nsid w:val="4CE06931"/>
    <w:multiLevelType w:val="singleLevel"/>
    <w:tmpl w:val="4366EF18"/>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19">
    <w:nsid w:val="55CE0768"/>
    <w:multiLevelType w:val="hybridMultilevel"/>
    <w:tmpl w:val="9190AFEA"/>
    <w:lvl w:ilvl="0" w:tplc="0206F444">
      <w:start w:val="1"/>
      <w:numFmt w:val="bullet"/>
      <w:pStyle w:val="AgreementParties"/>
      <w:lvlText w:val=""/>
      <w:lvlJc w:val="left"/>
      <w:pPr>
        <w:tabs>
          <w:tab w:val="num" w:pos="567"/>
        </w:tabs>
        <w:ind w:left="567" w:hanging="567"/>
      </w:pPr>
      <w:rPr>
        <w:rFonts w:ascii="ZapfDingbats" w:hAnsi="ZapfDingbats" w:hint="default"/>
        <w:color w:val="000080"/>
        <w:sz w:val="20"/>
      </w:rPr>
    </w:lvl>
    <w:lvl w:ilvl="1" w:tplc="54E077B4" w:tentative="1">
      <w:start w:val="1"/>
      <w:numFmt w:val="bullet"/>
      <w:lvlText w:val="o"/>
      <w:lvlJc w:val="left"/>
      <w:pPr>
        <w:tabs>
          <w:tab w:val="num" w:pos="1440"/>
        </w:tabs>
        <w:ind w:left="1440" w:hanging="360"/>
      </w:pPr>
      <w:rPr>
        <w:rFonts w:ascii="Courier New" w:hAnsi="Courier New" w:hint="default"/>
      </w:rPr>
    </w:lvl>
    <w:lvl w:ilvl="2" w:tplc="C0E6D21E" w:tentative="1">
      <w:start w:val="1"/>
      <w:numFmt w:val="bullet"/>
      <w:lvlText w:val=""/>
      <w:lvlJc w:val="left"/>
      <w:pPr>
        <w:tabs>
          <w:tab w:val="num" w:pos="2160"/>
        </w:tabs>
        <w:ind w:left="2160" w:hanging="360"/>
      </w:pPr>
      <w:rPr>
        <w:rFonts w:ascii="Wingdings" w:hAnsi="Wingdings" w:hint="default"/>
      </w:rPr>
    </w:lvl>
    <w:lvl w:ilvl="3" w:tplc="4964E6A6" w:tentative="1">
      <w:start w:val="1"/>
      <w:numFmt w:val="bullet"/>
      <w:lvlText w:val=""/>
      <w:lvlJc w:val="left"/>
      <w:pPr>
        <w:tabs>
          <w:tab w:val="num" w:pos="2880"/>
        </w:tabs>
        <w:ind w:left="2880" w:hanging="360"/>
      </w:pPr>
      <w:rPr>
        <w:rFonts w:ascii="Symbol" w:hAnsi="Symbol" w:hint="default"/>
      </w:rPr>
    </w:lvl>
    <w:lvl w:ilvl="4" w:tplc="1758C9A0" w:tentative="1">
      <w:start w:val="1"/>
      <w:numFmt w:val="bullet"/>
      <w:lvlText w:val="o"/>
      <w:lvlJc w:val="left"/>
      <w:pPr>
        <w:tabs>
          <w:tab w:val="num" w:pos="3600"/>
        </w:tabs>
        <w:ind w:left="3600" w:hanging="360"/>
      </w:pPr>
      <w:rPr>
        <w:rFonts w:ascii="Courier New" w:hAnsi="Courier New" w:hint="default"/>
      </w:rPr>
    </w:lvl>
    <w:lvl w:ilvl="5" w:tplc="918063DA" w:tentative="1">
      <w:start w:val="1"/>
      <w:numFmt w:val="bullet"/>
      <w:lvlText w:val=""/>
      <w:lvlJc w:val="left"/>
      <w:pPr>
        <w:tabs>
          <w:tab w:val="num" w:pos="4320"/>
        </w:tabs>
        <w:ind w:left="4320" w:hanging="360"/>
      </w:pPr>
      <w:rPr>
        <w:rFonts w:ascii="Wingdings" w:hAnsi="Wingdings" w:hint="default"/>
      </w:rPr>
    </w:lvl>
    <w:lvl w:ilvl="6" w:tplc="310CFC8A" w:tentative="1">
      <w:start w:val="1"/>
      <w:numFmt w:val="bullet"/>
      <w:lvlText w:val=""/>
      <w:lvlJc w:val="left"/>
      <w:pPr>
        <w:tabs>
          <w:tab w:val="num" w:pos="5040"/>
        </w:tabs>
        <w:ind w:left="5040" w:hanging="360"/>
      </w:pPr>
      <w:rPr>
        <w:rFonts w:ascii="Symbol" w:hAnsi="Symbol" w:hint="default"/>
      </w:rPr>
    </w:lvl>
    <w:lvl w:ilvl="7" w:tplc="C9C07C10" w:tentative="1">
      <w:start w:val="1"/>
      <w:numFmt w:val="bullet"/>
      <w:lvlText w:val="o"/>
      <w:lvlJc w:val="left"/>
      <w:pPr>
        <w:tabs>
          <w:tab w:val="num" w:pos="5760"/>
        </w:tabs>
        <w:ind w:left="5760" w:hanging="360"/>
      </w:pPr>
      <w:rPr>
        <w:rFonts w:ascii="Courier New" w:hAnsi="Courier New" w:hint="default"/>
      </w:rPr>
    </w:lvl>
    <w:lvl w:ilvl="8" w:tplc="F5929A12" w:tentative="1">
      <w:start w:val="1"/>
      <w:numFmt w:val="bullet"/>
      <w:lvlText w:val=""/>
      <w:lvlJc w:val="left"/>
      <w:pPr>
        <w:tabs>
          <w:tab w:val="num" w:pos="6480"/>
        </w:tabs>
        <w:ind w:left="6480" w:hanging="360"/>
      </w:pPr>
      <w:rPr>
        <w:rFonts w:ascii="Wingdings" w:hAnsi="Wingdings" w:hint="default"/>
      </w:rPr>
    </w:lvl>
  </w:abstractNum>
  <w:abstractNum w:abstractNumId="20">
    <w:nsid w:val="5770286C"/>
    <w:multiLevelType w:val="hybridMultilevel"/>
    <w:tmpl w:val="EA348F06"/>
    <w:lvl w:ilvl="0" w:tplc="E4760E08">
      <w:start w:val="1"/>
      <w:numFmt w:val="lowerLetter"/>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8101827"/>
    <w:multiLevelType w:val="multilevel"/>
    <w:tmpl w:val="072C6E52"/>
    <w:lvl w:ilvl="0">
      <w:start w:val="1"/>
      <w:numFmt w:val="bullet"/>
      <w:lvlRestart w:val="0"/>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2">
    <w:nsid w:val="59B70749"/>
    <w:multiLevelType w:val="multilevel"/>
    <w:tmpl w:val="73ECACC0"/>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3">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4">
    <w:nsid w:val="6B9B561B"/>
    <w:multiLevelType w:val="hybridMultilevel"/>
    <w:tmpl w:val="199E1430"/>
    <w:lvl w:ilvl="0" w:tplc="58EA910C">
      <w:start w:val="1"/>
      <w:numFmt w:val="lowerLetter"/>
      <w:lvlText w:val="(%1)"/>
      <w:lvlJc w:val="left"/>
      <w:pPr>
        <w:ind w:left="927" w:hanging="360"/>
      </w:pPr>
      <w:rPr>
        <w:rFonts w:cs="Times New Roman" w:hint="default"/>
      </w:rPr>
    </w:lvl>
    <w:lvl w:ilvl="1" w:tplc="0C090019" w:tentative="1">
      <w:start w:val="1"/>
      <w:numFmt w:val="lowerLetter"/>
      <w:lvlText w:val="%2."/>
      <w:lvlJc w:val="left"/>
      <w:pPr>
        <w:ind w:left="1647" w:hanging="360"/>
      </w:pPr>
      <w:rPr>
        <w:rFonts w:cs="Times New Roman"/>
      </w:rPr>
    </w:lvl>
    <w:lvl w:ilvl="2" w:tplc="0C09001B" w:tentative="1">
      <w:start w:val="1"/>
      <w:numFmt w:val="lowerRoman"/>
      <w:lvlText w:val="%3."/>
      <w:lvlJc w:val="right"/>
      <w:pPr>
        <w:ind w:left="2367" w:hanging="180"/>
      </w:pPr>
      <w:rPr>
        <w:rFonts w:cs="Times New Roman"/>
      </w:rPr>
    </w:lvl>
    <w:lvl w:ilvl="3" w:tplc="0C09000F" w:tentative="1">
      <w:start w:val="1"/>
      <w:numFmt w:val="decimal"/>
      <w:lvlText w:val="%4."/>
      <w:lvlJc w:val="left"/>
      <w:pPr>
        <w:ind w:left="3087" w:hanging="360"/>
      </w:pPr>
      <w:rPr>
        <w:rFonts w:cs="Times New Roman"/>
      </w:rPr>
    </w:lvl>
    <w:lvl w:ilvl="4" w:tplc="0C090019" w:tentative="1">
      <w:start w:val="1"/>
      <w:numFmt w:val="lowerLetter"/>
      <w:lvlText w:val="%5."/>
      <w:lvlJc w:val="left"/>
      <w:pPr>
        <w:ind w:left="3807" w:hanging="360"/>
      </w:pPr>
      <w:rPr>
        <w:rFonts w:cs="Times New Roman"/>
      </w:rPr>
    </w:lvl>
    <w:lvl w:ilvl="5" w:tplc="0C09001B" w:tentative="1">
      <w:start w:val="1"/>
      <w:numFmt w:val="lowerRoman"/>
      <w:lvlText w:val="%6."/>
      <w:lvlJc w:val="right"/>
      <w:pPr>
        <w:ind w:left="4527" w:hanging="180"/>
      </w:pPr>
      <w:rPr>
        <w:rFonts w:cs="Times New Roman"/>
      </w:rPr>
    </w:lvl>
    <w:lvl w:ilvl="6" w:tplc="0C09000F" w:tentative="1">
      <w:start w:val="1"/>
      <w:numFmt w:val="decimal"/>
      <w:lvlText w:val="%7."/>
      <w:lvlJc w:val="left"/>
      <w:pPr>
        <w:ind w:left="5247" w:hanging="360"/>
      </w:pPr>
      <w:rPr>
        <w:rFonts w:cs="Times New Roman"/>
      </w:rPr>
    </w:lvl>
    <w:lvl w:ilvl="7" w:tplc="0C090019" w:tentative="1">
      <w:start w:val="1"/>
      <w:numFmt w:val="lowerLetter"/>
      <w:lvlText w:val="%8."/>
      <w:lvlJc w:val="left"/>
      <w:pPr>
        <w:ind w:left="5967" w:hanging="360"/>
      </w:pPr>
      <w:rPr>
        <w:rFonts w:cs="Times New Roman"/>
      </w:rPr>
    </w:lvl>
    <w:lvl w:ilvl="8" w:tplc="0C09001B" w:tentative="1">
      <w:start w:val="1"/>
      <w:numFmt w:val="lowerRoman"/>
      <w:lvlText w:val="%9."/>
      <w:lvlJc w:val="right"/>
      <w:pPr>
        <w:ind w:left="6687" w:hanging="180"/>
      </w:pPr>
      <w:rPr>
        <w:rFonts w:cs="Times New Roman"/>
      </w:rPr>
    </w:lvl>
  </w:abstractNum>
  <w:abstractNum w:abstractNumId="25">
    <w:nsid w:val="6D7A39BC"/>
    <w:multiLevelType w:val="multilevel"/>
    <w:tmpl w:val="8684E98A"/>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rFonts w:cs="Times New Roman" w:hint="default"/>
        <w:color w:val="800000"/>
      </w:rPr>
    </w:lvl>
  </w:abstractNum>
  <w:abstractNum w:abstractNumId="26">
    <w:nsid w:val="766A100C"/>
    <w:multiLevelType w:val="multilevel"/>
    <w:tmpl w:val="E1C621AE"/>
    <w:lvl w:ilvl="0">
      <w:start w:val="2"/>
      <w:numFmt w:val="decimal"/>
      <w:pStyle w:val="NumberedParagraph"/>
      <w:lvlText w:val="%1."/>
      <w:lvlJc w:val="left"/>
      <w:pPr>
        <w:tabs>
          <w:tab w:val="num" w:pos="567"/>
        </w:tabs>
      </w:pPr>
      <w:rPr>
        <w:rFonts w:cs="Bauhaus 93" w:hint="default"/>
      </w:rPr>
    </w:lvl>
    <w:lvl w:ilvl="1">
      <w:start w:val="1"/>
      <w:numFmt w:val="lowerLetter"/>
      <w:lvlText w:val="(%2)"/>
      <w:lvlJc w:val="left"/>
      <w:pPr>
        <w:tabs>
          <w:tab w:val="num" w:pos="1701"/>
        </w:tabs>
        <w:ind w:left="1701" w:hanging="567"/>
      </w:pPr>
      <w:rPr>
        <w:rFonts w:cs="Bauhaus 93" w:hint="default"/>
      </w:rPr>
    </w:lvl>
    <w:lvl w:ilvl="2">
      <w:start w:val="1"/>
      <w:numFmt w:val="lowerRoman"/>
      <w:lvlText w:val="(%3)"/>
      <w:lvlJc w:val="left"/>
      <w:pPr>
        <w:tabs>
          <w:tab w:val="num" w:pos="2268"/>
        </w:tabs>
        <w:ind w:left="2268" w:hanging="567"/>
      </w:pPr>
      <w:rPr>
        <w:rFonts w:cs="Bauhaus 93" w:hint="default"/>
      </w:rPr>
    </w:lvl>
    <w:lvl w:ilvl="3">
      <w:start w:val="1"/>
      <w:numFmt w:val="decimal"/>
      <w:lvlText w:val="(%4)"/>
      <w:lvlJc w:val="left"/>
      <w:pPr>
        <w:tabs>
          <w:tab w:val="num" w:pos="2007"/>
        </w:tabs>
        <w:ind w:left="2007" w:hanging="360"/>
      </w:pPr>
      <w:rPr>
        <w:rFonts w:cs="Bauhaus 93" w:hint="default"/>
      </w:rPr>
    </w:lvl>
    <w:lvl w:ilvl="4">
      <w:start w:val="1"/>
      <w:numFmt w:val="lowerLetter"/>
      <w:lvlText w:val="(%5)"/>
      <w:lvlJc w:val="left"/>
      <w:pPr>
        <w:tabs>
          <w:tab w:val="num" w:pos="2367"/>
        </w:tabs>
        <w:ind w:left="2367" w:hanging="360"/>
      </w:pPr>
      <w:rPr>
        <w:rFonts w:cs="Bauhaus 93" w:hint="default"/>
      </w:rPr>
    </w:lvl>
    <w:lvl w:ilvl="5">
      <w:start w:val="1"/>
      <w:numFmt w:val="lowerRoman"/>
      <w:lvlText w:val="(%6)"/>
      <w:lvlJc w:val="left"/>
      <w:pPr>
        <w:tabs>
          <w:tab w:val="num" w:pos="2727"/>
        </w:tabs>
        <w:ind w:left="2727" w:hanging="360"/>
      </w:pPr>
      <w:rPr>
        <w:rFonts w:cs="Bauhaus 93" w:hint="default"/>
      </w:rPr>
    </w:lvl>
    <w:lvl w:ilvl="6">
      <w:start w:val="1"/>
      <w:numFmt w:val="decimal"/>
      <w:lvlText w:val="%7."/>
      <w:lvlJc w:val="left"/>
      <w:pPr>
        <w:tabs>
          <w:tab w:val="num" w:pos="3087"/>
        </w:tabs>
        <w:ind w:left="3087" w:hanging="360"/>
      </w:pPr>
      <w:rPr>
        <w:rFonts w:cs="Bauhaus 93" w:hint="default"/>
      </w:rPr>
    </w:lvl>
    <w:lvl w:ilvl="7">
      <w:start w:val="1"/>
      <w:numFmt w:val="lowerLetter"/>
      <w:lvlText w:val="%8."/>
      <w:lvlJc w:val="left"/>
      <w:pPr>
        <w:tabs>
          <w:tab w:val="num" w:pos="3447"/>
        </w:tabs>
        <w:ind w:left="3447" w:hanging="360"/>
      </w:pPr>
      <w:rPr>
        <w:rFonts w:cs="Bauhaus 93" w:hint="default"/>
      </w:rPr>
    </w:lvl>
    <w:lvl w:ilvl="8">
      <w:start w:val="1"/>
      <w:numFmt w:val="lowerRoman"/>
      <w:lvlText w:val="%9."/>
      <w:lvlJc w:val="left"/>
      <w:pPr>
        <w:tabs>
          <w:tab w:val="num" w:pos="3807"/>
        </w:tabs>
        <w:ind w:left="3807" w:hanging="360"/>
      </w:pPr>
      <w:rPr>
        <w:rFonts w:cs="Bauhaus 93" w:hint="default"/>
      </w:rPr>
    </w:lvl>
  </w:abstractNum>
  <w:abstractNum w:abstractNumId="27">
    <w:nsid w:val="78854AAC"/>
    <w:multiLevelType w:val="hybridMultilevel"/>
    <w:tmpl w:val="DEA4CF3A"/>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7DEE6EAE"/>
    <w:multiLevelType w:val="multilevel"/>
    <w:tmpl w:val="E3747C8C"/>
    <w:lvl w:ilvl="0">
      <w:start w:val="1"/>
      <w:numFmt w:val="lowerLetter"/>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lowerRoman"/>
      <w:lvlText w:val="%3."/>
      <w:lvlJc w:val="righ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num w:numId="1">
    <w:abstractNumId w:val="0"/>
  </w:num>
  <w:num w:numId="2">
    <w:abstractNumId w:val="9"/>
  </w:num>
  <w:num w:numId="3">
    <w:abstractNumId w:val="18"/>
  </w:num>
  <w:num w:numId="4">
    <w:abstractNumId w:val="21"/>
  </w:num>
  <w:num w:numId="5">
    <w:abstractNumId w:val="6"/>
  </w:num>
  <w:num w:numId="6">
    <w:abstractNumId w:val="23"/>
  </w:num>
  <w:num w:numId="7">
    <w:abstractNumId w:val="13"/>
  </w:num>
  <w:num w:numId="8">
    <w:abstractNumId w:val="7"/>
  </w:num>
  <w:num w:numId="9">
    <w:abstractNumId w:val="11"/>
  </w:num>
  <w:num w:numId="10">
    <w:abstractNumId w:val="27"/>
  </w:num>
  <w:num w:numId="11">
    <w:abstractNumId w:val="4"/>
  </w:num>
  <w:num w:numId="12">
    <w:abstractNumId w:val="19"/>
  </w:num>
  <w:num w:numId="13">
    <w:abstractNumId w:val="25"/>
  </w:num>
  <w:num w:numId="14">
    <w:abstractNumId w:val="17"/>
  </w:num>
  <w:num w:numId="15">
    <w:abstractNumId w:val="22"/>
  </w:num>
  <w:num w:numId="16">
    <w:abstractNumId w:val="26"/>
  </w:num>
  <w:num w:numId="17">
    <w:abstractNumId w:val="8"/>
  </w:num>
  <w:num w:numId="18">
    <w:abstractNumId w:val="12"/>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4"/>
  </w:num>
  <w:num w:numId="23">
    <w:abstractNumId w:val="28"/>
  </w:num>
  <w:num w:numId="24">
    <w:abstractNumId w:val="16"/>
  </w:num>
  <w:num w:numId="25">
    <w:abstractNumId w:val="20"/>
  </w:num>
  <w:num w:numId="26">
    <w:abstractNumId w:val="3"/>
  </w:num>
  <w:num w:numId="27">
    <w:abstractNumId w:val="15"/>
  </w:num>
  <w:num w:numId="28">
    <w:abstractNumId w:val="5"/>
  </w:num>
  <w:num w:numId="29">
    <w:abstractNumId w:val="14"/>
  </w:num>
  <w:num w:numId="30">
    <w:abstractNumId w:val="10"/>
  </w:num>
  <w:num w:numId="31">
    <w:abstractNumId w:val="2"/>
  </w:num>
  <w:num w:numId="32">
    <w:abstractNumId w:val="0"/>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67"/>
    <w:rsid w:val="00005A5D"/>
    <w:rsid w:val="000076D9"/>
    <w:rsid w:val="00014105"/>
    <w:rsid w:val="00021708"/>
    <w:rsid w:val="00030CB2"/>
    <w:rsid w:val="00034006"/>
    <w:rsid w:val="000343F1"/>
    <w:rsid w:val="00044700"/>
    <w:rsid w:val="0006051B"/>
    <w:rsid w:val="000614F9"/>
    <w:rsid w:val="0006451A"/>
    <w:rsid w:val="0006551D"/>
    <w:rsid w:val="00065679"/>
    <w:rsid w:val="0007004C"/>
    <w:rsid w:val="000724F6"/>
    <w:rsid w:val="00074611"/>
    <w:rsid w:val="00074A62"/>
    <w:rsid w:val="00075B94"/>
    <w:rsid w:val="00080EC5"/>
    <w:rsid w:val="00085100"/>
    <w:rsid w:val="00086712"/>
    <w:rsid w:val="00086784"/>
    <w:rsid w:val="00091DF8"/>
    <w:rsid w:val="00093CB6"/>
    <w:rsid w:val="00093DD8"/>
    <w:rsid w:val="00097794"/>
    <w:rsid w:val="000A0C9E"/>
    <w:rsid w:val="000A5191"/>
    <w:rsid w:val="000B4080"/>
    <w:rsid w:val="000B7685"/>
    <w:rsid w:val="000C714F"/>
    <w:rsid w:val="000D19D8"/>
    <w:rsid w:val="000D1C37"/>
    <w:rsid w:val="000D4377"/>
    <w:rsid w:val="000E075D"/>
    <w:rsid w:val="000E2AF6"/>
    <w:rsid w:val="000E36B7"/>
    <w:rsid w:val="000E3C70"/>
    <w:rsid w:val="000E48C3"/>
    <w:rsid w:val="000E66C3"/>
    <w:rsid w:val="000F0880"/>
    <w:rsid w:val="000F25D5"/>
    <w:rsid w:val="000F6CF6"/>
    <w:rsid w:val="000F7783"/>
    <w:rsid w:val="00103D0A"/>
    <w:rsid w:val="00103FA5"/>
    <w:rsid w:val="00103FD6"/>
    <w:rsid w:val="00105F39"/>
    <w:rsid w:val="001065EE"/>
    <w:rsid w:val="00110F5D"/>
    <w:rsid w:val="001134AC"/>
    <w:rsid w:val="00115166"/>
    <w:rsid w:val="00115A97"/>
    <w:rsid w:val="00122DBA"/>
    <w:rsid w:val="001262B5"/>
    <w:rsid w:val="00132587"/>
    <w:rsid w:val="001404A9"/>
    <w:rsid w:val="00140F43"/>
    <w:rsid w:val="00145D5C"/>
    <w:rsid w:val="00151133"/>
    <w:rsid w:val="00160506"/>
    <w:rsid w:val="001629FA"/>
    <w:rsid w:val="00165CAB"/>
    <w:rsid w:val="00166312"/>
    <w:rsid w:val="00167BB8"/>
    <w:rsid w:val="00172360"/>
    <w:rsid w:val="00172E3A"/>
    <w:rsid w:val="00173F81"/>
    <w:rsid w:val="00174C2A"/>
    <w:rsid w:val="00175FB9"/>
    <w:rsid w:val="00177A0A"/>
    <w:rsid w:val="00180F76"/>
    <w:rsid w:val="00183EAB"/>
    <w:rsid w:val="00185CC1"/>
    <w:rsid w:val="00187BEB"/>
    <w:rsid w:val="001931E8"/>
    <w:rsid w:val="00194232"/>
    <w:rsid w:val="00194587"/>
    <w:rsid w:val="001A1422"/>
    <w:rsid w:val="001A14C1"/>
    <w:rsid w:val="001A3A9A"/>
    <w:rsid w:val="001A4093"/>
    <w:rsid w:val="001A79C1"/>
    <w:rsid w:val="001A7A15"/>
    <w:rsid w:val="001B19A0"/>
    <w:rsid w:val="001B1CA3"/>
    <w:rsid w:val="001B447F"/>
    <w:rsid w:val="001B580E"/>
    <w:rsid w:val="001B7933"/>
    <w:rsid w:val="001C346E"/>
    <w:rsid w:val="001C3717"/>
    <w:rsid w:val="001C5CC5"/>
    <w:rsid w:val="001D2C27"/>
    <w:rsid w:val="001D3CAD"/>
    <w:rsid w:val="001D586E"/>
    <w:rsid w:val="001D6E9A"/>
    <w:rsid w:val="001E20EC"/>
    <w:rsid w:val="001E4479"/>
    <w:rsid w:val="001E7173"/>
    <w:rsid w:val="001E74D0"/>
    <w:rsid w:val="001E7803"/>
    <w:rsid w:val="001F1D48"/>
    <w:rsid w:val="001F3A1F"/>
    <w:rsid w:val="001F6F39"/>
    <w:rsid w:val="001F6FE8"/>
    <w:rsid w:val="0020144E"/>
    <w:rsid w:val="00203319"/>
    <w:rsid w:val="00205E18"/>
    <w:rsid w:val="002069F9"/>
    <w:rsid w:val="00212869"/>
    <w:rsid w:val="00221308"/>
    <w:rsid w:val="00222C97"/>
    <w:rsid w:val="00225761"/>
    <w:rsid w:val="002279C4"/>
    <w:rsid w:val="00233835"/>
    <w:rsid w:val="00236117"/>
    <w:rsid w:val="00241C99"/>
    <w:rsid w:val="00241EE9"/>
    <w:rsid w:val="002444A8"/>
    <w:rsid w:val="00247D45"/>
    <w:rsid w:val="00252551"/>
    <w:rsid w:val="00261ABA"/>
    <w:rsid w:val="00262E18"/>
    <w:rsid w:val="0026571E"/>
    <w:rsid w:val="00281874"/>
    <w:rsid w:val="0028271D"/>
    <w:rsid w:val="00282C25"/>
    <w:rsid w:val="00284884"/>
    <w:rsid w:val="00285003"/>
    <w:rsid w:val="002869F5"/>
    <w:rsid w:val="00287DCC"/>
    <w:rsid w:val="00291CF1"/>
    <w:rsid w:val="00292587"/>
    <w:rsid w:val="002A0896"/>
    <w:rsid w:val="002A143D"/>
    <w:rsid w:val="002A3DE9"/>
    <w:rsid w:val="002A493A"/>
    <w:rsid w:val="002A530A"/>
    <w:rsid w:val="002A5884"/>
    <w:rsid w:val="002A6981"/>
    <w:rsid w:val="002B1C50"/>
    <w:rsid w:val="002B207C"/>
    <w:rsid w:val="002B7922"/>
    <w:rsid w:val="002B7E1B"/>
    <w:rsid w:val="002C0DBF"/>
    <w:rsid w:val="002C2529"/>
    <w:rsid w:val="002C2A03"/>
    <w:rsid w:val="002C62B3"/>
    <w:rsid w:val="002C7620"/>
    <w:rsid w:val="002D122C"/>
    <w:rsid w:val="002D7CF9"/>
    <w:rsid w:val="002E144A"/>
    <w:rsid w:val="002E2DE2"/>
    <w:rsid w:val="002E4B66"/>
    <w:rsid w:val="002F576E"/>
    <w:rsid w:val="002F5B29"/>
    <w:rsid w:val="002F5B54"/>
    <w:rsid w:val="002F5C6C"/>
    <w:rsid w:val="002F7E40"/>
    <w:rsid w:val="003012DA"/>
    <w:rsid w:val="00307C5C"/>
    <w:rsid w:val="00312CFE"/>
    <w:rsid w:val="00313480"/>
    <w:rsid w:val="00313C98"/>
    <w:rsid w:val="00313FD9"/>
    <w:rsid w:val="003155BD"/>
    <w:rsid w:val="003177B9"/>
    <w:rsid w:val="00321E0A"/>
    <w:rsid w:val="00333506"/>
    <w:rsid w:val="00340987"/>
    <w:rsid w:val="003410AA"/>
    <w:rsid w:val="0034465F"/>
    <w:rsid w:val="00352A6B"/>
    <w:rsid w:val="00352EC1"/>
    <w:rsid w:val="00354563"/>
    <w:rsid w:val="00361054"/>
    <w:rsid w:val="0036119D"/>
    <w:rsid w:val="003637A0"/>
    <w:rsid w:val="0036474E"/>
    <w:rsid w:val="00364CF3"/>
    <w:rsid w:val="00365CAA"/>
    <w:rsid w:val="00367EAB"/>
    <w:rsid w:val="00372573"/>
    <w:rsid w:val="00377AB2"/>
    <w:rsid w:val="003877C3"/>
    <w:rsid w:val="00390CCA"/>
    <w:rsid w:val="0039283B"/>
    <w:rsid w:val="00396EA4"/>
    <w:rsid w:val="0039710A"/>
    <w:rsid w:val="003A2157"/>
    <w:rsid w:val="003A3363"/>
    <w:rsid w:val="003A3905"/>
    <w:rsid w:val="003A3CC1"/>
    <w:rsid w:val="003A6635"/>
    <w:rsid w:val="003A6B0E"/>
    <w:rsid w:val="003A7634"/>
    <w:rsid w:val="003A78C6"/>
    <w:rsid w:val="003B5562"/>
    <w:rsid w:val="003B6363"/>
    <w:rsid w:val="003B737F"/>
    <w:rsid w:val="003C0CF7"/>
    <w:rsid w:val="003C22EC"/>
    <w:rsid w:val="003C2E5D"/>
    <w:rsid w:val="003C59E0"/>
    <w:rsid w:val="003C6F2A"/>
    <w:rsid w:val="003D743C"/>
    <w:rsid w:val="003E33BA"/>
    <w:rsid w:val="003E6BA0"/>
    <w:rsid w:val="003E73DB"/>
    <w:rsid w:val="003F0ADC"/>
    <w:rsid w:val="003F59E6"/>
    <w:rsid w:val="003F5BE6"/>
    <w:rsid w:val="003F6C00"/>
    <w:rsid w:val="004120B1"/>
    <w:rsid w:val="00413E74"/>
    <w:rsid w:val="0041421D"/>
    <w:rsid w:val="0041490D"/>
    <w:rsid w:val="00414A5C"/>
    <w:rsid w:val="004156B4"/>
    <w:rsid w:val="0041697F"/>
    <w:rsid w:val="00420235"/>
    <w:rsid w:val="004223AA"/>
    <w:rsid w:val="00423104"/>
    <w:rsid w:val="004267D3"/>
    <w:rsid w:val="00427E2A"/>
    <w:rsid w:val="00433E65"/>
    <w:rsid w:val="004374B2"/>
    <w:rsid w:val="00442AB8"/>
    <w:rsid w:val="004436EA"/>
    <w:rsid w:val="0044456C"/>
    <w:rsid w:val="00450B39"/>
    <w:rsid w:val="00453BC6"/>
    <w:rsid w:val="00453DEB"/>
    <w:rsid w:val="00454498"/>
    <w:rsid w:val="00456C59"/>
    <w:rsid w:val="004576A0"/>
    <w:rsid w:val="004641F9"/>
    <w:rsid w:val="00464B0A"/>
    <w:rsid w:val="004678A1"/>
    <w:rsid w:val="00477931"/>
    <w:rsid w:val="00490198"/>
    <w:rsid w:val="00490E28"/>
    <w:rsid w:val="00495119"/>
    <w:rsid w:val="00497362"/>
    <w:rsid w:val="00497C77"/>
    <w:rsid w:val="004A0AE7"/>
    <w:rsid w:val="004A523F"/>
    <w:rsid w:val="004A6062"/>
    <w:rsid w:val="004A673A"/>
    <w:rsid w:val="004A770F"/>
    <w:rsid w:val="004B0813"/>
    <w:rsid w:val="004B136A"/>
    <w:rsid w:val="004B1F38"/>
    <w:rsid w:val="004B21C5"/>
    <w:rsid w:val="004B2BD1"/>
    <w:rsid w:val="004B2EF6"/>
    <w:rsid w:val="004B34A6"/>
    <w:rsid w:val="004B3E5A"/>
    <w:rsid w:val="004B5612"/>
    <w:rsid w:val="004B5AA7"/>
    <w:rsid w:val="004B6083"/>
    <w:rsid w:val="004B6927"/>
    <w:rsid w:val="004B7E5C"/>
    <w:rsid w:val="004C3CC4"/>
    <w:rsid w:val="004C4D5E"/>
    <w:rsid w:val="004D11ED"/>
    <w:rsid w:val="004D310E"/>
    <w:rsid w:val="004D37D8"/>
    <w:rsid w:val="004D4B81"/>
    <w:rsid w:val="004F6B2B"/>
    <w:rsid w:val="005005DF"/>
    <w:rsid w:val="00505045"/>
    <w:rsid w:val="00510B96"/>
    <w:rsid w:val="00511501"/>
    <w:rsid w:val="00511B5B"/>
    <w:rsid w:val="00512ED0"/>
    <w:rsid w:val="00515A0C"/>
    <w:rsid w:val="00515AF2"/>
    <w:rsid w:val="0051640E"/>
    <w:rsid w:val="00516741"/>
    <w:rsid w:val="0051684E"/>
    <w:rsid w:val="00527ABC"/>
    <w:rsid w:val="0054193D"/>
    <w:rsid w:val="00542A8C"/>
    <w:rsid w:val="00542D59"/>
    <w:rsid w:val="00543637"/>
    <w:rsid w:val="00545DF7"/>
    <w:rsid w:val="00546CA2"/>
    <w:rsid w:val="005539F5"/>
    <w:rsid w:val="0055415C"/>
    <w:rsid w:val="00554AAC"/>
    <w:rsid w:val="00554E0F"/>
    <w:rsid w:val="0055503F"/>
    <w:rsid w:val="00555A4C"/>
    <w:rsid w:val="005572D7"/>
    <w:rsid w:val="00563797"/>
    <w:rsid w:val="005651B5"/>
    <w:rsid w:val="00566234"/>
    <w:rsid w:val="0057262B"/>
    <w:rsid w:val="005815B3"/>
    <w:rsid w:val="00582A03"/>
    <w:rsid w:val="00587E37"/>
    <w:rsid w:val="00593821"/>
    <w:rsid w:val="005954F2"/>
    <w:rsid w:val="0059620B"/>
    <w:rsid w:val="00596E88"/>
    <w:rsid w:val="00597CBD"/>
    <w:rsid w:val="005A0969"/>
    <w:rsid w:val="005A0BD7"/>
    <w:rsid w:val="005A5E7A"/>
    <w:rsid w:val="005B0DEF"/>
    <w:rsid w:val="005B2A03"/>
    <w:rsid w:val="005B4C1B"/>
    <w:rsid w:val="005C2684"/>
    <w:rsid w:val="005C2DDC"/>
    <w:rsid w:val="005C5620"/>
    <w:rsid w:val="005C578C"/>
    <w:rsid w:val="005D1F0F"/>
    <w:rsid w:val="005D29DB"/>
    <w:rsid w:val="005D41F9"/>
    <w:rsid w:val="005E2592"/>
    <w:rsid w:val="005E4143"/>
    <w:rsid w:val="005E674D"/>
    <w:rsid w:val="005E724B"/>
    <w:rsid w:val="00601F7C"/>
    <w:rsid w:val="00602A48"/>
    <w:rsid w:val="00602EF7"/>
    <w:rsid w:val="00606F11"/>
    <w:rsid w:val="00607B03"/>
    <w:rsid w:val="0061059D"/>
    <w:rsid w:val="0061326F"/>
    <w:rsid w:val="006141AC"/>
    <w:rsid w:val="00614393"/>
    <w:rsid w:val="006146F2"/>
    <w:rsid w:val="00614C00"/>
    <w:rsid w:val="00623567"/>
    <w:rsid w:val="006412B5"/>
    <w:rsid w:val="00641932"/>
    <w:rsid w:val="00644083"/>
    <w:rsid w:val="0064429B"/>
    <w:rsid w:val="0064477C"/>
    <w:rsid w:val="00650903"/>
    <w:rsid w:val="006650A8"/>
    <w:rsid w:val="006679C0"/>
    <w:rsid w:val="00680ED5"/>
    <w:rsid w:val="00681956"/>
    <w:rsid w:val="00682FBA"/>
    <w:rsid w:val="00683370"/>
    <w:rsid w:val="00684EC1"/>
    <w:rsid w:val="006903F9"/>
    <w:rsid w:val="006923C8"/>
    <w:rsid w:val="00696AB4"/>
    <w:rsid w:val="00697494"/>
    <w:rsid w:val="006976BF"/>
    <w:rsid w:val="006978EB"/>
    <w:rsid w:val="006A05D7"/>
    <w:rsid w:val="006A252A"/>
    <w:rsid w:val="006A4628"/>
    <w:rsid w:val="006B3F39"/>
    <w:rsid w:val="006B4213"/>
    <w:rsid w:val="006B43AF"/>
    <w:rsid w:val="006B4DF0"/>
    <w:rsid w:val="006C1013"/>
    <w:rsid w:val="006C163A"/>
    <w:rsid w:val="006C1A94"/>
    <w:rsid w:val="006C228B"/>
    <w:rsid w:val="006C2931"/>
    <w:rsid w:val="006D0145"/>
    <w:rsid w:val="006D0256"/>
    <w:rsid w:val="006D0F4E"/>
    <w:rsid w:val="006D466E"/>
    <w:rsid w:val="006D4B70"/>
    <w:rsid w:val="006D4C35"/>
    <w:rsid w:val="006D7A92"/>
    <w:rsid w:val="006E3B48"/>
    <w:rsid w:val="006E6184"/>
    <w:rsid w:val="006E631B"/>
    <w:rsid w:val="006F096A"/>
    <w:rsid w:val="006F22E3"/>
    <w:rsid w:val="006F3095"/>
    <w:rsid w:val="006F5455"/>
    <w:rsid w:val="006F5CB6"/>
    <w:rsid w:val="006F79D3"/>
    <w:rsid w:val="00703194"/>
    <w:rsid w:val="00706E50"/>
    <w:rsid w:val="0070737C"/>
    <w:rsid w:val="00711229"/>
    <w:rsid w:val="00715018"/>
    <w:rsid w:val="007179FE"/>
    <w:rsid w:val="00717F25"/>
    <w:rsid w:val="007201B1"/>
    <w:rsid w:val="007201D7"/>
    <w:rsid w:val="00724E14"/>
    <w:rsid w:val="00725AD5"/>
    <w:rsid w:val="00726DB5"/>
    <w:rsid w:val="00726EB4"/>
    <w:rsid w:val="00731945"/>
    <w:rsid w:val="007363DE"/>
    <w:rsid w:val="0073698D"/>
    <w:rsid w:val="00736C0B"/>
    <w:rsid w:val="00744D93"/>
    <w:rsid w:val="00746531"/>
    <w:rsid w:val="00751725"/>
    <w:rsid w:val="00752028"/>
    <w:rsid w:val="0075450A"/>
    <w:rsid w:val="0075717D"/>
    <w:rsid w:val="0076017E"/>
    <w:rsid w:val="00760DB6"/>
    <w:rsid w:val="0076361C"/>
    <w:rsid w:val="007661AE"/>
    <w:rsid w:val="00766A51"/>
    <w:rsid w:val="00771FFF"/>
    <w:rsid w:val="00772818"/>
    <w:rsid w:val="007760D7"/>
    <w:rsid w:val="0077685D"/>
    <w:rsid w:val="0077788E"/>
    <w:rsid w:val="00784439"/>
    <w:rsid w:val="00787E75"/>
    <w:rsid w:val="00797257"/>
    <w:rsid w:val="007A3157"/>
    <w:rsid w:val="007A6E20"/>
    <w:rsid w:val="007B10ED"/>
    <w:rsid w:val="007B2B2E"/>
    <w:rsid w:val="007B39B2"/>
    <w:rsid w:val="007B3BFC"/>
    <w:rsid w:val="007B4B03"/>
    <w:rsid w:val="007C19AB"/>
    <w:rsid w:val="007C4431"/>
    <w:rsid w:val="007C4F31"/>
    <w:rsid w:val="007D1BD3"/>
    <w:rsid w:val="007E5257"/>
    <w:rsid w:val="007E5391"/>
    <w:rsid w:val="007F4EF5"/>
    <w:rsid w:val="007F66E9"/>
    <w:rsid w:val="00804105"/>
    <w:rsid w:val="00806D94"/>
    <w:rsid w:val="00807AD8"/>
    <w:rsid w:val="00811800"/>
    <w:rsid w:val="00812E1C"/>
    <w:rsid w:val="00813CFF"/>
    <w:rsid w:val="008140C5"/>
    <w:rsid w:val="00814590"/>
    <w:rsid w:val="00814667"/>
    <w:rsid w:val="008148E2"/>
    <w:rsid w:val="008149E4"/>
    <w:rsid w:val="008156B7"/>
    <w:rsid w:val="00815DAD"/>
    <w:rsid w:val="00817D90"/>
    <w:rsid w:val="00822355"/>
    <w:rsid w:val="0082332D"/>
    <w:rsid w:val="0082402C"/>
    <w:rsid w:val="00825FF5"/>
    <w:rsid w:val="008262F1"/>
    <w:rsid w:val="008311FA"/>
    <w:rsid w:val="008317EF"/>
    <w:rsid w:val="00832F66"/>
    <w:rsid w:val="008447EA"/>
    <w:rsid w:val="00845BCC"/>
    <w:rsid w:val="00851465"/>
    <w:rsid w:val="008514B8"/>
    <w:rsid w:val="00852ED8"/>
    <w:rsid w:val="0085330A"/>
    <w:rsid w:val="008550CA"/>
    <w:rsid w:val="0085533A"/>
    <w:rsid w:val="00855543"/>
    <w:rsid w:val="0085738D"/>
    <w:rsid w:val="00862395"/>
    <w:rsid w:val="00864DD3"/>
    <w:rsid w:val="008708D6"/>
    <w:rsid w:val="00873044"/>
    <w:rsid w:val="00874608"/>
    <w:rsid w:val="008760D0"/>
    <w:rsid w:val="00881317"/>
    <w:rsid w:val="00882EC4"/>
    <w:rsid w:val="008843EE"/>
    <w:rsid w:val="00892CA4"/>
    <w:rsid w:val="00896477"/>
    <w:rsid w:val="00896BD6"/>
    <w:rsid w:val="00896E0B"/>
    <w:rsid w:val="00896F5A"/>
    <w:rsid w:val="008A3C37"/>
    <w:rsid w:val="008B1840"/>
    <w:rsid w:val="008B70D3"/>
    <w:rsid w:val="008B73A2"/>
    <w:rsid w:val="008B7FE2"/>
    <w:rsid w:val="008C0BBA"/>
    <w:rsid w:val="008C2450"/>
    <w:rsid w:val="008C7817"/>
    <w:rsid w:val="008C7F5B"/>
    <w:rsid w:val="008D079A"/>
    <w:rsid w:val="008D2F40"/>
    <w:rsid w:val="008D5B52"/>
    <w:rsid w:val="008E0AD6"/>
    <w:rsid w:val="008E4209"/>
    <w:rsid w:val="008E48FC"/>
    <w:rsid w:val="008E55BD"/>
    <w:rsid w:val="008E7527"/>
    <w:rsid w:val="008F1192"/>
    <w:rsid w:val="008F2AD6"/>
    <w:rsid w:val="008F44F1"/>
    <w:rsid w:val="008F4BA8"/>
    <w:rsid w:val="008F5C07"/>
    <w:rsid w:val="008F696D"/>
    <w:rsid w:val="008F7777"/>
    <w:rsid w:val="00901CF5"/>
    <w:rsid w:val="00901F53"/>
    <w:rsid w:val="0090414E"/>
    <w:rsid w:val="00906431"/>
    <w:rsid w:val="00907E9B"/>
    <w:rsid w:val="009115AF"/>
    <w:rsid w:val="00913276"/>
    <w:rsid w:val="0091359A"/>
    <w:rsid w:val="009221DF"/>
    <w:rsid w:val="009224FD"/>
    <w:rsid w:val="00922986"/>
    <w:rsid w:val="0093296C"/>
    <w:rsid w:val="00935CC7"/>
    <w:rsid w:val="0094002F"/>
    <w:rsid w:val="0094129D"/>
    <w:rsid w:val="00941BB7"/>
    <w:rsid w:val="00944760"/>
    <w:rsid w:val="00946A91"/>
    <w:rsid w:val="00946AE5"/>
    <w:rsid w:val="00950865"/>
    <w:rsid w:val="00951BAD"/>
    <w:rsid w:val="0095223D"/>
    <w:rsid w:val="009526E4"/>
    <w:rsid w:val="00953AA1"/>
    <w:rsid w:val="00954B44"/>
    <w:rsid w:val="009644B8"/>
    <w:rsid w:val="0096732C"/>
    <w:rsid w:val="009703B6"/>
    <w:rsid w:val="00971A4C"/>
    <w:rsid w:val="00974EF9"/>
    <w:rsid w:val="00975EB5"/>
    <w:rsid w:val="00983979"/>
    <w:rsid w:val="00983DC2"/>
    <w:rsid w:val="00983DF0"/>
    <w:rsid w:val="00984895"/>
    <w:rsid w:val="0099742A"/>
    <w:rsid w:val="009A0446"/>
    <w:rsid w:val="009A062C"/>
    <w:rsid w:val="009A0BAD"/>
    <w:rsid w:val="009A13A8"/>
    <w:rsid w:val="009A48AF"/>
    <w:rsid w:val="009A522D"/>
    <w:rsid w:val="009B0C68"/>
    <w:rsid w:val="009B3F77"/>
    <w:rsid w:val="009B5132"/>
    <w:rsid w:val="009C06DA"/>
    <w:rsid w:val="009C166A"/>
    <w:rsid w:val="009C2059"/>
    <w:rsid w:val="009C31C7"/>
    <w:rsid w:val="009C497D"/>
    <w:rsid w:val="009C6FFB"/>
    <w:rsid w:val="009C7EF5"/>
    <w:rsid w:val="009D0C93"/>
    <w:rsid w:val="009D2FAC"/>
    <w:rsid w:val="009D6D07"/>
    <w:rsid w:val="009E093C"/>
    <w:rsid w:val="009E1311"/>
    <w:rsid w:val="009E151E"/>
    <w:rsid w:val="009E3ACF"/>
    <w:rsid w:val="009E5DB6"/>
    <w:rsid w:val="009F777E"/>
    <w:rsid w:val="009F7F52"/>
    <w:rsid w:val="00A0202C"/>
    <w:rsid w:val="00A0227E"/>
    <w:rsid w:val="00A05C1E"/>
    <w:rsid w:val="00A0603F"/>
    <w:rsid w:val="00A112E6"/>
    <w:rsid w:val="00A14966"/>
    <w:rsid w:val="00A15CAB"/>
    <w:rsid w:val="00A16E8F"/>
    <w:rsid w:val="00A17CCB"/>
    <w:rsid w:val="00A201DE"/>
    <w:rsid w:val="00A211A9"/>
    <w:rsid w:val="00A2422A"/>
    <w:rsid w:val="00A25135"/>
    <w:rsid w:val="00A25265"/>
    <w:rsid w:val="00A26FC8"/>
    <w:rsid w:val="00A303A1"/>
    <w:rsid w:val="00A42386"/>
    <w:rsid w:val="00A4447B"/>
    <w:rsid w:val="00A50751"/>
    <w:rsid w:val="00A50E72"/>
    <w:rsid w:val="00A543F4"/>
    <w:rsid w:val="00A54B81"/>
    <w:rsid w:val="00A54BE7"/>
    <w:rsid w:val="00A564EB"/>
    <w:rsid w:val="00A6500A"/>
    <w:rsid w:val="00A65333"/>
    <w:rsid w:val="00A6719E"/>
    <w:rsid w:val="00A739F1"/>
    <w:rsid w:val="00A758DE"/>
    <w:rsid w:val="00A8189A"/>
    <w:rsid w:val="00A81C2E"/>
    <w:rsid w:val="00A81EC4"/>
    <w:rsid w:val="00A8478F"/>
    <w:rsid w:val="00A858C4"/>
    <w:rsid w:val="00A85A80"/>
    <w:rsid w:val="00A9141E"/>
    <w:rsid w:val="00A9341B"/>
    <w:rsid w:val="00A974CA"/>
    <w:rsid w:val="00AA2CD5"/>
    <w:rsid w:val="00AA4F6C"/>
    <w:rsid w:val="00AB16AE"/>
    <w:rsid w:val="00AB392A"/>
    <w:rsid w:val="00AB5801"/>
    <w:rsid w:val="00AB5A64"/>
    <w:rsid w:val="00AB71A5"/>
    <w:rsid w:val="00AB76C6"/>
    <w:rsid w:val="00AB79E9"/>
    <w:rsid w:val="00AC124C"/>
    <w:rsid w:val="00AC5567"/>
    <w:rsid w:val="00AD04F4"/>
    <w:rsid w:val="00AD576C"/>
    <w:rsid w:val="00AD670F"/>
    <w:rsid w:val="00AD6C71"/>
    <w:rsid w:val="00AE1243"/>
    <w:rsid w:val="00AE1E4B"/>
    <w:rsid w:val="00AE1E54"/>
    <w:rsid w:val="00AE2AFD"/>
    <w:rsid w:val="00AE4372"/>
    <w:rsid w:val="00AE478A"/>
    <w:rsid w:val="00AF0C8D"/>
    <w:rsid w:val="00AF1E74"/>
    <w:rsid w:val="00B00778"/>
    <w:rsid w:val="00B04E8C"/>
    <w:rsid w:val="00B050C0"/>
    <w:rsid w:val="00B05642"/>
    <w:rsid w:val="00B06097"/>
    <w:rsid w:val="00B10045"/>
    <w:rsid w:val="00B100DF"/>
    <w:rsid w:val="00B10CAE"/>
    <w:rsid w:val="00B12190"/>
    <w:rsid w:val="00B1294B"/>
    <w:rsid w:val="00B137C3"/>
    <w:rsid w:val="00B171BB"/>
    <w:rsid w:val="00B2019C"/>
    <w:rsid w:val="00B2247A"/>
    <w:rsid w:val="00B24059"/>
    <w:rsid w:val="00B36551"/>
    <w:rsid w:val="00B36E9E"/>
    <w:rsid w:val="00B40E38"/>
    <w:rsid w:val="00B45C9E"/>
    <w:rsid w:val="00B51ACE"/>
    <w:rsid w:val="00B619AA"/>
    <w:rsid w:val="00B62293"/>
    <w:rsid w:val="00B623D7"/>
    <w:rsid w:val="00B66E7A"/>
    <w:rsid w:val="00B8096A"/>
    <w:rsid w:val="00B91564"/>
    <w:rsid w:val="00B91F04"/>
    <w:rsid w:val="00B9206A"/>
    <w:rsid w:val="00B9279E"/>
    <w:rsid w:val="00BA1CFA"/>
    <w:rsid w:val="00BA4284"/>
    <w:rsid w:val="00BB32DC"/>
    <w:rsid w:val="00BC1029"/>
    <w:rsid w:val="00BC2720"/>
    <w:rsid w:val="00BC4728"/>
    <w:rsid w:val="00BC4BF4"/>
    <w:rsid w:val="00BC60B3"/>
    <w:rsid w:val="00BD2253"/>
    <w:rsid w:val="00BD7496"/>
    <w:rsid w:val="00BE042D"/>
    <w:rsid w:val="00BE3621"/>
    <w:rsid w:val="00BE4802"/>
    <w:rsid w:val="00BE7212"/>
    <w:rsid w:val="00BF0A05"/>
    <w:rsid w:val="00BF0D7C"/>
    <w:rsid w:val="00BF331F"/>
    <w:rsid w:val="00C053A4"/>
    <w:rsid w:val="00C05CC6"/>
    <w:rsid w:val="00C068C7"/>
    <w:rsid w:val="00C073C2"/>
    <w:rsid w:val="00C13C12"/>
    <w:rsid w:val="00C160F4"/>
    <w:rsid w:val="00C20F99"/>
    <w:rsid w:val="00C2120D"/>
    <w:rsid w:val="00C215E7"/>
    <w:rsid w:val="00C23212"/>
    <w:rsid w:val="00C233E9"/>
    <w:rsid w:val="00C2594C"/>
    <w:rsid w:val="00C2605C"/>
    <w:rsid w:val="00C26C5B"/>
    <w:rsid w:val="00C2711B"/>
    <w:rsid w:val="00C303B4"/>
    <w:rsid w:val="00C40EBC"/>
    <w:rsid w:val="00C41265"/>
    <w:rsid w:val="00C4202E"/>
    <w:rsid w:val="00C42ACA"/>
    <w:rsid w:val="00C51308"/>
    <w:rsid w:val="00C51F78"/>
    <w:rsid w:val="00C537DC"/>
    <w:rsid w:val="00C539F8"/>
    <w:rsid w:val="00C53A47"/>
    <w:rsid w:val="00C57BB9"/>
    <w:rsid w:val="00C606F6"/>
    <w:rsid w:val="00C6082E"/>
    <w:rsid w:val="00C61699"/>
    <w:rsid w:val="00C62B02"/>
    <w:rsid w:val="00C64908"/>
    <w:rsid w:val="00C64BFA"/>
    <w:rsid w:val="00C705B5"/>
    <w:rsid w:val="00C7093C"/>
    <w:rsid w:val="00C738BD"/>
    <w:rsid w:val="00C75D40"/>
    <w:rsid w:val="00C83627"/>
    <w:rsid w:val="00C85E44"/>
    <w:rsid w:val="00C8629D"/>
    <w:rsid w:val="00C92F94"/>
    <w:rsid w:val="00C95D81"/>
    <w:rsid w:val="00C960AA"/>
    <w:rsid w:val="00CA121E"/>
    <w:rsid w:val="00CA501D"/>
    <w:rsid w:val="00CA55C4"/>
    <w:rsid w:val="00CB1789"/>
    <w:rsid w:val="00CB1CB2"/>
    <w:rsid w:val="00CB2557"/>
    <w:rsid w:val="00CB44C4"/>
    <w:rsid w:val="00CB47FE"/>
    <w:rsid w:val="00CB4D35"/>
    <w:rsid w:val="00CB6703"/>
    <w:rsid w:val="00CC39B1"/>
    <w:rsid w:val="00CC5333"/>
    <w:rsid w:val="00CD0E49"/>
    <w:rsid w:val="00CD526B"/>
    <w:rsid w:val="00CD5B93"/>
    <w:rsid w:val="00CD7039"/>
    <w:rsid w:val="00CE3161"/>
    <w:rsid w:val="00CE3B32"/>
    <w:rsid w:val="00CE4A24"/>
    <w:rsid w:val="00CE613B"/>
    <w:rsid w:val="00CE7403"/>
    <w:rsid w:val="00CF0826"/>
    <w:rsid w:val="00CF0D8A"/>
    <w:rsid w:val="00CF267F"/>
    <w:rsid w:val="00CF7DA0"/>
    <w:rsid w:val="00D0312C"/>
    <w:rsid w:val="00D04614"/>
    <w:rsid w:val="00D1723F"/>
    <w:rsid w:val="00D26B64"/>
    <w:rsid w:val="00D30AA4"/>
    <w:rsid w:val="00D30CE5"/>
    <w:rsid w:val="00D3674A"/>
    <w:rsid w:val="00D40383"/>
    <w:rsid w:val="00D4085D"/>
    <w:rsid w:val="00D428F4"/>
    <w:rsid w:val="00D434F3"/>
    <w:rsid w:val="00D46E83"/>
    <w:rsid w:val="00D51386"/>
    <w:rsid w:val="00D52914"/>
    <w:rsid w:val="00D5485B"/>
    <w:rsid w:val="00D57346"/>
    <w:rsid w:val="00D61911"/>
    <w:rsid w:val="00D62258"/>
    <w:rsid w:val="00D625A7"/>
    <w:rsid w:val="00D677F9"/>
    <w:rsid w:val="00D702F1"/>
    <w:rsid w:val="00D729FA"/>
    <w:rsid w:val="00D7336A"/>
    <w:rsid w:val="00D73591"/>
    <w:rsid w:val="00D802FC"/>
    <w:rsid w:val="00D8532B"/>
    <w:rsid w:val="00D85463"/>
    <w:rsid w:val="00D973A5"/>
    <w:rsid w:val="00DA205D"/>
    <w:rsid w:val="00DA54E4"/>
    <w:rsid w:val="00DA7233"/>
    <w:rsid w:val="00DC4D62"/>
    <w:rsid w:val="00DC50E5"/>
    <w:rsid w:val="00DC76C7"/>
    <w:rsid w:val="00DE311A"/>
    <w:rsid w:val="00DE36EB"/>
    <w:rsid w:val="00DE4A6C"/>
    <w:rsid w:val="00DE64C1"/>
    <w:rsid w:val="00DF5BAB"/>
    <w:rsid w:val="00E10555"/>
    <w:rsid w:val="00E11087"/>
    <w:rsid w:val="00E11509"/>
    <w:rsid w:val="00E16E0A"/>
    <w:rsid w:val="00E204BB"/>
    <w:rsid w:val="00E220BC"/>
    <w:rsid w:val="00E31096"/>
    <w:rsid w:val="00E33938"/>
    <w:rsid w:val="00E33F03"/>
    <w:rsid w:val="00E354D8"/>
    <w:rsid w:val="00E3658A"/>
    <w:rsid w:val="00E3706A"/>
    <w:rsid w:val="00E3738B"/>
    <w:rsid w:val="00E37446"/>
    <w:rsid w:val="00E37730"/>
    <w:rsid w:val="00E4099E"/>
    <w:rsid w:val="00E4205E"/>
    <w:rsid w:val="00E456AA"/>
    <w:rsid w:val="00E46534"/>
    <w:rsid w:val="00E46718"/>
    <w:rsid w:val="00E5201F"/>
    <w:rsid w:val="00E579FF"/>
    <w:rsid w:val="00E6698B"/>
    <w:rsid w:val="00E7195E"/>
    <w:rsid w:val="00E72F4A"/>
    <w:rsid w:val="00E7467D"/>
    <w:rsid w:val="00E82115"/>
    <w:rsid w:val="00E832FF"/>
    <w:rsid w:val="00E83448"/>
    <w:rsid w:val="00E838D3"/>
    <w:rsid w:val="00E92C8A"/>
    <w:rsid w:val="00E9346D"/>
    <w:rsid w:val="00EA21BF"/>
    <w:rsid w:val="00EA594C"/>
    <w:rsid w:val="00EA7329"/>
    <w:rsid w:val="00EA7A1C"/>
    <w:rsid w:val="00EB7EDA"/>
    <w:rsid w:val="00EC3E78"/>
    <w:rsid w:val="00EC5206"/>
    <w:rsid w:val="00EC5D22"/>
    <w:rsid w:val="00ED0175"/>
    <w:rsid w:val="00ED0AC8"/>
    <w:rsid w:val="00ED2AC4"/>
    <w:rsid w:val="00ED4036"/>
    <w:rsid w:val="00EE041B"/>
    <w:rsid w:val="00EE368C"/>
    <w:rsid w:val="00EE57AC"/>
    <w:rsid w:val="00EE74C4"/>
    <w:rsid w:val="00EE7D29"/>
    <w:rsid w:val="00EF33DE"/>
    <w:rsid w:val="00EF488F"/>
    <w:rsid w:val="00EF6486"/>
    <w:rsid w:val="00EF72D4"/>
    <w:rsid w:val="00F11A23"/>
    <w:rsid w:val="00F11DDE"/>
    <w:rsid w:val="00F120E6"/>
    <w:rsid w:val="00F12ACD"/>
    <w:rsid w:val="00F148B4"/>
    <w:rsid w:val="00F16589"/>
    <w:rsid w:val="00F2068C"/>
    <w:rsid w:val="00F234AB"/>
    <w:rsid w:val="00F24478"/>
    <w:rsid w:val="00F31DE0"/>
    <w:rsid w:val="00F3245D"/>
    <w:rsid w:val="00F32A4F"/>
    <w:rsid w:val="00F34E70"/>
    <w:rsid w:val="00F4377A"/>
    <w:rsid w:val="00F46237"/>
    <w:rsid w:val="00F47765"/>
    <w:rsid w:val="00F501C6"/>
    <w:rsid w:val="00F6070A"/>
    <w:rsid w:val="00F630DB"/>
    <w:rsid w:val="00F630EF"/>
    <w:rsid w:val="00F6403E"/>
    <w:rsid w:val="00F71346"/>
    <w:rsid w:val="00F715F2"/>
    <w:rsid w:val="00F730C7"/>
    <w:rsid w:val="00F76C87"/>
    <w:rsid w:val="00F81D59"/>
    <w:rsid w:val="00F8684A"/>
    <w:rsid w:val="00F90849"/>
    <w:rsid w:val="00F94C3D"/>
    <w:rsid w:val="00F95D26"/>
    <w:rsid w:val="00F979C5"/>
    <w:rsid w:val="00FA0CBF"/>
    <w:rsid w:val="00FA0E45"/>
    <w:rsid w:val="00FA2EC0"/>
    <w:rsid w:val="00FA4E87"/>
    <w:rsid w:val="00FA64FD"/>
    <w:rsid w:val="00FB4200"/>
    <w:rsid w:val="00FB4979"/>
    <w:rsid w:val="00FB5750"/>
    <w:rsid w:val="00FB6A2E"/>
    <w:rsid w:val="00FC055C"/>
    <w:rsid w:val="00FD4437"/>
    <w:rsid w:val="00FE26A5"/>
    <w:rsid w:val="00FE347C"/>
    <w:rsid w:val="00FE4A16"/>
    <w:rsid w:val="00FF5029"/>
    <w:rsid w:val="00FF67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4:docId w14:val="4A6F517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13"/>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tabs>
        <w:tab w:val="num" w:pos="283"/>
        <w:tab w:val="num" w:pos="566"/>
      </w:tabs>
      <w:ind w:left="566" w:hanging="283"/>
    </w:pPr>
  </w:style>
  <w:style w:type="paragraph" w:customStyle="1" w:styleId="Dash">
    <w:name w:val="Dash"/>
    <w:basedOn w:val="Normal"/>
    <w:rsid w:val="00D51386"/>
    <w:pPr>
      <w:numPr>
        <w:ilvl w:val="1"/>
        <w:numId w:val="5"/>
      </w:numPr>
      <w:tabs>
        <w:tab w:val="num" w:pos="567"/>
        <w:tab w:val="num" w:pos="850"/>
      </w:tabs>
      <w:ind w:left="850" w:hanging="284"/>
    </w:pPr>
  </w:style>
  <w:style w:type="paragraph" w:customStyle="1" w:styleId="DoubleDot">
    <w:name w:val="Double Dot"/>
    <w:basedOn w:val="Normal"/>
    <w:rsid w:val="00D51386"/>
    <w:pPr>
      <w:numPr>
        <w:ilvl w:val="2"/>
        <w:numId w:val="5"/>
      </w:numPr>
      <w:tabs>
        <w:tab w:val="num" w:pos="850"/>
        <w:tab w:val="num" w:pos="1133"/>
      </w:tabs>
      <w:ind w:left="1133" w:hanging="283"/>
    </w:pPr>
  </w:style>
  <w:style w:type="paragraph" w:customStyle="1" w:styleId="OutlineNumbered1">
    <w:name w:val="Outline Numbered 1"/>
    <w:basedOn w:val="Normal"/>
    <w:rsid w:val="00D51386"/>
    <w:pPr>
      <w:numPr>
        <w:numId w:val="2"/>
      </w:numPr>
    </w:pPr>
  </w:style>
  <w:style w:type="paragraph" w:customStyle="1" w:styleId="OutlineNumbered2">
    <w:name w:val="Outline Numbered 2"/>
    <w:basedOn w:val="Normal"/>
    <w:rsid w:val="00D51386"/>
    <w:pPr>
      <w:numPr>
        <w:ilvl w:val="1"/>
        <w:numId w:val="2"/>
      </w:numPr>
    </w:pPr>
  </w:style>
  <w:style w:type="paragraph" w:customStyle="1" w:styleId="OutlineNumbered3">
    <w:name w:val="Outline Numbered 3"/>
    <w:basedOn w:val="Normal"/>
    <w:rsid w:val="00D51386"/>
    <w:pPr>
      <w:numPr>
        <w:ilvl w:val="2"/>
        <w:numId w:val="2"/>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3"/>
      </w:numPr>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semiHidden/>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semiHidden/>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5"/>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4"/>
      </w:numPr>
    </w:pPr>
  </w:style>
  <w:style w:type="paragraph" w:customStyle="1" w:styleId="BoxDash">
    <w:name w:val="Box Dash"/>
    <w:basedOn w:val="Normal"/>
    <w:uiPriority w:val="99"/>
    <w:rsid w:val="00D51386"/>
    <w:pPr>
      <w:numPr>
        <w:ilvl w:val="1"/>
        <w:numId w:val="4"/>
      </w:numPr>
    </w:pPr>
  </w:style>
  <w:style w:type="paragraph" w:customStyle="1" w:styleId="BoxDoubleDot">
    <w:name w:val="Box Double Dot"/>
    <w:basedOn w:val="BoxTextBase"/>
    <w:uiPriority w:val="99"/>
    <w:rsid w:val="00D51386"/>
    <w:pPr>
      <w:numPr>
        <w:ilvl w:val="2"/>
        <w:numId w:val="4"/>
      </w:numPr>
    </w:pPr>
  </w:style>
  <w:style w:type="paragraph" w:customStyle="1" w:styleId="RecommendationBullet">
    <w:name w:val="Recommendation Bullet"/>
    <w:basedOn w:val="RecommendationTextBase"/>
    <w:rsid w:val="00D51386"/>
    <w:pPr>
      <w:numPr>
        <w:numId w:val="6"/>
      </w:numPr>
    </w:pPr>
  </w:style>
  <w:style w:type="paragraph" w:customStyle="1" w:styleId="RecommendationDash">
    <w:name w:val="Recommendation Dash"/>
    <w:basedOn w:val="RecommendationTextBase"/>
    <w:rsid w:val="00D51386"/>
    <w:pPr>
      <w:numPr>
        <w:ilvl w:val="1"/>
        <w:numId w:val="6"/>
      </w:numPr>
    </w:pPr>
  </w:style>
  <w:style w:type="paragraph" w:customStyle="1" w:styleId="RecommendationDoubleDot">
    <w:name w:val="Recommendation Double Dot"/>
    <w:basedOn w:val="RecommendationTextBase"/>
    <w:rsid w:val="00D51386"/>
    <w:pPr>
      <w:numPr>
        <w:ilvl w:val="2"/>
        <w:numId w:val="6"/>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pPr>
      <w:numPr>
        <w:numId w:val="1"/>
      </w:numPr>
    </w:pPr>
  </w:style>
  <w:style w:type="paragraph" w:customStyle="1" w:styleId="Romannumeral">
    <w:name w:val="Roman numeral"/>
    <w:basedOn w:val="Normal"/>
    <w:rsid w:val="00D51386"/>
    <w:pPr>
      <w:numPr>
        <w:numId w:val="11"/>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14"/>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tabs>
        <w:tab w:val="clear" w:pos="283"/>
      </w:tabs>
      <w:spacing w:before="40" w:after="60"/>
      <w:ind w:left="0" w:firstLine="0"/>
    </w:pPr>
  </w:style>
  <w:style w:type="paragraph" w:customStyle="1" w:styleId="ScheduleList">
    <w:name w:val="ScheduleList"/>
    <w:basedOn w:val="Normal"/>
    <w:rsid w:val="00D51386"/>
    <w:pPr>
      <w:numPr>
        <w:numId w:val="8"/>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14"/>
      </w:numPr>
      <w:tabs>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9"/>
      </w:numPr>
    </w:pPr>
  </w:style>
  <w:style w:type="paragraph" w:customStyle="1" w:styleId="AgreementParties">
    <w:name w:val="AgreementParties"/>
    <w:rsid w:val="00D51386"/>
    <w:pPr>
      <w:numPr>
        <w:numId w:val="12"/>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6"/>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7"/>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8"/>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8"/>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8"/>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8"/>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8"/>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8"/>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8"/>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8"/>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8"/>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Revision">
    <w:name w:val="Revision"/>
    <w:hidden/>
    <w:uiPriority w:val="99"/>
    <w:semiHidden/>
    <w:rsid w:val="0090414E"/>
    <w:rPr>
      <w:rFonts w:ascii="Corbel" w:hAnsi="Corbel"/>
      <w:color w:val="000000"/>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numPr>
        <w:ilvl w:val="8"/>
        <w:numId w:val="13"/>
      </w:num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36"/>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tabs>
        <w:tab w:val="num" w:pos="283"/>
        <w:tab w:val="num" w:pos="566"/>
      </w:tabs>
      <w:ind w:left="566" w:hanging="283"/>
    </w:pPr>
  </w:style>
  <w:style w:type="paragraph" w:customStyle="1" w:styleId="Dash">
    <w:name w:val="Dash"/>
    <w:basedOn w:val="Normal"/>
    <w:rsid w:val="00D51386"/>
    <w:pPr>
      <w:numPr>
        <w:ilvl w:val="1"/>
        <w:numId w:val="5"/>
      </w:numPr>
      <w:tabs>
        <w:tab w:val="num" w:pos="567"/>
        <w:tab w:val="num" w:pos="850"/>
      </w:tabs>
      <w:ind w:left="850" w:hanging="284"/>
    </w:pPr>
  </w:style>
  <w:style w:type="paragraph" w:customStyle="1" w:styleId="DoubleDot">
    <w:name w:val="Double Dot"/>
    <w:basedOn w:val="Normal"/>
    <w:rsid w:val="00D51386"/>
    <w:pPr>
      <w:numPr>
        <w:ilvl w:val="2"/>
        <w:numId w:val="5"/>
      </w:numPr>
      <w:tabs>
        <w:tab w:val="num" w:pos="850"/>
        <w:tab w:val="num" w:pos="1133"/>
      </w:tabs>
      <w:ind w:left="1133" w:hanging="283"/>
    </w:pPr>
  </w:style>
  <w:style w:type="paragraph" w:customStyle="1" w:styleId="OutlineNumbered1">
    <w:name w:val="Outline Numbered 1"/>
    <w:basedOn w:val="Normal"/>
    <w:rsid w:val="00D51386"/>
    <w:pPr>
      <w:numPr>
        <w:numId w:val="2"/>
      </w:numPr>
    </w:pPr>
  </w:style>
  <w:style w:type="paragraph" w:customStyle="1" w:styleId="OutlineNumbered2">
    <w:name w:val="Outline Numbered 2"/>
    <w:basedOn w:val="Normal"/>
    <w:rsid w:val="00D51386"/>
    <w:pPr>
      <w:numPr>
        <w:ilvl w:val="1"/>
        <w:numId w:val="2"/>
      </w:numPr>
    </w:pPr>
  </w:style>
  <w:style w:type="paragraph" w:customStyle="1" w:styleId="OutlineNumbered3">
    <w:name w:val="Outline Numbered 3"/>
    <w:basedOn w:val="Normal"/>
    <w:rsid w:val="00D51386"/>
    <w:pPr>
      <w:numPr>
        <w:ilvl w:val="2"/>
        <w:numId w:val="2"/>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3"/>
      </w:numPr>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semiHidden/>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semiHidden/>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5"/>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4"/>
      </w:numPr>
    </w:pPr>
  </w:style>
  <w:style w:type="paragraph" w:customStyle="1" w:styleId="BoxDash">
    <w:name w:val="Box Dash"/>
    <w:basedOn w:val="Normal"/>
    <w:uiPriority w:val="99"/>
    <w:rsid w:val="00D51386"/>
    <w:pPr>
      <w:numPr>
        <w:ilvl w:val="1"/>
        <w:numId w:val="4"/>
      </w:numPr>
    </w:pPr>
  </w:style>
  <w:style w:type="paragraph" w:customStyle="1" w:styleId="BoxDoubleDot">
    <w:name w:val="Box Double Dot"/>
    <w:basedOn w:val="BoxTextBase"/>
    <w:uiPriority w:val="99"/>
    <w:rsid w:val="00D51386"/>
    <w:pPr>
      <w:numPr>
        <w:ilvl w:val="2"/>
        <w:numId w:val="4"/>
      </w:numPr>
    </w:pPr>
  </w:style>
  <w:style w:type="paragraph" w:customStyle="1" w:styleId="RecommendationBullet">
    <w:name w:val="Recommendation Bullet"/>
    <w:basedOn w:val="RecommendationTextBase"/>
    <w:rsid w:val="00D51386"/>
    <w:pPr>
      <w:numPr>
        <w:numId w:val="6"/>
      </w:numPr>
    </w:pPr>
  </w:style>
  <w:style w:type="paragraph" w:customStyle="1" w:styleId="RecommendationDash">
    <w:name w:val="Recommendation Dash"/>
    <w:basedOn w:val="RecommendationTextBase"/>
    <w:rsid w:val="00D51386"/>
    <w:pPr>
      <w:numPr>
        <w:ilvl w:val="1"/>
        <w:numId w:val="6"/>
      </w:numPr>
    </w:pPr>
  </w:style>
  <w:style w:type="paragraph" w:customStyle="1" w:styleId="RecommendationDoubleDot">
    <w:name w:val="Recommendation Double Dot"/>
    <w:basedOn w:val="RecommendationTextBase"/>
    <w:rsid w:val="00D51386"/>
    <w:pPr>
      <w:numPr>
        <w:ilvl w:val="2"/>
        <w:numId w:val="6"/>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rsid w:val="00D51386"/>
    <w:pPr>
      <w:numPr>
        <w:numId w:val="1"/>
      </w:numPr>
    </w:pPr>
  </w:style>
  <w:style w:type="paragraph" w:customStyle="1" w:styleId="Romannumeral">
    <w:name w:val="Roman numeral"/>
    <w:basedOn w:val="Normal"/>
    <w:rsid w:val="00D51386"/>
    <w:pPr>
      <w:numPr>
        <w:numId w:val="11"/>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numPr>
        <w:numId w:val="14"/>
      </w:numPr>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tabs>
        <w:tab w:val="clear" w:pos="283"/>
      </w:tabs>
      <w:spacing w:before="40" w:after="60"/>
      <w:ind w:left="0" w:firstLine="0"/>
    </w:pPr>
  </w:style>
  <w:style w:type="paragraph" w:customStyle="1" w:styleId="ScheduleList">
    <w:name w:val="ScheduleList"/>
    <w:basedOn w:val="Normal"/>
    <w:rsid w:val="00D51386"/>
    <w:pPr>
      <w:numPr>
        <w:numId w:val="8"/>
      </w:numPr>
    </w:pPr>
    <w:rPr>
      <w:b/>
    </w:rPr>
  </w:style>
  <w:style w:type="paragraph" w:customStyle="1" w:styleId="ScheduleListSubHeading">
    <w:name w:val="ScheduleListSubHeading"/>
    <w:basedOn w:val="ScheduleList"/>
    <w:rsid w:val="00D51386"/>
    <w:pPr>
      <w:numPr>
        <w:ilvl w:val="1"/>
      </w:numPr>
      <w:tabs>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pPr>
      <w:numPr>
        <w:ilvl w:val="1"/>
        <w:numId w:val="14"/>
      </w:numPr>
      <w:tabs>
        <w:tab w:val="num" w:pos="2268"/>
      </w:tabs>
    </w:pPr>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9"/>
      </w:numPr>
    </w:pPr>
  </w:style>
  <w:style w:type="paragraph" w:customStyle="1" w:styleId="AgreementParties">
    <w:name w:val="AgreementParties"/>
    <w:rsid w:val="00D51386"/>
    <w:pPr>
      <w:numPr>
        <w:numId w:val="12"/>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6"/>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7"/>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8"/>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8"/>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8"/>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8"/>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8"/>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8"/>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8"/>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8"/>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8"/>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34"/>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Revision">
    <w:name w:val="Revision"/>
    <w:hidden/>
    <w:uiPriority w:val="99"/>
    <w:semiHidden/>
    <w:rsid w:val="0090414E"/>
    <w:rPr>
      <w:rFonts w:ascii="Corbel" w:hAnsi="Corbel"/>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697399">
      <w:marLeft w:val="0"/>
      <w:marRight w:val="0"/>
      <w:marTop w:val="0"/>
      <w:marBottom w:val="0"/>
      <w:divBdr>
        <w:top w:val="none" w:sz="0" w:space="0" w:color="auto"/>
        <w:left w:val="none" w:sz="0" w:space="0" w:color="auto"/>
        <w:bottom w:val="none" w:sz="0" w:space="0" w:color="auto"/>
        <w:right w:val="none" w:sz="0" w:space="0" w:color="auto"/>
      </w:divBdr>
    </w:div>
    <w:div w:id="946697400">
      <w:marLeft w:val="0"/>
      <w:marRight w:val="0"/>
      <w:marTop w:val="0"/>
      <w:marBottom w:val="0"/>
      <w:divBdr>
        <w:top w:val="none" w:sz="0" w:space="0" w:color="auto"/>
        <w:left w:val="none" w:sz="0" w:space="0" w:color="auto"/>
        <w:bottom w:val="none" w:sz="0" w:space="0" w:color="auto"/>
        <w:right w:val="none" w:sz="0" w:space="0" w:color="auto"/>
      </w:divBdr>
    </w:div>
    <w:div w:id="9466974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orkGroup%20Templates\Publications\COA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2.xml><?xml version="1.0" encoding="utf-8"?>
<p:properties xmlns:p="http://schemas.microsoft.com/office/2006/metadata/properties" xmlns:xsi="http://www.w3.org/2001/XMLSchema-instance" xmlns:pc="http://schemas.microsoft.com/office/infopath/2007/PartnerControls">
  <documentManagement>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_dlc_DocId xmlns="e544e5cc-ab70-42e1-849e-1a0f8bb1f4ef">2016FG-64-33976</_dlc_DocId>
    <TaxCatchAll xmlns="e544e5cc-ab70-42e1-849e-1a0f8bb1f4ef">
      <Value>2</Value>
    </TaxCatchAll>
    <_dlc_DocIdUrl xmlns="e544e5cc-ab70-42e1-849e-1a0f8bb1f4ef">
      <Url>http://tweb/sites/fg/csrd/_layouts/15/DocIdRedir.aspx?ID=2016FG-64-33976</Url>
      <Description>2016FG-64-33976</Description>
    </_dlc_DocIdUrl>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31" ma:contentTypeDescription=" " ma:contentTypeScope="" ma:versionID="3ef348178b948a6201852824da836ffd">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CA73D-198C-4219-ADE7-E1E176A05BBA}"/>
</file>

<file path=customXml/itemProps2.xml><?xml version="1.0" encoding="utf-8"?>
<ds:datastoreItem xmlns:ds="http://schemas.openxmlformats.org/officeDocument/2006/customXml" ds:itemID="{A6FD4F77-AA2B-4A39-B46E-45E9EED22597}"/>
</file>

<file path=customXml/itemProps3.xml><?xml version="1.0" encoding="utf-8"?>
<ds:datastoreItem xmlns:ds="http://schemas.openxmlformats.org/officeDocument/2006/customXml" ds:itemID="{6C3FF16F-EE6F-4EC9-AE7B-F49F11DE3010}"/>
</file>

<file path=customXml/itemProps4.xml><?xml version="1.0" encoding="utf-8"?>
<ds:datastoreItem xmlns:ds="http://schemas.openxmlformats.org/officeDocument/2006/customXml" ds:itemID="{3D144E73-633D-44F0-83D3-10B80A202159}"/>
</file>

<file path=customXml/itemProps5.xml><?xml version="1.0" encoding="utf-8"?>
<ds:datastoreItem xmlns:ds="http://schemas.openxmlformats.org/officeDocument/2006/customXml" ds:itemID="{E498F575-E19E-47E9-B96A-AABE75A83A52}"/>
</file>

<file path=customXml/itemProps6.xml><?xml version="1.0" encoding="utf-8"?>
<ds:datastoreItem xmlns:ds="http://schemas.openxmlformats.org/officeDocument/2006/customXml" ds:itemID="{CE8CEB83-4C75-4DD8-BCB3-D3B63BA07107}"/>
</file>

<file path=customXml/itemProps7.xml><?xml version="1.0" encoding="utf-8"?>
<ds:datastoreItem xmlns:ds="http://schemas.openxmlformats.org/officeDocument/2006/customXml" ds:itemID="{06F621F9-B3D7-45AE-9898-1D92DDA58B52}"/>
</file>

<file path=docProps/app.xml><?xml version="1.0" encoding="utf-8"?>
<Properties xmlns="http://schemas.openxmlformats.org/officeDocument/2006/extended-properties" xmlns:vt="http://schemas.openxmlformats.org/officeDocument/2006/docPropsVTypes">
  <Template>COAG.dot</Template>
  <TotalTime>1</TotalTime>
  <Pages>8</Pages>
  <Words>1693</Words>
  <Characters>9646</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Project Agreement Template</vt:lpstr>
    </vt:vector>
  </TitlesOfParts>
  <Company>Australian Government - The Treasury</Company>
  <LinksUpToDate>false</LinksUpToDate>
  <CharactersWithSpaces>11317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Agreement Template</dc:title>
  <dc:creator>Council of Australian Governments</dc:creator>
  <cp:lastModifiedBy>Evans, Lauren</cp:lastModifiedBy>
  <cp:revision>2</cp:revision>
  <cp:lastPrinted>2016-02-29T02:16:00Z</cp:lastPrinted>
  <dcterms:created xsi:type="dcterms:W3CDTF">2017-01-11T23:59:00Z</dcterms:created>
  <dcterms:modified xsi:type="dcterms:W3CDTF">2017-01-11T23:59:00Z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0x010100348D01E61E107C4DA4B97E380EA20D47005CDF45B49E80F24CAD80DFC012154DA9</vt:lpwstr>
  </property>
  <property fmtid="{D5CDD505-2E9C-101B-9397-08002B2CF9AE}" pid="4" name="TSYRecordClass">
    <vt:lpwstr>2;#TSY RA-8748 - Retain as national archives|243f2231-dbfc-4282-b24a-c9b768286bd0</vt:lpwstr>
  </property>
  <property fmtid="{D5CDD505-2E9C-101B-9397-08002B2CF9AE}" pid="5" name="_dlc_DocIdItemGuid">
    <vt:lpwstr>caad6489-d5e5-4c68-8144-e02fa21b04e3</vt:lpwstr>
  </property>
  <property fmtid="{D5CDD505-2E9C-101B-9397-08002B2CF9AE}" pid="6" name="RecordPoint_WorkflowType">
    <vt:lpwstr>ActiveSubmitStub</vt:lpwstr>
  </property>
  <property fmtid="{D5CDD505-2E9C-101B-9397-08002B2CF9AE}" pid="7" name="RecordPoint_ActiveItemListId">
    <vt:lpwstr>{4435c73b-6585-4bc2-a76a-5d21b1a02e06}</vt:lpwstr>
  </property>
  <property fmtid="{D5CDD505-2E9C-101B-9397-08002B2CF9AE}" pid="8" name="RecordPoint_ActiveItemUniqueId">
    <vt:lpwstr>{caad6489-d5e5-4c68-8144-e02fa21b04e3}</vt:lpwstr>
  </property>
  <property fmtid="{D5CDD505-2E9C-101B-9397-08002B2CF9AE}" pid="9" name="RecordPoint_ActiveItemWebId">
    <vt:lpwstr>{a4589788-615f-4b8b-8296-7f9f6dfbab44}</vt:lpwstr>
  </property>
  <property fmtid="{D5CDD505-2E9C-101B-9397-08002B2CF9AE}" pid="10" name="RecordPoint_ActiveItemSiteId">
    <vt:lpwstr>{a3a280d1-e8f1-4ce7-94f0-aaa2322da0dd}</vt:lpwstr>
  </property>
  <property fmtid="{D5CDD505-2E9C-101B-9397-08002B2CF9AE}" pid="11" name="RecordPoint_RecordNumberSubmitted">
    <vt:lpwstr>R0001186542</vt:lpwstr>
  </property>
  <property fmtid="{D5CDD505-2E9C-101B-9397-08002B2CF9AE}" pid="12" name="RecordPoint_SubmissionCompleted">
    <vt:lpwstr>2017-01-12T11:01:09.1114106+11:00</vt:lpwstr>
  </property>
  <property fmtid="{D5CDD505-2E9C-101B-9397-08002B2CF9AE}" pid="13" name="_AdHocReviewCycleID">
    <vt:i4>1464508447</vt:i4>
  </property>
  <property fmtid="{D5CDD505-2E9C-101B-9397-08002B2CF9AE}" pid="14" name="_EmailSubject">
    <vt:lpwstr>Update - Change to Existing Webpage Request #S33613 [SEC=UNCLASSIFIED]</vt:lpwstr>
  </property>
  <property fmtid="{D5CDD505-2E9C-101B-9397-08002B2CF9AE}" pid="15" name="_AuthorEmail">
    <vt:lpwstr>Lauren.Evans@TREASURY.GOV.AU</vt:lpwstr>
  </property>
  <property fmtid="{D5CDD505-2E9C-101B-9397-08002B2CF9AE}" pid="16" name="_AuthorEmailDisplayName">
    <vt:lpwstr>Evans, Lauren</vt:lpwstr>
  </property>
</Properties>
</file>