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64F931C2" w14:textId="77777777">
        <w:tc>
          <w:tcPr>
            <w:tcW w:w="5000" w:type="pct"/>
            <w:gridSpan w:val="2"/>
          </w:tcPr>
          <w:p w14:paraId="4E13B450" w14:textId="77777777" w:rsidR="00814667" w:rsidRDefault="00814667" w:rsidP="00E4566D">
            <w:pPr>
              <w:pStyle w:val="CoverTitleMain"/>
            </w:pPr>
            <w:bookmarkStart w:id="0" w:name="_GoBack"/>
            <w:bookmarkEnd w:id="0"/>
            <w:r>
              <w:t>Nat</w:t>
            </w:r>
            <w:r w:rsidR="007A6E20">
              <w:t xml:space="preserve">ional partnership </w:t>
            </w:r>
            <w:r w:rsidR="00C7093C">
              <w:t>on</w:t>
            </w:r>
            <w:r w:rsidR="00E4566D">
              <w:t xml:space="preserve"> </w:t>
            </w:r>
            <w:r w:rsidR="0073000F">
              <w:t>DISASTER RISK REDUCTION</w:t>
            </w:r>
          </w:p>
        </w:tc>
      </w:tr>
      <w:tr w:rsidR="00814667" w14:paraId="5316A160" w14:textId="77777777">
        <w:tc>
          <w:tcPr>
            <w:tcW w:w="767" w:type="pct"/>
          </w:tcPr>
          <w:p w14:paraId="46F6D15E" w14:textId="77777777" w:rsidR="00814667" w:rsidRDefault="00814667">
            <w:pPr>
              <w:pStyle w:val="SingleParagraph"/>
              <w:tabs>
                <w:tab w:val="num" w:pos="1134"/>
              </w:tabs>
              <w:spacing w:after="240"/>
              <w:ind w:left="1134" w:hanging="567"/>
            </w:pPr>
          </w:p>
        </w:tc>
        <w:tc>
          <w:tcPr>
            <w:tcW w:w="4233" w:type="pct"/>
          </w:tcPr>
          <w:p w14:paraId="05CAE097" w14:textId="77777777" w:rsidR="00814667" w:rsidRDefault="00814667">
            <w:pPr>
              <w:pStyle w:val="SingleParagraph"/>
              <w:tabs>
                <w:tab w:val="num" w:pos="1134"/>
              </w:tabs>
              <w:spacing w:after="240"/>
              <w:ind w:left="1134" w:hanging="567"/>
            </w:pPr>
          </w:p>
        </w:tc>
      </w:tr>
      <w:tr w:rsidR="00814667" w14:paraId="0E24E5F7" w14:textId="77777777">
        <w:tc>
          <w:tcPr>
            <w:tcW w:w="767" w:type="pct"/>
          </w:tcPr>
          <w:p w14:paraId="2639B346" w14:textId="77777777" w:rsidR="00814667" w:rsidRDefault="00814667">
            <w:pPr>
              <w:pStyle w:val="SingleParagraph"/>
              <w:tabs>
                <w:tab w:val="num" w:pos="1134"/>
              </w:tabs>
              <w:spacing w:after="240"/>
              <w:ind w:left="1134" w:hanging="567"/>
            </w:pPr>
          </w:p>
        </w:tc>
        <w:tc>
          <w:tcPr>
            <w:tcW w:w="4233" w:type="pct"/>
          </w:tcPr>
          <w:p w14:paraId="0E9F3E47" w14:textId="77777777" w:rsidR="00814667" w:rsidRPr="001E74D0" w:rsidRDefault="00814667">
            <w:pPr>
              <w:pStyle w:val="SingleParagraph"/>
              <w:tabs>
                <w:tab w:val="num" w:pos="1134"/>
              </w:tabs>
              <w:spacing w:after="240"/>
              <w:ind w:left="1134" w:hanging="567"/>
            </w:pPr>
          </w:p>
        </w:tc>
      </w:tr>
      <w:tr w:rsidR="00814667" w14:paraId="0F85345F" w14:textId="77777777">
        <w:tc>
          <w:tcPr>
            <w:tcW w:w="5000" w:type="pct"/>
            <w:gridSpan w:val="2"/>
          </w:tcPr>
          <w:p w14:paraId="3896E2BD" w14:textId="77777777" w:rsidR="00814667" w:rsidRDefault="00814667">
            <w:pPr>
              <w:pStyle w:val="AgreementHeading"/>
              <w:tabs>
                <w:tab w:val="clear" w:pos="1134"/>
              </w:tabs>
            </w:pPr>
            <w:r>
              <w:t>An agreement between</w:t>
            </w:r>
          </w:p>
        </w:tc>
      </w:tr>
      <w:tr w:rsidR="00814667" w14:paraId="3774C5E7" w14:textId="77777777">
        <w:tc>
          <w:tcPr>
            <w:tcW w:w="767" w:type="pct"/>
          </w:tcPr>
          <w:p w14:paraId="0436CD79" w14:textId="77777777" w:rsidR="00814667" w:rsidRPr="001E74D0" w:rsidRDefault="00814667">
            <w:pPr>
              <w:pStyle w:val="AgreementHeading"/>
              <w:tabs>
                <w:tab w:val="clear" w:pos="1134"/>
              </w:tabs>
              <w:ind w:left="522"/>
            </w:pPr>
          </w:p>
        </w:tc>
        <w:tc>
          <w:tcPr>
            <w:tcW w:w="4233" w:type="pct"/>
          </w:tcPr>
          <w:p w14:paraId="45754DD5" w14:textId="77777777" w:rsidR="00814667" w:rsidRDefault="00814667">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14:paraId="4037CB08" w14:textId="77777777" w:rsidR="00814667" w:rsidRPr="001E74D0" w:rsidRDefault="00814667">
            <w:pPr>
              <w:pStyle w:val="AgreementParties"/>
            </w:pPr>
            <w:r>
              <w:t xml:space="preserve">the </w:t>
            </w:r>
            <w:r>
              <w:rPr>
                <w:rStyle w:val="Bold"/>
              </w:rPr>
              <w:t>States and Territories</w:t>
            </w:r>
            <w:r>
              <w:t>, being:</w:t>
            </w:r>
          </w:p>
        </w:tc>
      </w:tr>
      <w:tr w:rsidR="00814667" w14:paraId="5B0B3C35" w14:textId="77777777">
        <w:tc>
          <w:tcPr>
            <w:tcW w:w="767" w:type="pct"/>
          </w:tcPr>
          <w:p w14:paraId="15D8FA26" w14:textId="77777777" w:rsidR="00814667" w:rsidRDefault="00814667">
            <w:pPr>
              <w:pStyle w:val="SingleParagraph"/>
              <w:tabs>
                <w:tab w:val="num" w:pos="1134"/>
              </w:tabs>
              <w:spacing w:after="240"/>
              <w:ind w:left="1134" w:hanging="567"/>
            </w:pPr>
          </w:p>
        </w:tc>
        <w:tc>
          <w:tcPr>
            <w:tcW w:w="4233" w:type="pct"/>
            <w:tcBorders>
              <w:left w:val="nil"/>
            </w:tcBorders>
          </w:tcPr>
          <w:p w14:paraId="4001455E" w14:textId="77777777" w:rsidR="00814667" w:rsidRDefault="00814667" w:rsidP="00994C10">
            <w:pPr>
              <w:pStyle w:val="StatesList"/>
              <w:numPr>
                <w:ilvl w:val="0"/>
                <w:numId w:val="12"/>
              </w:numPr>
            </w:pPr>
            <w:r>
              <w:t>New South Wales</w:t>
            </w:r>
          </w:p>
          <w:p w14:paraId="0BCEFE85" w14:textId="77777777" w:rsidR="00814667" w:rsidRDefault="00814667" w:rsidP="00994C10">
            <w:pPr>
              <w:pStyle w:val="StatesList"/>
              <w:numPr>
                <w:ilvl w:val="0"/>
                <w:numId w:val="12"/>
              </w:numPr>
            </w:pPr>
            <w:r>
              <w:t>Victoria</w:t>
            </w:r>
          </w:p>
          <w:p w14:paraId="1F06DFDA" w14:textId="77777777" w:rsidR="00814667" w:rsidRDefault="00814667" w:rsidP="00994C10">
            <w:pPr>
              <w:pStyle w:val="StatesList"/>
              <w:numPr>
                <w:ilvl w:val="0"/>
                <w:numId w:val="12"/>
              </w:numPr>
            </w:pPr>
            <w:r>
              <w:t>Queensland</w:t>
            </w:r>
          </w:p>
          <w:p w14:paraId="65C67620" w14:textId="77777777" w:rsidR="00814667" w:rsidRDefault="00814667" w:rsidP="00994C10">
            <w:pPr>
              <w:pStyle w:val="StatesList"/>
              <w:numPr>
                <w:ilvl w:val="0"/>
                <w:numId w:val="12"/>
              </w:numPr>
            </w:pPr>
            <w:r>
              <w:t>Western Australia</w:t>
            </w:r>
          </w:p>
          <w:p w14:paraId="09AE91DB" w14:textId="77777777" w:rsidR="00814667" w:rsidRDefault="00814667" w:rsidP="00994C10">
            <w:pPr>
              <w:pStyle w:val="StatesList"/>
              <w:numPr>
                <w:ilvl w:val="0"/>
                <w:numId w:val="12"/>
              </w:numPr>
            </w:pPr>
            <w:r>
              <w:t>South Australia</w:t>
            </w:r>
          </w:p>
          <w:p w14:paraId="091E2513" w14:textId="77777777" w:rsidR="00814667" w:rsidRDefault="00814667" w:rsidP="00994C10">
            <w:pPr>
              <w:pStyle w:val="StatesList"/>
              <w:numPr>
                <w:ilvl w:val="0"/>
                <w:numId w:val="12"/>
              </w:numPr>
            </w:pPr>
            <w:r>
              <w:t>Tasmania</w:t>
            </w:r>
          </w:p>
          <w:p w14:paraId="64810B50" w14:textId="77777777" w:rsidR="00814667" w:rsidRDefault="006B2D1B" w:rsidP="00994C10">
            <w:pPr>
              <w:pStyle w:val="StatesList"/>
              <w:numPr>
                <w:ilvl w:val="0"/>
                <w:numId w:val="12"/>
              </w:numPr>
            </w:pPr>
            <w:r>
              <w:t>t</w:t>
            </w:r>
            <w:r w:rsidR="00814667">
              <w:t>he Australian Capital Territory</w:t>
            </w:r>
          </w:p>
          <w:p w14:paraId="459BEBDB" w14:textId="77777777" w:rsidR="00814667" w:rsidRDefault="006B2D1B" w:rsidP="00994C10">
            <w:pPr>
              <w:pStyle w:val="StatesList"/>
              <w:numPr>
                <w:ilvl w:val="0"/>
                <w:numId w:val="12"/>
              </w:numPr>
            </w:pPr>
            <w:r>
              <w:t>the Northern Territory</w:t>
            </w:r>
          </w:p>
          <w:p w14:paraId="09B40AB3" w14:textId="77777777" w:rsidR="00EB7EDA" w:rsidRPr="00EB7EDA" w:rsidRDefault="00EB7EDA" w:rsidP="0073000F">
            <w:pPr>
              <w:rPr>
                <w:i/>
              </w:rPr>
            </w:pPr>
          </w:p>
        </w:tc>
      </w:tr>
      <w:tr w:rsidR="00814667" w14:paraId="16146068" w14:textId="77777777">
        <w:tc>
          <w:tcPr>
            <w:tcW w:w="5000" w:type="pct"/>
            <w:gridSpan w:val="2"/>
          </w:tcPr>
          <w:p w14:paraId="5911AC85" w14:textId="77777777" w:rsidR="00814667" w:rsidRDefault="00814667">
            <w:pPr>
              <w:pStyle w:val="SingleParagraph"/>
              <w:tabs>
                <w:tab w:val="num" w:pos="1134"/>
              </w:tabs>
              <w:spacing w:after="240"/>
              <w:ind w:left="1134" w:hanging="567"/>
            </w:pPr>
          </w:p>
        </w:tc>
      </w:tr>
      <w:tr w:rsidR="00814667" w:rsidRPr="002C6D45" w14:paraId="742A3CFE" w14:textId="77777777">
        <w:tc>
          <w:tcPr>
            <w:tcW w:w="5000" w:type="pct"/>
            <w:gridSpan w:val="2"/>
          </w:tcPr>
          <w:p w14:paraId="26C33373" w14:textId="77777777" w:rsidR="008859E3" w:rsidRPr="002C6D45" w:rsidRDefault="008859E3" w:rsidP="008A73C0">
            <w:pPr>
              <w:pStyle w:val="Abstract"/>
              <w:jc w:val="center"/>
              <w:rPr>
                <w:color w:val="auto"/>
              </w:rPr>
            </w:pPr>
          </w:p>
          <w:p w14:paraId="29998910" w14:textId="77777777" w:rsidR="0073000F" w:rsidRPr="002D0A50" w:rsidRDefault="00C7093C" w:rsidP="00A838FA">
            <w:pPr>
              <w:pStyle w:val="Abstract"/>
            </w:pPr>
            <w:r w:rsidRPr="002C6D45">
              <w:t xml:space="preserve">This Agreement will </w:t>
            </w:r>
            <w:r w:rsidR="00845BCC" w:rsidRPr="002C6D45">
              <w:t xml:space="preserve">contribute to </w:t>
            </w:r>
            <w:r w:rsidR="0073000F" w:rsidRPr="00D76300">
              <w:t>red</w:t>
            </w:r>
            <w:r w:rsidR="00FF47D4" w:rsidRPr="00D76300">
              <w:t>uce disaster risk and limit the</w:t>
            </w:r>
            <w:r w:rsidR="00535783" w:rsidRPr="00D76300">
              <w:t xml:space="preserve"> </w:t>
            </w:r>
            <w:r w:rsidR="0073000F" w:rsidRPr="00D76300">
              <w:t xml:space="preserve">impact of disasters </w:t>
            </w:r>
            <w:r w:rsidR="00374F39" w:rsidRPr="00D76300">
              <w:t xml:space="preserve">associated with natural hazards </w:t>
            </w:r>
            <w:r w:rsidR="0073000F" w:rsidRPr="00D76300">
              <w:t>on Australian communities and economies</w:t>
            </w:r>
            <w:r w:rsidR="002C6D45">
              <w:t xml:space="preserve"> by delivering on</w:t>
            </w:r>
            <w:r w:rsidR="00CA701A" w:rsidRPr="002C6D45">
              <w:t xml:space="preserve"> the </w:t>
            </w:r>
            <w:r w:rsidR="002C6D45" w:rsidRPr="002C6D45">
              <w:t>priorities, five</w:t>
            </w:r>
            <w:r w:rsidR="002C6D45" w:rsidRPr="002C6D45">
              <w:noBreakHyphen/>
              <w:t>year outcomes and 2030 goals of the National Disaster Risk Reduction Framework</w:t>
            </w:r>
            <w:r w:rsidRPr="002D0A50">
              <w:t xml:space="preserve">.  </w:t>
            </w:r>
          </w:p>
          <w:p w14:paraId="022BECD4" w14:textId="77777777" w:rsidR="00FB017E" w:rsidRDefault="00FB017E" w:rsidP="00165729"/>
          <w:p w14:paraId="6A293577" w14:textId="77777777" w:rsidR="00FB017E" w:rsidRPr="00FB017E" w:rsidRDefault="00FB017E" w:rsidP="00FB017E"/>
          <w:p w14:paraId="49F4F5C4" w14:textId="77777777" w:rsidR="00FB017E" w:rsidRPr="00FB017E" w:rsidRDefault="00FB017E" w:rsidP="00FB017E"/>
          <w:p w14:paraId="55854162" w14:textId="77777777" w:rsidR="00814667" w:rsidRPr="00FB017E" w:rsidRDefault="00814667" w:rsidP="00FB017E">
            <w:pPr>
              <w:jc w:val="right"/>
            </w:pPr>
          </w:p>
        </w:tc>
      </w:tr>
    </w:tbl>
    <w:p w14:paraId="1372C7CC" w14:textId="77777777" w:rsidR="00814667" w:rsidRDefault="007A6E20">
      <w:pPr>
        <w:pStyle w:val="Title"/>
        <w:pageBreakBefore/>
      </w:pPr>
      <w:r>
        <w:lastRenderedPageBreak/>
        <w:t>National Partnership</w:t>
      </w:r>
      <w:r>
        <w:br/>
      </w:r>
      <w:r w:rsidR="00814667">
        <w:t>on</w:t>
      </w:r>
      <w:r w:rsidR="00C7093C">
        <w:t xml:space="preserve"> </w:t>
      </w:r>
      <w:r w:rsidR="00165729">
        <w:t>Disaster Risk Reduction</w:t>
      </w:r>
    </w:p>
    <w:p w14:paraId="3567A9C3" w14:textId="77777777" w:rsidR="003D26BA" w:rsidRPr="003D26BA" w:rsidRDefault="00F1611B" w:rsidP="0032726D">
      <w:pPr>
        <w:pStyle w:val="Heading1"/>
        <w:pBdr>
          <w:top w:val="single" w:sz="4" w:space="1" w:color="auto"/>
          <w:left w:val="single" w:sz="4" w:space="4" w:color="auto"/>
          <w:bottom w:val="single" w:sz="4" w:space="1" w:color="auto"/>
          <w:right w:val="single" w:sz="4" w:space="4" w:color="auto"/>
        </w:pBdr>
        <w:shd w:val="clear" w:color="auto" w:fill="DBE5F1" w:themeFill="accent1" w:themeFillTint="33"/>
        <w:spacing w:before="0"/>
      </w:pPr>
      <w:r w:rsidRPr="004353D0">
        <w:t>overview</w:t>
      </w:r>
    </w:p>
    <w:p w14:paraId="64E870B5" w14:textId="77777777" w:rsidR="00C960AA" w:rsidRDefault="00C960AA"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rPr>
          <w:color w:val="auto"/>
        </w:rPr>
      </w:pPr>
      <w:r w:rsidRPr="00336F12">
        <w:rPr>
          <w:color w:val="auto"/>
        </w:rPr>
        <w:t xml:space="preserve">This National Partnership (the Agreement) is created subject to the provisions of the Intergovernmental Agreement on Federal Financial Relations </w:t>
      </w:r>
      <w:r w:rsidR="00E31BCF">
        <w:rPr>
          <w:color w:val="auto"/>
        </w:rPr>
        <w:t xml:space="preserve">(IGA FFR) </w:t>
      </w:r>
      <w:r w:rsidRPr="00336F12">
        <w:rPr>
          <w:color w:val="auto"/>
        </w:rPr>
        <w:t xml:space="preserve">and should be read in conjunction with that Agreement and </w:t>
      </w:r>
      <w:r w:rsidR="001C346E" w:rsidRPr="00336F12">
        <w:rPr>
          <w:color w:val="auto"/>
        </w:rPr>
        <w:t>its</w:t>
      </w:r>
      <w:r w:rsidRPr="00336F12">
        <w:rPr>
          <w:color w:val="auto"/>
        </w:rPr>
        <w:t xml:space="preserve"> </w:t>
      </w:r>
      <w:r w:rsidR="001C346E" w:rsidRPr="00336F12">
        <w:rPr>
          <w:color w:val="auto"/>
        </w:rPr>
        <w:t>S</w:t>
      </w:r>
      <w:r w:rsidRPr="00336F12">
        <w:rPr>
          <w:color w:val="auto"/>
        </w:rPr>
        <w:t>chedules</w:t>
      </w:r>
      <w:r w:rsidR="001C346E" w:rsidRPr="00336F12">
        <w:rPr>
          <w:color w:val="auto"/>
        </w:rPr>
        <w:t xml:space="preserve">, which provide information in relation to </w:t>
      </w:r>
      <w:r w:rsidRPr="00336F12">
        <w:rPr>
          <w:color w:val="auto"/>
        </w:rPr>
        <w:t>performance reporting and payment arrangements</w:t>
      </w:r>
      <w:r w:rsidR="001C346E" w:rsidRPr="00336F12">
        <w:rPr>
          <w:color w:val="auto"/>
        </w:rPr>
        <w:t xml:space="preserve"> under the IGA</w:t>
      </w:r>
      <w:r w:rsidR="00E31BCF">
        <w:rPr>
          <w:color w:val="auto"/>
        </w:rPr>
        <w:t xml:space="preserve"> FFR</w:t>
      </w:r>
      <w:r w:rsidRPr="00336F12">
        <w:rPr>
          <w:color w:val="auto"/>
        </w:rPr>
        <w:t>.</w:t>
      </w:r>
    </w:p>
    <w:p w14:paraId="4438CBE9" w14:textId="77777777"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2608C1A9" w14:textId="74B56B4D" w:rsidR="00BB4B28" w:rsidRPr="006F6BD4" w:rsidRDefault="00E7195E"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rPr>
          <w:color w:val="auto"/>
        </w:rPr>
      </w:pPr>
      <w:r w:rsidRPr="006F6BD4">
        <w:rPr>
          <w:color w:val="auto"/>
        </w:rPr>
        <w:t xml:space="preserve">In entering this Agreement, the Commonwealth </w:t>
      </w:r>
      <w:r w:rsidR="00715018" w:rsidRPr="006F6BD4">
        <w:rPr>
          <w:color w:val="auto"/>
        </w:rPr>
        <w:t>and the States and Territories (</w:t>
      </w:r>
      <w:r w:rsidRPr="006F6BD4">
        <w:rPr>
          <w:color w:val="auto"/>
        </w:rPr>
        <w:t>the States) recognise they have a mutual in</w:t>
      </w:r>
      <w:r w:rsidRPr="0006392B">
        <w:rPr>
          <w:color w:val="auto"/>
        </w:rPr>
        <w:t xml:space="preserve">terest in improving outcomes </w:t>
      </w:r>
      <w:r w:rsidR="00D94959" w:rsidRPr="008A73C0">
        <w:rPr>
          <w:color w:val="auto"/>
        </w:rPr>
        <w:t>to reduce</w:t>
      </w:r>
      <w:r w:rsidR="00D94959" w:rsidRPr="00206986">
        <w:rPr>
          <w:color w:val="auto"/>
        </w:rPr>
        <w:t xml:space="preserve"> disaster risk</w:t>
      </w:r>
      <w:r w:rsidRPr="00206986">
        <w:rPr>
          <w:i/>
          <w:color w:val="auto"/>
        </w:rPr>
        <w:t xml:space="preserve"> </w:t>
      </w:r>
      <w:r w:rsidRPr="006F6BD4">
        <w:rPr>
          <w:color w:val="auto"/>
        </w:rPr>
        <w:t xml:space="preserve">and need to work together to achieve those outcomes. </w:t>
      </w:r>
    </w:p>
    <w:p w14:paraId="111D716E" w14:textId="3E0D98EF" w:rsidR="00A228C6" w:rsidRPr="00A228C6" w:rsidRDefault="008E2575"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rPr>
          <w:color w:val="auto"/>
        </w:rPr>
      </w:pPr>
      <w:r w:rsidRPr="007D550A">
        <w:rPr>
          <w:color w:val="auto"/>
        </w:rPr>
        <w:t>Taking action to address the causes of disaster risk, will strengthen resilience and enable communities to withstand, adapt to and continue to thrive in a changing environment.</w:t>
      </w:r>
      <w:r>
        <w:rPr>
          <w:color w:val="auto"/>
        </w:rPr>
        <w:t xml:space="preserve"> </w:t>
      </w:r>
      <w:r w:rsidR="004F4344">
        <w:rPr>
          <w:color w:val="auto"/>
        </w:rPr>
        <w:t xml:space="preserve">The objective of this </w:t>
      </w:r>
      <w:r w:rsidR="00852ED8" w:rsidRPr="00D76300">
        <w:rPr>
          <w:color w:val="auto"/>
        </w:rPr>
        <w:t xml:space="preserve">Agreement </w:t>
      </w:r>
      <w:r w:rsidR="004F4344">
        <w:rPr>
          <w:color w:val="auto"/>
        </w:rPr>
        <w:t>is to</w:t>
      </w:r>
      <w:r w:rsidR="004F4344" w:rsidRPr="00D76300">
        <w:rPr>
          <w:color w:val="auto"/>
        </w:rPr>
        <w:t xml:space="preserve"> </w:t>
      </w:r>
      <w:r w:rsidR="00D76300">
        <w:rPr>
          <w:color w:val="auto"/>
        </w:rPr>
        <w:t xml:space="preserve">proactively </w:t>
      </w:r>
      <w:r w:rsidR="006F6BD4" w:rsidRPr="00D76300">
        <w:rPr>
          <w:color w:val="auto"/>
        </w:rPr>
        <w:t xml:space="preserve">reduce </w:t>
      </w:r>
      <w:r w:rsidR="006F6BD4" w:rsidRPr="00D76300">
        <w:t xml:space="preserve">the risk and limit the impact of disasters associated with natural hazards on Australian communities and economies. </w:t>
      </w:r>
      <w:r w:rsidR="00D14FA3" w:rsidRPr="00D76300">
        <w:t>I</w:t>
      </w:r>
      <w:r w:rsidR="006F6BD4" w:rsidRPr="00D76300">
        <w:t xml:space="preserve">t will deliver </w:t>
      </w:r>
      <w:r w:rsidR="002C6D45" w:rsidRPr="00D76300">
        <w:t>on</w:t>
      </w:r>
      <w:r w:rsidR="006F6BD4" w:rsidRPr="00D76300">
        <w:t xml:space="preserve"> the</w:t>
      </w:r>
      <w:r w:rsidR="000F5021">
        <w:t xml:space="preserve"> priorities,</w:t>
      </w:r>
      <w:r w:rsidR="006F6BD4">
        <w:t xml:space="preserve"> five</w:t>
      </w:r>
      <w:r w:rsidR="006F6BD4">
        <w:noBreakHyphen/>
        <w:t>year outcomes and 2030 goals of the National Disaster Risk Reduction Framework aimed at</w:t>
      </w:r>
      <w:r>
        <w:t> </w:t>
      </w:r>
      <w:r w:rsidR="006F6BD4">
        <w:t xml:space="preserve">reducing existing disaster risk, minimising the creation of future risk and </w:t>
      </w:r>
      <w:r w:rsidR="000044E7">
        <w:t>equipping decision</w:t>
      </w:r>
      <w:r>
        <w:noBreakHyphen/>
      </w:r>
      <w:r w:rsidR="000044E7">
        <w:t xml:space="preserve">makers with the capabilities and information needed to </w:t>
      </w:r>
      <w:r>
        <w:t xml:space="preserve">reduce disaster risk and </w:t>
      </w:r>
      <w:r w:rsidR="000044E7">
        <w:t>manage</w:t>
      </w:r>
      <w:r w:rsidR="006F6BD4">
        <w:t xml:space="preserve"> residual risk</w:t>
      </w:r>
      <w:r w:rsidR="00852ED8" w:rsidRPr="00713745">
        <w:rPr>
          <w:color w:val="auto"/>
        </w:rPr>
        <w:t xml:space="preserve">. </w:t>
      </w:r>
    </w:p>
    <w:p w14:paraId="4E3EDED5" w14:textId="77777777"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18D0CC6D" w14:textId="2AB0D82D" w:rsidR="00BD45A6" w:rsidRDefault="00FE4A16"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pPr>
      <w:r w:rsidRPr="00BF6258">
        <w:t>The</w:t>
      </w:r>
      <w:r w:rsidR="00230BF8" w:rsidRPr="00BF6258">
        <w:t xml:space="preserve"> </w:t>
      </w:r>
      <w:r w:rsidRPr="00BF6258">
        <w:t xml:space="preserve">States will </w:t>
      </w:r>
      <w:r w:rsidR="00A21B8C">
        <w:t xml:space="preserve">provide </w:t>
      </w:r>
      <w:r w:rsidR="00563A5A">
        <w:t xml:space="preserve">annual </w:t>
      </w:r>
      <w:r w:rsidR="00A21B8C">
        <w:t>reports outlining</w:t>
      </w:r>
      <w:r w:rsidRPr="00BF6258">
        <w:t xml:space="preserve"> </w:t>
      </w:r>
      <w:r w:rsidR="00E752FD" w:rsidRPr="00BF6258">
        <w:t xml:space="preserve">the minimum required </w:t>
      </w:r>
      <w:r w:rsidRPr="00BF6258">
        <w:t xml:space="preserve">against the agreed </w:t>
      </w:r>
      <w:r w:rsidR="0032082B" w:rsidRPr="00BF6258">
        <w:t>performance indicators</w:t>
      </w:r>
      <w:r w:rsidRPr="00BF6258">
        <w:t xml:space="preserve"> and</w:t>
      </w:r>
      <w:r w:rsidR="0032082B" w:rsidRPr="00BF6258">
        <w:t>/or</w:t>
      </w:r>
      <w:r w:rsidRPr="00BF6258">
        <w:t xml:space="preserve"> performance </w:t>
      </w:r>
      <w:r w:rsidR="00335E2C" w:rsidRPr="00BF6258">
        <w:t>milestones</w:t>
      </w:r>
      <w:r w:rsidRPr="00BF6258">
        <w:t xml:space="preserve"> during the operation of the Agreement</w:t>
      </w:r>
      <w:r w:rsidR="00F1611B" w:rsidRPr="00BF6258">
        <w:t>, as set out in Part 4 – Performance Monitoring and Reporting</w:t>
      </w:r>
      <w:r w:rsidRPr="00BF6258">
        <w:t>.</w:t>
      </w:r>
      <w:r w:rsidR="00D14FA3" w:rsidRPr="00BF6258">
        <w:t xml:space="preserve"> </w:t>
      </w:r>
    </w:p>
    <w:p w14:paraId="1D3F35A3" w14:textId="77777777" w:rsidR="00FE4A16" w:rsidRDefault="00FE4A16" w:rsidP="00FE4A16">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0E6DCF">
        <w:rPr>
          <w:rFonts w:cs="Arial"/>
          <w:b/>
          <w:bCs/>
          <w:iCs/>
          <w:color w:val="3D4B67"/>
          <w:sz w:val="29"/>
          <w:szCs w:val="28"/>
        </w:rPr>
        <w:t xml:space="preserve">Financial </w:t>
      </w:r>
      <w:r w:rsidR="003D26BA" w:rsidRPr="000E6DCF">
        <w:rPr>
          <w:rFonts w:cs="Arial"/>
          <w:b/>
          <w:bCs/>
          <w:iCs/>
          <w:color w:val="3D4B67"/>
          <w:sz w:val="29"/>
          <w:szCs w:val="28"/>
        </w:rPr>
        <w:t>Arrangements</w:t>
      </w:r>
      <w:r>
        <w:rPr>
          <w:rFonts w:cs="Arial"/>
          <w:b/>
          <w:bCs/>
          <w:iCs/>
          <w:color w:val="3D4B67"/>
          <w:sz w:val="29"/>
          <w:szCs w:val="28"/>
        </w:rPr>
        <w:t xml:space="preserve"> </w:t>
      </w:r>
    </w:p>
    <w:p w14:paraId="4E35B009" w14:textId="272E697A" w:rsidR="00C86FEF" w:rsidRDefault="00FE4A16"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pPr>
      <w:r w:rsidRPr="007179FE">
        <w:t xml:space="preserve">The Commonwealth will provide </w:t>
      </w:r>
      <w:r w:rsidR="00D76300">
        <w:t xml:space="preserve">a </w:t>
      </w:r>
      <w:r w:rsidRPr="007179FE">
        <w:t xml:space="preserve">financial contribution to the States </w:t>
      </w:r>
      <w:r>
        <w:t xml:space="preserve">of </w:t>
      </w:r>
      <w:r w:rsidR="009B682C">
        <w:t>$104.4 million</w:t>
      </w:r>
      <w:r>
        <w:t xml:space="preserve"> in respect of this Agreement</w:t>
      </w:r>
      <w:r w:rsidR="0014579A">
        <w:t>, as set out in Part 5 – Financial Arrangements</w:t>
      </w:r>
      <w:r w:rsidR="004F4344">
        <w:t>. The States will provide a matching financial and/or in</w:t>
      </w:r>
      <w:r w:rsidR="004F4344">
        <w:noBreakHyphen/>
        <w:t>kind contribution to support the implementation of the Agreement</w:t>
      </w:r>
      <w:r w:rsidR="001775DC">
        <w:t>,</w:t>
      </w:r>
      <w:r>
        <w:t xml:space="preserve"> as set out </w:t>
      </w:r>
      <w:r w:rsidRPr="007179FE">
        <w:t xml:space="preserve">in </w:t>
      </w:r>
      <w:r>
        <w:t>Part 5 – Financial Arrangements</w:t>
      </w:r>
      <w:r w:rsidRPr="007179FE">
        <w:t>.</w:t>
      </w:r>
      <w:r w:rsidR="008E2575">
        <w:t xml:space="preserve"> </w:t>
      </w:r>
    </w:p>
    <w:p w14:paraId="08EA09C9" w14:textId="72D2AA30" w:rsidR="009B682C" w:rsidRDefault="00046AA8"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pPr>
      <w:r>
        <w:t xml:space="preserve">Additionally, the </w:t>
      </w:r>
      <w:r w:rsidR="009B682C">
        <w:t xml:space="preserve">Commonwealth will provide $26.1 million for </w:t>
      </w:r>
      <w:r w:rsidR="009B682C" w:rsidRPr="00F816DC">
        <w:t>nationally significant</w:t>
      </w:r>
      <w:r w:rsidR="009B682C">
        <w:t xml:space="preserve"> disaster risk reduction projects</w:t>
      </w:r>
      <w:r>
        <w:t xml:space="preserve"> outside of this Agreement</w:t>
      </w:r>
      <w:r w:rsidR="004F4344">
        <w:t xml:space="preserve"> </w:t>
      </w:r>
      <w:r w:rsidR="00637B26">
        <w:t xml:space="preserve">and </w:t>
      </w:r>
      <w:r w:rsidR="004F4344">
        <w:t xml:space="preserve">in </w:t>
      </w:r>
      <w:r w:rsidR="00637B26">
        <w:t>consultation with the Australia-</w:t>
      </w:r>
      <w:r w:rsidR="004F4344">
        <w:t>New Zealand Emergency Management Committee</w:t>
      </w:r>
      <w:r w:rsidR="009B682C">
        <w:t>.</w:t>
      </w:r>
      <w:r w:rsidR="00444C89">
        <w:t xml:space="preserve"> </w:t>
      </w:r>
      <w:r w:rsidR="00637B26">
        <w:t xml:space="preserve">This </w:t>
      </w:r>
      <w:r w:rsidR="009B682C">
        <w:t xml:space="preserve">will be fully matched by the States, financially </w:t>
      </w:r>
      <w:r w:rsidR="00637B26">
        <w:t>and/</w:t>
      </w:r>
      <w:r w:rsidR="009B682C">
        <w:t>or in</w:t>
      </w:r>
      <w:r w:rsidR="009B682C">
        <w:noBreakHyphen/>
        <w:t>kind,</w:t>
      </w:r>
      <w:r w:rsidR="0000225C">
        <w:t xml:space="preserve"> </w:t>
      </w:r>
      <w:r w:rsidR="00D47134">
        <w:t xml:space="preserve">for State </w:t>
      </w:r>
      <w:r w:rsidR="001C3C2B">
        <w:t xml:space="preserve">disaster risk reduction activities </w:t>
      </w:r>
      <w:r w:rsidR="00D47134">
        <w:t>and</w:t>
      </w:r>
      <w:r w:rsidR="00BB2FF1">
        <w:t>/or</w:t>
      </w:r>
      <w:r w:rsidR="00D47134">
        <w:t xml:space="preserve"> </w:t>
      </w:r>
      <w:r w:rsidR="00D47134" w:rsidRPr="00F816DC">
        <w:t>nationally significant</w:t>
      </w:r>
      <w:r w:rsidR="00D47134">
        <w:t xml:space="preserve"> projects </w:t>
      </w:r>
      <w:r w:rsidR="0000225C" w:rsidRPr="00FD3DE7">
        <w:t>as agreed between the P</w:t>
      </w:r>
      <w:r w:rsidR="009B682C" w:rsidRPr="00FD3DE7">
        <w:t>arties</w:t>
      </w:r>
      <w:r w:rsidR="00637B26">
        <w:t xml:space="preserve"> on a project-by-project basis</w:t>
      </w:r>
      <w:r w:rsidR="009B682C" w:rsidRPr="00FD3DE7">
        <w:t>.</w:t>
      </w:r>
    </w:p>
    <w:p w14:paraId="347F783F" w14:textId="706FB7D3" w:rsidR="007240E4" w:rsidRDefault="007240E4" w:rsidP="007240E4">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0E6DCF">
        <w:rPr>
          <w:rFonts w:cs="Arial"/>
          <w:b/>
          <w:bCs/>
          <w:iCs/>
          <w:color w:val="3D4B67"/>
          <w:sz w:val="29"/>
          <w:szCs w:val="28"/>
        </w:rPr>
        <w:t>Evaluation and Review</w:t>
      </w:r>
    </w:p>
    <w:p w14:paraId="4B08D647" w14:textId="11EC160F" w:rsidR="007240E4" w:rsidRDefault="007240E4"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pPr>
      <w:r w:rsidRPr="00BF6258">
        <w:t xml:space="preserve">The </w:t>
      </w:r>
      <w:r>
        <w:t xml:space="preserve">Commonwealth and the </w:t>
      </w:r>
      <w:r w:rsidRPr="00BF6258">
        <w:t xml:space="preserve">States will </w:t>
      </w:r>
      <w:r>
        <w:t xml:space="preserve">conduct evaluations and reviews of outcomes and outputs delivered under this Agreement, as </w:t>
      </w:r>
      <w:r w:rsidR="0053438F">
        <w:t>noted</w:t>
      </w:r>
      <w:r>
        <w:t xml:space="preserve"> in </w:t>
      </w:r>
      <w:r w:rsidR="001F0ECF">
        <w:t xml:space="preserve">Part </w:t>
      </w:r>
      <w:r w:rsidR="00B078F7">
        <w:t>6</w:t>
      </w:r>
      <w:r w:rsidR="001F0ECF">
        <w:t xml:space="preserve"> – </w:t>
      </w:r>
      <w:r w:rsidR="00B078F7">
        <w:t>Governance Arrangements.</w:t>
      </w:r>
    </w:p>
    <w:p w14:paraId="169E7C7A" w14:textId="3E1E6CC2" w:rsidR="007240E4" w:rsidRDefault="001F0ECF" w:rsidP="00637B2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180"/>
        <w:jc w:val="left"/>
      </w:pPr>
      <w:r w:rsidRPr="00C376AF">
        <w:t xml:space="preserve">Additionally, the States will </w:t>
      </w:r>
      <w:r w:rsidR="00962D4C">
        <w:t>support</w:t>
      </w:r>
      <w:r w:rsidRPr="00C376AF">
        <w:t xml:space="preserve"> evaluation of the implementation of the National Disaster Risk Reduction Framework </w:t>
      </w:r>
      <w:r w:rsidR="00C97B45">
        <w:t>outside of this Agreement.</w:t>
      </w:r>
      <w:r w:rsidR="00B078F7">
        <w:t xml:space="preserve"> This will occur </w:t>
      </w:r>
      <w:r w:rsidR="00C97B45" w:rsidRPr="00C376AF">
        <w:t>with reference to the activities delivered under this Agreement</w:t>
      </w:r>
      <w:r w:rsidR="00C97B45">
        <w:t xml:space="preserve">, and </w:t>
      </w:r>
      <w:r w:rsidR="00B078F7">
        <w:t xml:space="preserve">in accordance with </w:t>
      </w:r>
      <w:r w:rsidRPr="00C376AF">
        <w:t xml:space="preserve">monitoring, evaluation and learning arrangements </w:t>
      </w:r>
      <w:r w:rsidR="00B078F7">
        <w:t xml:space="preserve">agreed and reviewed annually by </w:t>
      </w:r>
      <w:r w:rsidR="00AB0B50">
        <w:t xml:space="preserve">the </w:t>
      </w:r>
      <w:r w:rsidR="00B078F7">
        <w:t>Australia</w:t>
      </w:r>
      <w:r w:rsidR="00B078F7">
        <w:noBreakHyphen/>
        <w:t>New Zealand Emergency Management Committee</w:t>
      </w:r>
      <w:r w:rsidR="00AB0B50">
        <w:t>,</w:t>
      </w:r>
      <w:r w:rsidR="00B078F7">
        <w:t xml:space="preserve"> and administered and </w:t>
      </w:r>
      <w:r w:rsidR="00962D4C">
        <w:t xml:space="preserve">fully </w:t>
      </w:r>
      <w:r w:rsidR="00B078F7">
        <w:t xml:space="preserve">funded by </w:t>
      </w:r>
      <w:r w:rsidR="00C97B45">
        <w:t xml:space="preserve">the Commonwealth. </w:t>
      </w:r>
    </w:p>
    <w:p w14:paraId="563CFDEB" w14:textId="77777777" w:rsidR="00814667" w:rsidRDefault="00814667" w:rsidP="0075602D">
      <w:pPr>
        <w:pStyle w:val="Heading1"/>
      </w:pPr>
      <w:r>
        <w:lastRenderedPageBreak/>
        <w:t>Part 1 — Formalities</w:t>
      </w:r>
    </w:p>
    <w:p w14:paraId="7CE5F93C" w14:textId="77777777" w:rsidR="00814667" w:rsidRDefault="00814667">
      <w:pPr>
        <w:pStyle w:val="Heading2"/>
      </w:pPr>
      <w:r>
        <w:t>Parties to this Agreement</w:t>
      </w:r>
    </w:p>
    <w:p w14:paraId="1D975CF9" w14:textId="77777777" w:rsidR="007B4B03" w:rsidRPr="007B4B03" w:rsidRDefault="00E7195E" w:rsidP="00E7195E">
      <w:pPr>
        <w:pStyle w:val="Normalnumbered"/>
        <w:numPr>
          <w:ilvl w:val="0"/>
          <w:numId w:val="15"/>
        </w:numPr>
        <w:tabs>
          <w:tab w:val="clear" w:pos="1418"/>
        </w:tabs>
        <w:jc w:val="left"/>
      </w:pPr>
      <w:r w:rsidRPr="003012DA">
        <w:t xml:space="preserve">This Agreement is between the Commonwealth of Australia (the Commonwealth) and the States and Territories (the States). </w:t>
      </w:r>
    </w:p>
    <w:p w14:paraId="52D67EC5" w14:textId="77777777" w:rsidR="00814667" w:rsidRDefault="00814667">
      <w:pPr>
        <w:pStyle w:val="Heading2"/>
      </w:pPr>
      <w:r>
        <w:t>Term of the Agreement</w:t>
      </w:r>
    </w:p>
    <w:p w14:paraId="09CA1BE5" w14:textId="77777777" w:rsidR="00FE4A16" w:rsidRDefault="001D6C45" w:rsidP="00FE4A16">
      <w:pPr>
        <w:pStyle w:val="Normalnumbered"/>
        <w:numPr>
          <w:ilvl w:val="0"/>
          <w:numId w:val="15"/>
        </w:numPr>
        <w:tabs>
          <w:tab w:val="clear" w:pos="1418"/>
        </w:tabs>
      </w:pPr>
      <w:r w:rsidRPr="003012DA">
        <w:t xml:space="preserve">This </w:t>
      </w:r>
      <w:r>
        <w:t xml:space="preserve">Agreement will commence as soon as the Commonwealth and one other Party sign </w:t>
      </w:r>
      <w:r w:rsidR="00490352">
        <w:t xml:space="preserve">it </w:t>
      </w:r>
      <w:r>
        <w:t>and will expire on</w:t>
      </w:r>
      <w:r w:rsidR="009B682C">
        <w:t xml:space="preserve"> 30 June 2024</w:t>
      </w:r>
      <w:r>
        <w:t>, or on completion of the project, including final performance reporting and processing of final payments against performance milestones. The Agreement may be terminated earlier or extended as agreed in writing by the Parties.</w:t>
      </w:r>
      <w:r w:rsidR="00FE4A16" w:rsidRPr="00FE4A16">
        <w:t xml:space="preserve"> </w:t>
      </w:r>
    </w:p>
    <w:p w14:paraId="299CC8E1" w14:textId="77777777" w:rsidR="00814667" w:rsidRDefault="00814667" w:rsidP="00E968F6">
      <w:pPr>
        <w:pStyle w:val="Heading1"/>
        <w:spacing w:before="100"/>
      </w:pPr>
      <w:r>
        <w:t>part 2 — objective, outcomes and outputs</w:t>
      </w:r>
    </w:p>
    <w:p w14:paraId="7ED32B6A" w14:textId="77777777" w:rsidR="00F46237" w:rsidRPr="001A7A15" w:rsidRDefault="00F46237" w:rsidP="00F46237">
      <w:pPr>
        <w:pStyle w:val="Heading2"/>
      </w:pPr>
      <w:r>
        <w:t>Objective</w:t>
      </w:r>
    </w:p>
    <w:p w14:paraId="06356CE2" w14:textId="77777777" w:rsidR="002F576E" w:rsidRPr="001A7A15" w:rsidRDefault="002F576E" w:rsidP="002F576E">
      <w:pPr>
        <w:pStyle w:val="Normalnumbered"/>
        <w:numPr>
          <w:ilvl w:val="0"/>
          <w:numId w:val="15"/>
        </w:numPr>
        <w:tabs>
          <w:tab w:val="clear" w:pos="1418"/>
        </w:tabs>
      </w:pPr>
      <w:r>
        <w:t xml:space="preserve">The </w:t>
      </w:r>
      <w:r w:rsidR="00490352">
        <w:t>objective of this Agreement is</w:t>
      </w:r>
      <w:r w:rsidR="004B27C1">
        <w:t xml:space="preserve"> to</w:t>
      </w:r>
      <w:r w:rsidR="00E3710E">
        <w:t xml:space="preserve"> </w:t>
      </w:r>
      <w:r w:rsidR="0028482E">
        <w:t xml:space="preserve">proactively </w:t>
      </w:r>
      <w:r w:rsidR="00D3655A">
        <w:t xml:space="preserve">reduce the risk and </w:t>
      </w:r>
      <w:r w:rsidR="00FF47D4">
        <w:t xml:space="preserve">limit the </w:t>
      </w:r>
      <w:r w:rsidR="00D3655A">
        <w:t>impact of disasters associated with natural hazards on Aust</w:t>
      </w:r>
      <w:r w:rsidR="0028482E">
        <w:t>ralian communities and economies</w:t>
      </w:r>
      <w:r w:rsidR="002E4B66">
        <w:t>.</w:t>
      </w:r>
    </w:p>
    <w:p w14:paraId="4A9ED8D1" w14:textId="77777777" w:rsidR="00814667" w:rsidRDefault="00814667">
      <w:pPr>
        <w:pStyle w:val="Heading2"/>
      </w:pPr>
      <w:r>
        <w:t>Outcomes</w:t>
      </w:r>
    </w:p>
    <w:p w14:paraId="4AF0A50A" w14:textId="77777777" w:rsidR="00852ED8" w:rsidRPr="001A7A15" w:rsidRDefault="00814667" w:rsidP="00852ED8">
      <w:pPr>
        <w:pStyle w:val="Normalnumbered"/>
        <w:numPr>
          <w:ilvl w:val="0"/>
          <w:numId w:val="15"/>
        </w:numPr>
        <w:tabs>
          <w:tab w:val="clear" w:pos="1418"/>
        </w:tabs>
      </w:pPr>
      <w:r w:rsidRPr="001A7A15">
        <w:t>Th</w:t>
      </w:r>
      <w:r w:rsidR="00B06097">
        <w:t>is</w:t>
      </w:r>
      <w:r w:rsidRPr="001A7A15">
        <w:t xml:space="preserve"> Agreement will </w:t>
      </w:r>
      <w:r w:rsidR="0028482E">
        <w:t xml:space="preserve">deliver on </w:t>
      </w:r>
      <w:r w:rsidR="00D3655A">
        <w:t xml:space="preserve">the </w:t>
      </w:r>
      <w:r w:rsidR="0028482E">
        <w:t xml:space="preserve">priorities, </w:t>
      </w:r>
      <w:r w:rsidR="00D3655A">
        <w:t>five</w:t>
      </w:r>
      <w:r w:rsidR="00D3655A">
        <w:noBreakHyphen/>
        <w:t>year outcomes and 2030 goals of the National Disaster Risk Reduction Framework across Australia’s built, social, natural and economic environments</w:t>
      </w:r>
      <w:r w:rsidR="000F5021">
        <w:t>, to</w:t>
      </w:r>
      <w:r w:rsidR="00852ED8" w:rsidRPr="001A7A15">
        <w:t>:</w:t>
      </w:r>
      <w:r w:rsidR="00852ED8" w:rsidRPr="001A7A15">
        <w:tab/>
      </w:r>
    </w:p>
    <w:p w14:paraId="0CF845AE" w14:textId="77777777" w:rsidR="00852ED8" w:rsidRDefault="00385BB3" w:rsidP="00994C10">
      <w:pPr>
        <w:pStyle w:val="AlphaParagraph"/>
        <w:numPr>
          <w:ilvl w:val="0"/>
          <w:numId w:val="32"/>
        </w:numPr>
        <w:ind w:left="1134"/>
      </w:pPr>
      <w:r>
        <w:t xml:space="preserve">take </w:t>
      </w:r>
      <w:r w:rsidR="00D3655A">
        <w:t>action to reduce existing disaster risk</w:t>
      </w:r>
      <w:r w:rsidR="00852ED8">
        <w:t xml:space="preserve">; </w:t>
      </w:r>
    </w:p>
    <w:p w14:paraId="2B95DDE8" w14:textId="77777777" w:rsidR="00852ED8" w:rsidRDefault="00D3655A" w:rsidP="00844F11">
      <w:pPr>
        <w:pStyle w:val="AlphaParagraph"/>
        <w:numPr>
          <w:ilvl w:val="0"/>
          <w:numId w:val="20"/>
        </w:numPr>
        <w:ind w:left="1134"/>
      </w:pPr>
      <w:r>
        <w:t>minimise creation of future disaster risk</w:t>
      </w:r>
      <w:r w:rsidR="002E4B66">
        <w:t>;</w:t>
      </w:r>
      <w:r w:rsidR="00852ED8">
        <w:t xml:space="preserve"> </w:t>
      </w:r>
      <w:r w:rsidR="00852ED8" w:rsidRPr="00C7093C">
        <w:t>and</w:t>
      </w:r>
    </w:p>
    <w:p w14:paraId="2F6EE1E0" w14:textId="77777777" w:rsidR="00814667" w:rsidRDefault="00D3655A" w:rsidP="00844F11">
      <w:pPr>
        <w:pStyle w:val="AlphaParagraph"/>
        <w:numPr>
          <w:ilvl w:val="0"/>
          <w:numId w:val="20"/>
        </w:numPr>
        <w:ind w:left="1134"/>
      </w:pPr>
      <w:r>
        <w:t>equip decision</w:t>
      </w:r>
      <w:r>
        <w:noBreakHyphen/>
        <w:t>makers with the capabilities and information they need to reduce disaster risk and manage residual risk</w:t>
      </w:r>
      <w:r w:rsidR="00852ED8" w:rsidRPr="00C7093C">
        <w:t>.</w:t>
      </w:r>
    </w:p>
    <w:p w14:paraId="4BDC2AFC" w14:textId="77777777" w:rsidR="00814667" w:rsidRDefault="00814667">
      <w:pPr>
        <w:pStyle w:val="Heading2"/>
      </w:pPr>
      <w:r>
        <w:t>Outputs</w:t>
      </w:r>
    </w:p>
    <w:p w14:paraId="5869F2DE" w14:textId="0769E66E" w:rsidR="0085738D" w:rsidRDefault="00814667">
      <w:pPr>
        <w:pStyle w:val="Normalnumbered"/>
        <w:numPr>
          <w:ilvl w:val="0"/>
          <w:numId w:val="15"/>
        </w:numPr>
        <w:tabs>
          <w:tab w:val="clear" w:pos="1418"/>
        </w:tabs>
        <w:jc w:val="left"/>
      </w:pPr>
      <w:r w:rsidRPr="0085738D">
        <w:t xml:space="preserve">The </w:t>
      </w:r>
      <w:r w:rsidRPr="00ED145B">
        <w:t>objective</w:t>
      </w:r>
      <w:r w:rsidRPr="0085738D">
        <w:t xml:space="preserve"> and outcomes of this Agreement will be achieved by</w:t>
      </w:r>
      <w:r w:rsidR="00385BB3">
        <w:t xml:space="preserve"> implementing a program of disaster risk reduction activities</w:t>
      </w:r>
      <w:r w:rsidR="0028482E">
        <w:t xml:space="preserve"> to address natural hazard risks identified in</w:t>
      </w:r>
      <w:r w:rsidR="00385BB3">
        <w:t xml:space="preserve"> State</w:t>
      </w:r>
      <w:r w:rsidR="0040721C">
        <w:t>, regional or local</w:t>
      </w:r>
      <w:r w:rsidR="00385BB3">
        <w:t xml:space="preserve"> risk </w:t>
      </w:r>
      <w:r w:rsidR="001C6D9E">
        <w:t>assessments</w:t>
      </w:r>
      <w:r w:rsidR="006F390C">
        <w:t xml:space="preserve"> and </w:t>
      </w:r>
      <w:r w:rsidR="00385BB3">
        <w:t>the following priorities of the National Disaster Risk Reduction Framework</w:t>
      </w:r>
      <w:r w:rsidR="0085738D">
        <w:t>:</w:t>
      </w:r>
    </w:p>
    <w:p w14:paraId="73970902" w14:textId="77777777" w:rsidR="00B06097" w:rsidRDefault="00385BB3" w:rsidP="00994C10">
      <w:pPr>
        <w:pStyle w:val="AlphaParagraph"/>
        <w:numPr>
          <w:ilvl w:val="0"/>
          <w:numId w:val="31"/>
        </w:numPr>
        <w:ind w:left="1134"/>
      </w:pPr>
      <w:r>
        <w:t>understanding disaster risk</w:t>
      </w:r>
      <w:r w:rsidR="003B737F">
        <w:t>;</w:t>
      </w:r>
      <w:r w:rsidR="00814590">
        <w:t xml:space="preserve"> </w:t>
      </w:r>
    </w:p>
    <w:p w14:paraId="0441942E" w14:textId="77777777" w:rsidR="00385BB3" w:rsidRDefault="00385BB3" w:rsidP="004E6528">
      <w:pPr>
        <w:pStyle w:val="AlphaParagraph"/>
        <w:numPr>
          <w:ilvl w:val="0"/>
          <w:numId w:val="20"/>
        </w:numPr>
        <w:ind w:left="1134"/>
      </w:pPr>
      <w:r>
        <w:t>accountable decision</w:t>
      </w:r>
      <w:r>
        <w:noBreakHyphen/>
        <w:t>making across all sectors to respond to immediate and long</w:t>
      </w:r>
      <w:r>
        <w:noBreakHyphen/>
        <w:t>term disaster risk and actively manage the potential creation or exacerbation of disaster risk;</w:t>
      </w:r>
    </w:p>
    <w:p w14:paraId="62DE6553" w14:textId="77777777" w:rsidR="00814667" w:rsidRDefault="00385BB3" w:rsidP="004E6528">
      <w:pPr>
        <w:pStyle w:val="AlphaParagraph"/>
        <w:numPr>
          <w:ilvl w:val="0"/>
          <w:numId w:val="20"/>
        </w:numPr>
        <w:ind w:left="1134"/>
      </w:pPr>
      <w:r>
        <w:t>enhanced investment in disaster risk reduction to build resilience</w:t>
      </w:r>
      <w:r w:rsidR="00B06097">
        <w:t xml:space="preserve">; </w:t>
      </w:r>
      <w:r w:rsidR="00814590">
        <w:t>and</w:t>
      </w:r>
    </w:p>
    <w:p w14:paraId="08E21F56" w14:textId="77777777" w:rsidR="00681956" w:rsidRPr="0085738D" w:rsidRDefault="00385BB3" w:rsidP="004E6528">
      <w:pPr>
        <w:pStyle w:val="AlphaParagraph"/>
        <w:numPr>
          <w:ilvl w:val="0"/>
          <w:numId w:val="20"/>
        </w:numPr>
        <w:ind w:left="1134"/>
      </w:pPr>
      <w:r>
        <w:t>transparent, sustainable and accountable governance, ownership and responsibility for disaster risk management</w:t>
      </w:r>
      <w:r w:rsidR="00814590">
        <w:t>.</w:t>
      </w:r>
    </w:p>
    <w:p w14:paraId="65D8D538" w14:textId="77777777" w:rsidR="00814667" w:rsidRDefault="00814667">
      <w:pPr>
        <w:pStyle w:val="Heading1"/>
      </w:pPr>
      <w:r>
        <w:t>Part 3 — roles and responsibilities of each party</w:t>
      </w:r>
    </w:p>
    <w:p w14:paraId="4A78C146" w14:textId="77777777" w:rsidR="00814667" w:rsidRDefault="00AB79E9" w:rsidP="003B737F">
      <w:pPr>
        <w:pStyle w:val="Normalnumbered"/>
        <w:numPr>
          <w:ilvl w:val="0"/>
          <w:numId w:val="15"/>
        </w:numPr>
        <w:tabs>
          <w:tab w:val="clear" w:pos="1418"/>
        </w:tabs>
        <w:jc w:val="left"/>
      </w:pPr>
      <w:r>
        <w:t xml:space="preserve">To realise the objectives and commitments in this Agreement, each Party has specific roles and responsibilities, as outlined </w:t>
      </w:r>
      <w:r w:rsidRPr="00ED6043">
        <w:t>below</w:t>
      </w:r>
      <w:r>
        <w:t>.</w:t>
      </w:r>
    </w:p>
    <w:p w14:paraId="159B84E8" w14:textId="77777777" w:rsidR="00814667" w:rsidRDefault="00814667">
      <w:pPr>
        <w:pStyle w:val="Heading2"/>
      </w:pPr>
      <w:r w:rsidRPr="004C4FFC">
        <w:lastRenderedPageBreak/>
        <w:t>Role of the Commonwealth</w:t>
      </w:r>
    </w:p>
    <w:p w14:paraId="0A467008" w14:textId="77777777" w:rsidR="00814590" w:rsidRPr="00336F12" w:rsidRDefault="00814590">
      <w:pPr>
        <w:pStyle w:val="Normalnumbered"/>
        <w:numPr>
          <w:ilvl w:val="0"/>
          <w:numId w:val="15"/>
        </w:numPr>
        <w:tabs>
          <w:tab w:val="clear" w:pos="1418"/>
        </w:tabs>
        <w:jc w:val="left"/>
        <w:rPr>
          <w:color w:val="auto"/>
        </w:rPr>
      </w:pPr>
      <w:r w:rsidRPr="00336F12">
        <w:rPr>
          <w:color w:val="auto"/>
        </w:rPr>
        <w:t xml:space="preserve">The Commonwealth agrees to be </w:t>
      </w:r>
      <w:r w:rsidR="00A10974">
        <w:rPr>
          <w:color w:val="auto"/>
        </w:rPr>
        <w:t>responsible</w:t>
      </w:r>
      <w:r w:rsidR="00AF3346" w:rsidRPr="00336F12">
        <w:rPr>
          <w:color w:val="auto"/>
        </w:rPr>
        <w:t xml:space="preserve"> </w:t>
      </w:r>
      <w:r w:rsidRPr="00336F12">
        <w:rPr>
          <w:color w:val="auto"/>
        </w:rPr>
        <w:t>for:</w:t>
      </w:r>
    </w:p>
    <w:p w14:paraId="4B449BC7" w14:textId="1CEBA1E0" w:rsidR="0000225C" w:rsidRDefault="00AD670F" w:rsidP="006A16E9">
      <w:pPr>
        <w:pStyle w:val="AlphaParagraph"/>
        <w:numPr>
          <w:ilvl w:val="0"/>
          <w:numId w:val="46"/>
        </w:numPr>
        <w:tabs>
          <w:tab w:val="clear" w:pos="567"/>
        </w:tabs>
        <w:ind w:left="1134"/>
      </w:pPr>
      <w:r w:rsidRPr="00C05CC6">
        <w:t xml:space="preserve">providing </w:t>
      </w:r>
      <w:r w:rsidR="00D802FC" w:rsidRPr="00C05CC6">
        <w:t>a financial contribution</w:t>
      </w:r>
      <w:r w:rsidRPr="00C05CC6">
        <w:t xml:space="preserve"> to the States </w:t>
      </w:r>
      <w:r w:rsidR="006A16E9">
        <w:t xml:space="preserve">of $104.4 million </w:t>
      </w:r>
      <w:r w:rsidR="00A32D8A">
        <w:rPr>
          <w:color w:val="auto"/>
        </w:rPr>
        <w:t>to support the implementation of this Agreement</w:t>
      </w:r>
      <w:r w:rsidRPr="00C05CC6">
        <w:t>;</w:t>
      </w:r>
    </w:p>
    <w:p w14:paraId="5C3D4A1D" w14:textId="44C38780" w:rsidR="00C05CC6" w:rsidRPr="000F0173" w:rsidRDefault="00AD670F" w:rsidP="0000225C">
      <w:pPr>
        <w:pStyle w:val="AlphaParagraph"/>
        <w:numPr>
          <w:ilvl w:val="0"/>
          <w:numId w:val="46"/>
        </w:numPr>
        <w:tabs>
          <w:tab w:val="clear" w:pos="567"/>
        </w:tabs>
        <w:ind w:left="1134"/>
      </w:pPr>
      <w:r w:rsidRPr="006B4DF0">
        <w:t>monitoring and assessing performance in the delivery of</w:t>
      </w:r>
      <w:r w:rsidRPr="00C05CC6">
        <w:rPr>
          <w:i/>
        </w:rPr>
        <w:t xml:space="preserve"> </w:t>
      </w:r>
      <w:r w:rsidR="000064E1" w:rsidRPr="000064E1">
        <w:t>projects</w:t>
      </w:r>
      <w:r w:rsidRPr="00C05CC6">
        <w:rPr>
          <w:i/>
        </w:rPr>
        <w:t xml:space="preserve"> </w:t>
      </w:r>
      <w:r w:rsidRPr="00896477">
        <w:t>under this Agreement</w:t>
      </w:r>
      <w:r w:rsidR="00896477">
        <w:t xml:space="preserve"> to ensure that outputs are delivered and outcomes are achieved within the agreed </w:t>
      </w:r>
      <w:r w:rsidR="00896477" w:rsidRPr="000F0173">
        <w:t>timeframe</w:t>
      </w:r>
      <w:r w:rsidR="00814590" w:rsidRPr="000F0173">
        <w:t>;</w:t>
      </w:r>
    </w:p>
    <w:p w14:paraId="167562F1" w14:textId="6E5BAA4B" w:rsidR="007C15F4" w:rsidRPr="000F0173" w:rsidRDefault="00E07507" w:rsidP="00803E12">
      <w:pPr>
        <w:pStyle w:val="AlphaParagraph"/>
        <w:numPr>
          <w:ilvl w:val="0"/>
          <w:numId w:val="46"/>
        </w:numPr>
        <w:tabs>
          <w:tab w:val="clear" w:pos="567"/>
        </w:tabs>
        <w:ind w:left="1134"/>
        <w:rPr>
          <w:color w:val="auto"/>
        </w:rPr>
      </w:pPr>
      <w:r w:rsidRPr="000F0173">
        <w:rPr>
          <w:color w:val="auto"/>
          <w:szCs w:val="23"/>
        </w:rPr>
        <w:t>where applicable</w:t>
      </w:r>
      <w:r w:rsidR="003C55B3" w:rsidRPr="000F0173">
        <w:rPr>
          <w:color w:val="auto"/>
          <w:szCs w:val="23"/>
        </w:rPr>
        <w:t>,</w:t>
      </w:r>
      <w:r w:rsidRPr="000F0173">
        <w:rPr>
          <w:color w:val="auto"/>
          <w:szCs w:val="23"/>
        </w:rPr>
        <w:t xml:space="preserve"> subject to certain </w:t>
      </w:r>
      <w:r w:rsidR="003C55B3" w:rsidRPr="000F0173">
        <w:rPr>
          <w:color w:val="auto"/>
          <w:szCs w:val="23"/>
        </w:rPr>
        <w:t>financial</w:t>
      </w:r>
      <w:r w:rsidRPr="000F0173">
        <w:rPr>
          <w:color w:val="auto"/>
          <w:szCs w:val="23"/>
        </w:rPr>
        <w:t xml:space="preserve"> thresholds</w:t>
      </w:r>
      <w:r w:rsidR="003C55B3" w:rsidRPr="000F0173">
        <w:rPr>
          <w:color w:val="auto"/>
          <w:szCs w:val="23"/>
        </w:rPr>
        <w:t>,</w:t>
      </w:r>
      <w:r w:rsidRPr="000F0173">
        <w:rPr>
          <w:color w:val="auto"/>
          <w:szCs w:val="23"/>
        </w:rPr>
        <w:t xml:space="preserve"> </w:t>
      </w:r>
      <w:r w:rsidR="007C15F4" w:rsidRPr="000F0173">
        <w:rPr>
          <w:color w:val="auto"/>
          <w:szCs w:val="23"/>
        </w:rPr>
        <w:t>in accordance with the Building and Construction Industry (Improving Productivity) Act 2016</w:t>
      </w:r>
      <w:r w:rsidR="007C15F4" w:rsidRPr="000F0173">
        <w:rPr>
          <w:color w:val="auto"/>
        </w:rPr>
        <w:t xml:space="preserve">, </w:t>
      </w:r>
      <w:r w:rsidR="007C15F4" w:rsidRPr="000F0173">
        <w:rPr>
          <w:color w:val="auto"/>
          <w:szCs w:val="23"/>
        </w:rPr>
        <w:t xml:space="preserve">ensuring that </w:t>
      </w:r>
      <w:r w:rsidR="007C15F4" w:rsidRPr="000F0173">
        <w:rPr>
          <w:color w:val="auto"/>
        </w:rPr>
        <w:t xml:space="preserve">financial contributions to a building project or projects as defined under the </w:t>
      </w:r>
      <w:r w:rsidR="007C15F4" w:rsidRPr="000F0173">
        <w:rPr>
          <w:color w:val="auto"/>
          <w:szCs w:val="23"/>
        </w:rPr>
        <w:t xml:space="preserve">Fair Work (Building Industry – Accreditation Scheme) </w:t>
      </w:r>
      <w:r w:rsidR="007C15F4" w:rsidRPr="000F0173">
        <w:rPr>
          <w:color w:val="auto"/>
        </w:rPr>
        <w:t>Regulations 2016 are only made where a builder or builders accredited under the Australian Government Building and Construction WHS Accreditation Scheme is contracted; and</w:t>
      </w:r>
    </w:p>
    <w:p w14:paraId="306163E9" w14:textId="2AD9B4CA" w:rsidR="00516741" w:rsidRPr="00751725" w:rsidRDefault="00E07507" w:rsidP="001C6D9E">
      <w:pPr>
        <w:pStyle w:val="AlphaParagraph"/>
        <w:numPr>
          <w:ilvl w:val="0"/>
          <w:numId w:val="46"/>
        </w:numPr>
        <w:tabs>
          <w:tab w:val="clear" w:pos="567"/>
        </w:tabs>
        <w:ind w:left="1134"/>
      </w:pPr>
      <w:r w:rsidRPr="000228A0">
        <w:rPr>
          <w:color w:val="auto"/>
          <w:szCs w:val="23"/>
        </w:rPr>
        <w:t>where applicable</w:t>
      </w:r>
      <w:r w:rsidR="003C55B3" w:rsidRPr="000228A0">
        <w:rPr>
          <w:color w:val="auto"/>
          <w:szCs w:val="23"/>
        </w:rPr>
        <w:t xml:space="preserve">, </w:t>
      </w:r>
      <w:r w:rsidRPr="000228A0">
        <w:rPr>
          <w:color w:val="auto"/>
          <w:szCs w:val="23"/>
        </w:rPr>
        <w:t xml:space="preserve">subject to certain </w:t>
      </w:r>
      <w:r w:rsidR="003C55B3" w:rsidRPr="000228A0">
        <w:rPr>
          <w:color w:val="auto"/>
          <w:szCs w:val="23"/>
        </w:rPr>
        <w:t>financial</w:t>
      </w:r>
      <w:r w:rsidRPr="000228A0">
        <w:rPr>
          <w:color w:val="auto"/>
          <w:szCs w:val="23"/>
        </w:rPr>
        <w:t xml:space="preserve"> thresholds</w:t>
      </w:r>
      <w:r w:rsidR="003C55B3" w:rsidRPr="000228A0">
        <w:rPr>
          <w:color w:val="auto"/>
          <w:szCs w:val="23"/>
        </w:rPr>
        <w:t>,</w:t>
      </w:r>
      <w:r w:rsidRPr="009F23BE">
        <w:rPr>
          <w:color w:val="auto"/>
        </w:rPr>
        <w:t xml:space="preserve"> </w:t>
      </w:r>
      <w:r w:rsidR="007C15F4" w:rsidRPr="009F23BE">
        <w:rPr>
          <w:color w:val="auto"/>
        </w:rPr>
        <w:t xml:space="preserve">ensuring </w:t>
      </w:r>
      <w:r w:rsidR="007C15F4" w:rsidRPr="0074529F">
        <w:rPr>
          <w:color w:val="auto"/>
        </w:rPr>
        <w:t>that compliance with the Code for the Tendering and Performance of Building W</w:t>
      </w:r>
      <w:r w:rsidR="007C15F4" w:rsidRPr="001C6D9E">
        <w:rPr>
          <w:color w:val="auto"/>
        </w:rPr>
        <w:t>ork 2016 (Building Code 2016) is a condition of Australian Government funding</w:t>
      </w:r>
      <w:r w:rsidR="00516741" w:rsidRPr="0074529F">
        <w:rPr>
          <w:i/>
        </w:rPr>
        <w:t>.</w:t>
      </w:r>
    </w:p>
    <w:p w14:paraId="2342A981" w14:textId="77777777" w:rsidR="00814667" w:rsidRPr="00751725" w:rsidRDefault="00814667">
      <w:pPr>
        <w:pStyle w:val="Heading2"/>
      </w:pPr>
      <w:r w:rsidRPr="000E6DCF">
        <w:t>Role of the States</w:t>
      </w:r>
      <w:r w:rsidRPr="00751725">
        <w:t xml:space="preserve"> </w:t>
      </w:r>
    </w:p>
    <w:p w14:paraId="4F6D74C2" w14:textId="77777777" w:rsidR="00814590" w:rsidRPr="00751725" w:rsidRDefault="00814590" w:rsidP="00814590">
      <w:pPr>
        <w:pStyle w:val="Normalnumbered"/>
        <w:numPr>
          <w:ilvl w:val="0"/>
          <w:numId w:val="15"/>
        </w:numPr>
        <w:tabs>
          <w:tab w:val="clear" w:pos="1418"/>
        </w:tabs>
        <w:jc w:val="left"/>
      </w:pPr>
      <w:r w:rsidRPr="00751725">
        <w:t xml:space="preserve">The States agree to be </w:t>
      </w:r>
      <w:r w:rsidR="00AF3346">
        <w:t>responsible</w:t>
      </w:r>
      <w:r w:rsidR="00AF3346" w:rsidRPr="00751725">
        <w:t xml:space="preserve"> </w:t>
      </w:r>
      <w:r w:rsidRPr="00751725">
        <w:t>for:</w:t>
      </w:r>
    </w:p>
    <w:p w14:paraId="3525077A" w14:textId="18139EC1" w:rsidR="006B4DF0" w:rsidRDefault="006B4DF0" w:rsidP="00994C10">
      <w:pPr>
        <w:pStyle w:val="AlphaParagraph"/>
        <w:numPr>
          <w:ilvl w:val="0"/>
          <w:numId w:val="26"/>
        </w:numPr>
        <w:tabs>
          <w:tab w:val="left" w:pos="1134"/>
        </w:tabs>
        <w:ind w:left="1134"/>
      </w:pPr>
      <w:r w:rsidRPr="00751725">
        <w:t>providing a</w:t>
      </w:r>
      <w:r w:rsidR="00EF72D4">
        <w:t xml:space="preserve"> financial </w:t>
      </w:r>
      <w:r w:rsidR="00C856DB">
        <w:t>and/</w:t>
      </w:r>
      <w:r w:rsidR="00CA121E" w:rsidRPr="00EF72D4">
        <w:t>or in-kind</w:t>
      </w:r>
      <w:r w:rsidR="00CA121E">
        <w:t xml:space="preserve"> </w:t>
      </w:r>
      <w:r w:rsidRPr="00751725">
        <w:t>contribution to support the implementation of this Agreement;</w:t>
      </w:r>
    </w:p>
    <w:p w14:paraId="0E3BDD42" w14:textId="77777777" w:rsidR="00787E75" w:rsidRDefault="003F59E6" w:rsidP="00D75DAA">
      <w:pPr>
        <w:pStyle w:val="AlphaParagraph"/>
        <w:numPr>
          <w:ilvl w:val="0"/>
          <w:numId w:val="20"/>
        </w:numPr>
        <w:tabs>
          <w:tab w:val="clear" w:pos="567"/>
          <w:tab w:val="left" w:pos="1134"/>
        </w:tabs>
        <w:ind w:left="1134"/>
      </w:pPr>
      <w:r>
        <w:t>developing</w:t>
      </w:r>
      <w:r w:rsidR="00D802FC">
        <w:t xml:space="preserve"> Implementation Plans</w:t>
      </w:r>
      <w:r>
        <w:t xml:space="preserve"> in consultation with the Commonwealth</w:t>
      </w:r>
      <w:r w:rsidR="00787E75">
        <w:t>;</w:t>
      </w:r>
    </w:p>
    <w:p w14:paraId="29A3F249" w14:textId="38B096C5" w:rsidR="00D802FC" w:rsidRPr="006B4DF0" w:rsidRDefault="00EF72D4" w:rsidP="0000225C">
      <w:pPr>
        <w:pStyle w:val="AlphaParagraph"/>
        <w:numPr>
          <w:ilvl w:val="0"/>
          <w:numId w:val="20"/>
        </w:numPr>
        <w:tabs>
          <w:tab w:val="left" w:pos="1134"/>
        </w:tabs>
        <w:ind w:left="1134"/>
      </w:pPr>
      <w:r w:rsidRPr="006B4DF0">
        <w:t xml:space="preserve">delivering on outcomes and outputs </w:t>
      </w:r>
      <w:r w:rsidR="00D75DAA">
        <w:t>in State implementation plans</w:t>
      </w:r>
      <w:r>
        <w:t>;</w:t>
      </w:r>
    </w:p>
    <w:p w14:paraId="1192B509" w14:textId="77777777" w:rsidR="00DD1898" w:rsidRPr="009411BC" w:rsidRDefault="00D802FC" w:rsidP="0000225C">
      <w:pPr>
        <w:pStyle w:val="AlphaParagraph"/>
        <w:numPr>
          <w:ilvl w:val="0"/>
          <w:numId w:val="20"/>
        </w:numPr>
        <w:tabs>
          <w:tab w:val="left" w:pos="567"/>
          <w:tab w:val="left" w:pos="1134"/>
        </w:tabs>
        <w:spacing w:after="246"/>
        <w:ind w:left="1134"/>
        <w:rPr>
          <w:color w:val="auto"/>
        </w:rPr>
      </w:pPr>
      <w:bookmarkStart w:id="1" w:name="OLE_LINK1"/>
      <w:bookmarkStart w:id="2" w:name="OLE_LINK2"/>
      <w:r w:rsidRPr="006B4DF0">
        <w:t xml:space="preserve">reporting on the delivery of </w:t>
      </w:r>
      <w:r w:rsidR="00333506">
        <w:t>outcomes and outputs</w:t>
      </w:r>
      <w:r w:rsidR="00333506" w:rsidRPr="006B4DF0">
        <w:t xml:space="preserve"> </w:t>
      </w:r>
      <w:r w:rsidRPr="006B4DF0">
        <w:t xml:space="preserve">as set out in Part 4 – Performance </w:t>
      </w:r>
      <w:r w:rsidR="00755B01">
        <w:t>Monitoring</w:t>
      </w:r>
      <w:r w:rsidRPr="006B4DF0">
        <w:t xml:space="preserve"> and Reporting</w:t>
      </w:r>
      <w:r w:rsidRPr="009411BC">
        <w:rPr>
          <w:color w:val="auto"/>
        </w:rPr>
        <w:t xml:space="preserve">; </w:t>
      </w:r>
      <w:bookmarkEnd w:id="1"/>
      <w:bookmarkEnd w:id="2"/>
    </w:p>
    <w:p w14:paraId="4437DDEE" w14:textId="6994DA42" w:rsidR="00DD1898" w:rsidRPr="00A53189" w:rsidRDefault="003C55B3" w:rsidP="0000225C">
      <w:pPr>
        <w:pStyle w:val="AlphaParagraph"/>
        <w:numPr>
          <w:ilvl w:val="0"/>
          <w:numId w:val="20"/>
        </w:numPr>
        <w:tabs>
          <w:tab w:val="left" w:pos="1134"/>
        </w:tabs>
        <w:ind w:left="1134"/>
        <w:rPr>
          <w:color w:val="auto"/>
        </w:rPr>
      </w:pPr>
      <w:r>
        <w:rPr>
          <w:color w:val="auto"/>
          <w:szCs w:val="23"/>
        </w:rPr>
        <w:t xml:space="preserve">where </w:t>
      </w:r>
      <w:r w:rsidRPr="009F23BE">
        <w:rPr>
          <w:color w:val="auto"/>
          <w:szCs w:val="23"/>
        </w:rPr>
        <w:t xml:space="preserve">applicable, </w:t>
      </w:r>
      <w:r w:rsidR="00C9267E" w:rsidRPr="000F0173">
        <w:rPr>
          <w:color w:val="auto"/>
          <w:szCs w:val="23"/>
        </w:rPr>
        <w:t xml:space="preserve">subject to certain </w:t>
      </w:r>
      <w:r w:rsidRPr="000F0173">
        <w:rPr>
          <w:color w:val="auto"/>
          <w:szCs w:val="23"/>
        </w:rPr>
        <w:t>financial</w:t>
      </w:r>
      <w:r w:rsidR="00C9267E" w:rsidRPr="000F0173">
        <w:rPr>
          <w:color w:val="auto"/>
          <w:szCs w:val="23"/>
        </w:rPr>
        <w:t xml:space="preserve"> thresholds</w:t>
      </w:r>
      <w:r w:rsidR="00C9267E" w:rsidRPr="009F23BE">
        <w:rPr>
          <w:color w:val="auto"/>
          <w:szCs w:val="23"/>
        </w:rPr>
        <w:t xml:space="preserve">, </w:t>
      </w:r>
      <w:r w:rsidR="00DD1898" w:rsidRPr="000F0173">
        <w:rPr>
          <w:color w:val="auto"/>
          <w:szCs w:val="23"/>
        </w:rPr>
        <w:t>ensuring that only</w:t>
      </w:r>
      <w:r w:rsidR="00DD1898" w:rsidRPr="00A53189">
        <w:rPr>
          <w:color w:val="auto"/>
        </w:rPr>
        <w:t xml:space="preserve"> a builder or builders accredited under the Australian Government Building and Construction </w:t>
      </w:r>
      <w:r w:rsidR="00BB6CE4">
        <w:rPr>
          <w:color w:val="auto"/>
        </w:rPr>
        <w:t>WHS</w:t>
      </w:r>
      <w:r w:rsidR="00DD1898" w:rsidRPr="00A53189">
        <w:rPr>
          <w:color w:val="auto"/>
        </w:rPr>
        <w:t xml:space="preserve"> Accreditation Scheme is contracted, and providing the necessary assurances to the Commonwealth;</w:t>
      </w:r>
      <w:r w:rsidR="00490506">
        <w:rPr>
          <w:color w:val="auto"/>
        </w:rPr>
        <w:t xml:space="preserve"> </w:t>
      </w:r>
    </w:p>
    <w:p w14:paraId="3F6EE868" w14:textId="0E85F5E3" w:rsidR="00A03819" w:rsidRDefault="003C55B3" w:rsidP="00EE1C7C">
      <w:pPr>
        <w:pStyle w:val="AlphaParagraph"/>
        <w:numPr>
          <w:ilvl w:val="0"/>
          <w:numId w:val="20"/>
        </w:numPr>
        <w:tabs>
          <w:tab w:val="left" w:pos="1134"/>
        </w:tabs>
        <w:ind w:left="1134"/>
      </w:pPr>
      <w:r>
        <w:rPr>
          <w:color w:val="auto"/>
        </w:rPr>
        <w:t xml:space="preserve">where applicable, subject to certain financial thresholds, </w:t>
      </w:r>
      <w:r w:rsidR="00DD1898" w:rsidRPr="00A53189">
        <w:rPr>
          <w:color w:val="auto"/>
        </w:rPr>
        <w:t xml:space="preserve">ensuring that compliance with the </w:t>
      </w:r>
      <w:r w:rsidR="00025539">
        <w:rPr>
          <w:color w:val="auto"/>
        </w:rPr>
        <w:t>Building</w:t>
      </w:r>
      <w:r w:rsidR="00DD1898" w:rsidRPr="00A53189">
        <w:rPr>
          <w:color w:val="auto"/>
        </w:rPr>
        <w:t xml:space="preserve"> Code </w:t>
      </w:r>
      <w:r w:rsidR="00025539">
        <w:rPr>
          <w:color w:val="auto"/>
        </w:rPr>
        <w:t>201</w:t>
      </w:r>
      <w:r w:rsidR="000F041A">
        <w:rPr>
          <w:color w:val="auto"/>
        </w:rPr>
        <w:t>6</w:t>
      </w:r>
      <w:r w:rsidR="00DD1898" w:rsidRPr="00A53189">
        <w:rPr>
          <w:color w:val="auto"/>
        </w:rPr>
        <w:t xml:space="preserve"> is made a condition of tender for all contractors and subcontractors who tender for the work, and providing the necessary assurances to the Commonwealth</w:t>
      </w:r>
      <w:r w:rsidR="006E2FCD">
        <w:rPr>
          <w:color w:val="auto"/>
        </w:rPr>
        <w:t>;</w:t>
      </w:r>
      <w:r w:rsidR="006E2FCD">
        <w:t xml:space="preserve"> and</w:t>
      </w:r>
    </w:p>
    <w:p w14:paraId="03ACB33D" w14:textId="0D06A746" w:rsidR="00261E8C" w:rsidRPr="000E4C34" w:rsidRDefault="00261E8C" w:rsidP="000E4C34">
      <w:pPr>
        <w:pStyle w:val="AlphaParagraph"/>
        <w:numPr>
          <w:ilvl w:val="0"/>
          <w:numId w:val="20"/>
        </w:numPr>
        <w:tabs>
          <w:tab w:val="left" w:pos="1134"/>
        </w:tabs>
        <w:ind w:left="1134"/>
      </w:pPr>
      <w:r w:rsidRPr="000E4C34">
        <w:rPr>
          <w:color w:val="auto"/>
        </w:rPr>
        <w:t>ensuring</w:t>
      </w:r>
      <w:r w:rsidR="0041404E" w:rsidRPr="000E4C34">
        <w:rPr>
          <w:color w:val="auto"/>
        </w:rPr>
        <w:t xml:space="preserve"> </w:t>
      </w:r>
      <w:r w:rsidR="005E0E48">
        <w:t>that</w:t>
      </w:r>
      <w:r w:rsidR="00101046">
        <w:t xml:space="preserve"> non</w:t>
      </w:r>
      <w:r w:rsidR="00101046">
        <w:noBreakHyphen/>
        <w:t>sensitive</w:t>
      </w:r>
      <w:r w:rsidR="005E0E48">
        <w:t xml:space="preserve"> data and information developed using funds provided </w:t>
      </w:r>
      <w:r w:rsidR="00AC425C">
        <w:t>under</w:t>
      </w:r>
      <w:r w:rsidR="005E0E48">
        <w:t xml:space="preserve"> this Agreement is </w:t>
      </w:r>
      <w:r w:rsidR="000228A0">
        <w:t>released as open by default</w:t>
      </w:r>
      <w:r w:rsidR="007E471C" w:rsidRPr="000E4C34">
        <w:rPr>
          <w:color w:val="auto"/>
        </w:rPr>
        <w:t>, and providing the necessary assurances to the Commonwealth</w:t>
      </w:r>
      <w:r w:rsidR="0041404E" w:rsidRPr="000E4C34">
        <w:rPr>
          <w:color w:val="auto"/>
        </w:rPr>
        <w:t xml:space="preserve">. </w:t>
      </w:r>
    </w:p>
    <w:p w14:paraId="60757338" w14:textId="77777777" w:rsidR="00AB79E9" w:rsidRDefault="00AB79E9" w:rsidP="00AB79E9">
      <w:pPr>
        <w:pStyle w:val="Heading2"/>
      </w:pPr>
      <w:r w:rsidRPr="00DB4DA8">
        <w:t>Shared roles and responsibilities</w:t>
      </w:r>
    </w:p>
    <w:p w14:paraId="14D22422" w14:textId="77777777" w:rsidR="00091DF8" w:rsidRDefault="00287DCC" w:rsidP="00091DF8">
      <w:pPr>
        <w:pStyle w:val="Normalnumbered"/>
        <w:keepNext/>
        <w:numPr>
          <w:ilvl w:val="0"/>
          <w:numId w:val="15"/>
        </w:numPr>
        <w:tabs>
          <w:tab w:val="clear" w:pos="1418"/>
        </w:tabs>
      </w:pPr>
      <w:r w:rsidRPr="0093296C">
        <w:t>T</w:t>
      </w:r>
      <w:r w:rsidR="00AB79E9" w:rsidRPr="0093296C">
        <w:t>he Commonwealth</w:t>
      </w:r>
      <w:r w:rsidRPr="0093296C">
        <w:t xml:space="preserve"> and the </w:t>
      </w:r>
      <w:r w:rsidR="00AB79E9" w:rsidRPr="0093296C">
        <w:t>States</w:t>
      </w:r>
      <w:r w:rsidRPr="0093296C">
        <w:t xml:space="preserve"> </w:t>
      </w:r>
      <w:r w:rsidR="00F1611B">
        <w:t>a</w:t>
      </w:r>
      <w:r w:rsidR="007E5117">
        <w:t>gree to be</w:t>
      </w:r>
      <w:r w:rsidR="00F1611B">
        <w:t xml:space="preserve"> jointly </w:t>
      </w:r>
      <w:r w:rsidR="00AF3346">
        <w:t>responsible</w:t>
      </w:r>
      <w:r w:rsidR="00F1611B">
        <w:t xml:space="preserve"> for: </w:t>
      </w:r>
    </w:p>
    <w:p w14:paraId="5CC0D855" w14:textId="3699C0BC" w:rsidR="00AB79E9" w:rsidRDefault="00AB79E9" w:rsidP="00994C10">
      <w:pPr>
        <w:pStyle w:val="AlphaParagraph"/>
        <w:numPr>
          <w:ilvl w:val="0"/>
          <w:numId w:val="27"/>
        </w:numPr>
        <w:ind w:left="1134"/>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p>
    <w:p w14:paraId="4383BD72" w14:textId="25D6C703" w:rsidR="006425CF" w:rsidRDefault="006425CF" w:rsidP="00994C10">
      <w:pPr>
        <w:pStyle w:val="AlphaParagraph"/>
        <w:numPr>
          <w:ilvl w:val="0"/>
          <w:numId w:val="27"/>
        </w:numPr>
        <w:ind w:left="1134"/>
      </w:pPr>
      <w:r>
        <w:t>negotiating new or revised Schedules, including Implementation Plans, to this Agreement;</w:t>
      </w:r>
    </w:p>
    <w:p w14:paraId="3B9D84AC" w14:textId="1FD6EF5B" w:rsidR="006425CF" w:rsidRDefault="006425CF" w:rsidP="00994C10">
      <w:pPr>
        <w:pStyle w:val="AlphaParagraph"/>
        <w:numPr>
          <w:ilvl w:val="0"/>
          <w:numId w:val="27"/>
        </w:numPr>
        <w:ind w:left="1134"/>
      </w:pPr>
      <w:r>
        <w:lastRenderedPageBreak/>
        <w:t xml:space="preserve">facilitating sharing of information on outputs and outcomes </w:t>
      </w:r>
      <w:r w:rsidR="00353CC5">
        <w:t>under this Agreement with the aim of minimising duplication of activities</w:t>
      </w:r>
      <w:r w:rsidR="00CD64DD">
        <w:t>; and</w:t>
      </w:r>
    </w:p>
    <w:p w14:paraId="2F2A01D6" w14:textId="0AD8DC1D" w:rsidR="006425CF" w:rsidRPr="0093296C" w:rsidRDefault="006425CF" w:rsidP="00994C10">
      <w:pPr>
        <w:pStyle w:val="AlphaParagraph"/>
        <w:numPr>
          <w:ilvl w:val="0"/>
          <w:numId w:val="27"/>
        </w:numPr>
        <w:ind w:left="1134"/>
      </w:pPr>
      <w:r>
        <w:t xml:space="preserve">conducting evaluations and reviews of outcomes and outputs delivered under this Agreement. </w:t>
      </w:r>
    </w:p>
    <w:p w14:paraId="76BBE689" w14:textId="4F34A6E2" w:rsidR="00091DF8" w:rsidRPr="00336F12" w:rsidRDefault="00091DF8" w:rsidP="00091DF8">
      <w:pPr>
        <w:pStyle w:val="Normalnumbered"/>
        <w:numPr>
          <w:ilvl w:val="0"/>
          <w:numId w:val="15"/>
        </w:numPr>
        <w:tabs>
          <w:tab w:val="clear" w:pos="1418"/>
        </w:tabs>
        <w:rPr>
          <w:color w:val="auto"/>
        </w:rPr>
      </w:pPr>
      <w:r w:rsidRPr="00336F12">
        <w:rPr>
          <w:color w:val="auto"/>
        </w:rPr>
        <w:t>The Parties will meet the requirements of Schedule E, Clause 26 of the I</w:t>
      </w:r>
      <w:r w:rsidR="00DA552B">
        <w:rPr>
          <w:color w:val="auto"/>
        </w:rPr>
        <w:t>GA FFR</w:t>
      </w:r>
      <w:r w:rsidRPr="00336F12">
        <w:rPr>
          <w:color w:val="auto"/>
        </w:rPr>
        <w:t>, by ensuring that prior agreement is reached on the nature and content of any events, announcements, promotional material or publicity relating to activities under an Implementation Plan, and that the roles of both Parties will be acknowledged and recognised appropriately.</w:t>
      </w:r>
    </w:p>
    <w:p w14:paraId="218815C0" w14:textId="77777777" w:rsidR="00E72F4A" w:rsidRDefault="00E72F4A" w:rsidP="00E72F4A">
      <w:pPr>
        <w:pStyle w:val="Heading2"/>
      </w:pPr>
      <w:r>
        <w:t>Implementation Plans</w:t>
      </w:r>
      <w:r w:rsidR="004C665A">
        <w:t xml:space="preserve"> </w:t>
      </w:r>
    </w:p>
    <w:p w14:paraId="7CB72383" w14:textId="4436CC1F" w:rsidR="002D0A50" w:rsidRDefault="00FB6A2E" w:rsidP="00C216B0">
      <w:pPr>
        <w:pStyle w:val="Normalnumbered"/>
        <w:numPr>
          <w:ilvl w:val="0"/>
          <w:numId w:val="15"/>
        </w:numPr>
        <w:tabs>
          <w:tab w:val="clear" w:pos="1418"/>
        </w:tabs>
        <w:jc w:val="left"/>
      </w:pPr>
      <w:r w:rsidRPr="002D0A50">
        <w:t xml:space="preserve">The Commonwealth and the States will agree Implementation Plans that set out </w:t>
      </w:r>
      <w:r w:rsidR="00AF0D99" w:rsidRPr="002D0A50">
        <w:t xml:space="preserve">each </w:t>
      </w:r>
      <w:r w:rsidR="00C216B0" w:rsidRPr="002D0A50">
        <w:t xml:space="preserve">State’s strategy to deliver on the outcomes </w:t>
      </w:r>
      <w:r w:rsidR="004937CE" w:rsidRPr="002D0A50">
        <w:t xml:space="preserve">and outputs </w:t>
      </w:r>
      <w:r w:rsidR="00C216B0" w:rsidRPr="002D0A50">
        <w:t>of the Agreement</w:t>
      </w:r>
      <w:r w:rsidR="00BF444E">
        <w:t>.</w:t>
      </w:r>
    </w:p>
    <w:p w14:paraId="18DA64B5" w14:textId="428E931B" w:rsidR="0006392B" w:rsidRDefault="00CE2EC6" w:rsidP="00C216B0">
      <w:pPr>
        <w:pStyle w:val="Normalnumbered"/>
        <w:numPr>
          <w:ilvl w:val="0"/>
          <w:numId w:val="15"/>
        </w:numPr>
        <w:tabs>
          <w:tab w:val="clear" w:pos="1418"/>
        </w:tabs>
        <w:jc w:val="left"/>
      </w:pPr>
      <w:r>
        <w:t>Implementation Plans will</w:t>
      </w:r>
      <w:r w:rsidR="002D0A50">
        <w:t xml:space="preserve"> include program logic details that </w:t>
      </w:r>
      <w:r>
        <w:t>set out</w:t>
      </w:r>
      <w:r w:rsidR="002D0A50">
        <w:t xml:space="preserve"> how </w:t>
      </w:r>
      <w:r>
        <w:t xml:space="preserve">the various elements </w:t>
      </w:r>
      <w:r w:rsidR="00614E24">
        <w:t xml:space="preserve">will </w:t>
      </w:r>
      <w:r>
        <w:t>address natural hazard risks identified in State</w:t>
      </w:r>
      <w:r w:rsidR="006F7EDB">
        <w:t>, regional or local</w:t>
      </w:r>
      <w:r>
        <w:t xml:space="preserve"> risk assessments and the priorities, five-year outcomes and 2030 goals of the National Disaster Risk Reduction Framework.  </w:t>
      </w:r>
      <w:r w:rsidR="002D0A50">
        <w:t xml:space="preserve">  </w:t>
      </w:r>
      <w:r w:rsidR="0006392B">
        <w:t xml:space="preserve"> </w:t>
      </w:r>
    </w:p>
    <w:p w14:paraId="0D564102" w14:textId="77777777" w:rsidR="00814667" w:rsidRPr="00814590" w:rsidRDefault="00814667">
      <w:pPr>
        <w:pStyle w:val="Heading1"/>
      </w:pPr>
      <w:r w:rsidRPr="00814590">
        <w:t xml:space="preserve">Part 4 — Performance </w:t>
      </w:r>
      <w:r w:rsidR="00ED0175">
        <w:t>monitoring</w:t>
      </w:r>
      <w:r w:rsidR="00ED0175" w:rsidRPr="00814590">
        <w:t xml:space="preserve"> </w:t>
      </w:r>
      <w:r w:rsidRPr="00814590">
        <w:t>and reporting</w:t>
      </w:r>
    </w:p>
    <w:p w14:paraId="4108A79E" w14:textId="77777777" w:rsidR="00F3245D" w:rsidRDefault="00F3245D" w:rsidP="00F3245D">
      <w:pPr>
        <w:pStyle w:val="Heading2"/>
      </w:pPr>
      <w:r>
        <w:t>Performance indicators</w:t>
      </w:r>
    </w:p>
    <w:p w14:paraId="04133397" w14:textId="1B85E989" w:rsidR="00566E21" w:rsidRDefault="009E151E" w:rsidP="00566E21">
      <w:pPr>
        <w:numPr>
          <w:ilvl w:val="0"/>
          <w:numId w:val="15"/>
        </w:numPr>
        <w:jc w:val="left"/>
      </w:pPr>
      <w:r>
        <w:t xml:space="preserve">Achievement of the </w:t>
      </w:r>
      <w:r w:rsidRPr="00ED145B">
        <w:t>objective</w:t>
      </w:r>
      <w:r>
        <w:t xml:space="preserve"> and outcomes in this Agreement will be informed with reference to the following performance indicators</w:t>
      </w:r>
      <w:r w:rsidR="00DC4C9E">
        <w:t>:</w:t>
      </w:r>
      <w:r w:rsidR="00566E21" w:rsidRPr="00953742">
        <w:t xml:space="preserve">  </w:t>
      </w:r>
    </w:p>
    <w:p w14:paraId="6FAEDD80" w14:textId="64B9C440" w:rsidR="00F3245D" w:rsidRDefault="00D50023" w:rsidP="00566E21">
      <w:pPr>
        <w:numPr>
          <w:ilvl w:val="0"/>
          <w:numId w:val="52"/>
        </w:numPr>
        <w:ind w:hanging="567"/>
      </w:pPr>
      <w:r>
        <w:t xml:space="preserve">disaster risk reduction activities approved, commenced </w:t>
      </w:r>
      <w:r w:rsidRPr="00131246">
        <w:t>and</w:t>
      </w:r>
      <w:r>
        <w:t xml:space="preserve"> completed</w:t>
      </w:r>
      <w:r w:rsidR="00566E21">
        <w:t>;</w:t>
      </w:r>
    </w:p>
    <w:p w14:paraId="227479CD" w14:textId="24E1A0EB" w:rsidR="00566E21" w:rsidRDefault="00304579" w:rsidP="00566E21">
      <w:pPr>
        <w:numPr>
          <w:ilvl w:val="0"/>
          <w:numId w:val="52"/>
        </w:numPr>
        <w:ind w:hanging="567"/>
      </w:pPr>
      <w:r>
        <w:t xml:space="preserve">how these activities have or will contribute </w:t>
      </w:r>
      <w:r w:rsidR="00566E21" w:rsidRPr="00953742">
        <w:t xml:space="preserve">to addressing and reducing the </w:t>
      </w:r>
      <w:r w:rsidR="006F2739">
        <w:t xml:space="preserve">natural hazard </w:t>
      </w:r>
      <w:r w:rsidR="00566E21" w:rsidRPr="00953742">
        <w:t>risks identified in State</w:t>
      </w:r>
      <w:r w:rsidR="006F7EDB">
        <w:t>, regional or local</w:t>
      </w:r>
      <w:r w:rsidR="00566E21" w:rsidRPr="00953742">
        <w:t xml:space="preserve"> risk assessments; and</w:t>
      </w:r>
    </w:p>
    <w:p w14:paraId="104897DF" w14:textId="64F30E87" w:rsidR="007C691B" w:rsidRPr="00BB160A" w:rsidRDefault="00304579" w:rsidP="00566E21">
      <w:pPr>
        <w:numPr>
          <w:ilvl w:val="0"/>
          <w:numId w:val="52"/>
        </w:numPr>
        <w:ind w:hanging="567"/>
      </w:pPr>
      <w:r>
        <w:t xml:space="preserve">how these activities have or will contribute </w:t>
      </w:r>
      <w:r w:rsidR="00566E21" w:rsidRPr="00953742">
        <w:t>to addressing and achieving the priorities, five</w:t>
      </w:r>
      <w:r w:rsidR="00566E21" w:rsidRPr="00953742">
        <w:noBreakHyphen/>
        <w:t xml:space="preserve">year outcomes and 2030 goals of the National Disaster Risk </w:t>
      </w:r>
      <w:r w:rsidR="00566E21" w:rsidRPr="00BB160A">
        <w:t>Reduction Framework</w:t>
      </w:r>
      <w:r w:rsidR="001E3CCA" w:rsidRPr="00BB160A">
        <w:t>.</w:t>
      </w:r>
    </w:p>
    <w:p w14:paraId="42A8E203" w14:textId="77777777" w:rsidR="00F3245D" w:rsidRDefault="00F3245D" w:rsidP="00F3245D">
      <w:pPr>
        <w:pStyle w:val="Heading2"/>
      </w:pPr>
      <w:r>
        <w:t xml:space="preserve">Performance </w:t>
      </w:r>
      <w:r w:rsidR="00ED0175">
        <w:t>milestones</w:t>
      </w:r>
    </w:p>
    <w:p w14:paraId="63F361AF" w14:textId="77777777" w:rsidR="00B13AE1" w:rsidRDefault="00814667" w:rsidP="00B13AE1">
      <w:pPr>
        <w:pStyle w:val="Normalnumbered"/>
        <w:numPr>
          <w:ilvl w:val="0"/>
          <w:numId w:val="15"/>
        </w:numPr>
        <w:tabs>
          <w:tab w:val="clear" w:pos="1418"/>
        </w:tabs>
        <w:jc w:val="left"/>
      </w:pPr>
      <w:r w:rsidRPr="00814590">
        <w:t xml:space="preserve">The </w:t>
      </w:r>
      <w:r w:rsidR="009E151E">
        <w:t>Parties</w:t>
      </w:r>
      <w:r w:rsidRPr="00814590">
        <w:t xml:space="preserve"> agree to meet the following performance </w:t>
      </w:r>
      <w:r w:rsidR="00527ABC">
        <w:t>milestones</w:t>
      </w:r>
      <w:r w:rsidR="00566E21">
        <w:t xml:space="preserve"> to qualify for the associated payment</w:t>
      </w:r>
      <w:r w:rsidRPr="00814590">
        <w:t>:</w:t>
      </w:r>
    </w:p>
    <w:p w14:paraId="79FD0ABB" w14:textId="77777777" w:rsidR="000E6DCF" w:rsidRDefault="000E6DCF">
      <w:pPr>
        <w:spacing w:after="0" w:line="240" w:lineRule="auto"/>
        <w:jc w:val="left"/>
        <w:rPr>
          <w:rFonts w:ascii="Consolas" w:hAnsi="Consolas"/>
          <w:b/>
          <w:color w:val="3D4B67"/>
        </w:rPr>
      </w:pPr>
      <w:r>
        <w:rPr>
          <w:rFonts w:ascii="Consolas" w:hAnsi="Consolas"/>
          <w:b/>
          <w:color w:val="3D4B67"/>
        </w:rPr>
        <w:br w:type="page"/>
      </w:r>
    </w:p>
    <w:p w14:paraId="0AF75330" w14:textId="07C05EAF" w:rsidR="00B13AE1" w:rsidRPr="00B13AE1" w:rsidRDefault="00B13AE1" w:rsidP="00B13AE1">
      <w:pPr>
        <w:keepNext/>
        <w:spacing w:before="240"/>
        <w:rPr>
          <w:rFonts w:ascii="Consolas" w:hAnsi="Consolas"/>
          <w:b/>
          <w:color w:val="3D4B67"/>
        </w:rPr>
      </w:pPr>
      <w:r w:rsidRPr="00B13AE1">
        <w:rPr>
          <w:rFonts w:ascii="Consolas" w:hAnsi="Consolas"/>
          <w:b/>
          <w:color w:val="3D4B67"/>
        </w:rPr>
        <w:lastRenderedPageBreak/>
        <w:t>Table </w:t>
      </w:r>
      <w:r>
        <w:rPr>
          <w:rFonts w:ascii="Consolas" w:hAnsi="Consolas"/>
          <w:b/>
          <w:color w:val="3D4B67"/>
        </w:rPr>
        <w:t>1</w:t>
      </w:r>
      <w:r w:rsidRPr="00B13AE1">
        <w:rPr>
          <w:rFonts w:ascii="Consolas" w:hAnsi="Consolas"/>
          <w:b/>
          <w:color w:val="3D4B67"/>
        </w:rPr>
        <w:t>: Milestones: project and implementation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9"/>
        <w:gridCol w:w="2004"/>
        <w:gridCol w:w="2201"/>
      </w:tblGrid>
      <w:tr w:rsidR="006B4711" w:rsidRPr="004B2FF6" w14:paraId="3D16BBE4" w14:textId="77777777" w:rsidTr="006B531F">
        <w:tc>
          <w:tcPr>
            <w:tcW w:w="5429" w:type="dxa"/>
            <w:tcBorders>
              <w:top w:val="single" w:sz="4" w:space="0" w:color="000080"/>
              <w:bottom w:val="single" w:sz="4" w:space="0" w:color="000080"/>
            </w:tcBorders>
            <w:shd w:val="clear" w:color="auto" w:fill="D9D9D9"/>
          </w:tcPr>
          <w:p w14:paraId="4D3F1F65" w14:textId="77777777" w:rsidR="00566E21" w:rsidRPr="005E36CD" w:rsidRDefault="00566E21" w:rsidP="00BF71E3">
            <w:pPr>
              <w:rPr>
                <w:b/>
                <w:highlight w:val="lightGray"/>
              </w:rPr>
            </w:pPr>
            <w:r w:rsidRPr="005E36CD">
              <w:rPr>
                <w:b/>
                <w:highlight w:val="lightGray"/>
              </w:rPr>
              <w:t xml:space="preserve">Milestones </w:t>
            </w:r>
          </w:p>
        </w:tc>
        <w:tc>
          <w:tcPr>
            <w:tcW w:w="2004" w:type="dxa"/>
            <w:tcBorders>
              <w:top w:val="single" w:sz="4" w:space="0" w:color="000080"/>
              <w:bottom w:val="single" w:sz="4" w:space="0" w:color="000080"/>
            </w:tcBorders>
            <w:shd w:val="clear" w:color="auto" w:fill="D9D9D9"/>
          </w:tcPr>
          <w:p w14:paraId="09A4400F" w14:textId="57936221" w:rsidR="00566E21" w:rsidRPr="005E36CD" w:rsidRDefault="00EA6F81" w:rsidP="00BF71E3">
            <w:pPr>
              <w:rPr>
                <w:b/>
                <w:highlight w:val="lightGray"/>
              </w:rPr>
            </w:pPr>
            <w:r>
              <w:rPr>
                <w:b/>
                <w:highlight w:val="lightGray"/>
              </w:rPr>
              <w:t xml:space="preserve">Report due </w:t>
            </w:r>
            <w:r w:rsidR="00566E21" w:rsidRPr="005E36CD">
              <w:rPr>
                <w:b/>
                <w:highlight w:val="lightGray"/>
              </w:rPr>
              <w:t>date</w:t>
            </w:r>
          </w:p>
        </w:tc>
        <w:tc>
          <w:tcPr>
            <w:tcW w:w="2201" w:type="dxa"/>
            <w:tcBorders>
              <w:top w:val="single" w:sz="4" w:space="0" w:color="000080"/>
              <w:bottom w:val="single" w:sz="4" w:space="0" w:color="000080"/>
            </w:tcBorders>
            <w:shd w:val="clear" w:color="auto" w:fill="D9D9D9"/>
          </w:tcPr>
          <w:p w14:paraId="7D3A352B" w14:textId="77777777" w:rsidR="00566E21" w:rsidRPr="005E36CD" w:rsidRDefault="00566E21" w:rsidP="00BF71E3">
            <w:pPr>
              <w:rPr>
                <w:b/>
                <w:highlight w:val="lightGray"/>
              </w:rPr>
            </w:pPr>
            <w:r w:rsidRPr="005E36CD">
              <w:rPr>
                <w:b/>
                <w:highlight w:val="lightGray"/>
              </w:rPr>
              <w:t>Payment</w:t>
            </w:r>
          </w:p>
        </w:tc>
      </w:tr>
      <w:tr w:rsidR="006B4711" w:rsidRPr="004B2FF6" w14:paraId="4FB4FD9B" w14:textId="77777777" w:rsidTr="003D77D0">
        <w:trPr>
          <w:trHeight w:val="973"/>
        </w:trPr>
        <w:tc>
          <w:tcPr>
            <w:tcW w:w="5429" w:type="dxa"/>
            <w:tcBorders>
              <w:top w:val="single" w:sz="4" w:space="0" w:color="000080"/>
            </w:tcBorders>
          </w:tcPr>
          <w:p w14:paraId="2C32EAAD" w14:textId="6B1D6A91" w:rsidR="00566E21" w:rsidRPr="007B317E" w:rsidRDefault="00566E21" w:rsidP="007B317E">
            <w:pPr>
              <w:jc w:val="left"/>
              <w:rPr>
                <w:highlight w:val="lightGray"/>
              </w:rPr>
            </w:pPr>
            <w:r w:rsidRPr="00FA2696">
              <w:t>Commonwealth agreement</w:t>
            </w:r>
            <w:r>
              <w:t xml:space="preserve"> to </w:t>
            </w:r>
            <w:r w:rsidR="00B13AE1">
              <w:t>State’s</w:t>
            </w:r>
            <w:r>
              <w:t xml:space="preserve"> </w:t>
            </w:r>
            <w:r w:rsidRPr="006F2739">
              <w:t>Implementation Plan that clearly outlines the State’s strategy to achieve the outcomes</w:t>
            </w:r>
            <w:r w:rsidR="004937CE" w:rsidRPr="006F2739">
              <w:t xml:space="preserve"> and outputs</w:t>
            </w:r>
            <w:r w:rsidRPr="006F2739">
              <w:t xml:space="preserve"> of the </w:t>
            </w:r>
            <w:r w:rsidR="00B13AE1" w:rsidRPr="006F2739">
              <w:t>Agreement</w:t>
            </w:r>
          </w:p>
        </w:tc>
        <w:tc>
          <w:tcPr>
            <w:tcW w:w="2004" w:type="dxa"/>
            <w:tcBorders>
              <w:top w:val="single" w:sz="4" w:space="0" w:color="000080"/>
            </w:tcBorders>
          </w:tcPr>
          <w:p w14:paraId="3861C850" w14:textId="62F2EE3F" w:rsidR="00566E21" w:rsidRPr="00227D41" w:rsidRDefault="00382E81" w:rsidP="00566E21">
            <w:pPr>
              <w:jc w:val="left"/>
            </w:pPr>
            <w:r>
              <w:t>30 April</w:t>
            </w:r>
            <w:r w:rsidR="006B531F">
              <w:t xml:space="preserve"> 2020</w:t>
            </w:r>
          </w:p>
        </w:tc>
        <w:tc>
          <w:tcPr>
            <w:tcW w:w="2201" w:type="dxa"/>
            <w:tcBorders>
              <w:top w:val="single" w:sz="4" w:space="0" w:color="000080"/>
            </w:tcBorders>
          </w:tcPr>
          <w:p w14:paraId="1A4E7A42" w14:textId="77777777" w:rsidR="00566E21" w:rsidRPr="00227D41" w:rsidRDefault="00B13AE1" w:rsidP="008A6CAE">
            <w:pPr>
              <w:jc w:val="left"/>
            </w:pPr>
            <w:r w:rsidRPr="00227D41">
              <w:t xml:space="preserve">100% of the </w:t>
            </w:r>
            <w:r w:rsidR="00AD7C03">
              <w:t>2019</w:t>
            </w:r>
            <w:r w:rsidR="00AD7C03">
              <w:noBreakHyphen/>
              <w:t xml:space="preserve">20 payment to each State, as </w:t>
            </w:r>
            <w:r w:rsidR="008A6CAE">
              <w:t>shown</w:t>
            </w:r>
            <w:r w:rsidR="00AD7C03">
              <w:t xml:space="preserve"> in Table 2</w:t>
            </w:r>
          </w:p>
        </w:tc>
      </w:tr>
      <w:tr w:rsidR="006B531F" w:rsidRPr="00304579" w14:paraId="5E7EDB91" w14:textId="77777777" w:rsidTr="006B531F">
        <w:tc>
          <w:tcPr>
            <w:tcW w:w="5429" w:type="dxa"/>
            <w:tcBorders>
              <w:top w:val="single" w:sz="4" w:space="0" w:color="000000"/>
              <w:left w:val="single" w:sz="4" w:space="0" w:color="000000"/>
              <w:bottom w:val="single" w:sz="4" w:space="0" w:color="000000"/>
              <w:right w:val="single" w:sz="4" w:space="0" w:color="000000"/>
            </w:tcBorders>
          </w:tcPr>
          <w:p w14:paraId="11464706" w14:textId="7D62CE66" w:rsidR="001B32AC" w:rsidRPr="00304579" w:rsidRDefault="001B32AC" w:rsidP="004A5F99">
            <w:pPr>
              <w:jc w:val="left"/>
            </w:pPr>
            <w:r w:rsidRPr="00304579">
              <w:t xml:space="preserve">Commonwealth acceptance of the State’s report demonstrating satisfactory progress against the performance indicators </w:t>
            </w:r>
            <w:r w:rsidR="004A5F99">
              <w:t xml:space="preserve">during the financial year to date. </w:t>
            </w:r>
          </w:p>
        </w:tc>
        <w:tc>
          <w:tcPr>
            <w:tcW w:w="2004" w:type="dxa"/>
            <w:tcBorders>
              <w:top w:val="single" w:sz="4" w:space="0" w:color="000000"/>
              <w:left w:val="single" w:sz="4" w:space="0" w:color="000000"/>
              <w:bottom w:val="single" w:sz="4" w:space="0" w:color="000000"/>
              <w:right w:val="single" w:sz="4" w:space="0" w:color="000000"/>
            </w:tcBorders>
          </w:tcPr>
          <w:p w14:paraId="501F7331" w14:textId="52951C72" w:rsidR="001B32AC" w:rsidRPr="00304579" w:rsidRDefault="003D77D0" w:rsidP="00BB51DD">
            <w:pPr>
              <w:jc w:val="left"/>
            </w:pPr>
            <w:r>
              <w:t>30 April</w:t>
            </w:r>
            <w:r w:rsidR="001B32AC" w:rsidRPr="00304579">
              <w:t xml:space="preserve"> 2021</w:t>
            </w:r>
          </w:p>
        </w:tc>
        <w:tc>
          <w:tcPr>
            <w:tcW w:w="2201" w:type="dxa"/>
            <w:tcBorders>
              <w:top w:val="single" w:sz="4" w:space="0" w:color="000000"/>
              <w:left w:val="single" w:sz="4" w:space="0" w:color="000000"/>
              <w:bottom w:val="single" w:sz="4" w:space="0" w:color="000000"/>
              <w:right w:val="single" w:sz="4" w:space="0" w:color="000000"/>
            </w:tcBorders>
          </w:tcPr>
          <w:p w14:paraId="6192F99D" w14:textId="3D712D89" w:rsidR="001B32AC" w:rsidRPr="00304579" w:rsidRDefault="00304579" w:rsidP="00BB51DD">
            <w:pPr>
              <w:jc w:val="left"/>
            </w:pPr>
            <w:r>
              <w:t>100%</w:t>
            </w:r>
            <w:r w:rsidR="001B32AC" w:rsidRPr="00304579">
              <w:t xml:space="preserve"> of the 2020</w:t>
            </w:r>
            <w:r w:rsidR="001B32AC" w:rsidRPr="00304579">
              <w:noBreakHyphen/>
              <w:t>21 payment to each State, as shown in Table 2</w:t>
            </w:r>
          </w:p>
        </w:tc>
      </w:tr>
      <w:tr w:rsidR="006B531F" w:rsidRPr="004B2FF6" w14:paraId="7ED133EA" w14:textId="77777777" w:rsidTr="006B531F">
        <w:tc>
          <w:tcPr>
            <w:tcW w:w="5429" w:type="dxa"/>
          </w:tcPr>
          <w:p w14:paraId="71C186C8" w14:textId="4A5DDD3B" w:rsidR="00155636" w:rsidRPr="007B0141" w:rsidRDefault="006B531F" w:rsidP="003D77D0">
            <w:pPr>
              <w:jc w:val="left"/>
              <w:rPr>
                <w:szCs w:val="23"/>
                <w:highlight w:val="lightGray"/>
              </w:rPr>
            </w:pPr>
            <w:r w:rsidRPr="003D77D0">
              <w:t xml:space="preserve">Commonwealth acceptance of the State’s report demonstrating satisfactory progress against the performance indicators </w:t>
            </w:r>
            <w:r w:rsidR="003D77D0">
              <w:t xml:space="preserve">during the financial year to date. </w:t>
            </w:r>
          </w:p>
        </w:tc>
        <w:tc>
          <w:tcPr>
            <w:tcW w:w="2004" w:type="dxa"/>
          </w:tcPr>
          <w:p w14:paraId="285CA690" w14:textId="0DFCFD59" w:rsidR="006B531F" w:rsidRPr="00227D41" w:rsidRDefault="003D77D0" w:rsidP="00BB51DD">
            <w:pPr>
              <w:jc w:val="left"/>
            </w:pPr>
            <w:r>
              <w:t>30 April</w:t>
            </w:r>
            <w:r w:rsidR="006B531F" w:rsidRPr="00227D41">
              <w:t xml:space="preserve"> 2022</w:t>
            </w:r>
          </w:p>
        </w:tc>
        <w:tc>
          <w:tcPr>
            <w:tcW w:w="2201" w:type="dxa"/>
          </w:tcPr>
          <w:p w14:paraId="056E9831" w14:textId="568FA748" w:rsidR="006B531F" w:rsidRPr="00227D41" w:rsidRDefault="003D77D0" w:rsidP="00BB51DD">
            <w:pPr>
              <w:jc w:val="left"/>
            </w:pPr>
            <w:r>
              <w:t>100%</w:t>
            </w:r>
            <w:r w:rsidR="006B531F" w:rsidRPr="00227D41">
              <w:t xml:space="preserve"> of the </w:t>
            </w:r>
            <w:r w:rsidR="006B531F">
              <w:t>2021</w:t>
            </w:r>
            <w:r w:rsidR="006B531F">
              <w:noBreakHyphen/>
              <w:t>22 payment to each State, as shown in Table 2</w:t>
            </w:r>
          </w:p>
        </w:tc>
      </w:tr>
      <w:tr w:rsidR="006B531F" w:rsidRPr="004B2FF6" w14:paraId="75A470A6" w14:textId="77777777" w:rsidTr="00BB51DD">
        <w:tc>
          <w:tcPr>
            <w:tcW w:w="5429" w:type="dxa"/>
          </w:tcPr>
          <w:p w14:paraId="55A8DFD0" w14:textId="124FC6FA" w:rsidR="006B531F" w:rsidRPr="005E36CD" w:rsidRDefault="006B531F" w:rsidP="003D77D0">
            <w:pPr>
              <w:jc w:val="left"/>
              <w:rPr>
                <w:highlight w:val="lightGray"/>
              </w:rPr>
            </w:pPr>
            <w:r>
              <w:t xml:space="preserve">Commonwealth acceptance of the State’s report demonstrating satisfactory progress against the performance indicators </w:t>
            </w:r>
            <w:r w:rsidR="003D77D0">
              <w:t xml:space="preserve">during the financial year to date. </w:t>
            </w:r>
          </w:p>
        </w:tc>
        <w:tc>
          <w:tcPr>
            <w:tcW w:w="2004" w:type="dxa"/>
          </w:tcPr>
          <w:p w14:paraId="4A9F2540" w14:textId="19911F6B" w:rsidR="006B531F" w:rsidRPr="00227D41" w:rsidRDefault="003D77D0" w:rsidP="00BB51DD">
            <w:pPr>
              <w:jc w:val="left"/>
            </w:pPr>
            <w:r>
              <w:t>30 April</w:t>
            </w:r>
            <w:r w:rsidR="00E5719D">
              <w:t xml:space="preserve"> 2023</w:t>
            </w:r>
          </w:p>
        </w:tc>
        <w:tc>
          <w:tcPr>
            <w:tcW w:w="2201" w:type="dxa"/>
          </w:tcPr>
          <w:p w14:paraId="5664D74C" w14:textId="10860829" w:rsidR="006B531F" w:rsidRPr="00227D41" w:rsidRDefault="003D77D0" w:rsidP="00BB51DD">
            <w:pPr>
              <w:jc w:val="left"/>
            </w:pPr>
            <w:r>
              <w:t>100%</w:t>
            </w:r>
            <w:r w:rsidR="006B531F" w:rsidRPr="00227D41">
              <w:t xml:space="preserve"> of the </w:t>
            </w:r>
            <w:r w:rsidR="006B531F">
              <w:t>2022</w:t>
            </w:r>
            <w:r w:rsidR="006B531F">
              <w:noBreakHyphen/>
              <w:t>23 payment to each State, as shown in Table 2</w:t>
            </w:r>
          </w:p>
        </w:tc>
      </w:tr>
      <w:tr w:rsidR="006B531F" w:rsidRPr="004B2FF6" w14:paraId="0CDF2F3E" w14:textId="77777777" w:rsidTr="006B531F">
        <w:tc>
          <w:tcPr>
            <w:tcW w:w="5429" w:type="dxa"/>
            <w:tcBorders>
              <w:top w:val="single" w:sz="4" w:space="0" w:color="000000"/>
              <w:left w:val="single" w:sz="4" w:space="0" w:color="000000"/>
              <w:bottom w:val="single" w:sz="4" w:space="0" w:color="000000"/>
              <w:right w:val="single" w:sz="4" w:space="0" w:color="000000"/>
            </w:tcBorders>
          </w:tcPr>
          <w:p w14:paraId="0FE43B9F" w14:textId="6AEB81D7" w:rsidR="006B531F" w:rsidRPr="006B531F" w:rsidRDefault="006B531F" w:rsidP="00131246">
            <w:pPr>
              <w:jc w:val="left"/>
            </w:pPr>
            <w:r>
              <w:t xml:space="preserve">Commonwealth acceptance of the State’s report demonstrating satisfactory progress against the performance indicators </w:t>
            </w:r>
            <w:r w:rsidR="003D77D0">
              <w:t>during the financial year to date</w:t>
            </w:r>
            <w:r w:rsidR="00440C8F">
              <w:t>;</w:t>
            </w:r>
            <w:r w:rsidR="00131246">
              <w:t xml:space="preserve"> c</w:t>
            </w:r>
            <w:r w:rsidR="003D77D0">
              <w:t xml:space="preserve">ommitment of all financial contributions to approved </w:t>
            </w:r>
            <w:r w:rsidR="003D77D0" w:rsidRPr="00F32356">
              <w:t>activities</w:t>
            </w:r>
            <w:r w:rsidR="00440C8F" w:rsidRPr="00F32356">
              <w:t xml:space="preserve">; </w:t>
            </w:r>
            <w:r w:rsidR="00DF5286" w:rsidRPr="00F32356">
              <w:t>and provision of final Program R</w:t>
            </w:r>
            <w:r w:rsidR="00440C8F" w:rsidRPr="00F32356">
              <w:t>eport</w:t>
            </w:r>
            <w:r w:rsidR="003D77D0" w:rsidRPr="00F32356">
              <w:t>.</w:t>
            </w:r>
            <w:r w:rsidR="003D77D0">
              <w:t xml:space="preserve"> </w:t>
            </w:r>
          </w:p>
        </w:tc>
        <w:tc>
          <w:tcPr>
            <w:tcW w:w="2004" w:type="dxa"/>
            <w:tcBorders>
              <w:top w:val="single" w:sz="4" w:space="0" w:color="000000"/>
              <w:left w:val="single" w:sz="4" w:space="0" w:color="000000"/>
              <w:bottom w:val="single" w:sz="4" w:space="0" w:color="000000"/>
              <w:right w:val="single" w:sz="4" w:space="0" w:color="000000"/>
            </w:tcBorders>
          </w:tcPr>
          <w:p w14:paraId="41CFFC15" w14:textId="67E10772" w:rsidR="006B531F" w:rsidRPr="00227D41" w:rsidRDefault="00131246" w:rsidP="00BB51DD">
            <w:pPr>
              <w:jc w:val="left"/>
            </w:pPr>
            <w:r>
              <w:t>30 April</w:t>
            </w:r>
            <w:r w:rsidR="00BB51DD">
              <w:t xml:space="preserve"> 2024</w:t>
            </w:r>
          </w:p>
        </w:tc>
        <w:tc>
          <w:tcPr>
            <w:tcW w:w="2201" w:type="dxa"/>
            <w:tcBorders>
              <w:top w:val="single" w:sz="4" w:space="0" w:color="000000"/>
              <w:left w:val="single" w:sz="4" w:space="0" w:color="000000"/>
              <w:bottom w:val="single" w:sz="4" w:space="0" w:color="000000"/>
              <w:right w:val="single" w:sz="4" w:space="0" w:color="000000"/>
            </w:tcBorders>
          </w:tcPr>
          <w:p w14:paraId="630689BE" w14:textId="525DD4DE" w:rsidR="006B531F" w:rsidRPr="00227D41" w:rsidRDefault="00131246" w:rsidP="00BB51DD">
            <w:pPr>
              <w:jc w:val="left"/>
            </w:pPr>
            <w:r>
              <w:t>100%</w:t>
            </w:r>
            <w:r w:rsidR="006B531F" w:rsidRPr="00227D41">
              <w:t xml:space="preserve"> of the </w:t>
            </w:r>
            <w:r w:rsidR="006B531F">
              <w:t>2023</w:t>
            </w:r>
            <w:r w:rsidR="006B531F">
              <w:noBreakHyphen/>
              <w:t>24 payment to each State, as shown in Table 2</w:t>
            </w:r>
          </w:p>
        </w:tc>
      </w:tr>
    </w:tbl>
    <w:p w14:paraId="659FDBDB" w14:textId="04C1117F" w:rsidR="00723EBB" w:rsidRPr="00723EBB" w:rsidRDefault="00F3245D" w:rsidP="00723EBB">
      <w:pPr>
        <w:pStyle w:val="Heading2"/>
      </w:pPr>
      <w:r w:rsidRPr="001E599C">
        <w:t>Reporting arrangements</w:t>
      </w:r>
    </w:p>
    <w:p w14:paraId="5C36B94C" w14:textId="74BC3C69" w:rsidR="009E151E" w:rsidRPr="00F32356" w:rsidRDefault="009E151E" w:rsidP="0077788E">
      <w:pPr>
        <w:pStyle w:val="Normalnumbered"/>
        <w:numPr>
          <w:ilvl w:val="0"/>
          <w:numId w:val="15"/>
        </w:numPr>
        <w:tabs>
          <w:tab w:val="clear" w:pos="1418"/>
        </w:tabs>
        <w:spacing w:before="120" w:line="240" w:lineRule="auto"/>
        <w:jc w:val="left"/>
        <w:rPr>
          <w:szCs w:val="23"/>
        </w:rPr>
      </w:pPr>
      <w:r w:rsidRPr="00A21B8C">
        <w:t>The</w:t>
      </w:r>
      <w:r w:rsidR="00167BB8" w:rsidRPr="00A21B8C">
        <w:t xml:space="preserve"> </w:t>
      </w:r>
      <w:r w:rsidRPr="00A21B8C">
        <w:t>States</w:t>
      </w:r>
      <w:r w:rsidR="00D57346" w:rsidRPr="00A21B8C">
        <w:t xml:space="preserve"> </w:t>
      </w:r>
      <w:r w:rsidRPr="00A21B8C">
        <w:t xml:space="preserve">will </w:t>
      </w:r>
      <w:r w:rsidR="00A21B8C">
        <w:t xml:space="preserve">provide </w:t>
      </w:r>
      <w:r w:rsidR="003221D0">
        <w:t xml:space="preserve">annual </w:t>
      </w:r>
      <w:r w:rsidR="00A21B8C">
        <w:t>reports outlining</w:t>
      </w:r>
      <w:r w:rsidR="00A21B8C" w:rsidRPr="00BF6258">
        <w:t xml:space="preserve"> </w:t>
      </w:r>
      <w:r w:rsidR="005C038B" w:rsidRPr="00A21B8C">
        <w:t xml:space="preserve">the minimum required </w:t>
      </w:r>
      <w:r w:rsidR="003A68F3" w:rsidRPr="00A21B8C">
        <w:t xml:space="preserve">to demonstrate that milestones have been met </w:t>
      </w:r>
      <w:r w:rsidRPr="00A21B8C">
        <w:t>against the agreed performance indicators during</w:t>
      </w:r>
      <w:r w:rsidR="00C42ACA" w:rsidRPr="00A21B8C">
        <w:t xml:space="preserve"> </w:t>
      </w:r>
      <w:r w:rsidRPr="00F32356">
        <w:t>the operation of the Agreement</w:t>
      </w:r>
      <w:r w:rsidR="002B4001" w:rsidRPr="00F32356">
        <w:t>, as shown in Table 1</w:t>
      </w:r>
      <w:r w:rsidRPr="00F32356">
        <w:t>.</w:t>
      </w:r>
      <w:r w:rsidRPr="00F32356">
        <w:rPr>
          <w:szCs w:val="23"/>
        </w:rPr>
        <w:t xml:space="preserve"> </w:t>
      </w:r>
      <w:r w:rsidR="004374B2" w:rsidRPr="00F32356">
        <w:rPr>
          <w:szCs w:val="23"/>
        </w:rPr>
        <w:t xml:space="preserve"> </w:t>
      </w:r>
    </w:p>
    <w:p w14:paraId="3A6F8D0C" w14:textId="56F6F646" w:rsidR="00951BAD" w:rsidRPr="00F32356" w:rsidRDefault="00282C25" w:rsidP="00951BAD">
      <w:pPr>
        <w:pStyle w:val="Normalnumbered"/>
        <w:numPr>
          <w:ilvl w:val="0"/>
          <w:numId w:val="15"/>
        </w:numPr>
        <w:tabs>
          <w:tab w:val="clear" w:pos="1418"/>
        </w:tabs>
        <w:spacing w:before="120" w:line="240" w:lineRule="auto"/>
        <w:jc w:val="left"/>
        <w:rPr>
          <w:szCs w:val="23"/>
        </w:rPr>
      </w:pPr>
      <w:r w:rsidRPr="00F32356">
        <w:rPr>
          <w:szCs w:val="23"/>
        </w:rPr>
        <w:t xml:space="preserve">The </w:t>
      </w:r>
      <w:r w:rsidR="00951BAD" w:rsidRPr="00F32356">
        <w:rPr>
          <w:szCs w:val="23"/>
        </w:rPr>
        <w:t>State</w:t>
      </w:r>
      <w:r w:rsidRPr="00F32356">
        <w:rPr>
          <w:szCs w:val="23"/>
        </w:rPr>
        <w:t>s</w:t>
      </w:r>
      <w:r w:rsidR="00951BAD" w:rsidRPr="00F32356">
        <w:rPr>
          <w:szCs w:val="23"/>
        </w:rPr>
        <w:t xml:space="preserve"> will also prepare a final Program Report </w:t>
      </w:r>
      <w:r w:rsidR="001835C3" w:rsidRPr="00F32356">
        <w:rPr>
          <w:szCs w:val="23"/>
        </w:rPr>
        <w:t xml:space="preserve">by </w:t>
      </w:r>
      <w:r w:rsidR="00440C8F" w:rsidRPr="00F32356">
        <w:rPr>
          <w:szCs w:val="23"/>
        </w:rPr>
        <w:t xml:space="preserve">30 April </w:t>
      </w:r>
      <w:r w:rsidR="00DC670F" w:rsidRPr="00F32356">
        <w:rPr>
          <w:szCs w:val="23"/>
        </w:rPr>
        <w:t>2024</w:t>
      </w:r>
      <w:r w:rsidR="00951BAD" w:rsidRPr="00F32356">
        <w:rPr>
          <w:szCs w:val="23"/>
        </w:rPr>
        <w:t>.  The Program Report will be a stand</w:t>
      </w:r>
      <w:r w:rsidR="00951BAD" w:rsidRPr="00F32356">
        <w:rPr>
          <w:szCs w:val="23"/>
        </w:rPr>
        <w:noBreakHyphen/>
        <w:t xml:space="preserve">alone document that can be used for public information dissemination purposes regarding the </w:t>
      </w:r>
      <w:r w:rsidR="0075602D" w:rsidRPr="00F32356">
        <w:rPr>
          <w:szCs w:val="23"/>
        </w:rPr>
        <w:t>P</w:t>
      </w:r>
      <w:r w:rsidR="00440C8F" w:rsidRPr="00F32356">
        <w:rPr>
          <w:szCs w:val="23"/>
        </w:rPr>
        <w:t>rogram</w:t>
      </w:r>
      <w:r w:rsidR="00951BAD" w:rsidRPr="00F32356">
        <w:rPr>
          <w:szCs w:val="23"/>
        </w:rPr>
        <w:t>. The final Program Report will:</w:t>
      </w:r>
    </w:p>
    <w:p w14:paraId="6482E989" w14:textId="5B52B74A" w:rsidR="00706D54" w:rsidRPr="00F32356" w:rsidRDefault="005F7CC6" w:rsidP="002561CF">
      <w:pPr>
        <w:pStyle w:val="AlphaParagraph"/>
        <w:numPr>
          <w:ilvl w:val="0"/>
          <w:numId w:val="30"/>
        </w:numPr>
        <w:ind w:left="1134"/>
        <w:rPr>
          <w:szCs w:val="23"/>
        </w:rPr>
      </w:pPr>
      <w:r w:rsidRPr="00F32356">
        <w:t xml:space="preserve">evaluate the </w:t>
      </w:r>
      <w:r w:rsidR="0075602D" w:rsidRPr="00F32356">
        <w:t xml:space="preserve">Program </w:t>
      </w:r>
      <w:r w:rsidRPr="00F32356">
        <w:t>from the responsible Party’s perspective, including assessing the extent to which the objective</w:t>
      </w:r>
      <w:r w:rsidR="0075602D" w:rsidRPr="00F32356">
        <w:t>s</w:t>
      </w:r>
      <w:r w:rsidR="0070242A" w:rsidRPr="00F32356">
        <w:t xml:space="preserve"> and outcomes</w:t>
      </w:r>
      <w:r w:rsidRPr="00F32356">
        <w:t xml:space="preserve"> ha</w:t>
      </w:r>
      <w:r w:rsidR="0070242A" w:rsidRPr="00F32356">
        <w:t>ve</w:t>
      </w:r>
      <w:r w:rsidRPr="00F32356">
        <w:t xml:space="preserve"> been achieved against the key performance indicators contained in </w:t>
      </w:r>
      <w:r w:rsidR="00E73FDA" w:rsidRPr="00F32356">
        <w:t xml:space="preserve">the </w:t>
      </w:r>
      <w:r w:rsidR="0086063A" w:rsidRPr="00F32356">
        <w:t>Agreement</w:t>
      </w:r>
      <w:r w:rsidR="00E73FDA" w:rsidRPr="00F32356">
        <w:t xml:space="preserve"> </w:t>
      </w:r>
      <w:r w:rsidRPr="00F32356">
        <w:t>over the period of the Program, and explaining why any aspect was not achieved</w:t>
      </w:r>
      <w:r w:rsidR="002D0EF4" w:rsidRPr="00F32356">
        <w:t>; and</w:t>
      </w:r>
    </w:p>
    <w:p w14:paraId="0D46275B" w14:textId="2DDBBBB2" w:rsidR="002D0EF4" w:rsidRPr="00F32356" w:rsidRDefault="002D0EF4" w:rsidP="00133BE0">
      <w:pPr>
        <w:pStyle w:val="AlphaParagraph"/>
        <w:numPr>
          <w:ilvl w:val="0"/>
          <w:numId w:val="20"/>
        </w:numPr>
        <w:ind w:left="1134"/>
        <w:rPr>
          <w:szCs w:val="23"/>
        </w:rPr>
      </w:pPr>
      <w:r w:rsidRPr="00F32356">
        <w:t xml:space="preserve">include a discussion of any other matters relating to the </w:t>
      </w:r>
      <w:r w:rsidR="00276503" w:rsidRPr="00F32356">
        <w:t>Program</w:t>
      </w:r>
      <w:r w:rsidRPr="00F32356">
        <w:t xml:space="preserve">, limited to the minimum necessary for the effective assessment of performance and </w:t>
      </w:r>
      <w:r w:rsidR="0062217C" w:rsidRPr="00F32356">
        <w:t xml:space="preserve">as </w:t>
      </w:r>
      <w:r w:rsidRPr="00F32356">
        <w:t>agreed between the Commonwealth and the States</w:t>
      </w:r>
      <w:r w:rsidR="001F4549" w:rsidRPr="00F32356">
        <w:t>,</w:t>
      </w:r>
      <w:r w:rsidRPr="00F32356">
        <w:t xml:space="preserve"> at least 60 days before it is due.</w:t>
      </w:r>
    </w:p>
    <w:p w14:paraId="2D47AB94" w14:textId="5C6D4A82" w:rsidR="0086063A" w:rsidRPr="006F2739" w:rsidRDefault="00EE0311" w:rsidP="00885F49">
      <w:pPr>
        <w:pStyle w:val="Normalnumbered"/>
        <w:numPr>
          <w:ilvl w:val="0"/>
          <w:numId w:val="15"/>
        </w:numPr>
        <w:tabs>
          <w:tab w:val="clear" w:pos="1418"/>
        </w:tabs>
        <w:spacing w:before="120" w:line="240" w:lineRule="auto"/>
        <w:jc w:val="left"/>
      </w:pPr>
      <w:r>
        <w:t xml:space="preserve">Information contained in </w:t>
      </w:r>
      <w:r w:rsidRPr="006F2739">
        <w:t xml:space="preserve">these reports </w:t>
      </w:r>
      <w:r w:rsidR="006F2739">
        <w:t>will</w:t>
      </w:r>
      <w:r w:rsidRPr="006F2739">
        <w:t xml:space="preserve"> be used </w:t>
      </w:r>
      <w:r w:rsidR="006F2739">
        <w:t xml:space="preserve">to </w:t>
      </w:r>
      <w:r w:rsidR="006F2739" w:rsidRPr="00F912BD">
        <w:t xml:space="preserve">inform </w:t>
      </w:r>
      <w:r w:rsidR="006F2739">
        <w:t>an annual</w:t>
      </w:r>
      <w:r w:rsidR="006F2739" w:rsidRPr="00F912BD">
        <w:t xml:space="preserve"> </w:t>
      </w:r>
      <w:r w:rsidR="006F2739" w:rsidRPr="006F2739">
        <w:t xml:space="preserve">national statement of action </w:t>
      </w:r>
      <w:r w:rsidR="006F2739">
        <w:t>on disaster risk reduction</w:t>
      </w:r>
      <w:r w:rsidR="006F2739" w:rsidRPr="006F2739">
        <w:t xml:space="preserve"> and other public dissemination purposes</w:t>
      </w:r>
      <w:r w:rsidR="00BD6A30" w:rsidRPr="006F2739">
        <w:t xml:space="preserve">. </w:t>
      </w:r>
    </w:p>
    <w:p w14:paraId="318E2542" w14:textId="77777777" w:rsidR="00814667" w:rsidRDefault="00814667">
      <w:pPr>
        <w:pStyle w:val="Heading1"/>
      </w:pPr>
      <w:r w:rsidRPr="00AC7141">
        <w:lastRenderedPageBreak/>
        <w:t>Part 5 — financial arrangements</w:t>
      </w:r>
    </w:p>
    <w:p w14:paraId="35381C4F" w14:textId="77777777" w:rsidR="00C738BD" w:rsidRPr="005350F1" w:rsidRDefault="00C738BD" w:rsidP="00C738BD">
      <w:pPr>
        <w:pStyle w:val="Heading2"/>
      </w:pPr>
      <w:bookmarkStart w:id="3" w:name="top"/>
      <w:bookmarkEnd w:id="3"/>
      <w:r w:rsidRPr="005350F1">
        <w:t>Financial contributions</w:t>
      </w:r>
    </w:p>
    <w:p w14:paraId="44A2D98B" w14:textId="77777777" w:rsidR="002B7E1B" w:rsidRDefault="00CC39B1" w:rsidP="00CC39B1">
      <w:pPr>
        <w:pStyle w:val="Normalnumbered"/>
        <w:numPr>
          <w:ilvl w:val="0"/>
          <w:numId w:val="15"/>
        </w:numPr>
        <w:tabs>
          <w:tab w:val="clear" w:pos="1418"/>
        </w:tabs>
        <w:jc w:val="left"/>
      </w:pPr>
      <w:r w:rsidRPr="000E48C3">
        <w:t xml:space="preserve">The Commonwealth will </w:t>
      </w:r>
      <w:r w:rsidR="002B7E1B">
        <w:t>provide</w:t>
      </w:r>
      <w:r w:rsidRPr="000E48C3">
        <w:t xml:space="preserve"> </w:t>
      </w:r>
      <w:r w:rsidR="00CE1E92">
        <w:t xml:space="preserve">a </w:t>
      </w:r>
      <w:r w:rsidRPr="000E48C3">
        <w:t xml:space="preserve">financial contribution to </w:t>
      </w:r>
      <w:r w:rsidR="002B7E1B">
        <w:t>the States</w:t>
      </w:r>
      <w:r w:rsidR="00D57346">
        <w:t xml:space="preserve"> </w:t>
      </w:r>
      <w:r w:rsidR="00E579FF">
        <w:t xml:space="preserve">of </w:t>
      </w:r>
      <w:r w:rsidR="00AC7141">
        <w:t xml:space="preserve">$104.4 million </w:t>
      </w:r>
      <w:r w:rsidR="00CB1789">
        <w:t>in respect</w:t>
      </w:r>
      <w:r w:rsidR="00FA64FD">
        <w:t xml:space="preserve"> of this </w:t>
      </w:r>
      <w:r w:rsidR="0094129D">
        <w:t>A</w:t>
      </w:r>
      <w:r w:rsidR="00FA64FD">
        <w:t xml:space="preserve">greement. </w:t>
      </w:r>
      <w:r w:rsidRPr="000E48C3">
        <w:t xml:space="preserve"> </w:t>
      </w:r>
      <w:r w:rsidR="000447B9">
        <w:t>All payments are exclusive of GST.</w:t>
      </w:r>
    </w:p>
    <w:p w14:paraId="2378D230" w14:textId="77777777" w:rsidR="00CC39B1" w:rsidRDefault="00CC39B1" w:rsidP="00CC39B1">
      <w:pPr>
        <w:pStyle w:val="Normalnumbered"/>
        <w:numPr>
          <w:ilvl w:val="0"/>
          <w:numId w:val="15"/>
        </w:numPr>
        <w:tabs>
          <w:tab w:val="clear" w:pos="1418"/>
        </w:tabs>
        <w:jc w:val="left"/>
      </w:pPr>
      <w:r w:rsidRPr="002B7E1B">
        <w:t>The Commonwealth’s funding contribution will not be reduced where the States secure funding from other activity partners</w:t>
      </w:r>
      <w:r w:rsidR="0062217C">
        <w:t>.</w:t>
      </w:r>
    </w:p>
    <w:p w14:paraId="6D243A9A" w14:textId="77777777" w:rsidR="00F1611B" w:rsidRPr="00491A9F" w:rsidRDefault="00A207A2" w:rsidP="00F1611B">
      <w:pPr>
        <w:pStyle w:val="Normalnumbered"/>
        <w:numPr>
          <w:ilvl w:val="0"/>
          <w:numId w:val="15"/>
        </w:numPr>
        <w:tabs>
          <w:tab w:val="clear" w:pos="1418"/>
        </w:tabs>
        <w:rPr>
          <w:color w:val="auto"/>
        </w:rPr>
      </w:pPr>
      <w:r>
        <w:t>Where a performance report demonstrates that</w:t>
      </w:r>
      <w:r w:rsidR="00F1611B" w:rsidRPr="00491A9F">
        <w:t xml:space="preserve"> a milestone is met in advance of the due date, the Commonwealth </w:t>
      </w:r>
      <w:r w:rsidR="00F1611B" w:rsidRPr="00CE1E92">
        <w:t>may make</w:t>
      </w:r>
      <w:r w:rsidR="00F1611B" w:rsidRPr="00491A9F">
        <w:t xml:space="preserve"> the associated payment earlier than scheduled provided it falls within the same financial year as the original milestone date.</w:t>
      </w:r>
    </w:p>
    <w:p w14:paraId="21E90482" w14:textId="57212C36" w:rsidR="00C233E9" w:rsidRDefault="008F62DE" w:rsidP="00C233E9">
      <w:pPr>
        <w:pStyle w:val="Normalnumbered"/>
        <w:keepNext/>
        <w:keepLines/>
        <w:numPr>
          <w:ilvl w:val="0"/>
          <w:numId w:val="15"/>
        </w:numPr>
        <w:tabs>
          <w:tab w:val="clear" w:pos="1418"/>
        </w:tabs>
        <w:jc w:val="left"/>
        <w:rPr>
          <w:color w:val="auto"/>
        </w:rPr>
      </w:pPr>
      <w:r>
        <w:t xml:space="preserve">The </w:t>
      </w:r>
      <w:r w:rsidRPr="00BA2219">
        <w:t>Commonwealth</w:t>
      </w:r>
      <w:r w:rsidR="00804AEB" w:rsidRPr="00BA2219">
        <w:t>’s</w:t>
      </w:r>
      <w:r w:rsidRPr="00BA2219">
        <w:t xml:space="preserve"> and the States</w:t>
      </w:r>
      <w:r w:rsidR="00804AEB" w:rsidRPr="00BA2219">
        <w:t>’ estimated financial contributions</w:t>
      </w:r>
      <w:r w:rsidR="00804AEB">
        <w:t xml:space="preserve"> to this Agreement</w:t>
      </w:r>
      <w:r w:rsidR="00C233E9" w:rsidRPr="00336F12">
        <w:rPr>
          <w:color w:val="auto"/>
        </w:rPr>
        <w:t xml:space="preserve">, including through National Partnership payments to the States paid in accordance with </w:t>
      </w:r>
      <w:r w:rsidR="00C233E9" w:rsidRPr="00336F12">
        <w:rPr>
          <w:i/>
          <w:color w:val="auto"/>
        </w:rPr>
        <w:t>Schedule D — Payment Arrangements</w:t>
      </w:r>
      <w:r w:rsidR="00C233E9" w:rsidRPr="00336F12">
        <w:rPr>
          <w:color w:val="auto"/>
        </w:rPr>
        <w:t xml:space="preserve"> of the I</w:t>
      </w:r>
      <w:r w:rsidR="00E31BCF">
        <w:rPr>
          <w:color w:val="auto"/>
        </w:rPr>
        <w:t>GA FFR</w:t>
      </w:r>
      <w:r w:rsidR="00C233E9" w:rsidRPr="00336F12">
        <w:rPr>
          <w:color w:val="auto"/>
        </w:rPr>
        <w:t xml:space="preserve">, </w:t>
      </w:r>
      <w:r w:rsidR="00804AEB">
        <w:rPr>
          <w:color w:val="auto"/>
        </w:rPr>
        <w:t>are</w:t>
      </w:r>
      <w:r w:rsidR="00804AEB" w:rsidRPr="008F62DE">
        <w:rPr>
          <w:color w:val="auto"/>
        </w:rPr>
        <w:t xml:space="preserve"> </w:t>
      </w:r>
      <w:r w:rsidR="00C233E9" w:rsidRPr="008F62DE">
        <w:rPr>
          <w:color w:val="auto"/>
        </w:rPr>
        <w:t>shown in Table</w:t>
      </w:r>
      <w:r w:rsidR="00AD7C03" w:rsidRPr="008F62DE">
        <w:rPr>
          <w:color w:val="auto"/>
        </w:rPr>
        <w:t> 2</w:t>
      </w:r>
      <w:r w:rsidR="00C233E9" w:rsidRPr="00336F12">
        <w:rPr>
          <w:color w:val="auto"/>
        </w:rPr>
        <w:t>.</w:t>
      </w:r>
    </w:p>
    <w:p w14:paraId="728ED314" w14:textId="6DCB3A19" w:rsidR="00FB4200" w:rsidRDefault="00FB4200" w:rsidP="00FB4200">
      <w:pPr>
        <w:pStyle w:val="TableMainHeading"/>
        <w:keepLines/>
      </w:pPr>
      <w:r>
        <w:t xml:space="preserve">Table </w:t>
      </w:r>
      <w:r w:rsidR="00AD7C03">
        <w:t>2</w:t>
      </w:r>
      <w:r>
        <w:t xml:space="preserve">: </w:t>
      </w:r>
      <w:r w:rsidR="00804AEB">
        <w:t>Estimated f</w:t>
      </w:r>
      <w:r w:rsidR="009C69A5">
        <w:t>i</w:t>
      </w:r>
      <w:r>
        <w:t>nancial contributions</w:t>
      </w:r>
      <w:r w:rsidR="009C166A">
        <w:t xml:space="preserve"> </w:t>
      </w:r>
    </w:p>
    <w:p w14:paraId="6C44A172" w14:textId="77777777" w:rsidR="0094129D" w:rsidRDefault="0094129D" w:rsidP="00FB4200">
      <w:pPr>
        <w:pStyle w:val="TableGraphic"/>
      </w:pPr>
    </w:p>
    <w:tbl>
      <w:tblPr>
        <w:tblW w:w="0" w:type="auto"/>
        <w:tblLook w:val="01E0" w:firstRow="1" w:lastRow="1" w:firstColumn="1" w:lastColumn="1" w:noHBand="0" w:noVBand="0"/>
      </w:tblPr>
      <w:tblGrid>
        <w:gridCol w:w="3686"/>
        <w:gridCol w:w="992"/>
        <w:gridCol w:w="992"/>
        <w:gridCol w:w="1027"/>
        <w:gridCol w:w="999"/>
        <w:gridCol w:w="1044"/>
        <w:gridCol w:w="898"/>
      </w:tblGrid>
      <w:tr w:rsidR="00FB2FA1" w14:paraId="742951BD" w14:textId="77777777" w:rsidTr="0058614C">
        <w:trPr>
          <w:cantSplit/>
        </w:trPr>
        <w:tc>
          <w:tcPr>
            <w:tcW w:w="3686" w:type="dxa"/>
            <w:tcBorders>
              <w:top w:val="single" w:sz="4" w:space="0" w:color="000080"/>
            </w:tcBorders>
          </w:tcPr>
          <w:p w14:paraId="1FF283EF" w14:textId="77777777" w:rsidR="00FB2FA1" w:rsidRPr="002106A6" w:rsidRDefault="00FB2FA1" w:rsidP="002106A6">
            <w:pPr>
              <w:keepNext/>
              <w:keepLines/>
              <w:spacing w:before="40" w:after="40"/>
              <w:jc w:val="left"/>
              <w:rPr>
                <w:b/>
              </w:rPr>
            </w:pPr>
            <w:r w:rsidRPr="002106A6">
              <w:rPr>
                <w:b/>
              </w:rPr>
              <w:t>($ million)</w:t>
            </w:r>
          </w:p>
        </w:tc>
        <w:tc>
          <w:tcPr>
            <w:tcW w:w="992" w:type="dxa"/>
            <w:tcBorders>
              <w:top w:val="single" w:sz="4" w:space="0" w:color="000080"/>
              <w:bottom w:val="single" w:sz="4" w:space="0" w:color="000080"/>
            </w:tcBorders>
          </w:tcPr>
          <w:p w14:paraId="35BC227E" w14:textId="77777777" w:rsidR="00FB2FA1" w:rsidRDefault="00FB2FA1" w:rsidP="002106A6">
            <w:pPr>
              <w:keepNext/>
              <w:keepLines/>
              <w:spacing w:before="40" w:after="40"/>
              <w:jc w:val="right"/>
            </w:pPr>
            <w:r>
              <w:t>2019-20</w:t>
            </w:r>
          </w:p>
        </w:tc>
        <w:tc>
          <w:tcPr>
            <w:tcW w:w="992" w:type="dxa"/>
            <w:tcBorders>
              <w:top w:val="single" w:sz="4" w:space="0" w:color="000080"/>
              <w:bottom w:val="single" w:sz="4" w:space="0" w:color="000080"/>
            </w:tcBorders>
          </w:tcPr>
          <w:p w14:paraId="0D841E3C" w14:textId="77777777" w:rsidR="00FB2FA1" w:rsidRDefault="00FB2FA1" w:rsidP="002106A6">
            <w:pPr>
              <w:keepNext/>
              <w:keepLines/>
              <w:spacing w:before="40" w:after="40"/>
              <w:jc w:val="right"/>
            </w:pPr>
            <w:r>
              <w:t>2020-21</w:t>
            </w:r>
          </w:p>
        </w:tc>
        <w:tc>
          <w:tcPr>
            <w:tcW w:w="1027" w:type="dxa"/>
            <w:tcBorders>
              <w:top w:val="single" w:sz="4" w:space="0" w:color="000080"/>
              <w:bottom w:val="single" w:sz="4" w:space="0" w:color="000080"/>
            </w:tcBorders>
          </w:tcPr>
          <w:p w14:paraId="20888AD6" w14:textId="77777777" w:rsidR="00FB2FA1" w:rsidRDefault="00FB2FA1" w:rsidP="002106A6">
            <w:pPr>
              <w:keepNext/>
              <w:keepLines/>
              <w:spacing w:before="40" w:after="40"/>
              <w:jc w:val="right"/>
            </w:pPr>
            <w:r>
              <w:t>2021-22</w:t>
            </w:r>
          </w:p>
        </w:tc>
        <w:tc>
          <w:tcPr>
            <w:tcW w:w="999" w:type="dxa"/>
            <w:tcBorders>
              <w:top w:val="single" w:sz="4" w:space="0" w:color="000080"/>
              <w:bottom w:val="single" w:sz="4" w:space="0" w:color="000080"/>
            </w:tcBorders>
          </w:tcPr>
          <w:p w14:paraId="3142FF92" w14:textId="77777777" w:rsidR="00FB2FA1" w:rsidRDefault="00FB2FA1" w:rsidP="00FB2FA1">
            <w:pPr>
              <w:keepNext/>
              <w:keepLines/>
              <w:spacing w:before="40" w:after="40"/>
              <w:jc w:val="center"/>
            </w:pPr>
            <w:r>
              <w:t>2022-23</w:t>
            </w:r>
          </w:p>
        </w:tc>
        <w:tc>
          <w:tcPr>
            <w:tcW w:w="1044" w:type="dxa"/>
            <w:tcBorders>
              <w:top w:val="single" w:sz="4" w:space="0" w:color="000080"/>
              <w:bottom w:val="single" w:sz="4" w:space="0" w:color="000080"/>
            </w:tcBorders>
          </w:tcPr>
          <w:p w14:paraId="725356FB" w14:textId="77777777" w:rsidR="00FB2FA1" w:rsidRDefault="00FB2FA1" w:rsidP="00FB2FA1">
            <w:pPr>
              <w:keepNext/>
              <w:keepLines/>
              <w:spacing w:before="40" w:after="40"/>
              <w:jc w:val="center"/>
            </w:pPr>
            <w:r>
              <w:t>2023-24</w:t>
            </w:r>
          </w:p>
        </w:tc>
        <w:tc>
          <w:tcPr>
            <w:tcW w:w="898" w:type="dxa"/>
            <w:tcBorders>
              <w:top w:val="single" w:sz="4" w:space="0" w:color="000080"/>
              <w:bottom w:val="single" w:sz="4" w:space="0" w:color="000080"/>
            </w:tcBorders>
          </w:tcPr>
          <w:p w14:paraId="023CDE50" w14:textId="77777777" w:rsidR="00FB2FA1" w:rsidRDefault="00FB2FA1" w:rsidP="002106A6">
            <w:pPr>
              <w:keepNext/>
              <w:keepLines/>
              <w:spacing w:before="40" w:after="40"/>
              <w:jc w:val="right"/>
            </w:pPr>
            <w:r>
              <w:t>Total</w:t>
            </w:r>
          </w:p>
        </w:tc>
      </w:tr>
      <w:tr w:rsidR="00FB2FA1" w14:paraId="6F32605F" w14:textId="77777777" w:rsidTr="0058614C">
        <w:trPr>
          <w:cantSplit/>
        </w:trPr>
        <w:tc>
          <w:tcPr>
            <w:tcW w:w="3686" w:type="dxa"/>
          </w:tcPr>
          <w:p w14:paraId="7031C615" w14:textId="77777777" w:rsidR="00FB2FA1" w:rsidRDefault="00FB2FA1" w:rsidP="00775C1A">
            <w:pPr>
              <w:keepNext/>
              <w:keepLines/>
              <w:spacing w:before="60" w:after="60"/>
              <w:jc w:val="left"/>
            </w:pPr>
            <w:r w:rsidRPr="00E426E0">
              <w:rPr>
                <w:b/>
                <w:i/>
              </w:rPr>
              <w:t>Estimated</w:t>
            </w:r>
            <w:r>
              <w:t xml:space="preserve"> total budget (1)</w:t>
            </w:r>
          </w:p>
        </w:tc>
        <w:tc>
          <w:tcPr>
            <w:tcW w:w="992" w:type="dxa"/>
            <w:tcBorders>
              <w:top w:val="single" w:sz="4" w:space="0" w:color="000080"/>
              <w:bottom w:val="single" w:sz="4" w:space="0" w:color="000080"/>
            </w:tcBorders>
          </w:tcPr>
          <w:p w14:paraId="4088FF4D" w14:textId="77777777" w:rsidR="00FB2FA1" w:rsidRPr="0058614C" w:rsidRDefault="0058614C" w:rsidP="002106A6">
            <w:pPr>
              <w:keepNext/>
              <w:keepLines/>
              <w:spacing w:before="40" w:after="40"/>
              <w:jc w:val="right"/>
            </w:pPr>
            <w:r>
              <w:t>41.76</w:t>
            </w:r>
          </w:p>
        </w:tc>
        <w:tc>
          <w:tcPr>
            <w:tcW w:w="992" w:type="dxa"/>
            <w:tcBorders>
              <w:top w:val="single" w:sz="4" w:space="0" w:color="000080"/>
              <w:bottom w:val="single" w:sz="4" w:space="0" w:color="000080"/>
            </w:tcBorders>
          </w:tcPr>
          <w:p w14:paraId="62B7078F" w14:textId="77777777" w:rsidR="00FB2FA1" w:rsidRPr="0058614C" w:rsidRDefault="0058614C" w:rsidP="002106A6">
            <w:pPr>
              <w:keepNext/>
              <w:keepLines/>
              <w:spacing w:before="40" w:after="40"/>
              <w:jc w:val="right"/>
            </w:pPr>
            <w:r>
              <w:t>41.76</w:t>
            </w:r>
          </w:p>
        </w:tc>
        <w:tc>
          <w:tcPr>
            <w:tcW w:w="1027" w:type="dxa"/>
            <w:tcBorders>
              <w:top w:val="single" w:sz="4" w:space="0" w:color="000080"/>
              <w:bottom w:val="single" w:sz="4" w:space="0" w:color="000080"/>
            </w:tcBorders>
          </w:tcPr>
          <w:p w14:paraId="22A9E9F1" w14:textId="77777777" w:rsidR="00FB2FA1" w:rsidRPr="0058614C" w:rsidRDefault="0058614C" w:rsidP="002106A6">
            <w:pPr>
              <w:keepNext/>
              <w:keepLines/>
              <w:spacing w:before="40" w:after="40"/>
              <w:jc w:val="right"/>
            </w:pPr>
            <w:r>
              <w:t>41.76</w:t>
            </w:r>
          </w:p>
        </w:tc>
        <w:tc>
          <w:tcPr>
            <w:tcW w:w="999" w:type="dxa"/>
            <w:tcBorders>
              <w:top w:val="single" w:sz="4" w:space="0" w:color="000080"/>
              <w:bottom w:val="single" w:sz="4" w:space="0" w:color="000080"/>
            </w:tcBorders>
          </w:tcPr>
          <w:p w14:paraId="6B809917" w14:textId="77777777" w:rsidR="00FB2FA1" w:rsidRPr="0058614C" w:rsidRDefault="0058614C" w:rsidP="002106A6">
            <w:pPr>
              <w:keepNext/>
              <w:keepLines/>
              <w:spacing w:before="40" w:after="40"/>
              <w:jc w:val="right"/>
            </w:pPr>
            <w:r>
              <w:t>41.76</w:t>
            </w:r>
          </w:p>
        </w:tc>
        <w:tc>
          <w:tcPr>
            <w:tcW w:w="1044" w:type="dxa"/>
            <w:tcBorders>
              <w:top w:val="single" w:sz="4" w:space="0" w:color="000080"/>
              <w:bottom w:val="single" w:sz="4" w:space="0" w:color="000080"/>
            </w:tcBorders>
          </w:tcPr>
          <w:p w14:paraId="3F7DFFB1" w14:textId="77777777" w:rsidR="00FB2FA1" w:rsidRPr="0058614C" w:rsidRDefault="0058614C" w:rsidP="00775C1A">
            <w:pPr>
              <w:keepNext/>
              <w:keepLines/>
              <w:spacing w:before="40" w:after="40"/>
              <w:jc w:val="right"/>
            </w:pPr>
            <w:r>
              <w:t>41.76</w:t>
            </w:r>
          </w:p>
        </w:tc>
        <w:tc>
          <w:tcPr>
            <w:tcW w:w="898" w:type="dxa"/>
            <w:tcBorders>
              <w:top w:val="single" w:sz="4" w:space="0" w:color="000080"/>
              <w:bottom w:val="single" w:sz="4" w:space="0" w:color="000080"/>
            </w:tcBorders>
          </w:tcPr>
          <w:p w14:paraId="5FC6F859" w14:textId="77777777" w:rsidR="00FB2FA1" w:rsidRPr="0058614C" w:rsidRDefault="0058614C" w:rsidP="00775C1A">
            <w:pPr>
              <w:keepNext/>
              <w:keepLines/>
              <w:spacing w:before="40" w:after="40"/>
              <w:jc w:val="right"/>
            </w:pPr>
            <w:r w:rsidRPr="0058614C">
              <w:t>208.8</w:t>
            </w:r>
          </w:p>
        </w:tc>
      </w:tr>
      <w:tr w:rsidR="00FB2FA1" w14:paraId="6A5BA6DC" w14:textId="77777777" w:rsidTr="0058614C">
        <w:trPr>
          <w:cantSplit/>
        </w:trPr>
        <w:tc>
          <w:tcPr>
            <w:tcW w:w="3686" w:type="dxa"/>
          </w:tcPr>
          <w:p w14:paraId="7AA807E1" w14:textId="77777777" w:rsidR="00FB2FA1" w:rsidRPr="00DD0D43" w:rsidRDefault="00FB2FA1" w:rsidP="00775C1A">
            <w:pPr>
              <w:keepNext/>
              <w:keepLines/>
              <w:spacing w:before="60" w:after="60"/>
              <w:jc w:val="left"/>
            </w:pPr>
            <w:r w:rsidRPr="0069372F">
              <w:rPr>
                <w:b/>
                <w:i/>
              </w:rPr>
              <w:t>E</w:t>
            </w:r>
            <w:r w:rsidRPr="00E426E0">
              <w:rPr>
                <w:b/>
                <w:i/>
              </w:rPr>
              <w:t>stimated</w:t>
            </w:r>
            <w:r>
              <w:t xml:space="preserve"> </w:t>
            </w:r>
            <w:r w:rsidRPr="00E426E0">
              <w:t>National Partnership payment</w:t>
            </w:r>
            <w:r>
              <w:t xml:space="preserve"> (2)</w:t>
            </w:r>
          </w:p>
        </w:tc>
        <w:tc>
          <w:tcPr>
            <w:tcW w:w="992" w:type="dxa"/>
            <w:tcBorders>
              <w:top w:val="single" w:sz="4" w:space="0" w:color="000080"/>
            </w:tcBorders>
          </w:tcPr>
          <w:p w14:paraId="1B434E2F" w14:textId="77777777" w:rsidR="00FB2FA1" w:rsidRPr="0058614C" w:rsidRDefault="0058614C" w:rsidP="002106A6">
            <w:pPr>
              <w:keepNext/>
              <w:keepLines/>
              <w:spacing w:before="40" w:after="40"/>
              <w:jc w:val="right"/>
            </w:pPr>
            <w:r>
              <w:t>20.88</w:t>
            </w:r>
          </w:p>
        </w:tc>
        <w:tc>
          <w:tcPr>
            <w:tcW w:w="992" w:type="dxa"/>
            <w:tcBorders>
              <w:top w:val="single" w:sz="4" w:space="0" w:color="000080"/>
            </w:tcBorders>
          </w:tcPr>
          <w:p w14:paraId="001B15E7" w14:textId="77777777" w:rsidR="00FB2FA1" w:rsidRPr="0058614C" w:rsidRDefault="0058614C" w:rsidP="002106A6">
            <w:pPr>
              <w:keepNext/>
              <w:keepLines/>
              <w:spacing w:before="40" w:after="40"/>
              <w:jc w:val="right"/>
            </w:pPr>
            <w:r>
              <w:t>20.88</w:t>
            </w:r>
          </w:p>
        </w:tc>
        <w:tc>
          <w:tcPr>
            <w:tcW w:w="1027" w:type="dxa"/>
            <w:tcBorders>
              <w:top w:val="single" w:sz="4" w:space="0" w:color="000080"/>
            </w:tcBorders>
          </w:tcPr>
          <w:p w14:paraId="2A23F491" w14:textId="77777777" w:rsidR="00FB2FA1" w:rsidRPr="0058614C" w:rsidRDefault="0058614C" w:rsidP="002106A6">
            <w:pPr>
              <w:keepNext/>
              <w:keepLines/>
              <w:spacing w:before="40" w:after="40"/>
              <w:jc w:val="right"/>
            </w:pPr>
            <w:r>
              <w:t>20.88</w:t>
            </w:r>
          </w:p>
        </w:tc>
        <w:tc>
          <w:tcPr>
            <w:tcW w:w="999" w:type="dxa"/>
            <w:tcBorders>
              <w:top w:val="single" w:sz="4" w:space="0" w:color="000080"/>
            </w:tcBorders>
          </w:tcPr>
          <w:p w14:paraId="406A3A9D" w14:textId="77777777" w:rsidR="00FB2FA1" w:rsidRPr="0058614C" w:rsidRDefault="0058614C" w:rsidP="002106A6">
            <w:pPr>
              <w:keepNext/>
              <w:keepLines/>
              <w:spacing w:before="40" w:after="40"/>
              <w:jc w:val="right"/>
            </w:pPr>
            <w:r>
              <w:t>20.88</w:t>
            </w:r>
          </w:p>
        </w:tc>
        <w:tc>
          <w:tcPr>
            <w:tcW w:w="1044" w:type="dxa"/>
            <w:tcBorders>
              <w:top w:val="single" w:sz="4" w:space="0" w:color="000080"/>
            </w:tcBorders>
          </w:tcPr>
          <w:p w14:paraId="46577C64" w14:textId="77777777" w:rsidR="00FB2FA1" w:rsidRPr="0058614C" w:rsidRDefault="0058614C" w:rsidP="002106A6">
            <w:pPr>
              <w:keepNext/>
              <w:keepLines/>
              <w:spacing w:before="40" w:after="40"/>
              <w:jc w:val="right"/>
            </w:pPr>
            <w:r>
              <w:t>20.88</w:t>
            </w:r>
          </w:p>
        </w:tc>
        <w:tc>
          <w:tcPr>
            <w:tcW w:w="898" w:type="dxa"/>
            <w:tcBorders>
              <w:top w:val="single" w:sz="4" w:space="0" w:color="000080"/>
            </w:tcBorders>
          </w:tcPr>
          <w:p w14:paraId="254BDCA0" w14:textId="77777777" w:rsidR="00FB2FA1" w:rsidRPr="0058614C" w:rsidRDefault="0058614C" w:rsidP="002106A6">
            <w:pPr>
              <w:keepNext/>
              <w:keepLines/>
              <w:spacing w:before="40" w:after="40"/>
              <w:jc w:val="right"/>
            </w:pPr>
            <w:r w:rsidRPr="0058614C">
              <w:t>104.4</w:t>
            </w:r>
          </w:p>
        </w:tc>
      </w:tr>
      <w:tr w:rsidR="00FB2FA1" w14:paraId="0005307F" w14:textId="77777777" w:rsidTr="0058614C">
        <w:trPr>
          <w:cantSplit/>
        </w:trPr>
        <w:tc>
          <w:tcPr>
            <w:tcW w:w="3686" w:type="dxa"/>
          </w:tcPr>
          <w:p w14:paraId="591D43BA" w14:textId="7BDE66AF" w:rsidR="00FB2FA1" w:rsidRPr="00FB2FA1" w:rsidRDefault="00FB2FA1" w:rsidP="00804AEB">
            <w:pPr>
              <w:keepNext/>
              <w:keepLines/>
              <w:spacing w:before="60" w:after="60"/>
              <w:ind w:left="321"/>
              <w:jc w:val="left"/>
            </w:pPr>
            <w:r>
              <w:t>New South Wales</w:t>
            </w:r>
            <w:r w:rsidR="004D5739">
              <w:t xml:space="preserve"> </w:t>
            </w:r>
          </w:p>
        </w:tc>
        <w:tc>
          <w:tcPr>
            <w:tcW w:w="992" w:type="dxa"/>
          </w:tcPr>
          <w:p w14:paraId="52BC0F6F" w14:textId="77777777" w:rsidR="00FB2FA1" w:rsidRPr="0058614C" w:rsidRDefault="0058614C" w:rsidP="002106A6">
            <w:pPr>
              <w:keepNext/>
              <w:keepLines/>
              <w:spacing w:before="40" w:after="40"/>
              <w:jc w:val="right"/>
            </w:pPr>
            <w:r>
              <w:t>5.4288</w:t>
            </w:r>
          </w:p>
        </w:tc>
        <w:tc>
          <w:tcPr>
            <w:tcW w:w="992" w:type="dxa"/>
          </w:tcPr>
          <w:p w14:paraId="13A8FF80" w14:textId="77777777" w:rsidR="00FB2FA1" w:rsidRPr="0058614C" w:rsidRDefault="0058614C" w:rsidP="002106A6">
            <w:pPr>
              <w:keepNext/>
              <w:keepLines/>
              <w:spacing w:before="40" w:after="40"/>
              <w:jc w:val="right"/>
            </w:pPr>
            <w:r>
              <w:t>5.4288</w:t>
            </w:r>
          </w:p>
        </w:tc>
        <w:tc>
          <w:tcPr>
            <w:tcW w:w="1027" w:type="dxa"/>
          </w:tcPr>
          <w:p w14:paraId="555E93BC" w14:textId="77777777" w:rsidR="00FB2FA1" w:rsidRPr="0058614C" w:rsidRDefault="0058614C" w:rsidP="002106A6">
            <w:pPr>
              <w:keepNext/>
              <w:keepLines/>
              <w:spacing w:before="40" w:after="40"/>
              <w:jc w:val="right"/>
            </w:pPr>
            <w:r>
              <w:t>5.4288</w:t>
            </w:r>
          </w:p>
        </w:tc>
        <w:tc>
          <w:tcPr>
            <w:tcW w:w="999" w:type="dxa"/>
          </w:tcPr>
          <w:p w14:paraId="28568304" w14:textId="77777777" w:rsidR="00FB2FA1" w:rsidRPr="0058614C" w:rsidRDefault="0058614C" w:rsidP="002106A6">
            <w:pPr>
              <w:keepNext/>
              <w:keepLines/>
              <w:spacing w:before="40" w:after="40"/>
              <w:jc w:val="right"/>
            </w:pPr>
            <w:r>
              <w:t>5.4288</w:t>
            </w:r>
          </w:p>
        </w:tc>
        <w:tc>
          <w:tcPr>
            <w:tcW w:w="1044" w:type="dxa"/>
          </w:tcPr>
          <w:p w14:paraId="19ED03A0" w14:textId="77777777" w:rsidR="00FB2FA1" w:rsidRPr="0058614C" w:rsidRDefault="0058614C" w:rsidP="002106A6">
            <w:pPr>
              <w:keepNext/>
              <w:keepLines/>
              <w:spacing w:before="40" w:after="40"/>
              <w:jc w:val="right"/>
            </w:pPr>
            <w:r>
              <w:t>5.4288</w:t>
            </w:r>
          </w:p>
        </w:tc>
        <w:tc>
          <w:tcPr>
            <w:tcW w:w="898" w:type="dxa"/>
          </w:tcPr>
          <w:p w14:paraId="34B0DC6E" w14:textId="77777777" w:rsidR="00FB2FA1" w:rsidRPr="0058614C" w:rsidRDefault="0058614C" w:rsidP="002106A6">
            <w:pPr>
              <w:keepNext/>
              <w:keepLines/>
              <w:spacing w:before="40" w:after="40"/>
              <w:jc w:val="right"/>
            </w:pPr>
            <w:r>
              <w:t>27.144</w:t>
            </w:r>
          </w:p>
        </w:tc>
      </w:tr>
      <w:tr w:rsidR="00FB2FA1" w14:paraId="6A361CBE" w14:textId="77777777" w:rsidTr="0058614C">
        <w:trPr>
          <w:cantSplit/>
        </w:trPr>
        <w:tc>
          <w:tcPr>
            <w:tcW w:w="3686" w:type="dxa"/>
          </w:tcPr>
          <w:p w14:paraId="62222504" w14:textId="22670155" w:rsidR="00FB2FA1" w:rsidRPr="00FB2FA1" w:rsidRDefault="00FB2FA1" w:rsidP="00804AEB">
            <w:pPr>
              <w:keepNext/>
              <w:keepLines/>
              <w:spacing w:before="60" w:after="60"/>
              <w:ind w:left="321"/>
              <w:jc w:val="left"/>
            </w:pPr>
            <w:r>
              <w:t>Queensland</w:t>
            </w:r>
            <w:r w:rsidR="004D5739">
              <w:t xml:space="preserve"> </w:t>
            </w:r>
          </w:p>
        </w:tc>
        <w:tc>
          <w:tcPr>
            <w:tcW w:w="992" w:type="dxa"/>
          </w:tcPr>
          <w:p w14:paraId="52F30317" w14:textId="77777777" w:rsidR="00FB2FA1" w:rsidRPr="0058614C" w:rsidRDefault="0058614C" w:rsidP="002106A6">
            <w:pPr>
              <w:keepNext/>
              <w:keepLines/>
              <w:spacing w:before="40" w:after="40"/>
              <w:jc w:val="right"/>
            </w:pPr>
            <w:r>
              <w:t>4.8024</w:t>
            </w:r>
          </w:p>
        </w:tc>
        <w:tc>
          <w:tcPr>
            <w:tcW w:w="992" w:type="dxa"/>
          </w:tcPr>
          <w:p w14:paraId="4FCA5BA0" w14:textId="77777777" w:rsidR="00FB2FA1" w:rsidRPr="0058614C" w:rsidRDefault="0058614C" w:rsidP="002106A6">
            <w:pPr>
              <w:keepNext/>
              <w:keepLines/>
              <w:spacing w:before="40" w:after="40"/>
              <w:jc w:val="right"/>
            </w:pPr>
            <w:r>
              <w:t>4.8024</w:t>
            </w:r>
          </w:p>
        </w:tc>
        <w:tc>
          <w:tcPr>
            <w:tcW w:w="1027" w:type="dxa"/>
          </w:tcPr>
          <w:p w14:paraId="2129F3E6" w14:textId="77777777" w:rsidR="00FB2FA1" w:rsidRPr="0058614C" w:rsidRDefault="0058614C" w:rsidP="002106A6">
            <w:pPr>
              <w:keepNext/>
              <w:keepLines/>
              <w:spacing w:before="40" w:after="40"/>
              <w:jc w:val="right"/>
            </w:pPr>
            <w:r>
              <w:t>4.8024</w:t>
            </w:r>
          </w:p>
        </w:tc>
        <w:tc>
          <w:tcPr>
            <w:tcW w:w="999" w:type="dxa"/>
          </w:tcPr>
          <w:p w14:paraId="617E922C" w14:textId="77777777" w:rsidR="00FB2FA1" w:rsidRPr="0058614C" w:rsidRDefault="0058614C" w:rsidP="002106A6">
            <w:pPr>
              <w:keepNext/>
              <w:keepLines/>
              <w:spacing w:before="40" w:after="40"/>
              <w:jc w:val="right"/>
            </w:pPr>
            <w:r>
              <w:t>4.8024</w:t>
            </w:r>
          </w:p>
        </w:tc>
        <w:tc>
          <w:tcPr>
            <w:tcW w:w="1044" w:type="dxa"/>
          </w:tcPr>
          <w:p w14:paraId="4FBA9719" w14:textId="77777777" w:rsidR="00FB2FA1" w:rsidRPr="0058614C" w:rsidRDefault="0058614C" w:rsidP="002106A6">
            <w:pPr>
              <w:keepNext/>
              <w:keepLines/>
              <w:spacing w:before="40" w:after="40"/>
              <w:jc w:val="right"/>
            </w:pPr>
            <w:r>
              <w:t>4.8024</w:t>
            </w:r>
          </w:p>
        </w:tc>
        <w:tc>
          <w:tcPr>
            <w:tcW w:w="898" w:type="dxa"/>
          </w:tcPr>
          <w:p w14:paraId="44437040" w14:textId="77777777" w:rsidR="00FB2FA1" w:rsidRPr="0058614C" w:rsidRDefault="0058614C" w:rsidP="002106A6">
            <w:pPr>
              <w:keepNext/>
              <w:keepLines/>
              <w:spacing w:before="40" w:after="40"/>
              <w:jc w:val="right"/>
            </w:pPr>
            <w:r>
              <w:t>24.012</w:t>
            </w:r>
          </w:p>
        </w:tc>
      </w:tr>
      <w:tr w:rsidR="00FB2FA1" w14:paraId="2AF3EB9E" w14:textId="77777777" w:rsidTr="0058614C">
        <w:trPr>
          <w:cantSplit/>
        </w:trPr>
        <w:tc>
          <w:tcPr>
            <w:tcW w:w="3686" w:type="dxa"/>
          </w:tcPr>
          <w:p w14:paraId="38F98887" w14:textId="022B553D" w:rsidR="00FB2FA1" w:rsidRPr="00FB2FA1" w:rsidRDefault="00FB2FA1" w:rsidP="00804AEB">
            <w:pPr>
              <w:keepNext/>
              <w:keepLines/>
              <w:spacing w:before="60" w:after="60"/>
              <w:ind w:left="321"/>
              <w:jc w:val="left"/>
            </w:pPr>
            <w:r>
              <w:t>Victoria</w:t>
            </w:r>
            <w:r w:rsidR="004D5739">
              <w:t xml:space="preserve"> </w:t>
            </w:r>
          </w:p>
        </w:tc>
        <w:tc>
          <w:tcPr>
            <w:tcW w:w="992" w:type="dxa"/>
          </w:tcPr>
          <w:p w14:paraId="57F78546" w14:textId="77777777" w:rsidR="00FB2FA1" w:rsidRPr="0058614C" w:rsidRDefault="0058614C" w:rsidP="002106A6">
            <w:pPr>
              <w:keepNext/>
              <w:keepLines/>
              <w:spacing w:before="40" w:after="40"/>
              <w:jc w:val="right"/>
            </w:pPr>
            <w:r>
              <w:t>3.3408</w:t>
            </w:r>
          </w:p>
        </w:tc>
        <w:tc>
          <w:tcPr>
            <w:tcW w:w="992" w:type="dxa"/>
          </w:tcPr>
          <w:p w14:paraId="4DC0AD4A" w14:textId="77777777" w:rsidR="00FB2FA1" w:rsidRPr="0058614C" w:rsidRDefault="0058614C" w:rsidP="002106A6">
            <w:pPr>
              <w:keepNext/>
              <w:keepLines/>
              <w:spacing w:before="40" w:after="40"/>
              <w:jc w:val="right"/>
            </w:pPr>
            <w:r>
              <w:t>3.3408</w:t>
            </w:r>
          </w:p>
        </w:tc>
        <w:tc>
          <w:tcPr>
            <w:tcW w:w="1027" w:type="dxa"/>
          </w:tcPr>
          <w:p w14:paraId="73C4C812" w14:textId="77777777" w:rsidR="00FB2FA1" w:rsidRPr="0058614C" w:rsidRDefault="0058614C" w:rsidP="002106A6">
            <w:pPr>
              <w:keepNext/>
              <w:keepLines/>
              <w:spacing w:before="40" w:after="40"/>
              <w:jc w:val="right"/>
            </w:pPr>
            <w:r>
              <w:t>3.3408</w:t>
            </w:r>
          </w:p>
        </w:tc>
        <w:tc>
          <w:tcPr>
            <w:tcW w:w="999" w:type="dxa"/>
          </w:tcPr>
          <w:p w14:paraId="5F3C52B9" w14:textId="77777777" w:rsidR="00FB2FA1" w:rsidRPr="0058614C" w:rsidRDefault="0058614C" w:rsidP="002106A6">
            <w:pPr>
              <w:keepNext/>
              <w:keepLines/>
              <w:spacing w:before="40" w:after="40"/>
              <w:jc w:val="right"/>
            </w:pPr>
            <w:r>
              <w:t>3.3408</w:t>
            </w:r>
          </w:p>
        </w:tc>
        <w:tc>
          <w:tcPr>
            <w:tcW w:w="1044" w:type="dxa"/>
          </w:tcPr>
          <w:p w14:paraId="283E6A89" w14:textId="77777777" w:rsidR="00FB2FA1" w:rsidRPr="0058614C" w:rsidRDefault="0058614C" w:rsidP="002106A6">
            <w:pPr>
              <w:keepNext/>
              <w:keepLines/>
              <w:spacing w:before="40" w:after="40"/>
              <w:jc w:val="right"/>
            </w:pPr>
            <w:r>
              <w:t>3.3408</w:t>
            </w:r>
          </w:p>
        </w:tc>
        <w:tc>
          <w:tcPr>
            <w:tcW w:w="898" w:type="dxa"/>
          </w:tcPr>
          <w:p w14:paraId="7D89CFC0" w14:textId="77777777" w:rsidR="00FB2FA1" w:rsidRPr="0058614C" w:rsidRDefault="0058614C" w:rsidP="002106A6">
            <w:pPr>
              <w:keepNext/>
              <w:keepLines/>
              <w:spacing w:before="40" w:after="40"/>
              <w:jc w:val="right"/>
            </w:pPr>
            <w:r>
              <w:t>16.704</w:t>
            </w:r>
          </w:p>
        </w:tc>
      </w:tr>
      <w:tr w:rsidR="00FB2FA1" w14:paraId="3994574D" w14:textId="77777777" w:rsidTr="0058614C">
        <w:trPr>
          <w:cantSplit/>
        </w:trPr>
        <w:tc>
          <w:tcPr>
            <w:tcW w:w="3686" w:type="dxa"/>
          </w:tcPr>
          <w:p w14:paraId="6AA2D168" w14:textId="294F0C3A" w:rsidR="00FB2FA1" w:rsidRPr="00FB2FA1" w:rsidRDefault="00FB2FA1" w:rsidP="00804AEB">
            <w:pPr>
              <w:keepNext/>
              <w:keepLines/>
              <w:spacing w:before="60" w:after="60"/>
              <w:ind w:left="321"/>
              <w:jc w:val="left"/>
            </w:pPr>
            <w:r>
              <w:t>Western Australia</w:t>
            </w:r>
            <w:r w:rsidR="004D5739">
              <w:t xml:space="preserve"> </w:t>
            </w:r>
          </w:p>
        </w:tc>
        <w:tc>
          <w:tcPr>
            <w:tcW w:w="992" w:type="dxa"/>
          </w:tcPr>
          <w:p w14:paraId="034867CA" w14:textId="77777777" w:rsidR="00FB2FA1" w:rsidRPr="0058614C" w:rsidRDefault="0058614C" w:rsidP="002106A6">
            <w:pPr>
              <w:keepNext/>
              <w:keepLines/>
              <w:spacing w:before="40" w:after="40"/>
              <w:jc w:val="right"/>
            </w:pPr>
            <w:r>
              <w:t>2.5056</w:t>
            </w:r>
          </w:p>
        </w:tc>
        <w:tc>
          <w:tcPr>
            <w:tcW w:w="992" w:type="dxa"/>
          </w:tcPr>
          <w:p w14:paraId="0BC25E2B" w14:textId="77777777" w:rsidR="00FB2FA1" w:rsidRPr="0058614C" w:rsidRDefault="0058614C" w:rsidP="002106A6">
            <w:pPr>
              <w:keepNext/>
              <w:keepLines/>
              <w:spacing w:before="40" w:after="40"/>
              <w:jc w:val="right"/>
            </w:pPr>
            <w:r>
              <w:t>2.5056</w:t>
            </w:r>
          </w:p>
        </w:tc>
        <w:tc>
          <w:tcPr>
            <w:tcW w:w="1027" w:type="dxa"/>
          </w:tcPr>
          <w:p w14:paraId="3AA34A6D" w14:textId="77777777" w:rsidR="00FB2FA1" w:rsidRPr="0058614C" w:rsidRDefault="0058614C" w:rsidP="002106A6">
            <w:pPr>
              <w:keepNext/>
              <w:keepLines/>
              <w:spacing w:before="40" w:after="40"/>
              <w:jc w:val="right"/>
            </w:pPr>
            <w:r>
              <w:t>2.5056</w:t>
            </w:r>
          </w:p>
        </w:tc>
        <w:tc>
          <w:tcPr>
            <w:tcW w:w="999" w:type="dxa"/>
          </w:tcPr>
          <w:p w14:paraId="256B07EA" w14:textId="77777777" w:rsidR="00FB2FA1" w:rsidRPr="0058614C" w:rsidRDefault="0058614C" w:rsidP="002106A6">
            <w:pPr>
              <w:keepNext/>
              <w:keepLines/>
              <w:spacing w:before="40" w:after="40"/>
              <w:jc w:val="right"/>
            </w:pPr>
            <w:r>
              <w:t>2.5056</w:t>
            </w:r>
          </w:p>
        </w:tc>
        <w:tc>
          <w:tcPr>
            <w:tcW w:w="1044" w:type="dxa"/>
          </w:tcPr>
          <w:p w14:paraId="161B5BC6" w14:textId="77777777" w:rsidR="00FB2FA1" w:rsidRPr="0058614C" w:rsidRDefault="0058614C" w:rsidP="002106A6">
            <w:pPr>
              <w:keepNext/>
              <w:keepLines/>
              <w:spacing w:before="40" w:after="40"/>
              <w:jc w:val="right"/>
            </w:pPr>
            <w:r>
              <w:t>2.5056</w:t>
            </w:r>
          </w:p>
        </w:tc>
        <w:tc>
          <w:tcPr>
            <w:tcW w:w="898" w:type="dxa"/>
          </w:tcPr>
          <w:p w14:paraId="329C8483" w14:textId="77777777" w:rsidR="00FB2FA1" w:rsidRPr="0058614C" w:rsidRDefault="0058614C" w:rsidP="002106A6">
            <w:pPr>
              <w:keepNext/>
              <w:keepLines/>
              <w:spacing w:before="40" w:after="40"/>
              <w:jc w:val="right"/>
            </w:pPr>
            <w:r>
              <w:t>12.528</w:t>
            </w:r>
          </w:p>
        </w:tc>
      </w:tr>
      <w:tr w:rsidR="00FB2FA1" w14:paraId="4CCE9DB4" w14:textId="77777777" w:rsidTr="0058614C">
        <w:trPr>
          <w:cantSplit/>
        </w:trPr>
        <w:tc>
          <w:tcPr>
            <w:tcW w:w="3686" w:type="dxa"/>
          </w:tcPr>
          <w:p w14:paraId="0AE60A47" w14:textId="1F157A39" w:rsidR="00FB2FA1" w:rsidRPr="00FB2FA1" w:rsidRDefault="00FB2FA1" w:rsidP="00804AEB">
            <w:pPr>
              <w:keepNext/>
              <w:keepLines/>
              <w:spacing w:before="60" w:after="60"/>
              <w:ind w:left="321"/>
              <w:jc w:val="left"/>
            </w:pPr>
            <w:r>
              <w:t>South Australia</w:t>
            </w:r>
            <w:r w:rsidR="004D5739">
              <w:t xml:space="preserve"> </w:t>
            </w:r>
          </w:p>
        </w:tc>
        <w:tc>
          <w:tcPr>
            <w:tcW w:w="992" w:type="dxa"/>
          </w:tcPr>
          <w:p w14:paraId="36250F73" w14:textId="77777777" w:rsidR="00FB2FA1" w:rsidRPr="0058614C" w:rsidRDefault="0058614C" w:rsidP="002106A6">
            <w:pPr>
              <w:keepNext/>
              <w:keepLines/>
              <w:spacing w:before="40" w:after="40"/>
              <w:jc w:val="right"/>
            </w:pPr>
            <w:r>
              <w:t>1.6704</w:t>
            </w:r>
          </w:p>
        </w:tc>
        <w:tc>
          <w:tcPr>
            <w:tcW w:w="992" w:type="dxa"/>
          </w:tcPr>
          <w:p w14:paraId="46CE7775" w14:textId="77777777" w:rsidR="00FB2FA1" w:rsidRPr="0058614C" w:rsidRDefault="0058614C" w:rsidP="002106A6">
            <w:pPr>
              <w:keepNext/>
              <w:keepLines/>
              <w:spacing w:before="40" w:after="40"/>
              <w:jc w:val="right"/>
            </w:pPr>
            <w:r>
              <w:t>1.6704</w:t>
            </w:r>
          </w:p>
        </w:tc>
        <w:tc>
          <w:tcPr>
            <w:tcW w:w="1027" w:type="dxa"/>
          </w:tcPr>
          <w:p w14:paraId="79C9A4AF" w14:textId="77777777" w:rsidR="00FB2FA1" w:rsidRPr="0058614C" w:rsidRDefault="0058614C" w:rsidP="002106A6">
            <w:pPr>
              <w:keepNext/>
              <w:keepLines/>
              <w:spacing w:before="40" w:after="40"/>
              <w:jc w:val="right"/>
            </w:pPr>
            <w:r>
              <w:t>1.6704</w:t>
            </w:r>
          </w:p>
        </w:tc>
        <w:tc>
          <w:tcPr>
            <w:tcW w:w="999" w:type="dxa"/>
          </w:tcPr>
          <w:p w14:paraId="47BFBDF7" w14:textId="77777777" w:rsidR="00FB2FA1" w:rsidRPr="0058614C" w:rsidRDefault="0058614C" w:rsidP="002106A6">
            <w:pPr>
              <w:keepNext/>
              <w:keepLines/>
              <w:spacing w:before="40" w:after="40"/>
              <w:jc w:val="right"/>
            </w:pPr>
            <w:r>
              <w:t>1.6704</w:t>
            </w:r>
          </w:p>
        </w:tc>
        <w:tc>
          <w:tcPr>
            <w:tcW w:w="1044" w:type="dxa"/>
          </w:tcPr>
          <w:p w14:paraId="21E79841" w14:textId="77777777" w:rsidR="00FB2FA1" w:rsidRPr="0058614C" w:rsidRDefault="0058614C" w:rsidP="002106A6">
            <w:pPr>
              <w:keepNext/>
              <w:keepLines/>
              <w:spacing w:before="40" w:after="40"/>
              <w:jc w:val="right"/>
            </w:pPr>
            <w:r>
              <w:t>1.6704</w:t>
            </w:r>
          </w:p>
        </w:tc>
        <w:tc>
          <w:tcPr>
            <w:tcW w:w="898" w:type="dxa"/>
          </w:tcPr>
          <w:p w14:paraId="4CC8C231" w14:textId="77777777" w:rsidR="00FB2FA1" w:rsidRPr="0058614C" w:rsidRDefault="0058614C" w:rsidP="002106A6">
            <w:pPr>
              <w:keepNext/>
              <w:keepLines/>
              <w:spacing w:before="40" w:after="40"/>
              <w:jc w:val="right"/>
            </w:pPr>
            <w:r>
              <w:t>8.352</w:t>
            </w:r>
          </w:p>
        </w:tc>
      </w:tr>
      <w:tr w:rsidR="00FB2FA1" w14:paraId="715F0009" w14:textId="77777777" w:rsidTr="0058614C">
        <w:trPr>
          <w:cantSplit/>
        </w:trPr>
        <w:tc>
          <w:tcPr>
            <w:tcW w:w="3686" w:type="dxa"/>
          </w:tcPr>
          <w:p w14:paraId="2D84DC4E" w14:textId="30909B9C" w:rsidR="00FB2FA1" w:rsidRPr="00FB2FA1" w:rsidRDefault="00FB2FA1" w:rsidP="00804AEB">
            <w:pPr>
              <w:keepNext/>
              <w:keepLines/>
              <w:spacing w:before="60" w:after="60"/>
              <w:ind w:left="321"/>
              <w:jc w:val="left"/>
            </w:pPr>
            <w:r>
              <w:t>Tasmania</w:t>
            </w:r>
            <w:r w:rsidR="004D5739">
              <w:t xml:space="preserve"> </w:t>
            </w:r>
          </w:p>
        </w:tc>
        <w:tc>
          <w:tcPr>
            <w:tcW w:w="992" w:type="dxa"/>
          </w:tcPr>
          <w:p w14:paraId="5D0474FA" w14:textId="77777777" w:rsidR="00FB2FA1" w:rsidRPr="0058614C" w:rsidRDefault="0058614C" w:rsidP="002106A6">
            <w:pPr>
              <w:keepNext/>
              <w:keepLines/>
              <w:spacing w:before="40" w:after="40"/>
              <w:jc w:val="right"/>
            </w:pPr>
            <w:r>
              <w:t>1.044</w:t>
            </w:r>
          </w:p>
        </w:tc>
        <w:tc>
          <w:tcPr>
            <w:tcW w:w="992" w:type="dxa"/>
          </w:tcPr>
          <w:p w14:paraId="0F087018" w14:textId="77777777" w:rsidR="00FB2FA1" w:rsidRPr="0058614C" w:rsidRDefault="0058614C" w:rsidP="002106A6">
            <w:pPr>
              <w:keepNext/>
              <w:keepLines/>
              <w:spacing w:before="40" w:after="40"/>
              <w:jc w:val="right"/>
            </w:pPr>
            <w:r>
              <w:t>1.044</w:t>
            </w:r>
          </w:p>
        </w:tc>
        <w:tc>
          <w:tcPr>
            <w:tcW w:w="1027" w:type="dxa"/>
          </w:tcPr>
          <w:p w14:paraId="51C0F0F4" w14:textId="77777777" w:rsidR="00FB2FA1" w:rsidRPr="0058614C" w:rsidRDefault="0058614C" w:rsidP="002106A6">
            <w:pPr>
              <w:keepNext/>
              <w:keepLines/>
              <w:spacing w:before="40" w:after="40"/>
              <w:jc w:val="right"/>
            </w:pPr>
            <w:r>
              <w:t>1.044</w:t>
            </w:r>
          </w:p>
        </w:tc>
        <w:tc>
          <w:tcPr>
            <w:tcW w:w="999" w:type="dxa"/>
          </w:tcPr>
          <w:p w14:paraId="71E8AF3B" w14:textId="77777777" w:rsidR="00FB2FA1" w:rsidRPr="0058614C" w:rsidRDefault="0058614C" w:rsidP="002106A6">
            <w:pPr>
              <w:keepNext/>
              <w:keepLines/>
              <w:spacing w:before="40" w:after="40"/>
              <w:jc w:val="right"/>
            </w:pPr>
            <w:r>
              <w:t>1.044</w:t>
            </w:r>
          </w:p>
        </w:tc>
        <w:tc>
          <w:tcPr>
            <w:tcW w:w="1044" w:type="dxa"/>
          </w:tcPr>
          <w:p w14:paraId="06976E89" w14:textId="77777777" w:rsidR="00FB2FA1" w:rsidRPr="0058614C" w:rsidRDefault="0058614C" w:rsidP="002106A6">
            <w:pPr>
              <w:keepNext/>
              <w:keepLines/>
              <w:spacing w:before="40" w:after="40"/>
              <w:jc w:val="right"/>
            </w:pPr>
            <w:r>
              <w:t>1.044</w:t>
            </w:r>
          </w:p>
        </w:tc>
        <w:tc>
          <w:tcPr>
            <w:tcW w:w="898" w:type="dxa"/>
          </w:tcPr>
          <w:p w14:paraId="7A783A3C" w14:textId="77777777" w:rsidR="00FB2FA1" w:rsidRPr="0058614C" w:rsidRDefault="0058614C" w:rsidP="002106A6">
            <w:pPr>
              <w:keepNext/>
              <w:keepLines/>
              <w:spacing w:before="40" w:after="40"/>
              <w:jc w:val="right"/>
            </w:pPr>
            <w:r>
              <w:t>5.22</w:t>
            </w:r>
          </w:p>
        </w:tc>
      </w:tr>
      <w:tr w:rsidR="00FB2FA1" w14:paraId="4C3CBBA3" w14:textId="77777777" w:rsidTr="0058614C">
        <w:trPr>
          <w:cantSplit/>
        </w:trPr>
        <w:tc>
          <w:tcPr>
            <w:tcW w:w="3686" w:type="dxa"/>
          </w:tcPr>
          <w:p w14:paraId="64915D5E" w14:textId="65366F0A" w:rsidR="00FB2FA1" w:rsidRPr="00FB2FA1" w:rsidRDefault="00FB2FA1" w:rsidP="00804AEB">
            <w:pPr>
              <w:keepNext/>
              <w:keepLines/>
              <w:spacing w:before="60" w:after="60"/>
              <w:ind w:left="321"/>
              <w:jc w:val="left"/>
            </w:pPr>
            <w:r>
              <w:t>Australian Capital Territory</w:t>
            </w:r>
            <w:r w:rsidR="004D5739">
              <w:t xml:space="preserve"> </w:t>
            </w:r>
          </w:p>
        </w:tc>
        <w:tc>
          <w:tcPr>
            <w:tcW w:w="992" w:type="dxa"/>
          </w:tcPr>
          <w:p w14:paraId="37B7C1FB" w14:textId="77777777" w:rsidR="00FB2FA1" w:rsidRPr="0058614C" w:rsidRDefault="0058614C" w:rsidP="002106A6">
            <w:pPr>
              <w:keepNext/>
              <w:keepLines/>
              <w:spacing w:before="40" w:after="40"/>
              <w:jc w:val="right"/>
            </w:pPr>
            <w:r>
              <w:t>1.044</w:t>
            </w:r>
          </w:p>
        </w:tc>
        <w:tc>
          <w:tcPr>
            <w:tcW w:w="992" w:type="dxa"/>
          </w:tcPr>
          <w:p w14:paraId="1F998411" w14:textId="77777777" w:rsidR="00FB2FA1" w:rsidRPr="0058614C" w:rsidRDefault="0058614C" w:rsidP="002106A6">
            <w:pPr>
              <w:keepNext/>
              <w:keepLines/>
              <w:spacing w:before="40" w:after="40"/>
              <w:jc w:val="right"/>
            </w:pPr>
            <w:r>
              <w:t>1.044</w:t>
            </w:r>
          </w:p>
        </w:tc>
        <w:tc>
          <w:tcPr>
            <w:tcW w:w="1027" w:type="dxa"/>
          </w:tcPr>
          <w:p w14:paraId="5F6C3765" w14:textId="77777777" w:rsidR="00FB2FA1" w:rsidRPr="0058614C" w:rsidRDefault="0058614C" w:rsidP="002106A6">
            <w:pPr>
              <w:keepNext/>
              <w:keepLines/>
              <w:spacing w:before="40" w:after="40"/>
              <w:jc w:val="right"/>
            </w:pPr>
            <w:r>
              <w:t>1.044</w:t>
            </w:r>
          </w:p>
        </w:tc>
        <w:tc>
          <w:tcPr>
            <w:tcW w:w="999" w:type="dxa"/>
          </w:tcPr>
          <w:p w14:paraId="559618DF" w14:textId="77777777" w:rsidR="00FB2FA1" w:rsidRPr="0058614C" w:rsidRDefault="0058614C" w:rsidP="002106A6">
            <w:pPr>
              <w:keepNext/>
              <w:keepLines/>
              <w:spacing w:before="40" w:after="40"/>
              <w:jc w:val="right"/>
            </w:pPr>
            <w:r>
              <w:t>1.044</w:t>
            </w:r>
          </w:p>
        </w:tc>
        <w:tc>
          <w:tcPr>
            <w:tcW w:w="1044" w:type="dxa"/>
          </w:tcPr>
          <w:p w14:paraId="7A451486" w14:textId="77777777" w:rsidR="00FB2FA1" w:rsidRPr="0058614C" w:rsidRDefault="0058614C" w:rsidP="002106A6">
            <w:pPr>
              <w:keepNext/>
              <w:keepLines/>
              <w:spacing w:before="40" w:after="40"/>
              <w:jc w:val="right"/>
            </w:pPr>
            <w:r>
              <w:t>1.044</w:t>
            </w:r>
          </w:p>
        </w:tc>
        <w:tc>
          <w:tcPr>
            <w:tcW w:w="898" w:type="dxa"/>
          </w:tcPr>
          <w:p w14:paraId="47316000" w14:textId="77777777" w:rsidR="00FB2FA1" w:rsidRPr="0058614C" w:rsidRDefault="0058614C" w:rsidP="002106A6">
            <w:pPr>
              <w:keepNext/>
              <w:keepLines/>
              <w:spacing w:before="40" w:after="40"/>
              <w:jc w:val="right"/>
            </w:pPr>
            <w:r>
              <w:t>5.22</w:t>
            </w:r>
          </w:p>
        </w:tc>
      </w:tr>
      <w:tr w:rsidR="00FB2FA1" w14:paraId="0A7D97CA" w14:textId="77777777" w:rsidTr="0058614C">
        <w:trPr>
          <w:cantSplit/>
        </w:trPr>
        <w:tc>
          <w:tcPr>
            <w:tcW w:w="3686" w:type="dxa"/>
          </w:tcPr>
          <w:p w14:paraId="50F73BAC" w14:textId="184B8800" w:rsidR="00FB2FA1" w:rsidRPr="00FB2FA1" w:rsidRDefault="00FB2FA1" w:rsidP="00804AEB">
            <w:pPr>
              <w:keepNext/>
              <w:keepLines/>
              <w:spacing w:before="60" w:after="60"/>
              <w:ind w:left="321"/>
              <w:jc w:val="left"/>
            </w:pPr>
            <w:r>
              <w:t>Northern Territory</w:t>
            </w:r>
            <w:r w:rsidR="004D5739">
              <w:t xml:space="preserve"> </w:t>
            </w:r>
          </w:p>
        </w:tc>
        <w:tc>
          <w:tcPr>
            <w:tcW w:w="992" w:type="dxa"/>
          </w:tcPr>
          <w:p w14:paraId="37B91F0F" w14:textId="77777777" w:rsidR="00FB2FA1" w:rsidRPr="0058614C" w:rsidRDefault="0058614C" w:rsidP="002106A6">
            <w:pPr>
              <w:keepNext/>
              <w:keepLines/>
              <w:spacing w:before="40" w:after="40"/>
              <w:jc w:val="right"/>
            </w:pPr>
            <w:r>
              <w:t>1.044</w:t>
            </w:r>
          </w:p>
        </w:tc>
        <w:tc>
          <w:tcPr>
            <w:tcW w:w="992" w:type="dxa"/>
          </w:tcPr>
          <w:p w14:paraId="53E959AA" w14:textId="77777777" w:rsidR="00FB2FA1" w:rsidRPr="0058614C" w:rsidRDefault="0058614C" w:rsidP="002106A6">
            <w:pPr>
              <w:keepNext/>
              <w:keepLines/>
              <w:spacing w:before="40" w:after="40"/>
              <w:jc w:val="right"/>
            </w:pPr>
            <w:r>
              <w:t>1.044</w:t>
            </w:r>
          </w:p>
        </w:tc>
        <w:tc>
          <w:tcPr>
            <w:tcW w:w="1027" w:type="dxa"/>
          </w:tcPr>
          <w:p w14:paraId="3A21B915" w14:textId="77777777" w:rsidR="00FB2FA1" w:rsidRPr="0058614C" w:rsidRDefault="0058614C" w:rsidP="002106A6">
            <w:pPr>
              <w:keepNext/>
              <w:keepLines/>
              <w:spacing w:before="40" w:after="40"/>
              <w:jc w:val="right"/>
            </w:pPr>
            <w:r>
              <w:t>1.044</w:t>
            </w:r>
          </w:p>
        </w:tc>
        <w:tc>
          <w:tcPr>
            <w:tcW w:w="999" w:type="dxa"/>
          </w:tcPr>
          <w:p w14:paraId="3AC62ACE" w14:textId="77777777" w:rsidR="00FB2FA1" w:rsidRPr="0058614C" w:rsidRDefault="0058614C" w:rsidP="002106A6">
            <w:pPr>
              <w:keepNext/>
              <w:keepLines/>
              <w:spacing w:before="40" w:after="40"/>
              <w:jc w:val="right"/>
            </w:pPr>
            <w:r>
              <w:t>1.044</w:t>
            </w:r>
          </w:p>
        </w:tc>
        <w:tc>
          <w:tcPr>
            <w:tcW w:w="1044" w:type="dxa"/>
          </w:tcPr>
          <w:p w14:paraId="5F64E1F2" w14:textId="77777777" w:rsidR="00FB2FA1" w:rsidRPr="0058614C" w:rsidRDefault="0058614C" w:rsidP="002106A6">
            <w:pPr>
              <w:keepNext/>
              <w:keepLines/>
              <w:spacing w:before="40" w:after="40"/>
              <w:jc w:val="right"/>
            </w:pPr>
            <w:r>
              <w:t>1.044</w:t>
            </w:r>
          </w:p>
        </w:tc>
        <w:tc>
          <w:tcPr>
            <w:tcW w:w="898" w:type="dxa"/>
          </w:tcPr>
          <w:p w14:paraId="3C3CFB33" w14:textId="77777777" w:rsidR="00FB2FA1" w:rsidRPr="0058614C" w:rsidRDefault="0058614C" w:rsidP="002106A6">
            <w:pPr>
              <w:keepNext/>
              <w:keepLines/>
              <w:spacing w:before="40" w:after="40"/>
              <w:jc w:val="right"/>
            </w:pPr>
            <w:r>
              <w:t>5.22</w:t>
            </w:r>
          </w:p>
        </w:tc>
      </w:tr>
      <w:tr w:rsidR="00FB2FA1" w14:paraId="2D146A8D" w14:textId="77777777" w:rsidTr="0058614C">
        <w:trPr>
          <w:cantSplit/>
        </w:trPr>
        <w:tc>
          <w:tcPr>
            <w:tcW w:w="3686" w:type="dxa"/>
          </w:tcPr>
          <w:p w14:paraId="0F34E612" w14:textId="77777777" w:rsidR="00FB2FA1" w:rsidRDefault="00FB2FA1" w:rsidP="00775C1A">
            <w:pPr>
              <w:keepNext/>
              <w:keepLines/>
              <w:spacing w:before="40" w:after="40"/>
              <w:jc w:val="left"/>
            </w:pPr>
            <w:r>
              <w:t>Commonwealth own purpose expense (3)</w:t>
            </w:r>
          </w:p>
        </w:tc>
        <w:tc>
          <w:tcPr>
            <w:tcW w:w="992" w:type="dxa"/>
            <w:tcBorders>
              <w:bottom w:val="single" w:sz="4" w:space="0" w:color="000080"/>
            </w:tcBorders>
          </w:tcPr>
          <w:p w14:paraId="7B6AF12A" w14:textId="77777777" w:rsidR="00FB2FA1" w:rsidRPr="0058614C" w:rsidRDefault="0058614C" w:rsidP="00FB2FA1">
            <w:pPr>
              <w:keepNext/>
              <w:keepLines/>
              <w:spacing w:before="40" w:after="40"/>
              <w:jc w:val="right"/>
            </w:pPr>
            <w:r>
              <w:t>0.0</w:t>
            </w:r>
          </w:p>
        </w:tc>
        <w:tc>
          <w:tcPr>
            <w:tcW w:w="992" w:type="dxa"/>
            <w:tcBorders>
              <w:bottom w:val="single" w:sz="4" w:space="0" w:color="000080"/>
            </w:tcBorders>
          </w:tcPr>
          <w:p w14:paraId="50B2D40A" w14:textId="77777777" w:rsidR="00FB2FA1" w:rsidRPr="0058614C" w:rsidRDefault="0058614C" w:rsidP="00775C1A">
            <w:pPr>
              <w:keepNext/>
              <w:keepLines/>
              <w:spacing w:before="40" w:after="40"/>
              <w:jc w:val="right"/>
            </w:pPr>
            <w:r>
              <w:t>0.0</w:t>
            </w:r>
          </w:p>
        </w:tc>
        <w:tc>
          <w:tcPr>
            <w:tcW w:w="1027" w:type="dxa"/>
            <w:tcBorders>
              <w:bottom w:val="single" w:sz="4" w:space="0" w:color="000080"/>
            </w:tcBorders>
          </w:tcPr>
          <w:p w14:paraId="777D602B" w14:textId="77777777" w:rsidR="00FB2FA1" w:rsidRPr="0058614C" w:rsidRDefault="0058614C" w:rsidP="002106A6">
            <w:pPr>
              <w:keepNext/>
              <w:keepLines/>
              <w:spacing w:before="40" w:after="40"/>
              <w:jc w:val="right"/>
            </w:pPr>
            <w:r>
              <w:t>0.0</w:t>
            </w:r>
          </w:p>
        </w:tc>
        <w:tc>
          <w:tcPr>
            <w:tcW w:w="999" w:type="dxa"/>
            <w:tcBorders>
              <w:bottom w:val="single" w:sz="4" w:space="0" w:color="000080"/>
            </w:tcBorders>
          </w:tcPr>
          <w:p w14:paraId="1FDF37FA" w14:textId="77777777" w:rsidR="00FB2FA1" w:rsidRPr="0058614C" w:rsidRDefault="0058614C" w:rsidP="002106A6">
            <w:pPr>
              <w:keepNext/>
              <w:keepLines/>
              <w:spacing w:before="40" w:after="40"/>
              <w:jc w:val="right"/>
            </w:pPr>
            <w:r>
              <w:t>0.0</w:t>
            </w:r>
          </w:p>
        </w:tc>
        <w:tc>
          <w:tcPr>
            <w:tcW w:w="1044" w:type="dxa"/>
            <w:tcBorders>
              <w:bottom w:val="single" w:sz="4" w:space="0" w:color="000080"/>
            </w:tcBorders>
          </w:tcPr>
          <w:p w14:paraId="51732A17" w14:textId="77777777" w:rsidR="00FB2FA1" w:rsidRPr="0058614C" w:rsidRDefault="0058614C" w:rsidP="002106A6">
            <w:pPr>
              <w:keepNext/>
              <w:keepLines/>
              <w:spacing w:before="40" w:after="40"/>
              <w:jc w:val="right"/>
            </w:pPr>
            <w:r>
              <w:t>0.0</w:t>
            </w:r>
          </w:p>
        </w:tc>
        <w:tc>
          <w:tcPr>
            <w:tcW w:w="898" w:type="dxa"/>
            <w:tcBorders>
              <w:bottom w:val="single" w:sz="4" w:space="0" w:color="000080"/>
            </w:tcBorders>
          </w:tcPr>
          <w:p w14:paraId="4A229E01" w14:textId="77777777" w:rsidR="00FB2FA1" w:rsidRPr="0058614C" w:rsidRDefault="0058614C" w:rsidP="002106A6">
            <w:pPr>
              <w:keepNext/>
              <w:keepLines/>
              <w:spacing w:before="40" w:after="40"/>
              <w:jc w:val="right"/>
            </w:pPr>
            <w:r>
              <w:t>0.0</w:t>
            </w:r>
          </w:p>
        </w:tc>
      </w:tr>
      <w:tr w:rsidR="00FB2FA1" w14:paraId="028F7BD9" w14:textId="77777777" w:rsidTr="0058614C">
        <w:trPr>
          <w:cantSplit/>
        </w:trPr>
        <w:tc>
          <w:tcPr>
            <w:tcW w:w="3686" w:type="dxa"/>
          </w:tcPr>
          <w:p w14:paraId="03486311" w14:textId="77777777" w:rsidR="00FB2FA1" w:rsidRPr="00E92C8A" w:rsidRDefault="00FB2FA1" w:rsidP="00775C1A">
            <w:pPr>
              <w:keepNext/>
              <w:keepLines/>
              <w:spacing w:before="40" w:after="40"/>
              <w:jc w:val="left"/>
            </w:pPr>
            <w:r>
              <w:t xml:space="preserve">Total </w:t>
            </w:r>
            <w:r w:rsidRPr="00A3212A">
              <w:t xml:space="preserve">Commonwealth contribution </w:t>
            </w:r>
            <w:r>
              <w:br/>
              <w:t>(4) = (2) + (3)</w:t>
            </w:r>
          </w:p>
        </w:tc>
        <w:tc>
          <w:tcPr>
            <w:tcW w:w="992" w:type="dxa"/>
            <w:tcBorders>
              <w:top w:val="single" w:sz="4" w:space="0" w:color="000080"/>
              <w:bottom w:val="single" w:sz="4" w:space="0" w:color="000080"/>
            </w:tcBorders>
          </w:tcPr>
          <w:p w14:paraId="0B0D2D5D" w14:textId="77777777" w:rsidR="00FB2FA1" w:rsidRPr="0058614C" w:rsidRDefault="0058614C" w:rsidP="002106A6">
            <w:pPr>
              <w:keepNext/>
              <w:keepLines/>
              <w:spacing w:before="40" w:after="40"/>
              <w:jc w:val="right"/>
            </w:pPr>
            <w:r>
              <w:t>20.88</w:t>
            </w:r>
          </w:p>
        </w:tc>
        <w:tc>
          <w:tcPr>
            <w:tcW w:w="992" w:type="dxa"/>
            <w:tcBorders>
              <w:top w:val="single" w:sz="4" w:space="0" w:color="000080"/>
              <w:bottom w:val="single" w:sz="4" w:space="0" w:color="000080"/>
            </w:tcBorders>
          </w:tcPr>
          <w:p w14:paraId="13920662" w14:textId="77777777" w:rsidR="00FB2FA1" w:rsidRPr="0058614C" w:rsidRDefault="0058614C" w:rsidP="002106A6">
            <w:pPr>
              <w:keepNext/>
              <w:keepLines/>
              <w:spacing w:before="40" w:after="40"/>
              <w:jc w:val="right"/>
            </w:pPr>
            <w:r>
              <w:t>20.88</w:t>
            </w:r>
          </w:p>
        </w:tc>
        <w:tc>
          <w:tcPr>
            <w:tcW w:w="1027" w:type="dxa"/>
            <w:tcBorders>
              <w:top w:val="single" w:sz="4" w:space="0" w:color="000080"/>
              <w:bottom w:val="single" w:sz="4" w:space="0" w:color="000080"/>
            </w:tcBorders>
          </w:tcPr>
          <w:p w14:paraId="640B8D8B" w14:textId="77777777" w:rsidR="00FB2FA1" w:rsidRPr="0058614C" w:rsidRDefault="0058614C" w:rsidP="002106A6">
            <w:pPr>
              <w:keepNext/>
              <w:keepLines/>
              <w:spacing w:before="40" w:after="40"/>
              <w:jc w:val="right"/>
            </w:pPr>
            <w:r>
              <w:t>20.88</w:t>
            </w:r>
          </w:p>
        </w:tc>
        <w:tc>
          <w:tcPr>
            <w:tcW w:w="999" w:type="dxa"/>
            <w:tcBorders>
              <w:top w:val="single" w:sz="4" w:space="0" w:color="000080"/>
              <w:bottom w:val="single" w:sz="4" w:space="0" w:color="000080"/>
            </w:tcBorders>
          </w:tcPr>
          <w:p w14:paraId="2A42080B" w14:textId="77777777" w:rsidR="00FB2FA1" w:rsidRPr="0058614C" w:rsidRDefault="0058614C" w:rsidP="00775C1A">
            <w:pPr>
              <w:keepNext/>
              <w:keepLines/>
              <w:spacing w:before="40" w:after="40"/>
              <w:jc w:val="right"/>
            </w:pPr>
            <w:r>
              <w:t>20.88</w:t>
            </w:r>
          </w:p>
        </w:tc>
        <w:tc>
          <w:tcPr>
            <w:tcW w:w="1044" w:type="dxa"/>
            <w:tcBorders>
              <w:top w:val="single" w:sz="4" w:space="0" w:color="000080"/>
              <w:bottom w:val="single" w:sz="4" w:space="0" w:color="000080"/>
            </w:tcBorders>
          </w:tcPr>
          <w:p w14:paraId="423B576D" w14:textId="77777777" w:rsidR="00FB2FA1" w:rsidRPr="0058614C" w:rsidRDefault="0058614C" w:rsidP="00775C1A">
            <w:pPr>
              <w:keepNext/>
              <w:keepLines/>
              <w:spacing w:before="40" w:after="40"/>
              <w:jc w:val="right"/>
            </w:pPr>
            <w:r>
              <w:t>20.88</w:t>
            </w:r>
          </w:p>
        </w:tc>
        <w:tc>
          <w:tcPr>
            <w:tcW w:w="898" w:type="dxa"/>
            <w:tcBorders>
              <w:top w:val="single" w:sz="4" w:space="0" w:color="000080"/>
              <w:bottom w:val="single" w:sz="4" w:space="0" w:color="000080"/>
            </w:tcBorders>
          </w:tcPr>
          <w:p w14:paraId="7995CABC" w14:textId="77777777" w:rsidR="00FB2FA1" w:rsidRPr="0058614C" w:rsidRDefault="00314677" w:rsidP="00775C1A">
            <w:pPr>
              <w:keepNext/>
              <w:keepLines/>
              <w:spacing w:before="40" w:after="40"/>
              <w:jc w:val="right"/>
            </w:pPr>
            <w:r>
              <w:t>104.4</w:t>
            </w:r>
          </w:p>
        </w:tc>
      </w:tr>
      <w:tr w:rsidR="00FB2FA1" w14:paraId="6B757563" w14:textId="77777777" w:rsidTr="0058614C">
        <w:trPr>
          <w:cantSplit/>
        </w:trPr>
        <w:tc>
          <w:tcPr>
            <w:tcW w:w="3686" w:type="dxa"/>
            <w:tcBorders>
              <w:bottom w:val="single" w:sz="4" w:space="0" w:color="000080"/>
            </w:tcBorders>
          </w:tcPr>
          <w:p w14:paraId="558ED686" w14:textId="77777777" w:rsidR="00FB2FA1" w:rsidRDefault="00FB2FA1" w:rsidP="00775C1A">
            <w:pPr>
              <w:keepNext/>
              <w:keepLines/>
              <w:spacing w:before="40" w:after="40"/>
              <w:jc w:val="left"/>
            </w:pPr>
            <w:r>
              <w:t xml:space="preserve">Balance of non-Commonwealth contributions </w:t>
            </w:r>
            <w:r>
              <w:br/>
              <w:t xml:space="preserve">(5) = (1) – (4) </w:t>
            </w:r>
          </w:p>
        </w:tc>
        <w:tc>
          <w:tcPr>
            <w:tcW w:w="992" w:type="dxa"/>
            <w:tcBorders>
              <w:top w:val="single" w:sz="4" w:space="0" w:color="000080"/>
              <w:bottom w:val="single" w:sz="4" w:space="0" w:color="000080"/>
            </w:tcBorders>
          </w:tcPr>
          <w:p w14:paraId="63C8B057" w14:textId="77777777" w:rsidR="00FB2FA1" w:rsidRPr="0058614C" w:rsidRDefault="00314677" w:rsidP="002106A6">
            <w:pPr>
              <w:keepNext/>
              <w:keepLines/>
              <w:spacing w:before="40" w:after="40"/>
              <w:jc w:val="right"/>
            </w:pPr>
            <w:r>
              <w:t>20.88</w:t>
            </w:r>
          </w:p>
        </w:tc>
        <w:tc>
          <w:tcPr>
            <w:tcW w:w="992" w:type="dxa"/>
            <w:tcBorders>
              <w:top w:val="single" w:sz="4" w:space="0" w:color="000080"/>
              <w:bottom w:val="single" w:sz="4" w:space="0" w:color="000080"/>
            </w:tcBorders>
          </w:tcPr>
          <w:p w14:paraId="2521EC66" w14:textId="77777777" w:rsidR="00FB2FA1" w:rsidRPr="0058614C" w:rsidRDefault="00314677" w:rsidP="002106A6">
            <w:pPr>
              <w:keepNext/>
              <w:keepLines/>
              <w:spacing w:before="40" w:after="40"/>
              <w:jc w:val="right"/>
            </w:pPr>
            <w:r>
              <w:t>20.88</w:t>
            </w:r>
          </w:p>
        </w:tc>
        <w:tc>
          <w:tcPr>
            <w:tcW w:w="1027" w:type="dxa"/>
            <w:tcBorders>
              <w:top w:val="single" w:sz="4" w:space="0" w:color="000080"/>
              <w:bottom w:val="single" w:sz="4" w:space="0" w:color="000080"/>
            </w:tcBorders>
          </w:tcPr>
          <w:p w14:paraId="2176C306" w14:textId="77777777" w:rsidR="00FB2FA1" w:rsidRPr="0058614C" w:rsidRDefault="00314677" w:rsidP="00FB2FA1">
            <w:pPr>
              <w:keepNext/>
              <w:keepLines/>
              <w:spacing w:before="40" w:after="40"/>
              <w:jc w:val="right"/>
            </w:pPr>
            <w:r>
              <w:t>20.88</w:t>
            </w:r>
          </w:p>
        </w:tc>
        <w:tc>
          <w:tcPr>
            <w:tcW w:w="999" w:type="dxa"/>
            <w:tcBorders>
              <w:top w:val="single" w:sz="4" w:space="0" w:color="000080"/>
              <w:bottom w:val="single" w:sz="4" w:space="0" w:color="000080"/>
            </w:tcBorders>
          </w:tcPr>
          <w:p w14:paraId="642478F8" w14:textId="77777777" w:rsidR="00FB2FA1" w:rsidRPr="0058614C" w:rsidRDefault="00314677" w:rsidP="002106A6">
            <w:pPr>
              <w:keepNext/>
              <w:keepLines/>
              <w:spacing w:before="40" w:after="40"/>
              <w:jc w:val="right"/>
            </w:pPr>
            <w:r>
              <w:t>20.88</w:t>
            </w:r>
          </w:p>
        </w:tc>
        <w:tc>
          <w:tcPr>
            <w:tcW w:w="1044" w:type="dxa"/>
            <w:tcBorders>
              <w:top w:val="single" w:sz="4" w:space="0" w:color="000080"/>
              <w:bottom w:val="single" w:sz="4" w:space="0" w:color="000080"/>
            </w:tcBorders>
          </w:tcPr>
          <w:p w14:paraId="6641C059" w14:textId="77777777" w:rsidR="00FB2FA1" w:rsidRPr="0058614C" w:rsidRDefault="00314677" w:rsidP="002106A6">
            <w:pPr>
              <w:keepNext/>
              <w:keepLines/>
              <w:spacing w:before="40" w:after="40"/>
              <w:jc w:val="right"/>
            </w:pPr>
            <w:r>
              <w:t>20.88</w:t>
            </w:r>
          </w:p>
        </w:tc>
        <w:tc>
          <w:tcPr>
            <w:tcW w:w="898" w:type="dxa"/>
            <w:tcBorders>
              <w:top w:val="single" w:sz="4" w:space="0" w:color="000080"/>
              <w:bottom w:val="single" w:sz="4" w:space="0" w:color="000080"/>
            </w:tcBorders>
          </w:tcPr>
          <w:p w14:paraId="037CF2A6" w14:textId="77777777" w:rsidR="00FB2FA1" w:rsidRPr="0058614C" w:rsidRDefault="00314677" w:rsidP="002106A6">
            <w:pPr>
              <w:keepNext/>
              <w:keepLines/>
              <w:spacing w:before="40" w:after="40"/>
              <w:jc w:val="right"/>
            </w:pPr>
            <w:r>
              <w:t>104.4</w:t>
            </w:r>
          </w:p>
        </w:tc>
      </w:tr>
    </w:tbl>
    <w:p w14:paraId="113ADEE1" w14:textId="39903F59" w:rsidR="005B01E0" w:rsidRDefault="00DF6418" w:rsidP="005B01E0">
      <w:pPr>
        <w:pStyle w:val="ChartandTableFootnoteAlpha"/>
      </w:pPr>
      <w:r>
        <w:t>Note: The</w:t>
      </w:r>
      <w:r w:rsidR="006F5129">
        <w:t xml:space="preserve"> distribution of financial contributions is based on population, cost of disasters and relative disadvantage, and is adjusted by agreement to provide an adequate minimum level to Tasmania and the Territories. </w:t>
      </w:r>
    </w:p>
    <w:p w14:paraId="110A1B45" w14:textId="77777777" w:rsidR="00E92C8A" w:rsidRDefault="00A8295A" w:rsidP="00C738BD">
      <w:pPr>
        <w:pStyle w:val="Heading2"/>
      </w:pPr>
      <w:r>
        <w:t xml:space="preserve">Financial </w:t>
      </w:r>
      <w:r w:rsidR="00C738BD">
        <w:t>risk</w:t>
      </w:r>
      <w:r>
        <w:t xml:space="preserve"> management</w:t>
      </w:r>
    </w:p>
    <w:p w14:paraId="4BC4D80B" w14:textId="3954236C" w:rsidR="007E02F1" w:rsidRDefault="00C738BD" w:rsidP="007E02F1">
      <w:pPr>
        <w:pStyle w:val="Normalnumbered"/>
        <w:numPr>
          <w:ilvl w:val="0"/>
          <w:numId w:val="15"/>
        </w:numPr>
        <w:tabs>
          <w:tab w:val="clear" w:pos="1418"/>
        </w:tabs>
        <w:jc w:val="left"/>
      </w:pPr>
      <w:r w:rsidRPr="00C738BD">
        <w:t xml:space="preserve">Having regard to the agreed estimated costs of </w:t>
      </w:r>
      <w:r w:rsidR="000418C8">
        <w:t>disaster risk reduction activities</w:t>
      </w:r>
      <w:r w:rsidR="000418C8" w:rsidRPr="0094014A">
        <w:t xml:space="preserve"> under</w:t>
      </w:r>
      <w:r w:rsidR="00A8295A" w:rsidRPr="0094014A">
        <w:t xml:space="preserve"> this Agreement</w:t>
      </w:r>
      <w:r w:rsidRPr="00C738BD">
        <w:t>, State</w:t>
      </w:r>
      <w:r w:rsidR="007219B9">
        <w:t>s</w:t>
      </w:r>
      <w:r w:rsidRPr="00C738BD">
        <w:t xml:space="preserve"> will not be required to pay a refund to the Commonwealth if the actual cost is less than the agreed estimated cost. Similarly, the States</w:t>
      </w:r>
      <w:r w:rsidR="00D57346">
        <w:t xml:space="preserve"> </w:t>
      </w:r>
      <w:r w:rsidRPr="00C738BD">
        <w:t>bear all risk should the costs exceed the agreed estimated cost</w:t>
      </w:r>
      <w:r w:rsidR="00C95D81">
        <w:t>s.</w:t>
      </w:r>
      <w:r w:rsidRPr="00C738BD">
        <w:t xml:space="preserve"> The Parties acknowledge this arrangement provides the maximum incentive for the States to deliver </w:t>
      </w:r>
      <w:r w:rsidR="000418C8">
        <w:t>activities</w:t>
      </w:r>
      <w:r w:rsidR="000418C8" w:rsidRPr="00C738BD">
        <w:t xml:space="preserve"> cost</w:t>
      </w:r>
      <w:r w:rsidRPr="00C738BD">
        <w:t xml:space="preserve"> effectively and efficiently.</w:t>
      </w:r>
    </w:p>
    <w:p w14:paraId="59A0FDC1" w14:textId="77777777" w:rsidR="00814667" w:rsidRDefault="00814667" w:rsidP="007E02F1">
      <w:pPr>
        <w:pStyle w:val="Heading1"/>
        <w:spacing w:before="180"/>
      </w:pPr>
      <w:r>
        <w:lastRenderedPageBreak/>
        <w:t>Part 6 — governance arrangements</w:t>
      </w:r>
    </w:p>
    <w:p w14:paraId="1033B433" w14:textId="77777777" w:rsidR="000A7553" w:rsidRDefault="000A7553" w:rsidP="000A7553">
      <w:pPr>
        <w:pStyle w:val="Heading2"/>
      </w:pPr>
      <w:r w:rsidRPr="006F096A">
        <w:t>Enforceability of the Agreement</w:t>
      </w:r>
    </w:p>
    <w:p w14:paraId="2A94CF43" w14:textId="77777777" w:rsidR="000A7553" w:rsidRPr="00C40EBC" w:rsidRDefault="004E6528" w:rsidP="000A7553">
      <w:pPr>
        <w:pStyle w:val="Normalnumbered"/>
        <w:numPr>
          <w:ilvl w:val="0"/>
          <w:numId w:val="15"/>
        </w:numPr>
        <w:tabs>
          <w:tab w:val="clear" w:pos="1418"/>
        </w:tabs>
        <w:spacing w:line="240" w:lineRule="auto"/>
        <w:jc w:val="left"/>
      </w:pPr>
      <w:r>
        <w:rPr>
          <w:szCs w:val="23"/>
        </w:rPr>
        <w:t>T</w:t>
      </w:r>
      <w:r w:rsidR="000A7553">
        <w:rPr>
          <w:szCs w:val="23"/>
        </w:rPr>
        <w:t xml:space="preserve">he Parties do not intend any of the provisions of this Agreement to be legally enforceable. However, </w:t>
      </w:r>
      <w:r w:rsidR="007219B9">
        <w:rPr>
          <w:szCs w:val="23"/>
        </w:rPr>
        <w:t xml:space="preserve">this </w:t>
      </w:r>
      <w:r w:rsidR="000A7553">
        <w:rPr>
          <w:szCs w:val="23"/>
        </w:rPr>
        <w:t>does not lessen the Parties’ commitment to this Agreement.</w:t>
      </w:r>
    </w:p>
    <w:p w14:paraId="29E002CD" w14:textId="77777777" w:rsidR="00E51D1B" w:rsidRPr="00416920" w:rsidRDefault="00E51D1B" w:rsidP="007F2F8F">
      <w:pPr>
        <w:pStyle w:val="Heading2"/>
      </w:pPr>
      <w:r>
        <w:t>Review of the Agreement</w:t>
      </w:r>
    </w:p>
    <w:p w14:paraId="11D83490" w14:textId="77777777" w:rsidR="006B4711" w:rsidRDefault="00D36590" w:rsidP="00D36590">
      <w:pPr>
        <w:pStyle w:val="Normalnumbered"/>
        <w:numPr>
          <w:ilvl w:val="0"/>
          <w:numId w:val="15"/>
        </w:numPr>
        <w:tabs>
          <w:tab w:val="clear" w:pos="1418"/>
        </w:tabs>
        <w:spacing w:line="240" w:lineRule="auto"/>
        <w:jc w:val="left"/>
        <w:rPr>
          <w:color w:val="auto"/>
        </w:rPr>
      </w:pPr>
      <w:r>
        <w:rPr>
          <w:color w:val="auto"/>
        </w:rPr>
        <w:t xml:space="preserve">In accordance with clause E23 of the </w:t>
      </w:r>
      <w:r w:rsidR="00ED1452">
        <w:rPr>
          <w:color w:val="auto"/>
        </w:rPr>
        <w:t>IGA FFR</w:t>
      </w:r>
      <w:r>
        <w:rPr>
          <w:color w:val="auto"/>
        </w:rPr>
        <w:t xml:space="preserve">, this Agreement is time limited. </w:t>
      </w:r>
    </w:p>
    <w:p w14:paraId="7B7E6858" w14:textId="6B1B91DB" w:rsidR="00394D22" w:rsidRDefault="00D36590" w:rsidP="00230BF8">
      <w:pPr>
        <w:pStyle w:val="Normalnumbered"/>
        <w:numPr>
          <w:ilvl w:val="0"/>
          <w:numId w:val="15"/>
        </w:numPr>
        <w:tabs>
          <w:tab w:val="clear" w:pos="1418"/>
        </w:tabs>
        <w:spacing w:line="240" w:lineRule="auto"/>
        <w:jc w:val="left"/>
      </w:pPr>
      <w:r>
        <w:t xml:space="preserve">To assess the degree to </w:t>
      </w:r>
      <w:r w:rsidRPr="00230BF8">
        <w:rPr>
          <w:szCs w:val="23"/>
        </w:rPr>
        <w:t>which</w:t>
      </w:r>
      <w:r>
        <w:t xml:space="preserve"> the agreed objective</w:t>
      </w:r>
      <w:r w:rsidR="00ED145B">
        <w:t>,</w:t>
      </w:r>
      <w:r>
        <w:t xml:space="preserve"> outcomes and outputs have been achieved, and inform decisions regarding the appropriate treatment following its expiry, a </w:t>
      </w:r>
      <w:r w:rsidR="00640006">
        <w:t xml:space="preserve">final </w:t>
      </w:r>
      <w:r>
        <w:t xml:space="preserve">review of the Agreement will be scheduled to be completed </w:t>
      </w:r>
      <w:r w:rsidR="000418C8">
        <w:t xml:space="preserve">by 30 June 2023, </w:t>
      </w:r>
      <w:r>
        <w:t>12 months prior to its expiry.</w:t>
      </w:r>
    </w:p>
    <w:p w14:paraId="263BAB79" w14:textId="0C3CBAA7" w:rsidR="009C6CB9" w:rsidRPr="003A36B3" w:rsidRDefault="009C6CB9" w:rsidP="003A36B3">
      <w:pPr>
        <w:pStyle w:val="Normalnumbered"/>
        <w:numPr>
          <w:ilvl w:val="0"/>
          <w:numId w:val="15"/>
        </w:numPr>
        <w:tabs>
          <w:tab w:val="clear" w:pos="1418"/>
        </w:tabs>
        <w:spacing w:line="240" w:lineRule="auto"/>
        <w:jc w:val="left"/>
        <w:rPr>
          <w:color w:val="3D4B67"/>
        </w:rPr>
      </w:pPr>
      <w:r>
        <w:t>A</w:t>
      </w:r>
      <w:r w:rsidR="00C62778">
        <w:t xml:space="preserve"> review of the distribution of State financial contributions shown in Table 2</w:t>
      </w:r>
      <w:r w:rsidR="003A36B3">
        <w:t xml:space="preserve">, taking into account climatic, demographic and risk factors, </w:t>
      </w:r>
      <w:r>
        <w:t xml:space="preserve">will </w:t>
      </w:r>
      <w:r w:rsidR="003A36B3">
        <w:t xml:space="preserve">also </w:t>
      </w:r>
      <w:r>
        <w:t>be completed by 30 June 2023 to</w:t>
      </w:r>
      <w:r w:rsidR="003A36B3">
        <w:t xml:space="preserve"> </w:t>
      </w:r>
      <w:r>
        <w:t xml:space="preserve">inform </w:t>
      </w:r>
      <w:r w:rsidR="003A36B3">
        <w:t>subsequent arrangements</w:t>
      </w:r>
      <w:r>
        <w:t xml:space="preserve">. </w:t>
      </w:r>
    </w:p>
    <w:p w14:paraId="3B75E8E3" w14:textId="77777777" w:rsidR="00E51D1B" w:rsidRDefault="00E51D1B" w:rsidP="006B4711">
      <w:pPr>
        <w:pStyle w:val="Heading2"/>
      </w:pPr>
      <w:r>
        <w:t>Variation of the Agreement</w:t>
      </w:r>
    </w:p>
    <w:p w14:paraId="35741C1D" w14:textId="77777777" w:rsidR="00E51D1B" w:rsidRDefault="00E51D1B" w:rsidP="00E51D1B">
      <w:pPr>
        <w:pStyle w:val="Normalnumbered"/>
        <w:numPr>
          <w:ilvl w:val="0"/>
          <w:numId w:val="15"/>
        </w:numPr>
        <w:tabs>
          <w:tab w:val="clear" w:pos="1418"/>
        </w:tabs>
        <w:jc w:val="left"/>
      </w:pPr>
      <w:r>
        <w:t>The Agreement may be amended at any time by agreement in writing by all the Parties.</w:t>
      </w:r>
    </w:p>
    <w:p w14:paraId="42676199" w14:textId="77777777" w:rsidR="00E51D1B" w:rsidRDefault="00E51D1B" w:rsidP="00E51D1B">
      <w:pPr>
        <w:pStyle w:val="Normalnumbered"/>
        <w:numPr>
          <w:ilvl w:val="0"/>
          <w:numId w:val="15"/>
        </w:numPr>
        <w:tabs>
          <w:tab w:val="clear" w:pos="1418"/>
        </w:tabs>
        <w:jc w:val="left"/>
      </w:pPr>
      <w:r>
        <w:t>A Party to the Agreement may terminate their participation in the Agreement at any time by notifying all the other Parties in writing.</w:t>
      </w:r>
    </w:p>
    <w:p w14:paraId="1317F4FD" w14:textId="77777777" w:rsidR="002665E5" w:rsidRDefault="002665E5" w:rsidP="002665E5">
      <w:pPr>
        <w:pStyle w:val="Heading2"/>
      </w:pPr>
      <w:r>
        <w:t>Delegations</w:t>
      </w:r>
    </w:p>
    <w:p w14:paraId="191E4F8D" w14:textId="77777777" w:rsidR="002665E5" w:rsidRDefault="002665E5" w:rsidP="002665E5">
      <w:pPr>
        <w:pStyle w:val="Normalnumbered"/>
        <w:numPr>
          <w:ilvl w:val="0"/>
          <w:numId w:val="15"/>
        </w:numPr>
        <w:tabs>
          <w:tab w:val="clear" w:pos="1418"/>
        </w:tabs>
        <w:jc w:val="left"/>
      </w:pPr>
      <w:r>
        <w:t xml:space="preserve">The relevant Commonwealth Minister with </w:t>
      </w:r>
      <w:r w:rsidR="001C3C2B">
        <w:t>responsibility for administering this Agreement</w:t>
      </w:r>
      <w:r w:rsidR="00455830">
        <w:t xml:space="preserve"> </w:t>
      </w:r>
      <w:r>
        <w:t xml:space="preserve">is authorised to agree and amend Schedules, including Implementation Plans, to this Agreement and to </w:t>
      </w:r>
      <w:r w:rsidRPr="00901CF5">
        <w:t xml:space="preserve">certify that </w:t>
      </w:r>
      <w:r>
        <w:t xml:space="preserve">performance </w:t>
      </w:r>
      <w:r w:rsidR="00455830">
        <w:t xml:space="preserve">milestones </w:t>
      </w:r>
      <w:r>
        <w:t xml:space="preserve">specified under this Agreement have been achieved, so that payments may be made. </w:t>
      </w:r>
    </w:p>
    <w:p w14:paraId="3ADE8C32" w14:textId="77777777" w:rsidR="002665E5" w:rsidRDefault="002665E5" w:rsidP="002665E5">
      <w:pPr>
        <w:pStyle w:val="Normalnumbered"/>
        <w:numPr>
          <w:ilvl w:val="0"/>
          <w:numId w:val="15"/>
        </w:numPr>
        <w:tabs>
          <w:tab w:val="clear" w:pos="1418"/>
        </w:tabs>
        <w:jc w:val="left"/>
      </w:pPr>
      <w:r>
        <w:t xml:space="preserve">Respective State Ministers with </w:t>
      </w:r>
      <w:r w:rsidR="001C3C2B">
        <w:t>responsibility for administering this Agreement</w:t>
      </w:r>
      <w:r>
        <w:t xml:space="preserve"> </w:t>
      </w:r>
      <w:r w:rsidRPr="00816464">
        <w:t xml:space="preserve">are authorised to agree </w:t>
      </w:r>
      <w:r w:rsidR="006C7FA2">
        <w:t>and</w:t>
      </w:r>
      <w:r>
        <w:t xml:space="preserve"> amend </w:t>
      </w:r>
      <w:r w:rsidRPr="000E19C0">
        <w:t>Schedules</w:t>
      </w:r>
      <w:r>
        <w:t>, including Implementation Plans,</w:t>
      </w:r>
      <w:r w:rsidRPr="000E19C0">
        <w:t xml:space="preserve"> to this Agreement</w:t>
      </w:r>
      <w:r w:rsidRPr="00816464">
        <w:t>.</w:t>
      </w:r>
      <w:r w:rsidRPr="00901CF5">
        <w:t xml:space="preserve"> </w:t>
      </w:r>
    </w:p>
    <w:p w14:paraId="06B527F2" w14:textId="77777777" w:rsidR="002665E5" w:rsidRPr="00230BF8" w:rsidRDefault="002665E5" w:rsidP="00230BF8">
      <w:pPr>
        <w:pStyle w:val="Normalnumbered"/>
        <w:numPr>
          <w:ilvl w:val="0"/>
          <w:numId w:val="15"/>
        </w:numPr>
        <w:tabs>
          <w:tab w:val="clear" w:pos="1418"/>
        </w:tabs>
        <w:jc w:val="left"/>
      </w:pPr>
      <w:r>
        <w:t xml:space="preserve">The Commonwealth Minister may delegate the assessment of project-based performance milestones and the authorisation of related project payments to senior Commonwealth officials, having regard to the financial and policy risks associated with those payments.  </w:t>
      </w:r>
    </w:p>
    <w:p w14:paraId="6ECA10DB" w14:textId="77777777" w:rsidR="002665E5" w:rsidRDefault="002665E5" w:rsidP="002665E5">
      <w:pPr>
        <w:pStyle w:val="Heading2"/>
      </w:pPr>
      <w:r>
        <w:t>Dispute resolution</w:t>
      </w:r>
    </w:p>
    <w:p w14:paraId="58F58643" w14:textId="77777777" w:rsidR="002665E5" w:rsidRDefault="002665E5" w:rsidP="002665E5">
      <w:pPr>
        <w:pStyle w:val="Normalnumbered"/>
        <w:numPr>
          <w:ilvl w:val="0"/>
          <w:numId w:val="15"/>
        </w:numPr>
        <w:tabs>
          <w:tab w:val="clear" w:pos="1418"/>
        </w:tabs>
        <w:jc w:val="left"/>
      </w:pPr>
      <w:r>
        <w:t>Any Party may give notice to other Parties of a dispute under this Agreement.</w:t>
      </w:r>
    </w:p>
    <w:p w14:paraId="5E2C96F9" w14:textId="77777777" w:rsidR="002665E5" w:rsidRDefault="002665E5" w:rsidP="002665E5">
      <w:pPr>
        <w:pStyle w:val="Normalnumbered"/>
        <w:numPr>
          <w:ilvl w:val="0"/>
          <w:numId w:val="15"/>
        </w:numPr>
        <w:tabs>
          <w:tab w:val="clear" w:pos="1418"/>
        </w:tabs>
        <w:jc w:val="left"/>
      </w:pPr>
      <w:r>
        <w:t>Officials of relevant Parties will attempt to resolve any dispute in the first instance.</w:t>
      </w:r>
    </w:p>
    <w:p w14:paraId="6FA8B81A" w14:textId="77777777" w:rsidR="002665E5" w:rsidRDefault="002665E5" w:rsidP="002665E5">
      <w:pPr>
        <w:pStyle w:val="Normalnumbered"/>
        <w:numPr>
          <w:ilvl w:val="0"/>
          <w:numId w:val="15"/>
        </w:numPr>
        <w:tabs>
          <w:tab w:val="clear" w:pos="1418"/>
        </w:tabs>
        <w:jc w:val="left"/>
      </w:pPr>
      <w:r>
        <w:t>If a dispute cannot be resolved by officials, it may be escalated to the relevant Ministers.</w:t>
      </w:r>
    </w:p>
    <w:p w14:paraId="36ABC1FF" w14:textId="77777777" w:rsidR="002665E5" w:rsidRDefault="002665E5" w:rsidP="002665E5">
      <w:pPr>
        <w:pStyle w:val="Heading2"/>
      </w:pPr>
      <w:r>
        <w:t>Interpretation</w:t>
      </w:r>
    </w:p>
    <w:p w14:paraId="763E138C" w14:textId="35F95106" w:rsidR="002665E5" w:rsidRDefault="002665E5" w:rsidP="0063397A">
      <w:pPr>
        <w:pStyle w:val="Normalnumbered"/>
        <w:numPr>
          <w:ilvl w:val="0"/>
          <w:numId w:val="15"/>
        </w:numPr>
        <w:tabs>
          <w:tab w:val="clear" w:pos="1418"/>
        </w:tabs>
        <w:jc w:val="left"/>
      </w:pPr>
      <w:r>
        <w:t>For the purposes of this Agreement</w:t>
      </w:r>
      <w:r w:rsidR="00C63F6E">
        <w:t xml:space="preserve">, the following </w:t>
      </w:r>
      <w:r w:rsidR="00E80A2F">
        <w:t>terminology</w:t>
      </w:r>
      <w:r w:rsidR="00455AA5">
        <w:t>,</w:t>
      </w:r>
      <w:r w:rsidR="0063397A">
        <w:t xml:space="preserve"> </w:t>
      </w:r>
      <w:r w:rsidR="00EE1FAC">
        <w:t>adapted</w:t>
      </w:r>
      <w:r w:rsidR="00E263EE">
        <w:t xml:space="preserve"> where applicable</w:t>
      </w:r>
      <w:r w:rsidR="00EE1FAC">
        <w:t xml:space="preserve"> </w:t>
      </w:r>
      <w:r w:rsidR="0063397A">
        <w:t xml:space="preserve">from </w:t>
      </w:r>
      <w:r w:rsidR="00B6345E">
        <w:t>the UN Office for Disaster Risk Reduction</w:t>
      </w:r>
      <w:r w:rsidR="00455AA5">
        <w:t>,</w:t>
      </w:r>
      <w:r w:rsidR="00B6345E">
        <w:t xml:space="preserve"> appl</w:t>
      </w:r>
      <w:r w:rsidR="00535783">
        <w:t>i</w:t>
      </w:r>
      <w:r w:rsidR="00B6345E">
        <w:t>es</w:t>
      </w:r>
      <w:r>
        <w:t>:</w:t>
      </w:r>
    </w:p>
    <w:p w14:paraId="4680DFBD" w14:textId="77777777" w:rsidR="00464937" w:rsidRDefault="00464937" w:rsidP="00464937">
      <w:pPr>
        <w:pStyle w:val="AlphaParagraph"/>
        <w:numPr>
          <w:ilvl w:val="1"/>
          <w:numId w:val="15"/>
        </w:numPr>
        <w:tabs>
          <w:tab w:val="clear" w:pos="567"/>
          <w:tab w:val="clear" w:pos="1134"/>
          <w:tab w:val="clear" w:pos="1440"/>
          <w:tab w:val="num" w:pos="993"/>
        </w:tabs>
        <w:ind w:left="993"/>
      </w:pPr>
      <w:r w:rsidRPr="000D5D06">
        <w:rPr>
          <w:b/>
        </w:rPr>
        <w:t>Disaster</w:t>
      </w:r>
      <w:r>
        <w:t xml:space="preserve">: A serious disruption </w:t>
      </w:r>
      <w:r w:rsidRPr="00320BE3">
        <w:t>of the functioning of a community or a society at any scale due to hazardous events interacting with conditions of exposure, vulnerability and capacity, leading to one or more of the following: human, material, economic and environmental losses and impacts</w:t>
      </w:r>
      <w:r>
        <w:t>.</w:t>
      </w:r>
    </w:p>
    <w:p w14:paraId="5914357E" w14:textId="77777777" w:rsidR="00626263" w:rsidRDefault="00626263" w:rsidP="00950A74">
      <w:pPr>
        <w:pStyle w:val="AlphaParagraph"/>
        <w:numPr>
          <w:ilvl w:val="1"/>
          <w:numId w:val="15"/>
        </w:numPr>
        <w:tabs>
          <w:tab w:val="clear" w:pos="567"/>
          <w:tab w:val="clear" w:pos="1134"/>
          <w:tab w:val="clear" w:pos="1440"/>
          <w:tab w:val="num" w:pos="993"/>
        </w:tabs>
        <w:ind w:left="993"/>
      </w:pPr>
      <w:r w:rsidRPr="00EE1FAC">
        <w:rPr>
          <w:b/>
        </w:rPr>
        <w:lastRenderedPageBreak/>
        <w:t>Disaster</w:t>
      </w:r>
      <w:r w:rsidR="00464937" w:rsidRPr="00EE1FAC">
        <w:rPr>
          <w:b/>
        </w:rPr>
        <w:t xml:space="preserve"> impact</w:t>
      </w:r>
      <w:r w:rsidRPr="00EE1FAC">
        <w:t>:</w:t>
      </w:r>
      <w:r>
        <w:t xml:space="preserve"> </w:t>
      </w:r>
      <w:r w:rsidR="00EE1FAC">
        <w:t>T</w:t>
      </w:r>
      <w:r w:rsidR="00464937">
        <w:t>he total effect</w:t>
      </w:r>
      <w:r w:rsidR="00EE1FAC">
        <w:t xml:space="preserve"> </w:t>
      </w:r>
      <w:r w:rsidR="00464937">
        <w:t>of a hazardous event or disaster. The term includes economic, human and environmental impacts, and may include death, injuries, disease and other negative effects on human physical, mental and social well</w:t>
      </w:r>
      <w:r w:rsidR="00464937">
        <w:noBreakHyphen/>
        <w:t>being</w:t>
      </w:r>
      <w:r>
        <w:t>.</w:t>
      </w:r>
    </w:p>
    <w:p w14:paraId="775508D3" w14:textId="77777777" w:rsidR="00626263" w:rsidRDefault="00626263" w:rsidP="00626263">
      <w:pPr>
        <w:pStyle w:val="AlphaParagraph"/>
        <w:numPr>
          <w:ilvl w:val="1"/>
          <w:numId w:val="15"/>
        </w:numPr>
        <w:tabs>
          <w:tab w:val="clear" w:pos="567"/>
          <w:tab w:val="clear" w:pos="1134"/>
          <w:tab w:val="clear" w:pos="1440"/>
          <w:tab w:val="num" w:pos="993"/>
        </w:tabs>
        <w:ind w:left="993"/>
      </w:pPr>
      <w:r w:rsidRPr="000D5D06">
        <w:rPr>
          <w:b/>
        </w:rPr>
        <w:t>Disaster</w:t>
      </w:r>
      <w:r>
        <w:rPr>
          <w:b/>
        </w:rPr>
        <w:t xml:space="preserve"> risk</w:t>
      </w:r>
      <w:r>
        <w:t>: The potential loss of life, injury, or destroyed or damaged assets which could occur to a system, society or a community.</w:t>
      </w:r>
    </w:p>
    <w:p w14:paraId="14406FA1" w14:textId="77777777" w:rsidR="00626263" w:rsidRDefault="00626263" w:rsidP="00626263">
      <w:pPr>
        <w:pStyle w:val="AlphaParagraph"/>
        <w:numPr>
          <w:ilvl w:val="1"/>
          <w:numId w:val="15"/>
        </w:numPr>
        <w:tabs>
          <w:tab w:val="clear" w:pos="567"/>
          <w:tab w:val="clear" w:pos="1134"/>
          <w:tab w:val="clear" w:pos="1440"/>
          <w:tab w:val="num" w:pos="993"/>
        </w:tabs>
        <w:ind w:left="993"/>
      </w:pPr>
      <w:r w:rsidRPr="00914E9F">
        <w:rPr>
          <w:b/>
        </w:rPr>
        <w:t>Disaster risk reduction</w:t>
      </w:r>
      <w:r w:rsidRPr="00914E9F">
        <w:t>:</w:t>
      </w:r>
      <w:r>
        <w:t xml:space="preserve"> Disaster risk reduction is aimed at preventing new and reducing existing disaster risk and managing residual risk, all of which contribute to strengthening resilience and therefore to the achievement of sustainable development.</w:t>
      </w:r>
    </w:p>
    <w:p w14:paraId="07073966" w14:textId="77777777" w:rsidR="00626263" w:rsidRDefault="00626263" w:rsidP="00950A74">
      <w:pPr>
        <w:pStyle w:val="AlphaParagraph"/>
        <w:numPr>
          <w:ilvl w:val="1"/>
          <w:numId w:val="15"/>
        </w:numPr>
        <w:tabs>
          <w:tab w:val="clear" w:pos="567"/>
          <w:tab w:val="clear" w:pos="1134"/>
          <w:tab w:val="clear" w:pos="1440"/>
          <w:tab w:val="num" w:pos="993"/>
        </w:tabs>
        <w:ind w:left="993"/>
      </w:pPr>
      <w:r w:rsidRPr="00EE1FAC">
        <w:rPr>
          <w:b/>
        </w:rPr>
        <w:t>Hazardous event</w:t>
      </w:r>
      <w:r w:rsidRPr="00EE1FAC">
        <w:t>:</w:t>
      </w:r>
      <w:r>
        <w:t xml:space="preserve"> </w:t>
      </w:r>
      <w:r w:rsidRPr="000D5D06">
        <w:t xml:space="preserve">The manifestation of a </w:t>
      </w:r>
      <w:r>
        <w:t xml:space="preserve">natural </w:t>
      </w:r>
      <w:r w:rsidRPr="000D5D06">
        <w:t>hazard in a particular place during a particular period of time.</w:t>
      </w:r>
    </w:p>
    <w:p w14:paraId="07CB033B" w14:textId="7F4230CF" w:rsidR="00631E5E" w:rsidRPr="00C72112" w:rsidRDefault="00631E5E" w:rsidP="00950A74">
      <w:pPr>
        <w:pStyle w:val="AlphaParagraph"/>
        <w:numPr>
          <w:ilvl w:val="1"/>
          <w:numId w:val="15"/>
        </w:numPr>
        <w:tabs>
          <w:tab w:val="clear" w:pos="567"/>
          <w:tab w:val="clear" w:pos="1134"/>
          <w:tab w:val="clear" w:pos="1440"/>
          <w:tab w:val="num" w:pos="993"/>
        </w:tabs>
        <w:ind w:left="993"/>
        <w:rPr>
          <w:szCs w:val="23"/>
        </w:rPr>
      </w:pPr>
      <w:r w:rsidRPr="00C72112">
        <w:rPr>
          <w:b/>
          <w:szCs w:val="23"/>
        </w:rPr>
        <w:t>In-kin</w:t>
      </w:r>
      <w:r w:rsidR="00C72112" w:rsidRPr="00C72112">
        <w:rPr>
          <w:b/>
          <w:szCs w:val="23"/>
        </w:rPr>
        <w:t>d contribution</w:t>
      </w:r>
      <w:r w:rsidRPr="00C72112">
        <w:rPr>
          <w:szCs w:val="23"/>
        </w:rPr>
        <w:t>:</w:t>
      </w:r>
      <w:r w:rsidR="00C72112" w:rsidRPr="00C72112">
        <w:rPr>
          <w:szCs w:val="23"/>
        </w:rPr>
        <w:t xml:space="preserve"> </w:t>
      </w:r>
      <w:r w:rsidR="00C72112">
        <w:rPr>
          <w:szCs w:val="23"/>
        </w:rPr>
        <w:t xml:space="preserve">A non-cash input which can be given a cash value. In-kind contributions are for costs directly associated with approved </w:t>
      </w:r>
      <w:r w:rsidR="00971319">
        <w:rPr>
          <w:szCs w:val="23"/>
        </w:rPr>
        <w:t>activities</w:t>
      </w:r>
      <w:r w:rsidR="00C72112">
        <w:rPr>
          <w:szCs w:val="23"/>
        </w:rPr>
        <w:t>. They are not to be used for core activities of State and/or local agencies.</w:t>
      </w:r>
    </w:p>
    <w:p w14:paraId="7F2940E8" w14:textId="2C07CF27" w:rsidR="00626263" w:rsidRDefault="00626263" w:rsidP="00950A74">
      <w:pPr>
        <w:pStyle w:val="AlphaParagraph"/>
        <w:numPr>
          <w:ilvl w:val="1"/>
          <w:numId w:val="15"/>
        </w:numPr>
        <w:tabs>
          <w:tab w:val="clear" w:pos="567"/>
          <w:tab w:val="clear" w:pos="1134"/>
          <w:tab w:val="clear" w:pos="1440"/>
          <w:tab w:val="num" w:pos="993"/>
        </w:tabs>
        <w:ind w:left="993"/>
      </w:pPr>
      <w:r w:rsidRPr="003B292D">
        <w:rPr>
          <w:b/>
        </w:rPr>
        <w:t>Natural hazard</w:t>
      </w:r>
      <w:r>
        <w:t xml:space="preserve">: </w:t>
      </w:r>
      <w:r w:rsidRPr="000D5D06">
        <w:t xml:space="preserve">A </w:t>
      </w:r>
      <w:r>
        <w:t xml:space="preserve">natural </w:t>
      </w:r>
      <w:r w:rsidRPr="000D5D06">
        <w:t>process</w:t>
      </w:r>
      <w:r>
        <w:t xml:space="preserve"> or</w:t>
      </w:r>
      <w:r w:rsidRPr="000D5D06">
        <w:t xml:space="preserve"> phenomenon that may cause loss of life, injury or other health impacts, property damage, social and economic disruption or environmental degradation.</w:t>
      </w:r>
      <w:r>
        <w:t xml:space="preserve"> </w:t>
      </w:r>
    </w:p>
    <w:p w14:paraId="42A2DE43" w14:textId="3FC9260A" w:rsidR="00235DCD" w:rsidRDefault="00235DCD" w:rsidP="00950A74">
      <w:pPr>
        <w:pStyle w:val="AlphaParagraph"/>
        <w:numPr>
          <w:ilvl w:val="1"/>
          <w:numId w:val="15"/>
        </w:numPr>
        <w:tabs>
          <w:tab w:val="clear" w:pos="567"/>
          <w:tab w:val="clear" w:pos="1134"/>
          <w:tab w:val="clear" w:pos="1440"/>
          <w:tab w:val="num" w:pos="993"/>
        </w:tabs>
        <w:ind w:left="993"/>
      </w:pPr>
      <w:r w:rsidRPr="00C24B13">
        <w:rPr>
          <w:b/>
        </w:rPr>
        <w:t>Non</w:t>
      </w:r>
      <w:r w:rsidRPr="00C24B13">
        <w:rPr>
          <w:b/>
        </w:rPr>
        <w:noBreakHyphen/>
        <w:t>sensitive data</w:t>
      </w:r>
      <w:r>
        <w:t xml:space="preserve">: Anonymised data that does not identify an individual or breach privacy or security requirements. </w:t>
      </w:r>
    </w:p>
    <w:p w14:paraId="6CAC084D" w14:textId="3B5D575E" w:rsidR="00C63F6E" w:rsidRDefault="00C63F6E" w:rsidP="00C63F6E">
      <w:pPr>
        <w:pStyle w:val="AlphaParagraph"/>
        <w:numPr>
          <w:ilvl w:val="1"/>
          <w:numId w:val="15"/>
        </w:numPr>
        <w:tabs>
          <w:tab w:val="clear" w:pos="567"/>
          <w:tab w:val="clear" w:pos="1134"/>
          <w:tab w:val="clear" w:pos="1440"/>
          <w:tab w:val="num" w:pos="993"/>
        </w:tabs>
        <w:ind w:left="993"/>
      </w:pPr>
      <w:r>
        <w:rPr>
          <w:b/>
        </w:rPr>
        <w:t>Residual risk</w:t>
      </w:r>
      <w:r>
        <w:t xml:space="preserve">: </w:t>
      </w:r>
      <w:r w:rsidR="00170C25">
        <w:t xml:space="preserve">The </w:t>
      </w:r>
      <w:r>
        <w:t xml:space="preserve">disaster risk that remains </w:t>
      </w:r>
      <w:r w:rsidR="00170C25">
        <w:t xml:space="preserve">in unmanaged form, </w:t>
      </w:r>
      <w:r>
        <w:t>even when effective disaster risk reduction measures are in place, and for which emergency response and recovery capacities</w:t>
      </w:r>
      <w:r w:rsidR="00D94821">
        <w:t xml:space="preserve"> must be maint</w:t>
      </w:r>
      <w:r w:rsidR="00170C25">
        <w:t>ained</w:t>
      </w:r>
      <w:r>
        <w:t>.</w:t>
      </w:r>
    </w:p>
    <w:p w14:paraId="3B682F0D" w14:textId="56B1B926" w:rsidR="00DE4EB5" w:rsidRDefault="00DE7C22" w:rsidP="00290B0B">
      <w:pPr>
        <w:pStyle w:val="AlphaParagraph"/>
        <w:numPr>
          <w:ilvl w:val="1"/>
          <w:numId w:val="15"/>
        </w:numPr>
        <w:tabs>
          <w:tab w:val="clear" w:pos="567"/>
          <w:tab w:val="clear" w:pos="1134"/>
          <w:tab w:val="clear" w:pos="1440"/>
          <w:tab w:val="num" w:pos="993"/>
        </w:tabs>
        <w:ind w:left="993"/>
      </w:pPr>
      <w:r w:rsidRPr="00290B0B">
        <w:rPr>
          <w:b/>
        </w:rPr>
        <w:t>Satisfactory</w:t>
      </w:r>
      <w:r w:rsidR="00DE4EB5" w:rsidRPr="00290B0B">
        <w:rPr>
          <w:b/>
        </w:rPr>
        <w:t xml:space="preserve"> progress</w:t>
      </w:r>
      <w:r w:rsidRPr="00290B0B">
        <w:t>:</w:t>
      </w:r>
      <w:r w:rsidR="00E619E2">
        <w:t xml:space="preserve"> </w:t>
      </w:r>
      <w:r w:rsidR="00E651BE">
        <w:t xml:space="preserve">demonstrable progress in </w:t>
      </w:r>
      <w:r w:rsidR="00E651BE" w:rsidRPr="006B4DF0">
        <w:t xml:space="preserve">delivering on </w:t>
      </w:r>
      <w:r w:rsidR="00E651BE">
        <w:t xml:space="preserve">the outcomes and outputs of the Agreement in accordance with State implementation plans, performance indicators and estimated financial contributions.  </w:t>
      </w:r>
    </w:p>
    <w:p w14:paraId="7DA2483D" w14:textId="77777777" w:rsidR="00DE4EB5" w:rsidRDefault="00DE4EB5" w:rsidP="00106F50">
      <w:pPr>
        <w:pStyle w:val="Normalnumbered"/>
        <w:numPr>
          <w:ilvl w:val="0"/>
          <w:numId w:val="0"/>
        </w:numPr>
        <w:tabs>
          <w:tab w:val="clear" w:pos="1418"/>
        </w:tabs>
        <w:spacing w:before="240"/>
        <w:jc w:val="left"/>
      </w:pPr>
    </w:p>
    <w:p w14:paraId="16F5A5AA" w14:textId="2EA08A59" w:rsidR="002665E5" w:rsidRDefault="002665E5" w:rsidP="00DE4EB5">
      <w:pPr>
        <w:pStyle w:val="Normalnumbered"/>
        <w:numPr>
          <w:ilvl w:val="0"/>
          <w:numId w:val="15"/>
        </w:numPr>
        <w:tabs>
          <w:tab w:val="clear" w:pos="1418"/>
        </w:tabs>
        <w:spacing w:before="240"/>
        <w:ind w:left="0" w:firstLine="0"/>
        <w:jc w:val="left"/>
      </w:pPr>
      <w:r>
        <w:br w:type="page"/>
      </w:r>
    </w:p>
    <w:p w14:paraId="7CD17356" w14:textId="77777777" w:rsidR="0013410C" w:rsidRDefault="0013410C" w:rsidP="002665E5">
      <w:pPr>
        <w:pStyle w:val="AlphaParagraph"/>
        <w:tabs>
          <w:tab w:val="clear" w:pos="0"/>
        </w:tabs>
        <w:ind w:left="0" w:firstLine="0"/>
      </w:pPr>
    </w:p>
    <w:p w14:paraId="68E13742" w14:textId="77777777" w:rsidR="002665E5" w:rsidRPr="002665E5" w:rsidRDefault="002665E5" w:rsidP="002665E5">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w:t>
      </w:r>
      <w:r w:rsidR="00F4691C">
        <w:rPr>
          <w:lang w:val="en-GB"/>
        </w:rPr>
        <w:t>A</w:t>
      </w:r>
      <w:r w:rsidRPr="00A50751">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4EFFBB27" w14:textId="77777777" w:rsidTr="00B40E38">
        <w:trPr>
          <w:cantSplit/>
          <w:jc w:val="center"/>
        </w:trPr>
        <w:tc>
          <w:tcPr>
            <w:tcW w:w="4536" w:type="dxa"/>
          </w:tcPr>
          <w:p w14:paraId="2311CA47"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7C89BD76" w14:textId="77777777" w:rsidR="002665E5" w:rsidRPr="00A50751" w:rsidRDefault="002665E5" w:rsidP="00B40E38">
            <w:pPr>
              <w:pStyle w:val="LineForSignature"/>
            </w:pPr>
            <w:r>
              <w:tab/>
            </w:r>
          </w:p>
          <w:p w14:paraId="4B36567F" w14:textId="77777777" w:rsidR="002665E5" w:rsidRDefault="002665E5" w:rsidP="00B40E38">
            <w:pPr>
              <w:pStyle w:val="SingleParagraph"/>
              <w:rPr>
                <w:rStyle w:val="Bold"/>
              </w:rPr>
            </w:pPr>
            <w:r>
              <w:rPr>
                <w:rStyle w:val="Bold"/>
              </w:rPr>
              <w:t xml:space="preserve">The Honourable </w:t>
            </w:r>
            <w:r w:rsidR="00A87D82">
              <w:rPr>
                <w:rStyle w:val="Bold"/>
              </w:rPr>
              <w:t>Scott Morrison</w:t>
            </w:r>
            <w:r>
              <w:rPr>
                <w:rStyle w:val="Bold"/>
              </w:rPr>
              <w:t xml:space="preserve"> MP</w:t>
            </w:r>
          </w:p>
          <w:p w14:paraId="7EA11F13" w14:textId="77777777" w:rsidR="002665E5" w:rsidRDefault="002665E5" w:rsidP="00B40E38">
            <w:pPr>
              <w:pStyle w:val="Position"/>
              <w:rPr>
                <w:lang w:val="en-GB"/>
              </w:rPr>
            </w:pPr>
            <w:r w:rsidRPr="001F6FE8">
              <w:rPr>
                <w:lang w:val="en-GB"/>
              </w:rPr>
              <w:t>Prime Minister of the Commonwealth of Australia</w:t>
            </w:r>
          </w:p>
          <w:p w14:paraId="06320D0C"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492B43A0" w14:textId="77777777" w:rsidR="002665E5" w:rsidRPr="00A50751" w:rsidRDefault="002665E5" w:rsidP="00B40E38">
            <w:pPr>
              <w:rPr>
                <w:rFonts w:ascii="Book Antiqua" w:hAnsi="Book Antiqua"/>
                <w:lang w:val="en-GB"/>
              </w:rPr>
            </w:pPr>
          </w:p>
        </w:tc>
        <w:tc>
          <w:tcPr>
            <w:tcW w:w="4536" w:type="dxa"/>
          </w:tcPr>
          <w:p w14:paraId="1BCE28CB" w14:textId="77777777" w:rsidR="002665E5" w:rsidRPr="00A50751" w:rsidRDefault="002665E5" w:rsidP="00B40E38">
            <w:pPr>
              <w:rPr>
                <w:rFonts w:ascii="Book Antiqua" w:hAnsi="Book Antiqua"/>
                <w:lang w:val="en-GB"/>
              </w:rPr>
            </w:pPr>
          </w:p>
        </w:tc>
      </w:tr>
      <w:tr w:rsidR="002665E5" w:rsidRPr="00A50751" w14:paraId="3A138B63" w14:textId="77777777" w:rsidTr="00B40E38">
        <w:trPr>
          <w:cantSplit/>
          <w:jc w:val="center"/>
        </w:trPr>
        <w:tc>
          <w:tcPr>
            <w:tcW w:w="4536" w:type="dxa"/>
          </w:tcPr>
          <w:p w14:paraId="43BBA4F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0B4F48C" w14:textId="77777777" w:rsidR="002665E5" w:rsidRPr="00A50751" w:rsidRDefault="002665E5" w:rsidP="00B40E38">
            <w:pPr>
              <w:pStyle w:val="SingleParagraph"/>
              <w:rPr>
                <w:rFonts w:ascii="Book Antiqua" w:hAnsi="Book Antiqua"/>
                <w:lang w:val="en-GB"/>
              </w:rPr>
            </w:pPr>
          </w:p>
        </w:tc>
        <w:tc>
          <w:tcPr>
            <w:tcW w:w="4536" w:type="dxa"/>
          </w:tcPr>
          <w:p w14:paraId="09165DA7" w14:textId="77777777" w:rsidR="002665E5" w:rsidRPr="00A50751" w:rsidRDefault="002665E5" w:rsidP="00B40E38">
            <w:pPr>
              <w:pStyle w:val="SingleParagraph"/>
              <w:rPr>
                <w:rFonts w:ascii="Book Antiqua" w:hAnsi="Book Antiqua"/>
                <w:lang w:val="en-GB"/>
              </w:rPr>
            </w:pPr>
          </w:p>
        </w:tc>
      </w:tr>
      <w:tr w:rsidR="002665E5" w:rsidRPr="00A50751" w14:paraId="13B48B30" w14:textId="77777777" w:rsidTr="00B40E38">
        <w:trPr>
          <w:cantSplit/>
          <w:jc w:val="center"/>
        </w:trPr>
        <w:tc>
          <w:tcPr>
            <w:tcW w:w="4536" w:type="dxa"/>
          </w:tcPr>
          <w:p w14:paraId="1AD725E4"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4AD555E6" w14:textId="77777777" w:rsidR="002665E5" w:rsidRPr="00A50751" w:rsidRDefault="002665E5" w:rsidP="00B40E38">
            <w:pPr>
              <w:pStyle w:val="LineForSignature"/>
            </w:pPr>
            <w:r w:rsidRPr="00A50751">
              <w:tab/>
            </w:r>
          </w:p>
          <w:p w14:paraId="754D29A0" w14:textId="77777777" w:rsidR="002665E5" w:rsidRDefault="002665E5" w:rsidP="00B40E38">
            <w:pPr>
              <w:pStyle w:val="SingleParagraph"/>
              <w:rPr>
                <w:rStyle w:val="Bold"/>
              </w:rPr>
            </w:pPr>
            <w:r>
              <w:rPr>
                <w:rStyle w:val="Bold"/>
              </w:rPr>
              <w:t xml:space="preserve">The Honourable </w:t>
            </w:r>
            <w:r w:rsidR="0034186E">
              <w:rPr>
                <w:rStyle w:val="Bold"/>
                <w:bCs/>
              </w:rPr>
              <w:t xml:space="preserve">Gladys </w:t>
            </w:r>
            <w:proofErr w:type="spellStart"/>
            <w:r w:rsidR="0034186E">
              <w:rPr>
                <w:rStyle w:val="Bold"/>
                <w:bCs/>
              </w:rPr>
              <w:t>Berejiklian</w:t>
            </w:r>
            <w:proofErr w:type="spellEnd"/>
            <w:r>
              <w:rPr>
                <w:rStyle w:val="Bold"/>
                <w:bCs/>
              </w:rPr>
              <w:t xml:space="preserve"> </w:t>
            </w:r>
            <w:r>
              <w:rPr>
                <w:rStyle w:val="Bold"/>
              </w:rPr>
              <w:t>MP</w:t>
            </w:r>
          </w:p>
          <w:p w14:paraId="2C42CD7F" w14:textId="77777777" w:rsidR="002665E5" w:rsidRPr="00A50751" w:rsidRDefault="002665E5" w:rsidP="00B40E38">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19D24A0B"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336F57B9" w14:textId="77777777" w:rsidR="002665E5" w:rsidRPr="00A50751" w:rsidRDefault="002665E5" w:rsidP="00B40E38">
            <w:pPr>
              <w:rPr>
                <w:rFonts w:ascii="Book Antiqua" w:hAnsi="Book Antiqua"/>
                <w:lang w:val="en-GB"/>
              </w:rPr>
            </w:pPr>
          </w:p>
        </w:tc>
        <w:tc>
          <w:tcPr>
            <w:tcW w:w="4536" w:type="dxa"/>
          </w:tcPr>
          <w:p w14:paraId="518511DF"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790B84A8" w14:textId="77777777" w:rsidR="002665E5" w:rsidRPr="00A50751" w:rsidRDefault="002665E5" w:rsidP="00B40E38">
            <w:pPr>
              <w:pStyle w:val="LineForSignature"/>
            </w:pPr>
            <w:r w:rsidRPr="00A50751">
              <w:tab/>
            </w:r>
          </w:p>
          <w:p w14:paraId="49ED0968" w14:textId="77777777" w:rsidR="002665E5" w:rsidRDefault="002665E5" w:rsidP="00B40E38">
            <w:pPr>
              <w:pStyle w:val="SingleParagraph"/>
              <w:rPr>
                <w:rStyle w:val="Bold"/>
              </w:rPr>
            </w:pPr>
            <w:r>
              <w:rPr>
                <w:rStyle w:val="Bold"/>
              </w:rPr>
              <w:t xml:space="preserve">The Honourable </w:t>
            </w:r>
            <w:r w:rsidR="0046371B">
              <w:rPr>
                <w:rStyle w:val="Bold"/>
              </w:rPr>
              <w:t>Daniel Andrews</w:t>
            </w:r>
            <w:r w:rsidR="005A53F6">
              <w:rPr>
                <w:rStyle w:val="Bold"/>
              </w:rPr>
              <w:t xml:space="preserve"> MLA</w:t>
            </w:r>
          </w:p>
          <w:p w14:paraId="258EB5AC"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6EDC479F"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128DAE24" w14:textId="77777777" w:rsidTr="00B40E38">
        <w:trPr>
          <w:cantSplit/>
          <w:jc w:val="center"/>
        </w:trPr>
        <w:tc>
          <w:tcPr>
            <w:tcW w:w="4536" w:type="dxa"/>
          </w:tcPr>
          <w:p w14:paraId="104C5D9F"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CB0648B" w14:textId="77777777" w:rsidR="002665E5" w:rsidRPr="00A50751" w:rsidRDefault="002665E5" w:rsidP="00B40E38">
            <w:pPr>
              <w:pStyle w:val="SingleParagraph"/>
              <w:rPr>
                <w:rFonts w:ascii="Book Antiqua" w:hAnsi="Book Antiqua"/>
                <w:lang w:val="en-GB"/>
              </w:rPr>
            </w:pPr>
          </w:p>
        </w:tc>
        <w:tc>
          <w:tcPr>
            <w:tcW w:w="4536" w:type="dxa"/>
          </w:tcPr>
          <w:p w14:paraId="760E02C8" w14:textId="77777777" w:rsidR="002665E5" w:rsidRPr="00A50751" w:rsidRDefault="002665E5" w:rsidP="00B40E38">
            <w:pPr>
              <w:pStyle w:val="SingleParagraph"/>
              <w:rPr>
                <w:rFonts w:ascii="Book Antiqua" w:hAnsi="Book Antiqua"/>
                <w:lang w:val="en-GB"/>
              </w:rPr>
            </w:pPr>
          </w:p>
        </w:tc>
      </w:tr>
      <w:tr w:rsidR="002665E5" w:rsidRPr="00A50751" w14:paraId="015E299C" w14:textId="77777777" w:rsidTr="00B40E38">
        <w:trPr>
          <w:cantSplit/>
          <w:jc w:val="center"/>
        </w:trPr>
        <w:tc>
          <w:tcPr>
            <w:tcW w:w="4536" w:type="dxa"/>
          </w:tcPr>
          <w:p w14:paraId="605E5BBD"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1EF25880" w14:textId="77777777" w:rsidR="002665E5" w:rsidRPr="00A50751" w:rsidRDefault="002665E5" w:rsidP="00B40E38">
            <w:pPr>
              <w:pStyle w:val="LineForSignature"/>
            </w:pPr>
            <w:r w:rsidRPr="00A50751">
              <w:tab/>
            </w:r>
          </w:p>
          <w:p w14:paraId="5239DD1F" w14:textId="77777777" w:rsidR="002665E5" w:rsidRDefault="002665E5" w:rsidP="00B40E38">
            <w:pPr>
              <w:pStyle w:val="SingleParagraph"/>
              <w:rPr>
                <w:b/>
              </w:rPr>
            </w:pPr>
            <w:r>
              <w:rPr>
                <w:b/>
              </w:rPr>
              <w:t xml:space="preserve">The Honourable </w:t>
            </w:r>
            <w:r w:rsidR="004A5DF7" w:rsidRPr="004A5DF7">
              <w:rPr>
                <w:b/>
              </w:rPr>
              <w:t xml:space="preserve">Annastacia Palaszczuk </w:t>
            </w:r>
            <w:r>
              <w:rPr>
                <w:b/>
              </w:rPr>
              <w:t xml:space="preserve"> MP</w:t>
            </w:r>
          </w:p>
          <w:p w14:paraId="10E4D810"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3641A392"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0F2CF601" w14:textId="77777777" w:rsidR="002665E5" w:rsidRPr="00A50751" w:rsidRDefault="002665E5" w:rsidP="00B40E38">
            <w:pPr>
              <w:rPr>
                <w:rFonts w:ascii="Book Antiqua" w:hAnsi="Book Antiqua"/>
                <w:lang w:val="en-GB"/>
              </w:rPr>
            </w:pPr>
          </w:p>
        </w:tc>
        <w:tc>
          <w:tcPr>
            <w:tcW w:w="4536" w:type="dxa"/>
          </w:tcPr>
          <w:p w14:paraId="4AE62F4C"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7BB15384" w14:textId="77777777" w:rsidR="002665E5" w:rsidRPr="00A50751" w:rsidRDefault="002665E5" w:rsidP="00B40E38">
            <w:pPr>
              <w:pStyle w:val="LineForSignature"/>
            </w:pPr>
            <w:r w:rsidRPr="00A50751">
              <w:tab/>
            </w:r>
          </w:p>
          <w:p w14:paraId="5CDDF825" w14:textId="77777777" w:rsidR="002665E5" w:rsidRDefault="002665E5" w:rsidP="00B40E38">
            <w:pPr>
              <w:pStyle w:val="SingleParagraph"/>
              <w:rPr>
                <w:rStyle w:val="Bold"/>
              </w:rPr>
            </w:pPr>
            <w:r>
              <w:rPr>
                <w:rStyle w:val="Bold"/>
              </w:rPr>
              <w:t xml:space="preserve">The Honourable </w:t>
            </w:r>
            <w:r w:rsidR="0034186E">
              <w:rPr>
                <w:rStyle w:val="Bold"/>
              </w:rPr>
              <w:t>Mark McGowan</w:t>
            </w:r>
            <w:r>
              <w:rPr>
                <w:rStyle w:val="Bold"/>
              </w:rPr>
              <w:t xml:space="preserve"> MLA</w:t>
            </w:r>
          </w:p>
          <w:p w14:paraId="4A8593C2" w14:textId="77777777" w:rsidR="002665E5" w:rsidRPr="00A50751" w:rsidRDefault="002665E5" w:rsidP="00B40E38">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01825E09"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3725F8A6" w14:textId="77777777" w:rsidTr="00B40E38">
        <w:trPr>
          <w:cantSplit/>
          <w:jc w:val="center"/>
        </w:trPr>
        <w:tc>
          <w:tcPr>
            <w:tcW w:w="4536" w:type="dxa"/>
          </w:tcPr>
          <w:p w14:paraId="146EEAD7"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7E33FCAC" w14:textId="77777777" w:rsidR="002665E5" w:rsidRPr="00A50751" w:rsidRDefault="002665E5" w:rsidP="00B40E38">
            <w:pPr>
              <w:pStyle w:val="SingleParagraph"/>
              <w:rPr>
                <w:rFonts w:ascii="Book Antiqua" w:hAnsi="Book Antiqua"/>
                <w:lang w:val="en-GB"/>
              </w:rPr>
            </w:pPr>
          </w:p>
        </w:tc>
        <w:tc>
          <w:tcPr>
            <w:tcW w:w="4536" w:type="dxa"/>
          </w:tcPr>
          <w:p w14:paraId="2B715DBD" w14:textId="77777777" w:rsidR="002665E5" w:rsidRPr="00A50751" w:rsidRDefault="002665E5" w:rsidP="00B40E38">
            <w:pPr>
              <w:pStyle w:val="SingleParagraph"/>
              <w:rPr>
                <w:rFonts w:ascii="Book Antiqua" w:hAnsi="Book Antiqua"/>
                <w:lang w:val="en-GB"/>
              </w:rPr>
            </w:pPr>
          </w:p>
        </w:tc>
      </w:tr>
      <w:tr w:rsidR="002665E5" w:rsidRPr="00A50751" w14:paraId="416DA307" w14:textId="77777777" w:rsidTr="00B40E38">
        <w:trPr>
          <w:cantSplit/>
          <w:trHeight w:val="143"/>
          <w:jc w:val="center"/>
        </w:trPr>
        <w:tc>
          <w:tcPr>
            <w:tcW w:w="4536" w:type="dxa"/>
          </w:tcPr>
          <w:p w14:paraId="46C0BBBD"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6AEF2DC8" w14:textId="77777777" w:rsidR="002665E5" w:rsidRPr="00A50751" w:rsidRDefault="002665E5" w:rsidP="00B40E38">
            <w:pPr>
              <w:pStyle w:val="LineForSignature"/>
            </w:pPr>
            <w:r w:rsidRPr="00A50751">
              <w:tab/>
            </w:r>
          </w:p>
          <w:p w14:paraId="74BC2F9D" w14:textId="77777777" w:rsidR="002665E5" w:rsidRDefault="002665E5" w:rsidP="00B40E38">
            <w:pPr>
              <w:pStyle w:val="SingleParagraph"/>
              <w:rPr>
                <w:rStyle w:val="Bold"/>
              </w:rPr>
            </w:pPr>
            <w:r>
              <w:rPr>
                <w:rStyle w:val="Bold"/>
              </w:rPr>
              <w:t xml:space="preserve">The Honourable </w:t>
            </w:r>
            <w:r w:rsidR="00A87D82">
              <w:rPr>
                <w:rStyle w:val="Bold"/>
              </w:rPr>
              <w:t>Steven Marshall</w:t>
            </w:r>
            <w:r>
              <w:rPr>
                <w:rStyle w:val="Bold"/>
              </w:rPr>
              <w:t xml:space="preserve"> MP</w:t>
            </w:r>
          </w:p>
          <w:p w14:paraId="727B91D8"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0996F665"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7F773BF5" w14:textId="77777777" w:rsidR="002665E5" w:rsidRPr="00A50751" w:rsidRDefault="002665E5" w:rsidP="00B40E38">
            <w:pPr>
              <w:rPr>
                <w:rFonts w:ascii="Book Antiqua" w:hAnsi="Book Antiqua"/>
                <w:lang w:val="en-GB"/>
              </w:rPr>
            </w:pPr>
          </w:p>
        </w:tc>
        <w:tc>
          <w:tcPr>
            <w:tcW w:w="4536" w:type="dxa"/>
          </w:tcPr>
          <w:p w14:paraId="1C4419D8"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7BA04669" w14:textId="77777777" w:rsidR="002665E5" w:rsidRPr="00A50751" w:rsidRDefault="002665E5" w:rsidP="00B40E38">
            <w:pPr>
              <w:pStyle w:val="LineForSignature"/>
            </w:pPr>
            <w:r w:rsidRPr="00A50751">
              <w:tab/>
            </w:r>
          </w:p>
          <w:p w14:paraId="4EBA2D45" w14:textId="61A4EF6D" w:rsidR="002665E5" w:rsidRDefault="00543576" w:rsidP="00B40E38">
            <w:pPr>
              <w:pStyle w:val="SingleParagraph"/>
              <w:rPr>
                <w:rStyle w:val="Bold"/>
              </w:rPr>
            </w:pPr>
            <w:r>
              <w:rPr>
                <w:rStyle w:val="Bold"/>
              </w:rPr>
              <w:t xml:space="preserve">The Honourable Peter </w:t>
            </w:r>
            <w:proofErr w:type="spellStart"/>
            <w:r>
              <w:rPr>
                <w:rStyle w:val="Bold"/>
              </w:rPr>
              <w:t>Gutwein</w:t>
            </w:r>
            <w:proofErr w:type="spellEnd"/>
            <w:r>
              <w:rPr>
                <w:rStyle w:val="Bold"/>
              </w:rPr>
              <w:t xml:space="preserve"> MP</w:t>
            </w:r>
          </w:p>
          <w:p w14:paraId="5767851C" w14:textId="77777777" w:rsidR="002665E5" w:rsidRPr="00A50751" w:rsidRDefault="002665E5" w:rsidP="00B40E38">
            <w:pPr>
              <w:pStyle w:val="Position"/>
              <w:rPr>
                <w:rFonts w:ascii="Book Antiqua" w:hAnsi="Book Antiqua"/>
                <w:bCs w:val="0"/>
                <w:lang w:val="en-GB"/>
              </w:rPr>
            </w:pPr>
            <w:r w:rsidRPr="00B12190">
              <w:rPr>
                <w:bCs w:val="0"/>
                <w:lang w:val="en-GB"/>
              </w:rPr>
              <w:t>Premier of the State of Tasmania</w:t>
            </w:r>
          </w:p>
          <w:p w14:paraId="396A633B"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1553F62B" w14:textId="77777777" w:rsidTr="00B40E38">
        <w:trPr>
          <w:cantSplit/>
          <w:jc w:val="center"/>
        </w:trPr>
        <w:tc>
          <w:tcPr>
            <w:tcW w:w="4536" w:type="dxa"/>
          </w:tcPr>
          <w:p w14:paraId="26142028"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6D22657C" w14:textId="77777777" w:rsidR="002665E5" w:rsidRPr="00A50751" w:rsidRDefault="002665E5" w:rsidP="00B40E38">
            <w:pPr>
              <w:pStyle w:val="SingleParagraph"/>
              <w:rPr>
                <w:rFonts w:ascii="Book Antiqua" w:hAnsi="Book Antiqua"/>
                <w:lang w:val="en-GB"/>
              </w:rPr>
            </w:pPr>
          </w:p>
        </w:tc>
        <w:tc>
          <w:tcPr>
            <w:tcW w:w="4536" w:type="dxa"/>
          </w:tcPr>
          <w:p w14:paraId="5B9C46C6" w14:textId="77777777" w:rsidR="002665E5" w:rsidRPr="00A50751" w:rsidRDefault="002665E5" w:rsidP="00B40E38">
            <w:pPr>
              <w:pStyle w:val="SingleParagraph"/>
              <w:rPr>
                <w:rFonts w:ascii="Book Antiqua" w:hAnsi="Book Antiqua"/>
                <w:lang w:val="en-GB"/>
              </w:rPr>
            </w:pPr>
          </w:p>
        </w:tc>
      </w:tr>
      <w:tr w:rsidR="002665E5" w:rsidRPr="00A50751" w14:paraId="7CEC8469" w14:textId="77777777" w:rsidTr="00B40E38">
        <w:trPr>
          <w:cantSplit/>
          <w:jc w:val="center"/>
        </w:trPr>
        <w:tc>
          <w:tcPr>
            <w:tcW w:w="4536" w:type="dxa"/>
          </w:tcPr>
          <w:p w14:paraId="51179A19"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117FA00E" w14:textId="77777777" w:rsidR="002665E5" w:rsidRPr="00A50751" w:rsidRDefault="002665E5" w:rsidP="00B40E38">
            <w:pPr>
              <w:pStyle w:val="LineForSignature"/>
            </w:pPr>
            <w:r w:rsidRPr="00A50751">
              <w:tab/>
            </w:r>
          </w:p>
          <w:p w14:paraId="682BECEF" w14:textId="77777777" w:rsidR="002665E5" w:rsidRDefault="00A3209E" w:rsidP="00B40E38">
            <w:pPr>
              <w:pStyle w:val="SingleParagraph"/>
              <w:rPr>
                <w:rStyle w:val="Bold"/>
              </w:rPr>
            </w:pPr>
            <w:r>
              <w:rPr>
                <w:rStyle w:val="Bold"/>
              </w:rPr>
              <w:t>Andrew Barr</w:t>
            </w:r>
            <w:r w:rsidR="002665E5">
              <w:rPr>
                <w:rStyle w:val="Bold"/>
              </w:rPr>
              <w:t xml:space="preserve"> MLA</w:t>
            </w:r>
          </w:p>
          <w:p w14:paraId="782D8156" w14:textId="77777777" w:rsidR="002665E5" w:rsidRPr="00A50751" w:rsidRDefault="002665E5" w:rsidP="00B40E38">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04C7AB65"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7B06EB93" w14:textId="77777777" w:rsidR="002665E5" w:rsidRPr="00A50751" w:rsidRDefault="002665E5" w:rsidP="00B40E38">
            <w:pPr>
              <w:rPr>
                <w:rFonts w:ascii="Book Antiqua" w:hAnsi="Book Antiqua"/>
                <w:lang w:val="en-GB"/>
              </w:rPr>
            </w:pPr>
          </w:p>
        </w:tc>
        <w:tc>
          <w:tcPr>
            <w:tcW w:w="4536" w:type="dxa"/>
          </w:tcPr>
          <w:p w14:paraId="538854D9"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302BD8C8" w14:textId="77777777" w:rsidR="002665E5" w:rsidRPr="00A50751" w:rsidRDefault="002665E5" w:rsidP="00B40E38">
            <w:pPr>
              <w:pStyle w:val="LineForSignature"/>
            </w:pPr>
            <w:r w:rsidRPr="00A50751">
              <w:tab/>
            </w:r>
          </w:p>
          <w:p w14:paraId="1D28433B" w14:textId="77777777" w:rsidR="002665E5" w:rsidRDefault="005C2111" w:rsidP="005C2111">
            <w:pPr>
              <w:pStyle w:val="SingleParagraph"/>
              <w:rPr>
                <w:rStyle w:val="Bold"/>
              </w:rPr>
            </w:pPr>
            <w:r>
              <w:rPr>
                <w:rStyle w:val="Bold"/>
              </w:rPr>
              <w:t xml:space="preserve">The Honourable </w:t>
            </w:r>
            <w:r w:rsidR="0034186E">
              <w:rPr>
                <w:rStyle w:val="Bold"/>
              </w:rPr>
              <w:t>Michael Gunner</w:t>
            </w:r>
            <w:r w:rsidR="002665E5">
              <w:rPr>
                <w:rStyle w:val="Bold"/>
              </w:rPr>
              <w:t xml:space="preserve"> MLA</w:t>
            </w:r>
          </w:p>
          <w:p w14:paraId="2CA7E85B" w14:textId="77777777" w:rsidR="002665E5" w:rsidRPr="00A50751" w:rsidRDefault="002665E5" w:rsidP="00B40E38">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4089AE32"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bl>
    <w:p w14:paraId="2F57C911" w14:textId="18DFFC24" w:rsidR="008843EE" w:rsidRPr="009411BC" w:rsidRDefault="008843EE" w:rsidP="00416920">
      <w:pPr>
        <w:rPr>
          <w:color w:val="auto"/>
        </w:rPr>
      </w:pPr>
    </w:p>
    <w:sectPr w:rsidR="008843EE" w:rsidRPr="009411BC" w:rsidSect="00CA7660">
      <w:headerReference w:type="default" r:id="rId14"/>
      <w:footerReference w:type="even" r:id="rId15"/>
      <w:footerReference w:type="default" r:id="rId16"/>
      <w:footerReference w:type="first" r:id="rId17"/>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0460" w14:textId="77777777" w:rsidR="0075602D" w:rsidRDefault="0075602D">
      <w:r>
        <w:separator/>
      </w:r>
    </w:p>
  </w:endnote>
  <w:endnote w:type="continuationSeparator" w:id="0">
    <w:p w14:paraId="5EEF2C23" w14:textId="77777777" w:rsidR="0075602D" w:rsidRDefault="0075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BFA4" w14:textId="77777777" w:rsidR="0075602D" w:rsidRDefault="0075602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41CE" w14:textId="0DD776FE" w:rsidR="00CA7660" w:rsidRDefault="00CA7660">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6964">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45BD" w14:textId="065E57E1" w:rsidR="0075602D" w:rsidRDefault="0075602D" w:rsidP="00751725">
    <w:pPr>
      <w:pStyle w:val="FooterEven"/>
      <w:jc w:val="right"/>
    </w:pPr>
    <w:r>
      <w:t>Page</w:t>
    </w:r>
    <w:r w:rsidR="00CA7660">
      <w:t xml:space="preserv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864" w14:textId="77777777" w:rsidR="0075602D" w:rsidRDefault="0075602D">
      <w:r>
        <w:separator/>
      </w:r>
    </w:p>
  </w:footnote>
  <w:footnote w:type="continuationSeparator" w:id="0">
    <w:p w14:paraId="6FCD94B0" w14:textId="77777777" w:rsidR="0075602D" w:rsidRDefault="0075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EC63" w14:textId="77777777" w:rsidR="00CA7660" w:rsidRPr="00814590" w:rsidRDefault="00CA7660">
    <w:pPr>
      <w:pStyle w:val="HeaderOdd"/>
      <w:tabs>
        <w:tab w:val="num" w:pos="1134"/>
      </w:tabs>
      <w:rPr>
        <w:color w:val="800000"/>
      </w:rPr>
    </w:pPr>
    <w:r w:rsidRPr="00814590">
      <w:rPr>
        <w:color w:val="800000"/>
      </w:rPr>
      <w:t>National Partnership Agreement on</w:t>
    </w:r>
    <w:r>
      <w:rPr>
        <w:color w:val="800000"/>
      </w:rPr>
      <w:t xml:space="preserve"> Disaster Risk Reduction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1621B"/>
    <w:multiLevelType w:val="hybridMultilevel"/>
    <w:tmpl w:val="F42A9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15:restartNumberingAfterBreak="0">
    <w:nsid w:val="17C106D6"/>
    <w:multiLevelType w:val="hybridMultilevel"/>
    <w:tmpl w:val="C44C4880"/>
    <w:lvl w:ilvl="0" w:tplc="0C090001">
      <w:start w:val="3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9" w15:restartNumberingAfterBreak="0">
    <w:nsid w:val="2094123F"/>
    <w:multiLevelType w:val="hybridMultilevel"/>
    <w:tmpl w:val="40C05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15:restartNumberingAfterBreak="0">
    <w:nsid w:val="29E86952"/>
    <w:multiLevelType w:val="hybridMultilevel"/>
    <w:tmpl w:val="914E0B62"/>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363215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37784417"/>
    <w:multiLevelType w:val="hybridMultilevel"/>
    <w:tmpl w:val="CC1E4A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1" w15:restartNumberingAfterBreak="0">
    <w:nsid w:val="4AC80E9B"/>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55706245"/>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4"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29"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1" w15:restartNumberingAfterBreak="0">
    <w:nsid w:val="7469275F"/>
    <w:multiLevelType w:val="hybridMultilevel"/>
    <w:tmpl w:val="2E2EF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3" w15:restartNumberingAfterBreak="0">
    <w:nsid w:val="78854AAC"/>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3C3B56"/>
    <w:multiLevelType w:val="hybridMultilevel"/>
    <w:tmpl w:val="E4808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22"/>
  </w:num>
  <w:num w:numId="8">
    <w:abstractNumId w:val="25"/>
  </w:num>
  <w:num w:numId="9">
    <w:abstractNumId w:val="6"/>
  </w:num>
  <w:num w:numId="10">
    <w:abstractNumId w:val="27"/>
  </w:num>
  <w:num w:numId="11">
    <w:abstractNumId w:val="12"/>
  </w:num>
  <w:num w:numId="12">
    <w:abstractNumId w:val="16"/>
  </w:num>
  <w:num w:numId="13">
    <w:abstractNumId w:val="7"/>
  </w:num>
  <w:num w:numId="14">
    <w:abstractNumId w:val="13"/>
  </w:num>
  <w:num w:numId="15">
    <w:abstractNumId w:val="33"/>
  </w:num>
  <w:num w:numId="16">
    <w:abstractNumId w:val="3"/>
  </w:num>
  <w:num w:numId="17">
    <w:abstractNumId w:val="24"/>
  </w:num>
  <w:num w:numId="18">
    <w:abstractNumId w:val="30"/>
  </w:num>
  <w:num w:numId="19">
    <w:abstractNumId w:val="20"/>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0"/>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num>
  <w:num w:numId="34">
    <w:abstractNumId w:val="2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31"/>
    </w:lvlOverride>
  </w:num>
  <w:num w:numId="36">
    <w:abstractNumId w:val="33"/>
  </w:num>
  <w:num w:numId="37">
    <w:abstractNumId w:val="33"/>
  </w:num>
  <w:num w:numId="38">
    <w:abstractNumId w:val="33"/>
  </w:num>
  <w:num w:numId="39">
    <w:abstractNumId w:val="33"/>
  </w:num>
  <w:num w:numId="4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3"/>
  </w:num>
  <w:num w:numId="43">
    <w:abstractNumId w:val="33"/>
  </w:num>
  <w:num w:numId="44">
    <w:abstractNumId w:val="33"/>
  </w:num>
  <w:num w:numId="45">
    <w:abstractNumId w:val="29"/>
  </w:num>
  <w:num w:numId="46">
    <w:abstractNumId w:val="17"/>
  </w:num>
  <w:num w:numId="47">
    <w:abstractNumId w:val="21"/>
  </w:num>
  <w:num w:numId="48">
    <w:abstractNumId w:val="5"/>
  </w:num>
  <w:num w:numId="49">
    <w:abstractNumId w:val="22"/>
    <w:lvlOverride w:ilvl="0">
      <w:startOverride w:val="1"/>
    </w:lvlOverride>
  </w:num>
  <w:num w:numId="50">
    <w:abstractNumId w:val="22"/>
    <w:lvlOverride w:ilvl="0">
      <w:startOverride w:val="1"/>
    </w:lvlOverride>
  </w:num>
  <w:num w:numId="51">
    <w:abstractNumId w:val="16"/>
  </w:num>
  <w:num w:numId="52">
    <w:abstractNumId w:val="23"/>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22"/>
  </w:num>
  <w:num w:numId="63">
    <w:abstractNumId w:val="22"/>
    <w:lvlOverride w:ilvl="0">
      <w:startOverride w:val="1"/>
    </w:lvlOverride>
  </w:num>
  <w:num w:numId="64">
    <w:abstractNumId w:val="16"/>
  </w:num>
  <w:num w:numId="65">
    <w:abstractNumId w:val="16"/>
  </w:num>
  <w:num w:numId="66">
    <w:abstractNumId w:val="16"/>
  </w:num>
  <w:num w:numId="67">
    <w:abstractNumId w:val="15"/>
  </w:num>
  <w:num w:numId="68">
    <w:abstractNumId w:val="31"/>
  </w:num>
  <w:num w:numId="69">
    <w:abstractNumId w:val="9"/>
  </w:num>
  <w:num w:numId="70">
    <w:abstractNumId w:val="18"/>
  </w:num>
  <w:num w:numId="71">
    <w:abstractNumId w:val="1"/>
  </w:num>
  <w:num w:numId="72">
    <w:abstractNumId w:val="1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16"/>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79C"/>
    <w:rsid w:val="0000225C"/>
    <w:rsid w:val="000044E7"/>
    <w:rsid w:val="00005A5D"/>
    <w:rsid w:val="000064E1"/>
    <w:rsid w:val="000076D9"/>
    <w:rsid w:val="00012EF4"/>
    <w:rsid w:val="00013D4E"/>
    <w:rsid w:val="00014D80"/>
    <w:rsid w:val="00014EBE"/>
    <w:rsid w:val="00015DC4"/>
    <w:rsid w:val="00017E7B"/>
    <w:rsid w:val="00020B8F"/>
    <w:rsid w:val="00020DB1"/>
    <w:rsid w:val="00021708"/>
    <w:rsid w:val="000228A0"/>
    <w:rsid w:val="00025539"/>
    <w:rsid w:val="0003074A"/>
    <w:rsid w:val="000373D8"/>
    <w:rsid w:val="000418C8"/>
    <w:rsid w:val="000447B9"/>
    <w:rsid w:val="000463B9"/>
    <w:rsid w:val="00046AA8"/>
    <w:rsid w:val="00047F6E"/>
    <w:rsid w:val="00051895"/>
    <w:rsid w:val="00060B5C"/>
    <w:rsid w:val="0006140E"/>
    <w:rsid w:val="0006392B"/>
    <w:rsid w:val="00064382"/>
    <w:rsid w:val="0006451A"/>
    <w:rsid w:val="00064D05"/>
    <w:rsid w:val="00065DA2"/>
    <w:rsid w:val="00065EE6"/>
    <w:rsid w:val="0007004C"/>
    <w:rsid w:val="0007028A"/>
    <w:rsid w:val="000724F6"/>
    <w:rsid w:val="00073022"/>
    <w:rsid w:val="00073A8D"/>
    <w:rsid w:val="00074611"/>
    <w:rsid w:val="000768EA"/>
    <w:rsid w:val="00077F4D"/>
    <w:rsid w:val="00080983"/>
    <w:rsid w:val="000849C8"/>
    <w:rsid w:val="00084B3E"/>
    <w:rsid w:val="00085966"/>
    <w:rsid w:val="000869CA"/>
    <w:rsid w:val="00091DF8"/>
    <w:rsid w:val="00093DD8"/>
    <w:rsid w:val="000A05AC"/>
    <w:rsid w:val="000A0C9E"/>
    <w:rsid w:val="000A2C32"/>
    <w:rsid w:val="000A5191"/>
    <w:rsid w:val="000A5250"/>
    <w:rsid w:val="000A72D2"/>
    <w:rsid w:val="000A7553"/>
    <w:rsid w:val="000B6EE4"/>
    <w:rsid w:val="000C2658"/>
    <w:rsid w:val="000C714F"/>
    <w:rsid w:val="000C7F8B"/>
    <w:rsid w:val="000D051B"/>
    <w:rsid w:val="000D19D8"/>
    <w:rsid w:val="000D1C37"/>
    <w:rsid w:val="000D2B3F"/>
    <w:rsid w:val="000D3CD9"/>
    <w:rsid w:val="000D4377"/>
    <w:rsid w:val="000E0898"/>
    <w:rsid w:val="000E19C0"/>
    <w:rsid w:val="000E3C70"/>
    <w:rsid w:val="000E48C3"/>
    <w:rsid w:val="000E4C34"/>
    <w:rsid w:val="000E6DCF"/>
    <w:rsid w:val="000F0173"/>
    <w:rsid w:val="000F0254"/>
    <w:rsid w:val="000F041A"/>
    <w:rsid w:val="000F0880"/>
    <w:rsid w:val="000F3508"/>
    <w:rsid w:val="000F4618"/>
    <w:rsid w:val="000F5021"/>
    <w:rsid w:val="000F5520"/>
    <w:rsid w:val="000F6CF6"/>
    <w:rsid w:val="00101046"/>
    <w:rsid w:val="00103FD6"/>
    <w:rsid w:val="001049DA"/>
    <w:rsid w:val="0010573C"/>
    <w:rsid w:val="001065EE"/>
    <w:rsid w:val="00106F50"/>
    <w:rsid w:val="00110B42"/>
    <w:rsid w:val="00110F5D"/>
    <w:rsid w:val="00110FB8"/>
    <w:rsid w:val="00112617"/>
    <w:rsid w:val="00112657"/>
    <w:rsid w:val="00113A0D"/>
    <w:rsid w:val="00113ADB"/>
    <w:rsid w:val="00114AA5"/>
    <w:rsid w:val="001165C0"/>
    <w:rsid w:val="00116D32"/>
    <w:rsid w:val="00122DBA"/>
    <w:rsid w:val="00127A23"/>
    <w:rsid w:val="00131246"/>
    <w:rsid w:val="0013156A"/>
    <w:rsid w:val="00132587"/>
    <w:rsid w:val="001337AA"/>
    <w:rsid w:val="00133BE0"/>
    <w:rsid w:val="0013410C"/>
    <w:rsid w:val="001354D9"/>
    <w:rsid w:val="0013646D"/>
    <w:rsid w:val="001404A9"/>
    <w:rsid w:val="00140F43"/>
    <w:rsid w:val="00141912"/>
    <w:rsid w:val="00142660"/>
    <w:rsid w:val="00143DCA"/>
    <w:rsid w:val="0014579A"/>
    <w:rsid w:val="00145D5C"/>
    <w:rsid w:val="001465BC"/>
    <w:rsid w:val="0015073F"/>
    <w:rsid w:val="00150CEF"/>
    <w:rsid w:val="00153DE8"/>
    <w:rsid w:val="00155636"/>
    <w:rsid w:val="00160506"/>
    <w:rsid w:val="00160E94"/>
    <w:rsid w:val="00162E9B"/>
    <w:rsid w:val="00163C3F"/>
    <w:rsid w:val="00165729"/>
    <w:rsid w:val="00166312"/>
    <w:rsid w:val="00166581"/>
    <w:rsid w:val="00166BAE"/>
    <w:rsid w:val="00167BB8"/>
    <w:rsid w:val="00170C25"/>
    <w:rsid w:val="00173F81"/>
    <w:rsid w:val="00174C2A"/>
    <w:rsid w:val="00174F28"/>
    <w:rsid w:val="00175FB9"/>
    <w:rsid w:val="00177237"/>
    <w:rsid w:val="00177298"/>
    <w:rsid w:val="001775DC"/>
    <w:rsid w:val="001804EC"/>
    <w:rsid w:val="00181240"/>
    <w:rsid w:val="00182B82"/>
    <w:rsid w:val="001835C3"/>
    <w:rsid w:val="0018391C"/>
    <w:rsid w:val="00183C87"/>
    <w:rsid w:val="00183EAB"/>
    <w:rsid w:val="00185CC1"/>
    <w:rsid w:val="0018692E"/>
    <w:rsid w:val="00186964"/>
    <w:rsid w:val="00187B0E"/>
    <w:rsid w:val="00187BEB"/>
    <w:rsid w:val="00191CFE"/>
    <w:rsid w:val="001931E8"/>
    <w:rsid w:val="00194232"/>
    <w:rsid w:val="001955E8"/>
    <w:rsid w:val="00196229"/>
    <w:rsid w:val="0019788A"/>
    <w:rsid w:val="001A0FD0"/>
    <w:rsid w:val="001A1422"/>
    <w:rsid w:val="001A3527"/>
    <w:rsid w:val="001A3A9A"/>
    <w:rsid w:val="001A3FD8"/>
    <w:rsid w:val="001A4093"/>
    <w:rsid w:val="001A61EA"/>
    <w:rsid w:val="001A668D"/>
    <w:rsid w:val="001A710A"/>
    <w:rsid w:val="001A7A15"/>
    <w:rsid w:val="001B19A0"/>
    <w:rsid w:val="001B1C7F"/>
    <w:rsid w:val="001B1CA3"/>
    <w:rsid w:val="001B2DFE"/>
    <w:rsid w:val="001B32AC"/>
    <w:rsid w:val="001B7933"/>
    <w:rsid w:val="001C346E"/>
    <w:rsid w:val="001C3717"/>
    <w:rsid w:val="001C3C2B"/>
    <w:rsid w:val="001C4BC9"/>
    <w:rsid w:val="001C5B48"/>
    <w:rsid w:val="001C5CC5"/>
    <w:rsid w:val="001C6D9E"/>
    <w:rsid w:val="001D14BB"/>
    <w:rsid w:val="001D230F"/>
    <w:rsid w:val="001D3333"/>
    <w:rsid w:val="001D3663"/>
    <w:rsid w:val="001D4852"/>
    <w:rsid w:val="001D48EC"/>
    <w:rsid w:val="001D62EB"/>
    <w:rsid w:val="001D6C45"/>
    <w:rsid w:val="001E20EC"/>
    <w:rsid w:val="001E2591"/>
    <w:rsid w:val="001E3CCA"/>
    <w:rsid w:val="001E4055"/>
    <w:rsid w:val="001E599C"/>
    <w:rsid w:val="001E7173"/>
    <w:rsid w:val="001E74D0"/>
    <w:rsid w:val="001F0ECF"/>
    <w:rsid w:val="001F4549"/>
    <w:rsid w:val="001F6F39"/>
    <w:rsid w:val="001F6FE8"/>
    <w:rsid w:val="00203681"/>
    <w:rsid w:val="00203BD2"/>
    <w:rsid w:val="00205E18"/>
    <w:rsid w:val="00206986"/>
    <w:rsid w:val="002077C7"/>
    <w:rsid w:val="002106A6"/>
    <w:rsid w:val="00211303"/>
    <w:rsid w:val="00213C96"/>
    <w:rsid w:val="00220068"/>
    <w:rsid w:val="002204CF"/>
    <w:rsid w:val="00221308"/>
    <w:rsid w:val="0022141E"/>
    <w:rsid w:val="00222C97"/>
    <w:rsid w:val="00226D19"/>
    <w:rsid w:val="00227D41"/>
    <w:rsid w:val="00230BF8"/>
    <w:rsid w:val="0023212B"/>
    <w:rsid w:val="00235DCD"/>
    <w:rsid w:val="00237B99"/>
    <w:rsid w:val="00240716"/>
    <w:rsid w:val="002418F8"/>
    <w:rsid w:val="00247D45"/>
    <w:rsid w:val="00251007"/>
    <w:rsid w:val="00252761"/>
    <w:rsid w:val="00254106"/>
    <w:rsid w:val="00254AF8"/>
    <w:rsid w:val="002561CF"/>
    <w:rsid w:val="00261BC9"/>
    <w:rsid w:val="00261E8C"/>
    <w:rsid w:val="002620D2"/>
    <w:rsid w:val="00262E18"/>
    <w:rsid w:val="002633C2"/>
    <w:rsid w:val="0026455E"/>
    <w:rsid w:val="002665E5"/>
    <w:rsid w:val="0027078E"/>
    <w:rsid w:val="00272C83"/>
    <w:rsid w:val="00276503"/>
    <w:rsid w:val="00277646"/>
    <w:rsid w:val="00282C25"/>
    <w:rsid w:val="00283C73"/>
    <w:rsid w:val="002847F2"/>
    <w:rsid w:val="0028482E"/>
    <w:rsid w:val="00285003"/>
    <w:rsid w:val="00285D2A"/>
    <w:rsid w:val="00287DCC"/>
    <w:rsid w:val="00290B0B"/>
    <w:rsid w:val="00291CF1"/>
    <w:rsid w:val="00292CB6"/>
    <w:rsid w:val="002942E1"/>
    <w:rsid w:val="002A143D"/>
    <w:rsid w:val="002A3477"/>
    <w:rsid w:val="002A493A"/>
    <w:rsid w:val="002A49B0"/>
    <w:rsid w:val="002A530A"/>
    <w:rsid w:val="002A69B0"/>
    <w:rsid w:val="002B2B3F"/>
    <w:rsid w:val="002B4001"/>
    <w:rsid w:val="002B659E"/>
    <w:rsid w:val="002B7922"/>
    <w:rsid w:val="002B7E1B"/>
    <w:rsid w:val="002C04DA"/>
    <w:rsid w:val="002C0D5E"/>
    <w:rsid w:val="002C2529"/>
    <w:rsid w:val="002C4242"/>
    <w:rsid w:val="002C62B3"/>
    <w:rsid w:val="002C695E"/>
    <w:rsid w:val="002C6D45"/>
    <w:rsid w:val="002C7620"/>
    <w:rsid w:val="002C7B04"/>
    <w:rsid w:val="002D0A50"/>
    <w:rsid w:val="002D0EF4"/>
    <w:rsid w:val="002D1A33"/>
    <w:rsid w:val="002D1A59"/>
    <w:rsid w:val="002D1D66"/>
    <w:rsid w:val="002D3470"/>
    <w:rsid w:val="002D7115"/>
    <w:rsid w:val="002D7CF9"/>
    <w:rsid w:val="002E2593"/>
    <w:rsid w:val="002E2B50"/>
    <w:rsid w:val="002E4B66"/>
    <w:rsid w:val="002E6216"/>
    <w:rsid w:val="002F0278"/>
    <w:rsid w:val="002F220E"/>
    <w:rsid w:val="002F576E"/>
    <w:rsid w:val="002F5C6C"/>
    <w:rsid w:val="002F6F36"/>
    <w:rsid w:val="002F7CCE"/>
    <w:rsid w:val="002F7E40"/>
    <w:rsid w:val="003012DA"/>
    <w:rsid w:val="00301A73"/>
    <w:rsid w:val="00304579"/>
    <w:rsid w:val="003056FE"/>
    <w:rsid w:val="00306A2F"/>
    <w:rsid w:val="00307C5C"/>
    <w:rsid w:val="003102B6"/>
    <w:rsid w:val="003105F2"/>
    <w:rsid w:val="00310FBA"/>
    <w:rsid w:val="00313480"/>
    <w:rsid w:val="00314677"/>
    <w:rsid w:val="003151E5"/>
    <w:rsid w:val="003155BD"/>
    <w:rsid w:val="00315E33"/>
    <w:rsid w:val="0032082B"/>
    <w:rsid w:val="00321E0A"/>
    <w:rsid w:val="003221D0"/>
    <w:rsid w:val="00325F86"/>
    <w:rsid w:val="00326883"/>
    <w:rsid w:val="0032726D"/>
    <w:rsid w:val="00327E9A"/>
    <w:rsid w:val="00330103"/>
    <w:rsid w:val="00330A9E"/>
    <w:rsid w:val="00331553"/>
    <w:rsid w:val="0033298D"/>
    <w:rsid w:val="00332E5D"/>
    <w:rsid w:val="00333506"/>
    <w:rsid w:val="00333EE4"/>
    <w:rsid w:val="00335E2C"/>
    <w:rsid w:val="00336371"/>
    <w:rsid w:val="00336F12"/>
    <w:rsid w:val="00337C78"/>
    <w:rsid w:val="003410AA"/>
    <w:rsid w:val="0034186E"/>
    <w:rsid w:val="003517EC"/>
    <w:rsid w:val="00352A6B"/>
    <w:rsid w:val="00352EC1"/>
    <w:rsid w:val="00353CC5"/>
    <w:rsid w:val="003547AB"/>
    <w:rsid w:val="00360326"/>
    <w:rsid w:val="0036169C"/>
    <w:rsid w:val="003626F2"/>
    <w:rsid w:val="00364CF3"/>
    <w:rsid w:val="00365A66"/>
    <w:rsid w:val="00367EAB"/>
    <w:rsid w:val="00370140"/>
    <w:rsid w:val="00372573"/>
    <w:rsid w:val="00374F39"/>
    <w:rsid w:val="00375F40"/>
    <w:rsid w:val="00377AB2"/>
    <w:rsid w:val="003814B3"/>
    <w:rsid w:val="00382E81"/>
    <w:rsid w:val="00385BB3"/>
    <w:rsid w:val="00387776"/>
    <w:rsid w:val="003879B6"/>
    <w:rsid w:val="0039186C"/>
    <w:rsid w:val="003918A9"/>
    <w:rsid w:val="00391D29"/>
    <w:rsid w:val="0039201F"/>
    <w:rsid w:val="0039283B"/>
    <w:rsid w:val="003929D5"/>
    <w:rsid w:val="00392A44"/>
    <w:rsid w:val="00394D22"/>
    <w:rsid w:val="00394FC4"/>
    <w:rsid w:val="00396EA4"/>
    <w:rsid w:val="003972CF"/>
    <w:rsid w:val="003978D3"/>
    <w:rsid w:val="003A22B3"/>
    <w:rsid w:val="003A3363"/>
    <w:rsid w:val="003A36B3"/>
    <w:rsid w:val="003A3905"/>
    <w:rsid w:val="003A3CC1"/>
    <w:rsid w:val="003A6635"/>
    <w:rsid w:val="003A68F3"/>
    <w:rsid w:val="003A6B0E"/>
    <w:rsid w:val="003B073D"/>
    <w:rsid w:val="003B2A2D"/>
    <w:rsid w:val="003B444F"/>
    <w:rsid w:val="003B5562"/>
    <w:rsid w:val="003B6140"/>
    <w:rsid w:val="003B737F"/>
    <w:rsid w:val="003C044E"/>
    <w:rsid w:val="003C179F"/>
    <w:rsid w:val="003C2450"/>
    <w:rsid w:val="003C3376"/>
    <w:rsid w:val="003C55B3"/>
    <w:rsid w:val="003D0934"/>
    <w:rsid w:val="003D1BEF"/>
    <w:rsid w:val="003D2436"/>
    <w:rsid w:val="003D26BA"/>
    <w:rsid w:val="003D448E"/>
    <w:rsid w:val="003D77D0"/>
    <w:rsid w:val="003E4C17"/>
    <w:rsid w:val="003E5D96"/>
    <w:rsid w:val="003E6BA0"/>
    <w:rsid w:val="003E73DB"/>
    <w:rsid w:val="003E7F07"/>
    <w:rsid w:val="003F59E6"/>
    <w:rsid w:val="004040EB"/>
    <w:rsid w:val="0040426D"/>
    <w:rsid w:val="004043B6"/>
    <w:rsid w:val="00404A4A"/>
    <w:rsid w:val="0040721C"/>
    <w:rsid w:val="004120B1"/>
    <w:rsid w:val="004124D3"/>
    <w:rsid w:val="0041404E"/>
    <w:rsid w:val="0041421D"/>
    <w:rsid w:val="00414A5C"/>
    <w:rsid w:val="004156B4"/>
    <w:rsid w:val="00416920"/>
    <w:rsid w:val="0041697F"/>
    <w:rsid w:val="00421F66"/>
    <w:rsid w:val="004223AA"/>
    <w:rsid w:val="00423104"/>
    <w:rsid w:val="004262BE"/>
    <w:rsid w:val="004267D3"/>
    <w:rsid w:val="00430FCA"/>
    <w:rsid w:val="00433656"/>
    <w:rsid w:val="004338EA"/>
    <w:rsid w:val="00433C6B"/>
    <w:rsid w:val="00433E65"/>
    <w:rsid w:val="004353D0"/>
    <w:rsid w:val="004374B2"/>
    <w:rsid w:val="00440A90"/>
    <w:rsid w:val="00440C8F"/>
    <w:rsid w:val="00442AB8"/>
    <w:rsid w:val="004436EA"/>
    <w:rsid w:val="00444C89"/>
    <w:rsid w:val="00450B39"/>
    <w:rsid w:val="00454498"/>
    <w:rsid w:val="00455830"/>
    <w:rsid w:val="00455AA5"/>
    <w:rsid w:val="00456C59"/>
    <w:rsid w:val="0046371B"/>
    <w:rsid w:val="00464937"/>
    <w:rsid w:val="00466FC6"/>
    <w:rsid w:val="00470CC9"/>
    <w:rsid w:val="00472C14"/>
    <w:rsid w:val="00472C5A"/>
    <w:rsid w:val="00475BBD"/>
    <w:rsid w:val="004823E1"/>
    <w:rsid w:val="004829C1"/>
    <w:rsid w:val="0048535D"/>
    <w:rsid w:val="00486B8D"/>
    <w:rsid w:val="00487FE4"/>
    <w:rsid w:val="00490198"/>
    <w:rsid w:val="00490288"/>
    <w:rsid w:val="00490352"/>
    <w:rsid w:val="00490506"/>
    <w:rsid w:val="00490E28"/>
    <w:rsid w:val="00491A9F"/>
    <w:rsid w:val="004937CE"/>
    <w:rsid w:val="00493AB2"/>
    <w:rsid w:val="00494435"/>
    <w:rsid w:val="0049645A"/>
    <w:rsid w:val="00496930"/>
    <w:rsid w:val="00497362"/>
    <w:rsid w:val="00497E2A"/>
    <w:rsid w:val="004A0AE7"/>
    <w:rsid w:val="004A5858"/>
    <w:rsid w:val="004A5DF7"/>
    <w:rsid w:val="004A5F99"/>
    <w:rsid w:val="004A6062"/>
    <w:rsid w:val="004A7422"/>
    <w:rsid w:val="004A770F"/>
    <w:rsid w:val="004B1F38"/>
    <w:rsid w:val="004B27C1"/>
    <w:rsid w:val="004C1697"/>
    <w:rsid w:val="004C1A03"/>
    <w:rsid w:val="004C4FFC"/>
    <w:rsid w:val="004C5EFB"/>
    <w:rsid w:val="004C5F61"/>
    <w:rsid w:val="004C665A"/>
    <w:rsid w:val="004D310E"/>
    <w:rsid w:val="004D34C8"/>
    <w:rsid w:val="004D3638"/>
    <w:rsid w:val="004D37D8"/>
    <w:rsid w:val="004D442E"/>
    <w:rsid w:val="004D4B81"/>
    <w:rsid w:val="004D5739"/>
    <w:rsid w:val="004E11AE"/>
    <w:rsid w:val="004E2BF1"/>
    <w:rsid w:val="004E6528"/>
    <w:rsid w:val="004F0471"/>
    <w:rsid w:val="004F1A05"/>
    <w:rsid w:val="004F3F14"/>
    <w:rsid w:val="004F4344"/>
    <w:rsid w:val="004F516E"/>
    <w:rsid w:val="004F6683"/>
    <w:rsid w:val="004F6B2B"/>
    <w:rsid w:val="005005DF"/>
    <w:rsid w:val="005006AD"/>
    <w:rsid w:val="00500B17"/>
    <w:rsid w:val="00505045"/>
    <w:rsid w:val="00511501"/>
    <w:rsid w:val="00514505"/>
    <w:rsid w:val="0051602E"/>
    <w:rsid w:val="0051640E"/>
    <w:rsid w:val="00516741"/>
    <w:rsid w:val="0051697E"/>
    <w:rsid w:val="005175A3"/>
    <w:rsid w:val="005230F6"/>
    <w:rsid w:val="005256C3"/>
    <w:rsid w:val="00525719"/>
    <w:rsid w:val="00526868"/>
    <w:rsid w:val="005270BD"/>
    <w:rsid w:val="00527ABC"/>
    <w:rsid w:val="0053094D"/>
    <w:rsid w:val="0053117C"/>
    <w:rsid w:val="0053257B"/>
    <w:rsid w:val="0053438F"/>
    <w:rsid w:val="005350F1"/>
    <w:rsid w:val="00535783"/>
    <w:rsid w:val="0054193D"/>
    <w:rsid w:val="005427B7"/>
    <w:rsid w:val="00542D59"/>
    <w:rsid w:val="00543576"/>
    <w:rsid w:val="005462A5"/>
    <w:rsid w:val="00551C01"/>
    <w:rsid w:val="00552455"/>
    <w:rsid w:val="00552906"/>
    <w:rsid w:val="00553FBF"/>
    <w:rsid w:val="00554572"/>
    <w:rsid w:val="0055503F"/>
    <w:rsid w:val="00560D16"/>
    <w:rsid w:val="00561768"/>
    <w:rsid w:val="005624A6"/>
    <w:rsid w:val="00563A5A"/>
    <w:rsid w:val="00566234"/>
    <w:rsid w:val="00566E21"/>
    <w:rsid w:val="00567371"/>
    <w:rsid w:val="00567475"/>
    <w:rsid w:val="0057262B"/>
    <w:rsid w:val="00577721"/>
    <w:rsid w:val="00580C15"/>
    <w:rsid w:val="00581A66"/>
    <w:rsid w:val="0058297B"/>
    <w:rsid w:val="00582A03"/>
    <w:rsid w:val="00583BD6"/>
    <w:rsid w:val="0058614C"/>
    <w:rsid w:val="00596E88"/>
    <w:rsid w:val="005A0969"/>
    <w:rsid w:val="005A09B1"/>
    <w:rsid w:val="005A4B86"/>
    <w:rsid w:val="005A5107"/>
    <w:rsid w:val="005A53F6"/>
    <w:rsid w:val="005B01E0"/>
    <w:rsid w:val="005B30C5"/>
    <w:rsid w:val="005B344F"/>
    <w:rsid w:val="005B7972"/>
    <w:rsid w:val="005B7AAE"/>
    <w:rsid w:val="005C038B"/>
    <w:rsid w:val="005C0619"/>
    <w:rsid w:val="005C09FD"/>
    <w:rsid w:val="005C13BC"/>
    <w:rsid w:val="005C2111"/>
    <w:rsid w:val="005C2684"/>
    <w:rsid w:val="005C2DDC"/>
    <w:rsid w:val="005C5620"/>
    <w:rsid w:val="005C5979"/>
    <w:rsid w:val="005C7AFF"/>
    <w:rsid w:val="005D22F7"/>
    <w:rsid w:val="005D41F9"/>
    <w:rsid w:val="005D4A4E"/>
    <w:rsid w:val="005E0E48"/>
    <w:rsid w:val="005E1297"/>
    <w:rsid w:val="005E6ED3"/>
    <w:rsid w:val="005E724B"/>
    <w:rsid w:val="005F1E3F"/>
    <w:rsid w:val="005F584B"/>
    <w:rsid w:val="005F71C1"/>
    <w:rsid w:val="005F7CC6"/>
    <w:rsid w:val="00600353"/>
    <w:rsid w:val="006005FE"/>
    <w:rsid w:val="00602CCA"/>
    <w:rsid w:val="00602EF7"/>
    <w:rsid w:val="00607B03"/>
    <w:rsid w:val="0061059D"/>
    <w:rsid w:val="00610C9A"/>
    <w:rsid w:val="00610D93"/>
    <w:rsid w:val="00614393"/>
    <w:rsid w:val="006146C7"/>
    <w:rsid w:val="00614A4D"/>
    <w:rsid w:val="00614E24"/>
    <w:rsid w:val="00620DD8"/>
    <w:rsid w:val="0062217C"/>
    <w:rsid w:val="00622557"/>
    <w:rsid w:val="00623567"/>
    <w:rsid w:val="00625F2E"/>
    <w:rsid w:val="00626263"/>
    <w:rsid w:val="00626AE5"/>
    <w:rsid w:val="00631E5E"/>
    <w:rsid w:val="00632427"/>
    <w:rsid w:val="0063397A"/>
    <w:rsid w:val="006376BC"/>
    <w:rsid w:val="00637B26"/>
    <w:rsid w:val="00640006"/>
    <w:rsid w:val="006412B5"/>
    <w:rsid w:val="00641932"/>
    <w:rsid w:val="006425CF"/>
    <w:rsid w:val="0064477C"/>
    <w:rsid w:val="00645507"/>
    <w:rsid w:val="00645910"/>
    <w:rsid w:val="00650903"/>
    <w:rsid w:val="006510CD"/>
    <w:rsid w:val="00651441"/>
    <w:rsid w:val="00653D4C"/>
    <w:rsid w:val="00656743"/>
    <w:rsid w:val="00660333"/>
    <w:rsid w:val="00664413"/>
    <w:rsid w:val="00664688"/>
    <w:rsid w:val="00666F25"/>
    <w:rsid w:val="00666FE5"/>
    <w:rsid w:val="006679C0"/>
    <w:rsid w:val="00673AB2"/>
    <w:rsid w:val="00674EF6"/>
    <w:rsid w:val="00675286"/>
    <w:rsid w:val="00677426"/>
    <w:rsid w:val="006804DF"/>
    <w:rsid w:val="006807D3"/>
    <w:rsid w:val="00680ED5"/>
    <w:rsid w:val="0068149E"/>
    <w:rsid w:val="00681608"/>
    <w:rsid w:val="00681956"/>
    <w:rsid w:val="00682893"/>
    <w:rsid w:val="00682E56"/>
    <w:rsid w:val="00682FBA"/>
    <w:rsid w:val="00683370"/>
    <w:rsid w:val="00683F04"/>
    <w:rsid w:val="00684E54"/>
    <w:rsid w:val="006911BE"/>
    <w:rsid w:val="0069148C"/>
    <w:rsid w:val="00691C2E"/>
    <w:rsid w:val="006923C8"/>
    <w:rsid w:val="0069372F"/>
    <w:rsid w:val="00696AB4"/>
    <w:rsid w:val="006976BF"/>
    <w:rsid w:val="006A05D7"/>
    <w:rsid w:val="006A16E9"/>
    <w:rsid w:val="006A4628"/>
    <w:rsid w:val="006A55F2"/>
    <w:rsid w:val="006B2D1B"/>
    <w:rsid w:val="006B3544"/>
    <w:rsid w:val="006B4213"/>
    <w:rsid w:val="006B4711"/>
    <w:rsid w:val="006B4DF0"/>
    <w:rsid w:val="006B531F"/>
    <w:rsid w:val="006B573F"/>
    <w:rsid w:val="006B5A90"/>
    <w:rsid w:val="006B7444"/>
    <w:rsid w:val="006B7D6A"/>
    <w:rsid w:val="006C00AC"/>
    <w:rsid w:val="006C1013"/>
    <w:rsid w:val="006C1496"/>
    <w:rsid w:val="006C228B"/>
    <w:rsid w:val="006C2931"/>
    <w:rsid w:val="006C4142"/>
    <w:rsid w:val="006C5B09"/>
    <w:rsid w:val="006C7FA2"/>
    <w:rsid w:val="006D2D33"/>
    <w:rsid w:val="006D37F6"/>
    <w:rsid w:val="006D466E"/>
    <w:rsid w:val="006D4B70"/>
    <w:rsid w:val="006D532E"/>
    <w:rsid w:val="006D6848"/>
    <w:rsid w:val="006E2FCD"/>
    <w:rsid w:val="006E3B48"/>
    <w:rsid w:val="006E3E81"/>
    <w:rsid w:val="006E53C0"/>
    <w:rsid w:val="006E6184"/>
    <w:rsid w:val="006E64B4"/>
    <w:rsid w:val="006F03AA"/>
    <w:rsid w:val="006F096A"/>
    <w:rsid w:val="006F0B7A"/>
    <w:rsid w:val="006F2739"/>
    <w:rsid w:val="006F3095"/>
    <w:rsid w:val="006F390C"/>
    <w:rsid w:val="006F5129"/>
    <w:rsid w:val="006F5455"/>
    <w:rsid w:val="006F5CB6"/>
    <w:rsid w:val="006F6BD4"/>
    <w:rsid w:val="006F7EDB"/>
    <w:rsid w:val="0070242A"/>
    <w:rsid w:val="00703194"/>
    <w:rsid w:val="0070472E"/>
    <w:rsid w:val="00704CD0"/>
    <w:rsid w:val="00706D54"/>
    <w:rsid w:val="0070737C"/>
    <w:rsid w:val="0071024F"/>
    <w:rsid w:val="00711229"/>
    <w:rsid w:val="00713745"/>
    <w:rsid w:val="0071468B"/>
    <w:rsid w:val="00715018"/>
    <w:rsid w:val="007150FD"/>
    <w:rsid w:val="00715D38"/>
    <w:rsid w:val="007179FE"/>
    <w:rsid w:val="00717F25"/>
    <w:rsid w:val="007201B1"/>
    <w:rsid w:val="007201FF"/>
    <w:rsid w:val="007219B9"/>
    <w:rsid w:val="00721B2C"/>
    <w:rsid w:val="00722189"/>
    <w:rsid w:val="00723EBB"/>
    <w:rsid w:val="007240E4"/>
    <w:rsid w:val="00724E14"/>
    <w:rsid w:val="00725AD5"/>
    <w:rsid w:val="00726271"/>
    <w:rsid w:val="00726EB4"/>
    <w:rsid w:val="00726FF5"/>
    <w:rsid w:val="0073000F"/>
    <w:rsid w:val="00731945"/>
    <w:rsid w:val="00733D8F"/>
    <w:rsid w:val="0073698D"/>
    <w:rsid w:val="00736C0B"/>
    <w:rsid w:val="0074085A"/>
    <w:rsid w:val="0074529F"/>
    <w:rsid w:val="007452AE"/>
    <w:rsid w:val="00746531"/>
    <w:rsid w:val="007503CD"/>
    <w:rsid w:val="00751153"/>
    <w:rsid w:val="00751725"/>
    <w:rsid w:val="0075316F"/>
    <w:rsid w:val="0075450A"/>
    <w:rsid w:val="00755B01"/>
    <w:rsid w:val="0075602D"/>
    <w:rsid w:val="00757E7E"/>
    <w:rsid w:val="00757EC3"/>
    <w:rsid w:val="0076017E"/>
    <w:rsid w:val="00760DB6"/>
    <w:rsid w:val="00761170"/>
    <w:rsid w:val="00762558"/>
    <w:rsid w:val="00764D85"/>
    <w:rsid w:val="007661AE"/>
    <w:rsid w:val="00766A51"/>
    <w:rsid w:val="00767A3B"/>
    <w:rsid w:val="00772F1C"/>
    <w:rsid w:val="00774288"/>
    <w:rsid w:val="00775C1A"/>
    <w:rsid w:val="007770D8"/>
    <w:rsid w:val="00777610"/>
    <w:rsid w:val="0077788E"/>
    <w:rsid w:val="007778F4"/>
    <w:rsid w:val="007802F1"/>
    <w:rsid w:val="00787E75"/>
    <w:rsid w:val="00793420"/>
    <w:rsid w:val="00793A2E"/>
    <w:rsid w:val="00797E43"/>
    <w:rsid w:val="007A250A"/>
    <w:rsid w:val="007A3157"/>
    <w:rsid w:val="007A6E20"/>
    <w:rsid w:val="007B0141"/>
    <w:rsid w:val="007B080D"/>
    <w:rsid w:val="007B0AB2"/>
    <w:rsid w:val="007B10ED"/>
    <w:rsid w:val="007B317E"/>
    <w:rsid w:val="007B3616"/>
    <w:rsid w:val="007B3BFC"/>
    <w:rsid w:val="007B4B03"/>
    <w:rsid w:val="007B4FC0"/>
    <w:rsid w:val="007B5197"/>
    <w:rsid w:val="007B6372"/>
    <w:rsid w:val="007C1433"/>
    <w:rsid w:val="007C15F4"/>
    <w:rsid w:val="007C691B"/>
    <w:rsid w:val="007D20FF"/>
    <w:rsid w:val="007D550A"/>
    <w:rsid w:val="007D615D"/>
    <w:rsid w:val="007E02F1"/>
    <w:rsid w:val="007E08D4"/>
    <w:rsid w:val="007E471C"/>
    <w:rsid w:val="007E5117"/>
    <w:rsid w:val="007F200D"/>
    <w:rsid w:val="007F2F8F"/>
    <w:rsid w:val="007F4538"/>
    <w:rsid w:val="007F5245"/>
    <w:rsid w:val="00800FEB"/>
    <w:rsid w:val="00803E12"/>
    <w:rsid w:val="00804357"/>
    <w:rsid w:val="00804AEB"/>
    <w:rsid w:val="00807AD8"/>
    <w:rsid w:val="00813CFF"/>
    <w:rsid w:val="00813FC2"/>
    <w:rsid w:val="0081427B"/>
    <w:rsid w:val="00814590"/>
    <w:rsid w:val="00814667"/>
    <w:rsid w:val="00814EAD"/>
    <w:rsid w:val="008156B7"/>
    <w:rsid w:val="00816464"/>
    <w:rsid w:val="008170D4"/>
    <w:rsid w:val="00817D90"/>
    <w:rsid w:val="0082088C"/>
    <w:rsid w:val="0082402C"/>
    <w:rsid w:val="0082581A"/>
    <w:rsid w:val="008262F1"/>
    <w:rsid w:val="00826C57"/>
    <w:rsid w:val="008311FA"/>
    <w:rsid w:val="008317EF"/>
    <w:rsid w:val="008325D4"/>
    <w:rsid w:val="0083302A"/>
    <w:rsid w:val="0083341B"/>
    <w:rsid w:val="00837090"/>
    <w:rsid w:val="00837A93"/>
    <w:rsid w:val="0084147E"/>
    <w:rsid w:val="00841556"/>
    <w:rsid w:val="00844F11"/>
    <w:rsid w:val="00845BCC"/>
    <w:rsid w:val="0084737D"/>
    <w:rsid w:val="00851465"/>
    <w:rsid w:val="00851767"/>
    <w:rsid w:val="00852ED8"/>
    <w:rsid w:val="0085533A"/>
    <w:rsid w:val="00855543"/>
    <w:rsid w:val="00856F5F"/>
    <w:rsid w:val="0085738D"/>
    <w:rsid w:val="008605A8"/>
    <w:rsid w:val="0086063A"/>
    <w:rsid w:val="00862395"/>
    <w:rsid w:val="00864062"/>
    <w:rsid w:val="0086782C"/>
    <w:rsid w:val="008708D6"/>
    <w:rsid w:val="0087133D"/>
    <w:rsid w:val="00872093"/>
    <w:rsid w:val="0087255F"/>
    <w:rsid w:val="00874571"/>
    <w:rsid w:val="008760D0"/>
    <w:rsid w:val="00876D3A"/>
    <w:rsid w:val="00880573"/>
    <w:rsid w:val="00881317"/>
    <w:rsid w:val="0088276A"/>
    <w:rsid w:val="008827E0"/>
    <w:rsid w:val="008843EE"/>
    <w:rsid w:val="00884C2A"/>
    <w:rsid w:val="008859E3"/>
    <w:rsid w:val="00885B74"/>
    <w:rsid w:val="00885E9D"/>
    <w:rsid w:val="00885F49"/>
    <w:rsid w:val="00891AD6"/>
    <w:rsid w:val="0089219A"/>
    <w:rsid w:val="0089255A"/>
    <w:rsid w:val="008949B5"/>
    <w:rsid w:val="00896477"/>
    <w:rsid w:val="00896F5A"/>
    <w:rsid w:val="008A3A00"/>
    <w:rsid w:val="008A3C37"/>
    <w:rsid w:val="008A47F8"/>
    <w:rsid w:val="008A5B8A"/>
    <w:rsid w:val="008A6CAE"/>
    <w:rsid w:val="008A6E23"/>
    <w:rsid w:val="008A715A"/>
    <w:rsid w:val="008A73C0"/>
    <w:rsid w:val="008B1840"/>
    <w:rsid w:val="008B1A26"/>
    <w:rsid w:val="008B1C10"/>
    <w:rsid w:val="008B23B6"/>
    <w:rsid w:val="008B41C2"/>
    <w:rsid w:val="008B44F6"/>
    <w:rsid w:val="008B73A2"/>
    <w:rsid w:val="008C0C22"/>
    <w:rsid w:val="008C1ECE"/>
    <w:rsid w:val="008C208C"/>
    <w:rsid w:val="008C41F1"/>
    <w:rsid w:val="008C6A7B"/>
    <w:rsid w:val="008C7F5B"/>
    <w:rsid w:val="008D079A"/>
    <w:rsid w:val="008D55F8"/>
    <w:rsid w:val="008D5B52"/>
    <w:rsid w:val="008D5F03"/>
    <w:rsid w:val="008D646A"/>
    <w:rsid w:val="008E1C97"/>
    <w:rsid w:val="008E2575"/>
    <w:rsid w:val="008E257F"/>
    <w:rsid w:val="008E31D8"/>
    <w:rsid w:val="008E48FC"/>
    <w:rsid w:val="008E4AE9"/>
    <w:rsid w:val="008E67F5"/>
    <w:rsid w:val="008F16EF"/>
    <w:rsid w:val="008F207A"/>
    <w:rsid w:val="008F2350"/>
    <w:rsid w:val="008F2AD6"/>
    <w:rsid w:val="008F4BA8"/>
    <w:rsid w:val="008F5133"/>
    <w:rsid w:val="008F5C07"/>
    <w:rsid w:val="008F62DE"/>
    <w:rsid w:val="008F696D"/>
    <w:rsid w:val="00901CF5"/>
    <w:rsid w:val="00902097"/>
    <w:rsid w:val="00905A20"/>
    <w:rsid w:val="009065E7"/>
    <w:rsid w:val="00910EA9"/>
    <w:rsid w:val="00913276"/>
    <w:rsid w:val="00913611"/>
    <w:rsid w:val="00914E9F"/>
    <w:rsid w:val="00915797"/>
    <w:rsid w:val="009221DF"/>
    <w:rsid w:val="009224FD"/>
    <w:rsid w:val="00926CA7"/>
    <w:rsid w:val="00930026"/>
    <w:rsid w:val="0093296C"/>
    <w:rsid w:val="00934573"/>
    <w:rsid w:val="00935450"/>
    <w:rsid w:val="00935CC7"/>
    <w:rsid w:val="0094002F"/>
    <w:rsid w:val="0094014A"/>
    <w:rsid w:val="009411BC"/>
    <w:rsid w:val="0094129D"/>
    <w:rsid w:val="009419E8"/>
    <w:rsid w:val="00941D34"/>
    <w:rsid w:val="0094444B"/>
    <w:rsid w:val="00946A91"/>
    <w:rsid w:val="00950A74"/>
    <w:rsid w:val="00951BAD"/>
    <w:rsid w:val="009522DC"/>
    <w:rsid w:val="00952A86"/>
    <w:rsid w:val="00955B16"/>
    <w:rsid w:val="00956C81"/>
    <w:rsid w:val="00960EBA"/>
    <w:rsid w:val="00962D4C"/>
    <w:rsid w:val="00963FC8"/>
    <w:rsid w:val="00967E4D"/>
    <w:rsid w:val="009704A5"/>
    <w:rsid w:val="00971319"/>
    <w:rsid w:val="0097198A"/>
    <w:rsid w:val="00974B19"/>
    <w:rsid w:val="00975716"/>
    <w:rsid w:val="00983DC2"/>
    <w:rsid w:val="00983DF0"/>
    <w:rsid w:val="0099279C"/>
    <w:rsid w:val="00994C10"/>
    <w:rsid w:val="009A0446"/>
    <w:rsid w:val="009A062C"/>
    <w:rsid w:val="009A1824"/>
    <w:rsid w:val="009A48AF"/>
    <w:rsid w:val="009A522D"/>
    <w:rsid w:val="009A6F03"/>
    <w:rsid w:val="009A789C"/>
    <w:rsid w:val="009B24BD"/>
    <w:rsid w:val="009B3BCE"/>
    <w:rsid w:val="009B3F77"/>
    <w:rsid w:val="009B5132"/>
    <w:rsid w:val="009B682C"/>
    <w:rsid w:val="009B76E5"/>
    <w:rsid w:val="009C166A"/>
    <w:rsid w:val="009C55FF"/>
    <w:rsid w:val="009C69A5"/>
    <w:rsid w:val="009C6CB9"/>
    <w:rsid w:val="009C6FFB"/>
    <w:rsid w:val="009C7EF5"/>
    <w:rsid w:val="009C7F5B"/>
    <w:rsid w:val="009D0303"/>
    <w:rsid w:val="009D2CF4"/>
    <w:rsid w:val="009D2FAC"/>
    <w:rsid w:val="009D62CF"/>
    <w:rsid w:val="009E1311"/>
    <w:rsid w:val="009E151E"/>
    <w:rsid w:val="009E25EE"/>
    <w:rsid w:val="009E5DB6"/>
    <w:rsid w:val="009E6102"/>
    <w:rsid w:val="009E733B"/>
    <w:rsid w:val="009E7462"/>
    <w:rsid w:val="009F23BE"/>
    <w:rsid w:val="009F7F52"/>
    <w:rsid w:val="00A00A9E"/>
    <w:rsid w:val="00A00BA5"/>
    <w:rsid w:val="00A0202C"/>
    <w:rsid w:val="00A0227E"/>
    <w:rsid w:val="00A03819"/>
    <w:rsid w:val="00A04C30"/>
    <w:rsid w:val="00A10446"/>
    <w:rsid w:val="00A1078D"/>
    <w:rsid w:val="00A10974"/>
    <w:rsid w:val="00A143E7"/>
    <w:rsid w:val="00A14966"/>
    <w:rsid w:val="00A14A73"/>
    <w:rsid w:val="00A14E48"/>
    <w:rsid w:val="00A17CCB"/>
    <w:rsid w:val="00A207A2"/>
    <w:rsid w:val="00A21B8C"/>
    <w:rsid w:val="00A2219B"/>
    <w:rsid w:val="00A228C6"/>
    <w:rsid w:val="00A2422A"/>
    <w:rsid w:val="00A24361"/>
    <w:rsid w:val="00A303A1"/>
    <w:rsid w:val="00A3209E"/>
    <w:rsid w:val="00A3212A"/>
    <w:rsid w:val="00A322FB"/>
    <w:rsid w:val="00A32D8A"/>
    <w:rsid w:val="00A355F2"/>
    <w:rsid w:val="00A4030E"/>
    <w:rsid w:val="00A4077B"/>
    <w:rsid w:val="00A42386"/>
    <w:rsid w:val="00A42D76"/>
    <w:rsid w:val="00A42DA9"/>
    <w:rsid w:val="00A43C45"/>
    <w:rsid w:val="00A44699"/>
    <w:rsid w:val="00A453B3"/>
    <w:rsid w:val="00A46203"/>
    <w:rsid w:val="00A469B9"/>
    <w:rsid w:val="00A50751"/>
    <w:rsid w:val="00A50E72"/>
    <w:rsid w:val="00A53189"/>
    <w:rsid w:val="00A5335D"/>
    <w:rsid w:val="00A54051"/>
    <w:rsid w:val="00A54BE7"/>
    <w:rsid w:val="00A55B5A"/>
    <w:rsid w:val="00A564EB"/>
    <w:rsid w:val="00A61D83"/>
    <w:rsid w:val="00A620C4"/>
    <w:rsid w:val="00A631F9"/>
    <w:rsid w:val="00A633FA"/>
    <w:rsid w:val="00A64E39"/>
    <w:rsid w:val="00A6500A"/>
    <w:rsid w:val="00A671D3"/>
    <w:rsid w:val="00A67C44"/>
    <w:rsid w:val="00A701BA"/>
    <w:rsid w:val="00A705E3"/>
    <w:rsid w:val="00A71016"/>
    <w:rsid w:val="00A739F1"/>
    <w:rsid w:val="00A80B40"/>
    <w:rsid w:val="00A8105B"/>
    <w:rsid w:val="00A81EC4"/>
    <w:rsid w:val="00A8295A"/>
    <w:rsid w:val="00A838FA"/>
    <w:rsid w:val="00A8418D"/>
    <w:rsid w:val="00A8478F"/>
    <w:rsid w:val="00A858C4"/>
    <w:rsid w:val="00A87D82"/>
    <w:rsid w:val="00A91FE4"/>
    <w:rsid w:val="00A92F0B"/>
    <w:rsid w:val="00A963BB"/>
    <w:rsid w:val="00A970A9"/>
    <w:rsid w:val="00A974CA"/>
    <w:rsid w:val="00A97C02"/>
    <w:rsid w:val="00AA006C"/>
    <w:rsid w:val="00AA0CA6"/>
    <w:rsid w:val="00AA2A0D"/>
    <w:rsid w:val="00AA2CD5"/>
    <w:rsid w:val="00AA369C"/>
    <w:rsid w:val="00AA4F6C"/>
    <w:rsid w:val="00AB0B50"/>
    <w:rsid w:val="00AB16AE"/>
    <w:rsid w:val="00AB2011"/>
    <w:rsid w:val="00AB4440"/>
    <w:rsid w:val="00AB5A64"/>
    <w:rsid w:val="00AB77AA"/>
    <w:rsid w:val="00AB79E9"/>
    <w:rsid w:val="00AC276B"/>
    <w:rsid w:val="00AC425C"/>
    <w:rsid w:val="00AC6B83"/>
    <w:rsid w:val="00AC6FC7"/>
    <w:rsid w:val="00AC7141"/>
    <w:rsid w:val="00AD04F4"/>
    <w:rsid w:val="00AD0CE6"/>
    <w:rsid w:val="00AD42CE"/>
    <w:rsid w:val="00AD5A26"/>
    <w:rsid w:val="00AD670F"/>
    <w:rsid w:val="00AD7C03"/>
    <w:rsid w:val="00AE1E54"/>
    <w:rsid w:val="00AE478A"/>
    <w:rsid w:val="00AE4841"/>
    <w:rsid w:val="00AE6EBC"/>
    <w:rsid w:val="00AF0D99"/>
    <w:rsid w:val="00AF3346"/>
    <w:rsid w:val="00AF3412"/>
    <w:rsid w:val="00AF5817"/>
    <w:rsid w:val="00B00778"/>
    <w:rsid w:val="00B009FE"/>
    <w:rsid w:val="00B00F24"/>
    <w:rsid w:val="00B012ED"/>
    <w:rsid w:val="00B01CFD"/>
    <w:rsid w:val="00B050C0"/>
    <w:rsid w:val="00B05642"/>
    <w:rsid w:val="00B06097"/>
    <w:rsid w:val="00B078F7"/>
    <w:rsid w:val="00B10514"/>
    <w:rsid w:val="00B10CAE"/>
    <w:rsid w:val="00B12190"/>
    <w:rsid w:val="00B1241F"/>
    <w:rsid w:val="00B13AE1"/>
    <w:rsid w:val="00B14635"/>
    <w:rsid w:val="00B171BB"/>
    <w:rsid w:val="00B204CB"/>
    <w:rsid w:val="00B2247A"/>
    <w:rsid w:val="00B22880"/>
    <w:rsid w:val="00B2683F"/>
    <w:rsid w:val="00B360A7"/>
    <w:rsid w:val="00B36551"/>
    <w:rsid w:val="00B3669E"/>
    <w:rsid w:val="00B37EEF"/>
    <w:rsid w:val="00B40E38"/>
    <w:rsid w:val="00B44371"/>
    <w:rsid w:val="00B50C36"/>
    <w:rsid w:val="00B51ACE"/>
    <w:rsid w:val="00B53846"/>
    <w:rsid w:val="00B54847"/>
    <w:rsid w:val="00B55061"/>
    <w:rsid w:val="00B6074C"/>
    <w:rsid w:val="00B623D7"/>
    <w:rsid w:val="00B6345E"/>
    <w:rsid w:val="00B66623"/>
    <w:rsid w:val="00B66AFE"/>
    <w:rsid w:val="00B66E7A"/>
    <w:rsid w:val="00B6766B"/>
    <w:rsid w:val="00B70780"/>
    <w:rsid w:val="00B72927"/>
    <w:rsid w:val="00B76E5E"/>
    <w:rsid w:val="00B80BD7"/>
    <w:rsid w:val="00B8404F"/>
    <w:rsid w:val="00B84275"/>
    <w:rsid w:val="00B9206A"/>
    <w:rsid w:val="00B9293B"/>
    <w:rsid w:val="00B934F7"/>
    <w:rsid w:val="00B96C09"/>
    <w:rsid w:val="00BA1CFA"/>
    <w:rsid w:val="00BA1D21"/>
    <w:rsid w:val="00BA2219"/>
    <w:rsid w:val="00BA4EF5"/>
    <w:rsid w:val="00BA622B"/>
    <w:rsid w:val="00BA7603"/>
    <w:rsid w:val="00BB0785"/>
    <w:rsid w:val="00BB160A"/>
    <w:rsid w:val="00BB1D7B"/>
    <w:rsid w:val="00BB2FF1"/>
    <w:rsid w:val="00BB4B28"/>
    <w:rsid w:val="00BB4BB4"/>
    <w:rsid w:val="00BB51DD"/>
    <w:rsid w:val="00BB5ED4"/>
    <w:rsid w:val="00BB6CE4"/>
    <w:rsid w:val="00BC2E80"/>
    <w:rsid w:val="00BC4BF4"/>
    <w:rsid w:val="00BC7437"/>
    <w:rsid w:val="00BC7ECB"/>
    <w:rsid w:val="00BD45A6"/>
    <w:rsid w:val="00BD60F7"/>
    <w:rsid w:val="00BD6A30"/>
    <w:rsid w:val="00BD7543"/>
    <w:rsid w:val="00BE042D"/>
    <w:rsid w:val="00BE4233"/>
    <w:rsid w:val="00BE4802"/>
    <w:rsid w:val="00BE7212"/>
    <w:rsid w:val="00BF05BE"/>
    <w:rsid w:val="00BF0671"/>
    <w:rsid w:val="00BF2EEE"/>
    <w:rsid w:val="00BF331F"/>
    <w:rsid w:val="00BF3B98"/>
    <w:rsid w:val="00BF444E"/>
    <w:rsid w:val="00BF4829"/>
    <w:rsid w:val="00BF5036"/>
    <w:rsid w:val="00BF5C7B"/>
    <w:rsid w:val="00BF5F7C"/>
    <w:rsid w:val="00BF6258"/>
    <w:rsid w:val="00BF6BCF"/>
    <w:rsid w:val="00BF71E3"/>
    <w:rsid w:val="00C011BF"/>
    <w:rsid w:val="00C024B8"/>
    <w:rsid w:val="00C046A4"/>
    <w:rsid w:val="00C05CC6"/>
    <w:rsid w:val="00C064C1"/>
    <w:rsid w:val="00C068C7"/>
    <w:rsid w:val="00C073C2"/>
    <w:rsid w:val="00C160F4"/>
    <w:rsid w:val="00C1736C"/>
    <w:rsid w:val="00C173D3"/>
    <w:rsid w:val="00C2120D"/>
    <w:rsid w:val="00C216B0"/>
    <w:rsid w:val="00C22C51"/>
    <w:rsid w:val="00C233E9"/>
    <w:rsid w:val="00C24B13"/>
    <w:rsid w:val="00C25018"/>
    <w:rsid w:val="00C255D1"/>
    <w:rsid w:val="00C26A3D"/>
    <w:rsid w:val="00C303B4"/>
    <w:rsid w:val="00C30990"/>
    <w:rsid w:val="00C346D0"/>
    <w:rsid w:val="00C376AF"/>
    <w:rsid w:val="00C40EBC"/>
    <w:rsid w:val="00C41FE1"/>
    <w:rsid w:val="00C4202E"/>
    <w:rsid w:val="00C42ACA"/>
    <w:rsid w:val="00C42BA5"/>
    <w:rsid w:val="00C4349A"/>
    <w:rsid w:val="00C43C6F"/>
    <w:rsid w:val="00C44FCA"/>
    <w:rsid w:val="00C47261"/>
    <w:rsid w:val="00C502A1"/>
    <w:rsid w:val="00C51308"/>
    <w:rsid w:val="00C52865"/>
    <w:rsid w:val="00C539F8"/>
    <w:rsid w:val="00C53A47"/>
    <w:rsid w:val="00C552D7"/>
    <w:rsid w:val="00C564A6"/>
    <w:rsid w:val="00C57BB9"/>
    <w:rsid w:val="00C61699"/>
    <w:rsid w:val="00C62778"/>
    <w:rsid w:val="00C62B02"/>
    <w:rsid w:val="00C63F6E"/>
    <w:rsid w:val="00C64908"/>
    <w:rsid w:val="00C67500"/>
    <w:rsid w:val="00C705B5"/>
    <w:rsid w:val="00C7093C"/>
    <w:rsid w:val="00C72112"/>
    <w:rsid w:val="00C73658"/>
    <w:rsid w:val="00C738BD"/>
    <w:rsid w:val="00C75A8D"/>
    <w:rsid w:val="00C75BD9"/>
    <w:rsid w:val="00C75D40"/>
    <w:rsid w:val="00C77404"/>
    <w:rsid w:val="00C80204"/>
    <w:rsid w:val="00C83627"/>
    <w:rsid w:val="00C83905"/>
    <w:rsid w:val="00C856DB"/>
    <w:rsid w:val="00C8634F"/>
    <w:rsid w:val="00C86FEF"/>
    <w:rsid w:val="00C876D9"/>
    <w:rsid w:val="00C9267E"/>
    <w:rsid w:val="00C929DB"/>
    <w:rsid w:val="00C92AFE"/>
    <w:rsid w:val="00C9405D"/>
    <w:rsid w:val="00C95D81"/>
    <w:rsid w:val="00C960AA"/>
    <w:rsid w:val="00C97B45"/>
    <w:rsid w:val="00CA121E"/>
    <w:rsid w:val="00CA146A"/>
    <w:rsid w:val="00CA3272"/>
    <w:rsid w:val="00CA501D"/>
    <w:rsid w:val="00CA55C4"/>
    <w:rsid w:val="00CA63EB"/>
    <w:rsid w:val="00CA701A"/>
    <w:rsid w:val="00CA7660"/>
    <w:rsid w:val="00CB1789"/>
    <w:rsid w:val="00CB1CB2"/>
    <w:rsid w:val="00CB2557"/>
    <w:rsid w:val="00CB2899"/>
    <w:rsid w:val="00CB477A"/>
    <w:rsid w:val="00CB6EA9"/>
    <w:rsid w:val="00CB76EE"/>
    <w:rsid w:val="00CC39B1"/>
    <w:rsid w:val="00CC3D0B"/>
    <w:rsid w:val="00CC44B6"/>
    <w:rsid w:val="00CC72C5"/>
    <w:rsid w:val="00CD526B"/>
    <w:rsid w:val="00CD5B93"/>
    <w:rsid w:val="00CD61CB"/>
    <w:rsid w:val="00CD64DD"/>
    <w:rsid w:val="00CD769B"/>
    <w:rsid w:val="00CE1E92"/>
    <w:rsid w:val="00CE1EC0"/>
    <w:rsid w:val="00CE2EC6"/>
    <w:rsid w:val="00CE3225"/>
    <w:rsid w:val="00CF0826"/>
    <w:rsid w:val="00CF0D8A"/>
    <w:rsid w:val="00CF1839"/>
    <w:rsid w:val="00CF267F"/>
    <w:rsid w:val="00CF2D02"/>
    <w:rsid w:val="00CF3B4A"/>
    <w:rsid w:val="00CF776B"/>
    <w:rsid w:val="00CF7DA0"/>
    <w:rsid w:val="00D011E7"/>
    <w:rsid w:val="00D04614"/>
    <w:rsid w:val="00D109BA"/>
    <w:rsid w:val="00D10AB9"/>
    <w:rsid w:val="00D130E2"/>
    <w:rsid w:val="00D13F30"/>
    <w:rsid w:val="00D14FA3"/>
    <w:rsid w:val="00D17144"/>
    <w:rsid w:val="00D171EC"/>
    <w:rsid w:val="00D1723F"/>
    <w:rsid w:val="00D26B64"/>
    <w:rsid w:val="00D27E00"/>
    <w:rsid w:val="00D30AA4"/>
    <w:rsid w:val="00D35894"/>
    <w:rsid w:val="00D3655A"/>
    <w:rsid w:val="00D36590"/>
    <w:rsid w:val="00D3674A"/>
    <w:rsid w:val="00D371A2"/>
    <w:rsid w:val="00D4085D"/>
    <w:rsid w:val="00D4437A"/>
    <w:rsid w:val="00D47134"/>
    <w:rsid w:val="00D50023"/>
    <w:rsid w:val="00D51210"/>
    <w:rsid w:val="00D522D3"/>
    <w:rsid w:val="00D52914"/>
    <w:rsid w:val="00D54146"/>
    <w:rsid w:val="00D5594A"/>
    <w:rsid w:val="00D55F5C"/>
    <w:rsid w:val="00D57190"/>
    <w:rsid w:val="00D57346"/>
    <w:rsid w:val="00D5785D"/>
    <w:rsid w:val="00D61911"/>
    <w:rsid w:val="00D62DAB"/>
    <w:rsid w:val="00D63E84"/>
    <w:rsid w:val="00D66189"/>
    <w:rsid w:val="00D677F9"/>
    <w:rsid w:val="00D7319F"/>
    <w:rsid w:val="00D73591"/>
    <w:rsid w:val="00D75DAA"/>
    <w:rsid w:val="00D76300"/>
    <w:rsid w:val="00D802FC"/>
    <w:rsid w:val="00D83B3B"/>
    <w:rsid w:val="00D84D4C"/>
    <w:rsid w:val="00D8532B"/>
    <w:rsid w:val="00D9402A"/>
    <w:rsid w:val="00D94821"/>
    <w:rsid w:val="00D948ED"/>
    <w:rsid w:val="00D94959"/>
    <w:rsid w:val="00D973A5"/>
    <w:rsid w:val="00DA126A"/>
    <w:rsid w:val="00DA1D33"/>
    <w:rsid w:val="00DA3AA7"/>
    <w:rsid w:val="00DA552B"/>
    <w:rsid w:val="00DA7A07"/>
    <w:rsid w:val="00DB1640"/>
    <w:rsid w:val="00DB4DA8"/>
    <w:rsid w:val="00DB610B"/>
    <w:rsid w:val="00DC1FCE"/>
    <w:rsid w:val="00DC4C9E"/>
    <w:rsid w:val="00DC50E5"/>
    <w:rsid w:val="00DC5109"/>
    <w:rsid w:val="00DC670F"/>
    <w:rsid w:val="00DD093B"/>
    <w:rsid w:val="00DD0D43"/>
    <w:rsid w:val="00DD0EB2"/>
    <w:rsid w:val="00DD1898"/>
    <w:rsid w:val="00DD288F"/>
    <w:rsid w:val="00DD57CD"/>
    <w:rsid w:val="00DE216E"/>
    <w:rsid w:val="00DE4A6C"/>
    <w:rsid w:val="00DE4EB5"/>
    <w:rsid w:val="00DE5673"/>
    <w:rsid w:val="00DE5A0C"/>
    <w:rsid w:val="00DE64C1"/>
    <w:rsid w:val="00DE7C22"/>
    <w:rsid w:val="00DF26D8"/>
    <w:rsid w:val="00DF2704"/>
    <w:rsid w:val="00DF314E"/>
    <w:rsid w:val="00DF4D58"/>
    <w:rsid w:val="00DF4F6A"/>
    <w:rsid w:val="00DF5286"/>
    <w:rsid w:val="00DF6418"/>
    <w:rsid w:val="00DF6A07"/>
    <w:rsid w:val="00DF7501"/>
    <w:rsid w:val="00E02453"/>
    <w:rsid w:val="00E0263C"/>
    <w:rsid w:val="00E07507"/>
    <w:rsid w:val="00E07F85"/>
    <w:rsid w:val="00E11ACC"/>
    <w:rsid w:val="00E11DFB"/>
    <w:rsid w:val="00E13217"/>
    <w:rsid w:val="00E2118C"/>
    <w:rsid w:val="00E21E55"/>
    <w:rsid w:val="00E220BC"/>
    <w:rsid w:val="00E23352"/>
    <w:rsid w:val="00E24621"/>
    <w:rsid w:val="00E25510"/>
    <w:rsid w:val="00E263EE"/>
    <w:rsid w:val="00E31BCF"/>
    <w:rsid w:val="00E31FD6"/>
    <w:rsid w:val="00E32E94"/>
    <w:rsid w:val="00E33938"/>
    <w:rsid w:val="00E33F03"/>
    <w:rsid w:val="00E34AFB"/>
    <w:rsid w:val="00E354D8"/>
    <w:rsid w:val="00E35E39"/>
    <w:rsid w:val="00E3658A"/>
    <w:rsid w:val="00E3706A"/>
    <w:rsid w:val="00E3710E"/>
    <w:rsid w:val="00E3738B"/>
    <w:rsid w:val="00E37446"/>
    <w:rsid w:val="00E4099E"/>
    <w:rsid w:val="00E418BF"/>
    <w:rsid w:val="00E42085"/>
    <w:rsid w:val="00E426E0"/>
    <w:rsid w:val="00E4566D"/>
    <w:rsid w:val="00E456AA"/>
    <w:rsid w:val="00E5018F"/>
    <w:rsid w:val="00E506BB"/>
    <w:rsid w:val="00E50963"/>
    <w:rsid w:val="00E51D1B"/>
    <w:rsid w:val="00E522DB"/>
    <w:rsid w:val="00E552C1"/>
    <w:rsid w:val="00E55D2D"/>
    <w:rsid w:val="00E566AF"/>
    <w:rsid w:val="00E56C3D"/>
    <w:rsid w:val="00E5719D"/>
    <w:rsid w:val="00E579FF"/>
    <w:rsid w:val="00E60780"/>
    <w:rsid w:val="00E619E2"/>
    <w:rsid w:val="00E63463"/>
    <w:rsid w:val="00E651BE"/>
    <w:rsid w:val="00E701BA"/>
    <w:rsid w:val="00E7195E"/>
    <w:rsid w:val="00E72F4A"/>
    <w:rsid w:val="00E73341"/>
    <w:rsid w:val="00E73FDA"/>
    <w:rsid w:val="00E752FD"/>
    <w:rsid w:val="00E76B14"/>
    <w:rsid w:val="00E77555"/>
    <w:rsid w:val="00E80A2F"/>
    <w:rsid w:val="00E815F7"/>
    <w:rsid w:val="00E82115"/>
    <w:rsid w:val="00E83448"/>
    <w:rsid w:val="00E836E7"/>
    <w:rsid w:val="00E85684"/>
    <w:rsid w:val="00E913FF"/>
    <w:rsid w:val="00E92C8A"/>
    <w:rsid w:val="00E9334B"/>
    <w:rsid w:val="00E9346D"/>
    <w:rsid w:val="00E968F6"/>
    <w:rsid w:val="00EA0973"/>
    <w:rsid w:val="00EA2F91"/>
    <w:rsid w:val="00EA594C"/>
    <w:rsid w:val="00EA6F81"/>
    <w:rsid w:val="00EB0558"/>
    <w:rsid w:val="00EB57C6"/>
    <w:rsid w:val="00EB76F3"/>
    <w:rsid w:val="00EB7EDA"/>
    <w:rsid w:val="00EC1046"/>
    <w:rsid w:val="00EC10EB"/>
    <w:rsid w:val="00EC3FE8"/>
    <w:rsid w:val="00EC5206"/>
    <w:rsid w:val="00EC5449"/>
    <w:rsid w:val="00EC56AD"/>
    <w:rsid w:val="00EC732D"/>
    <w:rsid w:val="00ED0175"/>
    <w:rsid w:val="00ED0AC8"/>
    <w:rsid w:val="00ED1452"/>
    <w:rsid w:val="00ED145B"/>
    <w:rsid w:val="00ED249A"/>
    <w:rsid w:val="00ED4036"/>
    <w:rsid w:val="00ED6043"/>
    <w:rsid w:val="00EE0311"/>
    <w:rsid w:val="00EE1C7C"/>
    <w:rsid w:val="00EE1F91"/>
    <w:rsid w:val="00EE1FAC"/>
    <w:rsid w:val="00EE2D31"/>
    <w:rsid w:val="00EE4B91"/>
    <w:rsid w:val="00EE554B"/>
    <w:rsid w:val="00EE57AC"/>
    <w:rsid w:val="00EE6CAD"/>
    <w:rsid w:val="00EF04E8"/>
    <w:rsid w:val="00EF157E"/>
    <w:rsid w:val="00EF2400"/>
    <w:rsid w:val="00EF2738"/>
    <w:rsid w:val="00EF32EB"/>
    <w:rsid w:val="00EF56A7"/>
    <w:rsid w:val="00EF5EDE"/>
    <w:rsid w:val="00EF5F43"/>
    <w:rsid w:val="00EF72D4"/>
    <w:rsid w:val="00F01968"/>
    <w:rsid w:val="00F03FED"/>
    <w:rsid w:val="00F077AA"/>
    <w:rsid w:val="00F1056A"/>
    <w:rsid w:val="00F11A23"/>
    <w:rsid w:val="00F12ACD"/>
    <w:rsid w:val="00F1310A"/>
    <w:rsid w:val="00F1611B"/>
    <w:rsid w:val="00F16589"/>
    <w:rsid w:val="00F16D02"/>
    <w:rsid w:val="00F173BE"/>
    <w:rsid w:val="00F2068C"/>
    <w:rsid w:val="00F21B9D"/>
    <w:rsid w:val="00F22E52"/>
    <w:rsid w:val="00F23113"/>
    <w:rsid w:val="00F32356"/>
    <w:rsid w:val="00F3245D"/>
    <w:rsid w:val="00F35317"/>
    <w:rsid w:val="00F35C0D"/>
    <w:rsid w:val="00F4377A"/>
    <w:rsid w:val="00F46237"/>
    <w:rsid w:val="00F4691C"/>
    <w:rsid w:val="00F47765"/>
    <w:rsid w:val="00F5192B"/>
    <w:rsid w:val="00F529CA"/>
    <w:rsid w:val="00F538AE"/>
    <w:rsid w:val="00F5408A"/>
    <w:rsid w:val="00F5512D"/>
    <w:rsid w:val="00F56568"/>
    <w:rsid w:val="00F574C0"/>
    <w:rsid w:val="00F6403E"/>
    <w:rsid w:val="00F65E00"/>
    <w:rsid w:val="00F66591"/>
    <w:rsid w:val="00F72C37"/>
    <w:rsid w:val="00F73DEB"/>
    <w:rsid w:val="00F74B41"/>
    <w:rsid w:val="00F76C87"/>
    <w:rsid w:val="00F775CF"/>
    <w:rsid w:val="00F816DC"/>
    <w:rsid w:val="00F826E4"/>
    <w:rsid w:val="00F82D80"/>
    <w:rsid w:val="00F83B65"/>
    <w:rsid w:val="00F83D17"/>
    <w:rsid w:val="00F86C21"/>
    <w:rsid w:val="00F87F60"/>
    <w:rsid w:val="00F9063F"/>
    <w:rsid w:val="00F90838"/>
    <w:rsid w:val="00F953D3"/>
    <w:rsid w:val="00F95D26"/>
    <w:rsid w:val="00F979C5"/>
    <w:rsid w:val="00FA0CBF"/>
    <w:rsid w:val="00FA0E45"/>
    <w:rsid w:val="00FA1227"/>
    <w:rsid w:val="00FA206C"/>
    <w:rsid w:val="00FA2696"/>
    <w:rsid w:val="00FA4B5D"/>
    <w:rsid w:val="00FA51B0"/>
    <w:rsid w:val="00FA529E"/>
    <w:rsid w:val="00FA5C82"/>
    <w:rsid w:val="00FA60E0"/>
    <w:rsid w:val="00FA6173"/>
    <w:rsid w:val="00FA64FD"/>
    <w:rsid w:val="00FB017E"/>
    <w:rsid w:val="00FB226C"/>
    <w:rsid w:val="00FB2DD9"/>
    <w:rsid w:val="00FB2FA1"/>
    <w:rsid w:val="00FB3E73"/>
    <w:rsid w:val="00FB41CB"/>
    <w:rsid w:val="00FB4200"/>
    <w:rsid w:val="00FB434C"/>
    <w:rsid w:val="00FB46C5"/>
    <w:rsid w:val="00FB5750"/>
    <w:rsid w:val="00FB6A2E"/>
    <w:rsid w:val="00FB7299"/>
    <w:rsid w:val="00FB7B48"/>
    <w:rsid w:val="00FC02F9"/>
    <w:rsid w:val="00FC4AD3"/>
    <w:rsid w:val="00FC57D3"/>
    <w:rsid w:val="00FD159A"/>
    <w:rsid w:val="00FD16D1"/>
    <w:rsid w:val="00FD3DE7"/>
    <w:rsid w:val="00FD4437"/>
    <w:rsid w:val="00FE3088"/>
    <w:rsid w:val="00FE3214"/>
    <w:rsid w:val="00FE4A16"/>
    <w:rsid w:val="00FF2C8B"/>
    <w:rsid w:val="00FF3D51"/>
    <w:rsid w:val="00FF47D4"/>
    <w:rsid w:val="00FF5433"/>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14:docId w14:val="7064460A"/>
  <w14:defaultImageDpi w14:val="0"/>
  <w15:docId w15:val="{D998556C-D902-4D39-9ADE-CB882A85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11"/>
      </w:numPr>
    </w:pPr>
  </w:style>
  <w:style w:type="paragraph" w:customStyle="1" w:styleId="Dash">
    <w:name w:val="Dash"/>
    <w:basedOn w:val="Normal"/>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6"/>
      </w:numPr>
    </w:pPr>
  </w:style>
  <w:style w:type="paragraph" w:customStyle="1" w:styleId="OutlineNumbered2">
    <w:name w:val="Outline Numbered 2"/>
    <w:basedOn w:val="Normal"/>
    <w:rsid w:val="000373D8"/>
    <w:pPr>
      <w:numPr>
        <w:ilvl w:val="1"/>
        <w:numId w:val="6"/>
      </w:numPr>
    </w:pPr>
  </w:style>
  <w:style w:type="paragraph" w:customStyle="1" w:styleId="OutlineNumbered3">
    <w:name w:val="Outline Numbered 3"/>
    <w:basedOn w:val="Normal"/>
    <w:rsid w:val="000373D8"/>
    <w:pPr>
      <w:numPr>
        <w:ilvl w:val="2"/>
        <w:numId w:val="6"/>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9"/>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9"/>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4"/>
      </w:numPr>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Revision">
    <w:name w:val="Revision"/>
    <w:hidden/>
    <w:uiPriority w:val="99"/>
    <w:semiHidden/>
    <w:rsid w:val="00C63F6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1181891567">
      <w:bodyDiv w:val="1"/>
      <w:marLeft w:val="0"/>
      <w:marRight w:val="0"/>
      <w:marTop w:val="0"/>
      <w:marBottom w:val="0"/>
      <w:divBdr>
        <w:top w:val="none" w:sz="0" w:space="0" w:color="auto"/>
        <w:left w:val="none" w:sz="0" w:space="0" w:color="auto"/>
        <w:bottom w:val="none" w:sz="0" w:space="0" w:color="auto"/>
        <w:right w:val="none" w:sz="0" w:space="0" w:color="auto"/>
      </w:divBdr>
    </w:div>
    <w:div w:id="13083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25" ma:contentTypeDescription=" " ma:contentTypeScope="" ma:versionID="c000333ebcead2d78803f0c69368a2b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2017FG-64-36934</_dlc_DocId>
    <TaxCatchAll xmlns="0f563589-9cf9-4143-b1eb-fb0534803d38">
      <Value>2</Value>
    </TaxCatchAll>
    <_dlc_DocIdUrl xmlns="0f563589-9cf9-4143-b1eb-fb0534803d38">
      <Url>http://tweb/sites/fg/csrd/_layouts/15/DocIdRedir.aspx?ID=2017FG-64-36934</Url>
      <Description>2017FG-64-36934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B9AA-4C5A-4442-9AD7-67D2CACE6340}">
  <ds:schemaRefs>
    <ds:schemaRef ds:uri="http://schemas.microsoft.com/sharepoint/events"/>
  </ds:schemaRefs>
</ds:datastoreItem>
</file>

<file path=customXml/itemProps2.xml><?xml version="1.0" encoding="utf-8"?>
<ds:datastoreItem xmlns:ds="http://schemas.openxmlformats.org/officeDocument/2006/customXml" ds:itemID="{AC57D1BC-6262-4516-AAEC-CB3A340963C8}">
  <ds:schemaRefs>
    <ds:schemaRef ds:uri="office.server.policy"/>
  </ds:schemaRefs>
</ds:datastoreItem>
</file>

<file path=customXml/itemProps3.xml><?xml version="1.0" encoding="utf-8"?>
<ds:datastoreItem xmlns:ds="http://schemas.openxmlformats.org/officeDocument/2006/customXml" ds:itemID="{0A974771-2A7C-42D4-B111-D7F107378C21}"/>
</file>

<file path=customXml/itemProps4.xml><?xml version="1.0" encoding="utf-8"?>
<ds:datastoreItem xmlns:ds="http://schemas.openxmlformats.org/officeDocument/2006/customXml" ds:itemID="{654A87FD-9605-419C-ADF6-851E627BEBE5}">
  <ds:schemaRefs>
    <ds:schemaRef ds:uri="http://purl.org/dc/elements/1.1/"/>
    <ds:schemaRef ds:uri="http://schemas.microsoft.com/office/2006/metadata/properties"/>
    <ds:schemaRef ds:uri="e544e5cc-ab70-42e1-849e-1a0f8bb1f4ef"/>
    <ds:schemaRef ds:uri="http://schemas.microsoft.com/sharepoint/v3"/>
    <ds:schemaRef ds:uri="http://schemas.microsoft.com/office/2006/documentManagement/types"/>
    <ds:schemaRef ds:uri="http://purl.org/dc/dcmitype/"/>
    <ds:schemaRef ds:uri="http://schemas.microsoft.com/sharepoint/v4"/>
    <ds:schemaRef ds:uri="http://schemas.microsoft.com/office/infopath/2007/PartnerControls"/>
    <ds:schemaRef ds:uri="http://schemas.openxmlformats.org/package/2006/metadata/core-properties"/>
    <ds:schemaRef ds:uri="0f563589-9cf9-4143-b1eb-fb0534803d38"/>
    <ds:schemaRef ds:uri="http://www.w3.org/XML/1998/namespace"/>
    <ds:schemaRef ds:uri="http://purl.org/dc/terms/"/>
  </ds:schemaRefs>
</ds:datastoreItem>
</file>

<file path=customXml/itemProps5.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6.xml><?xml version="1.0" encoding="utf-8"?>
<ds:datastoreItem xmlns:ds="http://schemas.openxmlformats.org/officeDocument/2006/customXml" ds:itemID="{DB730AD3-FA12-4D73-A65E-8007A40F0F15}">
  <ds:schemaRefs>
    <ds:schemaRef ds:uri="Microsoft.SharePoint.Taxonomy.ContentTypeSync"/>
  </ds:schemaRefs>
</ds:datastoreItem>
</file>

<file path=customXml/itemProps7.xml><?xml version="1.0" encoding="utf-8"?>
<ds:datastoreItem xmlns:ds="http://schemas.openxmlformats.org/officeDocument/2006/customXml" ds:itemID="{EB623964-E685-48AD-92BA-BDD42E22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Template>
  <TotalTime>0</TotalTime>
  <Pages>10</Pages>
  <Words>3121</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Veronica O'BRIEN</cp:lastModifiedBy>
  <cp:revision>2</cp:revision>
  <cp:lastPrinted>2019-11-28T03:21:00Z</cp:lastPrinted>
  <dcterms:created xsi:type="dcterms:W3CDTF">2020-02-10T22:50:00Z</dcterms:created>
  <dcterms:modified xsi:type="dcterms:W3CDTF">2020-02-10T22:50:00Z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{5c8b8029-492b-4e87-8107-c37df8e3dc8b}</vt:lpwstr>
  </property>
  <property fmtid="{D5CDD505-2E9C-101B-9397-08002B2CF9AE}" pid="4" name="RecordPoint_SubmissionCompleted">
    <vt:lpwstr>2020-05-04T08:25:28.1713530+10:00</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RecordPoint_ActiveItemListId">
    <vt:lpwstr>{4435c73b-6585-4bc2-a76a-5d21b1a02e06}</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RecordNumberSubmitted">
    <vt:lpwstr>R0002260055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5c8b8029-492b-4e87-8107-c37df8e3dc8b</vt:lpwstr>
  </property>
</Properties>
</file>