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478"/>
        <w:gridCol w:w="8160"/>
      </w:tblGrid>
      <w:tr w:rsidR="00814667">
        <w:tc>
          <w:tcPr>
            <w:tcW w:w="5000" w:type="pct"/>
            <w:gridSpan w:val="2"/>
          </w:tcPr>
          <w:p w:rsidR="00814667" w:rsidRPr="008D788A" w:rsidRDefault="00BA4284" w:rsidP="00BD2C07">
            <w:pPr>
              <w:pStyle w:val="CoverTitleMain"/>
              <w:rPr>
                <w:szCs w:val="84"/>
              </w:rPr>
            </w:pPr>
            <w:bookmarkStart w:id="0" w:name="_GoBack"/>
            <w:bookmarkEnd w:id="0"/>
            <w:r w:rsidRPr="008D788A">
              <w:rPr>
                <w:szCs w:val="84"/>
              </w:rPr>
              <w:t>Project AGreement</w:t>
            </w:r>
            <w:r w:rsidR="00BD2C07">
              <w:rPr>
                <w:szCs w:val="84"/>
              </w:rPr>
              <w:t xml:space="preserve"> – Darwin </w:t>
            </w:r>
            <w:r w:rsidR="00FB4C24">
              <w:rPr>
                <w:szCs w:val="84"/>
              </w:rPr>
              <w:t xml:space="preserve">city deal: </w:t>
            </w:r>
            <w:r w:rsidR="00835DDD" w:rsidRPr="008D788A">
              <w:rPr>
                <w:szCs w:val="84"/>
              </w:rPr>
              <w:t>education and c</w:t>
            </w:r>
            <w:r w:rsidR="00B64417">
              <w:rPr>
                <w:szCs w:val="84"/>
              </w:rPr>
              <w:t>ommunity</w:t>
            </w:r>
            <w:r w:rsidR="00835DDD" w:rsidRPr="008D788A">
              <w:rPr>
                <w:szCs w:val="84"/>
              </w:rPr>
              <w:t xml:space="preserve"> precinct</w:t>
            </w:r>
          </w:p>
        </w:tc>
      </w:tr>
      <w:tr w:rsidR="00814667">
        <w:tc>
          <w:tcPr>
            <w:tcW w:w="767" w:type="pct"/>
          </w:tcPr>
          <w:p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>
        <w:tc>
          <w:tcPr>
            <w:tcW w:w="767" w:type="pct"/>
          </w:tcPr>
          <w:p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</w:tcPr>
          <w:p w:rsidR="00814667" w:rsidRPr="001E74D0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>
        <w:tc>
          <w:tcPr>
            <w:tcW w:w="5000" w:type="pct"/>
            <w:gridSpan w:val="2"/>
          </w:tcPr>
          <w:p w:rsidR="00814667" w:rsidRDefault="00814667">
            <w:pPr>
              <w:pStyle w:val="AgreementHeading"/>
              <w:tabs>
                <w:tab w:val="clear" w:pos="1134"/>
              </w:tabs>
            </w:pPr>
            <w:r>
              <w:t>An agreement between</w:t>
            </w:r>
            <w:r w:rsidR="00697494">
              <w:t>:</w:t>
            </w:r>
          </w:p>
        </w:tc>
      </w:tr>
      <w:tr w:rsidR="00814667">
        <w:tc>
          <w:tcPr>
            <w:tcW w:w="767" w:type="pct"/>
          </w:tcPr>
          <w:p w:rsidR="00814667" w:rsidRPr="001E74D0" w:rsidRDefault="00814667">
            <w:pPr>
              <w:pStyle w:val="AgreementHeading"/>
              <w:tabs>
                <w:tab w:val="clear" w:pos="1134"/>
              </w:tabs>
              <w:ind w:left="522"/>
            </w:pPr>
          </w:p>
        </w:tc>
        <w:tc>
          <w:tcPr>
            <w:tcW w:w="4233" w:type="pct"/>
          </w:tcPr>
          <w:p w:rsidR="00814667" w:rsidRDefault="00814667">
            <w:pPr>
              <w:pStyle w:val="AgreementParties"/>
            </w:pPr>
            <w:r>
              <w:t xml:space="preserve">the </w:t>
            </w:r>
            <w:r>
              <w:rPr>
                <w:rStyle w:val="Bold"/>
              </w:rPr>
              <w:t>Commonwealth of Australia</w:t>
            </w:r>
            <w:r w:rsidR="00697494">
              <w:rPr>
                <w:rStyle w:val="Bold"/>
              </w:rPr>
              <w:t>;</w:t>
            </w:r>
            <w:r>
              <w:t xml:space="preserve"> and</w:t>
            </w:r>
          </w:p>
          <w:p w:rsidR="00814667" w:rsidRPr="001E74D0" w:rsidRDefault="00814667" w:rsidP="009747F9">
            <w:pPr>
              <w:pStyle w:val="AgreementParties"/>
            </w:pPr>
            <w:r>
              <w:t xml:space="preserve">the </w:t>
            </w:r>
            <w:r w:rsidR="00C8131A">
              <w:rPr>
                <w:rStyle w:val="Bold"/>
              </w:rPr>
              <w:t>Northern Territory.</w:t>
            </w:r>
          </w:p>
        </w:tc>
      </w:tr>
      <w:tr w:rsidR="00814667">
        <w:tc>
          <w:tcPr>
            <w:tcW w:w="767" w:type="pct"/>
          </w:tcPr>
          <w:p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  <w:tc>
          <w:tcPr>
            <w:tcW w:w="4233" w:type="pct"/>
            <w:tcBorders>
              <w:left w:val="nil"/>
            </w:tcBorders>
          </w:tcPr>
          <w:p w:rsidR="00EB7EDA" w:rsidRPr="00EB7EDA" w:rsidRDefault="00EB7EDA" w:rsidP="00F630EF">
            <w:pPr>
              <w:rPr>
                <w:i/>
              </w:rPr>
            </w:pPr>
          </w:p>
        </w:tc>
      </w:tr>
      <w:tr w:rsidR="00814667">
        <w:tc>
          <w:tcPr>
            <w:tcW w:w="5000" w:type="pct"/>
            <w:gridSpan w:val="2"/>
          </w:tcPr>
          <w:p w:rsidR="00814667" w:rsidRDefault="00814667">
            <w:pPr>
              <w:pStyle w:val="SingleParagraph"/>
              <w:tabs>
                <w:tab w:val="num" w:pos="1134"/>
              </w:tabs>
              <w:spacing w:after="240"/>
              <w:ind w:left="1134" w:hanging="567"/>
            </w:pPr>
          </w:p>
        </w:tc>
      </w:tr>
      <w:tr w:rsidR="00814667">
        <w:tc>
          <w:tcPr>
            <w:tcW w:w="5000" w:type="pct"/>
            <w:gridSpan w:val="2"/>
          </w:tcPr>
          <w:p w:rsidR="004043B0" w:rsidRDefault="00771FFF" w:rsidP="00FB4C24">
            <w:pPr>
              <w:pStyle w:val="Abstract"/>
            </w:pPr>
            <w:r>
              <w:t>The output of this project will be</w:t>
            </w:r>
            <w:r w:rsidR="00B5034D">
              <w:t xml:space="preserve"> the </w:t>
            </w:r>
            <w:r w:rsidR="003A0C70">
              <w:t>establishment</w:t>
            </w:r>
            <w:r w:rsidR="003A0C70" w:rsidRPr="00933F4B">
              <w:t xml:space="preserve"> </w:t>
            </w:r>
            <w:r w:rsidR="00B5034D" w:rsidRPr="00933F4B">
              <w:t xml:space="preserve">of a new </w:t>
            </w:r>
            <w:r w:rsidR="004F65E0">
              <w:t>E</w:t>
            </w:r>
            <w:r w:rsidR="00B5034D" w:rsidRPr="00933F4B">
              <w:t>ducation</w:t>
            </w:r>
            <w:r w:rsidR="00B5034D">
              <w:t xml:space="preserve"> and </w:t>
            </w:r>
            <w:r w:rsidR="004F65E0">
              <w:t>C</w:t>
            </w:r>
            <w:r w:rsidR="00D776A6">
              <w:t>ommunity</w:t>
            </w:r>
            <w:r w:rsidR="004F65E0">
              <w:t xml:space="preserve"> P</w:t>
            </w:r>
            <w:r w:rsidR="00B5034D" w:rsidRPr="00933F4B">
              <w:t xml:space="preserve">recinct in the </w:t>
            </w:r>
            <w:r w:rsidR="004F65E0">
              <w:t>D</w:t>
            </w:r>
            <w:r w:rsidR="00B5034D" w:rsidRPr="00933F4B">
              <w:t>arwin</w:t>
            </w:r>
            <w:r w:rsidR="004F65E0">
              <w:t xml:space="preserve"> city centre</w:t>
            </w:r>
            <w:r w:rsidR="005E3760">
              <w:t>.</w:t>
            </w:r>
          </w:p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4043B0" w:rsidRPr="004043B0" w:rsidRDefault="004043B0" w:rsidP="004043B0"/>
          <w:p w:rsidR="00814667" w:rsidRPr="004043B0" w:rsidRDefault="00814667" w:rsidP="004043B0">
            <w:pPr>
              <w:jc w:val="center"/>
            </w:pPr>
          </w:p>
        </w:tc>
      </w:tr>
    </w:tbl>
    <w:p w:rsidR="00814667" w:rsidRDefault="00FF5029">
      <w:pPr>
        <w:pStyle w:val="Title"/>
        <w:pageBreakBefore/>
      </w:pPr>
      <w:r>
        <w:lastRenderedPageBreak/>
        <w:t xml:space="preserve">Project </w:t>
      </w:r>
      <w:r w:rsidR="00D7336A">
        <w:t>Agreement</w:t>
      </w:r>
      <w:r w:rsidR="00646DA6">
        <w:t xml:space="preserve"> </w:t>
      </w:r>
      <w:r w:rsidR="00BD2C07">
        <w:t xml:space="preserve">– Darwin </w:t>
      </w:r>
      <w:r w:rsidR="00FB4C24">
        <w:t xml:space="preserve">City Deal: </w:t>
      </w:r>
      <w:r w:rsidR="004869C3">
        <w:t>Education and C</w:t>
      </w:r>
      <w:r w:rsidR="00B64417">
        <w:t>ommunity</w:t>
      </w:r>
      <w:r w:rsidR="004869C3">
        <w:t xml:space="preserve"> Precinct</w:t>
      </w:r>
    </w:p>
    <w:p w:rsidR="004B2EF6" w:rsidRPr="004B2EF6" w:rsidRDefault="00804105" w:rsidP="0080410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240"/>
      </w:pPr>
      <w:r>
        <w:t>overview</w:t>
      </w:r>
    </w:p>
    <w:p w:rsidR="00F65053" w:rsidRPr="000C008B" w:rsidRDefault="00C960AA" w:rsidP="00CE6056">
      <w:pPr>
        <w:pStyle w:val="Normalnumbere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4B1F38">
        <w:rPr>
          <w:color w:val="auto"/>
        </w:rPr>
        <w:t xml:space="preserve">This </w:t>
      </w:r>
      <w:r w:rsidR="00CB4D35">
        <w:rPr>
          <w:color w:val="auto"/>
        </w:rPr>
        <w:t>Project Agreement</w:t>
      </w:r>
      <w:r w:rsidRPr="004B1F38">
        <w:rPr>
          <w:color w:val="auto"/>
        </w:rPr>
        <w:t xml:space="preserve"> (the Agreement) is created subject to the provis</w:t>
      </w:r>
      <w:r w:rsidRPr="004B6083">
        <w:rPr>
          <w:color w:val="auto"/>
        </w:rPr>
        <w:t>i</w:t>
      </w:r>
      <w:r w:rsidRPr="004B1F38">
        <w:rPr>
          <w:color w:val="auto"/>
        </w:rPr>
        <w:t xml:space="preserve">ons of the </w:t>
      </w:r>
      <w:r w:rsidRPr="000614F9">
        <w:rPr>
          <w:color w:val="auto"/>
        </w:rPr>
        <w:t>Intergovernmental Agreement on Federal Financial Relations</w:t>
      </w:r>
      <w:r w:rsidRPr="004B1F38">
        <w:rPr>
          <w:color w:val="auto"/>
        </w:rPr>
        <w:t xml:space="preserve"> </w:t>
      </w:r>
      <w:r w:rsidR="00C2605C" w:rsidRPr="00DE36EB">
        <w:rPr>
          <w:color w:val="auto"/>
        </w:rPr>
        <w:t xml:space="preserve">(IGA FFR) </w:t>
      </w:r>
      <w:r w:rsidRPr="00DE36EB">
        <w:rPr>
          <w:color w:val="auto"/>
        </w:rPr>
        <w:t xml:space="preserve">and should be read in conjunction with that Agreement and </w:t>
      </w:r>
      <w:r w:rsidR="001C346E" w:rsidRPr="00DE36EB">
        <w:rPr>
          <w:color w:val="auto"/>
        </w:rPr>
        <w:t>its</w:t>
      </w:r>
      <w:r w:rsidRPr="00DE36EB">
        <w:rPr>
          <w:color w:val="auto"/>
        </w:rPr>
        <w:t xml:space="preserve"> </w:t>
      </w:r>
      <w:r w:rsidR="001C346E" w:rsidRPr="00DE36EB">
        <w:rPr>
          <w:color w:val="auto"/>
        </w:rPr>
        <w:t>S</w:t>
      </w:r>
      <w:r w:rsidRPr="00DE36EB">
        <w:rPr>
          <w:color w:val="auto"/>
        </w:rPr>
        <w:t>chedules</w:t>
      </w:r>
      <w:r w:rsidR="001C346E" w:rsidRPr="00DE36EB">
        <w:rPr>
          <w:color w:val="auto"/>
        </w:rPr>
        <w:t xml:space="preserve">, which provide information in relation to </w:t>
      </w:r>
      <w:r w:rsidRPr="00DE36EB">
        <w:rPr>
          <w:color w:val="auto"/>
        </w:rPr>
        <w:t>performance reporting and payment arrangements</w:t>
      </w:r>
      <w:r w:rsidR="001C346E" w:rsidRPr="00DE36EB">
        <w:rPr>
          <w:color w:val="auto"/>
        </w:rPr>
        <w:t xml:space="preserve"> under the </w:t>
      </w:r>
      <w:r w:rsidR="008148E2" w:rsidRPr="00DE36EB">
        <w:rPr>
          <w:color w:val="auto"/>
        </w:rPr>
        <w:t>I</w:t>
      </w:r>
      <w:r w:rsidR="00C2605C" w:rsidRPr="00DE36EB">
        <w:rPr>
          <w:color w:val="auto"/>
        </w:rPr>
        <w:t>GA FFR</w:t>
      </w:r>
      <w:r w:rsidRPr="00DE36EB">
        <w:rPr>
          <w:color w:val="auto"/>
        </w:rPr>
        <w:t>.</w:t>
      </w:r>
    </w:p>
    <w:p w:rsidR="00F65053" w:rsidRPr="0096732C" w:rsidRDefault="00F65053" w:rsidP="00CE6056">
      <w:pPr>
        <w:pStyle w:val="Normalnumbere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rPr>
          <w:color w:val="auto"/>
        </w:rPr>
        <w:t>This Agreement should be read in conjunction with the</w:t>
      </w:r>
      <w:r w:rsidR="00535A90">
        <w:rPr>
          <w:color w:val="auto"/>
        </w:rPr>
        <w:t xml:space="preserve"> Darwin City Deal</w:t>
      </w:r>
      <w:r w:rsidR="00995715">
        <w:rPr>
          <w:color w:val="auto"/>
        </w:rPr>
        <w:t xml:space="preserve"> and the Darwin City Deal Implementation Plan</w:t>
      </w:r>
      <w:r w:rsidR="00535A90">
        <w:rPr>
          <w:color w:val="auto"/>
        </w:rPr>
        <w:t>.</w:t>
      </w:r>
      <w:r>
        <w:rPr>
          <w:color w:val="auto"/>
        </w:rPr>
        <w:t xml:space="preserve"> </w:t>
      </w:r>
    </w:p>
    <w:p w:rsidR="0096732C" w:rsidRPr="004B1F38" w:rsidRDefault="0096732C" w:rsidP="008041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240"/>
      </w:pPr>
      <w:r w:rsidRPr="0096732C">
        <w:t>Purpose</w:t>
      </w:r>
    </w:p>
    <w:p w:rsidR="0096732C" w:rsidRDefault="00852ED8" w:rsidP="00CE6056">
      <w:pPr>
        <w:pStyle w:val="Normalnumbere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67"/>
        </w:tabs>
      </w:pPr>
      <w:r w:rsidRPr="004B1F38">
        <w:t xml:space="preserve">This Agreement will </w:t>
      </w:r>
      <w:r w:rsidR="006146F2">
        <w:t xml:space="preserve">support the </w:t>
      </w:r>
      <w:r w:rsidR="00ED5D30">
        <w:t>establish</w:t>
      </w:r>
      <w:r w:rsidR="000C27ED">
        <w:t xml:space="preserve">ment of </w:t>
      </w:r>
      <w:r w:rsidR="005F4BD2">
        <w:t>an</w:t>
      </w:r>
      <w:r w:rsidR="000C27ED">
        <w:t xml:space="preserve"> Education and C</w:t>
      </w:r>
      <w:r w:rsidR="00B64417">
        <w:t>ommunity</w:t>
      </w:r>
      <w:r w:rsidR="000C27ED">
        <w:t xml:space="preserve"> P</w:t>
      </w:r>
      <w:r w:rsidR="00ED5D30">
        <w:t>recinct</w:t>
      </w:r>
      <w:r w:rsidR="005F4BD2">
        <w:t xml:space="preserve"> in the Darwin Central Business District (CBD)</w:t>
      </w:r>
      <w:r w:rsidR="00657426">
        <w:t>.</w:t>
      </w:r>
    </w:p>
    <w:p w:rsidR="000C7F83" w:rsidRDefault="000C7F83" w:rsidP="00CE6056">
      <w:pPr>
        <w:pStyle w:val="Normalnumbere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67"/>
        </w:tabs>
      </w:pPr>
      <w:r>
        <w:t>The Education and C</w:t>
      </w:r>
      <w:r w:rsidR="00B64417">
        <w:t>ommunity</w:t>
      </w:r>
      <w:r>
        <w:t xml:space="preserve"> Precinct will transform Darwin’s city centre</w:t>
      </w:r>
      <w:r w:rsidR="0026175B">
        <w:t>,</w:t>
      </w:r>
      <w:r>
        <w:t xml:space="preserve"> increase vibrancy in the CBD</w:t>
      </w:r>
      <w:r w:rsidR="0026175B">
        <w:t xml:space="preserve"> and help attract more international students to Darwin.</w:t>
      </w:r>
      <w:r>
        <w:t xml:space="preserve"> </w:t>
      </w:r>
    </w:p>
    <w:p w:rsidR="0096732C" w:rsidRDefault="0096732C" w:rsidP="00804105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left"/>
      </w:pPr>
      <w:r w:rsidRPr="0096732C">
        <w:rPr>
          <w:rFonts w:cs="Arial"/>
          <w:b/>
          <w:bCs/>
          <w:iCs/>
          <w:color w:val="3D4B67"/>
          <w:sz w:val="29"/>
          <w:szCs w:val="28"/>
        </w:rPr>
        <w:t>Reporting Arrangements</w:t>
      </w:r>
      <w:r>
        <w:t xml:space="preserve"> </w:t>
      </w:r>
    </w:p>
    <w:p w:rsidR="0096732C" w:rsidRDefault="0096732C" w:rsidP="00CE6056">
      <w:pPr>
        <w:pStyle w:val="Normalnumbere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left"/>
      </w:pPr>
      <w:r>
        <w:t>T</w:t>
      </w:r>
      <w:r w:rsidR="004A7EA7">
        <w:t>he</w:t>
      </w:r>
      <w:r w:rsidR="00875CB9">
        <w:t xml:space="preserve"> Northern Territory </w:t>
      </w:r>
      <w:r w:rsidR="002C5745">
        <w:t xml:space="preserve">(NT) </w:t>
      </w:r>
      <w:r w:rsidR="004A7EA7">
        <w:t xml:space="preserve">will report </w:t>
      </w:r>
      <w:r>
        <w:t xml:space="preserve">against the agreed milestones during the operation of this Agreement, as set out in Part 4 – Project Milestones, Reporting and Payments. </w:t>
      </w:r>
    </w:p>
    <w:p w:rsidR="0096732C" w:rsidRPr="0096732C" w:rsidRDefault="0096732C" w:rsidP="00804105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left"/>
        <w:rPr>
          <w:rFonts w:cs="Arial"/>
          <w:b/>
          <w:bCs/>
          <w:iCs/>
          <w:color w:val="3D4B67"/>
          <w:sz w:val="29"/>
          <w:szCs w:val="28"/>
        </w:rPr>
      </w:pPr>
      <w:r w:rsidRPr="0096732C">
        <w:rPr>
          <w:rFonts w:cs="Arial"/>
          <w:b/>
          <w:bCs/>
          <w:iCs/>
          <w:color w:val="3D4B67"/>
          <w:sz w:val="29"/>
          <w:szCs w:val="28"/>
        </w:rPr>
        <w:t xml:space="preserve">Financial Arrangements </w:t>
      </w:r>
    </w:p>
    <w:p w:rsidR="0096732C" w:rsidRPr="0096732C" w:rsidRDefault="0096732C" w:rsidP="00CE6056">
      <w:pPr>
        <w:pStyle w:val="Normalnumbered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left"/>
      </w:pPr>
      <w:r w:rsidRPr="00462A98">
        <w:t>The Commonwealth will provide a</w:t>
      </w:r>
      <w:r w:rsidR="00F234AB" w:rsidRPr="00462A98">
        <w:t>n estimated</w:t>
      </w:r>
      <w:r w:rsidRPr="00462A98">
        <w:t xml:space="preserve"> total financial contribution to the</w:t>
      </w:r>
      <w:r w:rsidR="0015322C" w:rsidRPr="00462A98">
        <w:t xml:space="preserve"> N</w:t>
      </w:r>
      <w:r w:rsidR="002C5745">
        <w:t>T</w:t>
      </w:r>
      <w:r w:rsidR="0015322C" w:rsidRPr="00462A98">
        <w:t xml:space="preserve"> of</w:t>
      </w:r>
      <w:r w:rsidR="004A7EA7" w:rsidRPr="00462A98">
        <w:t xml:space="preserve"> </w:t>
      </w:r>
      <w:r w:rsidRPr="00462A98">
        <w:t>$</w:t>
      </w:r>
      <w:r w:rsidR="004A7EA7" w:rsidRPr="00462A98">
        <w:t>97.3</w:t>
      </w:r>
      <w:r w:rsidR="00C27ED8">
        <w:t> </w:t>
      </w:r>
      <w:r w:rsidR="004A7EA7" w:rsidRPr="00462A98">
        <w:t>million</w:t>
      </w:r>
      <w:r w:rsidR="00F234AB" w:rsidRPr="00462A98">
        <w:t xml:space="preserve"> </w:t>
      </w:r>
      <w:r w:rsidR="00BE2B72" w:rsidRPr="00462A98">
        <w:t>ex</w:t>
      </w:r>
      <w:r w:rsidR="005E1C55" w:rsidRPr="00462A98">
        <w:t>clusive</w:t>
      </w:r>
      <w:r w:rsidR="00F234AB" w:rsidRPr="00462A98">
        <w:t xml:space="preserve"> of GST</w:t>
      </w:r>
      <w:r w:rsidR="00EF33DE" w:rsidRPr="00462A98">
        <w:t xml:space="preserve"> </w:t>
      </w:r>
      <w:r w:rsidRPr="00462A98">
        <w:t>in respect of this Agreement</w:t>
      </w:r>
      <w:r w:rsidR="00FC055C" w:rsidRPr="00462A98">
        <w:t>,</w:t>
      </w:r>
      <w:r w:rsidRPr="00462A98">
        <w:t xml:space="preserve"> as set out in Part 5 – Financial Arrangements</w:t>
      </w:r>
      <w:r w:rsidR="00972F78" w:rsidRPr="00462A98">
        <w:t>.</w:t>
      </w:r>
      <w:r w:rsidR="00947EEC" w:rsidRPr="00462A98">
        <w:t xml:space="preserve"> The N</w:t>
      </w:r>
      <w:r w:rsidR="002C5745">
        <w:t>T</w:t>
      </w:r>
      <w:r w:rsidR="00947EEC" w:rsidRPr="00462A98">
        <w:t xml:space="preserve"> will enter a separate funding agreement with the Charles Darwin </w:t>
      </w:r>
      <w:r w:rsidR="00D941D8" w:rsidRPr="00462A98">
        <w:t>Un</w:t>
      </w:r>
      <w:r w:rsidR="00D941D8">
        <w:t xml:space="preserve">iversity (CDU) to deliver the Precinct. The CDU will arrange for additional finance to develop the Precinct, including </w:t>
      </w:r>
      <w:r w:rsidR="005F4BD2">
        <w:t>seeking a</w:t>
      </w:r>
      <w:r w:rsidR="00D941D8">
        <w:t xml:space="preserve"> loan through the Northern Australia Infrastructure Facility</w:t>
      </w:r>
      <w:r w:rsidR="002C5745">
        <w:t xml:space="preserve"> (NAIF)</w:t>
      </w:r>
      <w:r w:rsidR="00D941D8">
        <w:t>.</w:t>
      </w:r>
    </w:p>
    <w:p w:rsidR="0096732C" w:rsidRPr="004B1F38" w:rsidRDefault="00A25265" w:rsidP="00804105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Del="00A25265">
        <w:t xml:space="preserve"> </w:t>
      </w:r>
    </w:p>
    <w:p w:rsidR="00814667" w:rsidRDefault="00814667">
      <w:pPr>
        <w:pStyle w:val="Heading1"/>
      </w:pPr>
      <w:r>
        <w:t>Part 1 — Formalities</w:t>
      </w:r>
    </w:p>
    <w:p w:rsidR="00804105" w:rsidRDefault="00804105" w:rsidP="00CE6056">
      <w:pPr>
        <w:pStyle w:val="Normalnumbered"/>
        <w:numPr>
          <w:ilvl w:val="0"/>
          <w:numId w:val="9"/>
        </w:numPr>
      </w:pPr>
      <w:r>
        <w:t>This Agreement constitutes the entire agreement for this project.</w:t>
      </w:r>
      <w:r w:rsidR="00646DA6">
        <w:t xml:space="preserve"> However, it should be read in conjunction with the Darwin City Deal and the Darwin City Deal Implementation Plan.</w:t>
      </w:r>
    </w:p>
    <w:p w:rsidR="00814667" w:rsidRDefault="00814667">
      <w:pPr>
        <w:pStyle w:val="Heading2"/>
      </w:pPr>
      <w:r>
        <w:t>Parties to this Agreement</w:t>
      </w:r>
    </w:p>
    <w:p w:rsidR="007B4B03" w:rsidRDefault="00E7195E" w:rsidP="00CE6056">
      <w:pPr>
        <w:pStyle w:val="Normalnumbered"/>
        <w:numPr>
          <w:ilvl w:val="0"/>
          <w:numId w:val="9"/>
        </w:numPr>
      </w:pPr>
      <w:r w:rsidRPr="003012DA">
        <w:t xml:space="preserve">This </w:t>
      </w:r>
      <w:r w:rsidR="00E31096">
        <w:t xml:space="preserve">Agreement </w:t>
      </w:r>
      <w:r w:rsidRPr="003012DA">
        <w:t>is between the Commonwealth of Australia (the</w:t>
      </w:r>
      <w:r w:rsidR="00593821">
        <w:t xml:space="preserve"> Commonwealth</w:t>
      </w:r>
      <w:r w:rsidRPr="003012DA">
        <w:t xml:space="preserve">) and </w:t>
      </w:r>
      <w:r w:rsidR="0032779A">
        <w:t>the N</w:t>
      </w:r>
      <w:r w:rsidR="002C5745">
        <w:t>T</w:t>
      </w:r>
      <w:r w:rsidR="0032779A">
        <w:t>.</w:t>
      </w:r>
    </w:p>
    <w:p w:rsidR="00814667" w:rsidRDefault="00814667">
      <w:pPr>
        <w:pStyle w:val="Heading2"/>
      </w:pPr>
      <w:r>
        <w:lastRenderedPageBreak/>
        <w:t>Term of the Agreement</w:t>
      </w:r>
    </w:p>
    <w:p w:rsidR="00814667" w:rsidRPr="00DE36EB" w:rsidRDefault="00814667" w:rsidP="00CE6056">
      <w:pPr>
        <w:pStyle w:val="Normalnumbered"/>
        <w:numPr>
          <w:ilvl w:val="0"/>
          <w:numId w:val="9"/>
        </w:numPr>
      </w:pPr>
      <w:r w:rsidRPr="00DE36EB">
        <w:t>This Agreement will commence as soon as the Commonwealth and</w:t>
      </w:r>
      <w:r w:rsidR="0032779A">
        <w:t xml:space="preserve"> the N</w:t>
      </w:r>
      <w:r w:rsidR="002C5745">
        <w:t>T</w:t>
      </w:r>
      <w:r w:rsidR="0032779A">
        <w:t xml:space="preserve"> sign</w:t>
      </w:r>
      <w:r w:rsidRPr="00DE36EB">
        <w:t xml:space="preserve"> </w:t>
      </w:r>
      <w:r w:rsidR="0096732C">
        <w:t xml:space="preserve">it </w:t>
      </w:r>
      <w:r w:rsidRPr="00DE36EB">
        <w:t>and will expire on</w:t>
      </w:r>
      <w:r w:rsidR="00C7093C" w:rsidRPr="00DE36EB">
        <w:t xml:space="preserve"> </w:t>
      </w:r>
      <w:r w:rsidR="005E1C55" w:rsidRPr="00E04B8A">
        <w:t xml:space="preserve">30 June </w:t>
      </w:r>
      <w:r w:rsidR="00401163" w:rsidRPr="00E04B8A">
        <w:t>202</w:t>
      </w:r>
      <w:r w:rsidR="00C6086E">
        <w:t>4</w:t>
      </w:r>
      <w:r w:rsidR="00401163" w:rsidRPr="00DE36EB">
        <w:t xml:space="preserve"> </w:t>
      </w:r>
      <w:r w:rsidR="00284884" w:rsidRPr="00DE36EB">
        <w:t>or on</w:t>
      </w:r>
      <w:r w:rsidR="00FA2EC0" w:rsidRPr="00DE36EB">
        <w:t xml:space="preserve"> complet</w:t>
      </w:r>
      <w:r w:rsidR="00284884" w:rsidRPr="00DE36EB">
        <w:t>ion of the project, including final performance reporting an</w:t>
      </w:r>
      <w:r w:rsidR="00AE2AFD" w:rsidRPr="00DE36EB">
        <w:t>d</w:t>
      </w:r>
      <w:r w:rsidR="00284884" w:rsidRPr="00DE36EB">
        <w:t xml:space="preserve"> processing of final payments against milestones</w:t>
      </w:r>
      <w:r w:rsidRPr="00DE36EB">
        <w:t xml:space="preserve">, </w:t>
      </w:r>
      <w:r w:rsidR="00852ED8" w:rsidRPr="00DE36EB">
        <w:t xml:space="preserve">unless </w:t>
      </w:r>
      <w:r w:rsidRPr="00DE36EB">
        <w:t>terminat</w:t>
      </w:r>
      <w:r w:rsidR="00852ED8" w:rsidRPr="00DE36EB">
        <w:t xml:space="preserve">ed </w:t>
      </w:r>
      <w:r w:rsidR="001A7A15" w:rsidRPr="00DE36EB">
        <w:t xml:space="preserve">earlier </w:t>
      </w:r>
      <w:r w:rsidR="00852ED8" w:rsidRPr="00DE36EB">
        <w:t xml:space="preserve">or extended </w:t>
      </w:r>
      <w:r w:rsidRPr="00DE36EB">
        <w:t>as agreed in writing by the Parties.</w:t>
      </w:r>
    </w:p>
    <w:p w:rsidR="00784439" w:rsidRPr="009E093C" w:rsidRDefault="00784439" w:rsidP="00784439">
      <w:pPr>
        <w:pStyle w:val="Heading2"/>
        <w:ind w:right="-568"/>
        <w:rPr>
          <w:b w:val="0"/>
          <w:sz w:val="23"/>
          <w:szCs w:val="23"/>
        </w:rPr>
      </w:pPr>
      <w:r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>P</w:t>
      </w:r>
      <w:r w:rsidR="00814667"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 xml:space="preserve">art 2 — </w:t>
      </w:r>
      <w:r w:rsidR="00FF5029"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>Project</w:t>
      </w:r>
      <w:r w:rsidR="00814667" w:rsidRPr="00784439">
        <w:rPr>
          <w:rFonts w:ascii="Consolas" w:hAnsi="Consolas"/>
          <w:b w:val="0"/>
          <w:iCs w:val="0"/>
          <w:caps/>
          <w:kern w:val="32"/>
          <w:sz w:val="32"/>
          <w:szCs w:val="36"/>
        </w:rPr>
        <w:t xml:space="preserve"> output</w:t>
      </w:r>
    </w:p>
    <w:p w:rsidR="005452FF" w:rsidRDefault="005452FF" w:rsidP="00CE6056">
      <w:pPr>
        <w:pStyle w:val="Normalnumbered"/>
        <w:numPr>
          <w:ilvl w:val="0"/>
          <w:numId w:val="9"/>
        </w:numPr>
        <w:jc w:val="left"/>
      </w:pPr>
      <w:r>
        <w:t>This Agreement will contribu</w:t>
      </w:r>
      <w:r w:rsidR="000C27ED">
        <w:t>te to the establishment of the Education and C</w:t>
      </w:r>
      <w:r w:rsidR="00B64417">
        <w:t>ommunity</w:t>
      </w:r>
      <w:r w:rsidR="000C27ED">
        <w:t xml:space="preserve"> P</w:t>
      </w:r>
      <w:r>
        <w:t xml:space="preserve">recinct within the Darwin </w:t>
      </w:r>
      <w:r w:rsidR="005F4BD2">
        <w:t>CBD</w:t>
      </w:r>
      <w:r w:rsidR="00961A59">
        <w:t xml:space="preserve">, as </w:t>
      </w:r>
      <w:r w:rsidR="00D776A6">
        <w:t xml:space="preserve">generally </w:t>
      </w:r>
      <w:r w:rsidR="00961A59">
        <w:t>outlined in the Darwin City Deal</w:t>
      </w:r>
      <w:r>
        <w:t xml:space="preserve">. </w:t>
      </w:r>
    </w:p>
    <w:p w:rsidR="008F44F1" w:rsidRPr="00511DC4" w:rsidRDefault="008F44F1" w:rsidP="00511DC4">
      <w:pPr>
        <w:pStyle w:val="Heading2"/>
        <w:ind w:right="-568"/>
      </w:pPr>
      <w:r w:rsidRPr="00511DC4">
        <w:rPr>
          <w:rFonts w:ascii="Consolas" w:hAnsi="Consolas"/>
          <w:b w:val="0"/>
          <w:iCs w:val="0"/>
          <w:caps/>
          <w:kern w:val="32"/>
          <w:sz w:val="32"/>
          <w:szCs w:val="36"/>
        </w:rPr>
        <w:t>Part 3 — roles and responsibilities of each party</w:t>
      </w:r>
    </w:p>
    <w:p w:rsidR="008F44F1" w:rsidRDefault="008F44F1" w:rsidP="008F44F1">
      <w:pPr>
        <w:pStyle w:val="Heading2"/>
      </w:pPr>
      <w:r w:rsidRPr="00814590">
        <w:t>Role of the Commonwealth</w:t>
      </w:r>
    </w:p>
    <w:p w:rsidR="008F44F1" w:rsidRDefault="008F44F1" w:rsidP="00CE6056">
      <w:pPr>
        <w:pStyle w:val="Normalnumbered"/>
        <w:numPr>
          <w:ilvl w:val="0"/>
          <w:numId w:val="9"/>
        </w:numPr>
        <w:jc w:val="left"/>
      </w:pPr>
      <w:r>
        <w:t>The Commonwealth will be responsible for:</w:t>
      </w:r>
    </w:p>
    <w:p w:rsidR="008F44F1" w:rsidRPr="005E3DA4" w:rsidRDefault="002C5745" w:rsidP="00CE6056">
      <w:pPr>
        <w:pStyle w:val="AlphaParagraph"/>
        <w:numPr>
          <w:ilvl w:val="0"/>
          <w:numId w:val="20"/>
        </w:numPr>
        <w:tabs>
          <w:tab w:val="clear" w:pos="283"/>
          <w:tab w:val="clear" w:pos="567"/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M</w:t>
      </w:r>
      <w:r w:rsidR="008F44F1" w:rsidRPr="000614F9">
        <w:rPr>
          <w:color w:val="auto"/>
        </w:rPr>
        <w:t>onitoring</w:t>
      </w:r>
      <w:r w:rsidR="008F44F1" w:rsidRPr="005E3DA4">
        <w:rPr>
          <w:color w:val="auto"/>
        </w:rPr>
        <w:t xml:space="preserve"> and assessing achievement against mil</w:t>
      </w:r>
      <w:r w:rsidR="00FD2072" w:rsidRPr="005E3DA4">
        <w:rPr>
          <w:color w:val="auto"/>
        </w:rPr>
        <w:t xml:space="preserve">estones in the </w:t>
      </w:r>
      <w:r w:rsidR="004869C3" w:rsidRPr="005E3DA4">
        <w:rPr>
          <w:color w:val="auto"/>
        </w:rPr>
        <w:t>establishment of the Education and C</w:t>
      </w:r>
      <w:r w:rsidR="00B64417">
        <w:rPr>
          <w:color w:val="auto"/>
        </w:rPr>
        <w:t>ommunity</w:t>
      </w:r>
      <w:r w:rsidR="004869C3" w:rsidRPr="005E3DA4">
        <w:rPr>
          <w:color w:val="auto"/>
        </w:rPr>
        <w:t xml:space="preserve"> Precinct </w:t>
      </w:r>
      <w:r w:rsidR="008F44F1" w:rsidRPr="000614F9">
        <w:rPr>
          <w:color w:val="auto"/>
        </w:rPr>
        <w:t>under</w:t>
      </w:r>
      <w:r w:rsidR="008F44F1" w:rsidRPr="005E3DA4">
        <w:rPr>
          <w:color w:val="auto"/>
        </w:rPr>
        <w:t xml:space="preserve"> this Agreement to ensure that outputs are delivered within the agreed timeframe; </w:t>
      </w:r>
    </w:p>
    <w:p w:rsidR="008F44F1" w:rsidRPr="000614F9" w:rsidRDefault="002C5745" w:rsidP="00CE6056">
      <w:pPr>
        <w:pStyle w:val="AlphaParagraph"/>
        <w:numPr>
          <w:ilvl w:val="0"/>
          <w:numId w:val="20"/>
        </w:numPr>
        <w:tabs>
          <w:tab w:val="clear" w:pos="283"/>
          <w:tab w:val="clear" w:pos="567"/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P</w:t>
      </w:r>
      <w:r w:rsidR="008F44F1" w:rsidRPr="004B6083">
        <w:rPr>
          <w:color w:val="auto"/>
        </w:rPr>
        <w:t xml:space="preserve">roviding a consequent financial contribution to the </w:t>
      </w:r>
      <w:r w:rsidR="00C55FDA">
        <w:rPr>
          <w:color w:val="auto"/>
        </w:rPr>
        <w:t>N</w:t>
      </w:r>
      <w:r>
        <w:rPr>
          <w:color w:val="auto"/>
        </w:rPr>
        <w:t>T</w:t>
      </w:r>
      <w:r w:rsidR="00C55FDA">
        <w:rPr>
          <w:color w:val="auto"/>
        </w:rPr>
        <w:t xml:space="preserve"> </w:t>
      </w:r>
      <w:r w:rsidR="008F44F1" w:rsidRPr="004B6083">
        <w:rPr>
          <w:color w:val="auto"/>
        </w:rPr>
        <w:t xml:space="preserve">to support the </w:t>
      </w:r>
      <w:r w:rsidR="008F44F1" w:rsidRPr="005E3DA4">
        <w:rPr>
          <w:color w:val="auto"/>
        </w:rPr>
        <w:t>implementation</w:t>
      </w:r>
      <w:r w:rsidR="008F44F1" w:rsidRPr="004B6083">
        <w:rPr>
          <w:color w:val="auto"/>
        </w:rPr>
        <w:t xml:space="preserve"> of this Agreement;</w:t>
      </w:r>
    </w:p>
    <w:p w:rsidR="004F5DCD" w:rsidRPr="005E3DA4" w:rsidRDefault="002C5745" w:rsidP="00CE6056">
      <w:pPr>
        <w:pStyle w:val="AlphaParagraph"/>
        <w:numPr>
          <w:ilvl w:val="0"/>
          <w:numId w:val="20"/>
        </w:numPr>
        <w:tabs>
          <w:tab w:val="clear" w:pos="283"/>
          <w:tab w:val="clear" w:pos="567"/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I</w:t>
      </w:r>
      <w:r w:rsidR="004F5DCD" w:rsidRPr="005E3DA4">
        <w:rPr>
          <w:color w:val="auto"/>
        </w:rPr>
        <w:t xml:space="preserve">n accordance with the </w:t>
      </w:r>
      <w:r w:rsidR="004F5DCD" w:rsidRPr="002C5745">
        <w:rPr>
          <w:i/>
          <w:color w:val="auto"/>
        </w:rPr>
        <w:t>Building and Construction Industry (Improving Productivity) Act 2016</w:t>
      </w:r>
      <w:r w:rsidR="004F5DCD" w:rsidRPr="00750F59">
        <w:rPr>
          <w:color w:val="auto"/>
        </w:rPr>
        <w:t xml:space="preserve">, </w:t>
      </w:r>
      <w:r w:rsidR="004F5DCD" w:rsidRPr="005E3DA4">
        <w:rPr>
          <w:color w:val="auto"/>
        </w:rPr>
        <w:t xml:space="preserve">ensuring that </w:t>
      </w:r>
      <w:r w:rsidR="004F5DCD" w:rsidRPr="00750F59">
        <w:rPr>
          <w:color w:val="auto"/>
        </w:rPr>
        <w:t>financial contributions to a building project or projects are only made where a builder or builders accredited under the Australian Government Building and Construction WHS Accreditation Scheme is contracted</w:t>
      </w:r>
      <w:r w:rsidR="008132AA">
        <w:rPr>
          <w:color w:val="auto"/>
        </w:rPr>
        <w:t xml:space="preserve"> </w:t>
      </w:r>
      <w:r w:rsidR="008132AA" w:rsidRPr="004279E6">
        <w:rPr>
          <w:color w:val="auto"/>
        </w:rPr>
        <w:t>(</w:t>
      </w:r>
      <w:r w:rsidR="008132AA" w:rsidRPr="005E3DA4">
        <w:rPr>
          <w:color w:val="auto"/>
        </w:rPr>
        <w:t>subject to the financial thresholds defined in the Scheme)</w:t>
      </w:r>
      <w:r w:rsidR="004F5DCD" w:rsidRPr="00750F59">
        <w:rPr>
          <w:color w:val="auto"/>
        </w:rPr>
        <w:t>; and</w:t>
      </w:r>
    </w:p>
    <w:p w:rsidR="004F5DCD" w:rsidRPr="005E3DA4" w:rsidRDefault="00592163" w:rsidP="00CE6056">
      <w:pPr>
        <w:pStyle w:val="AlphaParagraph"/>
        <w:numPr>
          <w:ilvl w:val="0"/>
          <w:numId w:val="20"/>
        </w:numPr>
        <w:tabs>
          <w:tab w:val="clear" w:pos="283"/>
          <w:tab w:val="clear" w:pos="567"/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E</w:t>
      </w:r>
      <w:r w:rsidR="004F5DCD" w:rsidRPr="00750F59">
        <w:rPr>
          <w:color w:val="auto"/>
        </w:rPr>
        <w:t xml:space="preserve">nsuring that compliance with the </w:t>
      </w:r>
      <w:r w:rsidR="004F5DCD">
        <w:rPr>
          <w:color w:val="auto"/>
        </w:rPr>
        <w:t>Code for the Tendering and Performance of Building Work 2016 (</w:t>
      </w:r>
      <w:r w:rsidR="004F5DCD" w:rsidRPr="00750F59">
        <w:rPr>
          <w:color w:val="auto"/>
        </w:rPr>
        <w:t>Building Code 201</w:t>
      </w:r>
      <w:r w:rsidR="004F5DCD">
        <w:rPr>
          <w:color w:val="auto"/>
        </w:rPr>
        <w:t>6)</w:t>
      </w:r>
      <w:r w:rsidR="004F5DCD" w:rsidRPr="00750F59">
        <w:rPr>
          <w:color w:val="auto"/>
        </w:rPr>
        <w:t xml:space="preserve"> is a condition of Australian Government funding</w:t>
      </w:r>
      <w:r w:rsidR="008132AA">
        <w:rPr>
          <w:color w:val="auto"/>
        </w:rPr>
        <w:t xml:space="preserve"> </w:t>
      </w:r>
      <w:r w:rsidR="008132AA" w:rsidRPr="004279E6">
        <w:rPr>
          <w:color w:val="auto"/>
        </w:rPr>
        <w:t>(</w:t>
      </w:r>
      <w:r w:rsidR="008132AA" w:rsidRPr="005E3DA4">
        <w:rPr>
          <w:color w:val="auto"/>
        </w:rPr>
        <w:t>subject to the financial thresholds defined in the Scheme)</w:t>
      </w:r>
      <w:r w:rsidR="004F5DCD" w:rsidRPr="00750F59">
        <w:rPr>
          <w:color w:val="auto"/>
        </w:rPr>
        <w:t>.</w:t>
      </w:r>
    </w:p>
    <w:p w:rsidR="008F44F1" w:rsidRPr="00751725" w:rsidRDefault="008F44F1" w:rsidP="008F44F1">
      <w:pPr>
        <w:pStyle w:val="Heading2"/>
      </w:pPr>
      <w:r w:rsidRPr="00751725">
        <w:t xml:space="preserve">Role of the </w:t>
      </w:r>
      <w:r w:rsidR="00296B1D">
        <w:t>Northern Territory</w:t>
      </w:r>
    </w:p>
    <w:p w:rsidR="008F44F1" w:rsidRPr="00751725" w:rsidRDefault="008F44F1" w:rsidP="00CE6056">
      <w:pPr>
        <w:pStyle w:val="Normalnumbered"/>
        <w:numPr>
          <w:ilvl w:val="0"/>
          <w:numId w:val="9"/>
        </w:numPr>
        <w:jc w:val="left"/>
      </w:pPr>
      <w:r w:rsidRPr="00751725">
        <w:t xml:space="preserve">The </w:t>
      </w:r>
      <w:r w:rsidR="004339B2">
        <w:t>N</w:t>
      </w:r>
      <w:r w:rsidR="00592163">
        <w:t>T</w:t>
      </w:r>
      <w:r w:rsidR="004339B2">
        <w:t xml:space="preserve"> </w:t>
      </w:r>
      <w:r>
        <w:t>will be responsible for</w:t>
      </w:r>
      <w:r w:rsidR="00545DF7">
        <w:t>:</w:t>
      </w:r>
    </w:p>
    <w:p w:rsidR="00296B1D" w:rsidRDefault="00592163" w:rsidP="00CE6056">
      <w:pPr>
        <w:pStyle w:val="AlphaParagraph"/>
        <w:numPr>
          <w:ilvl w:val="0"/>
          <w:numId w:val="18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E</w:t>
      </w:r>
      <w:r w:rsidR="00401163">
        <w:t>ntering into an agreement with CDU (the project proponent)</w:t>
      </w:r>
      <w:r w:rsidR="00CB0060">
        <w:t>,</w:t>
      </w:r>
      <w:r w:rsidR="00401163">
        <w:t xml:space="preserve"> </w:t>
      </w:r>
      <w:r w:rsidR="00CB0060">
        <w:t xml:space="preserve">assessing </w:t>
      </w:r>
      <w:r w:rsidR="00180AE3">
        <w:t>milestones within that</w:t>
      </w:r>
      <w:r w:rsidR="00CB0060">
        <w:t xml:space="preserve"> agreement </w:t>
      </w:r>
      <w:r w:rsidR="00401163">
        <w:t xml:space="preserve">and </w:t>
      </w:r>
      <w:r w:rsidR="00CB0060">
        <w:t>providing</w:t>
      </w:r>
      <w:r w:rsidR="00CB0060" w:rsidRPr="002771CA">
        <w:t xml:space="preserve"> </w:t>
      </w:r>
      <w:r w:rsidR="00401163">
        <w:t xml:space="preserve">project </w:t>
      </w:r>
      <w:r w:rsidR="00920543">
        <w:t>p</w:t>
      </w:r>
      <w:r w:rsidR="00296B1D" w:rsidRPr="002771CA">
        <w:t>ayments to C</w:t>
      </w:r>
      <w:r w:rsidR="00401163">
        <w:t xml:space="preserve">DU </w:t>
      </w:r>
      <w:r w:rsidR="00296B1D" w:rsidRPr="002771CA">
        <w:t xml:space="preserve">as </w:t>
      </w:r>
      <w:r w:rsidR="00401163">
        <w:t xml:space="preserve">it </w:t>
      </w:r>
      <w:r w:rsidR="00296B1D" w:rsidRPr="002771CA">
        <w:t>meet</w:t>
      </w:r>
      <w:r w:rsidR="00401163">
        <w:t>s</w:t>
      </w:r>
      <w:r w:rsidR="00296B1D" w:rsidRPr="002771CA">
        <w:t xml:space="preserve"> milestones;</w:t>
      </w:r>
    </w:p>
    <w:p w:rsidR="00301E84" w:rsidRPr="00462A98" w:rsidRDefault="00592163" w:rsidP="00CE6056">
      <w:pPr>
        <w:pStyle w:val="AlphaParagraph"/>
        <w:numPr>
          <w:ilvl w:val="0"/>
          <w:numId w:val="14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E</w:t>
      </w:r>
      <w:r w:rsidR="00301E84" w:rsidRPr="00462A98">
        <w:t>nsuring that an Indigenous employment target of 8.8 per cent and an Indigenous supplier-use target of 3 per cent are established for the project, and that priority in meeting the targets is given to local Indigenous businesses, organisations and potential employees;</w:t>
      </w:r>
    </w:p>
    <w:p w:rsidR="000C7F83" w:rsidRDefault="00592163" w:rsidP="00CE6056">
      <w:pPr>
        <w:pStyle w:val="AlphaParagraph"/>
        <w:numPr>
          <w:ilvl w:val="0"/>
          <w:numId w:val="14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W</w:t>
      </w:r>
      <w:r w:rsidR="00296B1D">
        <w:t>orking with</w:t>
      </w:r>
      <w:r w:rsidR="006A1526">
        <w:t xml:space="preserve"> the </w:t>
      </w:r>
      <w:r w:rsidR="008B4592">
        <w:t xml:space="preserve">Commonwealth, and </w:t>
      </w:r>
      <w:r w:rsidR="006A1526">
        <w:t>C</w:t>
      </w:r>
      <w:r w:rsidR="00401163">
        <w:t xml:space="preserve">DU </w:t>
      </w:r>
      <w:r w:rsidR="006A1526">
        <w:t>to support the delivery of the Education and C</w:t>
      </w:r>
      <w:r w:rsidR="00B64417">
        <w:t>ommunity</w:t>
      </w:r>
      <w:r w:rsidR="006A1526">
        <w:t xml:space="preserve"> Precinct</w:t>
      </w:r>
      <w:r w:rsidR="008B4592">
        <w:t xml:space="preserve"> </w:t>
      </w:r>
      <w:r w:rsidR="00CF547A">
        <w:t xml:space="preserve">in accordance with </w:t>
      </w:r>
      <w:r w:rsidR="006A1526">
        <w:t>the Darwin City Deal</w:t>
      </w:r>
      <w:r w:rsidR="00340798">
        <w:t xml:space="preserve"> and the milestones </w:t>
      </w:r>
      <w:r w:rsidR="007663B3">
        <w:t>set</w:t>
      </w:r>
      <w:r w:rsidR="00340798">
        <w:t xml:space="preserve"> out in Part 4</w:t>
      </w:r>
      <w:r w:rsidR="00340798" w:rsidRPr="00340798">
        <w:t xml:space="preserve"> </w:t>
      </w:r>
      <w:r w:rsidR="007663B3">
        <w:softHyphen/>
      </w:r>
      <w:r w:rsidR="007663B3">
        <w:softHyphen/>
        <w:t xml:space="preserve">– </w:t>
      </w:r>
      <w:r w:rsidR="00340798" w:rsidRPr="002771CA">
        <w:t>Project Milestones, Reporting and Payments</w:t>
      </w:r>
      <w:r w:rsidR="004A2999">
        <w:t>;</w:t>
      </w:r>
    </w:p>
    <w:p w:rsidR="00A6719E" w:rsidRPr="002771CA" w:rsidRDefault="00592163" w:rsidP="00CE6056">
      <w:pPr>
        <w:pStyle w:val="AlphaParagraph"/>
        <w:numPr>
          <w:ilvl w:val="0"/>
          <w:numId w:val="14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R</w:t>
      </w:r>
      <w:r w:rsidR="00A6719E" w:rsidRPr="002771CA">
        <w:t>eporting on the delivery of outputs as set out in Part 4 – Project Milestones, Reporting and Payments</w:t>
      </w:r>
      <w:r w:rsidR="006B43AF" w:rsidRPr="002771CA">
        <w:t>;</w:t>
      </w:r>
    </w:p>
    <w:p w:rsidR="008F44F1" w:rsidRDefault="00592163" w:rsidP="00CE6056">
      <w:pPr>
        <w:pStyle w:val="AlphaParagraph"/>
        <w:numPr>
          <w:ilvl w:val="0"/>
          <w:numId w:val="14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rPr>
          <w:szCs w:val="23"/>
        </w:rPr>
        <w:t>E</w:t>
      </w:r>
      <w:r w:rsidR="008F44F1" w:rsidRPr="00772818">
        <w:rPr>
          <w:szCs w:val="23"/>
        </w:rPr>
        <w:t xml:space="preserve">nsuring that </w:t>
      </w:r>
      <w:r w:rsidR="008F44F1" w:rsidRPr="00772818">
        <w:t xml:space="preserve">only a builder or builders accredited under the Australian Government Building and Construction </w:t>
      </w:r>
      <w:r w:rsidR="00281874">
        <w:t>WHS</w:t>
      </w:r>
      <w:r w:rsidR="008F44F1" w:rsidRPr="00772818">
        <w:t xml:space="preserve"> Accreditation Scheme is </w:t>
      </w:r>
      <w:r w:rsidR="008F44F1">
        <w:t>contracted</w:t>
      </w:r>
      <w:r w:rsidR="008132AA">
        <w:t xml:space="preserve"> </w:t>
      </w:r>
      <w:r w:rsidR="008132AA" w:rsidRPr="004279E6">
        <w:rPr>
          <w:color w:val="auto"/>
        </w:rPr>
        <w:t>(</w:t>
      </w:r>
      <w:r w:rsidR="008132AA" w:rsidRPr="004279E6">
        <w:t>subject to the financial thresholds defined in the Scheme)</w:t>
      </w:r>
      <w:r w:rsidR="008F44F1">
        <w:t>, and providing the necessary assurances to the Commonwealth;</w:t>
      </w:r>
      <w:r w:rsidR="00A6719E">
        <w:t xml:space="preserve"> and</w:t>
      </w:r>
    </w:p>
    <w:p w:rsidR="004F5DCD" w:rsidRPr="00750F59" w:rsidRDefault="00592163" w:rsidP="00CE6056">
      <w:pPr>
        <w:pStyle w:val="AlphaParagraph"/>
        <w:numPr>
          <w:ilvl w:val="0"/>
          <w:numId w:val="14"/>
        </w:numPr>
        <w:tabs>
          <w:tab w:val="clear" w:pos="567"/>
          <w:tab w:val="clear" w:pos="1418"/>
          <w:tab w:val="clear" w:pos="1701"/>
        </w:tabs>
        <w:ind w:left="1134" w:hanging="567"/>
        <w:rPr>
          <w:color w:val="auto"/>
          <w:szCs w:val="23"/>
        </w:rPr>
      </w:pPr>
      <w:r>
        <w:rPr>
          <w:color w:val="auto"/>
          <w:szCs w:val="23"/>
        </w:rPr>
        <w:lastRenderedPageBreak/>
        <w:t>E</w:t>
      </w:r>
      <w:r w:rsidR="004F5DCD" w:rsidRPr="00750F59">
        <w:rPr>
          <w:color w:val="auto"/>
          <w:szCs w:val="23"/>
        </w:rPr>
        <w:t>nsuring that compliance with the Building Code 201</w:t>
      </w:r>
      <w:r w:rsidR="004F5DCD">
        <w:rPr>
          <w:color w:val="auto"/>
          <w:szCs w:val="23"/>
        </w:rPr>
        <w:t>6</w:t>
      </w:r>
      <w:r w:rsidR="004F5DCD" w:rsidRPr="00750F59">
        <w:rPr>
          <w:color w:val="auto"/>
        </w:rPr>
        <w:t xml:space="preserve"> is made a condition of tender for </w:t>
      </w:r>
      <w:r w:rsidR="004F5DCD">
        <w:rPr>
          <w:color w:val="auto"/>
        </w:rPr>
        <w:t xml:space="preserve">and performance of building work by </w:t>
      </w:r>
      <w:r w:rsidR="004F5DCD" w:rsidRPr="00750F59">
        <w:rPr>
          <w:color w:val="auto"/>
        </w:rPr>
        <w:t>all contractors and subcontractors</w:t>
      </w:r>
      <w:r w:rsidR="008132AA">
        <w:rPr>
          <w:color w:val="auto"/>
        </w:rPr>
        <w:t xml:space="preserve"> </w:t>
      </w:r>
      <w:r w:rsidR="008132AA" w:rsidRPr="004279E6">
        <w:rPr>
          <w:color w:val="auto"/>
        </w:rPr>
        <w:t>(</w:t>
      </w:r>
      <w:r w:rsidR="008132AA" w:rsidRPr="004279E6">
        <w:t>subject to the financial thresholds defined in the Scheme)</w:t>
      </w:r>
      <w:r w:rsidR="004F5DCD" w:rsidRPr="00750F59">
        <w:rPr>
          <w:color w:val="auto"/>
        </w:rPr>
        <w:t xml:space="preserve"> and providing</w:t>
      </w:r>
      <w:r w:rsidR="004F5DCD" w:rsidRPr="00750F59">
        <w:rPr>
          <w:color w:val="auto"/>
          <w:szCs w:val="23"/>
        </w:rPr>
        <w:t xml:space="preserve"> the necessary assurances to the Commonwealth.</w:t>
      </w:r>
    </w:p>
    <w:p w:rsidR="008F44F1" w:rsidRDefault="008F44F1" w:rsidP="004F5DCD">
      <w:pPr>
        <w:pStyle w:val="Heading2"/>
      </w:pPr>
      <w:r>
        <w:t>Shared roles</w:t>
      </w:r>
    </w:p>
    <w:p w:rsidR="008F44F1" w:rsidRDefault="008F44F1" w:rsidP="00CE6056">
      <w:pPr>
        <w:pStyle w:val="Normalnumbered"/>
        <w:numPr>
          <w:ilvl w:val="0"/>
          <w:numId w:val="9"/>
        </w:numPr>
      </w:pPr>
      <w:r>
        <w:rPr>
          <w:color w:val="auto"/>
        </w:rPr>
        <w:t>The</w:t>
      </w:r>
      <w:r w:rsidRPr="00166312">
        <w:rPr>
          <w:color w:val="auto"/>
        </w:rPr>
        <w:t xml:space="preserve"> Parties will</w:t>
      </w:r>
      <w:r>
        <w:rPr>
          <w:color w:val="auto"/>
        </w:rPr>
        <w:t xml:space="preserve"> </w:t>
      </w:r>
      <w:r>
        <w:t xml:space="preserve">meet the requirements of Schedule E, Clause 26 of </w:t>
      </w:r>
      <w:r w:rsidRPr="00183EAB">
        <w:rPr>
          <w:color w:val="auto"/>
        </w:rPr>
        <w:t xml:space="preserve">the </w:t>
      </w:r>
      <w:r w:rsidR="00C41265">
        <w:rPr>
          <w:color w:val="auto"/>
        </w:rPr>
        <w:t>IGA FFR</w:t>
      </w:r>
      <w:r w:rsidRPr="000614F9">
        <w:rPr>
          <w:color w:val="auto"/>
        </w:rPr>
        <w:t>, by ensuring that prior agreemen</w:t>
      </w:r>
      <w:r>
        <w:t xml:space="preserve">t is reached on the nature and content of any events, announcements, promotional material or publicity relating to </w:t>
      </w:r>
      <w:r w:rsidR="00592163">
        <w:t>activities under this Agreement</w:t>
      </w:r>
      <w:r>
        <w:t xml:space="preserve"> and that the roles of both Parties will be acknowledged and recognised appropriately.</w:t>
      </w:r>
    </w:p>
    <w:p w:rsidR="003D61FB" w:rsidRPr="00E11F51" w:rsidRDefault="003D61FB" w:rsidP="00CE6056">
      <w:pPr>
        <w:pStyle w:val="Normalnumbered"/>
        <w:numPr>
          <w:ilvl w:val="0"/>
          <w:numId w:val="9"/>
        </w:numPr>
        <w:spacing w:before="120" w:line="240" w:lineRule="auto"/>
      </w:pPr>
      <w:r w:rsidRPr="00B54C66">
        <w:t>Promotional and public reporting, including media coverage, will be conducted in line with the Darwin City Deal communication protocols</w:t>
      </w:r>
      <w:r>
        <w:t xml:space="preserve"> </w:t>
      </w:r>
      <w:r w:rsidRPr="00E11F51">
        <w:t>including:</w:t>
      </w:r>
    </w:p>
    <w:p w:rsidR="003D61FB" w:rsidRPr="00B54C66" w:rsidRDefault="00592163" w:rsidP="00CE6056">
      <w:pPr>
        <w:pStyle w:val="AlphaParagraph"/>
        <w:numPr>
          <w:ilvl w:val="0"/>
          <w:numId w:val="19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J</w:t>
      </w:r>
      <w:r w:rsidR="003D61FB" w:rsidRPr="00B54C66">
        <w:t xml:space="preserve">oint </w:t>
      </w:r>
      <w:r w:rsidR="003D61FB">
        <w:t>Commonwealth</w:t>
      </w:r>
      <w:r w:rsidR="003D61FB" w:rsidRPr="00B54C66">
        <w:t>, NT</w:t>
      </w:r>
      <w:r w:rsidR="003D61FB">
        <w:t>,</w:t>
      </w:r>
      <w:r w:rsidR="003D61FB" w:rsidRPr="00B54C66">
        <w:t xml:space="preserve"> </w:t>
      </w:r>
      <w:r w:rsidR="003D61FB">
        <w:t xml:space="preserve">and CDU </w:t>
      </w:r>
      <w:r w:rsidR="003D61FB" w:rsidRPr="00B54C66">
        <w:t xml:space="preserve">branding to ensure partners are equally acknowledged; </w:t>
      </w:r>
    </w:p>
    <w:p w:rsidR="003D61FB" w:rsidRPr="00462A98" w:rsidRDefault="00592163" w:rsidP="00CE6056">
      <w:pPr>
        <w:pStyle w:val="AlphaParagraph"/>
        <w:numPr>
          <w:ilvl w:val="0"/>
          <w:numId w:val="19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C</w:t>
      </w:r>
      <w:r w:rsidR="003D61FB" w:rsidRPr="00462A98">
        <w:t>onsultation on and, where appropriate, joint coordination on major public announcements; and</w:t>
      </w:r>
    </w:p>
    <w:p w:rsidR="003D61FB" w:rsidRPr="00462A98" w:rsidRDefault="00592163" w:rsidP="00CE6056">
      <w:pPr>
        <w:pStyle w:val="AlphaParagraph"/>
        <w:numPr>
          <w:ilvl w:val="0"/>
          <w:numId w:val="19"/>
        </w:numPr>
        <w:tabs>
          <w:tab w:val="clear" w:pos="567"/>
          <w:tab w:val="clear" w:pos="1418"/>
          <w:tab w:val="clear" w:pos="1701"/>
        </w:tabs>
        <w:ind w:left="1134" w:hanging="567"/>
      </w:pPr>
      <w:r>
        <w:t>J</w:t>
      </w:r>
      <w:r w:rsidR="003D61FB" w:rsidRPr="00462A98">
        <w:t>oint agreement on significant promotion strategies.</w:t>
      </w:r>
    </w:p>
    <w:p w:rsidR="00814667" w:rsidRPr="00814590" w:rsidRDefault="00814667">
      <w:pPr>
        <w:pStyle w:val="Heading1"/>
      </w:pPr>
      <w:r w:rsidRPr="00814590">
        <w:t xml:space="preserve">Part 4 — </w:t>
      </w:r>
      <w:r w:rsidR="0095223D" w:rsidRPr="00814590">
        <w:t>P</w:t>
      </w:r>
      <w:r w:rsidR="0095223D">
        <w:t>roject</w:t>
      </w:r>
      <w:r w:rsidR="0095223D" w:rsidRPr="00814590">
        <w:t xml:space="preserve"> </w:t>
      </w:r>
      <w:r w:rsidR="00F8684A">
        <w:t>milestones</w:t>
      </w:r>
      <w:r w:rsidR="0095223D">
        <w:t xml:space="preserve">, </w:t>
      </w:r>
      <w:r w:rsidRPr="00814590">
        <w:t>reporting</w:t>
      </w:r>
      <w:r w:rsidR="00B8096A">
        <w:t xml:space="preserve"> and Payment</w:t>
      </w:r>
      <w:r w:rsidR="0095223D">
        <w:t>s</w:t>
      </w:r>
    </w:p>
    <w:p w:rsidR="001415A1" w:rsidRPr="000B72F0" w:rsidRDefault="00545DF7" w:rsidP="00CE6056">
      <w:pPr>
        <w:pStyle w:val="Normalnumbered"/>
        <w:numPr>
          <w:ilvl w:val="0"/>
          <w:numId w:val="9"/>
        </w:numPr>
      </w:pPr>
      <w:r w:rsidRPr="00DE36EB">
        <w:t>T</w:t>
      </w:r>
      <w:r w:rsidR="007C4F31" w:rsidRPr="00DE36EB">
        <w:t xml:space="preserve">able </w:t>
      </w:r>
      <w:r w:rsidRPr="00DE36EB">
        <w:t>1</w:t>
      </w:r>
      <w:r>
        <w:t xml:space="preserve"> </w:t>
      </w:r>
      <w:r w:rsidR="007C4F31">
        <w:t xml:space="preserve">summarises the milestones for the project, their relationship to the outputs, expected completion dates, relevant reporting dates and expected payments </w:t>
      </w:r>
      <w:r w:rsidR="0077685D">
        <w:t>to be made</w:t>
      </w:r>
      <w:r w:rsidR="00ED2AC4">
        <w:t xml:space="preserve">. The Commonwealth will make payments subject to the performance report demonstrating the relevant </w:t>
      </w:r>
      <w:r w:rsidR="00ED2AC4" w:rsidRPr="00EF6486">
        <w:rPr>
          <w:szCs w:val="23"/>
        </w:rPr>
        <w:t xml:space="preserve">milestone </w:t>
      </w:r>
      <w:r w:rsidR="00ED2AC4">
        <w:t>has been met.</w:t>
      </w:r>
    </w:p>
    <w:p w:rsidR="00F3245D" w:rsidRPr="000E2AF6" w:rsidRDefault="0095223D" w:rsidP="008E0AD6">
      <w:pPr>
        <w:pStyle w:val="Normalnumbered"/>
        <w:keepNext/>
        <w:numPr>
          <w:ilvl w:val="0"/>
          <w:numId w:val="0"/>
        </w:numPr>
      </w:pPr>
      <w:r w:rsidRPr="001D3CAD">
        <w:rPr>
          <w:b/>
        </w:rPr>
        <w:lastRenderedPageBreak/>
        <w:t xml:space="preserve">Table </w:t>
      </w:r>
      <w:r w:rsidR="00E204BB">
        <w:rPr>
          <w:b/>
        </w:rPr>
        <w:t>1</w:t>
      </w:r>
      <w:r w:rsidRPr="001D3CAD">
        <w:t xml:space="preserve">: </w:t>
      </w:r>
      <w:r w:rsidR="00806D94">
        <w:rPr>
          <w:b/>
        </w:rPr>
        <w:t>Performance requirements</w:t>
      </w:r>
      <w:r w:rsidRPr="001D3CAD">
        <w:rPr>
          <w:b/>
        </w:rPr>
        <w:t>, reporting and payment summary</w:t>
      </w:r>
    </w:p>
    <w:tbl>
      <w:tblPr>
        <w:tblStyle w:val="LightGrid-Accent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473"/>
        <w:gridCol w:w="1241"/>
      </w:tblGrid>
      <w:tr w:rsidR="0055415C" w:rsidRPr="00C26C5B" w:rsidTr="00AA5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5415C" w:rsidRPr="00AA5D61" w:rsidRDefault="0055415C" w:rsidP="00DA6BD7">
            <w:pPr>
              <w:pStyle w:val="Heading2"/>
              <w:outlineLvl w:val="1"/>
              <w:rPr>
                <w:b/>
                <w:bCs/>
                <w:sz w:val="24"/>
                <w:szCs w:val="24"/>
              </w:rPr>
            </w:pPr>
            <w:r w:rsidRPr="00AA5D61">
              <w:rPr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4536" w:type="dxa"/>
          </w:tcPr>
          <w:p w:rsidR="0055415C" w:rsidRPr="00AA5D61" w:rsidRDefault="0055415C" w:rsidP="0026571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D61">
              <w:rPr>
                <w:b/>
                <w:bCs/>
                <w:sz w:val="24"/>
                <w:szCs w:val="24"/>
              </w:rPr>
              <w:t>Performance milestone</w:t>
            </w:r>
            <w:r w:rsidR="00DA6BD7" w:rsidRPr="00AA5D61">
              <w:rPr>
                <w:b/>
                <w:bCs/>
                <w:sz w:val="24"/>
                <w:szCs w:val="24"/>
              </w:rPr>
              <w:t>s or benchmarks</w:t>
            </w:r>
          </w:p>
        </w:tc>
        <w:tc>
          <w:tcPr>
            <w:tcW w:w="1473" w:type="dxa"/>
          </w:tcPr>
          <w:p w:rsidR="0055415C" w:rsidRPr="00AA5D61" w:rsidRDefault="0055415C" w:rsidP="0026571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A5D61">
              <w:rPr>
                <w:b/>
                <w:bCs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</w:tcPr>
          <w:p w:rsidR="0055415C" w:rsidRPr="00AA5D61" w:rsidRDefault="0055415C" w:rsidP="00F3245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D61">
              <w:rPr>
                <w:b/>
                <w:bCs/>
                <w:sz w:val="24"/>
                <w:szCs w:val="24"/>
              </w:rPr>
              <w:t>Payment</w:t>
            </w:r>
          </w:p>
        </w:tc>
      </w:tr>
      <w:tr w:rsidR="00C6086E" w:rsidRPr="00C26C5B" w:rsidTr="00AA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C6086E" w:rsidRPr="00C26C5B" w:rsidRDefault="00C6086E" w:rsidP="003B267F">
            <w:pPr>
              <w:pStyle w:val="Heading2"/>
              <w:outlineLvl w:val="1"/>
              <w:rPr>
                <w:b/>
                <w:bCs/>
                <w:color w:val="auto"/>
                <w:sz w:val="23"/>
                <w:szCs w:val="23"/>
              </w:rPr>
            </w:pPr>
            <w:r w:rsidRPr="00961A59">
              <w:rPr>
                <w:b/>
                <w:color w:val="auto"/>
                <w:sz w:val="23"/>
                <w:szCs w:val="23"/>
              </w:rPr>
              <w:t>Establishment of the Darwin city centre Education and C</w:t>
            </w:r>
            <w:r>
              <w:rPr>
                <w:b/>
                <w:color w:val="auto"/>
                <w:sz w:val="23"/>
                <w:szCs w:val="23"/>
              </w:rPr>
              <w:t>ommunity</w:t>
            </w:r>
            <w:r w:rsidRPr="00961A59">
              <w:rPr>
                <w:b/>
                <w:color w:val="auto"/>
                <w:sz w:val="23"/>
                <w:szCs w:val="23"/>
              </w:rPr>
              <w:t xml:space="preserve"> Precinct</w:t>
            </w:r>
            <w:r>
              <w:rPr>
                <w:b/>
                <w:color w:val="auto"/>
                <w:sz w:val="23"/>
                <w:szCs w:val="23"/>
              </w:rPr>
              <w:t xml:space="preserve">. </w:t>
            </w:r>
          </w:p>
        </w:tc>
        <w:tc>
          <w:tcPr>
            <w:tcW w:w="4536" w:type="dxa"/>
          </w:tcPr>
          <w:p w:rsidR="00C6086E" w:rsidRPr="000B72F0" w:rsidRDefault="00C6086E" w:rsidP="00181EE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 w:rsidRPr="00900BFE">
              <w:rPr>
                <w:b w:val="0"/>
                <w:color w:val="auto"/>
                <w:sz w:val="23"/>
                <w:szCs w:val="23"/>
              </w:rPr>
              <w:t xml:space="preserve">Completion of </w:t>
            </w:r>
            <w:r>
              <w:rPr>
                <w:b w:val="0"/>
                <w:color w:val="auto"/>
                <w:sz w:val="23"/>
                <w:szCs w:val="23"/>
              </w:rPr>
              <w:t>th</w:t>
            </w:r>
            <w:r w:rsidRPr="00202114">
              <w:rPr>
                <w:b w:val="0"/>
                <w:color w:val="auto"/>
                <w:sz w:val="23"/>
                <w:szCs w:val="23"/>
              </w:rPr>
              <w:t xml:space="preserve">e Precinct </w:t>
            </w:r>
            <w:r>
              <w:rPr>
                <w:b w:val="0"/>
                <w:color w:val="auto"/>
                <w:sz w:val="23"/>
                <w:szCs w:val="23"/>
              </w:rPr>
              <w:t>M</w:t>
            </w:r>
            <w:r w:rsidRPr="00202114">
              <w:rPr>
                <w:b w:val="0"/>
                <w:color w:val="auto"/>
                <w:sz w:val="23"/>
                <w:szCs w:val="23"/>
              </w:rPr>
              <w:t>asterplan</w:t>
            </w:r>
            <w:r>
              <w:rPr>
                <w:b w:val="0"/>
                <w:color w:val="auto"/>
                <w:sz w:val="23"/>
                <w:szCs w:val="23"/>
              </w:rPr>
              <w:t>, concept design a</w:t>
            </w:r>
            <w:r w:rsidR="00E01685">
              <w:rPr>
                <w:b w:val="0"/>
                <w:color w:val="auto"/>
                <w:sz w:val="23"/>
                <w:szCs w:val="23"/>
              </w:rPr>
              <w:t>nd</w:t>
            </w:r>
            <w:r>
              <w:rPr>
                <w:b w:val="0"/>
                <w:color w:val="auto"/>
                <w:sz w:val="23"/>
                <w:szCs w:val="23"/>
              </w:rPr>
              <w:t xml:space="preserve"> project plan.</w:t>
            </w:r>
            <w:r w:rsidRPr="00202114">
              <w:rPr>
                <w:b w:val="0"/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1473" w:type="dxa"/>
          </w:tcPr>
          <w:p w:rsidR="00C6086E" w:rsidRPr="00C26C5B" w:rsidRDefault="00C6086E" w:rsidP="009856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01/06/2020</w:t>
            </w:r>
          </w:p>
        </w:tc>
        <w:tc>
          <w:tcPr>
            <w:tcW w:w="1241" w:type="dxa"/>
          </w:tcPr>
          <w:p w:rsidR="00C6086E" w:rsidRPr="00C26C5B" w:rsidRDefault="008F2022" w:rsidP="00263E1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</w:t>
            </w:r>
            <w:r w:rsidR="00263E10">
              <w:rPr>
                <w:b w:val="0"/>
                <w:color w:val="auto"/>
                <w:sz w:val="23"/>
                <w:szCs w:val="23"/>
              </w:rPr>
              <w:t>10</w:t>
            </w:r>
            <w:r w:rsidR="00C6086E">
              <w:rPr>
                <w:b w:val="0"/>
                <w:color w:val="auto"/>
                <w:sz w:val="23"/>
                <w:szCs w:val="23"/>
              </w:rPr>
              <w:t>.4 m</w:t>
            </w:r>
          </w:p>
        </w:tc>
      </w:tr>
      <w:tr w:rsidR="00C6086E" w:rsidRPr="00C26C5B" w:rsidTr="00AA5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62348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Pr="000B72F0" w:rsidRDefault="00F02AA4" w:rsidP="00F02A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Signing of contract by City of Darwin and CDU</w:t>
            </w:r>
            <w:r w:rsidR="00E92EDC">
              <w:t xml:space="preserve"> </w:t>
            </w:r>
            <w:r w:rsidR="00E92EDC">
              <w:rPr>
                <w:color w:val="auto"/>
                <w:szCs w:val="23"/>
              </w:rPr>
              <w:t>to t</w:t>
            </w:r>
            <w:r w:rsidR="00C6086E">
              <w:rPr>
                <w:color w:val="auto"/>
                <w:szCs w:val="23"/>
              </w:rPr>
              <w:t>ransfer</w:t>
            </w:r>
            <w:r w:rsidR="00E92EDC">
              <w:rPr>
                <w:color w:val="auto"/>
                <w:szCs w:val="23"/>
              </w:rPr>
              <w:t xml:space="preserve"> Lot 5803 Town of Darwin</w:t>
            </w:r>
            <w:r w:rsidR="00C6086E">
              <w:rPr>
                <w:color w:val="auto"/>
                <w:szCs w:val="23"/>
              </w:rPr>
              <w:t xml:space="preserve"> </w:t>
            </w:r>
            <w:r w:rsidR="00E92EDC">
              <w:rPr>
                <w:color w:val="auto"/>
                <w:szCs w:val="23"/>
              </w:rPr>
              <w:t xml:space="preserve">from </w:t>
            </w:r>
            <w:r w:rsidR="00C6086E">
              <w:rPr>
                <w:color w:val="auto"/>
                <w:szCs w:val="23"/>
              </w:rPr>
              <w:t xml:space="preserve">the City of Darwin </w:t>
            </w:r>
            <w:r w:rsidR="00E92EDC">
              <w:rPr>
                <w:color w:val="auto"/>
                <w:szCs w:val="23"/>
              </w:rPr>
              <w:t xml:space="preserve">to </w:t>
            </w:r>
            <w:r w:rsidR="00C6086E">
              <w:rPr>
                <w:color w:val="auto"/>
                <w:szCs w:val="23"/>
              </w:rPr>
              <w:t>CDU.</w:t>
            </w:r>
          </w:p>
        </w:tc>
        <w:tc>
          <w:tcPr>
            <w:tcW w:w="1473" w:type="dxa"/>
          </w:tcPr>
          <w:p w:rsidR="00C6086E" w:rsidRDefault="00C6086E" w:rsidP="00C6086E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01</w:t>
            </w:r>
            <w:r w:rsidRPr="00C26C5B">
              <w:rPr>
                <w:b w:val="0"/>
                <w:color w:val="auto"/>
                <w:sz w:val="23"/>
                <w:szCs w:val="23"/>
              </w:rPr>
              <w:t>/</w:t>
            </w:r>
            <w:r>
              <w:rPr>
                <w:b w:val="0"/>
                <w:color w:val="auto"/>
                <w:sz w:val="23"/>
                <w:szCs w:val="23"/>
              </w:rPr>
              <w:t>06</w:t>
            </w:r>
            <w:r w:rsidRPr="00C26C5B">
              <w:rPr>
                <w:b w:val="0"/>
                <w:color w:val="auto"/>
                <w:sz w:val="23"/>
                <w:szCs w:val="23"/>
              </w:rPr>
              <w:t>/</w:t>
            </w:r>
            <w:r>
              <w:rPr>
                <w:b w:val="0"/>
                <w:color w:val="auto"/>
                <w:sz w:val="23"/>
                <w:szCs w:val="23"/>
              </w:rPr>
              <w:t>2020</w:t>
            </w:r>
          </w:p>
        </w:tc>
        <w:tc>
          <w:tcPr>
            <w:tcW w:w="1241" w:type="dxa"/>
          </w:tcPr>
          <w:p w:rsidR="00C6086E" w:rsidRDefault="00C6086E" w:rsidP="00B806D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$14.6m</w:t>
            </w:r>
          </w:p>
        </w:tc>
      </w:tr>
      <w:tr w:rsidR="00C6086E" w:rsidRPr="00C26C5B" w:rsidTr="00AA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62348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Default="00C6086E" w:rsidP="00863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Carpark excavation commences </w:t>
            </w:r>
            <w:r w:rsidR="00863E56">
              <w:rPr>
                <w:color w:val="auto"/>
                <w:szCs w:val="23"/>
              </w:rPr>
              <w:t xml:space="preserve">and </w:t>
            </w:r>
            <w:r w:rsidR="00863E56" w:rsidRPr="00863E56">
              <w:rPr>
                <w:color w:val="auto"/>
                <w:szCs w:val="23"/>
              </w:rPr>
              <w:t>CDU has secured remainder of the finance required</w:t>
            </w:r>
            <w:r w:rsidR="00863E56">
              <w:rPr>
                <w:color w:val="auto"/>
                <w:szCs w:val="23"/>
              </w:rPr>
              <w:t>.</w:t>
            </w:r>
          </w:p>
        </w:tc>
        <w:tc>
          <w:tcPr>
            <w:tcW w:w="1473" w:type="dxa"/>
          </w:tcPr>
          <w:p w:rsidR="00C6086E" w:rsidRDefault="00C6086E" w:rsidP="009856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15/07/2020</w:t>
            </w:r>
          </w:p>
        </w:tc>
        <w:tc>
          <w:tcPr>
            <w:tcW w:w="1241" w:type="dxa"/>
          </w:tcPr>
          <w:p w:rsidR="00C6086E" w:rsidRDefault="00C6086E" w:rsidP="00C6086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$15m</w:t>
            </w:r>
          </w:p>
        </w:tc>
      </w:tr>
      <w:tr w:rsidR="00C6086E" w:rsidRPr="00C26C5B" w:rsidTr="00AA5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62348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Default="00C6086E" w:rsidP="00C60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 xml:space="preserve">Completion of </w:t>
            </w:r>
            <w:r w:rsidR="00F02AA4">
              <w:rPr>
                <w:color w:val="auto"/>
                <w:szCs w:val="23"/>
              </w:rPr>
              <w:t>c</w:t>
            </w:r>
            <w:r>
              <w:rPr>
                <w:color w:val="auto"/>
                <w:szCs w:val="23"/>
              </w:rPr>
              <w:t xml:space="preserve">arpark </w:t>
            </w:r>
            <w:r w:rsidRPr="00E32C80">
              <w:rPr>
                <w:color w:val="auto"/>
                <w:szCs w:val="23"/>
              </w:rPr>
              <w:t>excavation</w:t>
            </w:r>
            <w:r>
              <w:rPr>
                <w:color w:val="auto"/>
                <w:szCs w:val="23"/>
              </w:rPr>
              <w:t>.</w:t>
            </w:r>
          </w:p>
        </w:tc>
        <w:tc>
          <w:tcPr>
            <w:tcW w:w="1473" w:type="dxa"/>
          </w:tcPr>
          <w:p w:rsidR="00C6086E" w:rsidRDefault="00C6086E" w:rsidP="00B806D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15/02/2021</w:t>
            </w:r>
          </w:p>
        </w:tc>
        <w:tc>
          <w:tcPr>
            <w:tcW w:w="1241" w:type="dxa"/>
          </w:tcPr>
          <w:p w:rsidR="00C6086E" w:rsidRDefault="00C6086E" w:rsidP="00AA5D61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</w:t>
            </w:r>
            <w:r w:rsidR="00263E10">
              <w:rPr>
                <w:b w:val="0"/>
                <w:color w:val="auto"/>
                <w:sz w:val="23"/>
                <w:szCs w:val="23"/>
              </w:rPr>
              <w:t>30</w:t>
            </w:r>
            <w:r>
              <w:rPr>
                <w:b w:val="0"/>
                <w:color w:val="auto"/>
                <w:sz w:val="23"/>
                <w:szCs w:val="23"/>
              </w:rPr>
              <w:t>m</w:t>
            </w:r>
          </w:p>
        </w:tc>
      </w:tr>
      <w:tr w:rsidR="00C6086E" w:rsidRPr="00C26C5B" w:rsidTr="00AA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62348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Default="00C6086E" w:rsidP="005E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Completion of carpark and ground floor slab</w:t>
            </w:r>
            <w:r w:rsidR="00F02AA4">
              <w:rPr>
                <w:color w:val="auto"/>
                <w:szCs w:val="23"/>
              </w:rPr>
              <w:t>.</w:t>
            </w:r>
          </w:p>
        </w:tc>
        <w:tc>
          <w:tcPr>
            <w:tcW w:w="1473" w:type="dxa"/>
          </w:tcPr>
          <w:p w:rsidR="00C6086E" w:rsidRDefault="00C6086E" w:rsidP="009856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15/10/202</w:t>
            </w:r>
            <w:r w:rsidRPr="00C6086E">
              <w:rPr>
                <w:b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241" w:type="dxa"/>
          </w:tcPr>
          <w:p w:rsidR="00C6086E" w:rsidRDefault="00C6086E" w:rsidP="00AA5D6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</w:t>
            </w:r>
            <w:r w:rsidR="00263E10">
              <w:rPr>
                <w:b w:val="0"/>
                <w:color w:val="auto"/>
                <w:sz w:val="23"/>
                <w:szCs w:val="23"/>
              </w:rPr>
              <w:t>25</w:t>
            </w:r>
            <w:r>
              <w:rPr>
                <w:b w:val="0"/>
                <w:color w:val="auto"/>
                <w:sz w:val="23"/>
                <w:szCs w:val="23"/>
              </w:rPr>
              <w:t>.0m</w:t>
            </w:r>
          </w:p>
        </w:tc>
      </w:tr>
      <w:tr w:rsidR="00C6086E" w:rsidRPr="00C26C5B" w:rsidTr="00AA5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62348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Default="00C6086E" w:rsidP="00F02AA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Commencement of Ground Floor construction on Woods Street building.</w:t>
            </w:r>
          </w:p>
        </w:tc>
        <w:tc>
          <w:tcPr>
            <w:tcW w:w="1473" w:type="dxa"/>
          </w:tcPr>
          <w:p w:rsidR="00C6086E" w:rsidRDefault="00C6086E" w:rsidP="00C6086E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15/11/2021</w:t>
            </w:r>
          </w:p>
        </w:tc>
        <w:tc>
          <w:tcPr>
            <w:tcW w:w="1241" w:type="dxa"/>
          </w:tcPr>
          <w:p w:rsidR="00C6086E" w:rsidRDefault="00C6086E" w:rsidP="00B12189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</w:t>
            </w:r>
            <w:r w:rsidR="00B12189">
              <w:rPr>
                <w:b w:val="0"/>
                <w:color w:val="auto"/>
                <w:sz w:val="23"/>
                <w:szCs w:val="23"/>
              </w:rPr>
              <w:t>2</w:t>
            </w:r>
            <w:r>
              <w:rPr>
                <w:b w:val="0"/>
                <w:color w:val="auto"/>
                <w:sz w:val="23"/>
                <w:szCs w:val="23"/>
              </w:rPr>
              <w:t>.</w:t>
            </w:r>
            <w:r w:rsidRPr="00C6086E">
              <w:rPr>
                <w:b w:val="0"/>
                <w:color w:val="auto"/>
                <w:sz w:val="23"/>
                <w:szCs w:val="23"/>
              </w:rPr>
              <w:t>3</w:t>
            </w:r>
            <w:r>
              <w:rPr>
                <w:b w:val="0"/>
                <w:color w:val="auto"/>
                <w:sz w:val="23"/>
                <w:szCs w:val="23"/>
              </w:rPr>
              <w:t>m</w:t>
            </w:r>
          </w:p>
        </w:tc>
      </w:tr>
      <w:tr w:rsidR="00C6086E" w:rsidRPr="00C26C5B" w:rsidTr="00AA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C1121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Default="00C6086E" w:rsidP="00462A9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Completion of Wood</w:t>
            </w:r>
            <w:r w:rsidR="00F02AA4">
              <w:rPr>
                <w:b w:val="0"/>
                <w:color w:val="auto"/>
                <w:sz w:val="23"/>
                <w:szCs w:val="23"/>
              </w:rPr>
              <w:t>s</w:t>
            </w:r>
            <w:r>
              <w:rPr>
                <w:b w:val="0"/>
                <w:color w:val="auto"/>
                <w:sz w:val="23"/>
                <w:szCs w:val="23"/>
              </w:rPr>
              <w:t xml:space="preserve"> Street building.</w:t>
            </w:r>
          </w:p>
        </w:tc>
        <w:tc>
          <w:tcPr>
            <w:tcW w:w="1473" w:type="dxa"/>
          </w:tcPr>
          <w:p w:rsidR="00C6086E" w:rsidRDefault="00C6086E" w:rsidP="00DB4E56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15/08/2023</w:t>
            </w:r>
          </w:p>
        </w:tc>
        <w:tc>
          <w:tcPr>
            <w:tcW w:w="1241" w:type="dxa"/>
          </w:tcPr>
          <w:p w:rsidR="00C6086E" w:rsidRDefault="00C6086E" w:rsidP="006C112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Nil</w:t>
            </w:r>
          </w:p>
        </w:tc>
      </w:tr>
      <w:tr w:rsidR="00C6086E" w:rsidRPr="00C26C5B" w:rsidTr="00AA5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6086E" w:rsidRPr="00961A59" w:rsidRDefault="00C6086E" w:rsidP="006C1121">
            <w:pPr>
              <w:pStyle w:val="Heading2"/>
              <w:outlineLvl w:val="1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4536" w:type="dxa"/>
          </w:tcPr>
          <w:p w:rsidR="00C6086E" w:rsidRDefault="00C6086E" w:rsidP="00462A9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Construction complete</w:t>
            </w:r>
          </w:p>
        </w:tc>
        <w:tc>
          <w:tcPr>
            <w:tcW w:w="1473" w:type="dxa"/>
          </w:tcPr>
          <w:p w:rsidR="00C6086E" w:rsidRDefault="00C6086E" w:rsidP="00DB4E56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15/12/2023</w:t>
            </w:r>
          </w:p>
        </w:tc>
        <w:tc>
          <w:tcPr>
            <w:tcW w:w="1241" w:type="dxa"/>
          </w:tcPr>
          <w:p w:rsidR="00C6086E" w:rsidRDefault="00C6086E" w:rsidP="006C1121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Nil</w:t>
            </w:r>
          </w:p>
        </w:tc>
      </w:tr>
      <w:tr w:rsidR="00DB4E56" w:rsidRPr="00C26C5B" w:rsidTr="00EA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:rsidR="00DB4E56" w:rsidRDefault="00DB4E56" w:rsidP="00DB4E56">
            <w:pPr>
              <w:pStyle w:val="Heading2"/>
              <w:jc w:val="right"/>
              <w:outlineLvl w:val="1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Total Funding</w:t>
            </w:r>
          </w:p>
        </w:tc>
        <w:tc>
          <w:tcPr>
            <w:tcW w:w="2714" w:type="dxa"/>
            <w:gridSpan w:val="2"/>
          </w:tcPr>
          <w:p w:rsidR="00DB4E56" w:rsidDel="007331A1" w:rsidRDefault="00DB4E56" w:rsidP="00DB4E5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3"/>
                <w:szCs w:val="23"/>
              </w:rPr>
            </w:pPr>
            <w:r>
              <w:rPr>
                <w:b w:val="0"/>
                <w:color w:val="auto"/>
                <w:sz w:val="23"/>
                <w:szCs w:val="23"/>
              </w:rPr>
              <w:t>$97.3 million</w:t>
            </w:r>
          </w:p>
        </w:tc>
      </w:tr>
    </w:tbl>
    <w:p w:rsidR="00172360" w:rsidRDefault="00172360" w:rsidP="00DE4DCF">
      <w:pPr>
        <w:pStyle w:val="Normalnumbered"/>
        <w:numPr>
          <w:ilvl w:val="0"/>
          <w:numId w:val="0"/>
        </w:numPr>
        <w:spacing w:after="0"/>
      </w:pPr>
    </w:p>
    <w:p w:rsidR="00172360" w:rsidRDefault="002E144A" w:rsidP="00CE6056">
      <w:pPr>
        <w:pStyle w:val="Normalnumbered"/>
        <w:numPr>
          <w:ilvl w:val="0"/>
          <w:numId w:val="9"/>
        </w:numPr>
      </w:pPr>
      <w:r>
        <w:t>If</w:t>
      </w:r>
      <w:r w:rsidR="00172360" w:rsidRPr="00804105">
        <w:t xml:space="preserve"> a milestone is met in advance of the due date, </w:t>
      </w:r>
      <w:r>
        <w:t xml:space="preserve">where </w:t>
      </w:r>
      <w:r w:rsidR="00172360" w:rsidRPr="00804105">
        <w:t>the relevant performance report demonstrat</w:t>
      </w:r>
      <w:r>
        <w:t>es</w:t>
      </w:r>
      <w:r w:rsidR="00172360" w:rsidRPr="00804105">
        <w:t xml:space="preserve"> </w:t>
      </w:r>
      <w:r w:rsidR="00413E74">
        <w:t xml:space="preserve">that </w:t>
      </w:r>
      <w:r w:rsidR="00172360" w:rsidRPr="00804105">
        <w:t>the milestone has been met, the Commonwealth may make the associated payment earlier than scheduled provided it falls within the same financial year as the original milestone date.</w:t>
      </w:r>
      <w:r w:rsidR="00172360">
        <w:t xml:space="preserve"> </w:t>
      </w:r>
    </w:p>
    <w:p w:rsidR="00F3245D" w:rsidRDefault="00F3245D" w:rsidP="00F3245D">
      <w:pPr>
        <w:pStyle w:val="Heading2"/>
      </w:pPr>
      <w:r>
        <w:t>Reporting arrangements</w:t>
      </w:r>
    </w:p>
    <w:p w:rsidR="00301E84" w:rsidRPr="00DB4E56" w:rsidRDefault="009E151E" w:rsidP="00CE6056">
      <w:pPr>
        <w:pStyle w:val="Normalnumbered"/>
        <w:numPr>
          <w:ilvl w:val="0"/>
          <w:numId w:val="9"/>
        </w:numPr>
        <w:spacing w:before="120" w:line="240" w:lineRule="auto"/>
        <w:rPr>
          <w:szCs w:val="23"/>
        </w:rPr>
      </w:pPr>
      <w:r>
        <w:t>The</w:t>
      </w:r>
      <w:r w:rsidR="00167BB8">
        <w:t xml:space="preserve"> </w:t>
      </w:r>
      <w:r w:rsidR="00647E1B">
        <w:t>Northern Territory</w:t>
      </w:r>
      <w:r w:rsidR="005452FF">
        <w:t xml:space="preserve"> </w:t>
      </w:r>
      <w:r>
        <w:t xml:space="preserve">will </w:t>
      </w:r>
      <w:r w:rsidR="0095223D">
        <w:t xml:space="preserve">provide performance reports in accordance with </w:t>
      </w:r>
      <w:r w:rsidR="00C2605C">
        <w:t>T</w:t>
      </w:r>
      <w:r w:rsidR="0095223D">
        <w:t xml:space="preserve">able </w:t>
      </w:r>
      <w:r w:rsidR="00C2605C">
        <w:t xml:space="preserve">1 </w:t>
      </w:r>
      <w:r>
        <w:t>during</w:t>
      </w:r>
      <w:r w:rsidR="00C42ACA">
        <w:t xml:space="preserve"> </w:t>
      </w:r>
      <w:r>
        <w:t>t</w:t>
      </w:r>
      <w:r w:rsidR="00515AF2">
        <w:t xml:space="preserve">he operation of the Agreement. </w:t>
      </w:r>
      <w:r w:rsidR="0095223D">
        <w:t>Each performance report is to contai</w:t>
      </w:r>
      <w:r w:rsidR="00ED2AC4">
        <w:t>n a description of actual performance in the period to date against the project milestones.</w:t>
      </w:r>
    </w:p>
    <w:p w:rsidR="00DB4E56" w:rsidRPr="00462A98" w:rsidRDefault="00DB4E56" w:rsidP="00CE6056">
      <w:pPr>
        <w:pStyle w:val="Normalnumbered"/>
        <w:numPr>
          <w:ilvl w:val="0"/>
          <w:numId w:val="9"/>
        </w:numPr>
        <w:rPr>
          <w:color w:val="auto"/>
        </w:rPr>
      </w:pPr>
      <w:r w:rsidRPr="00462A98">
        <w:rPr>
          <w:color w:val="auto"/>
        </w:rPr>
        <w:t xml:space="preserve">In accordance with the Implementation Plan, the Deal has separate reporting requirements, including an annual report and a three yearly review.  Where possible, efforts will be made to align reporting dates to minimise administrative burdens on the Commonwealth and the </w:t>
      </w:r>
      <w:r w:rsidR="00657426">
        <w:rPr>
          <w:color w:val="auto"/>
        </w:rPr>
        <w:t>Northern Territory</w:t>
      </w:r>
      <w:r w:rsidRPr="00462A98">
        <w:rPr>
          <w:color w:val="auto"/>
        </w:rPr>
        <w:t>.</w:t>
      </w:r>
    </w:p>
    <w:p w:rsidR="008E7527" w:rsidRDefault="008E7527" w:rsidP="009E093C">
      <w:pPr>
        <w:pStyle w:val="Heading1"/>
      </w:pPr>
      <w:r>
        <w:t>Part 5</w:t>
      </w:r>
      <w:r w:rsidRPr="00751725">
        <w:t xml:space="preserve"> — financial arrangements</w:t>
      </w:r>
    </w:p>
    <w:p w:rsidR="003B63C3" w:rsidRDefault="008E7527" w:rsidP="00CE6056">
      <w:pPr>
        <w:pStyle w:val="Normalnumbered"/>
        <w:numPr>
          <w:ilvl w:val="0"/>
          <w:numId w:val="9"/>
        </w:numPr>
        <w:jc w:val="left"/>
      </w:pPr>
      <w:r w:rsidRPr="000E48C3">
        <w:t xml:space="preserve">The Commonwealth will </w:t>
      </w:r>
      <w:r>
        <w:t>provide</w:t>
      </w:r>
      <w:r w:rsidRPr="000E48C3">
        <w:t xml:space="preserve"> a</w:t>
      </w:r>
      <w:r w:rsidR="002E144A">
        <w:t>n estimated</w:t>
      </w:r>
      <w:r>
        <w:t xml:space="preserve"> total</w:t>
      </w:r>
      <w:r w:rsidRPr="000E48C3">
        <w:t xml:space="preserve"> financial contribution to </w:t>
      </w:r>
      <w:r w:rsidR="00417817">
        <w:t>the Northern</w:t>
      </w:r>
      <w:r w:rsidR="003B4F24">
        <w:t> </w:t>
      </w:r>
      <w:r w:rsidR="00417817">
        <w:t xml:space="preserve">Territory </w:t>
      </w:r>
      <w:r w:rsidR="00157FE2">
        <w:t>of</w:t>
      </w:r>
      <w:r w:rsidR="00636938">
        <w:t xml:space="preserve"> </w:t>
      </w:r>
      <w:r w:rsidRPr="00462A98">
        <w:t>$</w:t>
      </w:r>
      <w:r w:rsidR="007045AC" w:rsidRPr="00462A98">
        <w:t>97</w:t>
      </w:r>
      <w:r w:rsidRPr="00462A98">
        <w:t>.</w:t>
      </w:r>
      <w:r w:rsidR="007045AC" w:rsidRPr="00462A98">
        <w:t>3</w:t>
      </w:r>
      <w:r w:rsidRPr="00462A98">
        <w:t>m in respect of this Agreement</w:t>
      </w:r>
      <w:r>
        <w:t>. All payments are GST exclusive.</w:t>
      </w:r>
    </w:p>
    <w:p w:rsidR="008E7527" w:rsidRDefault="005A5E7A" w:rsidP="00CE6056">
      <w:pPr>
        <w:pStyle w:val="Normalnumbered"/>
        <w:numPr>
          <w:ilvl w:val="0"/>
          <w:numId w:val="9"/>
        </w:numPr>
      </w:pPr>
      <w:r>
        <w:t>T</w:t>
      </w:r>
      <w:r w:rsidR="008E7527" w:rsidRPr="002B7E1B">
        <w:t xml:space="preserve">he Commonwealth’s funding contribution will not be reduced where the </w:t>
      </w:r>
      <w:r w:rsidR="008B0C52">
        <w:t xml:space="preserve">Northern Territory </w:t>
      </w:r>
      <w:r w:rsidR="00544FCA">
        <w:t xml:space="preserve">or CDU </w:t>
      </w:r>
      <w:r w:rsidR="008E7527" w:rsidRPr="002B7E1B">
        <w:t>secure funding from other activity partners</w:t>
      </w:r>
      <w:r w:rsidR="002E144A">
        <w:t>.</w:t>
      </w:r>
    </w:p>
    <w:p w:rsidR="008E7527" w:rsidRPr="00751725" w:rsidRDefault="008E7527" w:rsidP="00CE6056">
      <w:pPr>
        <w:pStyle w:val="Normalnumbered"/>
        <w:keepNext/>
        <w:keepLines/>
        <w:numPr>
          <w:ilvl w:val="0"/>
          <w:numId w:val="9"/>
        </w:numPr>
      </w:pPr>
      <w:r w:rsidRPr="00751725">
        <w:t>The Commonwealth</w:t>
      </w:r>
      <w:r>
        <w:t>’s</w:t>
      </w:r>
      <w:r w:rsidRPr="00751725">
        <w:t xml:space="preserve"> </w:t>
      </w:r>
      <w:r>
        <w:t xml:space="preserve">estimated </w:t>
      </w:r>
      <w:r w:rsidRPr="00751725">
        <w:t>financial contribution</w:t>
      </w:r>
      <w:r w:rsidR="002E144A">
        <w:t>s</w:t>
      </w:r>
      <w:r w:rsidRPr="00751725">
        <w:t xml:space="preserve"> to the operation of </w:t>
      </w:r>
      <w:r>
        <w:t xml:space="preserve">this Agreement, including through National Partnership payments to the States paid in accordance with </w:t>
      </w:r>
      <w:r w:rsidRPr="002B7E1B">
        <w:rPr>
          <w:i/>
        </w:rPr>
        <w:t>Schedule</w:t>
      </w:r>
      <w:r>
        <w:rPr>
          <w:i/>
        </w:rPr>
        <w:t> </w:t>
      </w:r>
      <w:r w:rsidRPr="002B7E1B">
        <w:rPr>
          <w:i/>
        </w:rPr>
        <w:t>D — Payment Arrangements</w:t>
      </w:r>
      <w:r>
        <w:t xml:space="preserve"> of the </w:t>
      </w:r>
      <w:r w:rsidR="00C41265">
        <w:t>IGA FFR</w:t>
      </w:r>
      <w:r w:rsidR="00C2605C">
        <w:t>, are shown in Table 2</w:t>
      </w:r>
      <w:r w:rsidRPr="00751725">
        <w:t>.</w:t>
      </w:r>
    </w:p>
    <w:p w:rsidR="000C27ED" w:rsidRPr="003C6ECF" w:rsidRDefault="00E204BB" w:rsidP="00CB0060">
      <w:pPr>
        <w:pStyle w:val="Normalnumbered"/>
        <w:numPr>
          <w:ilvl w:val="0"/>
          <w:numId w:val="0"/>
        </w:numPr>
        <w:spacing w:after="120"/>
        <w:rPr>
          <w:b/>
          <w:i/>
        </w:rPr>
      </w:pPr>
      <w:r>
        <w:rPr>
          <w:b/>
        </w:rPr>
        <w:t>Table 2</w:t>
      </w:r>
      <w:r w:rsidR="008E7527" w:rsidRPr="00E204BB">
        <w:rPr>
          <w:b/>
        </w:rPr>
        <w:t>: Estimated</w:t>
      </w:r>
      <w:r w:rsidR="008D7E90">
        <w:rPr>
          <w:b/>
        </w:rPr>
        <w:t xml:space="preserve"> </w:t>
      </w:r>
      <w:r w:rsidR="008E7527" w:rsidRPr="00E204BB">
        <w:rPr>
          <w:b/>
        </w:rPr>
        <w:t>financial contributions</w:t>
      </w:r>
    </w:p>
    <w:tbl>
      <w:tblPr>
        <w:tblW w:w="8706" w:type="dxa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276"/>
        <w:gridCol w:w="992"/>
        <w:gridCol w:w="993"/>
        <w:gridCol w:w="801"/>
      </w:tblGrid>
      <w:tr w:rsidR="00C6086E" w:rsidTr="00C6086E">
        <w:trPr>
          <w:trHeight w:val="318"/>
        </w:trPr>
        <w:tc>
          <w:tcPr>
            <w:tcW w:w="2660" w:type="dxa"/>
          </w:tcPr>
          <w:p w:rsidR="00C6086E" w:rsidRPr="00CB0060" w:rsidRDefault="00C6086E" w:rsidP="00CB0060">
            <w:pPr>
              <w:spacing w:before="40" w:after="40"/>
              <w:jc w:val="left"/>
              <w:rPr>
                <w:rFonts w:ascii="Calibri" w:hAnsi="Calibri" w:cs="Calibri"/>
                <w:sz w:val="20"/>
              </w:rPr>
            </w:pPr>
            <w:r w:rsidRPr="00CB0060">
              <w:rPr>
                <w:rFonts w:ascii="Calibri" w:hAnsi="Calibri" w:cs="Calibri"/>
                <w:sz w:val="20"/>
              </w:rPr>
              <w:t>($ million)</w:t>
            </w:r>
          </w:p>
        </w:tc>
        <w:tc>
          <w:tcPr>
            <w:tcW w:w="992" w:type="dxa"/>
            <w:hideMark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 w:rsidRPr="00CB0060">
              <w:rPr>
                <w:rFonts w:ascii="Calibri" w:hAnsi="Calibri" w:cs="Calibri"/>
                <w:sz w:val="20"/>
              </w:rPr>
              <w:t>2019-20</w:t>
            </w:r>
          </w:p>
        </w:tc>
        <w:tc>
          <w:tcPr>
            <w:tcW w:w="992" w:type="dxa"/>
            <w:hideMark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 w:rsidRPr="00CB0060">
              <w:rPr>
                <w:rFonts w:ascii="Calibri" w:hAnsi="Calibri" w:cs="Calibri"/>
                <w:sz w:val="20"/>
              </w:rPr>
              <w:t>2020-21</w:t>
            </w:r>
          </w:p>
        </w:tc>
        <w:tc>
          <w:tcPr>
            <w:tcW w:w="1276" w:type="dxa"/>
            <w:hideMark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 w:rsidRPr="00CB0060">
              <w:rPr>
                <w:rFonts w:ascii="Calibri" w:hAnsi="Calibri" w:cs="Calibri"/>
                <w:sz w:val="20"/>
              </w:rPr>
              <w:t>2021-22</w:t>
            </w:r>
          </w:p>
        </w:tc>
        <w:tc>
          <w:tcPr>
            <w:tcW w:w="992" w:type="dxa"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2022-23</w:t>
            </w:r>
          </w:p>
        </w:tc>
        <w:tc>
          <w:tcPr>
            <w:tcW w:w="993" w:type="dxa"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2023-24</w:t>
            </w:r>
          </w:p>
        </w:tc>
        <w:tc>
          <w:tcPr>
            <w:tcW w:w="801" w:type="dxa"/>
            <w:hideMark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 w:rsidRPr="00CB0060">
              <w:rPr>
                <w:rFonts w:ascii="Calibri" w:hAnsi="Calibri" w:cs="Calibri"/>
                <w:sz w:val="20"/>
              </w:rPr>
              <w:t>TOTAL</w:t>
            </w:r>
          </w:p>
        </w:tc>
      </w:tr>
      <w:tr w:rsidR="00C6086E" w:rsidRPr="000B72F0" w:rsidTr="00C6086E">
        <w:trPr>
          <w:trHeight w:val="321"/>
        </w:trPr>
        <w:tc>
          <w:tcPr>
            <w:tcW w:w="2660" w:type="dxa"/>
          </w:tcPr>
          <w:p w:rsidR="00C6086E" w:rsidRPr="00657426" w:rsidRDefault="00C6086E" w:rsidP="00CB0060">
            <w:pPr>
              <w:spacing w:before="40" w:after="40"/>
              <w:jc w:val="left"/>
              <w:rPr>
                <w:rFonts w:ascii="Calibri" w:hAnsi="Calibri" w:cs="Calibri"/>
                <w:b/>
                <w:sz w:val="20"/>
              </w:rPr>
            </w:pPr>
            <w:r w:rsidRPr="00657426">
              <w:rPr>
                <w:rFonts w:ascii="Calibri" w:hAnsi="Calibri" w:cs="Calibri"/>
                <w:b/>
                <w:sz w:val="20"/>
              </w:rPr>
              <w:t>Estimated total budget</w:t>
            </w:r>
          </w:p>
        </w:tc>
        <w:tc>
          <w:tcPr>
            <w:tcW w:w="992" w:type="dxa"/>
            <w:hideMark/>
          </w:tcPr>
          <w:p w:rsidR="00C6086E" w:rsidRPr="00657426" w:rsidRDefault="00C6086E" w:rsidP="00863E56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  <w:r w:rsidR="00863E56">
              <w:rPr>
                <w:rFonts w:ascii="Calibri" w:hAnsi="Calibri" w:cs="Calibri"/>
                <w:b/>
                <w:sz w:val="20"/>
              </w:rPr>
              <w:t>5</w:t>
            </w:r>
            <w:r>
              <w:rPr>
                <w:rFonts w:ascii="Calibri" w:hAnsi="Calibri" w:cs="Calibri"/>
                <w:b/>
                <w:sz w:val="20"/>
              </w:rPr>
              <w:t>.0</w:t>
            </w:r>
          </w:p>
        </w:tc>
        <w:tc>
          <w:tcPr>
            <w:tcW w:w="992" w:type="dxa"/>
            <w:hideMark/>
          </w:tcPr>
          <w:p w:rsidR="00C6086E" w:rsidRPr="00657426" w:rsidRDefault="00C6086E" w:rsidP="00863E56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="00863E56">
              <w:rPr>
                <w:rFonts w:ascii="Calibri" w:hAnsi="Calibri" w:cs="Calibri"/>
                <w:b/>
                <w:sz w:val="20"/>
              </w:rPr>
              <w:t>5</w:t>
            </w:r>
            <w:r>
              <w:rPr>
                <w:rFonts w:ascii="Calibri" w:hAnsi="Calibri" w:cs="Calibri"/>
                <w:b/>
                <w:sz w:val="20"/>
              </w:rPr>
              <w:t>.0</w:t>
            </w:r>
          </w:p>
        </w:tc>
        <w:tc>
          <w:tcPr>
            <w:tcW w:w="1276" w:type="dxa"/>
            <w:hideMark/>
          </w:tcPr>
          <w:p w:rsidR="00C6086E" w:rsidRPr="00657426" w:rsidRDefault="00863E56" w:rsidP="00863E56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  <w:r w:rsidR="00B12189">
              <w:rPr>
                <w:rFonts w:ascii="Calibri" w:hAnsi="Calibri" w:cs="Calibri"/>
                <w:b/>
                <w:sz w:val="20"/>
              </w:rPr>
              <w:t>7</w:t>
            </w:r>
            <w:r w:rsidR="00C6086E">
              <w:rPr>
                <w:rFonts w:ascii="Calibri" w:hAnsi="Calibri" w:cs="Calibri"/>
                <w:b/>
                <w:sz w:val="20"/>
              </w:rPr>
              <w:t>.3</w:t>
            </w:r>
          </w:p>
        </w:tc>
        <w:tc>
          <w:tcPr>
            <w:tcW w:w="992" w:type="dxa"/>
          </w:tcPr>
          <w:p w:rsidR="00C6086E" w:rsidRPr="00657426" w:rsidRDefault="00C6086E" w:rsidP="00657426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0.0</w:t>
            </w:r>
          </w:p>
        </w:tc>
        <w:tc>
          <w:tcPr>
            <w:tcW w:w="993" w:type="dxa"/>
          </w:tcPr>
          <w:p w:rsidR="00C6086E" w:rsidRPr="00657426" w:rsidRDefault="00C6086E" w:rsidP="00657426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0.0</w:t>
            </w:r>
          </w:p>
        </w:tc>
        <w:tc>
          <w:tcPr>
            <w:tcW w:w="801" w:type="dxa"/>
            <w:hideMark/>
          </w:tcPr>
          <w:p w:rsidR="00C6086E" w:rsidRPr="00657426" w:rsidRDefault="00C6086E" w:rsidP="00CB0060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 w:rsidRPr="00657426">
              <w:rPr>
                <w:rFonts w:ascii="Calibri" w:hAnsi="Calibri" w:cs="Calibri"/>
                <w:b/>
                <w:sz w:val="20"/>
              </w:rPr>
              <w:t>97.3</w:t>
            </w:r>
          </w:p>
        </w:tc>
      </w:tr>
      <w:tr w:rsidR="00C6086E" w:rsidRPr="00825760" w:rsidTr="00C6086E">
        <w:trPr>
          <w:trHeight w:val="321"/>
        </w:trPr>
        <w:tc>
          <w:tcPr>
            <w:tcW w:w="2660" w:type="dxa"/>
          </w:tcPr>
          <w:p w:rsidR="00C6086E" w:rsidRDefault="00C6086E" w:rsidP="00CB0060">
            <w:pPr>
              <w:spacing w:before="40" w:after="4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Less estimates National Partnership Payments</w:t>
            </w:r>
          </w:p>
        </w:tc>
        <w:tc>
          <w:tcPr>
            <w:tcW w:w="992" w:type="dxa"/>
          </w:tcPr>
          <w:p w:rsidR="00C6086E" w:rsidRDefault="00C6086E" w:rsidP="00F25B49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863E56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t>.0</w:t>
            </w:r>
          </w:p>
        </w:tc>
        <w:tc>
          <w:tcPr>
            <w:tcW w:w="992" w:type="dxa"/>
          </w:tcPr>
          <w:p w:rsidR="00C6086E" w:rsidRDefault="00C6086E" w:rsidP="00863E56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863E56">
              <w:rPr>
                <w:rFonts w:ascii="Calibri" w:hAnsi="Calibri" w:cs="Calibri"/>
                <w:sz w:val="20"/>
              </w:rPr>
              <w:t>5</w:t>
            </w:r>
            <w:r>
              <w:rPr>
                <w:rFonts w:ascii="Calibri" w:hAnsi="Calibri" w:cs="Calibri"/>
                <w:sz w:val="20"/>
              </w:rPr>
              <w:t>.0</w:t>
            </w:r>
          </w:p>
        </w:tc>
        <w:tc>
          <w:tcPr>
            <w:tcW w:w="1276" w:type="dxa"/>
          </w:tcPr>
          <w:p w:rsidR="00C6086E" w:rsidRPr="00620D27" w:rsidRDefault="00863E56" w:rsidP="00B12189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B12189">
              <w:rPr>
                <w:rFonts w:ascii="Calibri" w:hAnsi="Calibri" w:cs="Calibri"/>
                <w:sz w:val="20"/>
              </w:rPr>
              <w:t>7</w:t>
            </w:r>
            <w:r w:rsidR="00C6086E">
              <w:rPr>
                <w:rFonts w:ascii="Calibri" w:hAnsi="Calibri" w:cs="Calibri"/>
                <w:sz w:val="20"/>
              </w:rPr>
              <w:t>.3</w:t>
            </w:r>
          </w:p>
        </w:tc>
        <w:tc>
          <w:tcPr>
            <w:tcW w:w="992" w:type="dxa"/>
          </w:tcPr>
          <w:p w:rsidR="00C6086E" w:rsidRPr="00620D27" w:rsidRDefault="00C6086E" w:rsidP="00657426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993" w:type="dxa"/>
          </w:tcPr>
          <w:p w:rsidR="00C6086E" w:rsidRPr="00CB0060" w:rsidRDefault="00C6086E" w:rsidP="00657426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801" w:type="dxa"/>
          </w:tcPr>
          <w:p w:rsidR="00C6086E" w:rsidRPr="00CB0060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 w:rsidRPr="00CB0060">
              <w:rPr>
                <w:rFonts w:ascii="Calibri" w:hAnsi="Calibri" w:cs="Calibri"/>
                <w:sz w:val="20"/>
              </w:rPr>
              <w:t>97.3</w:t>
            </w:r>
          </w:p>
        </w:tc>
      </w:tr>
      <w:tr w:rsidR="00C6086E" w:rsidTr="00C6086E">
        <w:trPr>
          <w:trHeight w:val="321"/>
        </w:trPr>
        <w:tc>
          <w:tcPr>
            <w:tcW w:w="2660" w:type="dxa"/>
          </w:tcPr>
          <w:p w:rsidR="00C6086E" w:rsidRDefault="00C6086E" w:rsidP="00CB0060">
            <w:pPr>
              <w:spacing w:before="40" w:after="4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Balance of non-Commonwealth contributions</w:t>
            </w:r>
          </w:p>
        </w:tc>
        <w:tc>
          <w:tcPr>
            <w:tcW w:w="992" w:type="dxa"/>
          </w:tcPr>
          <w:p w:rsidR="00C6086E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992" w:type="dxa"/>
          </w:tcPr>
          <w:p w:rsidR="00C6086E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1276" w:type="dxa"/>
          </w:tcPr>
          <w:p w:rsidR="00C6086E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992" w:type="dxa"/>
          </w:tcPr>
          <w:p w:rsidR="00C6086E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993" w:type="dxa"/>
          </w:tcPr>
          <w:p w:rsidR="00C6086E" w:rsidRDefault="00C6086E" w:rsidP="00CB0060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  <w:tc>
          <w:tcPr>
            <w:tcW w:w="801" w:type="dxa"/>
          </w:tcPr>
          <w:p w:rsidR="00C6086E" w:rsidRDefault="00C6086E" w:rsidP="00CB0060">
            <w:pPr>
              <w:spacing w:before="40"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0.0</w:t>
            </w:r>
          </w:p>
        </w:tc>
      </w:tr>
    </w:tbl>
    <w:p w:rsidR="008D7E90" w:rsidRDefault="008D7E90" w:rsidP="00E85B0F">
      <w:pPr>
        <w:pStyle w:val="Normalnumbered"/>
        <w:numPr>
          <w:ilvl w:val="0"/>
          <w:numId w:val="0"/>
        </w:numPr>
        <w:spacing w:after="120"/>
        <w:rPr>
          <w:rStyle w:val="CommentReference"/>
        </w:rPr>
      </w:pPr>
    </w:p>
    <w:p w:rsidR="008E7527" w:rsidRDefault="008E7527" w:rsidP="00CE6056">
      <w:pPr>
        <w:pStyle w:val="Normalnumbered"/>
        <w:numPr>
          <w:ilvl w:val="0"/>
          <w:numId w:val="9"/>
        </w:numPr>
      </w:pPr>
      <w:r w:rsidRPr="00C738BD">
        <w:t xml:space="preserve">Having regard to the agreed estimated costs of projects specified in </w:t>
      </w:r>
      <w:r w:rsidR="006B43AF">
        <w:t>this</w:t>
      </w:r>
      <w:r>
        <w:t xml:space="preserve"> Agreement</w:t>
      </w:r>
      <w:r w:rsidR="006C5722">
        <w:t xml:space="preserve">, the Northern Territory </w:t>
      </w:r>
      <w:r w:rsidRPr="00C738BD">
        <w:t>will not be required to pay a refund to the Commonwealth if the actual cost of the project is less than the agreed</w:t>
      </w:r>
      <w:r w:rsidR="00515AF2">
        <w:t xml:space="preserve"> </w:t>
      </w:r>
      <w:r w:rsidR="008D7E90">
        <w:t xml:space="preserve">estimated cost of the project. </w:t>
      </w:r>
      <w:r w:rsidRPr="00C738BD">
        <w:t xml:space="preserve">Similarly, the </w:t>
      </w:r>
      <w:r w:rsidR="006C5722">
        <w:t>Northern</w:t>
      </w:r>
      <w:r w:rsidR="003B4F24">
        <w:t> </w:t>
      </w:r>
      <w:r w:rsidR="006C5722">
        <w:t xml:space="preserve">Territory </w:t>
      </w:r>
      <w:r w:rsidRPr="00C738BD">
        <w:t>bear</w:t>
      </w:r>
      <w:r w:rsidR="006C5722">
        <w:t>s</w:t>
      </w:r>
      <w:r w:rsidRPr="00C738BD">
        <w:t xml:space="preserve"> all risk should the costs of a project exceed the agreed estimated cost</w:t>
      </w:r>
      <w:r>
        <w:t>s.</w:t>
      </w:r>
      <w:r w:rsidRPr="00C738BD">
        <w:t xml:space="preserve"> The Parties acknowledge that this arrangement provides the maximum incentive for the </w:t>
      </w:r>
      <w:r w:rsidR="006C5722">
        <w:t>Northern</w:t>
      </w:r>
      <w:r w:rsidR="003B4F24">
        <w:t> </w:t>
      </w:r>
      <w:r w:rsidR="006C5722">
        <w:t xml:space="preserve">Territory </w:t>
      </w:r>
      <w:r w:rsidRPr="00C738BD">
        <w:t>to deliver projects cost effectively and efficiently.</w:t>
      </w:r>
    </w:p>
    <w:p w:rsidR="00814667" w:rsidRDefault="003A2157">
      <w:pPr>
        <w:pStyle w:val="Heading1"/>
      </w:pPr>
      <w:bookmarkStart w:id="1" w:name="top"/>
      <w:bookmarkEnd w:id="1"/>
      <w:r>
        <w:t xml:space="preserve">Part </w:t>
      </w:r>
      <w:r w:rsidR="000B4080">
        <w:t>6</w:t>
      </w:r>
      <w:r w:rsidR="00814667">
        <w:t xml:space="preserve"> — governance arrangements</w:t>
      </w:r>
    </w:p>
    <w:p w:rsidR="00BC4728" w:rsidRDefault="00BC4728" w:rsidP="00BC4728">
      <w:pPr>
        <w:pStyle w:val="Heading2"/>
      </w:pPr>
      <w:r w:rsidRPr="006F096A">
        <w:t>Enforceability of the Agreement</w:t>
      </w:r>
    </w:p>
    <w:p w:rsidR="00BC4728" w:rsidRPr="00C40EBC" w:rsidRDefault="00BC4728" w:rsidP="00CE6056">
      <w:pPr>
        <w:pStyle w:val="Normalnumbered"/>
        <w:numPr>
          <w:ilvl w:val="0"/>
          <w:numId w:val="9"/>
        </w:numPr>
        <w:spacing w:line="240" w:lineRule="auto"/>
      </w:pPr>
      <w:r>
        <w:rPr>
          <w:szCs w:val="23"/>
        </w:rPr>
        <w:t>The Parties do not intend any of the provisions of this Agreement to be legally enforceable. However, that does not lessen the Parties’ commitment to this Agreement.</w:t>
      </w:r>
    </w:p>
    <w:p w:rsidR="00814667" w:rsidRDefault="00814667">
      <w:pPr>
        <w:pStyle w:val="Heading2"/>
      </w:pPr>
      <w:r>
        <w:t>Variation of the Agreement</w:t>
      </w:r>
    </w:p>
    <w:p w:rsidR="00814667" w:rsidRDefault="00607B03" w:rsidP="00CE6056">
      <w:pPr>
        <w:pStyle w:val="Normalnumbered"/>
        <w:numPr>
          <w:ilvl w:val="0"/>
          <w:numId w:val="9"/>
        </w:numPr>
      </w:pPr>
      <w:r>
        <w:t>The A</w:t>
      </w:r>
      <w:r w:rsidR="00814667">
        <w:t xml:space="preserve">greement may be amended at any time by agreement in writing by </w:t>
      </w:r>
      <w:r w:rsidR="0039286D">
        <w:t>both</w:t>
      </w:r>
      <w:r w:rsidR="002B1C50" w:rsidRPr="00DE36EB">
        <w:t xml:space="preserve"> </w:t>
      </w:r>
      <w:r w:rsidR="00814667" w:rsidRPr="00DE36EB">
        <w:t>the Parties.</w:t>
      </w:r>
    </w:p>
    <w:p w:rsidR="00292587" w:rsidRDefault="0039286D" w:rsidP="00CE6056">
      <w:pPr>
        <w:pStyle w:val="Normalnumbered"/>
        <w:numPr>
          <w:ilvl w:val="0"/>
          <w:numId w:val="9"/>
        </w:numPr>
      </w:pPr>
      <w:r>
        <w:t xml:space="preserve">Either </w:t>
      </w:r>
      <w:r w:rsidR="00814667" w:rsidRPr="00DE36EB">
        <w:t>Party to the Agreement may terminate their part</w:t>
      </w:r>
      <w:r w:rsidR="00814667">
        <w:t>icipation in the Agr</w:t>
      </w:r>
      <w:r>
        <w:t>eement at any time by notifying</w:t>
      </w:r>
      <w:r w:rsidR="00C2605C">
        <w:t xml:space="preserve"> </w:t>
      </w:r>
      <w:r w:rsidR="00814667">
        <w:t>the other Part</w:t>
      </w:r>
      <w:r>
        <w:t>y</w:t>
      </w:r>
      <w:r w:rsidR="00C2605C">
        <w:rPr>
          <w:i/>
        </w:rPr>
        <w:t xml:space="preserve"> </w:t>
      </w:r>
      <w:r w:rsidR="00814667">
        <w:t>in writing.</w:t>
      </w:r>
    </w:p>
    <w:p w:rsidR="009526E4" w:rsidRDefault="009526E4" w:rsidP="0036119D">
      <w:pPr>
        <w:pStyle w:val="Heading2"/>
      </w:pPr>
      <w:r>
        <w:t>Delegations</w:t>
      </w:r>
    </w:p>
    <w:p w:rsidR="009526E4" w:rsidRDefault="009526E4" w:rsidP="00CE6056">
      <w:pPr>
        <w:pStyle w:val="Normalnumbered"/>
        <w:numPr>
          <w:ilvl w:val="0"/>
          <w:numId w:val="9"/>
        </w:numPr>
      </w:pPr>
      <w:r>
        <w:t xml:space="preserve">The Commonwealth Minister may delegate the assessment of performance </w:t>
      </w:r>
      <w:r w:rsidR="00115A97">
        <w:t>against</w:t>
      </w:r>
      <w:r>
        <w:t xml:space="preserve"> milestones and the authorisation of related project payments to senior Commonwealth officials, having regard to the financial and policy risks associated with those payments.</w:t>
      </w:r>
    </w:p>
    <w:p w:rsidR="0036119D" w:rsidRDefault="0036119D" w:rsidP="0036119D">
      <w:pPr>
        <w:pStyle w:val="Heading2"/>
      </w:pPr>
      <w:r>
        <w:t>Dispute resolution</w:t>
      </w:r>
    </w:p>
    <w:p w:rsidR="0036119D" w:rsidRPr="00DE36EB" w:rsidRDefault="00697494" w:rsidP="00CE6056">
      <w:pPr>
        <w:pStyle w:val="Normalnumbered"/>
        <w:numPr>
          <w:ilvl w:val="0"/>
          <w:numId w:val="9"/>
        </w:numPr>
      </w:pPr>
      <w:r w:rsidRPr="00DE36EB">
        <w:t>E</w:t>
      </w:r>
      <w:r w:rsidR="00E11895">
        <w:t>ither</w:t>
      </w:r>
      <w:r w:rsidR="002B1C50" w:rsidRPr="00DE36EB">
        <w:t xml:space="preserve"> </w:t>
      </w:r>
      <w:r w:rsidR="0036119D" w:rsidRPr="00DE36EB">
        <w:t xml:space="preserve">Party may give notice to </w:t>
      </w:r>
      <w:r w:rsidR="00E11895">
        <w:t xml:space="preserve">the </w:t>
      </w:r>
      <w:r w:rsidR="0036119D" w:rsidRPr="00DE36EB">
        <w:t xml:space="preserve">other </w:t>
      </w:r>
      <w:r w:rsidR="00E11895">
        <w:t>Party</w:t>
      </w:r>
      <w:r w:rsidR="00684EC1" w:rsidRPr="00DE36EB">
        <w:t xml:space="preserve"> </w:t>
      </w:r>
      <w:r w:rsidR="0036119D" w:rsidRPr="00DE36EB">
        <w:t>of a dispute under this Agreement.</w:t>
      </w:r>
    </w:p>
    <w:p w:rsidR="0036119D" w:rsidRPr="00DE36EB" w:rsidRDefault="0036119D" w:rsidP="00CE6056">
      <w:pPr>
        <w:pStyle w:val="Normalnumbered"/>
        <w:numPr>
          <w:ilvl w:val="0"/>
          <w:numId w:val="9"/>
        </w:numPr>
      </w:pPr>
      <w:r w:rsidRPr="00DE36EB">
        <w:t xml:space="preserve">Officials of </w:t>
      </w:r>
      <w:r w:rsidR="002B1C50" w:rsidRPr="00DE36EB">
        <w:t>both</w:t>
      </w:r>
      <w:r w:rsidR="002B1C50" w:rsidRPr="00DE36EB">
        <w:rPr>
          <w:i/>
        </w:rPr>
        <w:t xml:space="preserve"> </w:t>
      </w:r>
      <w:r w:rsidRPr="00DE36EB">
        <w:t>Parties will attempt to resolve any dispute in the first instance.</w:t>
      </w:r>
    </w:p>
    <w:p w:rsidR="0036119D" w:rsidRPr="00DE36EB" w:rsidRDefault="0036119D" w:rsidP="00CE6056">
      <w:pPr>
        <w:pStyle w:val="Normalnumbered"/>
        <w:numPr>
          <w:ilvl w:val="0"/>
          <w:numId w:val="9"/>
        </w:numPr>
      </w:pPr>
      <w:r w:rsidRPr="00DE36EB">
        <w:t>If a dispute cannot be resolved by officials, it may be escalated to the relevant Ministers.</w:t>
      </w:r>
    </w:p>
    <w:p w:rsidR="00CD6F31" w:rsidRDefault="00CD6F31">
      <w:pPr>
        <w:rPr>
          <w:lang w:val="en-GB"/>
        </w:rPr>
      </w:pPr>
    </w:p>
    <w:p w:rsidR="00CD6F31" w:rsidRDefault="00CD6F31">
      <w:pPr>
        <w:rPr>
          <w:lang w:val="en-GB"/>
        </w:rPr>
      </w:pPr>
    </w:p>
    <w:p w:rsidR="00814667" w:rsidRPr="00A50751" w:rsidRDefault="00814667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agreement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284"/>
        <w:gridCol w:w="4536"/>
      </w:tblGrid>
      <w:tr w:rsidR="00814667" w:rsidRPr="00A50751">
        <w:trPr>
          <w:cantSplit/>
          <w:jc w:val="center"/>
        </w:trPr>
        <w:tc>
          <w:tcPr>
            <w:tcW w:w="4536" w:type="dxa"/>
            <w:gridSpan w:val="2"/>
          </w:tcPr>
          <w:p w:rsidR="00814667" w:rsidRPr="004A0AE7" w:rsidRDefault="00814667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:rsidR="00814667" w:rsidRPr="00A50751" w:rsidRDefault="00814667">
            <w:pPr>
              <w:pStyle w:val="LineForSignature"/>
            </w:pPr>
            <w:r>
              <w:tab/>
            </w:r>
          </w:p>
          <w:p w:rsidR="00814667" w:rsidRDefault="00814667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4556FD">
              <w:rPr>
                <w:rStyle w:val="Bold"/>
              </w:rPr>
              <w:t>Alan Tudge</w:t>
            </w:r>
            <w:r w:rsidR="0099742A">
              <w:rPr>
                <w:rStyle w:val="Bold"/>
              </w:rPr>
              <w:t xml:space="preserve"> </w:t>
            </w:r>
            <w:r>
              <w:rPr>
                <w:rStyle w:val="Bold"/>
              </w:rPr>
              <w:t>MP</w:t>
            </w:r>
          </w:p>
          <w:p w:rsidR="00814667" w:rsidRDefault="0099742A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4556FD">
              <w:rPr>
                <w:lang w:val="en-GB"/>
              </w:rPr>
              <w:t>Population, Cities and Urban Infrastructure</w:t>
            </w:r>
          </w:p>
          <w:p w:rsidR="00814667" w:rsidRDefault="0047023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lang w:val="en-GB"/>
              </w:rPr>
            </w:pPr>
            <w:r w:rsidRPr="00A401ED">
              <w:rPr>
                <w:lang w:val="en-GB"/>
              </w:rPr>
              <w:t>2020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814667" w:rsidRPr="00A50751" w:rsidRDefault="00814667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:rsidR="00814667" w:rsidRPr="00A50751" w:rsidRDefault="00814667">
            <w:pPr>
              <w:rPr>
                <w:rFonts w:ascii="Book Antiqua" w:hAnsi="Book Antiqua"/>
                <w:lang w:val="en-GB"/>
              </w:rPr>
            </w:pPr>
          </w:p>
        </w:tc>
      </w:tr>
      <w:tr w:rsidR="00814667" w:rsidRPr="00A50751">
        <w:trPr>
          <w:cantSplit/>
          <w:jc w:val="center"/>
        </w:trPr>
        <w:tc>
          <w:tcPr>
            <w:tcW w:w="4536" w:type="dxa"/>
            <w:gridSpan w:val="2"/>
          </w:tcPr>
          <w:p w:rsidR="00814667" w:rsidRPr="00A50751" w:rsidRDefault="0081466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814667" w:rsidRPr="00A50751" w:rsidRDefault="0081466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:rsidR="00814667" w:rsidRPr="00A50751" w:rsidRDefault="00814667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7E7234" w:rsidRPr="00A50751">
        <w:trPr>
          <w:gridAfter w:val="1"/>
          <w:wAfter w:w="4536" w:type="dxa"/>
          <w:cantSplit/>
          <w:jc w:val="center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7E7234" w:rsidRPr="00A50751" w:rsidRDefault="007E7234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E7234" w:rsidRPr="00A50751" w:rsidRDefault="007E7234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7E7234" w:rsidRPr="00A50751">
        <w:trPr>
          <w:gridAfter w:val="2"/>
          <w:wAfter w:w="4820" w:type="dxa"/>
          <w:cantSplit/>
          <w:jc w:val="center"/>
        </w:trPr>
        <w:tc>
          <w:tcPr>
            <w:tcW w:w="4536" w:type="dxa"/>
            <w:gridSpan w:val="2"/>
          </w:tcPr>
          <w:p w:rsidR="007E7234" w:rsidRPr="00A50751" w:rsidRDefault="007E7234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Northern Territory by</w:t>
            </w:r>
          </w:p>
          <w:p w:rsidR="007E7234" w:rsidRPr="00A50751" w:rsidRDefault="007E7234">
            <w:pPr>
              <w:pStyle w:val="LineForSignature"/>
            </w:pPr>
            <w:r w:rsidRPr="00A50751">
              <w:tab/>
            </w:r>
          </w:p>
          <w:p w:rsidR="007E7234" w:rsidRDefault="004556FD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Michael Gunner</w:t>
            </w:r>
            <w:r w:rsidR="007E7234">
              <w:rPr>
                <w:rStyle w:val="Bold"/>
              </w:rPr>
              <w:t xml:space="preserve"> MLA</w:t>
            </w:r>
          </w:p>
          <w:p w:rsidR="007E7234" w:rsidRDefault="004556FD" w:rsidP="00542A8C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Chief Minister</w:t>
            </w:r>
            <w:r w:rsidR="007E7234">
              <w:rPr>
                <w:lang w:val="en-GB"/>
              </w:rPr>
              <w:t xml:space="preserve"> </w:t>
            </w:r>
            <w:r w:rsidR="004D6DD7">
              <w:rPr>
                <w:lang w:val="en-GB"/>
              </w:rPr>
              <w:t>of the Northern Territory</w:t>
            </w:r>
          </w:p>
          <w:p w:rsidR="007E7234" w:rsidRPr="00A50751" w:rsidRDefault="007E7234" w:rsidP="00A401ED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lang w:val="en-GB"/>
              </w:rPr>
            </w:pPr>
            <w:r w:rsidRPr="00B12190" w:rsidDel="00542A8C">
              <w:rPr>
                <w:bCs/>
                <w:lang w:val="en-GB"/>
              </w:rPr>
              <w:t xml:space="preserve"> </w:t>
            </w:r>
            <w:r w:rsidR="00470232" w:rsidRPr="00A401ED">
              <w:rPr>
                <w:lang w:val="en-GB"/>
              </w:rPr>
              <w:t>2020</w:t>
            </w:r>
          </w:p>
        </w:tc>
      </w:tr>
    </w:tbl>
    <w:p w:rsidR="008843EE" w:rsidRDefault="008843EE" w:rsidP="0020144E"/>
    <w:sectPr w:rsidR="008843EE" w:rsidSect="00C60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AD" w:rsidRDefault="008460AD">
      <w:r>
        <w:separator/>
      </w:r>
    </w:p>
  </w:endnote>
  <w:endnote w:type="continuationSeparator" w:id="0">
    <w:p w:rsidR="008460AD" w:rsidRDefault="008460AD">
      <w:r>
        <w:continuationSeparator/>
      </w:r>
    </w:p>
  </w:endnote>
  <w:endnote w:type="continuationNotice" w:id="1">
    <w:p w:rsidR="008460AD" w:rsidRDefault="00846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E9" w:rsidRDefault="00960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E3" w:rsidRDefault="00EC04E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573A">
      <w:rPr>
        <w:noProof/>
      </w:rPr>
      <w:t>2</w:t>
    </w:r>
    <w:r>
      <w:fldChar w:fldCharType="end"/>
    </w:r>
  </w:p>
  <w:p w:rsidR="004043B0" w:rsidRDefault="004043B0" w:rsidP="00EC0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C6" w:rsidRPr="004043B0" w:rsidRDefault="00AB76C6" w:rsidP="004043B0">
    <w:pPr>
      <w:pStyle w:val="FooterEven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AD" w:rsidRDefault="008460AD">
      <w:r>
        <w:separator/>
      </w:r>
    </w:p>
  </w:footnote>
  <w:footnote w:type="continuationSeparator" w:id="0">
    <w:p w:rsidR="008460AD" w:rsidRDefault="008460AD">
      <w:r>
        <w:continuationSeparator/>
      </w:r>
    </w:p>
  </w:footnote>
  <w:footnote w:type="continuationNotice" w:id="1">
    <w:p w:rsidR="008460AD" w:rsidRDefault="00846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E9" w:rsidRDefault="00960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E3" w:rsidRPr="00814590" w:rsidRDefault="00EC04E3" w:rsidP="00EC04E3">
    <w:pPr>
      <w:pStyle w:val="HeaderOdd"/>
      <w:tabs>
        <w:tab w:val="num" w:pos="1134"/>
      </w:tabs>
      <w:rPr>
        <w:color w:val="800000"/>
      </w:rPr>
    </w:pPr>
    <w:r w:rsidRPr="00EC04E3">
      <w:rPr>
        <w:color w:val="800000"/>
      </w:rPr>
      <w:t xml:space="preserve"> </w:t>
    </w:r>
    <w:r>
      <w:rPr>
        <w:color w:val="800000"/>
      </w:rPr>
      <w:t>Project Agreement - Darwin Education and C</w:t>
    </w:r>
    <w:r w:rsidR="00B64417">
      <w:rPr>
        <w:color w:val="800000"/>
      </w:rPr>
      <w:t>ommunity</w:t>
    </w:r>
    <w:r>
      <w:rPr>
        <w:color w:val="800000"/>
      </w:rPr>
      <w:t xml:space="preserve"> Precinct</w:t>
    </w:r>
  </w:p>
  <w:p w:rsidR="004043B0" w:rsidRDefault="004043B0" w:rsidP="004043B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C6" w:rsidRPr="00751725" w:rsidRDefault="00AB76C6" w:rsidP="002818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14EA8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pStyle w:val="Dash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pStyle w:val="DoubleDot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3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5" w15:restartNumberingAfterBreak="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7" w15:restartNumberingAfterBreak="0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2D0B2C05"/>
    <w:multiLevelType w:val="multilevel"/>
    <w:tmpl w:val="2CAE5E7E"/>
    <w:lvl w:ilvl="0">
      <w:start w:val="1"/>
      <w:numFmt w:val="lowerLetter"/>
      <w:lvlRestart w:val="0"/>
      <w:lvlText w:val="(%1)"/>
      <w:lvlJc w:val="left"/>
      <w:pPr>
        <w:tabs>
          <w:tab w:val="num" w:pos="1418"/>
        </w:tabs>
        <w:ind w:left="851"/>
      </w:pPr>
      <w:rPr>
        <w:rFonts w:cs="Times New Roman" w:hint="default"/>
        <w:b w:val="0"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552"/>
        </w:tabs>
        <w:ind w:left="2552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119"/>
        </w:tabs>
        <w:ind w:left="3119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686"/>
        </w:tabs>
        <w:ind w:left="3686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253"/>
        </w:tabs>
        <w:ind w:left="4253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820"/>
        </w:tabs>
        <w:ind w:left="4820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387"/>
        </w:tabs>
        <w:ind w:left="5387" w:hanging="567"/>
      </w:pPr>
      <w:rPr>
        <w:rFonts w:cs="Times New Roman" w:hint="default"/>
        <w:b w:val="0"/>
        <w:i w:val="0"/>
        <w:color w:val="000000"/>
      </w:rPr>
    </w:lvl>
  </w:abstractNum>
  <w:abstractNum w:abstractNumId="9" w15:restartNumberingAfterBreak="0">
    <w:nsid w:val="33FF0382"/>
    <w:multiLevelType w:val="multilevel"/>
    <w:tmpl w:val="B0D4372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0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1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2" w15:restartNumberingAfterBreak="0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59B70749"/>
    <w:multiLevelType w:val="multilevel"/>
    <w:tmpl w:val="3080209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5EE250E1"/>
    <w:multiLevelType w:val="multilevel"/>
    <w:tmpl w:val="220C81A8"/>
    <w:name w:val="StandardNumberedList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18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19" w15:restartNumberingAfterBreak="0">
    <w:nsid w:val="78854AAC"/>
    <w:multiLevelType w:val="hybridMultilevel"/>
    <w:tmpl w:val="54B4E8A4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19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18"/>
  </w:num>
  <w:num w:numId="16">
    <w:abstractNumId w:val="4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7"/>
    <w:rsid w:val="00005A5D"/>
    <w:rsid w:val="00005BFB"/>
    <w:rsid w:val="000076D9"/>
    <w:rsid w:val="0001558D"/>
    <w:rsid w:val="00021708"/>
    <w:rsid w:val="00023C6F"/>
    <w:rsid w:val="00023D59"/>
    <w:rsid w:val="00030CB2"/>
    <w:rsid w:val="00032952"/>
    <w:rsid w:val="000343F1"/>
    <w:rsid w:val="00043CED"/>
    <w:rsid w:val="00044700"/>
    <w:rsid w:val="00045C56"/>
    <w:rsid w:val="0005294B"/>
    <w:rsid w:val="000601BC"/>
    <w:rsid w:val="0006051B"/>
    <w:rsid w:val="000614F9"/>
    <w:rsid w:val="0006451A"/>
    <w:rsid w:val="0006551D"/>
    <w:rsid w:val="00065679"/>
    <w:rsid w:val="000670E6"/>
    <w:rsid w:val="0007004C"/>
    <w:rsid w:val="000724F6"/>
    <w:rsid w:val="00074611"/>
    <w:rsid w:val="00074A62"/>
    <w:rsid w:val="00075F2F"/>
    <w:rsid w:val="0007767E"/>
    <w:rsid w:val="00086712"/>
    <w:rsid w:val="00086FB5"/>
    <w:rsid w:val="00091DF8"/>
    <w:rsid w:val="00093CB6"/>
    <w:rsid w:val="00093DD8"/>
    <w:rsid w:val="00094529"/>
    <w:rsid w:val="00094641"/>
    <w:rsid w:val="00094D9F"/>
    <w:rsid w:val="00096A06"/>
    <w:rsid w:val="00097794"/>
    <w:rsid w:val="000A0C9E"/>
    <w:rsid w:val="000A5191"/>
    <w:rsid w:val="000A6AD8"/>
    <w:rsid w:val="000B4080"/>
    <w:rsid w:val="000B4406"/>
    <w:rsid w:val="000B5ACE"/>
    <w:rsid w:val="000B72F0"/>
    <w:rsid w:val="000B7339"/>
    <w:rsid w:val="000B7685"/>
    <w:rsid w:val="000C008B"/>
    <w:rsid w:val="000C022E"/>
    <w:rsid w:val="000C27ED"/>
    <w:rsid w:val="000C714F"/>
    <w:rsid w:val="000C7F83"/>
    <w:rsid w:val="000D19D8"/>
    <w:rsid w:val="000D1C37"/>
    <w:rsid w:val="000D4377"/>
    <w:rsid w:val="000D605D"/>
    <w:rsid w:val="000E075D"/>
    <w:rsid w:val="000E2AF6"/>
    <w:rsid w:val="000E36B7"/>
    <w:rsid w:val="000E3C70"/>
    <w:rsid w:val="000E48C3"/>
    <w:rsid w:val="000F0880"/>
    <w:rsid w:val="000F12E8"/>
    <w:rsid w:val="000F1F50"/>
    <w:rsid w:val="000F25D5"/>
    <w:rsid w:val="000F5D6A"/>
    <w:rsid w:val="000F6CF6"/>
    <w:rsid w:val="00101255"/>
    <w:rsid w:val="00102BE9"/>
    <w:rsid w:val="00103FD6"/>
    <w:rsid w:val="001042E4"/>
    <w:rsid w:val="001065EE"/>
    <w:rsid w:val="00106AE7"/>
    <w:rsid w:val="00110F5D"/>
    <w:rsid w:val="001134AC"/>
    <w:rsid w:val="00115166"/>
    <w:rsid w:val="00115A97"/>
    <w:rsid w:val="00116CCD"/>
    <w:rsid w:val="00122DBA"/>
    <w:rsid w:val="001250CF"/>
    <w:rsid w:val="001262B5"/>
    <w:rsid w:val="00132587"/>
    <w:rsid w:val="00136074"/>
    <w:rsid w:val="001362C4"/>
    <w:rsid w:val="001404A9"/>
    <w:rsid w:val="00140B12"/>
    <w:rsid w:val="00140F43"/>
    <w:rsid w:val="001415A1"/>
    <w:rsid w:val="00145D5C"/>
    <w:rsid w:val="00151133"/>
    <w:rsid w:val="0015322C"/>
    <w:rsid w:val="00157FE2"/>
    <w:rsid w:val="00160506"/>
    <w:rsid w:val="0016131F"/>
    <w:rsid w:val="001629FA"/>
    <w:rsid w:val="00165CAB"/>
    <w:rsid w:val="00166312"/>
    <w:rsid w:val="00167BB8"/>
    <w:rsid w:val="00167F1C"/>
    <w:rsid w:val="00172360"/>
    <w:rsid w:val="00172E3A"/>
    <w:rsid w:val="00173F81"/>
    <w:rsid w:val="00174C2A"/>
    <w:rsid w:val="00175FB9"/>
    <w:rsid w:val="001774FF"/>
    <w:rsid w:val="00177A0A"/>
    <w:rsid w:val="00177B94"/>
    <w:rsid w:val="00180AE3"/>
    <w:rsid w:val="00180F76"/>
    <w:rsid w:val="00181EE2"/>
    <w:rsid w:val="00183EAB"/>
    <w:rsid w:val="00185CC1"/>
    <w:rsid w:val="00187BEB"/>
    <w:rsid w:val="001931E8"/>
    <w:rsid w:val="00194232"/>
    <w:rsid w:val="00194587"/>
    <w:rsid w:val="001A1422"/>
    <w:rsid w:val="001A14C1"/>
    <w:rsid w:val="001A3A9A"/>
    <w:rsid w:val="001A3F52"/>
    <w:rsid w:val="001A4093"/>
    <w:rsid w:val="001A541C"/>
    <w:rsid w:val="001A79C1"/>
    <w:rsid w:val="001A7A15"/>
    <w:rsid w:val="001B19A0"/>
    <w:rsid w:val="001B1CA3"/>
    <w:rsid w:val="001B447F"/>
    <w:rsid w:val="001B580E"/>
    <w:rsid w:val="001B7933"/>
    <w:rsid w:val="001C346E"/>
    <w:rsid w:val="001C3717"/>
    <w:rsid w:val="001C5CC5"/>
    <w:rsid w:val="001D2C27"/>
    <w:rsid w:val="001D3CAD"/>
    <w:rsid w:val="001D6E9A"/>
    <w:rsid w:val="001E20EC"/>
    <w:rsid w:val="001E4479"/>
    <w:rsid w:val="001E7173"/>
    <w:rsid w:val="001E74D0"/>
    <w:rsid w:val="001E7803"/>
    <w:rsid w:val="001F1D48"/>
    <w:rsid w:val="001F3516"/>
    <w:rsid w:val="001F651D"/>
    <w:rsid w:val="001F6F39"/>
    <w:rsid w:val="001F6FE8"/>
    <w:rsid w:val="0020144E"/>
    <w:rsid w:val="00201675"/>
    <w:rsid w:val="00202114"/>
    <w:rsid w:val="00205E18"/>
    <w:rsid w:val="00206773"/>
    <w:rsid w:val="002069F9"/>
    <w:rsid w:val="00206EBE"/>
    <w:rsid w:val="002115E8"/>
    <w:rsid w:val="00212869"/>
    <w:rsid w:val="00212FAB"/>
    <w:rsid w:val="00221308"/>
    <w:rsid w:val="00222C97"/>
    <w:rsid w:val="00225761"/>
    <w:rsid w:val="00233835"/>
    <w:rsid w:val="00237EC1"/>
    <w:rsid w:val="00241EE9"/>
    <w:rsid w:val="00244500"/>
    <w:rsid w:val="00247D45"/>
    <w:rsid w:val="00252551"/>
    <w:rsid w:val="0026175B"/>
    <w:rsid w:val="00261ABA"/>
    <w:rsid w:val="00262E18"/>
    <w:rsid w:val="00263E10"/>
    <w:rsid w:val="0026571E"/>
    <w:rsid w:val="00270B31"/>
    <w:rsid w:val="00272D4A"/>
    <w:rsid w:val="00273DF0"/>
    <w:rsid w:val="002771CA"/>
    <w:rsid w:val="00281874"/>
    <w:rsid w:val="00282C25"/>
    <w:rsid w:val="0028415D"/>
    <w:rsid w:val="00284884"/>
    <w:rsid w:val="00285003"/>
    <w:rsid w:val="002869F5"/>
    <w:rsid w:val="00287DCC"/>
    <w:rsid w:val="00291CF1"/>
    <w:rsid w:val="00292587"/>
    <w:rsid w:val="00294218"/>
    <w:rsid w:val="00296B1D"/>
    <w:rsid w:val="002A143D"/>
    <w:rsid w:val="002A3DE9"/>
    <w:rsid w:val="002A493A"/>
    <w:rsid w:val="002A530A"/>
    <w:rsid w:val="002A5884"/>
    <w:rsid w:val="002A6981"/>
    <w:rsid w:val="002B1C50"/>
    <w:rsid w:val="002B207C"/>
    <w:rsid w:val="002B67A6"/>
    <w:rsid w:val="002B7922"/>
    <w:rsid w:val="002B7E1B"/>
    <w:rsid w:val="002C2529"/>
    <w:rsid w:val="002C2A03"/>
    <w:rsid w:val="002C5745"/>
    <w:rsid w:val="002C62B3"/>
    <w:rsid w:val="002C7620"/>
    <w:rsid w:val="002D122C"/>
    <w:rsid w:val="002D3DDF"/>
    <w:rsid w:val="002D7CF9"/>
    <w:rsid w:val="002E0B50"/>
    <w:rsid w:val="002E144A"/>
    <w:rsid w:val="002E2DE2"/>
    <w:rsid w:val="002E4B66"/>
    <w:rsid w:val="002F576E"/>
    <w:rsid w:val="002F5B29"/>
    <w:rsid w:val="002F5B54"/>
    <w:rsid w:val="002F5C6C"/>
    <w:rsid w:val="002F7E40"/>
    <w:rsid w:val="00300F80"/>
    <w:rsid w:val="003012DA"/>
    <w:rsid w:val="00301E84"/>
    <w:rsid w:val="00307C5C"/>
    <w:rsid w:val="00311450"/>
    <w:rsid w:val="003117FF"/>
    <w:rsid w:val="00312CFE"/>
    <w:rsid w:val="00313480"/>
    <w:rsid w:val="00313C98"/>
    <w:rsid w:val="00313FD9"/>
    <w:rsid w:val="003155BD"/>
    <w:rsid w:val="0031764A"/>
    <w:rsid w:val="003177B9"/>
    <w:rsid w:val="00321E0A"/>
    <w:rsid w:val="0032779A"/>
    <w:rsid w:val="003317EA"/>
    <w:rsid w:val="00333506"/>
    <w:rsid w:val="00340798"/>
    <w:rsid w:val="00340987"/>
    <w:rsid w:val="003410AA"/>
    <w:rsid w:val="0034465F"/>
    <w:rsid w:val="003466EA"/>
    <w:rsid w:val="0035051C"/>
    <w:rsid w:val="00351FF0"/>
    <w:rsid w:val="00352A6B"/>
    <w:rsid w:val="00352EC1"/>
    <w:rsid w:val="00361054"/>
    <w:rsid w:val="0036119D"/>
    <w:rsid w:val="003637A0"/>
    <w:rsid w:val="0036474E"/>
    <w:rsid w:val="00364CF3"/>
    <w:rsid w:val="00365CAA"/>
    <w:rsid w:val="00367EAB"/>
    <w:rsid w:val="00372573"/>
    <w:rsid w:val="00374F53"/>
    <w:rsid w:val="00377AB2"/>
    <w:rsid w:val="003877C3"/>
    <w:rsid w:val="0039283B"/>
    <w:rsid w:val="0039286D"/>
    <w:rsid w:val="00396EA4"/>
    <w:rsid w:val="003A0026"/>
    <w:rsid w:val="003A0C70"/>
    <w:rsid w:val="003A2157"/>
    <w:rsid w:val="003A3363"/>
    <w:rsid w:val="003A3905"/>
    <w:rsid w:val="003A3CC1"/>
    <w:rsid w:val="003A3E26"/>
    <w:rsid w:val="003A6635"/>
    <w:rsid w:val="003A6B0E"/>
    <w:rsid w:val="003A78C6"/>
    <w:rsid w:val="003A7CB5"/>
    <w:rsid w:val="003B1D4A"/>
    <w:rsid w:val="003B267F"/>
    <w:rsid w:val="003B4F24"/>
    <w:rsid w:val="003B5562"/>
    <w:rsid w:val="003B6363"/>
    <w:rsid w:val="003B63C3"/>
    <w:rsid w:val="003B737F"/>
    <w:rsid w:val="003C0046"/>
    <w:rsid w:val="003C0CF7"/>
    <w:rsid w:val="003C2181"/>
    <w:rsid w:val="003C2E5D"/>
    <w:rsid w:val="003C4DDF"/>
    <w:rsid w:val="003C59E0"/>
    <w:rsid w:val="003C6ECF"/>
    <w:rsid w:val="003C6F2A"/>
    <w:rsid w:val="003D61FB"/>
    <w:rsid w:val="003D743C"/>
    <w:rsid w:val="003E33BA"/>
    <w:rsid w:val="003E6BA0"/>
    <w:rsid w:val="003E6EDC"/>
    <w:rsid w:val="003E73DB"/>
    <w:rsid w:val="003F0ADC"/>
    <w:rsid w:val="003F59E6"/>
    <w:rsid w:val="003F5BE6"/>
    <w:rsid w:val="003F6C00"/>
    <w:rsid w:val="00401163"/>
    <w:rsid w:val="004043B0"/>
    <w:rsid w:val="00404A61"/>
    <w:rsid w:val="004120B1"/>
    <w:rsid w:val="00413E74"/>
    <w:rsid w:val="0041421D"/>
    <w:rsid w:val="0041490D"/>
    <w:rsid w:val="00414A5C"/>
    <w:rsid w:val="004156B4"/>
    <w:rsid w:val="0041697F"/>
    <w:rsid w:val="00417817"/>
    <w:rsid w:val="00417A7B"/>
    <w:rsid w:val="00417D14"/>
    <w:rsid w:val="00420235"/>
    <w:rsid w:val="004223AA"/>
    <w:rsid w:val="00422DD9"/>
    <w:rsid w:val="00423104"/>
    <w:rsid w:val="004267D3"/>
    <w:rsid w:val="004279E6"/>
    <w:rsid w:val="00427E2A"/>
    <w:rsid w:val="004336F5"/>
    <w:rsid w:val="004339B2"/>
    <w:rsid w:val="00433E65"/>
    <w:rsid w:val="004374B2"/>
    <w:rsid w:val="004417BC"/>
    <w:rsid w:val="00442AB8"/>
    <w:rsid w:val="004436EA"/>
    <w:rsid w:val="00443B7B"/>
    <w:rsid w:val="0044456C"/>
    <w:rsid w:val="00450B39"/>
    <w:rsid w:val="00453BC6"/>
    <w:rsid w:val="00454498"/>
    <w:rsid w:val="004556FD"/>
    <w:rsid w:val="00456C59"/>
    <w:rsid w:val="0046008B"/>
    <w:rsid w:val="00462A98"/>
    <w:rsid w:val="00467E75"/>
    <w:rsid w:val="00470232"/>
    <w:rsid w:val="004766AA"/>
    <w:rsid w:val="004774BE"/>
    <w:rsid w:val="00477931"/>
    <w:rsid w:val="004869C3"/>
    <w:rsid w:val="00490198"/>
    <w:rsid w:val="00490E28"/>
    <w:rsid w:val="00497362"/>
    <w:rsid w:val="00497C77"/>
    <w:rsid w:val="004A0AE7"/>
    <w:rsid w:val="004A2999"/>
    <w:rsid w:val="004A523F"/>
    <w:rsid w:val="004A6062"/>
    <w:rsid w:val="004A673A"/>
    <w:rsid w:val="004A770F"/>
    <w:rsid w:val="004A7EA7"/>
    <w:rsid w:val="004B0813"/>
    <w:rsid w:val="004B136A"/>
    <w:rsid w:val="004B1F38"/>
    <w:rsid w:val="004B21C5"/>
    <w:rsid w:val="004B2EF6"/>
    <w:rsid w:val="004B34A6"/>
    <w:rsid w:val="004B5612"/>
    <w:rsid w:val="004B5AA7"/>
    <w:rsid w:val="004B5BEF"/>
    <w:rsid w:val="004B6083"/>
    <w:rsid w:val="004B6927"/>
    <w:rsid w:val="004B72CC"/>
    <w:rsid w:val="004B7E5C"/>
    <w:rsid w:val="004C3CC4"/>
    <w:rsid w:val="004C4D5E"/>
    <w:rsid w:val="004D11ED"/>
    <w:rsid w:val="004D310E"/>
    <w:rsid w:val="004D37D8"/>
    <w:rsid w:val="004D48BD"/>
    <w:rsid w:val="004D4B81"/>
    <w:rsid w:val="004D6DD7"/>
    <w:rsid w:val="004E2DB3"/>
    <w:rsid w:val="004F5DCD"/>
    <w:rsid w:val="004F65E0"/>
    <w:rsid w:val="004F6B2B"/>
    <w:rsid w:val="004F78EC"/>
    <w:rsid w:val="005005DF"/>
    <w:rsid w:val="00505045"/>
    <w:rsid w:val="00510B96"/>
    <w:rsid w:val="00511501"/>
    <w:rsid w:val="00511B5B"/>
    <w:rsid w:val="00511DC4"/>
    <w:rsid w:val="0051286F"/>
    <w:rsid w:val="00515AF2"/>
    <w:rsid w:val="0051640E"/>
    <w:rsid w:val="00516741"/>
    <w:rsid w:val="0051684E"/>
    <w:rsid w:val="00527ABC"/>
    <w:rsid w:val="00535A90"/>
    <w:rsid w:val="00540BBD"/>
    <w:rsid w:val="0054193D"/>
    <w:rsid w:val="0054296F"/>
    <w:rsid w:val="00542A8C"/>
    <w:rsid w:val="00542BCA"/>
    <w:rsid w:val="00542D59"/>
    <w:rsid w:val="00543637"/>
    <w:rsid w:val="00544FCA"/>
    <w:rsid w:val="005452FF"/>
    <w:rsid w:val="00545DF7"/>
    <w:rsid w:val="005461AE"/>
    <w:rsid w:val="00546CA2"/>
    <w:rsid w:val="005539F5"/>
    <w:rsid w:val="0055415C"/>
    <w:rsid w:val="00554AAC"/>
    <w:rsid w:val="0055503F"/>
    <w:rsid w:val="005563AA"/>
    <w:rsid w:val="00556FA0"/>
    <w:rsid w:val="005572D7"/>
    <w:rsid w:val="00563797"/>
    <w:rsid w:val="005651B5"/>
    <w:rsid w:val="00566234"/>
    <w:rsid w:val="0057262B"/>
    <w:rsid w:val="0057303D"/>
    <w:rsid w:val="005776A9"/>
    <w:rsid w:val="005815B3"/>
    <w:rsid w:val="00582A03"/>
    <w:rsid w:val="00587E37"/>
    <w:rsid w:val="00591F18"/>
    <w:rsid w:val="00592163"/>
    <w:rsid w:val="00593821"/>
    <w:rsid w:val="00596E88"/>
    <w:rsid w:val="00597CBD"/>
    <w:rsid w:val="005A0969"/>
    <w:rsid w:val="005A5E7A"/>
    <w:rsid w:val="005B0DEF"/>
    <w:rsid w:val="005B1B27"/>
    <w:rsid w:val="005B2A03"/>
    <w:rsid w:val="005B4C1B"/>
    <w:rsid w:val="005C2684"/>
    <w:rsid w:val="005C2DDC"/>
    <w:rsid w:val="005C40BC"/>
    <w:rsid w:val="005C435A"/>
    <w:rsid w:val="005C5620"/>
    <w:rsid w:val="005C578C"/>
    <w:rsid w:val="005D1F0F"/>
    <w:rsid w:val="005D29DB"/>
    <w:rsid w:val="005D41F9"/>
    <w:rsid w:val="005D4E15"/>
    <w:rsid w:val="005E176C"/>
    <w:rsid w:val="005E1C55"/>
    <w:rsid w:val="005E20D2"/>
    <w:rsid w:val="005E3760"/>
    <w:rsid w:val="005E3DA4"/>
    <w:rsid w:val="005E4143"/>
    <w:rsid w:val="005E724B"/>
    <w:rsid w:val="005E7F41"/>
    <w:rsid w:val="005F4BD2"/>
    <w:rsid w:val="00601F7C"/>
    <w:rsid w:val="00602A48"/>
    <w:rsid w:val="00602EF7"/>
    <w:rsid w:val="00606F11"/>
    <w:rsid w:val="00607B03"/>
    <w:rsid w:val="0061059D"/>
    <w:rsid w:val="00611DF4"/>
    <w:rsid w:val="0061326F"/>
    <w:rsid w:val="00614393"/>
    <w:rsid w:val="006146F2"/>
    <w:rsid w:val="00614C00"/>
    <w:rsid w:val="00620D27"/>
    <w:rsid w:val="00621F8B"/>
    <w:rsid w:val="00623567"/>
    <w:rsid w:val="00625A30"/>
    <w:rsid w:val="00626866"/>
    <w:rsid w:val="0063087C"/>
    <w:rsid w:val="00636938"/>
    <w:rsid w:val="006412B5"/>
    <w:rsid w:val="00641932"/>
    <w:rsid w:val="00641CA4"/>
    <w:rsid w:val="00644083"/>
    <w:rsid w:val="0064429B"/>
    <w:rsid w:val="0064477C"/>
    <w:rsid w:val="00646DA6"/>
    <w:rsid w:val="00647E1B"/>
    <w:rsid w:val="00650903"/>
    <w:rsid w:val="00657426"/>
    <w:rsid w:val="00662348"/>
    <w:rsid w:val="006650A8"/>
    <w:rsid w:val="00665C74"/>
    <w:rsid w:val="006679C0"/>
    <w:rsid w:val="00680ED5"/>
    <w:rsid w:val="00681956"/>
    <w:rsid w:val="00682D2D"/>
    <w:rsid w:val="00682FBA"/>
    <w:rsid w:val="00683370"/>
    <w:rsid w:val="00684EC1"/>
    <w:rsid w:val="00685811"/>
    <w:rsid w:val="006903F9"/>
    <w:rsid w:val="006923C8"/>
    <w:rsid w:val="00696AB4"/>
    <w:rsid w:val="00697494"/>
    <w:rsid w:val="006976BF"/>
    <w:rsid w:val="006A05D7"/>
    <w:rsid w:val="006A1526"/>
    <w:rsid w:val="006A22B4"/>
    <w:rsid w:val="006A4628"/>
    <w:rsid w:val="006B3B0D"/>
    <w:rsid w:val="006B3F39"/>
    <w:rsid w:val="006B4213"/>
    <w:rsid w:val="006B43AF"/>
    <w:rsid w:val="006B4DF0"/>
    <w:rsid w:val="006B6C44"/>
    <w:rsid w:val="006C1013"/>
    <w:rsid w:val="006C1121"/>
    <w:rsid w:val="006C163A"/>
    <w:rsid w:val="006C228B"/>
    <w:rsid w:val="006C2931"/>
    <w:rsid w:val="006C5722"/>
    <w:rsid w:val="006D3E0B"/>
    <w:rsid w:val="006D466E"/>
    <w:rsid w:val="006D4B70"/>
    <w:rsid w:val="006D4C35"/>
    <w:rsid w:val="006D7A92"/>
    <w:rsid w:val="006E04CB"/>
    <w:rsid w:val="006E3B48"/>
    <w:rsid w:val="006E4101"/>
    <w:rsid w:val="006E6184"/>
    <w:rsid w:val="006E631B"/>
    <w:rsid w:val="006F096A"/>
    <w:rsid w:val="006F22E3"/>
    <w:rsid w:val="006F3095"/>
    <w:rsid w:val="006F45E9"/>
    <w:rsid w:val="006F5455"/>
    <w:rsid w:val="006F5CB6"/>
    <w:rsid w:val="006F79D3"/>
    <w:rsid w:val="00703194"/>
    <w:rsid w:val="007045AC"/>
    <w:rsid w:val="00706E50"/>
    <w:rsid w:val="0070737C"/>
    <w:rsid w:val="00711229"/>
    <w:rsid w:val="00715018"/>
    <w:rsid w:val="007179FE"/>
    <w:rsid w:val="00717F25"/>
    <w:rsid w:val="007201B1"/>
    <w:rsid w:val="007201D7"/>
    <w:rsid w:val="00723A78"/>
    <w:rsid w:val="00724E14"/>
    <w:rsid w:val="00725AD5"/>
    <w:rsid w:val="00726DB5"/>
    <w:rsid w:val="00726EB4"/>
    <w:rsid w:val="00731945"/>
    <w:rsid w:val="007331A1"/>
    <w:rsid w:val="007363DE"/>
    <w:rsid w:val="0073698D"/>
    <w:rsid w:val="00736C0B"/>
    <w:rsid w:val="00744D93"/>
    <w:rsid w:val="00746531"/>
    <w:rsid w:val="00750F59"/>
    <w:rsid w:val="00751725"/>
    <w:rsid w:val="00752028"/>
    <w:rsid w:val="0075450A"/>
    <w:rsid w:val="0075717D"/>
    <w:rsid w:val="0076017E"/>
    <w:rsid w:val="007601E1"/>
    <w:rsid w:val="00760DB6"/>
    <w:rsid w:val="0076361C"/>
    <w:rsid w:val="007661AE"/>
    <w:rsid w:val="007663B3"/>
    <w:rsid w:val="00766A51"/>
    <w:rsid w:val="00770FC0"/>
    <w:rsid w:val="00771FFF"/>
    <w:rsid w:val="00772818"/>
    <w:rsid w:val="0077467F"/>
    <w:rsid w:val="0077685D"/>
    <w:rsid w:val="0077788E"/>
    <w:rsid w:val="00784439"/>
    <w:rsid w:val="007855F0"/>
    <w:rsid w:val="00787E75"/>
    <w:rsid w:val="00797257"/>
    <w:rsid w:val="00797C3A"/>
    <w:rsid w:val="007A3157"/>
    <w:rsid w:val="007A3FFE"/>
    <w:rsid w:val="007A6E20"/>
    <w:rsid w:val="007A77A8"/>
    <w:rsid w:val="007B10ED"/>
    <w:rsid w:val="007B2B2E"/>
    <w:rsid w:val="007B3BFC"/>
    <w:rsid w:val="007B4B03"/>
    <w:rsid w:val="007C0C58"/>
    <w:rsid w:val="007C4F31"/>
    <w:rsid w:val="007D0EE8"/>
    <w:rsid w:val="007D2823"/>
    <w:rsid w:val="007E2879"/>
    <w:rsid w:val="007E2F1B"/>
    <w:rsid w:val="007E5257"/>
    <w:rsid w:val="007E5391"/>
    <w:rsid w:val="007E7234"/>
    <w:rsid w:val="007F4EF5"/>
    <w:rsid w:val="00804105"/>
    <w:rsid w:val="00806D94"/>
    <w:rsid w:val="008073F7"/>
    <w:rsid w:val="00807AD8"/>
    <w:rsid w:val="00811800"/>
    <w:rsid w:val="00812E1C"/>
    <w:rsid w:val="008132AA"/>
    <w:rsid w:val="00813CFF"/>
    <w:rsid w:val="008140C5"/>
    <w:rsid w:val="00814590"/>
    <w:rsid w:val="00814667"/>
    <w:rsid w:val="008148E2"/>
    <w:rsid w:val="008149E4"/>
    <w:rsid w:val="008156B7"/>
    <w:rsid w:val="00817D90"/>
    <w:rsid w:val="00820233"/>
    <w:rsid w:val="00822355"/>
    <w:rsid w:val="0082332D"/>
    <w:rsid w:val="0082402C"/>
    <w:rsid w:val="00825760"/>
    <w:rsid w:val="00825FF5"/>
    <w:rsid w:val="008262F1"/>
    <w:rsid w:val="00830DC1"/>
    <w:rsid w:val="008311FA"/>
    <w:rsid w:val="008317EF"/>
    <w:rsid w:val="00835DDD"/>
    <w:rsid w:val="00845BCC"/>
    <w:rsid w:val="008460AD"/>
    <w:rsid w:val="00851465"/>
    <w:rsid w:val="008514B8"/>
    <w:rsid w:val="00852ED8"/>
    <w:rsid w:val="0085330A"/>
    <w:rsid w:val="00854DAE"/>
    <w:rsid w:val="008550CA"/>
    <w:rsid w:val="0085533A"/>
    <w:rsid w:val="00855543"/>
    <w:rsid w:val="0085738D"/>
    <w:rsid w:val="00862395"/>
    <w:rsid w:val="00863E56"/>
    <w:rsid w:val="00864DD3"/>
    <w:rsid w:val="0086573A"/>
    <w:rsid w:val="008708D6"/>
    <w:rsid w:val="00874608"/>
    <w:rsid w:val="00875CB9"/>
    <w:rsid w:val="008760D0"/>
    <w:rsid w:val="00881317"/>
    <w:rsid w:val="008843EE"/>
    <w:rsid w:val="0088540D"/>
    <w:rsid w:val="00892CA4"/>
    <w:rsid w:val="0089561C"/>
    <w:rsid w:val="00896477"/>
    <w:rsid w:val="00896BD6"/>
    <w:rsid w:val="00896F5A"/>
    <w:rsid w:val="008A1315"/>
    <w:rsid w:val="008A2564"/>
    <w:rsid w:val="008A36EA"/>
    <w:rsid w:val="008A3C37"/>
    <w:rsid w:val="008A7BF1"/>
    <w:rsid w:val="008B0C52"/>
    <w:rsid w:val="008B1840"/>
    <w:rsid w:val="008B4592"/>
    <w:rsid w:val="008B70D3"/>
    <w:rsid w:val="008B73A2"/>
    <w:rsid w:val="008B7FE2"/>
    <w:rsid w:val="008C0BBA"/>
    <w:rsid w:val="008C2450"/>
    <w:rsid w:val="008C7817"/>
    <w:rsid w:val="008C7F5B"/>
    <w:rsid w:val="008D0217"/>
    <w:rsid w:val="008D079A"/>
    <w:rsid w:val="008D2F40"/>
    <w:rsid w:val="008D5B52"/>
    <w:rsid w:val="008D788A"/>
    <w:rsid w:val="008D7E90"/>
    <w:rsid w:val="008E0AD6"/>
    <w:rsid w:val="008E4209"/>
    <w:rsid w:val="008E48FC"/>
    <w:rsid w:val="008E55BD"/>
    <w:rsid w:val="008E7527"/>
    <w:rsid w:val="008F2022"/>
    <w:rsid w:val="008F2AD6"/>
    <w:rsid w:val="008F44F1"/>
    <w:rsid w:val="008F4832"/>
    <w:rsid w:val="008F4BA8"/>
    <w:rsid w:val="008F5C07"/>
    <w:rsid w:val="008F696D"/>
    <w:rsid w:val="008F7777"/>
    <w:rsid w:val="00900BFE"/>
    <w:rsid w:val="00901A7D"/>
    <w:rsid w:val="00901CF5"/>
    <w:rsid w:val="00901F53"/>
    <w:rsid w:val="00906431"/>
    <w:rsid w:val="009115AF"/>
    <w:rsid w:val="00913276"/>
    <w:rsid w:val="00916579"/>
    <w:rsid w:val="0091696F"/>
    <w:rsid w:val="00920543"/>
    <w:rsid w:val="009221DF"/>
    <w:rsid w:val="009224FD"/>
    <w:rsid w:val="00932117"/>
    <w:rsid w:val="0093296C"/>
    <w:rsid w:val="00933F4B"/>
    <w:rsid w:val="00935CC7"/>
    <w:rsid w:val="0094002F"/>
    <w:rsid w:val="0094129D"/>
    <w:rsid w:val="00941BB7"/>
    <w:rsid w:val="00944760"/>
    <w:rsid w:val="00946A91"/>
    <w:rsid w:val="00946AE5"/>
    <w:rsid w:val="00947EEC"/>
    <w:rsid w:val="00950865"/>
    <w:rsid w:val="00950F16"/>
    <w:rsid w:val="00951BAD"/>
    <w:rsid w:val="0095223D"/>
    <w:rsid w:val="009526E4"/>
    <w:rsid w:val="00953AA1"/>
    <w:rsid w:val="00954B44"/>
    <w:rsid w:val="00960EE9"/>
    <w:rsid w:val="00961A3C"/>
    <w:rsid w:val="00961A59"/>
    <w:rsid w:val="009644B8"/>
    <w:rsid w:val="0096732C"/>
    <w:rsid w:val="009703B6"/>
    <w:rsid w:val="00971A4C"/>
    <w:rsid w:val="00972F78"/>
    <w:rsid w:val="009747F9"/>
    <w:rsid w:val="00975EB5"/>
    <w:rsid w:val="00983979"/>
    <w:rsid w:val="00983DC2"/>
    <w:rsid w:val="00983DF0"/>
    <w:rsid w:val="009856EE"/>
    <w:rsid w:val="00995715"/>
    <w:rsid w:val="0099742A"/>
    <w:rsid w:val="009A0446"/>
    <w:rsid w:val="009A062C"/>
    <w:rsid w:val="009A2FB6"/>
    <w:rsid w:val="009A48AF"/>
    <w:rsid w:val="009A522D"/>
    <w:rsid w:val="009B0C68"/>
    <w:rsid w:val="009B2438"/>
    <w:rsid w:val="009B3F77"/>
    <w:rsid w:val="009B5132"/>
    <w:rsid w:val="009C166A"/>
    <w:rsid w:val="009C2059"/>
    <w:rsid w:val="009C6FFB"/>
    <w:rsid w:val="009C7EF5"/>
    <w:rsid w:val="009D0C93"/>
    <w:rsid w:val="009D2FAC"/>
    <w:rsid w:val="009D4D8C"/>
    <w:rsid w:val="009E093C"/>
    <w:rsid w:val="009E1311"/>
    <w:rsid w:val="009E151E"/>
    <w:rsid w:val="009E3ACF"/>
    <w:rsid w:val="009E43A5"/>
    <w:rsid w:val="009E5865"/>
    <w:rsid w:val="009E5DB6"/>
    <w:rsid w:val="009F00F4"/>
    <w:rsid w:val="009F3264"/>
    <w:rsid w:val="009F7279"/>
    <w:rsid w:val="009F777E"/>
    <w:rsid w:val="009F7F52"/>
    <w:rsid w:val="00A0163A"/>
    <w:rsid w:val="00A0202C"/>
    <w:rsid w:val="00A0227E"/>
    <w:rsid w:val="00A03051"/>
    <w:rsid w:val="00A05C1E"/>
    <w:rsid w:val="00A0603F"/>
    <w:rsid w:val="00A112E6"/>
    <w:rsid w:val="00A14966"/>
    <w:rsid w:val="00A15CAB"/>
    <w:rsid w:val="00A16E8F"/>
    <w:rsid w:val="00A17CCB"/>
    <w:rsid w:val="00A201DE"/>
    <w:rsid w:val="00A211A9"/>
    <w:rsid w:val="00A2422A"/>
    <w:rsid w:val="00A25265"/>
    <w:rsid w:val="00A25907"/>
    <w:rsid w:val="00A26FC8"/>
    <w:rsid w:val="00A303A1"/>
    <w:rsid w:val="00A401ED"/>
    <w:rsid w:val="00A42386"/>
    <w:rsid w:val="00A50751"/>
    <w:rsid w:val="00A50E72"/>
    <w:rsid w:val="00A54B81"/>
    <w:rsid w:val="00A54BE7"/>
    <w:rsid w:val="00A564EB"/>
    <w:rsid w:val="00A628F4"/>
    <w:rsid w:val="00A6500A"/>
    <w:rsid w:val="00A65333"/>
    <w:rsid w:val="00A6719E"/>
    <w:rsid w:val="00A739F1"/>
    <w:rsid w:val="00A758DE"/>
    <w:rsid w:val="00A760F1"/>
    <w:rsid w:val="00A8189A"/>
    <w:rsid w:val="00A81C2E"/>
    <w:rsid w:val="00A81EC4"/>
    <w:rsid w:val="00A83B8E"/>
    <w:rsid w:val="00A8478F"/>
    <w:rsid w:val="00A858C4"/>
    <w:rsid w:val="00A9141E"/>
    <w:rsid w:val="00A9341B"/>
    <w:rsid w:val="00A974CA"/>
    <w:rsid w:val="00A97E12"/>
    <w:rsid w:val="00AA2CD5"/>
    <w:rsid w:val="00AA4F6C"/>
    <w:rsid w:val="00AA5D61"/>
    <w:rsid w:val="00AB16AE"/>
    <w:rsid w:val="00AB28B9"/>
    <w:rsid w:val="00AB392A"/>
    <w:rsid w:val="00AB5801"/>
    <w:rsid w:val="00AB5A64"/>
    <w:rsid w:val="00AB71A5"/>
    <w:rsid w:val="00AB76C6"/>
    <w:rsid w:val="00AB79E9"/>
    <w:rsid w:val="00AC3C69"/>
    <w:rsid w:val="00AC5567"/>
    <w:rsid w:val="00AD04F4"/>
    <w:rsid w:val="00AD576C"/>
    <w:rsid w:val="00AD5859"/>
    <w:rsid w:val="00AD670F"/>
    <w:rsid w:val="00AD6C71"/>
    <w:rsid w:val="00AE0FDF"/>
    <w:rsid w:val="00AE1E4B"/>
    <w:rsid w:val="00AE1E54"/>
    <w:rsid w:val="00AE2AFD"/>
    <w:rsid w:val="00AE4372"/>
    <w:rsid w:val="00AE478A"/>
    <w:rsid w:val="00AF0C8D"/>
    <w:rsid w:val="00B00778"/>
    <w:rsid w:val="00B04E8C"/>
    <w:rsid w:val="00B050C0"/>
    <w:rsid w:val="00B05642"/>
    <w:rsid w:val="00B06097"/>
    <w:rsid w:val="00B10045"/>
    <w:rsid w:val="00B100DF"/>
    <w:rsid w:val="00B10CAE"/>
    <w:rsid w:val="00B12189"/>
    <w:rsid w:val="00B12190"/>
    <w:rsid w:val="00B1294B"/>
    <w:rsid w:val="00B137C3"/>
    <w:rsid w:val="00B161A6"/>
    <w:rsid w:val="00B171BB"/>
    <w:rsid w:val="00B21240"/>
    <w:rsid w:val="00B2247A"/>
    <w:rsid w:val="00B31302"/>
    <w:rsid w:val="00B36551"/>
    <w:rsid w:val="00B36E9E"/>
    <w:rsid w:val="00B40E38"/>
    <w:rsid w:val="00B45C9E"/>
    <w:rsid w:val="00B5003D"/>
    <w:rsid w:val="00B5034D"/>
    <w:rsid w:val="00B51ACE"/>
    <w:rsid w:val="00B54C66"/>
    <w:rsid w:val="00B57449"/>
    <w:rsid w:val="00B606B4"/>
    <w:rsid w:val="00B619AA"/>
    <w:rsid w:val="00B623D7"/>
    <w:rsid w:val="00B64417"/>
    <w:rsid w:val="00B66E7A"/>
    <w:rsid w:val="00B74F97"/>
    <w:rsid w:val="00B806D0"/>
    <w:rsid w:val="00B8096A"/>
    <w:rsid w:val="00B84C27"/>
    <w:rsid w:val="00B91564"/>
    <w:rsid w:val="00B9206A"/>
    <w:rsid w:val="00B9279E"/>
    <w:rsid w:val="00BA1CFA"/>
    <w:rsid w:val="00BA4284"/>
    <w:rsid w:val="00BA6BCA"/>
    <w:rsid w:val="00BA7AC3"/>
    <w:rsid w:val="00BB13DA"/>
    <w:rsid w:val="00BB20A2"/>
    <w:rsid w:val="00BC1029"/>
    <w:rsid w:val="00BC2720"/>
    <w:rsid w:val="00BC4728"/>
    <w:rsid w:val="00BC4BF4"/>
    <w:rsid w:val="00BC60B3"/>
    <w:rsid w:val="00BD2253"/>
    <w:rsid w:val="00BD2C07"/>
    <w:rsid w:val="00BD7496"/>
    <w:rsid w:val="00BE042D"/>
    <w:rsid w:val="00BE2B72"/>
    <w:rsid w:val="00BE4802"/>
    <w:rsid w:val="00BE7212"/>
    <w:rsid w:val="00BF0D7C"/>
    <w:rsid w:val="00BF331F"/>
    <w:rsid w:val="00C053A4"/>
    <w:rsid w:val="00C05CC6"/>
    <w:rsid w:val="00C068C7"/>
    <w:rsid w:val="00C073C2"/>
    <w:rsid w:val="00C13C12"/>
    <w:rsid w:val="00C149E9"/>
    <w:rsid w:val="00C160F4"/>
    <w:rsid w:val="00C20F99"/>
    <w:rsid w:val="00C2120D"/>
    <w:rsid w:val="00C215E7"/>
    <w:rsid w:val="00C233E9"/>
    <w:rsid w:val="00C2605C"/>
    <w:rsid w:val="00C26C5B"/>
    <w:rsid w:val="00C2711B"/>
    <w:rsid w:val="00C27ED8"/>
    <w:rsid w:val="00C303B4"/>
    <w:rsid w:val="00C365EA"/>
    <w:rsid w:val="00C40EBC"/>
    <w:rsid w:val="00C41265"/>
    <w:rsid w:val="00C4202E"/>
    <w:rsid w:val="00C42ACA"/>
    <w:rsid w:val="00C51308"/>
    <w:rsid w:val="00C51F78"/>
    <w:rsid w:val="00C539F8"/>
    <w:rsid w:val="00C53A47"/>
    <w:rsid w:val="00C55FDA"/>
    <w:rsid w:val="00C57BB9"/>
    <w:rsid w:val="00C606F6"/>
    <w:rsid w:val="00C6082E"/>
    <w:rsid w:val="00C6086E"/>
    <w:rsid w:val="00C61699"/>
    <w:rsid w:val="00C62B02"/>
    <w:rsid w:val="00C64908"/>
    <w:rsid w:val="00C6605C"/>
    <w:rsid w:val="00C66A30"/>
    <w:rsid w:val="00C704AF"/>
    <w:rsid w:val="00C705B5"/>
    <w:rsid w:val="00C7093C"/>
    <w:rsid w:val="00C70DA1"/>
    <w:rsid w:val="00C7294D"/>
    <w:rsid w:val="00C738BD"/>
    <w:rsid w:val="00C75D40"/>
    <w:rsid w:val="00C8131A"/>
    <w:rsid w:val="00C83627"/>
    <w:rsid w:val="00C85E44"/>
    <w:rsid w:val="00C90C01"/>
    <w:rsid w:val="00C92F94"/>
    <w:rsid w:val="00C95D81"/>
    <w:rsid w:val="00C960AA"/>
    <w:rsid w:val="00CA121E"/>
    <w:rsid w:val="00CA433F"/>
    <w:rsid w:val="00CA501D"/>
    <w:rsid w:val="00CA55C4"/>
    <w:rsid w:val="00CB0060"/>
    <w:rsid w:val="00CB1789"/>
    <w:rsid w:val="00CB1CB2"/>
    <w:rsid w:val="00CB2557"/>
    <w:rsid w:val="00CB3D8F"/>
    <w:rsid w:val="00CB44C4"/>
    <w:rsid w:val="00CB47FE"/>
    <w:rsid w:val="00CB4D35"/>
    <w:rsid w:val="00CB6703"/>
    <w:rsid w:val="00CC1FFF"/>
    <w:rsid w:val="00CC39B1"/>
    <w:rsid w:val="00CC3D90"/>
    <w:rsid w:val="00CC467E"/>
    <w:rsid w:val="00CD0175"/>
    <w:rsid w:val="00CD526B"/>
    <w:rsid w:val="00CD5B93"/>
    <w:rsid w:val="00CD6139"/>
    <w:rsid w:val="00CD6F31"/>
    <w:rsid w:val="00CD7039"/>
    <w:rsid w:val="00CD7EE2"/>
    <w:rsid w:val="00CE3B32"/>
    <w:rsid w:val="00CE4A24"/>
    <w:rsid w:val="00CE6056"/>
    <w:rsid w:val="00CE613B"/>
    <w:rsid w:val="00CE7403"/>
    <w:rsid w:val="00CF0826"/>
    <w:rsid w:val="00CF0D8A"/>
    <w:rsid w:val="00CF267F"/>
    <w:rsid w:val="00CF547A"/>
    <w:rsid w:val="00CF5841"/>
    <w:rsid w:val="00CF674D"/>
    <w:rsid w:val="00CF7DA0"/>
    <w:rsid w:val="00D0312C"/>
    <w:rsid w:val="00D04614"/>
    <w:rsid w:val="00D11E4F"/>
    <w:rsid w:val="00D1723F"/>
    <w:rsid w:val="00D26104"/>
    <w:rsid w:val="00D261E8"/>
    <w:rsid w:val="00D26B64"/>
    <w:rsid w:val="00D30330"/>
    <w:rsid w:val="00D30AA4"/>
    <w:rsid w:val="00D30CE5"/>
    <w:rsid w:val="00D3623A"/>
    <w:rsid w:val="00D3674A"/>
    <w:rsid w:val="00D40383"/>
    <w:rsid w:val="00D4085D"/>
    <w:rsid w:val="00D428F4"/>
    <w:rsid w:val="00D434F3"/>
    <w:rsid w:val="00D436E8"/>
    <w:rsid w:val="00D46E83"/>
    <w:rsid w:val="00D51386"/>
    <w:rsid w:val="00D52914"/>
    <w:rsid w:val="00D5485B"/>
    <w:rsid w:val="00D57346"/>
    <w:rsid w:val="00D61911"/>
    <w:rsid w:val="00D62258"/>
    <w:rsid w:val="00D625A7"/>
    <w:rsid w:val="00D640CA"/>
    <w:rsid w:val="00D677F9"/>
    <w:rsid w:val="00D67B42"/>
    <w:rsid w:val="00D702F1"/>
    <w:rsid w:val="00D729FA"/>
    <w:rsid w:val="00D7336A"/>
    <w:rsid w:val="00D73591"/>
    <w:rsid w:val="00D776A6"/>
    <w:rsid w:val="00D77914"/>
    <w:rsid w:val="00D802FC"/>
    <w:rsid w:val="00D8532B"/>
    <w:rsid w:val="00D85463"/>
    <w:rsid w:val="00D941D8"/>
    <w:rsid w:val="00D973A5"/>
    <w:rsid w:val="00DA205D"/>
    <w:rsid w:val="00DA2C1F"/>
    <w:rsid w:val="00DA6159"/>
    <w:rsid w:val="00DA6BD7"/>
    <w:rsid w:val="00DA7233"/>
    <w:rsid w:val="00DB3C9D"/>
    <w:rsid w:val="00DB4E56"/>
    <w:rsid w:val="00DB6971"/>
    <w:rsid w:val="00DC4D62"/>
    <w:rsid w:val="00DC50E5"/>
    <w:rsid w:val="00DC5236"/>
    <w:rsid w:val="00DC76C7"/>
    <w:rsid w:val="00DE04B6"/>
    <w:rsid w:val="00DE311A"/>
    <w:rsid w:val="00DE36EB"/>
    <w:rsid w:val="00DE4A6C"/>
    <w:rsid w:val="00DE4DCF"/>
    <w:rsid w:val="00DE64C1"/>
    <w:rsid w:val="00DF4FCE"/>
    <w:rsid w:val="00DF5BAB"/>
    <w:rsid w:val="00E01685"/>
    <w:rsid w:val="00E02A54"/>
    <w:rsid w:val="00E04B8A"/>
    <w:rsid w:val="00E06E91"/>
    <w:rsid w:val="00E10555"/>
    <w:rsid w:val="00E11087"/>
    <w:rsid w:val="00E11895"/>
    <w:rsid w:val="00E11F51"/>
    <w:rsid w:val="00E16E0A"/>
    <w:rsid w:val="00E17C18"/>
    <w:rsid w:val="00E204BB"/>
    <w:rsid w:val="00E220BC"/>
    <w:rsid w:val="00E31096"/>
    <w:rsid w:val="00E32190"/>
    <w:rsid w:val="00E32C80"/>
    <w:rsid w:val="00E33938"/>
    <w:rsid w:val="00E33F03"/>
    <w:rsid w:val="00E34452"/>
    <w:rsid w:val="00E354D8"/>
    <w:rsid w:val="00E35719"/>
    <w:rsid w:val="00E3658A"/>
    <w:rsid w:val="00E3706A"/>
    <w:rsid w:val="00E3738B"/>
    <w:rsid w:val="00E37446"/>
    <w:rsid w:val="00E37730"/>
    <w:rsid w:val="00E4099E"/>
    <w:rsid w:val="00E456AA"/>
    <w:rsid w:val="00E5201F"/>
    <w:rsid w:val="00E53DFB"/>
    <w:rsid w:val="00E56F1C"/>
    <w:rsid w:val="00E579FF"/>
    <w:rsid w:val="00E6698B"/>
    <w:rsid w:val="00E716FE"/>
    <w:rsid w:val="00E7195E"/>
    <w:rsid w:val="00E72F4A"/>
    <w:rsid w:val="00E7467D"/>
    <w:rsid w:val="00E81CB2"/>
    <w:rsid w:val="00E82115"/>
    <w:rsid w:val="00E8284B"/>
    <w:rsid w:val="00E832FF"/>
    <w:rsid w:val="00E83448"/>
    <w:rsid w:val="00E838D3"/>
    <w:rsid w:val="00E85B0F"/>
    <w:rsid w:val="00E87AC3"/>
    <w:rsid w:val="00E90AEC"/>
    <w:rsid w:val="00E90BF8"/>
    <w:rsid w:val="00E92C8A"/>
    <w:rsid w:val="00E92EDC"/>
    <w:rsid w:val="00E9346D"/>
    <w:rsid w:val="00E94D6E"/>
    <w:rsid w:val="00E95CCF"/>
    <w:rsid w:val="00EA21BF"/>
    <w:rsid w:val="00EA5084"/>
    <w:rsid w:val="00EA594C"/>
    <w:rsid w:val="00EA7329"/>
    <w:rsid w:val="00EA7A1C"/>
    <w:rsid w:val="00EB4F0C"/>
    <w:rsid w:val="00EB5170"/>
    <w:rsid w:val="00EB7EDA"/>
    <w:rsid w:val="00EC04E3"/>
    <w:rsid w:val="00EC3E78"/>
    <w:rsid w:val="00EC5206"/>
    <w:rsid w:val="00EC5D22"/>
    <w:rsid w:val="00EC5D2E"/>
    <w:rsid w:val="00ED0175"/>
    <w:rsid w:val="00ED0AC8"/>
    <w:rsid w:val="00ED2AC4"/>
    <w:rsid w:val="00ED4036"/>
    <w:rsid w:val="00ED5D30"/>
    <w:rsid w:val="00EE041B"/>
    <w:rsid w:val="00EE57AC"/>
    <w:rsid w:val="00EE74C4"/>
    <w:rsid w:val="00EE7D29"/>
    <w:rsid w:val="00EF33DE"/>
    <w:rsid w:val="00EF54AA"/>
    <w:rsid w:val="00EF6486"/>
    <w:rsid w:val="00EF72D4"/>
    <w:rsid w:val="00F02AA4"/>
    <w:rsid w:val="00F041E2"/>
    <w:rsid w:val="00F11729"/>
    <w:rsid w:val="00F11A23"/>
    <w:rsid w:val="00F11DDE"/>
    <w:rsid w:val="00F120E6"/>
    <w:rsid w:val="00F12ACD"/>
    <w:rsid w:val="00F16589"/>
    <w:rsid w:val="00F2068C"/>
    <w:rsid w:val="00F21844"/>
    <w:rsid w:val="00F234AB"/>
    <w:rsid w:val="00F24210"/>
    <w:rsid w:val="00F24478"/>
    <w:rsid w:val="00F25A71"/>
    <w:rsid w:val="00F25B49"/>
    <w:rsid w:val="00F31DE0"/>
    <w:rsid w:val="00F3245D"/>
    <w:rsid w:val="00F34E70"/>
    <w:rsid w:val="00F4377A"/>
    <w:rsid w:val="00F46237"/>
    <w:rsid w:val="00F47765"/>
    <w:rsid w:val="00F501C6"/>
    <w:rsid w:val="00F528B2"/>
    <w:rsid w:val="00F630DB"/>
    <w:rsid w:val="00F630EF"/>
    <w:rsid w:val="00F6403E"/>
    <w:rsid w:val="00F65053"/>
    <w:rsid w:val="00F700BB"/>
    <w:rsid w:val="00F701B6"/>
    <w:rsid w:val="00F71346"/>
    <w:rsid w:val="00F715F2"/>
    <w:rsid w:val="00F730C7"/>
    <w:rsid w:val="00F76C87"/>
    <w:rsid w:val="00F8090F"/>
    <w:rsid w:val="00F843EB"/>
    <w:rsid w:val="00F8684A"/>
    <w:rsid w:val="00F94C3D"/>
    <w:rsid w:val="00F95D26"/>
    <w:rsid w:val="00F979C5"/>
    <w:rsid w:val="00FA0CBF"/>
    <w:rsid w:val="00FA0E45"/>
    <w:rsid w:val="00FA17DF"/>
    <w:rsid w:val="00FA27AF"/>
    <w:rsid w:val="00FA2EC0"/>
    <w:rsid w:val="00FA46C8"/>
    <w:rsid w:val="00FA4E87"/>
    <w:rsid w:val="00FA64FD"/>
    <w:rsid w:val="00FA71A8"/>
    <w:rsid w:val="00FB34F2"/>
    <w:rsid w:val="00FB4200"/>
    <w:rsid w:val="00FB4917"/>
    <w:rsid w:val="00FB4C24"/>
    <w:rsid w:val="00FB5750"/>
    <w:rsid w:val="00FB6A2E"/>
    <w:rsid w:val="00FB6A9D"/>
    <w:rsid w:val="00FC055C"/>
    <w:rsid w:val="00FC2224"/>
    <w:rsid w:val="00FC4785"/>
    <w:rsid w:val="00FD2072"/>
    <w:rsid w:val="00FD4437"/>
    <w:rsid w:val="00FD52D3"/>
    <w:rsid w:val="00FE1CC8"/>
    <w:rsid w:val="00FE26A5"/>
    <w:rsid w:val="00FE347C"/>
    <w:rsid w:val="00FE4A16"/>
    <w:rsid w:val="00FF502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1C148B19-2095-4FD1-8C48-143B3C74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2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tabs>
        <w:tab w:val="num" w:pos="283"/>
        <w:tab w:val="num" w:pos="566"/>
      </w:tabs>
      <w:ind w:left="566" w:hanging="283"/>
    </w:pPr>
  </w:style>
  <w:style w:type="paragraph" w:customStyle="1" w:styleId="Dash">
    <w:name w:val="Dash"/>
    <w:basedOn w:val="Normal"/>
    <w:rsid w:val="00D51386"/>
    <w:pPr>
      <w:numPr>
        <w:ilvl w:val="1"/>
        <w:numId w:val="5"/>
      </w:numPr>
      <w:tabs>
        <w:tab w:val="num" w:pos="567"/>
        <w:tab w:val="num" w:pos="850"/>
      </w:tabs>
      <w:ind w:left="850" w:hanging="284"/>
    </w:pPr>
  </w:style>
  <w:style w:type="paragraph" w:customStyle="1" w:styleId="DoubleDot">
    <w:name w:val="Double Dot"/>
    <w:basedOn w:val="Normal"/>
    <w:rsid w:val="00D51386"/>
    <w:pPr>
      <w:numPr>
        <w:ilvl w:val="2"/>
        <w:numId w:val="5"/>
      </w:numPr>
      <w:tabs>
        <w:tab w:val="num" w:pos="850"/>
        <w:tab w:val="num" w:pos="1133"/>
      </w:tabs>
      <w:ind w:left="1133" w:hanging="283"/>
    </w:pPr>
  </w:style>
  <w:style w:type="paragraph" w:customStyle="1" w:styleId="OutlineNumbered1">
    <w:name w:val="Outline Numbered 1"/>
    <w:basedOn w:val="Normal"/>
    <w:rsid w:val="00D51386"/>
    <w:pPr>
      <w:numPr>
        <w:numId w:val="2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3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5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4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4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4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6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6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6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D51386"/>
    <w:pPr>
      <w:numPr>
        <w:numId w:val="1"/>
      </w:numPr>
    </w:pPr>
  </w:style>
  <w:style w:type="paragraph" w:customStyle="1" w:styleId="Romannumeral">
    <w:name w:val="Roman numeral"/>
    <w:basedOn w:val="Normal"/>
    <w:rsid w:val="00D51386"/>
    <w:pPr>
      <w:numPr>
        <w:numId w:val="10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3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tabs>
        <w:tab w:val="clear" w:pos="283"/>
      </w:tabs>
      <w:spacing w:before="40" w:after="60"/>
      <w:ind w:left="0" w:firstLine="0"/>
    </w:pPr>
  </w:style>
  <w:style w:type="paragraph" w:customStyle="1" w:styleId="ScheduleList">
    <w:name w:val="ScheduleList"/>
    <w:basedOn w:val="Normal"/>
    <w:rsid w:val="00D51386"/>
    <w:pPr>
      <w:numPr>
        <w:numId w:val="7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567"/>
        <w:tab w:val="num" w:pos="850"/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3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8"/>
      </w:numPr>
    </w:pPr>
  </w:style>
  <w:style w:type="paragraph" w:customStyle="1" w:styleId="AgreementParties">
    <w:name w:val="AgreementParties"/>
    <w:rsid w:val="00D51386"/>
    <w:pPr>
      <w:numPr>
        <w:numId w:val="11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5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6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7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7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7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7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7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7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7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7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7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List Bullet Cab,CAB - List Bullet,Bullet point,Bullets,CV text,Dot pt,F5 List Paragraph,FooterText,L,List Paragraph1,List Paragraph11,List Paragraph111,List Paragraph2,Medium Grid 1 - Accent 21,NAST Quote,NFP GP Bulleted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ListParagraphChar">
    <w:name w:val="List Paragraph Char"/>
    <w:aliases w:val="List Bullet Cab Char,CAB - List Bullet Char,Bullet point Char,Bullets Char,CV text Char,Dot pt Char,F5 List Paragraph Char,FooterText Char,L Char,List Paragraph1 Char,List Paragraph11 Char,List Paragraph111 Char,List Paragraph2 Char"/>
    <w:basedOn w:val="DefaultParagraphFont"/>
    <w:link w:val="ListParagraph"/>
    <w:uiPriority w:val="34"/>
    <w:qFormat/>
    <w:locked/>
    <w:rsid w:val="0015322C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417A7B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/>
    <_dlc_DocId xmlns="0f563589-9cf9-4143-b1eb-fb0534803d38">2020FG-64-85634</_dlc_DocId>
    <_dlc_DocIdUrl xmlns="0f563589-9cf9-4143-b1eb-fb0534803d38">
      <Url>http://tweb/sites/fg/csrd/_layouts/15/DocIdRedir.aspx?ID=2020FG-64-85634</Url>
      <Description>2020FG-64-85634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235" ma:contentTypeDescription=" " ma:contentTypeScope="" ma:versionID="631628baa2cd0761122b48b9e87bb5e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F16F-EE6F-4EC9-AE7B-F49F11DE3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3CAD7-739C-4C8D-AB0D-E96437DBE1A5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C293F6-70F8-4267-BBC7-D8AA8AB556E2}"/>
</file>

<file path=customXml/itemProps4.xml><?xml version="1.0" encoding="utf-8"?>
<ds:datastoreItem xmlns:ds="http://schemas.openxmlformats.org/officeDocument/2006/customXml" ds:itemID="{CE8CEB83-4C75-4DD8-BCB3-D3B63BA071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6CA73D-198C-4219-ADE7-E1E176A05B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653ADB8-46C2-4FE4-A9D4-3E6C807309BB}"/>
</file>

<file path=customXml/itemProps7.xml><?xml version="1.0" encoding="utf-8"?>
<ds:datastoreItem xmlns:ds="http://schemas.openxmlformats.org/officeDocument/2006/customXml" ds:itemID="{723F9EDF-922E-4B09-BA7B-1254DB2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</TotalTime>
  <Pages>7</Pages>
  <Words>1624</Words>
  <Characters>9113</Characters>
  <Application>Microsoft Office Word</Application>
  <DocSecurity>0</DocSecurity>
  <Lines>266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City Deal: Education and Community Precinct</vt:lpstr>
    </vt:vector>
  </TitlesOfParts>
  <Company>Australian Government - The Treasury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City Deal: Education and Community Precinct</dc:title>
  <dc:subject>Infrastructure Project Agreement</dc:subject>
  <dc:creator>Council of Australian Governments</dc:creator>
  <cp:keywords> [SEC=OFFICIAL]</cp:keywords>
  <dc:description/>
  <cp:lastModifiedBy>Thomas, Deborah</cp:lastModifiedBy>
  <cp:revision>5</cp:revision>
  <cp:lastPrinted>2020-05-01T04:18:00Z</cp:lastPrinted>
  <dcterms:created xsi:type="dcterms:W3CDTF">2020-07-08T01:30:00Z</dcterms:created>
  <dcterms:modified xsi:type="dcterms:W3CDTF">2020-07-08T01:34:00Z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23242DB7E1F743268B031BFDCE8A357D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38133F7C5BF999D570FB0D312BE67AEC121E5FF8</vt:lpwstr>
  </property>
  <property fmtid="{D5CDD505-2E9C-101B-9397-08002B2CF9AE}" pid="11" name="PM_OriginationTimeStamp">
    <vt:lpwstr>2020-07-08T01:34:04Z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85693D234EC0207CBD28B7E61DD23E19</vt:lpwstr>
  </property>
  <property fmtid="{D5CDD505-2E9C-101B-9397-08002B2CF9AE}" pid="20" name="PM_Hash_Salt">
    <vt:lpwstr>2959F5F953C77E85C3749A2D49240AEA</vt:lpwstr>
  </property>
  <property fmtid="{D5CDD505-2E9C-101B-9397-08002B2CF9AE}" pid="21" name="PM_Hash_SHA1">
    <vt:lpwstr>98D5F5554DA13EF075B40C9117FE7030DA73E573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0x010100348D01E61E107C4DA4B97E380EA20D47005CDF45B49E80F24CAD80DFC012154DA9</vt:lpwstr>
  </property>
  <property fmtid="{D5CDD505-2E9C-101B-9397-08002B2CF9AE}" pid="25" name="TSYRecordClass">
    <vt:lpwstr>2;#TSY RA-8748 - Retain as national archives|243f2231-dbfc-4282-b24a-c9b768286bd0</vt:lpwstr>
  </property>
  <property fmtid="{D5CDD505-2E9C-101B-9397-08002B2CF9AE}" pid="26" name="RecordPoint_WorkflowType">
    <vt:lpwstr>ActiveSubmitStub</vt:lpwstr>
  </property>
  <property fmtid="{D5CDD505-2E9C-101B-9397-08002B2CF9AE}" pid="27" name="_dlc_DocIdItemGuid">
    <vt:lpwstr>8a1250c2-5cae-4c80-8f99-fc6004d957a5</vt:lpwstr>
  </property>
  <property fmtid="{D5CDD505-2E9C-101B-9397-08002B2CF9AE}" pid="28" name="RecordPoint_ActiveItemWebId">
    <vt:lpwstr>{a4589788-615f-4b8b-8296-7f9f6dfbab44}</vt:lpwstr>
  </property>
  <property fmtid="{D5CDD505-2E9C-101B-9397-08002B2CF9AE}" pid="29" name="RecordPoint_ActiveItemSiteId">
    <vt:lpwstr>{a3a280d1-e8f1-4ce7-94f0-aaa2322da0dd}</vt:lpwstr>
  </property>
  <property fmtid="{D5CDD505-2E9C-101B-9397-08002B2CF9AE}" pid="30" name="RecordPoint_ActiveItemListId">
    <vt:lpwstr>{4435c73b-6585-4bc2-a76a-5d21b1a02e06}</vt:lpwstr>
  </property>
  <property fmtid="{D5CDD505-2E9C-101B-9397-08002B2CF9AE}" pid="31" name="RecordPoint_ActiveItemUniqueId">
    <vt:lpwstr>{8a1250c2-5cae-4c80-8f99-fc6004d957a5}</vt:lpwstr>
  </property>
</Properties>
</file>