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people.xml" ContentType="application/vnd.openxmlformats-officedocument.wordprocessingml.peop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6EA52" w14:textId="0B153B93" w:rsidR="003E00B6" w:rsidRDefault="003E00B6" w:rsidP="003E52FB">
      <w:pPr>
        <w:pStyle w:val="Heading9"/>
      </w:pPr>
      <w:r>
        <w:t xml:space="preserve">Schedule </w:t>
      </w:r>
      <w:r w:rsidR="00B6163F">
        <w:t>E6</w:t>
      </w:r>
    </w:p>
    <w:p w14:paraId="34380496" w14:textId="7298F778" w:rsidR="003E00B6" w:rsidRDefault="00667077" w:rsidP="00AB530D">
      <w:pPr>
        <w:pStyle w:val="Title"/>
        <w:jc w:val="both"/>
      </w:pPr>
      <w:r>
        <w:t>T</w:t>
      </w:r>
      <w:r w:rsidR="004055CE">
        <w:t>asmania</w:t>
      </w:r>
      <w:bookmarkStart w:id="0" w:name="_GoBack"/>
      <w:bookmarkEnd w:id="0"/>
    </w:p>
    <w:p w14:paraId="6414BC31" w14:textId="77777777" w:rsidR="003E00B6" w:rsidRDefault="003E00B6" w:rsidP="00AB530D">
      <w:pPr>
        <w:pStyle w:val="Subtitle"/>
        <w:jc w:val="both"/>
      </w:pPr>
      <w:r>
        <w:t>National housing and homelessness agreement</w:t>
      </w:r>
    </w:p>
    <w:p w14:paraId="0A848B81" w14:textId="6C45CD72" w:rsidR="003E00B6" w:rsidRDefault="003E00B6" w:rsidP="00AB530D">
      <w:pPr>
        <w:pStyle w:val="Heading1"/>
        <w:spacing w:before="240"/>
        <w:jc w:val="both"/>
      </w:pPr>
      <w:r>
        <w:t>Preliminaries</w:t>
      </w:r>
    </w:p>
    <w:p w14:paraId="0B21C3B7" w14:textId="77777777" w:rsidR="00730D95" w:rsidRDefault="003E00B6" w:rsidP="00AB530D">
      <w:pPr>
        <w:pStyle w:val="Normalnumbered"/>
        <w:numPr>
          <w:ilvl w:val="0"/>
          <w:numId w:val="3"/>
        </w:numPr>
      </w:pPr>
      <w:bookmarkStart w:id="1" w:name="PART_2:_FORMALITIES"/>
      <w:bookmarkStart w:id="2" w:name="PART_3:_FINANCIAL_ARRANGEMENTS"/>
      <w:bookmarkStart w:id="3" w:name="PART_1:_PRELIMINARIES"/>
      <w:bookmarkEnd w:id="1"/>
      <w:bookmarkEnd w:id="2"/>
      <w:bookmarkEnd w:id="3"/>
      <w:r>
        <w:t xml:space="preserve">This Schedule is an agreement that is a supplementary housing agreement for the purposes of section </w:t>
      </w:r>
      <w:r w:rsidR="003F227C">
        <w:t>15C</w:t>
      </w:r>
      <w:r>
        <w:t xml:space="preserve"> of the FFR Act. </w:t>
      </w:r>
    </w:p>
    <w:p w14:paraId="4E7084A2" w14:textId="6012A1DC" w:rsidR="00730D95" w:rsidRDefault="00730D95" w:rsidP="00AB530D">
      <w:pPr>
        <w:pStyle w:val="Normalnumbered"/>
        <w:numPr>
          <w:ilvl w:val="0"/>
          <w:numId w:val="3"/>
        </w:numPr>
      </w:pPr>
      <w:r w:rsidRPr="00DE58EE">
        <w:t>Th</w:t>
      </w:r>
      <w:r>
        <w:t>is</w:t>
      </w:r>
      <w:r w:rsidRPr="00DE58EE">
        <w:t xml:space="preserve"> </w:t>
      </w:r>
      <w:r w:rsidR="00005B9C">
        <w:t>Schedule</w:t>
      </w:r>
      <w:r w:rsidRPr="00DE58EE">
        <w:t xml:space="preserve"> will commence as soon as the Commonwealth and </w:t>
      </w:r>
      <w:r w:rsidR="00667077">
        <w:t>Tasmania</w:t>
      </w:r>
      <w:r>
        <w:t xml:space="preserve"> </w:t>
      </w:r>
      <w:r w:rsidRPr="00DE58EE">
        <w:t>sign</w:t>
      </w:r>
      <w:r>
        <w:t xml:space="preserve"> this and </w:t>
      </w:r>
      <w:r w:rsidR="00005B9C">
        <w:t>the Agreement</w:t>
      </w:r>
      <w:r w:rsidRPr="00DE58EE">
        <w:t xml:space="preserve">. </w:t>
      </w:r>
    </w:p>
    <w:p w14:paraId="4D9D0BD9" w14:textId="523FC809" w:rsidR="00730D95" w:rsidRPr="004055CE" w:rsidRDefault="00730D95" w:rsidP="00AB530D">
      <w:pPr>
        <w:pStyle w:val="Normalnumbered"/>
        <w:numPr>
          <w:ilvl w:val="0"/>
          <w:numId w:val="3"/>
        </w:numPr>
        <w:rPr>
          <w:szCs w:val="23"/>
        </w:rPr>
      </w:pPr>
      <w:r w:rsidRPr="00DE58EE">
        <w:t xml:space="preserve">Unless terminated earlier or extended as agreed in writing by the Parties, </w:t>
      </w:r>
      <w:r>
        <w:t xml:space="preserve">this </w:t>
      </w:r>
      <w:r w:rsidR="00005B9C">
        <w:rPr>
          <w:szCs w:val="23"/>
        </w:rPr>
        <w:t>Schedule</w:t>
      </w:r>
      <w:r w:rsidRPr="004055CE">
        <w:rPr>
          <w:szCs w:val="23"/>
        </w:rPr>
        <w:t xml:space="preserve"> will:</w:t>
      </w:r>
    </w:p>
    <w:p w14:paraId="60C845E4" w14:textId="77777777" w:rsidR="00667077" w:rsidRPr="004055CE" w:rsidRDefault="00667077" w:rsidP="00AB530D">
      <w:pPr>
        <w:pStyle w:val="DoubleDot"/>
        <w:numPr>
          <w:ilvl w:val="2"/>
          <w:numId w:val="3"/>
        </w:numPr>
        <w:jc w:val="both"/>
        <w:rPr>
          <w:rFonts w:ascii="Corbel" w:hAnsi="Corbel"/>
          <w:sz w:val="23"/>
          <w:szCs w:val="23"/>
        </w:rPr>
      </w:pPr>
      <w:r w:rsidRPr="004055CE">
        <w:rPr>
          <w:rFonts w:ascii="Corbel" w:hAnsi="Corbel"/>
          <w:sz w:val="23"/>
          <w:szCs w:val="23"/>
        </w:rPr>
        <w:t>expire no later than 30 June 2023; and</w:t>
      </w:r>
    </w:p>
    <w:p w14:paraId="7E2E2EB1" w14:textId="77777777" w:rsidR="00667077" w:rsidRPr="004055CE" w:rsidRDefault="00667077" w:rsidP="00AB530D">
      <w:pPr>
        <w:pStyle w:val="DoubleDot"/>
        <w:numPr>
          <w:ilvl w:val="2"/>
          <w:numId w:val="3"/>
        </w:numPr>
        <w:jc w:val="both"/>
        <w:rPr>
          <w:rFonts w:ascii="Corbel" w:hAnsi="Corbel"/>
          <w:sz w:val="23"/>
          <w:szCs w:val="23"/>
        </w:rPr>
      </w:pPr>
      <w:r w:rsidRPr="004055CE">
        <w:rPr>
          <w:rFonts w:ascii="Corbel" w:hAnsi="Corbel"/>
          <w:sz w:val="23"/>
          <w:szCs w:val="23"/>
        </w:rPr>
        <w:t>be replaced for further terms of up to five years by the written agreement of the Parties.</w:t>
      </w:r>
    </w:p>
    <w:p w14:paraId="7B82E3A9" w14:textId="73E9DB7B" w:rsidR="00667077" w:rsidRPr="004055CE" w:rsidRDefault="00667077" w:rsidP="00AB530D">
      <w:pPr>
        <w:pStyle w:val="Dash"/>
        <w:numPr>
          <w:ilvl w:val="0"/>
          <w:numId w:val="3"/>
        </w:numPr>
        <w:jc w:val="both"/>
        <w:rPr>
          <w:rFonts w:ascii="Corbel" w:hAnsi="Corbel"/>
          <w:sz w:val="23"/>
          <w:szCs w:val="23"/>
        </w:rPr>
      </w:pPr>
      <w:r w:rsidRPr="004055CE">
        <w:rPr>
          <w:rFonts w:ascii="Corbel" w:hAnsi="Corbel"/>
          <w:sz w:val="23"/>
          <w:szCs w:val="23"/>
        </w:rPr>
        <w:t xml:space="preserve">A Party to this </w:t>
      </w:r>
      <w:r w:rsidR="00005B9C">
        <w:rPr>
          <w:rFonts w:ascii="Corbel" w:hAnsi="Corbel"/>
          <w:sz w:val="23"/>
          <w:szCs w:val="23"/>
        </w:rPr>
        <w:t>Schedule</w:t>
      </w:r>
      <w:r w:rsidRPr="004055CE">
        <w:rPr>
          <w:rFonts w:ascii="Corbel" w:hAnsi="Corbel"/>
          <w:sz w:val="23"/>
          <w:szCs w:val="23"/>
        </w:rPr>
        <w:t xml:space="preserve"> may terminate their participation in the Agreement at any time by giving 12 months’ notice of intention to do so, in writing, to the other Party.</w:t>
      </w:r>
    </w:p>
    <w:p w14:paraId="6764C98C" w14:textId="6D95F232" w:rsidR="00667077" w:rsidRPr="004055CE" w:rsidRDefault="00667077" w:rsidP="00AB530D">
      <w:pPr>
        <w:pStyle w:val="Dash"/>
        <w:numPr>
          <w:ilvl w:val="0"/>
          <w:numId w:val="3"/>
        </w:numPr>
        <w:jc w:val="both"/>
        <w:rPr>
          <w:rFonts w:ascii="Corbel" w:hAnsi="Corbel"/>
          <w:sz w:val="23"/>
          <w:szCs w:val="23"/>
        </w:rPr>
      </w:pPr>
      <w:r w:rsidRPr="004055CE">
        <w:rPr>
          <w:rFonts w:ascii="Corbel" w:hAnsi="Corbel"/>
          <w:sz w:val="23"/>
          <w:szCs w:val="23"/>
        </w:rPr>
        <w:t xml:space="preserve">This </w:t>
      </w:r>
      <w:r w:rsidR="00005B9C">
        <w:rPr>
          <w:rFonts w:ascii="Corbel" w:hAnsi="Corbel"/>
          <w:sz w:val="23"/>
          <w:szCs w:val="23"/>
        </w:rPr>
        <w:t>Schedule</w:t>
      </w:r>
      <w:r w:rsidRPr="004055CE">
        <w:rPr>
          <w:rFonts w:ascii="Corbel" w:hAnsi="Corbel"/>
          <w:sz w:val="23"/>
          <w:szCs w:val="23"/>
        </w:rPr>
        <w:t xml:space="preserve"> may be amended at any time by agreement in writing by the relevant Commonwealth and State portfolio ministers.</w:t>
      </w:r>
    </w:p>
    <w:p w14:paraId="2B005F4F" w14:textId="2C795363" w:rsidR="00730D95" w:rsidRPr="001349DD" w:rsidRDefault="00730D95" w:rsidP="001349DD">
      <w:pPr>
        <w:pStyle w:val="Dash"/>
        <w:numPr>
          <w:ilvl w:val="0"/>
          <w:numId w:val="3"/>
        </w:numPr>
        <w:jc w:val="both"/>
        <w:rPr>
          <w:rFonts w:ascii="Corbel" w:hAnsi="Corbel"/>
          <w:sz w:val="23"/>
          <w:szCs w:val="23"/>
        </w:rPr>
      </w:pPr>
      <w:r w:rsidRPr="001349DD">
        <w:rPr>
          <w:rFonts w:ascii="Corbel" w:hAnsi="Corbel"/>
          <w:sz w:val="23"/>
          <w:szCs w:val="23"/>
        </w:rPr>
        <w:t xml:space="preserve">The purpose of this Schedule is to provide an indication of how </w:t>
      </w:r>
      <w:r w:rsidR="00667077" w:rsidRPr="001349DD">
        <w:rPr>
          <w:rFonts w:ascii="Corbel" w:hAnsi="Corbel"/>
          <w:sz w:val="23"/>
          <w:szCs w:val="23"/>
        </w:rPr>
        <w:t xml:space="preserve">Tasmania </w:t>
      </w:r>
      <w:r w:rsidRPr="001349DD">
        <w:rPr>
          <w:rFonts w:ascii="Corbel" w:hAnsi="Corbel"/>
          <w:sz w:val="23"/>
          <w:szCs w:val="23"/>
        </w:rPr>
        <w:t xml:space="preserve">intends to implement the conditions agreed in the </w:t>
      </w:r>
      <w:r w:rsidR="00005B9C">
        <w:rPr>
          <w:rFonts w:ascii="Corbel" w:hAnsi="Corbel"/>
          <w:sz w:val="23"/>
          <w:szCs w:val="23"/>
        </w:rPr>
        <w:t>Agreement</w:t>
      </w:r>
      <w:r w:rsidRPr="001349DD">
        <w:rPr>
          <w:rFonts w:ascii="Corbel" w:hAnsi="Corbel"/>
          <w:sz w:val="23"/>
          <w:szCs w:val="23"/>
        </w:rPr>
        <w:t xml:space="preserve">, including the actions that will be undertaken as stated in </w:t>
      </w:r>
      <w:r w:rsidR="00AB530D" w:rsidRPr="001349DD">
        <w:rPr>
          <w:rFonts w:ascii="Corbel" w:hAnsi="Corbel"/>
          <w:sz w:val="23"/>
          <w:szCs w:val="23"/>
        </w:rPr>
        <w:t>Tasmania’s housing</w:t>
      </w:r>
      <w:r w:rsidRPr="001349DD">
        <w:rPr>
          <w:rFonts w:ascii="Corbel" w:hAnsi="Corbel"/>
          <w:sz w:val="23"/>
          <w:szCs w:val="23"/>
        </w:rPr>
        <w:t xml:space="preserve"> and homelessnes</w:t>
      </w:r>
      <w:r w:rsidR="00667077" w:rsidRPr="001349DD">
        <w:rPr>
          <w:rFonts w:ascii="Corbel" w:hAnsi="Corbel"/>
          <w:sz w:val="23"/>
          <w:szCs w:val="23"/>
        </w:rPr>
        <w:t>s strategy</w:t>
      </w:r>
      <w:r w:rsidRPr="001349DD">
        <w:rPr>
          <w:rFonts w:ascii="Corbel" w:hAnsi="Corbel"/>
          <w:sz w:val="23"/>
          <w:szCs w:val="23"/>
        </w:rPr>
        <w:t>, and a</w:t>
      </w:r>
      <w:r w:rsidR="00667077" w:rsidRPr="001349DD">
        <w:rPr>
          <w:rFonts w:ascii="Corbel" w:hAnsi="Corbel"/>
          <w:sz w:val="23"/>
          <w:szCs w:val="23"/>
        </w:rPr>
        <w:t>ny actions to be undertaken by Tasmania to support the Data Schedule.</w:t>
      </w:r>
    </w:p>
    <w:p w14:paraId="5F1439D5" w14:textId="7FBAB45A" w:rsidR="001B6645" w:rsidRPr="004055CE" w:rsidRDefault="002B384A" w:rsidP="002B384A">
      <w:pPr>
        <w:pStyle w:val="Dash"/>
        <w:numPr>
          <w:ilvl w:val="0"/>
          <w:numId w:val="3"/>
        </w:numPr>
        <w:spacing w:before="240"/>
        <w:jc w:val="both"/>
        <w:rPr>
          <w:rFonts w:ascii="Corbel" w:hAnsi="Corbel"/>
          <w:sz w:val="23"/>
          <w:szCs w:val="23"/>
        </w:rPr>
      </w:pPr>
      <w:r w:rsidRPr="002B384A">
        <w:rPr>
          <w:rFonts w:ascii="Corbel" w:hAnsi="Corbel"/>
          <w:sz w:val="23"/>
          <w:szCs w:val="23"/>
        </w:rPr>
        <w:t xml:space="preserve">To enable payments to commence from 2018-19, </w:t>
      </w:r>
      <w:r>
        <w:rPr>
          <w:rFonts w:ascii="Corbel" w:hAnsi="Corbel"/>
          <w:sz w:val="23"/>
          <w:szCs w:val="23"/>
        </w:rPr>
        <w:t>Tasmania</w:t>
      </w:r>
      <w:r w:rsidRPr="002B384A">
        <w:rPr>
          <w:rFonts w:ascii="Corbel" w:hAnsi="Corbel"/>
          <w:sz w:val="23"/>
          <w:szCs w:val="23"/>
        </w:rPr>
        <w:t xml:space="preserve"> confirms that it satisfies the requirements of clause 17 of the Agreement as at 1 July 2018 and as set out in this Schedule. At the commencement of this Schedule, </w:t>
      </w:r>
      <w:r>
        <w:rPr>
          <w:rFonts w:ascii="Corbel" w:hAnsi="Corbel"/>
          <w:sz w:val="23"/>
          <w:szCs w:val="23"/>
        </w:rPr>
        <w:t>Tasmania</w:t>
      </w:r>
      <w:r w:rsidRPr="002B384A">
        <w:rPr>
          <w:rFonts w:ascii="Corbel" w:hAnsi="Corbel"/>
          <w:sz w:val="23"/>
          <w:szCs w:val="23"/>
        </w:rPr>
        <w:t>’s housing and homelessness strategies are set out in various public documents which are referenced in Part 2 of this Schedule</w:t>
      </w:r>
      <w:r w:rsidR="00667077" w:rsidRPr="004055CE">
        <w:rPr>
          <w:rFonts w:ascii="Corbel" w:hAnsi="Corbel"/>
          <w:sz w:val="23"/>
          <w:szCs w:val="23"/>
        </w:rPr>
        <w:t xml:space="preserve">. </w:t>
      </w:r>
    </w:p>
    <w:p w14:paraId="3F828919" w14:textId="77777777" w:rsidR="004055CE" w:rsidRDefault="004055CE" w:rsidP="00AB530D">
      <w:pPr>
        <w:spacing w:after="200" w:line="276" w:lineRule="auto"/>
        <w:rPr>
          <w:rFonts w:ascii="Consolas" w:hAnsi="Consolas" w:cs="Arial"/>
          <w:bCs/>
          <w:caps/>
          <w:color w:val="3D4B67"/>
          <w:kern w:val="32"/>
          <w:sz w:val="32"/>
          <w:szCs w:val="36"/>
        </w:rPr>
      </w:pPr>
      <w:r>
        <w:br w:type="page"/>
      </w:r>
    </w:p>
    <w:p w14:paraId="095B1C34" w14:textId="715AB299" w:rsidR="001B6645" w:rsidRDefault="001B6645" w:rsidP="00AB530D">
      <w:pPr>
        <w:pStyle w:val="Heading1"/>
        <w:spacing w:before="240"/>
        <w:jc w:val="both"/>
      </w:pPr>
      <w:r>
        <w:lastRenderedPageBreak/>
        <w:t>Part 1 – Overview</w:t>
      </w:r>
    </w:p>
    <w:p w14:paraId="2D2BC24C" w14:textId="05ADC3B1" w:rsidR="00667077" w:rsidRPr="006F4C4C" w:rsidRDefault="001349DD" w:rsidP="006F4C4C">
      <w:pPr>
        <w:pStyle w:val="Normalnumbered"/>
        <w:numPr>
          <w:ilvl w:val="0"/>
          <w:numId w:val="3"/>
        </w:numPr>
      </w:pPr>
      <w:r w:rsidRPr="006F4C4C">
        <w:t>Hobart</w:t>
      </w:r>
      <w:r w:rsidR="006E2006" w:rsidRPr="006F4C4C">
        <w:t xml:space="preserve"> has the lowest median </w:t>
      </w:r>
      <w:r w:rsidRPr="006F4C4C">
        <w:t xml:space="preserve">house </w:t>
      </w:r>
      <w:r w:rsidR="006E2006" w:rsidRPr="006F4C4C">
        <w:t xml:space="preserve">price of all capital cities and </w:t>
      </w:r>
      <w:r w:rsidRPr="006F4C4C">
        <w:t xml:space="preserve">Tasmania </w:t>
      </w:r>
      <w:r w:rsidR="006E2006" w:rsidRPr="006F4C4C">
        <w:t xml:space="preserve">remains one of the cheapest jurisdictions to buy a home. </w:t>
      </w:r>
      <w:r w:rsidR="00667077" w:rsidRPr="006F4C4C">
        <w:t xml:space="preserve">The rate of home ownership in Tasmania is the highest in the nation. However, based on recent increases in housing prices and property sales volumes, Tasmania’s property market is currently experiencing a period of strong demand. There are also currently some constraints in the rental accommodation market which the Tasmanian Government is working to rectify. </w:t>
      </w:r>
    </w:p>
    <w:p w14:paraId="02C996EF" w14:textId="6273694E" w:rsidR="00667077" w:rsidRPr="006F4C4C" w:rsidRDefault="00667077" w:rsidP="006F4C4C">
      <w:pPr>
        <w:pStyle w:val="Normalnumbered"/>
        <w:numPr>
          <w:ilvl w:val="0"/>
          <w:numId w:val="3"/>
        </w:numPr>
      </w:pPr>
      <w:r w:rsidRPr="006F4C4C">
        <w:t xml:space="preserve">In this broader housing sphere, the </w:t>
      </w:r>
      <w:r w:rsidR="00367537">
        <w:t xml:space="preserve">Tasmanian </w:t>
      </w:r>
      <w:r w:rsidRPr="006F4C4C">
        <w:t xml:space="preserve">Government has continued to provide the First Home Owners Grant to eligible applicants to buy or build a newly constructed home which has contributed to an additional 2 600 homes being built over the past four years. The </w:t>
      </w:r>
      <w:r w:rsidR="00367537">
        <w:t xml:space="preserve">Tasmanian </w:t>
      </w:r>
      <w:r w:rsidRPr="006F4C4C">
        <w:t>Government also offers a shared equity program that has resulted in over 450 new homes being built since 2009. A range of taxation measures will also be legislated with the 2018</w:t>
      </w:r>
      <w:r w:rsidRPr="006F4C4C">
        <w:noBreakHyphen/>
        <w:t>19 State Budget as an incentive to boost home ownership and housing availability</w:t>
      </w:r>
      <w:r w:rsidR="007B7A3C" w:rsidRPr="006F4C4C">
        <w:t xml:space="preserve"> (see </w:t>
      </w:r>
      <w:hyperlink r:id="rId14" w:history="1">
        <w:r w:rsidR="00367537" w:rsidRPr="00FC19E7">
          <w:rPr>
            <w:rStyle w:val="Hyperlink"/>
          </w:rPr>
          <w:t>https://www.housing.tas.gov.au/</w:t>
        </w:r>
      </w:hyperlink>
      <w:r w:rsidR="007B7A3C" w:rsidRPr="006F4C4C">
        <w:t>)</w:t>
      </w:r>
      <w:r w:rsidRPr="006F4C4C">
        <w:t>.</w:t>
      </w:r>
    </w:p>
    <w:p w14:paraId="0AB00095" w14:textId="075CA75C" w:rsidR="00667077" w:rsidRPr="006F4C4C" w:rsidRDefault="00667077" w:rsidP="006F4C4C">
      <w:pPr>
        <w:pStyle w:val="Normalnumbered"/>
        <w:numPr>
          <w:ilvl w:val="0"/>
          <w:numId w:val="3"/>
        </w:numPr>
      </w:pPr>
      <w:r w:rsidRPr="006F4C4C">
        <w:t xml:space="preserve">The </w:t>
      </w:r>
      <w:r w:rsidR="00367537">
        <w:t xml:space="preserve">Tasmanian </w:t>
      </w:r>
      <w:r w:rsidRPr="006F4C4C">
        <w:t>Government has also implemented significant reform to the State’s planning scheme to implement a State</w:t>
      </w:r>
      <w:r w:rsidR="00016193">
        <w:noBreakHyphen/>
      </w:r>
      <w:r w:rsidRPr="006F4C4C">
        <w:t>wide planning scheme and ensure that planning in Tasmania is simpler, fairer and more efficient and provides greater certainty</w:t>
      </w:r>
      <w:r w:rsidR="00427CC7" w:rsidRPr="006F4C4C">
        <w:t xml:space="preserve"> to </w:t>
      </w:r>
      <w:r w:rsidRPr="006F4C4C">
        <w:t>investors and the community.</w:t>
      </w:r>
      <w:r w:rsidR="0088376A" w:rsidRPr="006F4C4C">
        <w:t xml:space="preserve"> Further detail in relation to these reforms is available at </w:t>
      </w:r>
      <w:hyperlink r:id="rId15" w:history="1">
        <w:r w:rsidR="00367537" w:rsidRPr="00FC19E7">
          <w:rPr>
            <w:rStyle w:val="Hyperlink"/>
          </w:rPr>
          <w:t>https://www.planningreform.tas.gov.au</w:t>
        </w:r>
      </w:hyperlink>
      <w:r w:rsidR="0088376A" w:rsidRPr="006F4C4C">
        <w:t xml:space="preserve">. </w:t>
      </w:r>
    </w:p>
    <w:p w14:paraId="1D12F8A0" w14:textId="77777777" w:rsidR="00667077" w:rsidRPr="006F4C4C" w:rsidRDefault="00667077" w:rsidP="006F4C4C">
      <w:pPr>
        <w:pStyle w:val="Normalnumbered"/>
        <w:numPr>
          <w:ilvl w:val="0"/>
          <w:numId w:val="3"/>
        </w:numPr>
      </w:pPr>
      <w:r w:rsidRPr="006F4C4C">
        <w:t>The Tasmanian Government announced in the 2017</w:t>
      </w:r>
      <w:r w:rsidRPr="006F4C4C">
        <w:noBreakHyphen/>
        <w:t xml:space="preserve">18 State Budget that it would undertake a whole-of-government review to assess what underutilised government land may be suitable for repurposing into housing. The outcomes of this review are currently being implemented. </w:t>
      </w:r>
    </w:p>
    <w:p w14:paraId="7BD8C7D6" w14:textId="77777777" w:rsidR="00667077" w:rsidRPr="006F4C4C" w:rsidRDefault="00667077" w:rsidP="006F4C4C">
      <w:pPr>
        <w:pStyle w:val="Normalnumbered"/>
        <w:numPr>
          <w:ilvl w:val="0"/>
          <w:numId w:val="3"/>
        </w:numPr>
      </w:pPr>
      <w:r w:rsidRPr="006F4C4C">
        <w:t xml:space="preserve">These strategies will all contribute to the Government’s target to sustain home ownership rates 5 per cent above the national average. </w:t>
      </w:r>
    </w:p>
    <w:p w14:paraId="467756C3" w14:textId="55658C2D" w:rsidR="00667077" w:rsidRPr="006F4C4C" w:rsidRDefault="00667077" w:rsidP="006F4C4C">
      <w:pPr>
        <w:pStyle w:val="Normalnumbered"/>
        <w:numPr>
          <w:ilvl w:val="0"/>
          <w:numId w:val="3"/>
        </w:numPr>
      </w:pPr>
      <w:r w:rsidRPr="006F4C4C">
        <w:t xml:space="preserve">Housing affordability does not affect all of the population in the same way. In Tasmania, there are greater risks for people on low to moderate incomes, certain population groups and people at transition points </w:t>
      </w:r>
      <w:r w:rsidR="00367537">
        <w:t>between</w:t>
      </w:r>
      <w:r w:rsidR="00367537" w:rsidRPr="006F4C4C">
        <w:t xml:space="preserve"> </w:t>
      </w:r>
      <w:r w:rsidRPr="006F4C4C">
        <w:t>life stages. This includes young people, older people, people experiencing family violence, and those transitioning from institutions. The Government’s primary focus is on ensuring that it helps those most vulnerable to housing stress and homelessness in our community.</w:t>
      </w:r>
    </w:p>
    <w:p w14:paraId="6B485C5E" w14:textId="77777777" w:rsidR="00667077" w:rsidRPr="006F4C4C" w:rsidRDefault="00667077" w:rsidP="006F4C4C">
      <w:pPr>
        <w:pStyle w:val="Normalnumbered"/>
        <w:numPr>
          <w:ilvl w:val="0"/>
          <w:numId w:val="3"/>
        </w:numPr>
      </w:pPr>
      <w:r w:rsidRPr="006F4C4C">
        <w:t>Tasmania continues to have the lowest rate of homelessness per 10 000 persons of all jurisdictions. However, the rate of homelessness is increasing in Australia, albeit at a slower rate in Tasmania than nationally. Households with limited incomes are placing increased pressure on the social housing system.</w:t>
      </w:r>
    </w:p>
    <w:p w14:paraId="520C60B5" w14:textId="75EF2060" w:rsidR="00667077" w:rsidRPr="006F4C4C" w:rsidRDefault="00667077" w:rsidP="006F4C4C">
      <w:pPr>
        <w:pStyle w:val="Normalnumbered"/>
        <w:numPr>
          <w:ilvl w:val="0"/>
          <w:numId w:val="3"/>
        </w:numPr>
      </w:pPr>
      <w:r w:rsidRPr="006F4C4C">
        <w:t xml:space="preserve">Demand for social housing exceeds the supply of appropriate stock. Like other states Tasmania’s social housing stock is old, expensive to maintain, is of a size and configuration unsuitable for small households, older people or those living with disability, and is poorly located to access services and labour markets. </w:t>
      </w:r>
    </w:p>
    <w:p w14:paraId="2ACB84AD" w14:textId="772E0336" w:rsidR="004055CE" w:rsidRPr="006F4C4C" w:rsidRDefault="00667077" w:rsidP="006F4C4C">
      <w:pPr>
        <w:pStyle w:val="Normalnumbered"/>
        <w:numPr>
          <w:ilvl w:val="0"/>
          <w:numId w:val="3"/>
        </w:numPr>
      </w:pPr>
      <w:r w:rsidRPr="006F4C4C">
        <w:t>Tasmania has an integrated housing and homelessness service system with a shared Housing Register. Housing Connect provides an integrated ‘front door’ providing intake, assessment, referral to crisis accommodation, private rent assistance, and social housing applications. Over 40 per cent of social housing is managed by community housing providers, which allocate from the shared Housing Register.</w:t>
      </w:r>
    </w:p>
    <w:p w14:paraId="178F5E60" w14:textId="637B126E" w:rsidR="00667077" w:rsidRPr="006F4C4C" w:rsidRDefault="00667077" w:rsidP="006F4C4C">
      <w:pPr>
        <w:pStyle w:val="Normalnumbered"/>
        <w:numPr>
          <w:ilvl w:val="0"/>
          <w:numId w:val="3"/>
        </w:numPr>
      </w:pPr>
      <w:r w:rsidRPr="006F4C4C">
        <w:lastRenderedPageBreak/>
        <w:t>Tasmania’s Housing Assessment Prioritisation System assesses people</w:t>
      </w:r>
      <w:r w:rsidR="00072ECC" w:rsidRPr="006F4C4C">
        <w:t>’</w:t>
      </w:r>
      <w:r w:rsidRPr="006F4C4C">
        <w:t>s need for housing assistance in relation to a number of attributes:  affordability, safety, health conditions and homelessness. Priority applicants have an urgent need for housing assistance if their safety is threatened, they are homeless or imminently homeless (paying 80 per cent of their income in housing costs for example),</w:t>
      </w:r>
      <w:r w:rsidR="00367537">
        <w:t xml:space="preserve"> or</w:t>
      </w:r>
      <w:r w:rsidRPr="006F4C4C">
        <w:t xml:space="preserve"> have a serious health or mobility condition exacerbated by their housing (or lack thereof).  People with serious but not urgent housing needs</w:t>
      </w:r>
      <w:r w:rsidR="00367537">
        <w:t>, for example</w:t>
      </w:r>
      <w:r w:rsidRPr="006F4C4C">
        <w:t xml:space="preserve"> </w:t>
      </w:r>
      <w:r w:rsidR="00367537" w:rsidRPr="006F4C4C">
        <w:t>paying between 30 to 79 per cent of their income on housing</w:t>
      </w:r>
      <w:r w:rsidR="00367537">
        <w:t>,</w:t>
      </w:r>
      <w:r w:rsidR="00367537" w:rsidRPr="006F4C4C">
        <w:t xml:space="preserve"> </w:t>
      </w:r>
      <w:r w:rsidRPr="006F4C4C">
        <w:t xml:space="preserve">are assessed as general applicants. </w:t>
      </w:r>
    </w:p>
    <w:p w14:paraId="72244018" w14:textId="12DDA06E" w:rsidR="00667077" w:rsidRPr="006F4C4C" w:rsidRDefault="00667077" w:rsidP="006F4C4C">
      <w:pPr>
        <w:pStyle w:val="Normalnumbered"/>
        <w:numPr>
          <w:ilvl w:val="0"/>
          <w:numId w:val="3"/>
        </w:numPr>
      </w:pPr>
      <w:r w:rsidRPr="006F4C4C">
        <w:t>By responding to people</w:t>
      </w:r>
      <w:r w:rsidR="00072ECC" w:rsidRPr="006F4C4C">
        <w:t>’</w:t>
      </w:r>
      <w:r w:rsidRPr="006F4C4C">
        <w:t>s living conditions, Tasmania is able to intervene appropriately to prevent homelessness and housing stress and intervene early or respond rapidly to those experiencing difficulties.</w:t>
      </w:r>
    </w:p>
    <w:p w14:paraId="73BBD3E6" w14:textId="2BD1163C" w:rsidR="00667077" w:rsidRPr="006F4C4C" w:rsidRDefault="00667077" w:rsidP="006F4C4C">
      <w:pPr>
        <w:pStyle w:val="Normalnumbered"/>
        <w:numPr>
          <w:ilvl w:val="0"/>
          <w:numId w:val="3"/>
        </w:numPr>
      </w:pPr>
      <w:r w:rsidRPr="006F4C4C">
        <w:t xml:space="preserve">In 2015, the Tasmanian Government released a comprehensive Affordable Housing Strategy 2015–2025 (AHS), a ten-year plan to improve access to affordable, safe and appropriate homes for vulnerable Tasmanians. The </w:t>
      </w:r>
      <w:r w:rsidR="00072ECC" w:rsidRPr="006F4C4C">
        <w:t xml:space="preserve">AHS </w:t>
      </w:r>
      <w:r w:rsidRPr="006F4C4C">
        <w:t xml:space="preserve">is supported by a </w:t>
      </w:r>
      <w:r w:rsidR="00BC2C9F">
        <w:t>four</w:t>
      </w:r>
      <w:r w:rsidRPr="006F4C4C">
        <w:t xml:space="preserve">-year Action Plan implementing the first tranche of initiatives. </w:t>
      </w:r>
      <w:r w:rsidR="00DE0EE1" w:rsidRPr="006F4C4C">
        <w:t xml:space="preserve">The </w:t>
      </w:r>
      <w:r w:rsidR="00072ECC" w:rsidRPr="006F4C4C">
        <w:t>AHS</w:t>
      </w:r>
      <w:r w:rsidR="00DE0EE1" w:rsidRPr="006F4C4C">
        <w:t xml:space="preserve"> was</w:t>
      </w:r>
      <w:r w:rsidRPr="006F4C4C">
        <w:t xml:space="preserve"> developed through extensive consultation with a wide range of stakeholders including the housing supply sector and support service sector. The </w:t>
      </w:r>
      <w:r w:rsidR="00BC2C9F">
        <w:t xml:space="preserve">next </w:t>
      </w:r>
      <w:r w:rsidRPr="006F4C4C">
        <w:t>Action Plan 2019–202</w:t>
      </w:r>
      <w:r w:rsidR="00BC2C9F">
        <w:t>3</w:t>
      </w:r>
      <w:r w:rsidRPr="006F4C4C">
        <w:t xml:space="preserve"> will implement the remaining AHS initiatives to prevent housing stress and homelessness through increased supply, provide better targeted early intervention and improve responses to people in crisis and homeless</w:t>
      </w:r>
      <w:r w:rsidR="001349DD" w:rsidRPr="006F4C4C">
        <w:t>ness</w:t>
      </w:r>
      <w:r w:rsidRPr="006F4C4C">
        <w:t xml:space="preserve">. </w:t>
      </w:r>
    </w:p>
    <w:p w14:paraId="07BD1013" w14:textId="037EE101" w:rsidR="00667077" w:rsidRPr="006F4C4C" w:rsidRDefault="00667077" w:rsidP="006F4C4C">
      <w:pPr>
        <w:pStyle w:val="Normalnumbered"/>
        <w:numPr>
          <w:ilvl w:val="0"/>
          <w:numId w:val="3"/>
        </w:numPr>
      </w:pPr>
      <w:r w:rsidRPr="006F4C4C">
        <w:t xml:space="preserve">Funding under this agreement, together with significant additional funding provided by the State Government, is critical to supporting social housing and essential front line homelessness services in the State. The </w:t>
      </w:r>
      <w:r w:rsidR="00367537">
        <w:t>Commonwealth</w:t>
      </w:r>
      <w:r w:rsidR="00367537" w:rsidRPr="006F4C4C">
        <w:t xml:space="preserve"> </w:t>
      </w:r>
      <w:r w:rsidRPr="006F4C4C">
        <w:t>Government funding provided for under this Agreement will be dedicated to specific projects identified in the Action Plan as included in part two. State Government funding is detailed each year in the State Budget.</w:t>
      </w:r>
    </w:p>
    <w:p w14:paraId="452E93FD" w14:textId="6023B34F" w:rsidR="00695488" w:rsidRDefault="00695488" w:rsidP="00AB530D">
      <w:pPr>
        <w:rPr>
          <w:rFonts w:ascii="Consolas" w:hAnsi="Consolas" w:cs="Arial"/>
          <w:bCs/>
          <w:caps/>
          <w:color w:val="3D4B67"/>
          <w:kern w:val="32"/>
          <w:sz w:val="32"/>
          <w:szCs w:val="36"/>
        </w:rPr>
      </w:pPr>
      <w:r>
        <w:br w:type="page"/>
      </w:r>
    </w:p>
    <w:p w14:paraId="35C780DB" w14:textId="744974CB" w:rsidR="003E00B6" w:rsidRDefault="003E00B6" w:rsidP="00AB530D">
      <w:pPr>
        <w:pStyle w:val="Heading1"/>
        <w:spacing w:before="240"/>
        <w:jc w:val="both"/>
      </w:pPr>
      <w:r>
        <w:lastRenderedPageBreak/>
        <w:t xml:space="preserve">Part 2 – </w:t>
      </w:r>
      <w:r w:rsidR="00667077">
        <w:t>Tasmania</w:t>
      </w:r>
      <w:r w:rsidR="0096204D">
        <w:t>n</w:t>
      </w:r>
      <w:r>
        <w:t xml:space="preserve"> housing strategy</w:t>
      </w:r>
      <w:r w:rsidR="0096204D">
        <w:t xml:space="preserve"> and homelessness strategy</w:t>
      </w:r>
    </w:p>
    <w:p w14:paraId="41A70F86" w14:textId="71266AE8" w:rsidR="003E00B6" w:rsidRDefault="003E00B6" w:rsidP="00A4503A">
      <w:pPr>
        <w:pStyle w:val="Normalnumbered"/>
        <w:numPr>
          <w:ilvl w:val="0"/>
          <w:numId w:val="3"/>
        </w:numPr>
      </w:pPr>
      <w:r>
        <w:t>Under the</w:t>
      </w:r>
      <w:r w:rsidR="00DB201C">
        <w:t xml:space="preserve"> FFR Act</w:t>
      </w:r>
      <w:r>
        <w:t xml:space="preserve"> </w:t>
      </w:r>
      <w:r w:rsidR="006E7359">
        <w:t xml:space="preserve">and </w:t>
      </w:r>
      <w:r w:rsidR="00477A9E">
        <w:t>the A</w:t>
      </w:r>
      <w:r>
        <w:t xml:space="preserve">greement, States are required to have a </w:t>
      </w:r>
      <w:r w:rsidR="003F227C">
        <w:t>publicly accessible</w:t>
      </w:r>
      <w:r>
        <w:t>, up-to-date:</w:t>
      </w:r>
    </w:p>
    <w:p w14:paraId="5C479B48" w14:textId="77777777" w:rsidR="00667077" w:rsidRDefault="00667077" w:rsidP="00AB530D">
      <w:pPr>
        <w:pStyle w:val="ScheduleNumberedPara"/>
        <w:numPr>
          <w:ilvl w:val="2"/>
          <w:numId w:val="1"/>
        </w:numPr>
        <w:tabs>
          <w:tab w:val="num" w:pos="2268"/>
        </w:tabs>
      </w:pPr>
      <w:r>
        <w:t>housing strategy that indicates the level of housing supply needed to respond to projected housing demand, and outlines the reforms and initiatives that will be implemented to meet this need; and</w:t>
      </w:r>
    </w:p>
    <w:p w14:paraId="421D0ECB" w14:textId="69E03E9D" w:rsidR="00667077" w:rsidRDefault="00667077" w:rsidP="00AB530D">
      <w:pPr>
        <w:pStyle w:val="ScheduleNumberedPara"/>
        <w:numPr>
          <w:ilvl w:val="2"/>
          <w:numId w:val="1"/>
        </w:numPr>
        <w:tabs>
          <w:tab w:val="num" w:pos="2268"/>
        </w:tabs>
      </w:pPr>
      <w:r>
        <w:t xml:space="preserve">homelessness strategy that </w:t>
      </w:r>
      <w:r w:rsidRPr="006D6AAA">
        <w:t xml:space="preserve">addresses the priority homelessness cohorts identified in the </w:t>
      </w:r>
      <w:r w:rsidR="00477A9E">
        <w:t>A</w:t>
      </w:r>
      <w:r w:rsidRPr="006D6AAA">
        <w:t>greement</w:t>
      </w:r>
      <w:r>
        <w:t xml:space="preserve"> and </w:t>
      </w:r>
      <w:r w:rsidRPr="006D6AAA">
        <w:t>includes reforms or initiatives that contribute to a reduction in the incidence of homelessness</w:t>
      </w:r>
      <w:r>
        <w:t>; and</w:t>
      </w:r>
    </w:p>
    <w:p w14:paraId="6FCD6253" w14:textId="12F3C3AD" w:rsidR="00667077" w:rsidRDefault="00667077" w:rsidP="00AB530D">
      <w:pPr>
        <w:pStyle w:val="ScheduleNumberedPara"/>
        <w:ind w:left="567"/>
      </w:pPr>
      <w:r>
        <w:t xml:space="preserve">that include such other matters as specified in the </w:t>
      </w:r>
      <w:r w:rsidR="0002025B">
        <w:t>Agreement</w:t>
      </w:r>
      <w:r>
        <w:t xml:space="preserve"> or </w:t>
      </w:r>
      <w:r w:rsidR="0002025B">
        <w:t>this Schedule</w:t>
      </w:r>
      <w:r>
        <w:t xml:space="preserve">. </w:t>
      </w:r>
    </w:p>
    <w:p w14:paraId="77A36C73" w14:textId="1A7A6999" w:rsidR="00667077" w:rsidRPr="00DD4948" w:rsidRDefault="00667077" w:rsidP="00A4503A">
      <w:pPr>
        <w:pStyle w:val="Normalnumbered"/>
        <w:numPr>
          <w:ilvl w:val="0"/>
          <w:numId w:val="3"/>
        </w:numPr>
        <w:rPr>
          <w:szCs w:val="23"/>
        </w:rPr>
      </w:pPr>
      <w:r w:rsidRPr="00DD4948">
        <w:rPr>
          <w:i/>
          <w:szCs w:val="23"/>
        </w:rPr>
        <w:t xml:space="preserve">Tasmania’s </w:t>
      </w:r>
      <w:r w:rsidRPr="00DD4948">
        <w:rPr>
          <w:rFonts w:cs="Arial"/>
          <w:i/>
          <w:szCs w:val="23"/>
        </w:rPr>
        <w:t>Affordable Housing Strategy 2015-2025</w:t>
      </w:r>
      <w:r w:rsidRPr="00DD4948">
        <w:rPr>
          <w:szCs w:val="23"/>
        </w:rPr>
        <w:t xml:space="preserve"> </w:t>
      </w:r>
      <w:r w:rsidR="006A393A">
        <w:rPr>
          <w:szCs w:val="23"/>
        </w:rPr>
        <w:t xml:space="preserve">(AHS) </w:t>
      </w:r>
      <w:r w:rsidRPr="00DD4948">
        <w:rPr>
          <w:szCs w:val="23"/>
        </w:rPr>
        <w:t>will continue to focus on affordable housing and homelessness and be included in a single targeted strategy.</w:t>
      </w:r>
    </w:p>
    <w:p w14:paraId="6758C242" w14:textId="77777777" w:rsidR="0088376A" w:rsidRDefault="006A393A" w:rsidP="00A4503A">
      <w:pPr>
        <w:pStyle w:val="Normalnumbered"/>
        <w:ind w:left="567"/>
        <w:rPr>
          <w:szCs w:val="23"/>
        </w:rPr>
      </w:pPr>
      <w:r w:rsidRPr="00D11BDF">
        <w:rPr>
          <w:szCs w:val="23"/>
        </w:rPr>
        <w:t xml:space="preserve">The AHS </w:t>
      </w:r>
      <w:r w:rsidR="00667077" w:rsidRPr="00DD4948">
        <w:rPr>
          <w:szCs w:val="23"/>
        </w:rPr>
        <w:t>and the associated</w:t>
      </w:r>
      <w:r w:rsidR="00667077">
        <w:rPr>
          <w:szCs w:val="23"/>
        </w:rPr>
        <w:t xml:space="preserve"> action plan,</w:t>
      </w:r>
      <w:r w:rsidR="00667077" w:rsidRPr="00DD4948">
        <w:rPr>
          <w:szCs w:val="23"/>
        </w:rPr>
        <w:t xml:space="preserve"> </w:t>
      </w:r>
      <w:r w:rsidR="00667077" w:rsidRPr="00DD4948">
        <w:rPr>
          <w:i/>
          <w:szCs w:val="23"/>
        </w:rPr>
        <w:t>Tasmania’s Affordable Housing Action Plan 2015</w:t>
      </w:r>
      <w:r w:rsidR="00667077" w:rsidRPr="00DD4948">
        <w:rPr>
          <w:i/>
          <w:szCs w:val="23"/>
        </w:rPr>
        <w:noBreakHyphen/>
        <w:t>19</w:t>
      </w:r>
      <w:r w:rsidR="00667077" w:rsidRPr="00DD4948">
        <w:rPr>
          <w:szCs w:val="23"/>
        </w:rPr>
        <w:t xml:space="preserve"> </w:t>
      </w:r>
      <w:r>
        <w:rPr>
          <w:szCs w:val="23"/>
        </w:rPr>
        <w:t xml:space="preserve">(Action Plan) </w:t>
      </w:r>
      <w:r w:rsidR="00667077" w:rsidRPr="00DD4948">
        <w:rPr>
          <w:szCs w:val="23"/>
        </w:rPr>
        <w:t>are publicly available documents. Quarterly reporting against the action plan is also publicly available.</w:t>
      </w:r>
      <w:r>
        <w:rPr>
          <w:szCs w:val="23"/>
        </w:rPr>
        <w:t xml:space="preserve"> These documents can be found at </w:t>
      </w:r>
      <w:hyperlink r:id="rId16" w:history="1">
        <w:r w:rsidRPr="00F82980">
          <w:rPr>
            <w:rStyle w:val="Hyperlink"/>
            <w:szCs w:val="23"/>
          </w:rPr>
          <w:t>http://www.dhhs.tas.gov.au/housing/tasmanian_affordable_housing_strategy</w:t>
        </w:r>
      </w:hyperlink>
      <w:r>
        <w:rPr>
          <w:szCs w:val="23"/>
        </w:rPr>
        <w:t>.</w:t>
      </w:r>
      <w:r w:rsidR="00D6691B">
        <w:rPr>
          <w:szCs w:val="23"/>
        </w:rPr>
        <w:t xml:space="preserve"> </w:t>
      </w:r>
    </w:p>
    <w:p w14:paraId="198EC5DE" w14:textId="358A8B14" w:rsidR="004055CE" w:rsidRDefault="0088376A" w:rsidP="0088376A">
      <w:pPr>
        <w:pStyle w:val="ScheduleNumberedPara"/>
        <w:ind w:left="567"/>
        <w:rPr>
          <w:szCs w:val="23"/>
        </w:rPr>
      </w:pPr>
      <w:r>
        <w:rPr>
          <w:szCs w:val="23"/>
        </w:rPr>
        <w:t xml:space="preserve">Details of broader housing supply </w:t>
      </w:r>
      <w:r w:rsidR="003E1BB9">
        <w:rPr>
          <w:szCs w:val="23"/>
        </w:rPr>
        <w:t xml:space="preserve">requirements </w:t>
      </w:r>
      <w:r>
        <w:rPr>
          <w:szCs w:val="23"/>
        </w:rPr>
        <w:t xml:space="preserve">are included in the Affordable Housing Strategy with social housing </w:t>
      </w:r>
      <w:r w:rsidR="003E1BB9">
        <w:rPr>
          <w:szCs w:val="23"/>
        </w:rPr>
        <w:t>requirements</w:t>
      </w:r>
      <w:r>
        <w:rPr>
          <w:szCs w:val="23"/>
        </w:rPr>
        <w:t xml:space="preserve"> detailed in the Action Plan. </w:t>
      </w:r>
      <w:r w:rsidR="00367537">
        <w:rPr>
          <w:szCs w:val="23"/>
        </w:rPr>
        <w:t xml:space="preserve">The Action Plan </w:t>
      </w:r>
      <w:r w:rsidR="004C03B2">
        <w:rPr>
          <w:szCs w:val="23"/>
        </w:rPr>
        <w:t xml:space="preserve">is currently being reviewed with a new Action Plan to commence from 1 July 2019. </w:t>
      </w:r>
      <w:r w:rsidR="00D6691B">
        <w:rPr>
          <w:szCs w:val="23"/>
        </w:rPr>
        <w:t>Details on broader housing initiatives are included</w:t>
      </w:r>
      <w:r w:rsidR="007B7A3C">
        <w:rPr>
          <w:szCs w:val="23"/>
        </w:rPr>
        <w:t xml:space="preserve"> at </w:t>
      </w:r>
      <w:hyperlink r:id="rId17" w:history="1">
        <w:r w:rsidR="002A484C" w:rsidRPr="00F82980">
          <w:rPr>
            <w:rStyle w:val="Hyperlink"/>
            <w:szCs w:val="23"/>
          </w:rPr>
          <w:t>https://www.housing.tas.gov.au/</w:t>
        </w:r>
      </w:hyperlink>
      <w:r w:rsidR="007B7A3C">
        <w:rPr>
          <w:szCs w:val="23"/>
        </w:rPr>
        <w:t>.</w:t>
      </w:r>
    </w:p>
    <w:p w14:paraId="4E9983AB" w14:textId="5E368BE6" w:rsidR="006F4C4C" w:rsidRDefault="00BD21DD" w:rsidP="006F4C4C">
      <w:pPr>
        <w:pStyle w:val="ScheduleNumberedPara"/>
        <w:ind w:left="567"/>
      </w:pPr>
      <w:r>
        <w:t>The AHS provides a broad strategic approach to addressing affordable housing issues. An Intervention Framework outlines three areas of reform; prevention, targeted early intervention and response.</w:t>
      </w:r>
    </w:p>
    <w:p w14:paraId="6DA1EBAA" w14:textId="77777777" w:rsidR="006F4C4C" w:rsidRDefault="006F4C4C">
      <w:pPr>
        <w:spacing w:after="200" w:line="276" w:lineRule="auto"/>
        <w:jc w:val="left"/>
        <w:rPr>
          <w:rFonts w:eastAsiaTheme="minorHAnsi" w:cstheme="minorBidi"/>
          <w:szCs w:val="22"/>
          <w:lang w:eastAsia="en-US"/>
        </w:rPr>
      </w:pPr>
      <w:r>
        <w:br w:type="page"/>
      </w:r>
    </w:p>
    <w:p w14:paraId="5B8ED906" w14:textId="725D165A" w:rsidR="002A484C" w:rsidRDefault="002A484C" w:rsidP="006F4C4C">
      <w:pPr>
        <w:pStyle w:val="Normalnumbered"/>
        <w:numPr>
          <w:ilvl w:val="0"/>
          <w:numId w:val="3"/>
        </w:numPr>
        <w:rPr>
          <w:szCs w:val="23"/>
        </w:rPr>
      </w:pPr>
      <w:r>
        <w:rPr>
          <w:szCs w:val="23"/>
        </w:rPr>
        <w:lastRenderedPageBreak/>
        <w:t xml:space="preserve">Tasmania’s </w:t>
      </w:r>
      <w:r w:rsidR="00241625">
        <w:rPr>
          <w:szCs w:val="23"/>
        </w:rPr>
        <w:t xml:space="preserve">AHS Intervention Framework is </w:t>
      </w:r>
      <w:r>
        <w:rPr>
          <w:szCs w:val="23"/>
        </w:rPr>
        <w:t>summarised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745"/>
      </w:tblGrid>
      <w:tr w:rsidR="002A484C" w:rsidRPr="00AA2342" w14:paraId="02455BDD" w14:textId="77777777" w:rsidTr="002A484C">
        <w:tc>
          <w:tcPr>
            <w:tcW w:w="1497" w:type="dxa"/>
            <w:shd w:val="clear" w:color="auto" w:fill="auto"/>
            <w:vAlign w:val="center"/>
          </w:tcPr>
          <w:p w14:paraId="108EA1BE" w14:textId="77777777" w:rsidR="002A484C" w:rsidRPr="00241625" w:rsidRDefault="002A484C" w:rsidP="00DD5281">
            <w:pPr>
              <w:spacing w:before="120" w:after="120"/>
              <w:jc w:val="center"/>
              <w:rPr>
                <w:b/>
                <w:szCs w:val="23"/>
              </w:rPr>
            </w:pPr>
            <w:r w:rsidRPr="00241625">
              <w:rPr>
                <w:b/>
                <w:szCs w:val="23"/>
              </w:rPr>
              <w:t>Intervention</w:t>
            </w:r>
          </w:p>
        </w:tc>
        <w:tc>
          <w:tcPr>
            <w:tcW w:w="7745" w:type="dxa"/>
            <w:shd w:val="clear" w:color="auto" w:fill="auto"/>
            <w:vAlign w:val="center"/>
          </w:tcPr>
          <w:p w14:paraId="4ADFAEE5" w14:textId="77777777" w:rsidR="002A484C" w:rsidRPr="00241625" w:rsidRDefault="002A484C" w:rsidP="00DD5281">
            <w:pPr>
              <w:spacing w:before="120" w:after="120"/>
              <w:jc w:val="center"/>
              <w:rPr>
                <w:b/>
                <w:szCs w:val="23"/>
              </w:rPr>
            </w:pPr>
            <w:r w:rsidRPr="00241625">
              <w:rPr>
                <w:b/>
                <w:szCs w:val="23"/>
              </w:rPr>
              <w:t>Current suite of responses</w:t>
            </w:r>
          </w:p>
        </w:tc>
      </w:tr>
      <w:tr w:rsidR="002A484C" w:rsidRPr="00AA2342" w14:paraId="041B2A12" w14:textId="77777777" w:rsidTr="002A484C">
        <w:trPr>
          <w:trHeight w:val="1075"/>
        </w:trPr>
        <w:tc>
          <w:tcPr>
            <w:tcW w:w="1497" w:type="dxa"/>
            <w:shd w:val="clear" w:color="auto" w:fill="auto"/>
          </w:tcPr>
          <w:p w14:paraId="39E1EA81" w14:textId="77777777" w:rsidR="002A484C" w:rsidRPr="00241625" w:rsidRDefault="002A484C" w:rsidP="00DD5281">
            <w:pPr>
              <w:spacing w:before="240"/>
              <w:rPr>
                <w:b/>
                <w:i/>
                <w:szCs w:val="23"/>
              </w:rPr>
            </w:pPr>
            <w:r w:rsidRPr="00241625">
              <w:rPr>
                <w:b/>
                <w:i/>
                <w:szCs w:val="23"/>
              </w:rPr>
              <w:t>Prevention</w:t>
            </w:r>
          </w:p>
        </w:tc>
        <w:tc>
          <w:tcPr>
            <w:tcW w:w="7745" w:type="dxa"/>
            <w:shd w:val="clear" w:color="auto" w:fill="auto"/>
            <w:vAlign w:val="center"/>
          </w:tcPr>
          <w:p w14:paraId="2AEE19B4" w14:textId="77777777" w:rsidR="002A484C" w:rsidRPr="00241625" w:rsidRDefault="002A484C" w:rsidP="002A484C">
            <w:pPr>
              <w:pStyle w:val="Bullet"/>
              <w:numPr>
                <w:ilvl w:val="0"/>
                <w:numId w:val="13"/>
              </w:numPr>
              <w:spacing w:before="120" w:after="120" w:line="240" w:lineRule="auto"/>
              <w:ind w:left="357" w:hanging="357"/>
              <w:rPr>
                <w:rFonts w:ascii="Corbel" w:hAnsi="Corbel"/>
                <w:sz w:val="23"/>
                <w:szCs w:val="23"/>
              </w:rPr>
            </w:pPr>
            <w:r w:rsidRPr="00241625">
              <w:rPr>
                <w:rFonts w:ascii="Corbel" w:hAnsi="Corbel"/>
                <w:sz w:val="23"/>
                <w:szCs w:val="23"/>
              </w:rPr>
              <w:t>The private market supplies private rental and home ownership opportunities.</w:t>
            </w:r>
          </w:p>
          <w:p w14:paraId="0B5CD9C6" w14:textId="69D9D2CD" w:rsidR="002A484C" w:rsidRPr="00241625" w:rsidRDefault="002A484C" w:rsidP="002A484C">
            <w:pPr>
              <w:pStyle w:val="Bullet"/>
              <w:numPr>
                <w:ilvl w:val="0"/>
                <w:numId w:val="13"/>
              </w:numPr>
              <w:spacing w:after="120" w:line="240" w:lineRule="auto"/>
              <w:ind w:left="357" w:hanging="357"/>
              <w:rPr>
                <w:rFonts w:ascii="Corbel" w:hAnsi="Corbel"/>
                <w:sz w:val="23"/>
                <w:szCs w:val="23"/>
              </w:rPr>
            </w:pPr>
            <w:r w:rsidRPr="00241625">
              <w:rPr>
                <w:rFonts w:ascii="Corbel" w:hAnsi="Corbel"/>
                <w:sz w:val="23"/>
                <w:szCs w:val="23"/>
              </w:rPr>
              <w:t>Commonwealth and State Governments have a joint role to increase the supply of appropriate affordable homes.</w:t>
            </w:r>
          </w:p>
        </w:tc>
      </w:tr>
      <w:tr w:rsidR="002A484C" w:rsidRPr="00AA2342" w14:paraId="3F242917" w14:textId="77777777" w:rsidTr="002A484C">
        <w:trPr>
          <w:trHeight w:val="5288"/>
        </w:trPr>
        <w:tc>
          <w:tcPr>
            <w:tcW w:w="1497" w:type="dxa"/>
            <w:shd w:val="clear" w:color="auto" w:fill="auto"/>
          </w:tcPr>
          <w:p w14:paraId="21299D4D" w14:textId="77777777" w:rsidR="002A484C" w:rsidRPr="00241625" w:rsidRDefault="002A484C" w:rsidP="00DD5281">
            <w:pPr>
              <w:spacing w:before="240"/>
              <w:rPr>
                <w:b/>
                <w:i/>
                <w:szCs w:val="23"/>
              </w:rPr>
            </w:pPr>
            <w:r w:rsidRPr="00241625">
              <w:rPr>
                <w:b/>
                <w:i/>
                <w:szCs w:val="23"/>
              </w:rPr>
              <w:t>Targeted Early Intervention</w:t>
            </w:r>
          </w:p>
        </w:tc>
        <w:tc>
          <w:tcPr>
            <w:tcW w:w="7745" w:type="dxa"/>
            <w:shd w:val="clear" w:color="auto" w:fill="auto"/>
            <w:vAlign w:val="center"/>
          </w:tcPr>
          <w:p w14:paraId="5484659E" w14:textId="77777777" w:rsidR="002A484C" w:rsidRPr="00241625" w:rsidRDefault="002A484C" w:rsidP="002A484C">
            <w:pPr>
              <w:pStyle w:val="Bullet"/>
              <w:numPr>
                <w:ilvl w:val="0"/>
                <w:numId w:val="13"/>
              </w:numPr>
              <w:spacing w:after="120" w:line="240" w:lineRule="auto"/>
              <w:ind w:left="357" w:hanging="357"/>
              <w:rPr>
                <w:rFonts w:ascii="Corbel" w:hAnsi="Corbel"/>
                <w:sz w:val="23"/>
                <w:szCs w:val="23"/>
              </w:rPr>
            </w:pPr>
            <w:r w:rsidRPr="00241625">
              <w:rPr>
                <w:rFonts w:ascii="Corbel" w:hAnsi="Corbel"/>
                <w:sz w:val="23"/>
                <w:szCs w:val="23"/>
              </w:rPr>
              <w:t>Public housing is targeted to low income earners unable to afford or access the private market who may be vulnerable due to: homelessness, escaping family violence, exiting institutions, living with disability, mental health problems or health and mobility problems due to ageing.</w:t>
            </w:r>
          </w:p>
          <w:p w14:paraId="763B45A6" w14:textId="77777777" w:rsidR="002A484C" w:rsidRPr="00241625" w:rsidRDefault="002A484C" w:rsidP="002A484C">
            <w:pPr>
              <w:pStyle w:val="Bullet"/>
              <w:numPr>
                <w:ilvl w:val="0"/>
                <w:numId w:val="13"/>
              </w:numPr>
              <w:spacing w:after="120" w:line="240" w:lineRule="auto"/>
              <w:ind w:left="357" w:hanging="357"/>
              <w:rPr>
                <w:rFonts w:ascii="Corbel" w:hAnsi="Corbel"/>
                <w:sz w:val="23"/>
                <w:szCs w:val="23"/>
              </w:rPr>
            </w:pPr>
            <w:r w:rsidRPr="00241625">
              <w:rPr>
                <w:rFonts w:ascii="Corbel" w:hAnsi="Corbel"/>
                <w:sz w:val="23"/>
                <w:szCs w:val="23"/>
              </w:rPr>
              <w:t xml:space="preserve">Community housing under Better Housing </w:t>
            </w:r>
            <w:r w:rsidRPr="00241625">
              <w:rPr>
                <w:rFonts w:ascii="Corbel" w:hAnsi="Corbel"/>
                <w:i/>
                <w:sz w:val="23"/>
                <w:szCs w:val="23"/>
              </w:rPr>
              <w:t>Futures</w:t>
            </w:r>
            <w:r w:rsidRPr="00241625">
              <w:rPr>
                <w:rFonts w:ascii="Corbel" w:hAnsi="Corbel"/>
                <w:sz w:val="23"/>
                <w:szCs w:val="23"/>
              </w:rPr>
              <w:t xml:space="preserve"> is broadly targeted to moderate and low income vulnerable cohorts. </w:t>
            </w:r>
          </w:p>
          <w:p w14:paraId="5AEBD6AE" w14:textId="77777777" w:rsidR="002A484C" w:rsidRPr="00241625" w:rsidRDefault="002A484C" w:rsidP="002A484C">
            <w:pPr>
              <w:pStyle w:val="Bullet"/>
              <w:numPr>
                <w:ilvl w:val="0"/>
                <w:numId w:val="13"/>
              </w:numPr>
              <w:spacing w:after="120" w:line="240" w:lineRule="auto"/>
              <w:ind w:left="357" w:hanging="357"/>
              <w:rPr>
                <w:rFonts w:ascii="Corbel" w:hAnsi="Corbel"/>
                <w:sz w:val="23"/>
                <w:szCs w:val="23"/>
              </w:rPr>
            </w:pPr>
            <w:r w:rsidRPr="00241625">
              <w:rPr>
                <w:rFonts w:ascii="Corbel" w:hAnsi="Corbel"/>
                <w:sz w:val="23"/>
                <w:szCs w:val="23"/>
              </w:rPr>
              <w:t>Private rental assistance is provided to help with bonds, arrears and removal costs.</w:t>
            </w:r>
          </w:p>
          <w:p w14:paraId="2497C846" w14:textId="77777777" w:rsidR="002A484C" w:rsidRPr="00241625" w:rsidRDefault="002A484C" w:rsidP="002A484C">
            <w:pPr>
              <w:pStyle w:val="Bullet"/>
              <w:numPr>
                <w:ilvl w:val="0"/>
                <w:numId w:val="13"/>
              </w:numPr>
              <w:spacing w:after="120" w:line="240" w:lineRule="auto"/>
              <w:ind w:left="357" w:hanging="357"/>
              <w:rPr>
                <w:rFonts w:ascii="Corbel" w:hAnsi="Corbel"/>
                <w:sz w:val="23"/>
                <w:szCs w:val="23"/>
              </w:rPr>
            </w:pPr>
            <w:r w:rsidRPr="00241625">
              <w:rPr>
                <w:rFonts w:ascii="Corbel" w:hAnsi="Corbel"/>
                <w:sz w:val="23"/>
                <w:szCs w:val="23"/>
              </w:rPr>
              <w:t>Supported accommodation is targeted at people with affordability issues who need on-site support with daily living and maintaining a tenancy.</w:t>
            </w:r>
          </w:p>
          <w:p w14:paraId="6DEAF0F4" w14:textId="77777777" w:rsidR="002A484C" w:rsidRPr="00241625" w:rsidRDefault="002A484C" w:rsidP="002A484C">
            <w:pPr>
              <w:pStyle w:val="Bullet"/>
              <w:numPr>
                <w:ilvl w:val="0"/>
                <w:numId w:val="13"/>
              </w:numPr>
              <w:spacing w:after="120" w:line="240" w:lineRule="auto"/>
              <w:ind w:left="357" w:hanging="357"/>
              <w:rPr>
                <w:rFonts w:ascii="Corbel" w:hAnsi="Corbel"/>
                <w:sz w:val="23"/>
                <w:szCs w:val="23"/>
              </w:rPr>
            </w:pPr>
            <w:r w:rsidRPr="00241625">
              <w:rPr>
                <w:rFonts w:ascii="Corbel" w:hAnsi="Corbel"/>
                <w:sz w:val="23"/>
                <w:szCs w:val="23"/>
              </w:rPr>
              <w:t xml:space="preserve">Housing Tasmania provides home ownership assistance through the Streets Ahead or Home Share Program. </w:t>
            </w:r>
          </w:p>
          <w:p w14:paraId="692AC470" w14:textId="77777777" w:rsidR="002A484C" w:rsidRPr="00241625" w:rsidRDefault="002A484C" w:rsidP="002A484C">
            <w:pPr>
              <w:pStyle w:val="Bullet"/>
              <w:numPr>
                <w:ilvl w:val="1"/>
                <w:numId w:val="14"/>
              </w:numPr>
              <w:spacing w:before="120" w:after="0" w:line="240" w:lineRule="auto"/>
              <w:ind w:left="828" w:hanging="425"/>
              <w:rPr>
                <w:rFonts w:ascii="Corbel" w:hAnsi="Corbel"/>
                <w:sz w:val="23"/>
                <w:szCs w:val="23"/>
              </w:rPr>
            </w:pPr>
            <w:r w:rsidRPr="00241625">
              <w:rPr>
                <w:rFonts w:ascii="Corbel" w:hAnsi="Corbel"/>
                <w:sz w:val="23"/>
                <w:szCs w:val="23"/>
              </w:rPr>
              <w:t xml:space="preserve">Streets Ahead provides deposit assistance to households able to raise finances through normal lending channels. </w:t>
            </w:r>
          </w:p>
          <w:p w14:paraId="28BEEA02" w14:textId="77777777" w:rsidR="002A484C" w:rsidRPr="00241625" w:rsidRDefault="002A484C" w:rsidP="002A484C">
            <w:pPr>
              <w:pStyle w:val="Bullet"/>
              <w:numPr>
                <w:ilvl w:val="1"/>
                <w:numId w:val="14"/>
              </w:numPr>
              <w:spacing w:before="120" w:after="0" w:line="240" w:lineRule="auto"/>
              <w:ind w:left="828" w:hanging="425"/>
              <w:rPr>
                <w:rFonts w:ascii="Corbel" w:hAnsi="Corbel"/>
                <w:sz w:val="23"/>
                <w:szCs w:val="23"/>
              </w:rPr>
            </w:pPr>
            <w:r w:rsidRPr="00241625">
              <w:rPr>
                <w:rFonts w:ascii="Corbel" w:hAnsi="Corbel"/>
                <w:sz w:val="23"/>
                <w:szCs w:val="23"/>
              </w:rPr>
              <w:t>Home Share is a shared equity program assisting people into home ownership as they only have to borrow up to 70 per cent of home purchase price.</w:t>
            </w:r>
          </w:p>
        </w:tc>
      </w:tr>
      <w:tr w:rsidR="002A484C" w:rsidRPr="00AA2342" w14:paraId="3DF9D397" w14:textId="77777777" w:rsidTr="002A484C">
        <w:trPr>
          <w:trHeight w:val="2696"/>
        </w:trPr>
        <w:tc>
          <w:tcPr>
            <w:tcW w:w="1497" w:type="dxa"/>
            <w:shd w:val="clear" w:color="auto" w:fill="auto"/>
          </w:tcPr>
          <w:p w14:paraId="69493371" w14:textId="77777777" w:rsidR="002A484C" w:rsidRPr="00241625" w:rsidRDefault="002A484C" w:rsidP="00DD5281">
            <w:pPr>
              <w:spacing w:before="240"/>
              <w:rPr>
                <w:b/>
                <w:i/>
                <w:szCs w:val="23"/>
              </w:rPr>
            </w:pPr>
            <w:r w:rsidRPr="00241625">
              <w:rPr>
                <w:b/>
                <w:i/>
                <w:szCs w:val="23"/>
              </w:rPr>
              <w:t>Rapid Response and Recovery</w:t>
            </w:r>
          </w:p>
        </w:tc>
        <w:tc>
          <w:tcPr>
            <w:tcW w:w="7745" w:type="dxa"/>
            <w:shd w:val="clear" w:color="auto" w:fill="auto"/>
            <w:vAlign w:val="center"/>
          </w:tcPr>
          <w:p w14:paraId="384758F5" w14:textId="77777777" w:rsidR="002A484C" w:rsidRPr="00241625" w:rsidRDefault="002A484C" w:rsidP="002A484C">
            <w:pPr>
              <w:pStyle w:val="Bullet"/>
              <w:numPr>
                <w:ilvl w:val="0"/>
                <w:numId w:val="13"/>
              </w:numPr>
              <w:spacing w:after="120" w:line="240" w:lineRule="auto"/>
              <w:ind w:left="357" w:hanging="357"/>
              <w:rPr>
                <w:rFonts w:ascii="Corbel" w:hAnsi="Corbel"/>
                <w:sz w:val="23"/>
                <w:szCs w:val="23"/>
              </w:rPr>
            </w:pPr>
            <w:r w:rsidRPr="00241625">
              <w:rPr>
                <w:rFonts w:ascii="Corbel" w:hAnsi="Corbel"/>
                <w:sz w:val="23"/>
                <w:szCs w:val="23"/>
              </w:rPr>
              <w:t>Housing Connect assists people seeking housing and homelessness support, including access into private rental, social housing, supported accommodation or crisis shelters, with floating support to sustain a tenancy if required for the duration of need.</w:t>
            </w:r>
          </w:p>
          <w:p w14:paraId="242C7FDB" w14:textId="1F063C15" w:rsidR="002A484C" w:rsidRPr="00241625" w:rsidRDefault="002A484C" w:rsidP="002A484C">
            <w:pPr>
              <w:pStyle w:val="Bullet"/>
              <w:numPr>
                <w:ilvl w:val="0"/>
                <w:numId w:val="13"/>
              </w:numPr>
              <w:spacing w:after="120" w:line="240" w:lineRule="auto"/>
              <w:ind w:left="357" w:hanging="357"/>
              <w:rPr>
                <w:rFonts w:ascii="Corbel" w:hAnsi="Corbel"/>
                <w:sz w:val="23"/>
                <w:szCs w:val="23"/>
              </w:rPr>
            </w:pPr>
            <w:r w:rsidRPr="00241625">
              <w:rPr>
                <w:rFonts w:ascii="Corbel" w:hAnsi="Corbel"/>
                <w:sz w:val="23"/>
                <w:szCs w:val="23"/>
              </w:rPr>
              <w:t>Crisis shelters provide emergency accommodation with some short</w:t>
            </w:r>
            <w:r w:rsidR="00367537">
              <w:rPr>
                <w:rFonts w:ascii="Corbel" w:hAnsi="Corbel"/>
                <w:sz w:val="23"/>
                <w:szCs w:val="23"/>
              </w:rPr>
              <w:noBreakHyphen/>
            </w:r>
            <w:r w:rsidRPr="00241625">
              <w:rPr>
                <w:rFonts w:ascii="Corbel" w:hAnsi="Corbel"/>
                <w:sz w:val="23"/>
                <w:szCs w:val="23"/>
              </w:rPr>
              <w:t xml:space="preserve">term transitional accommodation also available. </w:t>
            </w:r>
          </w:p>
          <w:p w14:paraId="5A31A7A9" w14:textId="6B8C4AA0" w:rsidR="002A484C" w:rsidRPr="00241625" w:rsidRDefault="002A484C" w:rsidP="002A484C">
            <w:pPr>
              <w:pStyle w:val="Bullet"/>
              <w:numPr>
                <w:ilvl w:val="0"/>
                <w:numId w:val="13"/>
              </w:numPr>
              <w:spacing w:after="120" w:line="240" w:lineRule="auto"/>
              <w:ind w:left="357" w:hanging="357"/>
              <w:rPr>
                <w:rFonts w:ascii="Corbel" w:hAnsi="Corbel"/>
                <w:sz w:val="23"/>
                <w:szCs w:val="23"/>
              </w:rPr>
            </w:pPr>
            <w:r w:rsidRPr="00241625">
              <w:rPr>
                <w:rFonts w:ascii="Corbel" w:hAnsi="Corbel"/>
                <w:sz w:val="23"/>
                <w:szCs w:val="23"/>
              </w:rPr>
              <w:t xml:space="preserve">Brokered assistance into alternative emergency accommodation (such as hotels and caravan parks) </w:t>
            </w:r>
            <w:r w:rsidR="00BD21DD">
              <w:rPr>
                <w:rFonts w:ascii="Corbel" w:hAnsi="Corbel"/>
                <w:sz w:val="23"/>
                <w:szCs w:val="23"/>
              </w:rPr>
              <w:t xml:space="preserve">is offered </w:t>
            </w:r>
            <w:r w:rsidRPr="00241625">
              <w:rPr>
                <w:rFonts w:ascii="Corbel" w:hAnsi="Corbel"/>
                <w:sz w:val="23"/>
                <w:szCs w:val="23"/>
              </w:rPr>
              <w:t>when no crisis beds or more secure homes are available.</w:t>
            </w:r>
          </w:p>
        </w:tc>
      </w:tr>
    </w:tbl>
    <w:p w14:paraId="7B694525" w14:textId="77777777" w:rsidR="002A484C" w:rsidRDefault="002A484C" w:rsidP="00AB530D">
      <w:pPr>
        <w:pStyle w:val="ScheduleNumberedPara"/>
        <w:ind w:left="567"/>
        <w:rPr>
          <w:szCs w:val="23"/>
        </w:rPr>
      </w:pPr>
    </w:p>
    <w:p w14:paraId="0ED74F83" w14:textId="44E86C5F" w:rsidR="00667077" w:rsidRPr="00050319" w:rsidRDefault="004055CE" w:rsidP="00AB530D">
      <w:pPr>
        <w:spacing w:after="200" w:line="276" w:lineRule="auto"/>
        <w:rPr>
          <w:rFonts w:eastAsiaTheme="minorHAnsi" w:cstheme="minorBidi"/>
          <w:szCs w:val="23"/>
          <w:lang w:eastAsia="en-US"/>
        </w:rPr>
      </w:pPr>
      <w:r>
        <w:rPr>
          <w:szCs w:val="23"/>
        </w:rPr>
        <w:br w:type="page"/>
      </w:r>
    </w:p>
    <w:p w14:paraId="6600CD5A" w14:textId="03C68553" w:rsidR="0096204D" w:rsidRDefault="0096204D" w:rsidP="00AB530D">
      <w:pPr>
        <w:pStyle w:val="ScheduleNumberedPara"/>
        <w:rPr>
          <w:b/>
        </w:rPr>
      </w:pPr>
      <w:r w:rsidRPr="00050319">
        <w:rPr>
          <w:b/>
        </w:rPr>
        <w:lastRenderedPageBreak/>
        <w:t>Housing programs</w:t>
      </w:r>
    </w:p>
    <w:p w14:paraId="3CDF80F5" w14:textId="30F52924" w:rsidR="000366AE" w:rsidRPr="00A4503A" w:rsidRDefault="000366AE" w:rsidP="00A4503A">
      <w:pPr>
        <w:pStyle w:val="Normalnumbered"/>
        <w:numPr>
          <w:ilvl w:val="0"/>
          <w:numId w:val="3"/>
        </w:numPr>
        <w:rPr>
          <w:szCs w:val="23"/>
        </w:rPr>
      </w:pPr>
      <w:r w:rsidRPr="00A4503A">
        <w:rPr>
          <w:szCs w:val="23"/>
        </w:rPr>
        <w:t xml:space="preserve">The table below includes details of Tasmania’s housing </w:t>
      </w:r>
      <w:r w:rsidR="00AB530D" w:rsidRPr="00A4503A">
        <w:rPr>
          <w:szCs w:val="23"/>
        </w:rPr>
        <w:t>priorities, p</w:t>
      </w:r>
      <w:r w:rsidR="00994EAD" w:rsidRPr="00A4503A">
        <w:rPr>
          <w:szCs w:val="23"/>
        </w:rPr>
        <w:t>olic</w:t>
      </w:r>
      <w:r w:rsidR="00AB530D" w:rsidRPr="00A4503A">
        <w:rPr>
          <w:szCs w:val="23"/>
        </w:rPr>
        <w:t xml:space="preserve">ies and initiatives </w:t>
      </w:r>
      <w:r w:rsidR="00946A2F" w:rsidRPr="00A4503A">
        <w:rPr>
          <w:szCs w:val="23"/>
        </w:rPr>
        <w:t>funded under th</w:t>
      </w:r>
      <w:r w:rsidR="00241625" w:rsidRPr="00A4503A">
        <w:rPr>
          <w:szCs w:val="23"/>
        </w:rPr>
        <w:t>e</w:t>
      </w:r>
      <w:r w:rsidR="00946A2F" w:rsidRPr="00A4503A">
        <w:rPr>
          <w:szCs w:val="23"/>
        </w:rPr>
        <w:t xml:space="preserve"> Agreement and</w:t>
      </w:r>
      <w:r w:rsidR="00D6691B" w:rsidRPr="00A4503A">
        <w:rPr>
          <w:szCs w:val="23"/>
        </w:rPr>
        <w:t xml:space="preserve"> </w:t>
      </w:r>
      <w:r w:rsidR="00AB530D" w:rsidRPr="00A4503A">
        <w:rPr>
          <w:szCs w:val="23"/>
        </w:rPr>
        <w:t>that supplement</w:t>
      </w:r>
      <w:r w:rsidRPr="00A4503A">
        <w:rPr>
          <w:szCs w:val="23"/>
        </w:rPr>
        <w:t xml:space="preserve"> Tasmania’s housing strategy as per clause 19 of the </w:t>
      </w:r>
      <w:r w:rsidR="00241625" w:rsidRPr="00A4503A">
        <w:rPr>
          <w:szCs w:val="23"/>
        </w:rPr>
        <w:t>A</w:t>
      </w:r>
      <w:r w:rsidRPr="00A4503A">
        <w:rPr>
          <w:szCs w:val="23"/>
        </w:rPr>
        <w:t>greement.</w:t>
      </w:r>
    </w:p>
    <w:p w14:paraId="2D609D99" w14:textId="043B24B8" w:rsidR="000542BA" w:rsidRPr="00A4503A" w:rsidRDefault="00BD21DD" w:rsidP="00A4503A">
      <w:pPr>
        <w:pStyle w:val="Normalnumbered"/>
        <w:numPr>
          <w:ilvl w:val="0"/>
          <w:numId w:val="3"/>
        </w:numPr>
        <w:rPr>
          <w:szCs w:val="23"/>
        </w:rPr>
      </w:pPr>
      <w:r w:rsidRPr="00A4503A">
        <w:rPr>
          <w:szCs w:val="23"/>
        </w:rPr>
        <w:t xml:space="preserve">Within the AHS Intervention Framework, housing programs address the areas of prevention and targeted early intervention. </w:t>
      </w:r>
      <w:r w:rsidR="006A393A" w:rsidRPr="00A4503A">
        <w:rPr>
          <w:szCs w:val="23"/>
        </w:rPr>
        <w:t>Prevention involves supply and access to affordable housing to assist vulnerable cohorts at risk of housing stress or homelessness. Targeted early intervention provides supported housing, social housing and affordable home ownership for people on low to moderate incomes.</w:t>
      </w:r>
    </w:p>
    <w:tbl>
      <w:tblPr>
        <w:tblW w:w="90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47"/>
        <w:gridCol w:w="2247"/>
        <w:gridCol w:w="2247"/>
        <w:gridCol w:w="2298"/>
      </w:tblGrid>
      <w:tr w:rsidR="00AB530D" w14:paraId="3064DE08" w14:textId="77777777" w:rsidTr="00286295">
        <w:trPr>
          <w:trHeight w:val="382"/>
          <w:tblHeader/>
        </w:trPr>
        <w:tc>
          <w:tcPr>
            <w:tcW w:w="2247"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BCCE683" w14:textId="77777777" w:rsidR="00AB530D" w:rsidRPr="00AC2F15" w:rsidRDefault="00AB530D" w:rsidP="00BA2625">
            <w:pPr>
              <w:pStyle w:val="Heading2"/>
              <w:jc w:val="center"/>
              <w:rPr>
                <w:bCs w:val="0"/>
                <w:sz w:val="23"/>
                <w:szCs w:val="23"/>
              </w:rPr>
            </w:pPr>
            <w:r w:rsidRPr="00AC2F15">
              <w:rPr>
                <w:bCs w:val="0"/>
                <w:sz w:val="23"/>
                <w:szCs w:val="23"/>
              </w:rPr>
              <w:t>Key commitment</w:t>
            </w:r>
          </w:p>
        </w:tc>
        <w:tc>
          <w:tcPr>
            <w:tcW w:w="2247"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EB3FECB" w14:textId="77777777" w:rsidR="00AB530D" w:rsidRPr="00AC2F15" w:rsidRDefault="00AB530D" w:rsidP="00BA2625">
            <w:pPr>
              <w:pStyle w:val="Heading2"/>
              <w:jc w:val="center"/>
              <w:rPr>
                <w:bCs w:val="0"/>
                <w:sz w:val="23"/>
                <w:szCs w:val="23"/>
              </w:rPr>
            </w:pPr>
            <w:r w:rsidRPr="00AC2F15">
              <w:rPr>
                <w:bCs w:val="0"/>
                <w:sz w:val="23"/>
                <w:szCs w:val="23"/>
              </w:rPr>
              <w:t>Policy or program</w:t>
            </w:r>
          </w:p>
        </w:tc>
        <w:tc>
          <w:tcPr>
            <w:tcW w:w="2247"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A4264FE" w14:textId="441B78D3" w:rsidR="00AB530D" w:rsidRPr="00AC2F15" w:rsidRDefault="00AB530D" w:rsidP="00BA2625">
            <w:pPr>
              <w:pStyle w:val="Heading2"/>
              <w:jc w:val="center"/>
              <w:rPr>
                <w:bCs w:val="0"/>
                <w:sz w:val="23"/>
                <w:szCs w:val="23"/>
                <w:highlight w:val="yellow"/>
              </w:rPr>
            </w:pPr>
            <w:r>
              <w:rPr>
                <w:bCs w:val="0"/>
                <w:sz w:val="23"/>
                <w:szCs w:val="23"/>
              </w:rPr>
              <w:t>Action and k</w:t>
            </w:r>
            <w:r w:rsidRPr="00AC2F15">
              <w:rPr>
                <w:bCs w:val="0"/>
                <w:sz w:val="23"/>
                <w:szCs w:val="23"/>
              </w:rPr>
              <w:t>ey dates</w:t>
            </w:r>
          </w:p>
        </w:tc>
        <w:tc>
          <w:tcPr>
            <w:tcW w:w="2298"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0296DC4" w14:textId="6CF717FB" w:rsidR="00AB530D" w:rsidRPr="00AC2F15" w:rsidRDefault="00AB530D" w:rsidP="00BA2625">
            <w:pPr>
              <w:pStyle w:val="Heading2"/>
              <w:jc w:val="center"/>
              <w:rPr>
                <w:bCs w:val="0"/>
                <w:sz w:val="23"/>
                <w:szCs w:val="23"/>
              </w:rPr>
            </w:pPr>
            <w:r>
              <w:rPr>
                <w:bCs w:val="0"/>
                <w:sz w:val="23"/>
                <w:szCs w:val="23"/>
              </w:rPr>
              <w:t>Funds available under this agreement</w:t>
            </w:r>
            <w:r w:rsidRPr="007D2ECB">
              <w:rPr>
                <w:bCs w:val="0"/>
                <w:sz w:val="23"/>
                <w:szCs w:val="23"/>
                <w:vertAlign w:val="superscript"/>
              </w:rPr>
              <w:t>1</w:t>
            </w:r>
          </w:p>
        </w:tc>
      </w:tr>
      <w:tr w:rsidR="00AB530D" w14:paraId="03564E39" w14:textId="77777777" w:rsidTr="00286295">
        <w:trPr>
          <w:trHeight w:val="609"/>
          <w:tblHeader/>
        </w:trPr>
        <w:tc>
          <w:tcPr>
            <w:tcW w:w="2247" w:type="dxa"/>
            <w:vMerge w:val="restart"/>
            <w:tcBorders>
              <w:top w:val="single" w:sz="8" w:space="0" w:color="4F81BD"/>
              <w:left w:val="single" w:sz="8" w:space="0" w:color="4F81BD"/>
              <w:right w:val="single" w:sz="8" w:space="0" w:color="4F81BD"/>
            </w:tcBorders>
          </w:tcPr>
          <w:p w14:paraId="28A6ACFA" w14:textId="0F4EC455" w:rsidR="00AB530D" w:rsidRDefault="00AB530D" w:rsidP="00BA2625">
            <w:pPr>
              <w:spacing w:line="240" w:lineRule="auto"/>
              <w:jc w:val="left"/>
            </w:pPr>
            <w:r w:rsidRPr="00637DE9">
              <w:t>Contribute to a well-functioning social housing system.</w:t>
            </w:r>
          </w:p>
        </w:tc>
        <w:tc>
          <w:tcPr>
            <w:tcW w:w="2247" w:type="dxa"/>
            <w:tcBorders>
              <w:top w:val="single" w:sz="8" w:space="0" w:color="4F81BD"/>
              <w:left w:val="single" w:sz="8" w:space="0" w:color="4F81BD"/>
              <w:bottom w:val="dotted" w:sz="4" w:space="0" w:color="4F81BD" w:themeColor="accent1"/>
              <w:right w:val="single" w:sz="8" w:space="0" w:color="4F81BD"/>
            </w:tcBorders>
          </w:tcPr>
          <w:p w14:paraId="1D46C505" w14:textId="06B542B8" w:rsidR="00AB530D" w:rsidRPr="00FD4A5F" w:rsidRDefault="00F10D3B" w:rsidP="00BA2625">
            <w:pPr>
              <w:spacing w:line="240" w:lineRule="auto"/>
              <w:jc w:val="left"/>
            </w:pPr>
            <w:r>
              <w:rPr>
                <w:b/>
                <w:szCs w:val="23"/>
              </w:rPr>
              <w:t>Commitment</w:t>
            </w:r>
            <w:r w:rsidRPr="00F10D3B">
              <w:rPr>
                <w:b/>
                <w:szCs w:val="23"/>
              </w:rPr>
              <w:t xml:space="preserve"> 1</w:t>
            </w:r>
            <w:r>
              <w:rPr>
                <w:szCs w:val="23"/>
              </w:rPr>
              <w:t xml:space="preserve">: </w:t>
            </w:r>
            <w:r w:rsidR="00AB530D" w:rsidRPr="00050319">
              <w:rPr>
                <w:szCs w:val="23"/>
              </w:rPr>
              <w:t xml:space="preserve">Provide </w:t>
            </w:r>
            <w:r w:rsidR="00AB530D">
              <w:rPr>
                <w:szCs w:val="23"/>
              </w:rPr>
              <w:t xml:space="preserve">and </w:t>
            </w:r>
            <w:r w:rsidR="00AB530D" w:rsidRPr="00BC2CC7">
              <w:rPr>
                <w:b/>
                <w:szCs w:val="23"/>
              </w:rPr>
              <w:t>maintain public housing</w:t>
            </w:r>
            <w:r w:rsidR="00AB530D" w:rsidRPr="00050319">
              <w:rPr>
                <w:szCs w:val="23"/>
              </w:rPr>
              <w:t xml:space="preserve"> </w:t>
            </w:r>
            <w:r w:rsidR="00AB530D">
              <w:rPr>
                <w:szCs w:val="23"/>
              </w:rPr>
              <w:t>dwellings in a timely way that</w:t>
            </w:r>
            <w:r w:rsidR="00AB530D" w:rsidRPr="00050319">
              <w:rPr>
                <w:szCs w:val="23"/>
              </w:rPr>
              <w:t xml:space="preserve"> meets appropriate standards.</w:t>
            </w:r>
          </w:p>
        </w:tc>
        <w:tc>
          <w:tcPr>
            <w:tcW w:w="2247" w:type="dxa"/>
            <w:tcBorders>
              <w:top w:val="single" w:sz="8" w:space="0" w:color="4F81BD"/>
              <w:left w:val="single" w:sz="8" w:space="0" w:color="4F81BD"/>
              <w:bottom w:val="dotted" w:sz="4" w:space="0" w:color="4F81BD" w:themeColor="accent1"/>
              <w:right w:val="single" w:sz="8" w:space="0" w:color="4F81BD"/>
            </w:tcBorders>
          </w:tcPr>
          <w:p w14:paraId="3F010E42" w14:textId="77777777" w:rsidR="00AB530D" w:rsidRPr="008431BF" w:rsidRDefault="00AB530D" w:rsidP="00BA2625">
            <w:pPr>
              <w:spacing w:line="240" w:lineRule="auto"/>
              <w:jc w:val="left"/>
            </w:pPr>
            <w:r w:rsidRPr="008431BF">
              <w:rPr>
                <w:szCs w:val="23"/>
              </w:rPr>
              <w:t xml:space="preserve">Improve the amenity of 1 050 public housing properties </w:t>
            </w:r>
            <w:r w:rsidRPr="008431BF">
              <w:rPr>
                <w:bCs/>
                <w:iCs/>
                <w:szCs w:val="23"/>
              </w:rPr>
              <w:t xml:space="preserve">per annum </w:t>
            </w:r>
            <w:r w:rsidRPr="008431BF">
              <w:rPr>
                <w:szCs w:val="23"/>
              </w:rPr>
              <w:t>through works that include any of the following: bathroom upgrade, kitchen upgrade, energy efficient heating, new floor coverings or disability modifications.</w:t>
            </w:r>
          </w:p>
        </w:tc>
        <w:tc>
          <w:tcPr>
            <w:tcW w:w="2298" w:type="dxa"/>
            <w:tcBorders>
              <w:top w:val="single" w:sz="8" w:space="0" w:color="4F81BD"/>
              <w:left w:val="single" w:sz="8" w:space="0" w:color="4F81BD"/>
              <w:bottom w:val="dotted" w:sz="4" w:space="0" w:color="4F81BD" w:themeColor="accent1"/>
              <w:right w:val="single" w:sz="8" w:space="0" w:color="4F81BD"/>
            </w:tcBorders>
          </w:tcPr>
          <w:p w14:paraId="268CD1B8" w14:textId="25DF73F2" w:rsidR="00AB530D" w:rsidRDefault="00AB530D" w:rsidP="00BA2625">
            <w:pPr>
              <w:spacing w:line="240" w:lineRule="auto"/>
              <w:jc w:val="left"/>
            </w:pPr>
            <w:r>
              <w:rPr>
                <w:szCs w:val="23"/>
              </w:rPr>
              <w:t xml:space="preserve">Estimated base </w:t>
            </w:r>
            <w:r w:rsidRPr="00317D3D">
              <w:rPr>
                <w:szCs w:val="23"/>
              </w:rPr>
              <w:t>Commonwealth contribution $</w:t>
            </w:r>
            <w:r>
              <w:rPr>
                <w:szCs w:val="23"/>
              </w:rPr>
              <w:t>13.6 million.</w:t>
            </w:r>
          </w:p>
        </w:tc>
      </w:tr>
      <w:tr w:rsidR="00AB530D" w14:paraId="7CFD8354" w14:textId="77777777" w:rsidTr="00286295">
        <w:trPr>
          <w:trHeight w:val="609"/>
          <w:tblHeader/>
        </w:trPr>
        <w:tc>
          <w:tcPr>
            <w:tcW w:w="2247" w:type="dxa"/>
            <w:vMerge/>
            <w:tcBorders>
              <w:left w:val="single" w:sz="8" w:space="0" w:color="4F81BD"/>
              <w:bottom w:val="single" w:sz="8" w:space="0" w:color="4F81BD"/>
              <w:right w:val="single" w:sz="8" w:space="0" w:color="4F81BD"/>
            </w:tcBorders>
          </w:tcPr>
          <w:p w14:paraId="21039409" w14:textId="77777777" w:rsidR="00AB530D" w:rsidRDefault="00AB530D" w:rsidP="00BA2625">
            <w:pPr>
              <w:spacing w:line="240" w:lineRule="auto"/>
              <w:jc w:val="left"/>
            </w:pPr>
          </w:p>
        </w:tc>
        <w:tc>
          <w:tcPr>
            <w:tcW w:w="2247" w:type="dxa"/>
            <w:tcBorders>
              <w:top w:val="dotted" w:sz="4" w:space="0" w:color="4F81BD" w:themeColor="accent1"/>
              <w:left w:val="single" w:sz="8" w:space="0" w:color="4F81BD"/>
              <w:bottom w:val="single" w:sz="8" w:space="0" w:color="4F81BD"/>
              <w:right w:val="single" w:sz="8" w:space="0" w:color="4F81BD"/>
            </w:tcBorders>
          </w:tcPr>
          <w:p w14:paraId="2152E102" w14:textId="7D89A9EE" w:rsidR="00AB530D" w:rsidRPr="00050319" w:rsidRDefault="00F10D3B" w:rsidP="00BA2625">
            <w:pPr>
              <w:spacing w:line="240" w:lineRule="auto"/>
              <w:jc w:val="left"/>
              <w:rPr>
                <w:szCs w:val="23"/>
              </w:rPr>
            </w:pPr>
            <w:r>
              <w:rPr>
                <w:b/>
                <w:szCs w:val="23"/>
              </w:rPr>
              <w:t>Commitment</w:t>
            </w:r>
            <w:r w:rsidRPr="00F10D3B">
              <w:rPr>
                <w:b/>
                <w:szCs w:val="23"/>
              </w:rPr>
              <w:t xml:space="preserve"> 2</w:t>
            </w:r>
            <w:r>
              <w:rPr>
                <w:szCs w:val="23"/>
              </w:rPr>
              <w:t xml:space="preserve">: </w:t>
            </w:r>
            <w:r w:rsidR="00AB530D" w:rsidRPr="00E13B34">
              <w:rPr>
                <w:szCs w:val="23"/>
              </w:rPr>
              <w:t xml:space="preserve">Deliver </w:t>
            </w:r>
            <w:r w:rsidR="00AB530D" w:rsidRPr="00BC2CC7">
              <w:rPr>
                <w:b/>
                <w:szCs w:val="23"/>
              </w:rPr>
              <w:t>new supply</w:t>
            </w:r>
            <w:r w:rsidR="00AB530D" w:rsidRPr="00E13B34">
              <w:rPr>
                <w:szCs w:val="23"/>
              </w:rPr>
              <w:t xml:space="preserve"> of social housing</w:t>
            </w:r>
            <w:r w:rsidR="00BA2625">
              <w:rPr>
                <w:szCs w:val="23"/>
              </w:rPr>
              <w:t>.</w:t>
            </w:r>
          </w:p>
        </w:tc>
        <w:tc>
          <w:tcPr>
            <w:tcW w:w="2247" w:type="dxa"/>
            <w:tcBorders>
              <w:top w:val="dotted" w:sz="4" w:space="0" w:color="4F81BD" w:themeColor="accent1"/>
              <w:left w:val="single" w:sz="8" w:space="0" w:color="4F81BD"/>
              <w:bottom w:val="single" w:sz="8" w:space="0" w:color="4F81BD"/>
              <w:right w:val="single" w:sz="8" w:space="0" w:color="4F81BD"/>
            </w:tcBorders>
          </w:tcPr>
          <w:p w14:paraId="038EC500" w14:textId="5E5FF683" w:rsidR="00AB530D" w:rsidRDefault="00AB530D" w:rsidP="00BA2625">
            <w:pPr>
              <w:pStyle w:val="Heading2"/>
              <w:spacing w:before="0"/>
              <w:rPr>
                <w:rFonts w:cs="Times New Roman"/>
                <w:b w:val="0"/>
                <w:bCs w:val="0"/>
                <w:iCs w:val="0"/>
                <w:color w:val="000000"/>
                <w:sz w:val="23"/>
                <w:szCs w:val="23"/>
              </w:rPr>
            </w:pPr>
            <w:r>
              <w:rPr>
                <w:rFonts w:cs="Times New Roman"/>
                <w:b w:val="0"/>
                <w:bCs w:val="0"/>
                <w:iCs w:val="0"/>
                <w:color w:val="000000"/>
                <w:sz w:val="23"/>
                <w:szCs w:val="23"/>
              </w:rPr>
              <w:t>Deliver 15 new social housing properties per annum</w:t>
            </w:r>
            <w:r w:rsidR="00BA2625">
              <w:rPr>
                <w:rFonts w:cs="Times New Roman"/>
                <w:b w:val="0"/>
                <w:bCs w:val="0"/>
                <w:iCs w:val="0"/>
                <w:color w:val="000000"/>
                <w:sz w:val="23"/>
                <w:szCs w:val="23"/>
              </w:rPr>
              <w:t>.</w:t>
            </w:r>
          </w:p>
        </w:tc>
        <w:tc>
          <w:tcPr>
            <w:tcW w:w="2298" w:type="dxa"/>
            <w:tcBorders>
              <w:top w:val="dotted" w:sz="4" w:space="0" w:color="4F81BD" w:themeColor="accent1"/>
              <w:left w:val="single" w:sz="8" w:space="0" w:color="4F81BD"/>
              <w:bottom w:val="single" w:sz="8" w:space="0" w:color="4F81BD"/>
              <w:right w:val="single" w:sz="8" w:space="0" w:color="4F81BD"/>
            </w:tcBorders>
          </w:tcPr>
          <w:p w14:paraId="1728381E" w14:textId="442C79E0" w:rsidR="00AB530D" w:rsidRDefault="00AB530D" w:rsidP="00BA2625">
            <w:pPr>
              <w:spacing w:line="240" w:lineRule="auto"/>
              <w:jc w:val="left"/>
              <w:rPr>
                <w:szCs w:val="23"/>
              </w:rPr>
            </w:pPr>
            <w:r>
              <w:rPr>
                <w:szCs w:val="23"/>
              </w:rPr>
              <w:t xml:space="preserve">Estimated base </w:t>
            </w:r>
            <w:r w:rsidRPr="00317D3D">
              <w:rPr>
                <w:szCs w:val="23"/>
              </w:rPr>
              <w:t>Commonwealth contribution $</w:t>
            </w:r>
            <w:r>
              <w:rPr>
                <w:szCs w:val="23"/>
              </w:rPr>
              <w:t>3 million.</w:t>
            </w:r>
          </w:p>
        </w:tc>
      </w:tr>
      <w:tr w:rsidR="00AB530D" w14:paraId="1D66FEAD" w14:textId="77777777" w:rsidTr="00BA2625">
        <w:trPr>
          <w:trHeight w:val="609"/>
          <w:tblHeader/>
        </w:trPr>
        <w:tc>
          <w:tcPr>
            <w:tcW w:w="2247" w:type="dxa"/>
            <w:tcBorders>
              <w:top w:val="single" w:sz="8" w:space="0" w:color="4F81BD"/>
              <w:left w:val="single" w:sz="8" w:space="0" w:color="4F81BD"/>
              <w:bottom w:val="single" w:sz="8" w:space="0" w:color="4F81BD"/>
              <w:right w:val="single" w:sz="8" w:space="0" w:color="4F81BD"/>
            </w:tcBorders>
          </w:tcPr>
          <w:p w14:paraId="24A422B5" w14:textId="2087141D" w:rsidR="00AB530D" w:rsidRDefault="00AB530D" w:rsidP="00286295">
            <w:pPr>
              <w:spacing w:line="240" w:lineRule="auto"/>
              <w:jc w:val="left"/>
            </w:pPr>
            <w:r>
              <w:t xml:space="preserve">Contribute to </w:t>
            </w:r>
            <w:r>
              <w:rPr>
                <w:rFonts w:eastAsiaTheme="minorHAnsi" w:cs="Corbel"/>
                <w:color w:val="auto"/>
                <w:szCs w:val="23"/>
                <w:lang w:eastAsia="en-US"/>
              </w:rPr>
              <w:t>affordable housing options for people on low-to-moderate incomes</w:t>
            </w:r>
            <w:r w:rsidR="00BA2625">
              <w:rPr>
                <w:rFonts w:eastAsiaTheme="minorHAnsi" w:cs="Corbel"/>
                <w:color w:val="auto"/>
                <w:szCs w:val="23"/>
                <w:lang w:eastAsia="en-US"/>
              </w:rPr>
              <w:t>.</w:t>
            </w:r>
          </w:p>
        </w:tc>
        <w:tc>
          <w:tcPr>
            <w:tcW w:w="2247" w:type="dxa"/>
            <w:tcBorders>
              <w:top w:val="single" w:sz="8" w:space="0" w:color="4F81BD"/>
              <w:left w:val="single" w:sz="8" w:space="0" w:color="4F81BD"/>
              <w:bottom w:val="single" w:sz="8" w:space="0" w:color="4F81BD"/>
              <w:right w:val="single" w:sz="8" w:space="0" w:color="4F81BD"/>
            </w:tcBorders>
          </w:tcPr>
          <w:p w14:paraId="47D43087" w14:textId="68E0F3BF" w:rsidR="00AB530D" w:rsidRPr="00E13B34" w:rsidRDefault="00F10D3B" w:rsidP="00BA2625">
            <w:pPr>
              <w:spacing w:line="240" w:lineRule="auto"/>
              <w:jc w:val="left"/>
              <w:rPr>
                <w:color w:val="FF0000"/>
                <w:szCs w:val="23"/>
              </w:rPr>
            </w:pPr>
            <w:r w:rsidRPr="00F10D3B">
              <w:rPr>
                <w:b/>
                <w:bCs/>
                <w:iCs/>
                <w:szCs w:val="23"/>
              </w:rPr>
              <w:t>Commitment 3</w:t>
            </w:r>
            <w:r w:rsidRPr="00286295">
              <w:rPr>
                <w:bCs/>
                <w:iCs/>
                <w:szCs w:val="23"/>
              </w:rPr>
              <w:t>:</w:t>
            </w:r>
            <w:r>
              <w:rPr>
                <w:bCs/>
                <w:iCs/>
                <w:szCs w:val="23"/>
              </w:rPr>
              <w:t xml:space="preserve"> </w:t>
            </w:r>
            <w:r w:rsidR="00AB530D" w:rsidRPr="00E13B34">
              <w:rPr>
                <w:bCs/>
                <w:iCs/>
                <w:szCs w:val="23"/>
              </w:rPr>
              <w:t xml:space="preserve">Provide </w:t>
            </w:r>
            <w:r w:rsidR="00AB530D" w:rsidRPr="00BC2CC7">
              <w:rPr>
                <w:b/>
                <w:bCs/>
                <w:iCs/>
                <w:szCs w:val="23"/>
              </w:rPr>
              <w:t>financial assistance</w:t>
            </w:r>
            <w:r w:rsidR="00AB530D" w:rsidRPr="00E13B34">
              <w:rPr>
                <w:bCs/>
                <w:iCs/>
                <w:szCs w:val="23"/>
              </w:rPr>
              <w:t xml:space="preserve"> to </w:t>
            </w:r>
            <w:r w:rsidR="00367537">
              <w:rPr>
                <w:bCs/>
                <w:iCs/>
                <w:szCs w:val="23"/>
              </w:rPr>
              <w:t xml:space="preserve">help </w:t>
            </w:r>
            <w:r w:rsidR="00AB530D" w:rsidRPr="00E13B34">
              <w:rPr>
                <w:bCs/>
                <w:iCs/>
                <w:szCs w:val="23"/>
              </w:rPr>
              <w:t>low-to-moderate income households into affordable private rentals</w:t>
            </w:r>
            <w:r w:rsidR="00BA2625">
              <w:rPr>
                <w:bCs/>
                <w:iCs/>
                <w:szCs w:val="23"/>
              </w:rPr>
              <w:t>.</w:t>
            </w:r>
          </w:p>
        </w:tc>
        <w:tc>
          <w:tcPr>
            <w:tcW w:w="2247" w:type="dxa"/>
            <w:tcBorders>
              <w:top w:val="single" w:sz="8" w:space="0" w:color="4F81BD"/>
              <w:left w:val="single" w:sz="8" w:space="0" w:color="4F81BD"/>
              <w:bottom w:val="single" w:sz="8" w:space="0" w:color="4F81BD"/>
              <w:right w:val="single" w:sz="8" w:space="0" w:color="4F81BD"/>
            </w:tcBorders>
          </w:tcPr>
          <w:p w14:paraId="32567C6B" w14:textId="58377BDD" w:rsidR="00AB530D" w:rsidRDefault="00AB530D" w:rsidP="00BA2625">
            <w:pPr>
              <w:pStyle w:val="Heading2"/>
              <w:spacing w:before="0"/>
              <w:rPr>
                <w:rFonts w:cs="Times New Roman"/>
                <w:b w:val="0"/>
                <w:bCs w:val="0"/>
                <w:iCs w:val="0"/>
                <w:color w:val="000000"/>
                <w:sz w:val="23"/>
                <w:szCs w:val="23"/>
              </w:rPr>
            </w:pPr>
            <w:r>
              <w:rPr>
                <w:rFonts w:cs="Times New Roman"/>
                <w:b w:val="0"/>
                <w:bCs w:val="0"/>
                <w:iCs w:val="0"/>
                <w:color w:val="000000"/>
                <w:sz w:val="23"/>
                <w:szCs w:val="23"/>
              </w:rPr>
              <w:t xml:space="preserve">Assist 1 500 households per annum </w:t>
            </w:r>
            <w:r w:rsidR="00BA2625">
              <w:rPr>
                <w:rFonts w:cs="Times New Roman"/>
                <w:b w:val="0"/>
                <w:bCs w:val="0"/>
                <w:iCs w:val="0"/>
                <w:color w:val="000000"/>
                <w:sz w:val="23"/>
                <w:szCs w:val="23"/>
              </w:rPr>
              <w:t>into affordable private rentals.</w:t>
            </w:r>
          </w:p>
        </w:tc>
        <w:tc>
          <w:tcPr>
            <w:tcW w:w="2298" w:type="dxa"/>
            <w:tcBorders>
              <w:top w:val="single" w:sz="8" w:space="0" w:color="4F81BD"/>
              <w:left w:val="single" w:sz="8" w:space="0" w:color="4F81BD"/>
              <w:bottom w:val="single" w:sz="8" w:space="0" w:color="4F81BD"/>
              <w:right w:val="single" w:sz="8" w:space="0" w:color="4F81BD"/>
            </w:tcBorders>
          </w:tcPr>
          <w:p w14:paraId="3AEFD263" w14:textId="03BD5C84" w:rsidR="00AB530D" w:rsidRDefault="00AB530D" w:rsidP="00BA2625">
            <w:pPr>
              <w:spacing w:line="240" w:lineRule="auto"/>
              <w:jc w:val="left"/>
              <w:rPr>
                <w:szCs w:val="23"/>
              </w:rPr>
            </w:pPr>
            <w:r>
              <w:rPr>
                <w:szCs w:val="23"/>
              </w:rPr>
              <w:t xml:space="preserve">Estimated base </w:t>
            </w:r>
            <w:r w:rsidRPr="00317D3D">
              <w:rPr>
                <w:szCs w:val="23"/>
              </w:rPr>
              <w:t>Commonwealth contribution $</w:t>
            </w:r>
            <w:r>
              <w:rPr>
                <w:szCs w:val="23"/>
              </w:rPr>
              <w:t>2.4 million.</w:t>
            </w:r>
          </w:p>
        </w:tc>
      </w:tr>
    </w:tbl>
    <w:p w14:paraId="3F8369CE" w14:textId="77777777" w:rsidR="00AB530D" w:rsidRPr="00AB530D" w:rsidRDefault="00AB530D" w:rsidP="00AB530D">
      <w:pPr>
        <w:spacing w:before="120" w:after="0" w:line="240" w:lineRule="auto"/>
        <w:jc w:val="left"/>
        <w:rPr>
          <w:szCs w:val="23"/>
        </w:rPr>
      </w:pPr>
      <w:r w:rsidRPr="00AB530D">
        <w:rPr>
          <w:szCs w:val="23"/>
        </w:rPr>
        <w:t>Notes:</w:t>
      </w:r>
    </w:p>
    <w:p w14:paraId="2F7ED0DD" w14:textId="115BF9F0" w:rsidR="00AB530D" w:rsidRPr="00AB530D" w:rsidRDefault="00AB530D" w:rsidP="001349DD">
      <w:pPr>
        <w:spacing w:after="0" w:line="240" w:lineRule="auto"/>
        <w:ind w:left="142" w:hanging="142"/>
        <w:jc w:val="left"/>
        <w:rPr>
          <w:szCs w:val="23"/>
        </w:rPr>
      </w:pPr>
      <w:r w:rsidRPr="00AB530D">
        <w:rPr>
          <w:szCs w:val="23"/>
          <w:vertAlign w:val="superscript"/>
        </w:rPr>
        <w:t>1</w:t>
      </w:r>
      <w:r>
        <w:rPr>
          <w:szCs w:val="23"/>
          <w:vertAlign w:val="superscript"/>
        </w:rPr>
        <w:t xml:space="preserve"> </w:t>
      </w:r>
      <w:r w:rsidR="001349DD">
        <w:rPr>
          <w:szCs w:val="23"/>
        </w:rPr>
        <w:t>The balance of general funding will be allocated to</w:t>
      </w:r>
      <w:r w:rsidRPr="00AB530D">
        <w:rPr>
          <w:szCs w:val="23"/>
        </w:rPr>
        <w:t xml:space="preserve"> Homelessness programs</w:t>
      </w:r>
      <w:r w:rsidR="001349DD">
        <w:rPr>
          <w:szCs w:val="23"/>
        </w:rPr>
        <w:t>, as detailed on the following page</w:t>
      </w:r>
      <w:r w:rsidRPr="00AB530D">
        <w:rPr>
          <w:szCs w:val="23"/>
        </w:rPr>
        <w:t xml:space="preserve">. </w:t>
      </w:r>
    </w:p>
    <w:p w14:paraId="2AE7CEDF" w14:textId="09C10F3A" w:rsidR="000366AE" w:rsidRDefault="000366AE" w:rsidP="00AB530D">
      <w:pPr>
        <w:spacing w:after="200" w:line="276" w:lineRule="auto"/>
        <w:rPr>
          <w:b/>
          <w:highlight w:val="yellow"/>
        </w:rPr>
      </w:pPr>
    </w:p>
    <w:p w14:paraId="4E71C723" w14:textId="77777777" w:rsidR="000366AE" w:rsidRDefault="000366AE" w:rsidP="00AB530D">
      <w:pPr>
        <w:spacing w:after="200" w:line="276" w:lineRule="auto"/>
        <w:rPr>
          <w:b/>
          <w:highlight w:val="yellow"/>
        </w:rPr>
      </w:pPr>
      <w:r>
        <w:rPr>
          <w:b/>
          <w:highlight w:val="yellow"/>
        </w:rPr>
        <w:br w:type="page"/>
      </w:r>
    </w:p>
    <w:p w14:paraId="0ED2C5C5" w14:textId="51A1123A" w:rsidR="0096204D" w:rsidRDefault="0096204D" w:rsidP="00AB530D">
      <w:pPr>
        <w:spacing w:after="200" w:line="276" w:lineRule="auto"/>
        <w:rPr>
          <w:b/>
        </w:rPr>
      </w:pPr>
      <w:r w:rsidRPr="004605A8">
        <w:rPr>
          <w:b/>
        </w:rPr>
        <w:lastRenderedPageBreak/>
        <w:t>Homelessness programs</w:t>
      </w:r>
    </w:p>
    <w:p w14:paraId="7DF163DA" w14:textId="71B99040" w:rsidR="000366AE" w:rsidRPr="00A4503A" w:rsidRDefault="000366AE" w:rsidP="00A4503A">
      <w:pPr>
        <w:pStyle w:val="Normalnumbered"/>
        <w:numPr>
          <w:ilvl w:val="0"/>
          <w:numId w:val="3"/>
        </w:numPr>
        <w:rPr>
          <w:szCs w:val="23"/>
        </w:rPr>
      </w:pPr>
      <w:r w:rsidRPr="00A4503A">
        <w:rPr>
          <w:szCs w:val="23"/>
        </w:rPr>
        <w:t xml:space="preserve">The table below includes details of Tasmania’s homelessness priorities, policies and initiatives that supplement Tasmania’s homelessness strategy as per clause 19 of the </w:t>
      </w:r>
      <w:r w:rsidR="00241625" w:rsidRPr="00A4503A">
        <w:rPr>
          <w:szCs w:val="23"/>
        </w:rPr>
        <w:t>A</w:t>
      </w:r>
      <w:r w:rsidRPr="00A4503A">
        <w:rPr>
          <w:szCs w:val="23"/>
        </w:rPr>
        <w:t>greement.</w:t>
      </w:r>
    </w:p>
    <w:p w14:paraId="66E67F07" w14:textId="3DCABE3E" w:rsidR="00BD21DD" w:rsidRPr="00A4503A" w:rsidRDefault="00BD21DD" w:rsidP="00A4503A">
      <w:pPr>
        <w:pStyle w:val="Normalnumbered"/>
        <w:numPr>
          <w:ilvl w:val="0"/>
          <w:numId w:val="3"/>
        </w:numPr>
        <w:rPr>
          <w:szCs w:val="23"/>
        </w:rPr>
      </w:pPr>
      <w:r w:rsidRPr="00A4503A">
        <w:rPr>
          <w:szCs w:val="23"/>
        </w:rPr>
        <w:t>Within the AHS Intervention Framework, homelessness programs address the area of response and recovery. Response and recovery is the provision of crisis and transitional accommodation for people who are homeless or at risk of homelessness.</w:t>
      </w:r>
    </w:p>
    <w:p w14:paraId="37B30224" w14:textId="32A15152" w:rsidR="00740F36" w:rsidRPr="00CC7CCB" w:rsidRDefault="00740F36" w:rsidP="00A4503A">
      <w:pPr>
        <w:pStyle w:val="Normalnumbered"/>
        <w:numPr>
          <w:ilvl w:val="0"/>
          <w:numId w:val="3"/>
        </w:numPr>
        <w:rPr>
          <w:rFonts w:cs="Arial"/>
          <w:szCs w:val="23"/>
        </w:rPr>
      </w:pPr>
      <w:r w:rsidRPr="00A4503A">
        <w:rPr>
          <w:szCs w:val="23"/>
        </w:rPr>
        <w:t xml:space="preserve">Tasmania’s Housing Assessment Prioritisation System assesses people’s need for housing assistance based on affordability, safety, health conditions and homelessness. </w:t>
      </w:r>
      <w:r w:rsidR="00241625" w:rsidRPr="00A4503A">
        <w:rPr>
          <w:szCs w:val="23"/>
        </w:rPr>
        <w:t xml:space="preserve">The </w:t>
      </w:r>
      <w:r w:rsidRPr="00A4503A">
        <w:rPr>
          <w:szCs w:val="23"/>
        </w:rPr>
        <w:t xml:space="preserve">national priority homelessness cohorts </w:t>
      </w:r>
      <w:r w:rsidR="00241625" w:rsidRPr="00A4503A">
        <w:rPr>
          <w:szCs w:val="23"/>
        </w:rPr>
        <w:t>align with Tasmania’s needs-based assessment and</w:t>
      </w:r>
      <w:r w:rsidRPr="00A4503A">
        <w:rPr>
          <w:szCs w:val="23"/>
        </w:rPr>
        <w:t xml:space="preserve"> would be assessed as priority</w:t>
      </w:r>
      <w:r>
        <w:rPr>
          <w:rFonts w:cs="Arial"/>
          <w:szCs w:val="23"/>
        </w:rPr>
        <w:t xml:space="preserve"> applicants.</w:t>
      </w:r>
    </w:p>
    <w:tbl>
      <w:tblPr>
        <w:tblW w:w="1007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269"/>
        <w:gridCol w:w="4680"/>
        <w:gridCol w:w="3121"/>
        <w:tblGridChange w:id="4">
          <w:tblGrid>
            <w:gridCol w:w="2269"/>
            <w:gridCol w:w="4680"/>
            <w:gridCol w:w="3121"/>
          </w:tblGrid>
        </w:tblGridChange>
      </w:tblGrid>
      <w:tr w:rsidR="00A4503A" w14:paraId="0A0E04D1" w14:textId="77777777" w:rsidTr="00286295">
        <w:trPr>
          <w:trHeight w:val="464"/>
          <w:tblHeader/>
        </w:trPr>
        <w:tc>
          <w:tcPr>
            <w:tcW w:w="226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136E062E" w14:textId="791B60F1" w:rsidR="00A4503A" w:rsidRDefault="00BC2C9F">
            <w:pPr>
              <w:pStyle w:val="Heading2"/>
              <w:spacing w:line="276" w:lineRule="auto"/>
              <w:jc w:val="center"/>
              <w:rPr>
                <w:bCs w:val="0"/>
                <w:sz w:val="23"/>
                <w:szCs w:val="23"/>
                <w:lang w:eastAsia="en-US"/>
              </w:rPr>
            </w:pPr>
            <w:r>
              <w:rPr>
                <w:bCs w:val="0"/>
                <w:sz w:val="23"/>
                <w:szCs w:val="23"/>
                <w:lang w:eastAsia="en-US"/>
              </w:rPr>
              <w:t>National Priority</w:t>
            </w:r>
          </w:p>
        </w:tc>
        <w:tc>
          <w:tcPr>
            <w:tcW w:w="46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7EEFD265" w14:textId="7529F85A" w:rsidR="00A4503A" w:rsidRDefault="00BC2C9F">
            <w:pPr>
              <w:pStyle w:val="Heading2"/>
              <w:spacing w:line="276" w:lineRule="auto"/>
              <w:jc w:val="center"/>
              <w:rPr>
                <w:bCs w:val="0"/>
                <w:sz w:val="23"/>
                <w:szCs w:val="23"/>
                <w:lang w:eastAsia="en-US"/>
              </w:rPr>
            </w:pPr>
            <w:r>
              <w:rPr>
                <w:bCs w:val="0"/>
                <w:sz w:val="23"/>
                <w:szCs w:val="23"/>
                <w:lang w:eastAsia="en-US"/>
              </w:rPr>
              <w:t xml:space="preserve">Key commitment / </w:t>
            </w:r>
            <w:r w:rsidR="00A4503A">
              <w:rPr>
                <w:bCs w:val="0"/>
                <w:sz w:val="23"/>
                <w:szCs w:val="23"/>
                <w:lang w:eastAsia="en-US"/>
              </w:rPr>
              <w:t>Policy or program</w:t>
            </w:r>
          </w:p>
        </w:tc>
        <w:tc>
          <w:tcPr>
            <w:tcW w:w="3121"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hideMark/>
          </w:tcPr>
          <w:p w14:paraId="51677C07" w14:textId="77777777" w:rsidR="00A4503A" w:rsidRDefault="00A4503A">
            <w:pPr>
              <w:pStyle w:val="Heading2"/>
              <w:spacing w:line="276" w:lineRule="auto"/>
              <w:jc w:val="center"/>
              <w:rPr>
                <w:bCs w:val="0"/>
                <w:sz w:val="23"/>
                <w:szCs w:val="23"/>
                <w:highlight w:val="yellow"/>
                <w:lang w:eastAsia="en-US"/>
              </w:rPr>
            </w:pPr>
            <w:r>
              <w:rPr>
                <w:bCs w:val="0"/>
                <w:sz w:val="23"/>
                <w:szCs w:val="23"/>
                <w:lang w:eastAsia="en-US"/>
              </w:rPr>
              <w:t>Action and key dates</w:t>
            </w:r>
          </w:p>
        </w:tc>
      </w:tr>
      <w:tr w:rsidR="005D488A" w14:paraId="61F2622C" w14:textId="77777777" w:rsidTr="00286295">
        <w:trPr>
          <w:trHeight w:val="740"/>
        </w:trPr>
        <w:tc>
          <w:tcPr>
            <w:tcW w:w="2269" w:type="dxa"/>
            <w:vMerge w:val="restart"/>
            <w:tcBorders>
              <w:top w:val="single" w:sz="8" w:space="0" w:color="4F81BD"/>
              <w:left w:val="single" w:sz="8" w:space="0" w:color="4F81BD"/>
              <w:right w:val="single" w:sz="8" w:space="0" w:color="4F81BD"/>
            </w:tcBorders>
            <w:hideMark/>
          </w:tcPr>
          <w:p w14:paraId="56DB8B75" w14:textId="77777777" w:rsidR="005D488A" w:rsidRDefault="005D488A">
            <w:pPr>
              <w:spacing w:line="240" w:lineRule="auto"/>
              <w:jc w:val="left"/>
              <w:rPr>
                <w:lang w:eastAsia="en-US"/>
              </w:rPr>
            </w:pPr>
            <w:r>
              <w:rPr>
                <w:lang w:eastAsia="en-US"/>
              </w:rPr>
              <w:t>Reforms and initiatives that contribute to a reduction in the incidence of homelessness</w:t>
            </w:r>
          </w:p>
        </w:tc>
        <w:tc>
          <w:tcPr>
            <w:tcW w:w="4680" w:type="dxa"/>
            <w:tcBorders>
              <w:top w:val="single" w:sz="8" w:space="0" w:color="4F81BD"/>
              <w:left w:val="single" w:sz="8" w:space="0" w:color="4F81BD"/>
              <w:bottom w:val="dotted" w:sz="4" w:space="0" w:color="4F81BD" w:themeColor="accent1"/>
              <w:right w:val="single" w:sz="8" w:space="0" w:color="4F81BD"/>
            </w:tcBorders>
          </w:tcPr>
          <w:p w14:paraId="382DD7E4" w14:textId="77777777" w:rsidR="003B421C" w:rsidRDefault="005D488A" w:rsidP="00F10D3B">
            <w:pPr>
              <w:spacing w:line="240" w:lineRule="auto"/>
              <w:jc w:val="left"/>
              <w:rPr>
                <w:lang w:eastAsia="en-US"/>
              </w:rPr>
            </w:pPr>
            <w:r>
              <w:rPr>
                <w:lang w:eastAsia="en-US"/>
              </w:rPr>
              <w:t>Contribute to supporting people who are homeless or at risk of homele</w:t>
            </w:r>
            <w:r w:rsidR="003B421C">
              <w:rPr>
                <w:lang w:eastAsia="en-US"/>
              </w:rPr>
              <w:t xml:space="preserve">ssness. </w:t>
            </w:r>
          </w:p>
          <w:p w14:paraId="6D3AC24A" w14:textId="10542061" w:rsidR="005D488A" w:rsidRDefault="003B421C" w:rsidP="00F10D3B">
            <w:pPr>
              <w:spacing w:line="240" w:lineRule="auto"/>
              <w:jc w:val="left"/>
              <w:rPr>
                <w:lang w:eastAsia="en-US"/>
              </w:rPr>
            </w:pPr>
            <w:r w:rsidRPr="00605072">
              <w:rPr>
                <w:b/>
                <w:lang w:eastAsia="en-US"/>
              </w:rPr>
              <w:t>Commitment 4</w:t>
            </w:r>
            <w:r>
              <w:rPr>
                <w:lang w:eastAsia="en-US"/>
              </w:rPr>
              <w:t>: Provide</w:t>
            </w:r>
            <w:r w:rsidR="005D488A" w:rsidRPr="00286295">
              <w:rPr>
                <w:lang w:eastAsia="en-US"/>
              </w:rPr>
              <w:t xml:space="preserve"> triaged assessments and referrals and direct </w:t>
            </w:r>
            <w:r w:rsidR="005D488A">
              <w:rPr>
                <w:lang w:eastAsia="en-US"/>
              </w:rPr>
              <w:t xml:space="preserve">provision of specialist homelessness </w:t>
            </w:r>
            <w:r w:rsidR="005D488A" w:rsidRPr="00286295">
              <w:rPr>
                <w:b/>
                <w:lang w:eastAsia="en-US"/>
              </w:rPr>
              <w:t>case management</w:t>
            </w:r>
            <w:r w:rsidR="005D488A">
              <w:rPr>
                <w:lang w:eastAsia="en-US"/>
              </w:rPr>
              <w:t xml:space="preserve"> </w:t>
            </w:r>
            <w:r w:rsidR="005D488A" w:rsidRPr="00286295">
              <w:rPr>
                <w:b/>
                <w:lang w:eastAsia="en-US"/>
              </w:rPr>
              <w:t>support</w:t>
            </w:r>
            <w:r w:rsidR="005D488A">
              <w:rPr>
                <w:lang w:eastAsia="en-US"/>
              </w:rPr>
              <w:t>.</w:t>
            </w:r>
          </w:p>
        </w:tc>
        <w:tc>
          <w:tcPr>
            <w:tcW w:w="3121" w:type="dxa"/>
            <w:tcBorders>
              <w:top w:val="single" w:sz="8" w:space="0" w:color="4F81BD"/>
              <w:left w:val="single" w:sz="8" w:space="0" w:color="4F81BD"/>
              <w:bottom w:val="dotted" w:sz="4" w:space="0" w:color="4F81BD" w:themeColor="accent1"/>
              <w:right w:val="single" w:sz="8" w:space="0" w:color="4F81BD"/>
            </w:tcBorders>
          </w:tcPr>
          <w:p w14:paraId="1FA04135" w14:textId="1B24BA7B" w:rsidR="005D488A" w:rsidRDefault="005D488A" w:rsidP="00286295">
            <w:pPr>
              <w:spacing w:after="0" w:line="240" w:lineRule="auto"/>
              <w:jc w:val="left"/>
              <w:rPr>
                <w:lang w:eastAsia="en-US"/>
              </w:rPr>
            </w:pPr>
            <w:r>
              <w:rPr>
                <w:lang w:eastAsia="en-US"/>
              </w:rPr>
              <w:t>Provide 600 support periods per annum.</w:t>
            </w:r>
            <w:r w:rsidRPr="00286295">
              <w:rPr>
                <w:lang w:eastAsia="en-US"/>
              </w:rPr>
              <w:t xml:space="preserve"> </w:t>
            </w:r>
          </w:p>
        </w:tc>
      </w:tr>
      <w:tr w:rsidR="005D488A" w14:paraId="2BFE9331" w14:textId="77777777" w:rsidTr="00286295">
        <w:trPr>
          <w:trHeight w:val="740"/>
        </w:trPr>
        <w:tc>
          <w:tcPr>
            <w:tcW w:w="2269" w:type="dxa"/>
            <w:vMerge/>
            <w:tcBorders>
              <w:left w:val="single" w:sz="8" w:space="0" w:color="4F81BD"/>
              <w:right w:val="single" w:sz="8" w:space="0" w:color="4F81BD"/>
            </w:tcBorders>
          </w:tcPr>
          <w:p w14:paraId="678B3831" w14:textId="51C008AA" w:rsidR="005D488A" w:rsidRDefault="005D488A">
            <w:pPr>
              <w:spacing w:line="240" w:lineRule="auto"/>
              <w:jc w:val="left"/>
              <w:rPr>
                <w:lang w:eastAsia="en-US"/>
              </w:rPr>
            </w:pPr>
          </w:p>
        </w:tc>
        <w:tc>
          <w:tcPr>
            <w:tcW w:w="4680" w:type="dxa"/>
            <w:tcBorders>
              <w:top w:val="dotted" w:sz="4" w:space="0" w:color="4F81BD" w:themeColor="accent1"/>
              <w:left w:val="single" w:sz="8" w:space="0" w:color="4F81BD"/>
              <w:bottom w:val="dotted" w:sz="4" w:space="0" w:color="4F81BD" w:themeColor="accent1"/>
              <w:right w:val="single" w:sz="8" w:space="0" w:color="4F81BD"/>
            </w:tcBorders>
          </w:tcPr>
          <w:p w14:paraId="06DD0861" w14:textId="77777777" w:rsidR="003B421C" w:rsidRDefault="005D488A" w:rsidP="00633447">
            <w:pPr>
              <w:spacing w:line="240" w:lineRule="auto"/>
              <w:jc w:val="left"/>
              <w:rPr>
                <w:lang w:eastAsia="en-US"/>
              </w:rPr>
            </w:pPr>
            <w:r>
              <w:rPr>
                <w:lang w:eastAsia="en-US"/>
              </w:rPr>
              <w:t>Contribute to safely housing people who are homeless</w:t>
            </w:r>
            <w:r w:rsidR="003B421C">
              <w:rPr>
                <w:lang w:eastAsia="en-US"/>
              </w:rPr>
              <w:t xml:space="preserve">. </w:t>
            </w:r>
          </w:p>
          <w:p w14:paraId="62F792DB" w14:textId="38FF7B02" w:rsidR="005D488A" w:rsidRDefault="003B421C" w:rsidP="00286295">
            <w:pPr>
              <w:spacing w:line="240" w:lineRule="auto"/>
              <w:jc w:val="left"/>
              <w:rPr>
                <w:lang w:eastAsia="en-US"/>
              </w:rPr>
            </w:pPr>
            <w:r w:rsidRPr="00605072">
              <w:rPr>
                <w:b/>
                <w:lang w:eastAsia="en-US"/>
              </w:rPr>
              <w:t>Commitment 5</w:t>
            </w:r>
            <w:r>
              <w:rPr>
                <w:lang w:eastAsia="en-US"/>
              </w:rPr>
              <w:t>: Provide</w:t>
            </w:r>
            <w:r w:rsidR="005D488A">
              <w:rPr>
                <w:lang w:eastAsia="en-US"/>
              </w:rPr>
              <w:t xml:space="preserve"> </w:t>
            </w:r>
            <w:r w:rsidR="005D488A" w:rsidRPr="00286295">
              <w:rPr>
                <w:b/>
                <w:lang w:eastAsia="en-US"/>
              </w:rPr>
              <w:t>crisis and transitional accommodation</w:t>
            </w:r>
            <w:r w:rsidR="005D488A">
              <w:rPr>
                <w:lang w:eastAsia="en-US"/>
              </w:rPr>
              <w:t xml:space="preserve"> for people who are homeless or at risk of homelessness.</w:t>
            </w:r>
          </w:p>
        </w:tc>
        <w:tc>
          <w:tcPr>
            <w:tcW w:w="3121" w:type="dxa"/>
            <w:tcBorders>
              <w:top w:val="dotted" w:sz="4" w:space="0" w:color="4F81BD" w:themeColor="accent1"/>
              <w:left w:val="single" w:sz="8" w:space="0" w:color="4F81BD"/>
              <w:bottom w:val="dotted" w:sz="4" w:space="0" w:color="4F81BD" w:themeColor="accent1"/>
              <w:right w:val="single" w:sz="8" w:space="0" w:color="4F81BD"/>
            </w:tcBorders>
          </w:tcPr>
          <w:p w14:paraId="4EC9BA58" w14:textId="343D6679" w:rsidR="005D488A" w:rsidRDefault="005D488A" w:rsidP="00286295">
            <w:pPr>
              <w:spacing w:after="0" w:line="240" w:lineRule="auto"/>
              <w:jc w:val="left"/>
              <w:rPr>
                <w:lang w:eastAsia="en-US"/>
              </w:rPr>
            </w:pPr>
            <w:r>
              <w:rPr>
                <w:lang w:eastAsia="en-US"/>
              </w:rPr>
              <w:t>Provide 175 units of crisis and transitional accommodation per annum.</w:t>
            </w:r>
          </w:p>
        </w:tc>
      </w:tr>
      <w:tr w:rsidR="005D488A" w14:paraId="2D3349C5" w14:textId="77777777" w:rsidTr="00286295">
        <w:trPr>
          <w:trHeight w:val="740"/>
        </w:trPr>
        <w:tc>
          <w:tcPr>
            <w:tcW w:w="2269" w:type="dxa"/>
            <w:vMerge/>
            <w:tcBorders>
              <w:left w:val="single" w:sz="8" w:space="0" w:color="4F81BD"/>
              <w:right w:val="single" w:sz="8" w:space="0" w:color="4F81BD"/>
            </w:tcBorders>
          </w:tcPr>
          <w:p w14:paraId="77CBA77B" w14:textId="689723BD" w:rsidR="005D488A" w:rsidRDefault="005D488A">
            <w:pPr>
              <w:spacing w:line="240" w:lineRule="auto"/>
              <w:jc w:val="left"/>
              <w:rPr>
                <w:lang w:eastAsia="en-US"/>
              </w:rPr>
            </w:pPr>
          </w:p>
        </w:tc>
        <w:tc>
          <w:tcPr>
            <w:tcW w:w="4680" w:type="dxa"/>
            <w:tcBorders>
              <w:top w:val="dotted" w:sz="4" w:space="0" w:color="4F81BD" w:themeColor="accent1"/>
              <w:left w:val="single" w:sz="8" w:space="0" w:color="4F81BD"/>
              <w:bottom w:val="dotted" w:sz="4" w:space="0" w:color="4F81BD" w:themeColor="accent1"/>
              <w:right w:val="single" w:sz="8" w:space="0" w:color="4F81BD"/>
            </w:tcBorders>
          </w:tcPr>
          <w:p w14:paraId="516D0204" w14:textId="77777777" w:rsidR="003B421C" w:rsidRDefault="005D488A" w:rsidP="00633447">
            <w:pPr>
              <w:spacing w:line="240" w:lineRule="auto"/>
              <w:jc w:val="left"/>
              <w:rPr>
                <w:lang w:eastAsia="en-US"/>
              </w:rPr>
            </w:pPr>
            <w:r>
              <w:rPr>
                <w:lang w:eastAsia="en-US"/>
              </w:rPr>
              <w:t xml:space="preserve">Contribute to safely </w:t>
            </w:r>
            <w:r w:rsidR="003B421C">
              <w:rPr>
                <w:lang w:eastAsia="en-US"/>
              </w:rPr>
              <w:t xml:space="preserve">housing people who are homeless. </w:t>
            </w:r>
          </w:p>
          <w:p w14:paraId="5AE50BB9" w14:textId="4A563830" w:rsidR="005D488A" w:rsidRDefault="003B421C" w:rsidP="00286295">
            <w:pPr>
              <w:spacing w:line="240" w:lineRule="auto"/>
              <w:jc w:val="left"/>
              <w:rPr>
                <w:lang w:eastAsia="en-US"/>
              </w:rPr>
            </w:pPr>
            <w:r w:rsidRPr="00605072">
              <w:rPr>
                <w:b/>
                <w:lang w:eastAsia="en-US"/>
              </w:rPr>
              <w:t>C</w:t>
            </w:r>
            <w:r>
              <w:rPr>
                <w:b/>
                <w:lang w:eastAsia="en-US"/>
              </w:rPr>
              <w:t>o</w:t>
            </w:r>
            <w:r w:rsidRPr="00605072">
              <w:rPr>
                <w:b/>
                <w:lang w:eastAsia="en-US"/>
              </w:rPr>
              <w:t>mmitment 6</w:t>
            </w:r>
            <w:r>
              <w:rPr>
                <w:lang w:eastAsia="en-US"/>
              </w:rPr>
              <w:t>: Provide</w:t>
            </w:r>
            <w:r w:rsidR="005D488A">
              <w:rPr>
                <w:lang w:eastAsia="en-US"/>
              </w:rPr>
              <w:t xml:space="preserve"> </w:t>
            </w:r>
            <w:r w:rsidRPr="00286295">
              <w:rPr>
                <w:b/>
                <w:lang w:eastAsia="en-US"/>
              </w:rPr>
              <w:t>secure</w:t>
            </w:r>
            <w:r>
              <w:rPr>
                <w:lang w:eastAsia="en-US"/>
              </w:rPr>
              <w:t xml:space="preserve"> </w:t>
            </w:r>
            <w:r w:rsidR="005D488A" w:rsidRPr="00286295">
              <w:rPr>
                <w:b/>
                <w:lang w:eastAsia="en-US"/>
              </w:rPr>
              <w:t>supported accommodation</w:t>
            </w:r>
            <w:r w:rsidR="005D488A">
              <w:rPr>
                <w:lang w:eastAsia="en-US"/>
              </w:rPr>
              <w:t xml:space="preserve"> for people who have been homeless or are at risk of homelessness.</w:t>
            </w:r>
          </w:p>
        </w:tc>
        <w:tc>
          <w:tcPr>
            <w:tcW w:w="3121" w:type="dxa"/>
            <w:tcBorders>
              <w:top w:val="dotted" w:sz="4" w:space="0" w:color="4F81BD" w:themeColor="accent1"/>
              <w:left w:val="single" w:sz="8" w:space="0" w:color="4F81BD"/>
              <w:bottom w:val="dotted" w:sz="4" w:space="0" w:color="4F81BD" w:themeColor="accent1"/>
              <w:right w:val="single" w:sz="8" w:space="0" w:color="4F81BD"/>
            </w:tcBorders>
          </w:tcPr>
          <w:p w14:paraId="1FFFA395" w14:textId="03BCD712" w:rsidR="005D488A" w:rsidRDefault="005D488A" w:rsidP="00286295">
            <w:pPr>
              <w:spacing w:line="240" w:lineRule="auto"/>
              <w:jc w:val="left"/>
              <w:rPr>
                <w:lang w:eastAsia="en-US"/>
              </w:rPr>
            </w:pPr>
            <w:r>
              <w:rPr>
                <w:lang w:eastAsia="en-US"/>
              </w:rPr>
              <w:t>Provide four long-term supported accommodation facilities with 135 units for adults per annum and three Foyer-model supported accommodation facilities with 101 units for young people per annum.</w:t>
            </w:r>
          </w:p>
        </w:tc>
      </w:tr>
      <w:tr w:rsidR="005D488A" w14:paraId="4515D0DC" w14:textId="77777777" w:rsidTr="00286295">
        <w:trPr>
          <w:trHeight w:val="740"/>
        </w:trPr>
        <w:tc>
          <w:tcPr>
            <w:tcW w:w="2269" w:type="dxa"/>
            <w:vMerge/>
            <w:tcBorders>
              <w:left w:val="single" w:sz="8" w:space="0" w:color="4F81BD"/>
              <w:bottom w:val="single" w:sz="8" w:space="0" w:color="4F81BD"/>
              <w:right w:val="single" w:sz="8" w:space="0" w:color="4F81BD"/>
            </w:tcBorders>
          </w:tcPr>
          <w:p w14:paraId="2D96D955" w14:textId="5DF33036" w:rsidR="005D488A" w:rsidRDefault="005D488A">
            <w:pPr>
              <w:spacing w:line="240" w:lineRule="auto"/>
              <w:jc w:val="left"/>
              <w:rPr>
                <w:lang w:eastAsia="en-US"/>
              </w:rPr>
            </w:pPr>
          </w:p>
        </w:tc>
        <w:tc>
          <w:tcPr>
            <w:tcW w:w="4680" w:type="dxa"/>
            <w:tcBorders>
              <w:top w:val="dotted" w:sz="4" w:space="0" w:color="4F81BD" w:themeColor="accent1"/>
              <w:left w:val="single" w:sz="8" w:space="0" w:color="4F81BD"/>
              <w:bottom w:val="single" w:sz="8" w:space="0" w:color="4F81BD"/>
              <w:right w:val="single" w:sz="8" w:space="0" w:color="4F81BD"/>
            </w:tcBorders>
          </w:tcPr>
          <w:p w14:paraId="7881E655" w14:textId="2C491C51" w:rsidR="003B421C" w:rsidRDefault="005D488A" w:rsidP="00286295">
            <w:pPr>
              <w:spacing w:line="240" w:lineRule="auto"/>
              <w:jc w:val="left"/>
              <w:rPr>
                <w:lang w:eastAsia="en-US"/>
              </w:rPr>
            </w:pPr>
            <w:r>
              <w:rPr>
                <w:lang w:eastAsia="en-US"/>
              </w:rPr>
              <w:t>Contribute to safely housing people who are homeless</w:t>
            </w:r>
            <w:r w:rsidR="003B421C">
              <w:rPr>
                <w:lang w:eastAsia="en-US"/>
              </w:rPr>
              <w:t xml:space="preserve">. </w:t>
            </w:r>
          </w:p>
          <w:p w14:paraId="0F1C52B2" w14:textId="384C3BA2" w:rsidR="005D488A" w:rsidRDefault="003B421C" w:rsidP="00286295">
            <w:pPr>
              <w:spacing w:line="240" w:lineRule="auto"/>
              <w:jc w:val="left"/>
              <w:rPr>
                <w:lang w:eastAsia="en-US"/>
              </w:rPr>
            </w:pPr>
            <w:r w:rsidRPr="00605072">
              <w:rPr>
                <w:b/>
                <w:lang w:eastAsia="en-US"/>
              </w:rPr>
              <w:t>C</w:t>
            </w:r>
            <w:r>
              <w:rPr>
                <w:b/>
                <w:lang w:eastAsia="en-US"/>
              </w:rPr>
              <w:t>o</w:t>
            </w:r>
            <w:r w:rsidRPr="00605072">
              <w:rPr>
                <w:b/>
                <w:lang w:eastAsia="en-US"/>
              </w:rPr>
              <w:t xml:space="preserve">mmitment </w:t>
            </w:r>
            <w:r>
              <w:rPr>
                <w:b/>
                <w:lang w:eastAsia="en-US"/>
              </w:rPr>
              <w:t>7</w:t>
            </w:r>
            <w:r>
              <w:rPr>
                <w:lang w:eastAsia="en-US"/>
              </w:rPr>
              <w:t>: Provide</w:t>
            </w:r>
            <w:r w:rsidR="005D488A">
              <w:rPr>
                <w:lang w:eastAsia="en-US"/>
              </w:rPr>
              <w:t xml:space="preserve"> </w:t>
            </w:r>
            <w:r w:rsidRPr="00286295">
              <w:rPr>
                <w:b/>
                <w:lang w:eastAsia="en-US"/>
              </w:rPr>
              <w:t xml:space="preserve">private rental incentives </w:t>
            </w:r>
            <w:r>
              <w:rPr>
                <w:lang w:eastAsia="en-US"/>
              </w:rPr>
              <w:t xml:space="preserve">to property owners </w:t>
            </w:r>
            <w:r w:rsidR="009140A4">
              <w:rPr>
                <w:lang w:eastAsia="en-US"/>
              </w:rPr>
              <w:t xml:space="preserve">to </w:t>
            </w:r>
            <w:r w:rsidR="005D488A">
              <w:rPr>
                <w:lang w:eastAsia="en-US"/>
              </w:rPr>
              <w:t xml:space="preserve">secure appropriate and </w:t>
            </w:r>
            <w:r w:rsidR="005D488A" w:rsidRPr="00286295">
              <w:rPr>
                <w:lang w:eastAsia="en-US"/>
              </w:rPr>
              <w:t>affordable private rental ho</w:t>
            </w:r>
            <w:r w:rsidR="009140A4" w:rsidRPr="00286295">
              <w:rPr>
                <w:lang w:eastAsia="en-US"/>
              </w:rPr>
              <w:t>mes</w:t>
            </w:r>
            <w:r w:rsidR="005D488A" w:rsidRPr="00286295">
              <w:rPr>
                <w:lang w:eastAsia="en-US"/>
              </w:rPr>
              <w:t xml:space="preserve"> for people on low</w:t>
            </w:r>
            <w:r w:rsidR="005D488A">
              <w:rPr>
                <w:lang w:eastAsia="en-US"/>
              </w:rPr>
              <w:t xml:space="preserve"> incomes who </w:t>
            </w:r>
            <w:r w:rsidR="00AB0F53">
              <w:rPr>
                <w:lang w:eastAsia="en-US"/>
              </w:rPr>
              <w:t>are homeless or at risk of homelessness</w:t>
            </w:r>
            <w:r w:rsidR="005D488A">
              <w:rPr>
                <w:lang w:eastAsia="en-US"/>
              </w:rPr>
              <w:t>.</w:t>
            </w:r>
          </w:p>
        </w:tc>
        <w:tc>
          <w:tcPr>
            <w:tcW w:w="3121" w:type="dxa"/>
            <w:tcBorders>
              <w:top w:val="dotted" w:sz="4" w:space="0" w:color="4F81BD" w:themeColor="accent1"/>
              <w:left w:val="single" w:sz="8" w:space="0" w:color="4F81BD"/>
              <w:bottom w:val="single" w:sz="8" w:space="0" w:color="4F81BD"/>
              <w:right w:val="single" w:sz="8" w:space="0" w:color="4F81BD"/>
            </w:tcBorders>
          </w:tcPr>
          <w:p w14:paraId="4C9D2EB6" w14:textId="0CB7B335" w:rsidR="005D488A" w:rsidRDefault="005D488A" w:rsidP="00286295">
            <w:pPr>
              <w:spacing w:line="240" w:lineRule="auto"/>
              <w:jc w:val="left"/>
              <w:rPr>
                <w:lang w:eastAsia="en-US"/>
              </w:rPr>
            </w:pPr>
            <w:r>
              <w:rPr>
                <w:lang w:eastAsia="en-US"/>
              </w:rPr>
              <w:t xml:space="preserve">Provide </w:t>
            </w:r>
            <w:r w:rsidR="003B421C">
              <w:rPr>
                <w:lang w:eastAsia="en-US"/>
              </w:rPr>
              <w:t xml:space="preserve">access to </w:t>
            </w:r>
            <w:r>
              <w:rPr>
                <w:lang w:eastAsia="en-US"/>
              </w:rPr>
              <w:t xml:space="preserve">110 affordable private rental homes across Tasmania by 30 June 2019, with 50 </w:t>
            </w:r>
            <w:r w:rsidR="009140A4">
              <w:rPr>
                <w:lang w:eastAsia="en-US"/>
              </w:rPr>
              <w:t>homes</w:t>
            </w:r>
            <w:r>
              <w:rPr>
                <w:lang w:eastAsia="en-US"/>
              </w:rPr>
              <w:t xml:space="preserve"> for young people.</w:t>
            </w:r>
          </w:p>
        </w:tc>
      </w:tr>
      <w:tr w:rsidR="009140A4" w14:paraId="22FF917E" w14:textId="77777777" w:rsidTr="00286295">
        <w:trPr>
          <w:trHeight w:val="740"/>
        </w:trPr>
        <w:tc>
          <w:tcPr>
            <w:tcW w:w="2269" w:type="dxa"/>
            <w:vMerge w:val="restart"/>
            <w:tcBorders>
              <w:top w:val="single" w:sz="8" w:space="0" w:color="4F81BD"/>
              <w:left w:val="single" w:sz="8" w:space="0" w:color="4F81BD"/>
              <w:right w:val="single" w:sz="8" w:space="0" w:color="4F81BD"/>
            </w:tcBorders>
          </w:tcPr>
          <w:p w14:paraId="4E2F525B" w14:textId="6B12BE59" w:rsidR="009140A4" w:rsidRDefault="009140A4" w:rsidP="00286295">
            <w:pPr>
              <w:spacing w:line="240" w:lineRule="auto"/>
              <w:jc w:val="left"/>
              <w:rPr>
                <w:lang w:eastAsia="en-US"/>
              </w:rPr>
            </w:pPr>
            <w:r>
              <w:rPr>
                <w:lang w:eastAsia="en-US"/>
              </w:rPr>
              <w:t>Women and children affected by family and domestic violence</w:t>
            </w:r>
          </w:p>
        </w:tc>
        <w:tc>
          <w:tcPr>
            <w:tcW w:w="4680" w:type="dxa"/>
            <w:tcBorders>
              <w:top w:val="single" w:sz="8" w:space="0" w:color="4F81BD"/>
              <w:left w:val="single" w:sz="8" w:space="0" w:color="4F81BD"/>
              <w:bottom w:val="dotted" w:sz="4" w:space="0" w:color="4F81BD" w:themeColor="accent1"/>
              <w:right w:val="single" w:sz="8" w:space="0" w:color="4F81BD"/>
            </w:tcBorders>
            <w:hideMark/>
          </w:tcPr>
          <w:p w14:paraId="0FF94D9E" w14:textId="176BBEB8" w:rsidR="009140A4" w:rsidRDefault="009140A4" w:rsidP="00193EB6">
            <w:pPr>
              <w:spacing w:line="240" w:lineRule="auto"/>
              <w:jc w:val="left"/>
              <w:rPr>
                <w:lang w:eastAsia="en-US"/>
              </w:rPr>
            </w:pPr>
            <w:r>
              <w:rPr>
                <w:lang w:eastAsia="en-US"/>
              </w:rPr>
              <w:t>Commitment 4 includes case management support for women and children affected by family and domestic violence</w:t>
            </w:r>
            <w:r w:rsidR="00AB0F53">
              <w:rPr>
                <w:lang w:eastAsia="en-US"/>
              </w:rPr>
              <w:t xml:space="preserve"> </w:t>
            </w:r>
            <w:proofErr w:type="gramStart"/>
            <w:r w:rsidR="00AB0F53">
              <w:rPr>
                <w:lang w:eastAsia="en-US"/>
              </w:rPr>
              <w:t>who</w:t>
            </w:r>
            <w:proofErr w:type="gramEnd"/>
            <w:r w:rsidR="00AB0F53">
              <w:rPr>
                <w:lang w:eastAsia="en-US"/>
              </w:rPr>
              <w:t xml:space="preserve"> are homeless or at risk of homelessness</w:t>
            </w:r>
            <w:r>
              <w:rPr>
                <w:lang w:eastAsia="en-US"/>
              </w:rPr>
              <w:t>.</w:t>
            </w:r>
            <w:r w:rsidDel="002F038B">
              <w:rPr>
                <w:lang w:eastAsia="en-US"/>
              </w:rPr>
              <w:t xml:space="preserve"> </w:t>
            </w:r>
          </w:p>
        </w:tc>
        <w:tc>
          <w:tcPr>
            <w:tcW w:w="3121" w:type="dxa"/>
            <w:tcBorders>
              <w:top w:val="single" w:sz="8" w:space="0" w:color="4F81BD"/>
              <w:left w:val="single" w:sz="8" w:space="0" w:color="4F81BD"/>
              <w:bottom w:val="dotted" w:sz="4" w:space="0" w:color="4F81BD" w:themeColor="accent1"/>
              <w:right w:val="single" w:sz="8" w:space="0" w:color="4F81BD"/>
            </w:tcBorders>
          </w:tcPr>
          <w:p w14:paraId="3637CA4B" w14:textId="767FB396" w:rsidR="009140A4" w:rsidRDefault="009140A4">
            <w:pPr>
              <w:spacing w:line="240" w:lineRule="auto"/>
              <w:jc w:val="left"/>
              <w:rPr>
                <w:lang w:eastAsia="en-US"/>
              </w:rPr>
            </w:pPr>
            <w:r>
              <w:rPr>
                <w:lang w:eastAsia="en-US"/>
              </w:rPr>
              <w:t xml:space="preserve">As above – provide 600 support periods per annum. </w:t>
            </w:r>
          </w:p>
          <w:p w14:paraId="6B1BC272" w14:textId="77777777" w:rsidR="009140A4" w:rsidRDefault="009140A4">
            <w:pPr>
              <w:spacing w:line="240" w:lineRule="auto"/>
              <w:jc w:val="left"/>
              <w:rPr>
                <w:lang w:eastAsia="en-US"/>
              </w:rPr>
            </w:pPr>
          </w:p>
        </w:tc>
      </w:tr>
      <w:tr w:rsidR="009140A4" w14:paraId="668C9835" w14:textId="77777777" w:rsidTr="00286295">
        <w:trPr>
          <w:trHeight w:val="740"/>
        </w:trPr>
        <w:tc>
          <w:tcPr>
            <w:tcW w:w="2269" w:type="dxa"/>
            <w:vMerge/>
            <w:tcBorders>
              <w:left w:val="single" w:sz="8" w:space="0" w:color="4F81BD"/>
              <w:right w:val="single" w:sz="8" w:space="0" w:color="4F81BD"/>
            </w:tcBorders>
          </w:tcPr>
          <w:p w14:paraId="39BE489B" w14:textId="77777777" w:rsidR="009140A4" w:rsidRDefault="009140A4">
            <w:pPr>
              <w:spacing w:line="240" w:lineRule="auto"/>
              <w:jc w:val="left"/>
              <w:rPr>
                <w:lang w:eastAsia="en-US"/>
              </w:rPr>
            </w:pPr>
          </w:p>
        </w:tc>
        <w:tc>
          <w:tcPr>
            <w:tcW w:w="4680" w:type="dxa"/>
            <w:tcBorders>
              <w:top w:val="dotted" w:sz="4" w:space="0" w:color="4F81BD" w:themeColor="accent1"/>
              <w:left w:val="single" w:sz="8" w:space="0" w:color="4F81BD"/>
              <w:bottom w:val="dotted" w:sz="4" w:space="0" w:color="4F81BD" w:themeColor="accent1"/>
              <w:right w:val="single" w:sz="8" w:space="0" w:color="4F81BD"/>
            </w:tcBorders>
          </w:tcPr>
          <w:p w14:paraId="53F439C0" w14:textId="349A143C" w:rsidR="009140A4" w:rsidRDefault="009140A4" w:rsidP="00286295">
            <w:pPr>
              <w:spacing w:line="240" w:lineRule="auto"/>
              <w:jc w:val="left"/>
              <w:rPr>
                <w:lang w:eastAsia="en-US"/>
              </w:rPr>
            </w:pPr>
            <w:r>
              <w:rPr>
                <w:lang w:eastAsia="en-US"/>
              </w:rPr>
              <w:t>Commitment 5 includes crisis and transitional accommodation for women and children affected by family and domestic violence</w:t>
            </w:r>
            <w:r w:rsidR="00AB0F53">
              <w:rPr>
                <w:lang w:eastAsia="en-US"/>
              </w:rPr>
              <w:t xml:space="preserve"> </w:t>
            </w:r>
            <w:proofErr w:type="gramStart"/>
            <w:r w:rsidR="00AB0F53">
              <w:rPr>
                <w:lang w:eastAsia="en-US"/>
              </w:rPr>
              <w:t>who</w:t>
            </w:r>
            <w:proofErr w:type="gramEnd"/>
            <w:r w:rsidR="00AB0F53">
              <w:rPr>
                <w:lang w:eastAsia="en-US"/>
              </w:rPr>
              <w:t xml:space="preserve"> are homeless or at risk of homelessness</w:t>
            </w:r>
            <w:r>
              <w:rPr>
                <w:lang w:eastAsia="en-US"/>
              </w:rPr>
              <w:t>.</w:t>
            </w:r>
          </w:p>
        </w:tc>
        <w:tc>
          <w:tcPr>
            <w:tcW w:w="3121" w:type="dxa"/>
            <w:tcBorders>
              <w:top w:val="dotted" w:sz="4" w:space="0" w:color="4F81BD" w:themeColor="accent1"/>
              <w:left w:val="single" w:sz="8" w:space="0" w:color="4F81BD"/>
              <w:bottom w:val="dotted" w:sz="4" w:space="0" w:color="4F81BD" w:themeColor="accent1"/>
              <w:right w:val="single" w:sz="8" w:space="0" w:color="4F81BD"/>
            </w:tcBorders>
          </w:tcPr>
          <w:p w14:paraId="4344420A" w14:textId="77777777" w:rsidR="009140A4" w:rsidRDefault="009140A4" w:rsidP="005D488A">
            <w:pPr>
              <w:spacing w:line="240" w:lineRule="auto"/>
              <w:jc w:val="left"/>
              <w:rPr>
                <w:lang w:eastAsia="en-US"/>
              </w:rPr>
            </w:pPr>
            <w:r>
              <w:rPr>
                <w:lang w:eastAsia="en-US"/>
              </w:rPr>
              <w:t>As above – provide 175 units of crisis and transitional accommodation per annum.</w:t>
            </w:r>
          </w:p>
          <w:p w14:paraId="5B58539D" w14:textId="77777777" w:rsidR="009140A4" w:rsidRDefault="009140A4">
            <w:pPr>
              <w:spacing w:line="240" w:lineRule="auto"/>
              <w:jc w:val="left"/>
              <w:rPr>
                <w:lang w:eastAsia="en-US"/>
              </w:rPr>
            </w:pPr>
          </w:p>
        </w:tc>
      </w:tr>
      <w:tr w:rsidR="009140A4" w14:paraId="13E0BB2C" w14:textId="77777777" w:rsidTr="00286295">
        <w:trPr>
          <w:trHeight w:val="740"/>
        </w:trPr>
        <w:tc>
          <w:tcPr>
            <w:tcW w:w="2269" w:type="dxa"/>
            <w:vMerge/>
            <w:tcBorders>
              <w:left w:val="single" w:sz="8" w:space="0" w:color="4F81BD"/>
              <w:bottom w:val="single" w:sz="8" w:space="0" w:color="4F81BD"/>
              <w:right w:val="single" w:sz="8" w:space="0" w:color="4F81BD"/>
            </w:tcBorders>
          </w:tcPr>
          <w:p w14:paraId="7872C09A" w14:textId="77777777" w:rsidR="009140A4" w:rsidRDefault="009140A4">
            <w:pPr>
              <w:spacing w:line="240" w:lineRule="auto"/>
              <w:jc w:val="left"/>
              <w:rPr>
                <w:lang w:eastAsia="en-US"/>
              </w:rPr>
            </w:pPr>
          </w:p>
        </w:tc>
        <w:tc>
          <w:tcPr>
            <w:tcW w:w="4680" w:type="dxa"/>
            <w:tcBorders>
              <w:top w:val="dotted" w:sz="4" w:space="0" w:color="4F81BD" w:themeColor="accent1"/>
              <w:left w:val="single" w:sz="8" w:space="0" w:color="4F81BD"/>
              <w:bottom w:val="single" w:sz="8" w:space="0" w:color="4F81BD"/>
              <w:right w:val="single" w:sz="8" w:space="0" w:color="4F81BD"/>
            </w:tcBorders>
          </w:tcPr>
          <w:p w14:paraId="1EE03D32" w14:textId="16071B6A" w:rsidR="009140A4" w:rsidRDefault="009140A4">
            <w:pPr>
              <w:spacing w:line="240" w:lineRule="auto"/>
              <w:jc w:val="left"/>
              <w:rPr>
                <w:lang w:eastAsia="en-US"/>
              </w:rPr>
            </w:pPr>
            <w:r>
              <w:rPr>
                <w:lang w:eastAsia="en-US"/>
              </w:rPr>
              <w:t>Contribute to safely housing people who are homeless</w:t>
            </w:r>
            <w:r w:rsidR="00AB0F53">
              <w:rPr>
                <w:lang w:eastAsia="en-US"/>
              </w:rPr>
              <w:t>.</w:t>
            </w:r>
          </w:p>
          <w:p w14:paraId="6553C768" w14:textId="65539554" w:rsidR="009140A4" w:rsidRDefault="009140A4" w:rsidP="00286295">
            <w:pPr>
              <w:spacing w:line="240" w:lineRule="auto"/>
              <w:jc w:val="left"/>
              <w:rPr>
                <w:lang w:eastAsia="en-US"/>
              </w:rPr>
            </w:pPr>
            <w:r w:rsidRPr="00605072">
              <w:rPr>
                <w:b/>
                <w:lang w:eastAsia="en-US"/>
              </w:rPr>
              <w:t>C</w:t>
            </w:r>
            <w:r>
              <w:rPr>
                <w:b/>
                <w:lang w:eastAsia="en-US"/>
              </w:rPr>
              <w:t>o</w:t>
            </w:r>
            <w:r w:rsidRPr="00605072">
              <w:rPr>
                <w:b/>
                <w:lang w:eastAsia="en-US"/>
              </w:rPr>
              <w:t xml:space="preserve">mmitment </w:t>
            </w:r>
            <w:r>
              <w:rPr>
                <w:b/>
                <w:lang w:eastAsia="en-US"/>
              </w:rPr>
              <w:t>8</w:t>
            </w:r>
            <w:r>
              <w:rPr>
                <w:lang w:eastAsia="en-US"/>
              </w:rPr>
              <w:t xml:space="preserve">: Provide head leases with property owners to secure appropriate and </w:t>
            </w:r>
            <w:r w:rsidRPr="00605072">
              <w:rPr>
                <w:lang w:eastAsia="en-US"/>
              </w:rPr>
              <w:t xml:space="preserve">affordable private rental homes for </w:t>
            </w:r>
            <w:r w:rsidRPr="00605072">
              <w:rPr>
                <w:b/>
                <w:lang w:eastAsia="en-US"/>
              </w:rPr>
              <w:t xml:space="preserve">Rapid Rehousing </w:t>
            </w:r>
            <w:r w:rsidRPr="00286295">
              <w:rPr>
                <w:lang w:eastAsia="en-US"/>
              </w:rPr>
              <w:t>of</w:t>
            </w:r>
            <w:r>
              <w:rPr>
                <w:b/>
                <w:lang w:eastAsia="en-US"/>
              </w:rPr>
              <w:t xml:space="preserve"> </w:t>
            </w:r>
            <w:r>
              <w:rPr>
                <w:lang w:eastAsia="en-US"/>
              </w:rPr>
              <w:t>women and children affected by family and domestic violence</w:t>
            </w:r>
            <w:r w:rsidR="00AB0F53">
              <w:rPr>
                <w:lang w:eastAsia="en-US"/>
              </w:rPr>
              <w:t xml:space="preserve"> </w:t>
            </w:r>
            <w:proofErr w:type="gramStart"/>
            <w:r w:rsidR="00AB0F53">
              <w:rPr>
                <w:lang w:eastAsia="en-US"/>
              </w:rPr>
              <w:t>who</w:t>
            </w:r>
            <w:proofErr w:type="gramEnd"/>
            <w:r w:rsidR="00AB0F53">
              <w:rPr>
                <w:lang w:eastAsia="en-US"/>
              </w:rPr>
              <w:t xml:space="preserve"> are homeless or at risk of homelessness</w:t>
            </w:r>
            <w:r>
              <w:rPr>
                <w:lang w:eastAsia="en-US"/>
              </w:rPr>
              <w:t>.</w:t>
            </w:r>
          </w:p>
        </w:tc>
        <w:tc>
          <w:tcPr>
            <w:tcW w:w="3121" w:type="dxa"/>
            <w:tcBorders>
              <w:top w:val="dotted" w:sz="4" w:space="0" w:color="4F81BD" w:themeColor="accent1"/>
              <w:left w:val="single" w:sz="8" w:space="0" w:color="4F81BD"/>
              <w:bottom w:val="single" w:sz="8" w:space="0" w:color="4F81BD"/>
              <w:right w:val="single" w:sz="8" w:space="0" w:color="4F81BD"/>
            </w:tcBorders>
          </w:tcPr>
          <w:p w14:paraId="5A15DD89" w14:textId="78460AE7" w:rsidR="009140A4" w:rsidRDefault="009140A4">
            <w:pPr>
              <w:spacing w:line="240" w:lineRule="auto"/>
              <w:jc w:val="left"/>
              <w:rPr>
                <w:lang w:eastAsia="en-US"/>
              </w:rPr>
            </w:pPr>
            <w:r>
              <w:rPr>
                <w:lang w:eastAsia="en-US"/>
              </w:rPr>
              <w:t>Provide 50 Family Violence Rapid Rehousing homes per annum until 30 June 2020.</w:t>
            </w:r>
          </w:p>
        </w:tc>
      </w:tr>
      <w:tr w:rsidR="004278F4" w14:paraId="0B0CEAA7" w14:textId="77777777" w:rsidTr="00286295">
        <w:trPr>
          <w:trHeight w:val="740"/>
        </w:trPr>
        <w:tc>
          <w:tcPr>
            <w:tcW w:w="2269" w:type="dxa"/>
            <w:vMerge w:val="restart"/>
            <w:tcBorders>
              <w:top w:val="single" w:sz="8" w:space="0" w:color="4F81BD"/>
              <w:left w:val="single" w:sz="8" w:space="0" w:color="4F81BD"/>
              <w:right w:val="single" w:sz="8" w:space="0" w:color="4F81BD"/>
            </w:tcBorders>
            <w:hideMark/>
          </w:tcPr>
          <w:p w14:paraId="417D4ED6" w14:textId="60DBBDC1" w:rsidR="004278F4" w:rsidRDefault="004278F4">
            <w:pPr>
              <w:spacing w:line="240" w:lineRule="auto"/>
              <w:jc w:val="left"/>
              <w:rPr>
                <w:lang w:eastAsia="en-US"/>
              </w:rPr>
            </w:pPr>
            <w:r>
              <w:rPr>
                <w:lang w:eastAsia="en-US"/>
              </w:rPr>
              <w:t>Children and young people</w:t>
            </w:r>
          </w:p>
        </w:tc>
        <w:tc>
          <w:tcPr>
            <w:tcW w:w="4680" w:type="dxa"/>
            <w:tcBorders>
              <w:top w:val="single" w:sz="8" w:space="0" w:color="4F81BD"/>
              <w:left w:val="single" w:sz="8" w:space="0" w:color="4F81BD"/>
              <w:bottom w:val="dotted" w:sz="4" w:space="0" w:color="4F81BD" w:themeColor="accent1"/>
              <w:right w:val="single" w:sz="8" w:space="0" w:color="4F81BD"/>
            </w:tcBorders>
            <w:hideMark/>
          </w:tcPr>
          <w:p w14:paraId="3E3628FE" w14:textId="7EDE3710" w:rsidR="004278F4" w:rsidRDefault="004278F4" w:rsidP="00BC2CC7">
            <w:pPr>
              <w:spacing w:line="240" w:lineRule="auto"/>
              <w:jc w:val="left"/>
              <w:rPr>
                <w:lang w:eastAsia="en-US"/>
              </w:rPr>
            </w:pPr>
            <w:r>
              <w:rPr>
                <w:lang w:eastAsia="en-US"/>
              </w:rPr>
              <w:t>Commitment 4 includes case management support for</w:t>
            </w:r>
            <w:r>
              <w:rPr>
                <w:lang w:eastAsia="en-US"/>
              </w:rPr>
              <w:t xml:space="preserve"> young people </w:t>
            </w:r>
            <w:r w:rsidR="00AB0F53">
              <w:rPr>
                <w:lang w:eastAsia="en-US"/>
              </w:rPr>
              <w:t>who are homeless or at risk of homelessness</w:t>
            </w:r>
            <w:r w:rsidR="00AB0F53">
              <w:rPr>
                <w:lang w:eastAsia="en-US"/>
              </w:rPr>
              <w:t xml:space="preserve"> to </w:t>
            </w:r>
            <w:r>
              <w:rPr>
                <w:lang w:eastAsia="en-US"/>
              </w:rPr>
              <w:t>establish family connections and build capacity for independent living.</w:t>
            </w:r>
          </w:p>
        </w:tc>
        <w:tc>
          <w:tcPr>
            <w:tcW w:w="3121" w:type="dxa"/>
            <w:tcBorders>
              <w:top w:val="single" w:sz="8" w:space="0" w:color="4F81BD"/>
              <w:left w:val="single" w:sz="8" w:space="0" w:color="4F81BD"/>
              <w:bottom w:val="dotted" w:sz="4" w:space="0" w:color="4F81BD" w:themeColor="accent1"/>
              <w:right w:val="single" w:sz="8" w:space="0" w:color="4F81BD"/>
            </w:tcBorders>
            <w:hideMark/>
          </w:tcPr>
          <w:p w14:paraId="29C4F2A2" w14:textId="6CE31A0B" w:rsidR="004278F4" w:rsidRDefault="004278F4">
            <w:pPr>
              <w:spacing w:line="240" w:lineRule="auto"/>
              <w:jc w:val="left"/>
              <w:rPr>
                <w:lang w:eastAsia="en-US"/>
              </w:rPr>
            </w:pPr>
            <w:r>
              <w:rPr>
                <w:lang w:eastAsia="en-US"/>
              </w:rPr>
              <w:t>As above – provide 600 support periods per annum.</w:t>
            </w:r>
          </w:p>
          <w:p w14:paraId="33DB9C6E" w14:textId="38E1FC14" w:rsidR="004278F4" w:rsidRDefault="004278F4" w:rsidP="00F10D3B">
            <w:pPr>
              <w:spacing w:line="240" w:lineRule="auto"/>
              <w:jc w:val="left"/>
              <w:rPr>
                <w:lang w:eastAsia="en-US"/>
              </w:rPr>
            </w:pPr>
          </w:p>
        </w:tc>
      </w:tr>
      <w:tr w:rsidR="004278F4" w14:paraId="09451C52" w14:textId="77777777" w:rsidTr="00286295">
        <w:trPr>
          <w:trHeight w:val="740"/>
        </w:trPr>
        <w:tc>
          <w:tcPr>
            <w:tcW w:w="2269" w:type="dxa"/>
            <w:vMerge/>
            <w:tcBorders>
              <w:left w:val="single" w:sz="8" w:space="0" w:color="4F81BD"/>
              <w:right w:val="single" w:sz="8" w:space="0" w:color="4F81BD"/>
            </w:tcBorders>
          </w:tcPr>
          <w:p w14:paraId="42D3DC1D" w14:textId="77777777" w:rsidR="004278F4" w:rsidRDefault="004278F4">
            <w:pPr>
              <w:spacing w:line="240" w:lineRule="auto"/>
              <w:jc w:val="left"/>
              <w:rPr>
                <w:lang w:eastAsia="en-US"/>
              </w:rPr>
            </w:pPr>
          </w:p>
        </w:tc>
        <w:tc>
          <w:tcPr>
            <w:tcW w:w="4680" w:type="dxa"/>
            <w:tcBorders>
              <w:top w:val="dotted" w:sz="4" w:space="0" w:color="4F81BD" w:themeColor="accent1"/>
              <w:left w:val="single" w:sz="8" w:space="0" w:color="4F81BD"/>
              <w:bottom w:val="dotted" w:sz="4" w:space="0" w:color="4F81BD" w:themeColor="accent1"/>
              <w:right w:val="single" w:sz="8" w:space="0" w:color="4F81BD"/>
            </w:tcBorders>
          </w:tcPr>
          <w:p w14:paraId="52BA035B" w14:textId="77777777" w:rsidR="004278F4" w:rsidRDefault="004278F4" w:rsidP="00286295">
            <w:pPr>
              <w:spacing w:line="240" w:lineRule="auto"/>
              <w:jc w:val="left"/>
              <w:rPr>
                <w:lang w:eastAsia="en-US"/>
              </w:rPr>
            </w:pPr>
            <w:r>
              <w:rPr>
                <w:lang w:eastAsia="en-US"/>
              </w:rPr>
              <w:t xml:space="preserve">Commitment 5 includes crisis and transitional accommodation </w:t>
            </w:r>
            <w:r>
              <w:rPr>
                <w:lang w:eastAsia="en-US"/>
              </w:rPr>
              <w:t xml:space="preserve">for children and young people who are homeless or at risk of homelessness. </w:t>
            </w:r>
          </w:p>
          <w:p w14:paraId="54B02AA9" w14:textId="6AA10B32" w:rsidR="004278F4" w:rsidRDefault="004278F4" w:rsidP="00286295">
            <w:pPr>
              <w:spacing w:line="240" w:lineRule="auto"/>
              <w:jc w:val="left"/>
              <w:rPr>
                <w:lang w:eastAsia="en-US"/>
              </w:rPr>
            </w:pPr>
            <w:r>
              <w:rPr>
                <w:lang w:eastAsia="en-US"/>
              </w:rPr>
              <w:t xml:space="preserve">This includes providing a new </w:t>
            </w:r>
            <w:r w:rsidRPr="00286295">
              <w:rPr>
                <w:b/>
                <w:lang w:eastAsia="en-US"/>
              </w:rPr>
              <w:t xml:space="preserve">Youth at Risk Response Centre </w:t>
            </w:r>
            <w:r w:rsidRPr="00286295">
              <w:rPr>
                <w:lang w:eastAsia="en-US"/>
              </w:rPr>
              <w:t>and</w:t>
            </w:r>
            <w:r w:rsidRPr="00286295">
              <w:rPr>
                <w:b/>
                <w:lang w:eastAsia="en-US"/>
              </w:rPr>
              <w:t xml:space="preserve"> Youth Castles</w:t>
            </w:r>
            <w:r>
              <w:rPr>
                <w:lang w:eastAsia="en-US"/>
              </w:rPr>
              <w:t xml:space="preserve"> (micro-housing).</w:t>
            </w:r>
          </w:p>
        </w:tc>
        <w:tc>
          <w:tcPr>
            <w:tcW w:w="3121" w:type="dxa"/>
            <w:tcBorders>
              <w:top w:val="dotted" w:sz="4" w:space="0" w:color="4F81BD" w:themeColor="accent1"/>
              <w:left w:val="single" w:sz="8" w:space="0" w:color="4F81BD"/>
              <w:bottom w:val="dotted" w:sz="4" w:space="0" w:color="4F81BD" w:themeColor="accent1"/>
              <w:right w:val="single" w:sz="8" w:space="0" w:color="4F81BD"/>
            </w:tcBorders>
          </w:tcPr>
          <w:p w14:paraId="466AE391" w14:textId="77777777" w:rsidR="004278F4" w:rsidRDefault="004278F4" w:rsidP="009140A4">
            <w:pPr>
              <w:spacing w:line="240" w:lineRule="auto"/>
              <w:jc w:val="left"/>
              <w:rPr>
                <w:lang w:eastAsia="en-US"/>
              </w:rPr>
            </w:pPr>
            <w:r>
              <w:rPr>
                <w:lang w:eastAsia="en-US"/>
              </w:rPr>
              <w:t>As above – provide 175 units of crisis and transitional accommodation per annum.</w:t>
            </w:r>
          </w:p>
          <w:p w14:paraId="05618557" w14:textId="6334E433" w:rsidR="004278F4" w:rsidRDefault="004278F4" w:rsidP="00286295">
            <w:pPr>
              <w:spacing w:line="240" w:lineRule="auto"/>
              <w:jc w:val="left"/>
              <w:rPr>
                <w:lang w:eastAsia="en-US"/>
              </w:rPr>
            </w:pPr>
            <w:r>
              <w:rPr>
                <w:lang w:eastAsia="en-US"/>
              </w:rPr>
              <w:t>Provide nine units in a Youth at Risk Response Centre and six Youth Castles by 30 June 2019.</w:t>
            </w:r>
          </w:p>
        </w:tc>
      </w:tr>
      <w:tr w:rsidR="004278F4" w14:paraId="02E16160" w14:textId="77777777" w:rsidTr="00286295">
        <w:trPr>
          <w:trHeight w:val="740"/>
        </w:trPr>
        <w:tc>
          <w:tcPr>
            <w:tcW w:w="2269" w:type="dxa"/>
            <w:vMerge/>
            <w:tcBorders>
              <w:left w:val="single" w:sz="8" w:space="0" w:color="4F81BD"/>
              <w:right w:val="single" w:sz="8" w:space="0" w:color="4F81BD"/>
            </w:tcBorders>
          </w:tcPr>
          <w:p w14:paraId="78600F7B" w14:textId="77777777" w:rsidR="004278F4" w:rsidRDefault="004278F4">
            <w:pPr>
              <w:spacing w:line="240" w:lineRule="auto"/>
              <w:jc w:val="left"/>
              <w:rPr>
                <w:lang w:eastAsia="en-US"/>
              </w:rPr>
            </w:pPr>
          </w:p>
        </w:tc>
        <w:tc>
          <w:tcPr>
            <w:tcW w:w="4680" w:type="dxa"/>
            <w:tcBorders>
              <w:top w:val="dotted" w:sz="4" w:space="0" w:color="4F81BD" w:themeColor="accent1"/>
              <w:left w:val="single" w:sz="8" w:space="0" w:color="4F81BD"/>
              <w:bottom w:val="dotted" w:sz="4" w:space="0" w:color="4F81BD" w:themeColor="accent1"/>
              <w:right w:val="single" w:sz="8" w:space="0" w:color="4F81BD"/>
            </w:tcBorders>
          </w:tcPr>
          <w:p w14:paraId="183ECD0F" w14:textId="1ACCC9BB" w:rsidR="004278F4" w:rsidRPr="00BC2CC7" w:rsidRDefault="004278F4" w:rsidP="00286295">
            <w:pPr>
              <w:spacing w:line="240" w:lineRule="auto"/>
              <w:jc w:val="left"/>
              <w:rPr>
                <w:lang w:eastAsia="en-US"/>
              </w:rPr>
            </w:pPr>
            <w:r w:rsidRPr="00286295">
              <w:rPr>
                <w:lang w:eastAsia="en-US"/>
              </w:rPr>
              <w:t>Commitment 6</w:t>
            </w:r>
            <w:r>
              <w:rPr>
                <w:lang w:eastAsia="en-US"/>
              </w:rPr>
              <w:t xml:space="preserve"> includes </w:t>
            </w:r>
            <w:r w:rsidRPr="00286295">
              <w:rPr>
                <w:lang w:eastAsia="en-US"/>
              </w:rPr>
              <w:t xml:space="preserve">secure supported accommodation for </w:t>
            </w:r>
            <w:r>
              <w:rPr>
                <w:lang w:eastAsia="en-US"/>
              </w:rPr>
              <w:t xml:space="preserve">young </w:t>
            </w:r>
            <w:r w:rsidRPr="00286295">
              <w:rPr>
                <w:lang w:eastAsia="en-US"/>
              </w:rPr>
              <w:t xml:space="preserve">people who </w:t>
            </w:r>
            <w:r w:rsidR="00AB0F53">
              <w:rPr>
                <w:lang w:eastAsia="en-US"/>
              </w:rPr>
              <w:t>are</w:t>
            </w:r>
            <w:r w:rsidRPr="00286295">
              <w:rPr>
                <w:lang w:eastAsia="en-US"/>
              </w:rPr>
              <w:t xml:space="preserve"> homeless or at risk of homelessness.</w:t>
            </w:r>
          </w:p>
        </w:tc>
        <w:tc>
          <w:tcPr>
            <w:tcW w:w="3121" w:type="dxa"/>
            <w:tcBorders>
              <w:top w:val="dotted" w:sz="4" w:space="0" w:color="4F81BD" w:themeColor="accent1"/>
              <w:left w:val="single" w:sz="8" w:space="0" w:color="4F81BD"/>
              <w:bottom w:val="dotted" w:sz="4" w:space="0" w:color="4F81BD" w:themeColor="accent1"/>
              <w:right w:val="single" w:sz="8" w:space="0" w:color="4F81BD"/>
            </w:tcBorders>
          </w:tcPr>
          <w:p w14:paraId="3C4D772A" w14:textId="3B258F63" w:rsidR="004278F4" w:rsidRDefault="004278F4" w:rsidP="00286295">
            <w:pPr>
              <w:spacing w:line="240" w:lineRule="auto"/>
              <w:jc w:val="left"/>
              <w:rPr>
                <w:lang w:eastAsia="en-US"/>
              </w:rPr>
            </w:pPr>
            <w:r>
              <w:rPr>
                <w:lang w:eastAsia="en-US"/>
              </w:rPr>
              <w:t>As above – provide three Foyer-model supported accommodation facilities with 101 units for young people per annum.</w:t>
            </w:r>
          </w:p>
        </w:tc>
      </w:tr>
      <w:tr w:rsidR="004278F4" w14:paraId="2B5C4ADA" w14:textId="77777777" w:rsidTr="00286295">
        <w:trPr>
          <w:trHeight w:val="740"/>
        </w:trPr>
        <w:tc>
          <w:tcPr>
            <w:tcW w:w="2269" w:type="dxa"/>
            <w:vMerge/>
            <w:tcBorders>
              <w:left w:val="single" w:sz="8" w:space="0" w:color="4F81BD"/>
              <w:bottom w:val="single" w:sz="8" w:space="0" w:color="4F81BD"/>
              <w:right w:val="single" w:sz="8" w:space="0" w:color="4F81BD"/>
            </w:tcBorders>
          </w:tcPr>
          <w:p w14:paraId="274D7F7E" w14:textId="77777777" w:rsidR="004278F4" w:rsidRDefault="004278F4">
            <w:pPr>
              <w:spacing w:line="240" w:lineRule="auto"/>
              <w:jc w:val="left"/>
              <w:rPr>
                <w:lang w:eastAsia="en-US"/>
              </w:rPr>
            </w:pPr>
          </w:p>
        </w:tc>
        <w:tc>
          <w:tcPr>
            <w:tcW w:w="4680" w:type="dxa"/>
            <w:tcBorders>
              <w:top w:val="dotted" w:sz="4" w:space="0" w:color="4F81BD" w:themeColor="accent1"/>
              <w:left w:val="single" w:sz="8" w:space="0" w:color="4F81BD"/>
              <w:bottom w:val="single" w:sz="8" w:space="0" w:color="4F81BD"/>
              <w:right w:val="single" w:sz="8" w:space="0" w:color="4F81BD"/>
            </w:tcBorders>
          </w:tcPr>
          <w:p w14:paraId="6320C8E2" w14:textId="58A266E0" w:rsidR="004278F4" w:rsidRPr="00286295" w:rsidRDefault="004278F4" w:rsidP="00286295">
            <w:pPr>
              <w:spacing w:line="240" w:lineRule="auto"/>
              <w:jc w:val="left"/>
              <w:rPr>
                <w:lang w:eastAsia="en-US"/>
              </w:rPr>
            </w:pPr>
            <w:r w:rsidRPr="00286295">
              <w:rPr>
                <w:lang w:eastAsia="en-US"/>
              </w:rPr>
              <w:t>Commitment 7</w:t>
            </w:r>
            <w:r>
              <w:rPr>
                <w:lang w:eastAsia="en-US"/>
              </w:rPr>
              <w:t xml:space="preserve"> includes </w:t>
            </w:r>
            <w:r w:rsidRPr="00286295">
              <w:rPr>
                <w:lang w:eastAsia="en-US"/>
              </w:rPr>
              <w:t>private rental incentives t</w:t>
            </w:r>
            <w:r>
              <w:rPr>
                <w:lang w:eastAsia="en-US"/>
              </w:rPr>
              <w:t xml:space="preserve">o </w:t>
            </w:r>
            <w:r>
              <w:rPr>
                <w:lang w:eastAsia="en-US"/>
              </w:rPr>
              <w:t xml:space="preserve">secure </w:t>
            </w:r>
            <w:r w:rsidRPr="00605072">
              <w:rPr>
                <w:lang w:eastAsia="en-US"/>
              </w:rPr>
              <w:t xml:space="preserve">affordable private rental homes for </w:t>
            </w:r>
            <w:r>
              <w:rPr>
                <w:lang w:eastAsia="en-US"/>
              </w:rPr>
              <w:t xml:space="preserve">young </w:t>
            </w:r>
            <w:r w:rsidRPr="00605072">
              <w:rPr>
                <w:lang w:eastAsia="en-US"/>
              </w:rPr>
              <w:t>people on low</w:t>
            </w:r>
            <w:r>
              <w:rPr>
                <w:lang w:eastAsia="en-US"/>
              </w:rPr>
              <w:t xml:space="preserve"> incomes who </w:t>
            </w:r>
            <w:r w:rsidR="00AB0F53">
              <w:rPr>
                <w:lang w:eastAsia="en-US"/>
              </w:rPr>
              <w:t>are homeless or at risk of homelessness</w:t>
            </w:r>
            <w:r w:rsidR="00AB0F53">
              <w:rPr>
                <w:lang w:eastAsia="en-US"/>
              </w:rPr>
              <w:t>.</w:t>
            </w:r>
          </w:p>
        </w:tc>
        <w:tc>
          <w:tcPr>
            <w:tcW w:w="3121" w:type="dxa"/>
            <w:tcBorders>
              <w:top w:val="dotted" w:sz="4" w:space="0" w:color="4F81BD" w:themeColor="accent1"/>
              <w:left w:val="single" w:sz="8" w:space="0" w:color="4F81BD"/>
              <w:bottom w:val="single" w:sz="8" w:space="0" w:color="4F81BD"/>
              <w:right w:val="single" w:sz="8" w:space="0" w:color="4F81BD"/>
            </w:tcBorders>
          </w:tcPr>
          <w:p w14:paraId="7BC76435" w14:textId="2FAA58FB" w:rsidR="004278F4" w:rsidRDefault="004278F4" w:rsidP="009140A4">
            <w:pPr>
              <w:spacing w:line="240" w:lineRule="auto"/>
              <w:jc w:val="left"/>
              <w:rPr>
                <w:lang w:eastAsia="en-US"/>
              </w:rPr>
            </w:pPr>
            <w:r>
              <w:rPr>
                <w:lang w:eastAsia="en-US"/>
              </w:rPr>
              <w:t>As above – provide access to 50 affordable private rental homes across Tasmania by 30 June 2019 for young people.</w:t>
            </w:r>
          </w:p>
        </w:tc>
      </w:tr>
      <w:tr w:rsidR="00DD4D99" w14:paraId="664E896E" w14:textId="77777777" w:rsidTr="00286295">
        <w:trPr>
          <w:trHeight w:val="740"/>
        </w:trPr>
        <w:tc>
          <w:tcPr>
            <w:tcW w:w="2269" w:type="dxa"/>
            <w:vMerge w:val="restart"/>
            <w:tcBorders>
              <w:top w:val="single" w:sz="8" w:space="0" w:color="4F81BD"/>
              <w:left w:val="single" w:sz="8" w:space="0" w:color="4F81BD"/>
              <w:right w:val="single" w:sz="8" w:space="0" w:color="4F81BD"/>
            </w:tcBorders>
          </w:tcPr>
          <w:p w14:paraId="47807835" w14:textId="652D5E9C" w:rsidR="00DD4D99" w:rsidRDefault="00DD4D99">
            <w:pPr>
              <w:spacing w:line="240" w:lineRule="auto"/>
              <w:jc w:val="left"/>
              <w:rPr>
                <w:lang w:eastAsia="en-US"/>
              </w:rPr>
            </w:pPr>
            <w:r>
              <w:rPr>
                <w:lang w:eastAsia="en-US"/>
              </w:rPr>
              <w:t>Indigenous Australians</w:t>
            </w:r>
          </w:p>
        </w:tc>
        <w:tc>
          <w:tcPr>
            <w:tcW w:w="4680" w:type="dxa"/>
            <w:tcBorders>
              <w:top w:val="single" w:sz="8" w:space="0" w:color="4F81BD"/>
              <w:left w:val="single" w:sz="8" w:space="0" w:color="4F81BD"/>
              <w:bottom w:val="dotted" w:sz="4" w:space="0" w:color="4F81BD" w:themeColor="accent1"/>
              <w:right w:val="single" w:sz="8" w:space="0" w:color="4F81BD"/>
            </w:tcBorders>
          </w:tcPr>
          <w:p w14:paraId="26905BC0" w14:textId="36FEC07D" w:rsidR="00DD4D99" w:rsidRDefault="00DD4D99">
            <w:pPr>
              <w:spacing w:line="240" w:lineRule="auto"/>
              <w:jc w:val="left"/>
              <w:rPr>
                <w:lang w:eastAsia="en-US"/>
              </w:rPr>
            </w:pPr>
            <w:r>
              <w:rPr>
                <w:lang w:eastAsia="en-US"/>
              </w:rPr>
              <w:t xml:space="preserve">Commitment 4 includes case management support for </w:t>
            </w:r>
            <w:r>
              <w:rPr>
                <w:lang w:eastAsia="en-US"/>
              </w:rPr>
              <w:t>Aboriginal and Torres Strait Islander people in Tasmania</w:t>
            </w:r>
            <w:r>
              <w:rPr>
                <w:lang w:eastAsia="en-US"/>
              </w:rPr>
              <w:t xml:space="preserve"> </w:t>
            </w:r>
            <w:r>
              <w:rPr>
                <w:lang w:eastAsia="en-US"/>
              </w:rPr>
              <w:t>who are homeless or at risk of homelessness</w:t>
            </w:r>
            <w:r>
              <w:rPr>
                <w:lang w:eastAsia="en-US"/>
              </w:rPr>
              <w:t>.</w:t>
            </w:r>
          </w:p>
        </w:tc>
        <w:tc>
          <w:tcPr>
            <w:tcW w:w="3121" w:type="dxa"/>
            <w:tcBorders>
              <w:top w:val="single" w:sz="8" w:space="0" w:color="4F81BD"/>
              <w:left w:val="single" w:sz="8" w:space="0" w:color="4F81BD"/>
              <w:bottom w:val="dotted" w:sz="4" w:space="0" w:color="4F81BD" w:themeColor="accent1"/>
              <w:right w:val="single" w:sz="8" w:space="0" w:color="4F81BD"/>
            </w:tcBorders>
          </w:tcPr>
          <w:p w14:paraId="0B1CAE11" w14:textId="130D009E" w:rsidR="00DD4D99" w:rsidRDefault="00DD4D99" w:rsidP="00C87C67">
            <w:pPr>
              <w:spacing w:line="240" w:lineRule="auto"/>
              <w:jc w:val="left"/>
              <w:rPr>
                <w:lang w:eastAsia="en-US"/>
              </w:rPr>
            </w:pPr>
            <w:r>
              <w:rPr>
                <w:lang w:eastAsia="en-US"/>
              </w:rPr>
              <w:t>As above – provide 600 support periods per annum.</w:t>
            </w:r>
          </w:p>
        </w:tc>
      </w:tr>
      <w:tr w:rsidR="00DD4D99" w14:paraId="0E9C3FC0" w14:textId="77777777" w:rsidTr="00286295">
        <w:trPr>
          <w:trHeight w:val="740"/>
        </w:trPr>
        <w:tc>
          <w:tcPr>
            <w:tcW w:w="2269" w:type="dxa"/>
            <w:vMerge/>
            <w:tcBorders>
              <w:left w:val="single" w:sz="8" w:space="0" w:color="4F81BD"/>
              <w:right w:val="single" w:sz="8" w:space="0" w:color="4F81BD"/>
            </w:tcBorders>
          </w:tcPr>
          <w:p w14:paraId="3EF44577" w14:textId="77777777" w:rsidR="00DD4D99" w:rsidRDefault="00DD4D99">
            <w:pPr>
              <w:spacing w:line="240" w:lineRule="auto"/>
              <w:jc w:val="left"/>
              <w:rPr>
                <w:lang w:eastAsia="en-US"/>
              </w:rPr>
            </w:pPr>
          </w:p>
        </w:tc>
        <w:tc>
          <w:tcPr>
            <w:tcW w:w="4680" w:type="dxa"/>
            <w:tcBorders>
              <w:top w:val="dotted" w:sz="4" w:space="0" w:color="4F81BD" w:themeColor="accent1"/>
              <w:left w:val="single" w:sz="8" w:space="0" w:color="4F81BD"/>
              <w:bottom w:val="dotted" w:sz="4" w:space="0" w:color="4F81BD" w:themeColor="accent1"/>
              <w:right w:val="single" w:sz="8" w:space="0" w:color="4F81BD"/>
            </w:tcBorders>
          </w:tcPr>
          <w:p w14:paraId="3C19C7CA" w14:textId="4CAFAB13" w:rsidR="00DD4D99" w:rsidRDefault="00DD4D99" w:rsidP="00286295">
            <w:pPr>
              <w:spacing w:line="240" w:lineRule="auto"/>
              <w:jc w:val="left"/>
              <w:rPr>
                <w:lang w:eastAsia="en-US"/>
              </w:rPr>
            </w:pPr>
            <w:r>
              <w:rPr>
                <w:lang w:eastAsia="en-US"/>
              </w:rPr>
              <w:t xml:space="preserve">Commitment 5 includes crisis and transitional accommodation for </w:t>
            </w:r>
            <w:r>
              <w:rPr>
                <w:lang w:eastAsia="en-US"/>
              </w:rPr>
              <w:t>Aboriginal and Torres Strait Islander people in Tasmania</w:t>
            </w:r>
            <w:r>
              <w:rPr>
                <w:lang w:eastAsia="en-US"/>
              </w:rPr>
              <w:t xml:space="preserve"> </w:t>
            </w:r>
            <w:r>
              <w:rPr>
                <w:lang w:eastAsia="en-US"/>
              </w:rPr>
              <w:t xml:space="preserve">who are homeless or at risk of homelessness. </w:t>
            </w:r>
          </w:p>
        </w:tc>
        <w:tc>
          <w:tcPr>
            <w:tcW w:w="3121" w:type="dxa"/>
            <w:tcBorders>
              <w:top w:val="dotted" w:sz="4" w:space="0" w:color="4F81BD" w:themeColor="accent1"/>
              <w:left w:val="single" w:sz="8" w:space="0" w:color="4F81BD"/>
              <w:bottom w:val="dotted" w:sz="4" w:space="0" w:color="4F81BD" w:themeColor="accent1"/>
              <w:right w:val="single" w:sz="8" w:space="0" w:color="4F81BD"/>
            </w:tcBorders>
          </w:tcPr>
          <w:p w14:paraId="441256E4" w14:textId="6D14DE3B" w:rsidR="00DD4D99" w:rsidRDefault="00DD4D99" w:rsidP="00C87C67">
            <w:pPr>
              <w:spacing w:line="240" w:lineRule="auto"/>
              <w:jc w:val="left"/>
              <w:rPr>
                <w:lang w:eastAsia="en-US"/>
              </w:rPr>
            </w:pPr>
            <w:r>
              <w:rPr>
                <w:lang w:eastAsia="en-US"/>
              </w:rPr>
              <w:t>As above – provide 175 units of crisis and transi</w:t>
            </w:r>
            <w:r>
              <w:rPr>
                <w:lang w:eastAsia="en-US"/>
              </w:rPr>
              <w:t>tional accommodation per annum.</w:t>
            </w:r>
          </w:p>
        </w:tc>
      </w:tr>
      <w:tr w:rsidR="00DD4D99" w14:paraId="56C8242D" w14:textId="77777777" w:rsidTr="00286295">
        <w:trPr>
          <w:trHeight w:val="740"/>
        </w:trPr>
        <w:tc>
          <w:tcPr>
            <w:tcW w:w="2269" w:type="dxa"/>
            <w:vMerge/>
            <w:tcBorders>
              <w:left w:val="single" w:sz="8" w:space="0" w:color="4F81BD"/>
              <w:right w:val="single" w:sz="8" w:space="0" w:color="4F81BD"/>
            </w:tcBorders>
          </w:tcPr>
          <w:p w14:paraId="686445AB" w14:textId="77777777" w:rsidR="00DD4D99" w:rsidRDefault="00DD4D99">
            <w:pPr>
              <w:spacing w:line="240" w:lineRule="auto"/>
              <w:jc w:val="left"/>
              <w:rPr>
                <w:lang w:eastAsia="en-US"/>
              </w:rPr>
            </w:pPr>
          </w:p>
        </w:tc>
        <w:tc>
          <w:tcPr>
            <w:tcW w:w="4680" w:type="dxa"/>
            <w:tcBorders>
              <w:top w:val="dotted" w:sz="4" w:space="0" w:color="4F81BD" w:themeColor="accent1"/>
              <w:left w:val="single" w:sz="8" w:space="0" w:color="4F81BD"/>
              <w:bottom w:val="dotted" w:sz="4" w:space="0" w:color="4F81BD" w:themeColor="accent1"/>
              <w:right w:val="single" w:sz="8" w:space="0" w:color="4F81BD"/>
            </w:tcBorders>
          </w:tcPr>
          <w:p w14:paraId="69D1A901" w14:textId="6C7A523D" w:rsidR="00DD4D99" w:rsidRDefault="00DD4D99" w:rsidP="00286295">
            <w:pPr>
              <w:spacing w:line="240" w:lineRule="auto"/>
              <w:jc w:val="left"/>
              <w:rPr>
                <w:lang w:eastAsia="en-US"/>
              </w:rPr>
            </w:pPr>
            <w:r w:rsidRPr="00605072">
              <w:rPr>
                <w:lang w:eastAsia="en-US"/>
              </w:rPr>
              <w:t>Commitment 6</w:t>
            </w:r>
            <w:r>
              <w:rPr>
                <w:lang w:eastAsia="en-US"/>
              </w:rPr>
              <w:t xml:space="preserve"> includes </w:t>
            </w:r>
            <w:r w:rsidRPr="00605072">
              <w:rPr>
                <w:lang w:eastAsia="en-US"/>
              </w:rPr>
              <w:t xml:space="preserve">secure supported accommodation for </w:t>
            </w:r>
            <w:r w:rsidR="00A669B5">
              <w:rPr>
                <w:lang w:eastAsia="en-US"/>
              </w:rPr>
              <w:t>Aboriginal and Torres Strait Islander people in Tasmania who are homeless or at risk of homelessness</w:t>
            </w:r>
            <w:r w:rsidRPr="00605072">
              <w:rPr>
                <w:lang w:eastAsia="en-US"/>
              </w:rPr>
              <w:t>.</w:t>
            </w:r>
          </w:p>
        </w:tc>
        <w:tc>
          <w:tcPr>
            <w:tcW w:w="3121" w:type="dxa"/>
            <w:tcBorders>
              <w:top w:val="dotted" w:sz="4" w:space="0" w:color="4F81BD" w:themeColor="accent1"/>
              <w:left w:val="single" w:sz="8" w:space="0" w:color="4F81BD"/>
              <w:bottom w:val="dotted" w:sz="4" w:space="0" w:color="4F81BD" w:themeColor="accent1"/>
              <w:right w:val="single" w:sz="8" w:space="0" w:color="4F81BD"/>
            </w:tcBorders>
          </w:tcPr>
          <w:p w14:paraId="2B4D7D2E" w14:textId="6D1D070F" w:rsidR="00DD4D99" w:rsidRDefault="00A669B5" w:rsidP="00286295">
            <w:pPr>
              <w:spacing w:line="240" w:lineRule="auto"/>
              <w:jc w:val="left"/>
              <w:rPr>
                <w:lang w:eastAsia="en-US"/>
              </w:rPr>
            </w:pPr>
            <w:r>
              <w:rPr>
                <w:lang w:eastAsia="en-US"/>
              </w:rPr>
              <w:t>As above – p</w:t>
            </w:r>
            <w:r w:rsidR="00DD4D99">
              <w:rPr>
                <w:lang w:eastAsia="en-US"/>
              </w:rPr>
              <w:t>rovide four long-term supported accommodation facilities with 135 units for adults per annum and three Foyer-model supported accommodation facilities with 101 units for young people per annum.</w:t>
            </w:r>
          </w:p>
        </w:tc>
      </w:tr>
      <w:tr w:rsidR="00DD4D99" w14:paraId="13438966" w14:textId="77777777" w:rsidTr="00286295">
        <w:trPr>
          <w:trHeight w:val="740"/>
        </w:trPr>
        <w:tc>
          <w:tcPr>
            <w:tcW w:w="2269" w:type="dxa"/>
            <w:vMerge/>
            <w:tcBorders>
              <w:left w:val="single" w:sz="8" w:space="0" w:color="4F81BD"/>
              <w:bottom w:val="single" w:sz="8" w:space="0" w:color="4F81BD"/>
              <w:right w:val="single" w:sz="8" w:space="0" w:color="4F81BD"/>
            </w:tcBorders>
          </w:tcPr>
          <w:p w14:paraId="38844291" w14:textId="77777777" w:rsidR="00DD4D99" w:rsidRDefault="00DD4D99">
            <w:pPr>
              <w:spacing w:line="240" w:lineRule="auto"/>
              <w:jc w:val="left"/>
              <w:rPr>
                <w:lang w:eastAsia="en-US"/>
              </w:rPr>
            </w:pPr>
          </w:p>
        </w:tc>
        <w:tc>
          <w:tcPr>
            <w:tcW w:w="4680" w:type="dxa"/>
            <w:tcBorders>
              <w:top w:val="dotted" w:sz="4" w:space="0" w:color="4F81BD" w:themeColor="accent1"/>
              <w:left w:val="single" w:sz="8" w:space="0" w:color="4F81BD"/>
              <w:bottom w:val="single" w:sz="8" w:space="0" w:color="4F81BD"/>
              <w:right w:val="single" w:sz="8" w:space="0" w:color="4F81BD"/>
            </w:tcBorders>
          </w:tcPr>
          <w:p w14:paraId="48BB5EDB" w14:textId="77777777" w:rsidR="00DD4D99" w:rsidRDefault="00DD4D99">
            <w:pPr>
              <w:spacing w:line="240" w:lineRule="auto"/>
              <w:jc w:val="left"/>
              <w:rPr>
                <w:lang w:eastAsia="en-US"/>
              </w:rPr>
            </w:pPr>
            <w:r>
              <w:rPr>
                <w:lang w:eastAsia="en-US"/>
              </w:rPr>
              <w:t>Contribute to safely ho</w:t>
            </w:r>
            <w:r>
              <w:rPr>
                <w:lang w:eastAsia="en-US"/>
              </w:rPr>
              <w:t xml:space="preserve">using people who are homeless. </w:t>
            </w:r>
          </w:p>
          <w:p w14:paraId="44FA9782" w14:textId="089309A4" w:rsidR="00DD4D99" w:rsidRDefault="00DD4D99" w:rsidP="00286295">
            <w:pPr>
              <w:spacing w:line="240" w:lineRule="auto"/>
              <w:jc w:val="left"/>
              <w:rPr>
                <w:lang w:eastAsia="en-US"/>
              </w:rPr>
            </w:pPr>
            <w:r w:rsidRPr="00605072">
              <w:rPr>
                <w:b/>
                <w:lang w:eastAsia="en-US"/>
              </w:rPr>
              <w:t>C</w:t>
            </w:r>
            <w:r>
              <w:rPr>
                <w:b/>
                <w:lang w:eastAsia="en-US"/>
              </w:rPr>
              <w:t>o</w:t>
            </w:r>
            <w:r w:rsidRPr="00605072">
              <w:rPr>
                <w:b/>
                <w:lang w:eastAsia="en-US"/>
              </w:rPr>
              <w:t xml:space="preserve">mmitment </w:t>
            </w:r>
            <w:r>
              <w:rPr>
                <w:b/>
                <w:lang w:eastAsia="en-US"/>
              </w:rPr>
              <w:t>9</w:t>
            </w:r>
            <w:r>
              <w:rPr>
                <w:lang w:eastAsia="en-US"/>
              </w:rPr>
              <w:t xml:space="preserve">: </w:t>
            </w:r>
            <w:r>
              <w:rPr>
                <w:lang w:eastAsia="en-US"/>
              </w:rPr>
              <w:t xml:space="preserve">Provide a </w:t>
            </w:r>
            <w:r w:rsidRPr="00286295">
              <w:rPr>
                <w:b/>
                <w:lang w:eastAsia="en-US"/>
              </w:rPr>
              <w:t>dedicated</w:t>
            </w:r>
            <w:r>
              <w:rPr>
                <w:lang w:eastAsia="en-US"/>
              </w:rPr>
              <w:t xml:space="preserve"> </w:t>
            </w:r>
            <w:r w:rsidRPr="002A6207">
              <w:rPr>
                <w:b/>
                <w:lang w:eastAsia="en-US"/>
              </w:rPr>
              <w:t xml:space="preserve">social housing </w:t>
            </w:r>
            <w:r>
              <w:rPr>
                <w:lang w:eastAsia="en-US"/>
              </w:rPr>
              <w:t xml:space="preserve">portfolio </w:t>
            </w:r>
            <w:r w:rsidRPr="00286295">
              <w:rPr>
                <w:lang w:eastAsia="en-US"/>
              </w:rPr>
              <w:t>that is</w:t>
            </w:r>
            <w:r>
              <w:rPr>
                <w:b/>
                <w:lang w:eastAsia="en-US"/>
              </w:rPr>
              <w:t xml:space="preserve"> </w:t>
            </w:r>
            <w:r>
              <w:rPr>
                <w:lang w:eastAsia="en-US"/>
              </w:rPr>
              <w:t xml:space="preserve">secure, appropriate and affordable </w:t>
            </w:r>
            <w:r w:rsidRPr="00286295">
              <w:rPr>
                <w:lang w:eastAsia="en-US"/>
              </w:rPr>
              <w:t>to Aboriginal and Torres Strait Islander p</w:t>
            </w:r>
            <w:r w:rsidRPr="00BC2CC7">
              <w:rPr>
                <w:lang w:eastAsia="en-US"/>
              </w:rPr>
              <w:t>eople</w:t>
            </w:r>
            <w:r>
              <w:rPr>
                <w:lang w:eastAsia="en-US"/>
              </w:rPr>
              <w:t xml:space="preserve"> in Tasmania</w:t>
            </w:r>
            <w:r>
              <w:rPr>
                <w:lang w:eastAsia="en-US"/>
              </w:rPr>
              <w:t xml:space="preserve"> </w:t>
            </w:r>
            <w:r>
              <w:rPr>
                <w:lang w:eastAsia="en-US"/>
              </w:rPr>
              <w:t>who are homeless or at risk of homelessness.</w:t>
            </w:r>
          </w:p>
        </w:tc>
        <w:tc>
          <w:tcPr>
            <w:tcW w:w="3121" w:type="dxa"/>
            <w:tcBorders>
              <w:top w:val="dotted" w:sz="4" w:space="0" w:color="4F81BD" w:themeColor="accent1"/>
              <w:left w:val="single" w:sz="8" w:space="0" w:color="4F81BD"/>
              <w:bottom w:val="single" w:sz="8" w:space="0" w:color="4F81BD"/>
              <w:right w:val="single" w:sz="8" w:space="0" w:color="4F81BD"/>
            </w:tcBorders>
          </w:tcPr>
          <w:p w14:paraId="5C93201B" w14:textId="365F5616" w:rsidR="00DD4D99" w:rsidRDefault="00DD4D99" w:rsidP="00C87C67">
            <w:pPr>
              <w:spacing w:line="240" w:lineRule="auto"/>
              <w:jc w:val="left"/>
              <w:rPr>
                <w:lang w:eastAsia="en-US"/>
              </w:rPr>
            </w:pPr>
            <w:r>
              <w:rPr>
                <w:lang w:eastAsia="en-US"/>
              </w:rPr>
              <w:t>Provide more than 300 homes across Tasmania providing support to Indigenous Australians based on priority need assessment.</w:t>
            </w:r>
          </w:p>
        </w:tc>
      </w:tr>
      <w:tr w:rsidR="00A669B5" w14:paraId="072849EB" w14:textId="77777777" w:rsidTr="00286295">
        <w:trPr>
          <w:trHeight w:val="740"/>
        </w:trPr>
        <w:tc>
          <w:tcPr>
            <w:tcW w:w="2269" w:type="dxa"/>
            <w:vMerge w:val="restart"/>
            <w:tcBorders>
              <w:top w:val="single" w:sz="8" w:space="0" w:color="4F81BD"/>
              <w:left w:val="single" w:sz="8" w:space="0" w:color="4F81BD"/>
              <w:right w:val="single" w:sz="8" w:space="0" w:color="4F81BD"/>
            </w:tcBorders>
          </w:tcPr>
          <w:p w14:paraId="775367B1" w14:textId="77777777" w:rsidR="00A669B5" w:rsidRDefault="00A669B5" w:rsidP="00A669B5">
            <w:pPr>
              <w:spacing w:after="0"/>
              <w:contextualSpacing/>
              <w:jc w:val="left"/>
              <w:rPr>
                <w:color w:val="auto"/>
                <w:lang w:eastAsia="en-US"/>
              </w:rPr>
            </w:pPr>
            <w:r>
              <w:rPr>
                <w:color w:val="auto"/>
                <w:lang w:eastAsia="en-US"/>
              </w:rPr>
              <w:t>People experiencing repeat homelessness</w:t>
            </w:r>
          </w:p>
          <w:p w14:paraId="7859009D" w14:textId="77777777" w:rsidR="00A669B5" w:rsidRDefault="00A669B5">
            <w:pPr>
              <w:spacing w:after="0"/>
              <w:contextualSpacing/>
              <w:jc w:val="left"/>
              <w:rPr>
                <w:color w:val="auto"/>
                <w:lang w:eastAsia="en-US"/>
              </w:rPr>
            </w:pPr>
          </w:p>
        </w:tc>
        <w:tc>
          <w:tcPr>
            <w:tcW w:w="4680" w:type="dxa"/>
            <w:tcBorders>
              <w:top w:val="single" w:sz="8" w:space="0" w:color="4F81BD"/>
              <w:left w:val="single" w:sz="8" w:space="0" w:color="4F81BD"/>
              <w:bottom w:val="dotted" w:sz="4" w:space="0" w:color="4F81BD" w:themeColor="accent1"/>
              <w:right w:val="single" w:sz="8" w:space="0" w:color="4F81BD"/>
            </w:tcBorders>
          </w:tcPr>
          <w:p w14:paraId="09797B67" w14:textId="7AF77E4F" w:rsidR="00A669B5" w:rsidRDefault="00A669B5" w:rsidP="00193EB6">
            <w:pPr>
              <w:spacing w:line="240" w:lineRule="auto"/>
              <w:jc w:val="left"/>
              <w:rPr>
                <w:lang w:eastAsia="en-US"/>
              </w:rPr>
            </w:pPr>
            <w:r>
              <w:rPr>
                <w:lang w:eastAsia="en-US"/>
              </w:rPr>
              <w:t xml:space="preserve">Commitment 4 includes case management support for </w:t>
            </w:r>
            <w:r w:rsidRPr="00193EB6">
              <w:rPr>
                <w:lang w:eastAsia="en-US"/>
              </w:rPr>
              <w:t>people experiencing repeat homelessness</w:t>
            </w:r>
            <w:r>
              <w:rPr>
                <w:lang w:eastAsia="en-US"/>
              </w:rPr>
              <w:t>.</w:t>
            </w:r>
          </w:p>
        </w:tc>
        <w:tc>
          <w:tcPr>
            <w:tcW w:w="3121" w:type="dxa"/>
            <w:tcBorders>
              <w:top w:val="single" w:sz="8" w:space="0" w:color="4F81BD"/>
              <w:left w:val="single" w:sz="8" w:space="0" w:color="4F81BD"/>
              <w:bottom w:val="dotted" w:sz="4" w:space="0" w:color="4F81BD" w:themeColor="accent1"/>
              <w:right w:val="single" w:sz="8" w:space="0" w:color="4F81BD"/>
            </w:tcBorders>
          </w:tcPr>
          <w:p w14:paraId="147FD558" w14:textId="14EA5254" w:rsidR="00A669B5" w:rsidRPr="00286295" w:rsidRDefault="00A669B5" w:rsidP="00804F6E">
            <w:pPr>
              <w:spacing w:line="240" w:lineRule="auto"/>
              <w:jc w:val="left"/>
              <w:rPr>
                <w:lang w:eastAsia="en-US"/>
              </w:rPr>
            </w:pPr>
            <w:r w:rsidRPr="00605072">
              <w:rPr>
                <w:lang w:eastAsia="en-US"/>
              </w:rPr>
              <w:t>Assist more than 2,500 people per annum to maintain or obtain long-term housing at the end of their support period</w:t>
            </w:r>
            <w:r>
              <w:rPr>
                <w:lang w:eastAsia="en-US"/>
              </w:rPr>
              <w:t>.</w:t>
            </w:r>
          </w:p>
        </w:tc>
      </w:tr>
      <w:tr w:rsidR="00A669B5" w14:paraId="478015C3" w14:textId="77777777" w:rsidTr="00286295">
        <w:trPr>
          <w:trHeight w:val="740"/>
        </w:trPr>
        <w:tc>
          <w:tcPr>
            <w:tcW w:w="2269" w:type="dxa"/>
            <w:vMerge/>
            <w:tcBorders>
              <w:left w:val="single" w:sz="8" w:space="0" w:color="4F81BD"/>
              <w:right w:val="single" w:sz="8" w:space="0" w:color="4F81BD"/>
            </w:tcBorders>
          </w:tcPr>
          <w:p w14:paraId="5456A1D7" w14:textId="77777777" w:rsidR="00A669B5" w:rsidRDefault="00A669B5">
            <w:pPr>
              <w:spacing w:after="0"/>
              <w:contextualSpacing/>
              <w:jc w:val="left"/>
              <w:rPr>
                <w:color w:val="auto"/>
                <w:lang w:eastAsia="en-US"/>
              </w:rPr>
            </w:pPr>
          </w:p>
        </w:tc>
        <w:tc>
          <w:tcPr>
            <w:tcW w:w="4680" w:type="dxa"/>
            <w:tcBorders>
              <w:top w:val="dotted" w:sz="4" w:space="0" w:color="4F81BD" w:themeColor="accent1"/>
              <w:left w:val="single" w:sz="8" w:space="0" w:color="4F81BD"/>
              <w:bottom w:val="dotted" w:sz="4" w:space="0" w:color="4F81BD" w:themeColor="accent1"/>
              <w:right w:val="single" w:sz="8" w:space="0" w:color="4F81BD"/>
            </w:tcBorders>
          </w:tcPr>
          <w:p w14:paraId="1A8B97F0" w14:textId="7F0F2CE5" w:rsidR="00A669B5" w:rsidRDefault="00A669B5" w:rsidP="00193EB6">
            <w:pPr>
              <w:spacing w:line="240" w:lineRule="auto"/>
              <w:jc w:val="left"/>
              <w:rPr>
                <w:lang w:eastAsia="en-US"/>
              </w:rPr>
            </w:pPr>
            <w:r>
              <w:rPr>
                <w:lang w:eastAsia="en-US"/>
              </w:rPr>
              <w:t xml:space="preserve">Commitment 5 includes crisis and transitional accommodation for </w:t>
            </w:r>
            <w:r w:rsidRPr="00193EB6">
              <w:rPr>
                <w:lang w:eastAsia="en-US"/>
              </w:rPr>
              <w:t>people experiencing repeat homelessness</w:t>
            </w:r>
            <w:r>
              <w:rPr>
                <w:lang w:eastAsia="en-US"/>
              </w:rPr>
              <w:t xml:space="preserve">. </w:t>
            </w:r>
          </w:p>
        </w:tc>
        <w:tc>
          <w:tcPr>
            <w:tcW w:w="3121" w:type="dxa"/>
            <w:tcBorders>
              <w:top w:val="dotted" w:sz="4" w:space="0" w:color="4F81BD" w:themeColor="accent1"/>
              <w:left w:val="single" w:sz="8" w:space="0" w:color="4F81BD"/>
              <w:bottom w:val="dotted" w:sz="4" w:space="0" w:color="4F81BD" w:themeColor="accent1"/>
              <w:right w:val="single" w:sz="8" w:space="0" w:color="4F81BD"/>
            </w:tcBorders>
          </w:tcPr>
          <w:p w14:paraId="78509C10" w14:textId="41622066" w:rsidR="00A669B5" w:rsidRPr="00286295" w:rsidRDefault="00A669B5" w:rsidP="00804F6E">
            <w:pPr>
              <w:spacing w:line="240" w:lineRule="auto"/>
              <w:jc w:val="left"/>
              <w:rPr>
                <w:lang w:eastAsia="en-US"/>
              </w:rPr>
            </w:pPr>
            <w:r>
              <w:rPr>
                <w:lang w:eastAsia="en-US"/>
              </w:rPr>
              <w:t>As above – provide 175 units of crisis and transitional accommodation per annum.</w:t>
            </w:r>
          </w:p>
        </w:tc>
      </w:tr>
      <w:tr w:rsidR="00A669B5" w14:paraId="1346C7C2" w14:textId="77777777" w:rsidTr="00286295">
        <w:trPr>
          <w:trHeight w:val="740"/>
        </w:trPr>
        <w:tc>
          <w:tcPr>
            <w:tcW w:w="2269" w:type="dxa"/>
            <w:vMerge/>
            <w:tcBorders>
              <w:left w:val="single" w:sz="8" w:space="0" w:color="4F81BD"/>
              <w:bottom w:val="single" w:sz="8" w:space="0" w:color="4F81BD"/>
              <w:right w:val="single" w:sz="8" w:space="0" w:color="4F81BD"/>
            </w:tcBorders>
          </w:tcPr>
          <w:p w14:paraId="7557A458" w14:textId="77777777" w:rsidR="00A669B5" w:rsidRDefault="00A669B5">
            <w:pPr>
              <w:spacing w:after="0"/>
              <w:contextualSpacing/>
              <w:jc w:val="left"/>
              <w:rPr>
                <w:color w:val="auto"/>
                <w:lang w:eastAsia="en-US"/>
              </w:rPr>
            </w:pPr>
          </w:p>
        </w:tc>
        <w:tc>
          <w:tcPr>
            <w:tcW w:w="4680" w:type="dxa"/>
            <w:tcBorders>
              <w:top w:val="dotted" w:sz="4" w:space="0" w:color="4F81BD" w:themeColor="accent1"/>
              <w:left w:val="single" w:sz="8" w:space="0" w:color="4F81BD"/>
              <w:bottom w:val="single" w:sz="8" w:space="0" w:color="4F81BD"/>
              <w:right w:val="single" w:sz="8" w:space="0" w:color="4F81BD"/>
            </w:tcBorders>
          </w:tcPr>
          <w:p w14:paraId="3E48BBA1" w14:textId="33E0CA89" w:rsidR="00A669B5" w:rsidRDefault="00A669B5" w:rsidP="00193EB6">
            <w:pPr>
              <w:spacing w:line="240" w:lineRule="auto"/>
              <w:jc w:val="left"/>
              <w:rPr>
                <w:lang w:eastAsia="en-US"/>
              </w:rPr>
            </w:pPr>
            <w:r w:rsidRPr="00605072">
              <w:rPr>
                <w:lang w:eastAsia="en-US"/>
              </w:rPr>
              <w:t>Commitment 6</w:t>
            </w:r>
            <w:r>
              <w:rPr>
                <w:lang w:eastAsia="en-US"/>
              </w:rPr>
              <w:t xml:space="preserve"> includes </w:t>
            </w:r>
            <w:r w:rsidRPr="00605072">
              <w:rPr>
                <w:lang w:eastAsia="en-US"/>
              </w:rPr>
              <w:t xml:space="preserve">secure supported accommodation </w:t>
            </w:r>
            <w:r>
              <w:rPr>
                <w:lang w:eastAsia="en-US"/>
              </w:rPr>
              <w:t xml:space="preserve">for </w:t>
            </w:r>
            <w:r w:rsidRPr="00193EB6">
              <w:rPr>
                <w:lang w:eastAsia="en-US"/>
              </w:rPr>
              <w:t>people experiencing repeat homelessness</w:t>
            </w:r>
            <w:r w:rsidRPr="00605072">
              <w:rPr>
                <w:lang w:eastAsia="en-US"/>
              </w:rPr>
              <w:t>.</w:t>
            </w:r>
          </w:p>
        </w:tc>
        <w:tc>
          <w:tcPr>
            <w:tcW w:w="3121" w:type="dxa"/>
            <w:tcBorders>
              <w:top w:val="dotted" w:sz="4" w:space="0" w:color="4F81BD" w:themeColor="accent1"/>
              <w:left w:val="single" w:sz="8" w:space="0" w:color="4F81BD"/>
              <w:bottom w:val="single" w:sz="8" w:space="0" w:color="4F81BD"/>
              <w:right w:val="single" w:sz="8" w:space="0" w:color="4F81BD"/>
            </w:tcBorders>
          </w:tcPr>
          <w:p w14:paraId="0752EC7A" w14:textId="33839127" w:rsidR="00A669B5" w:rsidRPr="00286295" w:rsidRDefault="00A669B5" w:rsidP="00286295">
            <w:pPr>
              <w:spacing w:line="240" w:lineRule="auto"/>
              <w:jc w:val="left"/>
              <w:rPr>
                <w:lang w:eastAsia="en-US"/>
              </w:rPr>
            </w:pPr>
            <w:r>
              <w:rPr>
                <w:lang w:eastAsia="en-US"/>
              </w:rPr>
              <w:t>As above – provide four long-term supported accommodation facilities with 135 units for adults per annum and three Foyer-model supported accommodation facilities with 101 units for young people per annum.</w:t>
            </w:r>
          </w:p>
        </w:tc>
      </w:tr>
      <w:tr w:rsidR="004A1E1C" w14:paraId="17C84498" w14:textId="77777777" w:rsidTr="00286295">
        <w:trPr>
          <w:trHeight w:val="740"/>
        </w:trPr>
        <w:tc>
          <w:tcPr>
            <w:tcW w:w="2269" w:type="dxa"/>
            <w:vMerge w:val="restart"/>
            <w:tcBorders>
              <w:top w:val="single" w:sz="8" w:space="0" w:color="4F81BD"/>
              <w:left w:val="single" w:sz="8" w:space="0" w:color="4F81BD"/>
              <w:right w:val="single" w:sz="8" w:space="0" w:color="4F81BD"/>
            </w:tcBorders>
          </w:tcPr>
          <w:p w14:paraId="6FB4E8C5" w14:textId="77777777" w:rsidR="004A1E1C" w:rsidRDefault="004A1E1C" w:rsidP="004A1E1C">
            <w:pPr>
              <w:spacing w:after="0"/>
              <w:contextualSpacing/>
              <w:jc w:val="left"/>
              <w:rPr>
                <w:color w:val="auto"/>
                <w:lang w:eastAsia="en-US"/>
              </w:rPr>
            </w:pPr>
            <w:r>
              <w:rPr>
                <w:color w:val="auto"/>
                <w:lang w:eastAsia="en-US"/>
              </w:rPr>
              <w:t>People currently exiting institutions and care into homelessness</w:t>
            </w:r>
          </w:p>
          <w:p w14:paraId="3130A5A0" w14:textId="77777777" w:rsidR="004A1E1C" w:rsidRDefault="004A1E1C">
            <w:pPr>
              <w:spacing w:after="0"/>
              <w:contextualSpacing/>
              <w:jc w:val="left"/>
              <w:rPr>
                <w:color w:val="auto"/>
                <w:lang w:eastAsia="en-US"/>
              </w:rPr>
            </w:pPr>
          </w:p>
        </w:tc>
        <w:tc>
          <w:tcPr>
            <w:tcW w:w="4680" w:type="dxa"/>
            <w:tcBorders>
              <w:top w:val="single" w:sz="8" w:space="0" w:color="4F81BD"/>
              <w:left w:val="single" w:sz="8" w:space="0" w:color="4F81BD"/>
              <w:bottom w:val="dotted" w:sz="4" w:space="0" w:color="4F81BD" w:themeColor="accent1"/>
              <w:right w:val="single" w:sz="8" w:space="0" w:color="4F81BD"/>
            </w:tcBorders>
          </w:tcPr>
          <w:p w14:paraId="324EA904" w14:textId="19B3AB15" w:rsidR="004A1E1C" w:rsidRDefault="004A1E1C">
            <w:pPr>
              <w:spacing w:line="240" w:lineRule="auto"/>
              <w:jc w:val="left"/>
              <w:rPr>
                <w:lang w:eastAsia="en-US"/>
              </w:rPr>
            </w:pPr>
            <w:r>
              <w:rPr>
                <w:lang w:eastAsia="en-US"/>
              </w:rPr>
              <w:t xml:space="preserve">Commitment 4 includes case management support for </w:t>
            </w:r>
            <w:r w:rsidRPr="00193EB6">
              <w:rPr>
                <w:lang w:eastAsia="en-US"/>
              </w:rPr>
              <w:t xml:space="preserve">people </w:t>
            </w:r>
            <w:r>
              <w:rPr>
                <w:color w:val="auto"/>
                <w:lang w:eastAsia="en-US"/>
              </w:rPr>
              <w:t>currently exiting institutions and care into homelessness</w:t>
            </w:r>
            <w:r>
              <w:rPr>
                <w:lang w:eastAsia="en-US"/>
              </w:rPr>
              <w:t>.</w:t>
            </w:r>
          </w:p>
        </w:tc>
        <w:tc>
          <w:tcPr>
            <w:tcW w:w="3121" w:type="dxa"/>
            <w:tcBorders>
              <w:top w:val="single" w:sz="8" w:space="0" w:color="4F81BD"/>
              <w:left w:val="single" w:sz="8" w:space="0" w:color="4F81BD"/>
              <w:bottom w:val="dotted" w:sz="4" w:space="0" w:color="4F81BD" w:themeColor="accent1"/>
              <w:right w:val="single" w:sz="8" w:space="0" w:color="4F81BD"/>
            </w:tcBorders>
          </w:tcPr>
          <w:p w14:paraId="0EB6D9A5" w14:textId="57D2D13A" w:rsidR="004A1E1C" w:rsidRDefault="004A1E1C" w:rsidP="005C11E0">
            <w:pPr>
              <w:spacing w:line="240" w:lineRule="auto"/>
              <w:jc w:val="left"/>
              <w:rPr>
                <w:lang w:eastAsia="en-US"/>
              </w:rPr>
            </w:pPr>
            <w:r>
              <w:rPr>
                <w:lang w:eastAsia="en-US"/>
              </w:rPr>
              <w:t>As above – provide 600 support periods per annum.</w:t>
            </w:r>
          </w:p>
        </w:tc>
      </w:tr>
      <w:tr w:rsidR="004A1E1C" w14:paraId="3515688D" w14:textId="77777777" w:rsidTr="00286295">
        <w:trPr>
          <w:trHeight w:val="740"/>
        </w:trPr>
        <w:tc>
          <w:tcPr>
            <w:tcW w:w="2269" w:type="dxa"/>
            <w:vMerge/>
            <w:tcBorders>
              <w:left w:val="single" w:sz="8" w:space="0" w:color="4F81BD"/>
              <w:right w:val="single" w:sz="8" w:space="0" w:color="4F81BD"/>
            </w:tcBorders>
          </w:tcPr>
          <w:p w14:paraId="543DB3FE" w14:textId="77777777" w:rsidR="004A1E1C" w:rsidRDefault="004A1E1C">
            <w:pPr>
              <w:spacing w:after="0"/>
              <w:contextualSpacing/>
              <w:jc w:val="left"/>
              <w:rPr>
                <w:color w:val="auto"/>
                <w:lang w:eastAsia="en-US"/>
              </w:rPr>
            </w:pPr>
          </w:p>
        </w:tc>
        <w:tc>
          <w:tcPr>
            <w:tcW w:w="4680" w:type="dxa"/>
            <w:tcBorders>
              <w:top w:val="dotted" w:sz="4" w:space="0" w:color="4F81BD" w:themeColor="accent1"/>
              <w:left w:val="single" w:sz="8" w:space="0" w:color="4F81BD"/>
              <w:bottom w:val="dotted" w:sz="4" w:space="0" w:color="4F81BD" w:themeColor="accent1"/>
              <w:right w:val="single" w:sz="8" w:space="0" w:color="4F81BD"/>
            </w:tcBorders>
          </w:tcPr>
          <w:p w14:paraId="5E2EF1DC" w14:textId="12CE084F" w:rsidR="004A1E1C" w:rsidRDefault="004A1E1C">
            <w:pPr>
              <w:spacing w:line="240" w:lineRule="auto"/>
              <w:jc w:val="left"/>
              <w:rPr>
                <w:lang w:eastAsia="en-US"/>
              </w:rPr>
            </w:pPr>
            <w:r>
              <w:rPr>
                <w:lang w:eastAsia="en-US"/>
              </w:rPr>
              <w:t xml:space="preserve">Commitment 5 includes crisis and transitional accommodation for </w:t>
            </w:r>
            <w:r w:rsidRPr="00193EB6">
              <w:rPr>
                <w:lang w:eastAsia="en-US"/>
              </w:rPr>
              <w:t xml:space="preserve">people </w:t>
            </w:r>
            <w:r>
              <w:rPr>
                <w:color w:val="auto"/>
                <w:lang w:eastAsia="en-US"/>
              </w:rPr>
              <w:t>currently exiting institutions and care into homelessness</w:t>
            </w:r>
            <w:r>
              <w:rPr>
                <w:lang w:eastAsia="en-US"/>
              </w:rPr>
              <w:t xml:space="preserve">. </w:t>
            </w:r>
          </w:p>
        </w:tc>
        <w:tc>
          <w:tcPr>
            <w:tcW w:w="3121" w:type="dxa"/>
            <w:tcBorders>
              <w:top w:val="dotted" w:sz="4" w:space="0" w:color="4F81BD" w:themeColor="accent1"/>
              <w:left w:val="single" w:sz="8" w:space="0" w:color="4F81BD"/>
              <w:bottom w:val="dotted" w:sz="4" w:space="0" w:color="4F81BD" w:themeColor="accent1"/>
              <w:right w:val="single" w:sz="8" w:space="0" w:color="4F81BD"/>
            </w:tcBorders>
          </w:tcPr>
          <w:p w14:paraId="4A0175EA" w14:textId="169D0B8E" w:rsidR="004A1E1C" w:rsidRDefault="004A1E1C" w:rsidP="005C11E0">
            <w:pPr>
              <w:spacing w:line="240" w:lineRule="auto"/>
              <w:jc w:val="left"/>
              <w:rPr>
                <w:lang w:eastAsia="en-US"/>
              </w:rPr>
            </w:pPr>
            <w:r>
              <w:rPr>
                <w:lang w:eastAsia="en-US"/>
              </w:rPr>
              <w:t>As above – provide 175 units of crisis and transitional accommodation per annum.</w:t>
            </w:r>
          </w:p>
        </w:tc>
      </w:tr>
      <w:tr w:rsidR="005F0E51" w14:paraId="22F275B6" w14:textId="77777777" w:rsidTr="004A1E1C">
        <w:trPr>
          <w:trHeight w:val="740"/>
        </w:trPr>
        <w:tc>
          <w:tcPr>
            <w:tcW w:w="2269" w:type="dxa"/>
            <w:vMerge/>
            <w:tcBorders>
              <w:left w:val="single" w:sz="8" w:space="0" w:color="4F81BD"/>
              <w:right w:val="single" w:sz="8" w:space="0" w:color="4F81BD"/>
            </w:tcBorders>
          </w:tcPr>
          <w:p w14:paraId="01770950" w14:textId="77777777" w:rsidR="005F0E51" w:rsidRDefault="005F0E51">
            <w:pPr>
              <w:spacing w:after="0"/>
              <w:contextualSpacing/>
              <w:jc w:val="left"/>
              <w:rPr>
                <w:color w:val="auto"/>
                <w:lang w:eastAsia="en-US"/>
              </w:rPr>
            </w:pPr>
          </w:p>
        </w:tc>
        <w:tc>
          <w:tcPr>
            <w:tcW w:w="4680" w:type="dxa"/>
            <w:tcBorders>
              <w:top w:val="dotted" w:sz="4" w:space="0" w:color="4F81BD" w:themeColor="accent1"/>
              <w:left w:val="single" w:sz="8" w:space="0" w:color="4F81BD"/>
              <w:bottom w:val="dotted" w:sz="4" w:space="0" w:color="4F81BD" w:themeColor="accent1"/>
              <w:right w:val="single" w:sz="8" w:space="0" w:color="4F81BD"/>
            </w:tcBorders>
          </w:tcPr>
          <w:p w14:paraId="4EACFB02" w14:textId="5249BEDE" w:rsidR="005F0E51" w:rsidRDefault="005F0E51">
            <w:pPr>
              <w:spacing w:line="240" w:lineRule="auto"/>
              <w:jc w:val="left"/>
              <w:rPr>
                <w:lang w:eastAsia="en-US"/>
              </w:rPr>
            </w:pPr>
            <w:r w:rsidRPr="00605072">
              <w:rPr>
                <w:lang w:eastAsia="en-US"/>
              </w:rPr>
              <w:t>Commitment 6</w:t>
            </w:r>
            <w:r>
              <w:rPr>
                <w:lang w:eastAsia="en-US"/>
              </w:rPr>
              <w:t xml:space="preserve"> includes </w:t>
            </w:r>
            <w:r w:rsidRPr="00605072">
              <w:rPr>
                <w:lang w:eastAsia="en-US"/>
              </w:rPr>
              <w:t xml:space="preserve">secure supported accommodation for </w:t>
            </w:r>
            <w:r w:rsidRPr="00193EB6">
              <w:rPr>
                <w:lang w:eastAsia="en-US"/>
              </w:rPr>
              <w:t xml:space="preserve">people </w:t>
            </w:r>
            <w:r>
              <w:rPr>
                <w:color w:val="auto"/>
                <w:lang w:eastAsia="en-US"/>
              </w:rPr>
              <w:t>currently exiting institutions and care into homelessness</w:t>
            </w:r>
            <w:r w:rsidRPr="00605072">
              <w:rPr>
                <w:lang w:eastAsia="en-US"/>
              </w:rPr>
              <w:t>.</w:t>
            </w:r>
          </w:p>
        </w:tc>
        <w:tc>
          <w:tcPr>
            <w:tcW w:w="3121" w:type="dxa"/>
            <w:tcBorders>
              <w:top w:val="dotted" w:sz="4" w:space="0" w:color="4F81BD" w:themeColor="accent1"/>
              <w:left w:val="single" w:sz="8" w:space="0" w:color="4F81BD"/>
              <w:bottom w:val="dotted" w:sz="4" w:space="0" w:color="4F81BD" w:themeColor="accent1"/>
              <w:right w:val="single" w:sz="8" w:space="0" w:color="4F81BD"/>
            </w:tcBorders>
          </w:tcPr>
          <w:p w14:paraId="5D26575D" w14:textId="5046AAD0" w:rsidR="005F0E51" w:rsidRDefault="005F0E51" w:rsidP="005C11E0">
            <w:pPr>
              <w:spacing w:line="240" w:lineRule="auto"/>
              <w:jc w:val="left"/>
              <w:rPr>
                <w:lang w:eastAsia="en-US"/>
              </w:rPr>
            </w:pPr>
            <w:r>
              <w:rPr>
                <w:lang w:eastAsia="en-US"/>
              </w:rPr>
              <w:t>As above – provide four long-term supported accommodation facilities with 135 units for adults per annum and three Foyer-model supported accommodation facilities with 101 units for young people per annum.</w:t>
            </w:r>
          </w:p>
        </w:tc>
      </w:tr>
      <w:tr w:rsidR="005F0E51" w14:paraId="1B24A219" w14:textId="77777777" w:rsidTr="00BC2CC7">
        <w:trPr>
          <w:trHeight w:val="740"/>
        </w:trPr>
        <w:tc>
          <w:tcPr>
            <w:tcW w:w="2269" w:type="dxa"/>
            <w:vMerge/>
            <w:tcBorders>
              <w:left w:val="single" w:sz="8" w:space="0" w:color="4F81BD"/>
              <w:bottom w:val="single" w:sz="8" w:space="0" w:color="4F81BD"/>
              <w:right w:val="single" w:sz="8" w:space="0" w:color="4F81BD"/>
            </w:tcBorders>
          </w:tcPr>
          <w:p w14:paraId="4A43E032" w14:textId="77777777" w:rsidR="005F0E51" w:rsidRDefault="005F0E51">
            <w:pPr>
              <w:spacing w:after="0"/>
              <w:contextualSpacing/>
              <w:jc w:val="left"/>
              <w:rPr>
                <w:color w:val="auto"/>
                <w:lang w:eastAsia="en-US"/>
              </w:rPr>
            </w:pPr>
          </w:p>
        </w:tc>
        <w:tc>
          <w:tcPr>
            <w:tcW w:w="4680" w:type="dxa"/>
            <w:tcBorders>
              <w:top w:val="dotted" w:sz="4" w:space="0" w:color="4F81BD" w:themeColor="accent1"/>
              <w:left w:val="single" w:sz="8" w:space="0" w:color="4F81BD"/>
              <w:bottom w:val="single" w:sz="8" w:space="0" w:color="4F81BD"/>
              <w:right w:val="single" w:sz="8" w:space="0" w:color="4F81BD"/>
            </w:tcBorders>
          </w:tcPr>
          <w:p w14:paraId="28FCB2E9" w14:textId="5DFC9300" w:rsidR="005F0E51" w:rsidRPr="00286295" w:rsidRDefault="005F0E51" w:rsidP="00286295">
            <w:pPr>
              <w:spacing w:line="240" w:lineRule="auto"/>
              <w:jc w:val="left"/>
              <w:rPr>
                <w:lang w:eastAsia="en-US"/>
              </w:rPr>
            </w:pPr>
            <w:r w:rsidRPr="00286295">
              <w:rPr>
                <w:lang w:eastAsia="en-US"/>
              </w:rPr>
              <w:t>Commitment 8</w:t>
            </w:r>
            <w:r>
              <w:rPr>
                <w:lang w:eastAsia="en-US"/>
              </w:rPr>
              <w:t xml:space="preserve"> includes </w:t>
            </w:r>
            <w:r w:rsidRPr="00286295">
              <w:rPr>
                <w:lang w:eastAsia="en-US"/>
              </w:rPr>
              <w:t xml:space="preserve">Rapid Rehousing </w:t>
            </w:r>
            <w:r>
              <w:rPr>
                <w:lang w:eastAsia="en-US"/>
              </w:rPr>
              <w:t xml:space="preserve">into community housing or private rentals </w:t>
            </w:r>
            <w:r>
              <w:rPr>
                <w:lang w:eastAsia="en-US"/>
              </w:rPr>
              <w:t xml:space="preserve">for </w:t>
            </w:r>
            <w:r w:rsidRPr="00193EB6">
              <w:rPr>
                <w:lang w:eastAsia="en-US"/>
              </w:rPr>
              <w:t xml:space="preserve">people </w:t>
            </w:r>
            <w:r>
              <w:rPr>
                <w:color w:val="auto"/>
                <w:lang w:eastAsia="en-US"/>
              </w:rPr>
              <w:t>currently exiting institutions and care into homelessness</w:t>
            </w:r>
            <w:r w:rsidRPr="00286295">
              <w:rPr>
                <w:lang w:eastAsia="en-US"/>
              </w:rPr>
              <w:t>.</w:t>
            </w:r>
          </w:p>
        </w:tc>
        <w:tc>
          <w:tcPr>
            <w:tcW w:w="3121" w:type="dxa"/>
            <w:tcBorders>
              <w:top w:val="dotted" w:sz="4" w:space="0" w:color="4F81BD" w:themeColor="accent1"/>
              <w:left w:val="single" w:sz="8" w:space="0" w:color="4F81BD"/>
              <w:bottom w:val="single" w:sz="8" w:space="0" w:color="4F81BD"/>
              <w:right w:val="single" w:sz="8" w:space="0" w:color="4F81BD"/>
            </w:tcBorders>
          </w:tcPr>
          <w:p w14:paraId="016858D5" w14:textId="3AF29F7D" w:rsidR="005F0E51" w:rsidRDefault="005F0E51" w:rsidP="005C11E0">
            <w:pPr>
              <w:spacing w:line="240" w:lineRule="auto"/>
              <w:jc w:val="left"/>
              <w:rPr>
                <w:lang w:eastAsia="en-US"/>
              </w:rPr>
            </w:pPr>
            <w:r>
              <w:rPr>
                <w:lang w:eastAsia="en-US"/>
              </w:rPr>
              <w:t>Provide 10 rapid rehousing homes per annum for people exiting institutions by 30 June 2019.</w:t>
            </w:r>
          </w:p>
        </w:tc>
      </w:tr>
      <w:tr w:rsidR="00F4770E" w14:paraId="2879C429" w14:textId="77777777" w:rsidTr="00BC2CC7">
        <w:trPr>
          <w:trHeight w:val="740"/>
        </w:trPr>
        <w:tc>
          <w:tcPr>
            <w:tcW w:w="2269" w:type="dxa"/>
            <w:vMerge w:val="restart"/>
            <w:tcBorders>
              <w:top w:val="single" w:sz="8" w:space="0" w:color="4F81BD"/>
              <w:left w:val="single" w:sz="8" w:space="0" w:color="4F81BD"/>
              <w:right w:val="single" w:sz="8" w:space="0" w:color="4F81BD"/>
            </w:tcBorders>
          </w:tcPr>
          <w:p w14:paraId="2F31E93F" w14:textId="07C3DA0B" w:rsidR="00F4770E" w:rsidRDefault="00F4770E">
            <w:pPr>
              <w:spacing w:line="240" w:lineRule="auto"/>
              <w:jc w:val="left"/>
              <w:rPr>
                <w:color w:val="auto"/>
                <w:lang w:eastAsia="en-US"/>
              </w:rPr>
            </w:pPr>
            <w:r>
              <w:rPr>
                <w:color w:val="auto"/>
                <w:lang w:eastAsia="en-US"/>
              </w:rPr>
              <w:t>Older people</w:t>
            </w:r>
          </w:p>
        </w:tc>
        <w:tc>
          <w:tcPr>
            <w:tcW w:w="4680" w:type="dxa"/>
            <w:tcBorders>
              <w:top w:val="single" w:sz="8" w:space="0" w:color="4F81BD"/>
              <w:left w:val="single" w:sz="8" w:space="0" w:color="4F81BD"/>
              <w:bottom w:val="dotted" w:sz="4" w:space="0" w:color="4F81BD" w:themeColor="accent1"/>
              <w:right w:val="single" w:sz="8" w:space="0" w:color="4F81BD"/>
            </w:tcBorders>
          </w:tcPr>
          <w:p w14:paraId="28CDE756" w14:textId="33EDAF18" w:rsidR="00F4770E" w:rsidRDefault="00F4770E" w:rsidP="00286295">
            <w:pPr>
              <w:spacing w:line="240" w:lineRule="auto"/>
              <w:jc w:val="left"/>
              <w:rPr>
                <w:lang w:eastAsia="en-US"/>
              </w:rPr>
            </w:pPr>
            <w:r>
              <w:rPr>
                <w:lang w:eastAsia="en-US"/>
              </w:rPr>
              <w:t xml:space="preserve">Commitment 4 includes case management support for </w:t>
            </w:r>
            <w:r>
              <w:rPr>
                <w:lang w:eastAsia="en-US"/>
              </w:rPr>
              <w:t xml:space="preserve">older </w:t>
            </w:r>
            <w:r w:rsidRPr="00193EB6">
              <w:rPr>
                <w:lang w:eastAsia="en-US"/>
              </w:rPr>
              <w:t>p</w:t>
            </w:r>
            <w:r>
              <w:rPr>
                <w:lang w:eastAsia="en-US"/>
              </w:rPr>
              <w:t>eople</w:t>
            </w:r>
            <w:r>
              <w:rPr>
                <w:lang w:eastAsia="en-US"/>
              </w:rPr>
              <w:t xml:space="preserve"> who are homeless or at risk of homelessness.</w:t>
            </w:r>
          </w:p>
        </w:tc>
        <w:tc>
          <w:tcPr>
            <w:tcW w:w="3121" w:type="dxa"/>
            <w:tcBorders>
              <w:top w:val="single" w:sz="8" w:space="0" w:color="4F81BD"/>
              <w:left w:val="single" w:sz="8" w:space="0" w:color="4F81BD"/>
              <w:bottom w:val="dotted" w:sz="4" w:space="0" w:color="4F81BD" w:themeColor="accent1"/>
              <w:right w:val="single" w:sz="8" w:space="0" w:color="4F81BD"/>
            </w:tcBorders>
          </w:tcPr>
          <w:p w14:paraId="7E3092B9" w14:textId="433B52B5" w:rsidR="00F4770E" w:rsidRDefault="00F4770E" w:rsidP="00804F6E">
            <w:pPr>
              <w:spacing w:line="240" w:lineRule="auto"/>
              <w:jc w:val="left"/>
              <w:rPr>
                <w:lang w:eastAsia="en-US"/>
              </w:rPr>
            </w:pPr>
            <w:r>
              <w:rPr>
                <w:lang w:eastAsia="en-US"/>
              </w:rPr>
              <w:t>As above – provide 600 support periods per annum.</w:t>
            </w:r>
          </w:p>
        </w:tc>
      </w:tr>
      <w:tr w:rsidR="00F4770E" w14:paraId="56195836" w14:textId="77777777" w:rsidTr="00BC2CC7">
        <w:trPr>
          <w:trHeight w:val="740"/>
        </w:trPr>
        <w:tc>
          <w:tcPr>
            <w:tcW w:w="2269" w:type="dxa"/>
            <w:vMerge/>
            <w:tcBorders>
              <w:left w:val="single" w:sz="8" w:space="0" w:color="4F81BD"/>
              <w:bottom w:val="single" w:sz="8" w:space="0" w:color="4F81BD"/>
              <w:right w:val="single" w:sz="8" w:space="0" w:color="4F81BD"/>
            </w:tcBorders>
          </w:tcPr>
          <w:p w14:paraId="363D1210" w14:textId="77777777" w:rsidR="00F4770E" w:rsidRDefault="00F4770E">
            <w:pPr>
              <w:spacing w:line="240" w:lineRule="auto"/>
              <w:jc w:val="left"/>
              <w:rPr>
                <w:color w:val="auto"/>
                <w:lang w:eastAsia="en-US"/>
              </w:rPr>
            </w:pPr>
          </w:p>
        </w:tc>
        <w:tc>
          <w:tcPr>
            <w:tcW w:w="4680" w:type="dxa"/>
            <w:tcBorders>
              <w:top w:val="dotted" w:sz="4" w:space="0" w:color="4F81BD" w:themeColor="accent1"/>
              <w:left w:val="single" w:sz="8" w:space="0" w:color="4F81BD"/>
              <w:bottom w:val="single" w:sz="8" w:space="0" w:color="4F81BD"/>
              <w:right w:val="single" w:sz="8" w:space="0" w:color="4F81BD"/>
            </w:tcBorders>
          </w:tcPr>
          <w:p w14:paraId="6DF567CA" w14:textId="77777777" w:rsidR="00F4770E" w:rsidRDefault="00F4770E">
            <w:pPr>
              <w:spacing w:line="240" w:lineRule="auto"/>
              <w:jc w:val="left"/>
              <w:rPr>
                <w:lang w:eastAsia="en-US"/>
              </w:rPr>
            </w:pPr>
            <w:r w:rsidRPr="00605072">
              <w:rPr>
                <w:lang w:eastAsia="en-US"/>
              </w:rPr>
              <w:t>Commitment 6</w:t>
            </w:r>
            <w:r>
              <w:rPr>
                <w:lang w:eastAsia="en-US"/>
              </w:rPr>
              <w:t xml:space="preserve"> includes </w:t>
            </w:r>
            <w:r w:rsidRPr="00605072">
              <w:rPr>
                <w:lang w:eastAsia="en-US"/>
              </w:rPr>
              <w:t xml:space="preserve">secure supported accommodation for </w:t>
            </w:r>
            <w:r w:rsidRPr="00193EB6">
              <w:rPr>
                <w:lang w:eastAsia="en-US"/>
              </w:rPr>
              <w:t xml:space="preserve">people </w:t>
            </w:r>
            <w:r>
              <w:rPr>
                <w:color w:val="auto"/>
                <w:lang w:eastAsia="en-US"/>
              </w:rPr>
              <w:t>currently exiting institutions and care into homelessness</w:t>
            </w:r>
            <w:r w:rsidRPr="00605072">
              <w:rPr>
                <w:lang w:eastAsia="en-US"/>
              </w:rPr>
              <w:t>.</w:t>
            </w:r>
          </w:p>
          <w:p w14:paraId="5FEAC980" w14:textId="784BFD49" w:rsidR="00F4770E" w:rsidRDefault="00F4770E">
            <w:pPr>
              <w:spacing w:line="240" w:lineRule="auto"/>
              <w:jc w:val="left"/>
              <w:rPr>
                <w:lang w:eastAsia="en-US"/>
              </w:rPr>
            </w:pPr>
            <w:r>
              <w:rPr>
                <w:lang w:eastAsia="en-US"/>
              </w:rPr>
              <w:t xml:space="preserve">This includes providing a new </w:t>
            </w:r>
            <w:r w:rsidRPr="00286295">
              <w:rPr>
                <w:b/>
                <w:lang w:eastAsia="en-US"/>
              </w:rPr>
              <w:t>aged care facility</w:t>
            </w:r>
            <w:r>
              <w:rPr>
                <w:lang w:eastAsia="en-US"/>
              </w:rPr>
              <w:t xml:space="preserve"> which will support homeless people who have prematurely aged</w:t>
            </w:r>
            <w:r>
              <w:rPr>
                <w:lang w:eastAsia="en-US"/>
              </w:rPr>
              <w:t xml:space="preserve">. </w:t>
            </w:r>
          </w:p>
        </w:tc>
        <w:tc>
          <w:tcPr>
            <w:tcW w:w="3121" w:type="dxa"/>
            <w:tcBorders>
              <w:top w:val="dotted" w:sz="4" w:space="0" w:color="4F81BD" w:themeColor="accent1"/>
              <w:left w:val="single" w:sz="8" w:space="0" w:color="4F81BD"/>
              <w:bottom w:val="single" w:sz="8" w:space="0" w:color="4F81BD"/>
              <w:right w:val="single" w:sz="8" w:space="0" w:color="4F81BD"/>
            </w:tcBorders>
          </w:tcPr>
          <w:p w14:paraId="4D78C326" w14:textId="77777777" w:rsidR="00F4770E" w:rsidRDefault="00F4770E" w:rsidP="00286295">
            <w:pPr>
              <w:spacing w:line="240" w:lineRule="auto"/>
              <w:jc w:val="left"/>
              <w:rPr>
                <w:lang w:eastAsia="en-US"/>
              </w:rPr>
            </w:pPr>
            <w:r>
              <w:rPr>
                <w:lang w:eastAsia="en-US"/>
              </w:rPr>
              <w:t>As above – provide four long-term supported accommodation facilities with 135 units for adults per annum.</w:t>
            </w:r>
          </w:p>
          <w:p w14:paraId="4D411D99" w14:textId="361DBE2A" w:rsidR="00F4770E" w:rsidRDefault="00F4770E" w:rsidP="00BC2CC7">
            <w:pPr>
              <w:spacing w:line="240" w:lineRule="auto"/>
              <w:jc w:val="left"/>
              <w:rPr>
                <w:lang w:eastAsia="en-US"/>
              </w:rPr>
            </w:pPr>
            <w:r>
              <w:rPr>
                <w:lang w:eastAsia="en-US"/>
              </w:rPr>
              <w:t xml:space="preserve">Provide an aged </w:t>
            </w:r>
            <w:r w:rsidRPr="00957240">
              <w:rPr>
                <w:lang w:eastAsia="en-US"/>
              </w:rPr>
              <w:t xml:space="preserve">care facility operating by </w:t>
            </w:r>
            <w:r>
              <w:rPr>
                <w:lang w:eastAsia="en-US"/>
              </w:rPr>
              <w:t xml:space="preserve">30 June </w:t>
            </w:r>
            <w:r w:rsidRPr="00957240">
              <w:rPr>
                <w:lang w:eastAsia="en-US"/>
              </w:rPr>
              <w:t>2021</w:t>
            </w:r>
            <w:r>
              <w:rPr>
                <w:lang w:eastAsia="en-US"/>
              </w:rPr>
              <w:t>.</w:t>
            </w:r>
          </w:p>
        </w:tc>
      </w:tr>
    </w:tbl>
    <w:p w14:paraId="12132001" w14:textId="5FBB5AEE" w:rsidR="006F53EB" w:rsidRDefault="006F53EB" w:rsidP="006F53EB">
      <w:pPr>
        <w:pStyle w:val="Heading1"/>
      </w:pPr>
      <w:r>
        <w:t xml:space="preserve">part 3 – </w:t>
      </w:r>
      <w:r w:rsidR="00D60E53">
        <w:t xml:space="preserve">joint reform commitments </w:t>
      </w:r>
    </w:p>
    <w:p w14:paraId="02BF8F33" w14:textId="62F3FEA6" w:rsidR="006F53EB" w:rsidRPr="00E34D2C" w:rsidRDefault="002273BB" w:rsidP="00A4503A">
      <w:pPr>
        <w:pStyle w:val="Normalnumbered"/>
        <w:numPr>
          <w:ilvl w:val="0"/>
          <w:numId w:val="3"/>
        </w:numPr>
        <w:rPr>
          <w:rFonts w:eastAsia="Times New Roman" w:cs="Times New Roman"/>
          <w:szCs w:val="20"/>
          <w:lang w:eastAsia="en-AU"/>
        </w:rPr>
      </w:pPr>
      <w:r>
        <w:rPr>
          <w:color w:val="auto"/>
        </w:rPr>
        <w:t>Tasmania</w:t>
      </w:r>
      <w:r w:rsidRPr="002273BB">
        <w:rPr>
          <w:color w:val="auto"/>
        </w:rPr>
        <w:t xml:space="preserve"> and the Commonwealth will explore opportunities to share data and undertake agreed projects to share and link social housing and homelessness data with social security and other datasets.</w:t>
      </w:r>
    </w:p>
    <w:p w14:paraId="68002153" w14:textId="77777777" w:rsidR="00D60E53" w:rsidRDefault="00D60E53" w:rsidP="00D60E53">
      <w:pPr>
        <w:pStyle w:val="Heading1"/>
      </w:pPr>
      <w:r>
        <w:t>part 4 – state-specific measurement</w:t>
      </w:r>
    </w:p>
    <w:p w14:paraId="680B69AE" w14:textId="77777777" w:rsidR="00D60E53" w:rsidRDefault="00D60E53" w:rsidP="00A4503A">
      <w:pPr>
        <w:pStyle w:val="Normalnumbered"/>
        <w:numPr>
          <w:ilvl w:val="0"/>
          <w:numId w:val="3"/>
        </w:numPr>
      </w:pPr>
      <w:r w:rsidRPr="00A960D5">
        <w:rPr>
          <w:color w:val="auto"/>
        </w:rPr>
        <w:t>State-specific indicators may be agreed between the Parties from time to time.</w:t>
      </w:r>
      <w:r w:rsidDel="003B6818">
        <w:rPr>
          <w:color w:val="auto"/>
        </w:rPr>
        <w:t xml:space="preserve"> </w:t>
      </w:r>
    </w:p>
    <w:p w14:paraId="1C7D63F0" w14:textId="21E5EB3A" w:rsidR="002526CD" w:rsidRDefault="002526CD" w:rsidP="00AB530D">
      <w:pPr>
        <w:pStyle w:val="Heading1"/>
        <w:jc w:val="both"/>
      </w:pPr>
      <w:r>
        <w:t xml:space="preserve">Part </w:t>
      </w:r>
      <w:r w:rsidR="00144939">
        <w:t>5</w:t>
      </w:r>
      <w:r>
        <w:t xml:space="preserve"> – reporting</w:t>
      </w:r>
    </w:p>
    <w:p w14:paraId="145F1939" w14:textId="599DE395" w:rsidR="0096204D" w:rsidRDefault="0096204D" w:rsidP="00A4503A">
      <w:pPr>
        <w:pStyle w:val="Normalnumbered"/>
        <w:numPr>
          <w:ilvl w:val="0"/>
          <w:numId w:val="3"/>
        </w:numPr>
        <w:rPr>
          <w:szCs w:val="23"/>
        </w:rPr>
      </w:pPr>
      <w:r w:rsidRPr="004055CE">
        <w:rPr>
          <w:szCs w:val="23"/>
        </w:rPr>
        <w:t xml:space="preserve">As required by clause 40 of the Agreement, Tasmania will report on the implementation of the reforms and initiatives agreed in Part 2 of this Schedule.  </w:t>
      </w:r>
    </w:p>
    <w:p w14:paraId="1F63FA93" w14:textId="51AC4D8C" w:rsidR="005F515C" w:rsidRDefault="005F515C" w:rsidP="00621B6E">
      <w:pPr>
        <w:pStyle w:val="Dash"/>
        <w:numPr>
          <w:ilvl w:val="0"/>
          <w:numId w:val="0"/>
        </w:numPr>
        <w:ind w:left="520"/>
        <w:jc w:val="both"/>
        <w:rPr>
          <w:rFonts w:ascii="Corbel" w:hAnsi="Corbel"/>
          <w:sz w:val="23"/>
          <w:szCs w:val="23"/>
        </w:rPr>
      </w:pPr>
      <w:r>
        <w:rPr>
          <w:rFonts w:ascii="Corbel" w:hAnsi="Corbel"/>
          <w:sz w:val="23"/>
          <w:szCs w:val="23"/>
        </w:rPr>
        <w:t xml:space="preserve">Expenditure and delivery against outputs </w:t>
      </w:r>
      <w:r w:rsidR="00557B23">
        <w:rPr>
          <w:rFonts w:ascii="Corbel" w:hAnsi="Corbel"/>
          <w:sz w:val="23"/>
          <w:szCs w:val="23"/>
        </w:rPr>
        <w:t xml:space="preserve">(including </w:t>
      </w:r>
      <w:r w:rsidR="00565D34">
        <w:rPr>
          <w:rFonts w:ascii="Corbel" w:hAnsi="Corbel"/>
          <w:sz w:val="23"/>
          <w:szCs w:val="23"/>
        </w:rPr>
        <w:t xml:space="preserve">specifics of </w:t>
      </w:r>
      <w:r w:rsidR="00557B23">
        <w:rPr>
          <w:rFonts w:ascii="Corbel" w:hAnsi="Corbel"/>
          <w:sz w:val="23"/>
          <w:szCs w:val="23"/>
        </w:rPr>
        <w:t xml:space="preserve">progress against ‘Action and key dates’) </w:t>
      </w:r>
      <w:r>
        <w:rPr>
          <w:rFonts w:ascii="Corbel" w:hAnsi="Corbel"/>
          <w:sz w:val="23"/>
          <w:szCs w:val="23"/>
        </w:rPr>
        <w:t xml:space="preserve">will be made available through </w:t>
      </w:r>
      <w:r w:rsidR="0088376A">
        <w:rPr>
          <w:rFonts w:ascii="Corbel" w:hAnsi="Corbel"/>
          <w:sz w:val="23"/>
          <w:szCs w:val="23"/>
        </w:rPr>
        <w:t xml:space="preserve">a publicly available addendum to </w:t>
      </w:r>
      <w:r>
        <w:rPr>
          <w:rFonts w:ascii="Corbel" w:hAnsi="Corbel"/>
          <w:sz w:val="23"/>
          <w:szCs w:val="23"/>
        </w:rPr>
        <w:t>the annual statement of assurance including progress against achieving the actions by 31 </w:t>
      </w:r>
      <w:r w:rsidR="0088376A">
        <w:rPr>
          <w:rFonts w:ascii="Corbel" w:hAnsi="Corbel"/>
          <w:sz w:val="23"/>
          <w:szCs w:val="23"/>
        </w:rPr>
        <w:t xml:space="preserve">October </w:t>
      </w:r>
      <w:r>
        <w:rPr>
          <w:rFonts w:ascii="Corbel" w:hAnsi="Corbel"/>
          <w:sz w:val="23"/>
          <w:szCs w:val="23"/>
        </w:rPr>
        <w:t xml:space="preserve">each year as required under clause 36 of the </w:t>
      </w:r>
      <w:r w:rsidR="00144939">
        <w:rPr>
          <w:rFonts w:ascii="Corbel" w:hAnsi="Corbel"/>
          <w:sz w:val="23"/>
          <w:szCs w:val="23"/>
        </w:rPr>
        <w:t>A</w:t>
      </w:r>
      <w:r>
        <w:rPr>
          <w:rFonts w:ascii="Corbel" w:hAnsi="Corbel"/>
          <w:sz w:val="23"/>
          <w:szCs w:val="23"/>
        </w:rPr>
        <w:t>greement.</w:t>
      </w:r>
    </w:p>
    <w:p w14:paraId="506E408C" w14:textId="33AD43D2" w:rsidR="001C6688" w:rsidRDefault="001C6688" w:rsidP="00AB530D">
      <w:pPr>
        <w:pStyle w:val="Dash"/>
        <w:numPr>
          <w:ilvl w:val="0"/>
          <w:numId w:val="0"/>
        </w:numPr>
        <w:ind w:left="567"/>
        <w:jc w:val="both"/>
        <w:rPr>
          <w:rFonts w:ascii="Corbel" w:hAnsi="Corbel"/>
          <w:sz w:val="23"/>
          <w:szCs w:val="23"/>
        </w:rPr>
      </w:pPr>
      <w:r>
        <w:rPr>
          <w:rFonts w:ascii="Corbel" w:hAnsi="Corbel"/>
          <w:sz w:val="23"/>
          <w:szCs w:val="23"/>
        </w:rPr>
        <w:t xml:space="preserve">Reporting will </w:t>
      </w:r>
      <w:r w:rsidR="005F515C">
        <w:rPr>
          <w:rFonts w:ascii="Corbel" w:hAnsi="Corbel"/>
          <w:sz w:val="23"/>
          <w:szCs w:val="23"/>
        </w:rPr>
        <w:t xml:space="preserve">also </w:t>
      </w:r>
      <w:r>
        <w:rPr>
          <w:rFonts w:ascii="Corbel" w:hAnsi="Corbel"/>
          <w:sz w:val="23"/>
          <w:szCs w:val="23"/>
        </w:rPr>
        <w:t>be made publicly available through:</w:t>
      </w:r>
    </w:p>
    <w:p w14:paraId="60757D68" w14:textId="30AF29FB" w:rsidR="001C6688" w:rsidRDefault="001C6688" w:rsidP="00AB530D">
      <w:pPr>
        <w:pStyle w:val="Dash"/>
        <w:numPr>
          <w:ilvl w:val="0"/>
          <w:numId w:val="9"/>
        </w:numPr>
        <w:tabs>
          <w:tab w:val="left" w:pos="1418"/>
        </w:tabs>
        <w:rPr>
          <w:rFonts w:ascii="Corbel" w:hAnsi="Corbel"/>
          <w:sz w:val="23"/>
          <w:szCs w:val="23"/>
        </w:rPr>
      </w:pPr>
      <w:r>
        <w:rPr>
          <w:rFonts w:ascii="Corbel" w:hAnsi="Corbel"/>
          <w:sz w:val="23"/>
          <w:szCs w:val="23"/>
        </w:rPr>
        <w:t>Tasmanian Government Budget Papers</w:t>
      </w:r>
    </w:p>
    <w:p w14:paraId="767F4F19" w14:textId="57C3556A" w:rsidR="001C6688" w:rsidRDefault="001C6688" w:rsidP="00AB530D">
      <w:pPr>
        <w:pStyle w:val="Dash"/>
        <w:numPr>
          <w:ilvl w:val="0"/>
          <w:numId w:val="9"/>
        </w:numPr>
        <w:tabs>
          <w:tab w:val="left" w:pos="1418"/>
        </w:tabs>
        <w:rPr>
          <w:rFonts w:ascii="Corbel" w:hAnsi="Corbel"/>
          <w:sz w:val="23"/>
          <w:szCs w:val="23"/>
        </w:rPr>
      </w:pPr>
      <w:r>
        <w:rPr>
          <w:rFonts w:ascii="Corbel" w:hAnsi="Corbel"/>
          <w:sz w:val="23"/>
          <w:szCs w:val="23"/>
        </w:rPr>
        <w:t xml:space="preserve">Department of </w:t>
      </w:r>
      <w:r w:rsidR="001349DD">
        <w:rPr>
          <w:rFonts w:ascii="Corbel" w:hAnsi="Corbel"/>
          <w:sz w:val="23"/>
          <w:szCs w:val="23"/>
        </w:rPr>
        <w:t>Communities Tasmania</w:t>
      </w:r>
      <w:r>
        <w:rPr>
          <w:rFonts w:ascii="Corbel" w:hAnsi="Corbel"/>
          <w:sz w:val="23"/>
          <w:szCs w:val="23"/>
        </w:rPr>
        <w:t xml:space="preserve"> Annual Report</w:t>
      </w:r>
    </w:p>
    <w:p w14:paraId="4AEA43F8" w14:textId="74B89E04" w:rsidR="001C6688" w:rsidRDefault="001C6688" w:rsidP="00AB530D">
      <w:pPr>
        <w:pStyle w:val="Dash"/>
        <w:numPr>
          <w:ilvl w:val="0"/>
          <w:numId w:val="9"/>
        </w:numPr>
        <w:rPr>
          <w:rFonts w:ascii="Corbel" w:hAnsi="Corbel"/>
          <w:sz w:val="23"/>
          <w:szCs w:val="23"/>
        </w:rPr>
      </w:pPr>
      <w:r>
        <w:rPr>
          <w:rFonts w:ascii="Corbel" w:hAnsi="Corbel"/>
          <w:sz w:val="23"/>
          <w:szCs w:val="23"/>
        </w:rPr>
        <w:t>Quarterly Housing Report</w:t>
      </w:r>
      <w:r w:rsidR="00BE1589">
        <w:rPr>
          <w:rFonts w:ascii="Corbel" w:hAnsi="Corbel"/>
          <w:sz w:val="23"/>
          <w:szCs w:val="23"/>
        </w:rPr>
        <w:t xml:space="preserve"> </w:t>
      </w:r>
      <w:r w:rsidR="00BE1589">
        <w:rPr>
          <w:rFonts w:ascii="Corbel" w:hAnsi="Corbel"/>
          <w:sz w:val="23"/>
          <w:szCs w:val="23"/>
        </w:rPr>
        <w:br/>
      </w:r>
      <w:r w:rsidR="00BE1589" w:rsidRPr="00BE1589">
        <w:rPr>
          <w:rFonts w:ascii="Corbel" w:hAnsi="Corbel"/>
          <w:sz w:val="18"/>
          <w:szCs w:val="18"/>
        </w:rPr>
        <w:t>(</w:t>
      </w:r>
      <w:r w:rsidR="00BE1589" w:rsidRPr="00AB530D">
        <w:rPr>
          <w:rFonts w:ascii="Corbel" w:hAnsi="Corbel"/>
          <w:sz w:val="18"/>
          <w:szCs w:val="18"/>
        </w:rPr>
        <w:t>https://www.dhhs.tas.gov.au/housing/tasmanian_affordable_housing_strategy</w:t>
      </w:r>
      <w:r w:rsidR="00BE1589" w:rsidRPr="00BE1589">
        <w:rPr>
          <w:rFonts w:ascii="Corbel" w:hAnsi="Corbel"/>
          <w:sz w:val="18"/>
          <w:szCs w:val="18"/>
        </w:rPr>
        <w:t>)</w:t>
      </w:r>
      <w:r w:rsidR="00BE1589">
        <w:rPr>
          <w:rFonts w:ascii="Corbel" w:hAnsi="Corbel"/>
          <w:sz w:val="23"/>
          <w:szCs w:val="23"/>
        </w:rPr>
        <w:t xml:space="preserve"> </w:t>
      </w:r>
    </w:p>
    <w:p w14:paraId="74AD8F18" w14:textId="5AECD2D5" w:rsidR="001C6688" w:rsidRDefault="001C6688" w:rsidP="00AB530D">
      <w:pPr>
        <w:pStyle w:val="Dash"/>
        <w:numPr>
          <w:ilvl w:val="0"/>
          <w:numId w:val="9"/>
        </w:numPr>
        <w:rPr>
          <w:rFonts w:ascii="Corbel" w:hAnsi="Corbel"/>
          <w:sz w:val="23"/>
          <w:szCs w:val="23"/>
        </w:rPr>
      </w:pPr>
      <w:r>
        <w:rPr>
          <w:rFonts w:ascii="Corbel" w:hAnsi="Corbel"/>
          <w:sz w:val="23"/>
          <w:szCs w:val="23"/>
        </w:rPr>
        <w:t>Specialist Homelessness Services Annual Report</w:t>
      </w:r>
    </w:p>
    <w:p w14:paraId="62E726A1" w14:textId="2993F341" w:rsidR="001C6688" w:rsidRDefault="001C6688" w:rsidP="00AB530D">
      <w:pPr>
        <w:pStyle w:val="Dash"/>
        <w:numPr>
          <w:ilvl w:val="0"/>
          <w:numId w:val="9"/>
        </w:numPr>
        <w:rPr>
          <w:rFonts w:ascii="Corbel" w:hAnsi="Corbel"/>
          <w:sz w:val="23"/>
          <w:szCs w:val="23"/>
        </w:rPr>
      </w:pPr>
      <w:r>
        <w:rPr>
          <w:rFonts w:ascii="Corbel" w:hAnsi="Corbel"/>
          <w:sz w:val="23"/>
          <w:szCs w:val="23"/>
        </w:rPr>
        <w:t>Report on Government Services</w:t>
      </w:r>
    </w:p>
    <w:p w14:paraId="1E046C21" w14:textId="5A27C335" w:rsidR="006F53EB" w:rsidRDefault="006F53EB" w:rsidP="005F515C">
      <w:pPr>
        <w:pStyle w:val="Heading1"/>
        <w:jc w:val="both"/>
        <w:rPr>
          <w:bCs w:val="0"/>
          <w:caps w:val="0"/>
        </w:rPr>
      </w:pPr>
      <w:r w:rsidRPr="005F515C">
        <w:t>Part</w:t>
      </w:r>
      <w:r>
        <w:t xml:space="preserve"> </w:t>
      </w:r>
      <w:r w:rsidR="00144939">
        <w:t>6</w:t>
      </w:r>
      <w:r>
        <w:t xml:space="preserve"> – </w:t>
      </w:r>
      <w:r w:rsidRPr="00B74353">
        <w:t>Other conditions/Priority Policy Areas</w:t>
      </w:r>
    </w:p>
    <w:p w14:paraId="2AB4E73C" w14:textId="77777777" w:rsidR="006F53EB" w:rsidRPr="00C07EC0" w:rsidRDefault="006F53EB" w:rsidP="00A4503A">
      <w:pPr>
        <w:pStyle w:val="Normalnumbered"/>
        <w:numPr>
          <w:ilvl w:val="0"/>
          <w:numId w:val="3"/>
        </w:numPr>
      </w:pPr>
      <w:r w:rsidRPr="00A960D5">
        <w:rPr>
          <w:color w:val="auto"/>
        </w:rPr>
        <w:t>Other conditions and/or priority policy areas may be agreed between the Parties from time to time.</w:t>
      </w:r>
    </w:p>
    <w:p w14:paraId="1DFE7DAB" w14:textId="77777777" w:rsidR="006F53EB" w:rsidRDefault="006F53EB" w:rsidP="006F53EB">
      <w:pPr>
        <w:pStyle w:val="Dash"/>
        <w:numPr>
          <w:ilvl w:val="0"/>
          <w:numId w:val="0"/>
        </w:numPr>
        <w:ind w:left="1040" w:hanging="520"/>
        <w:jc w:val="both"/>
        <w:rPr>
          <w:rFonts w:ascii="Corbel" w:hAnsi="Corbel"/>
          <w:sz w:val="23"/>
          <w:szCs w:val="23"/>
        </w:rPr>
      </w:pPr>
    </w:p>
    <w:p w14:paraId="0E340B5B" w14:textId="77777777" w:rsidR="001B2110" w:rsidRDefault="001B2110" w:rsidP="00AB530D">
      <w:pPr>
        <w:spacing w:after="200" w:line="276" w:lineRule="auto"/>
        <w:ind w:left="720"/>
        <w:rPr>
          <w:rFonts w:ascii="Consolas" w:hAnsi="Consolas" w:cs="Arial"/>
          <w:bCs/>
          <w:caps/>
          <w:color w:val="3D4B67"/>
          <w:kern w:val="32"/>
          <w:sz w:val="32"/>
          <w:szCs w:val="36"/>
        </w:rPr>
      </w:pPr>
      <w:r>
        <w:br w:type="page"/>
      </w:r>
    </w:p>
    <w:p w14:paraId="701465D5" w14:textId="316D3A99" w:rsidR="003E00B6" w:rsidRDefault="002526CD" w:rsidP="00AB530D">
      <w:pPr>
        <w:pStyle w:val="Heading1"/>
        <w:jc w:val="both"/>
      </w:pPr>
      <w:r>
        <w:lastRenderedPageBreak/>
        <w:t xml:space="preserve">Part </w:t>
      </w:r>
      <w:r w:rsidR="00144939">
        <w:t>7</w:t>
      </w:r>
      <w:r w:rsidR="00695488">
        <w:t xml:space="preserve"> –</w:t>
      </w:r>
      <w:r w:rsidR="003E00B6">
        <w:t xml:space="preserve"> Sign Off</w:t>
      </w:r>
    </w:p>
    <w:p w14:paraId="5993A293" w14:textId="77777777" w:rsidR="003E00B6" w:rsidRDefault="003E00B6" w:rsidP="00A4503A">
      <w:pPr>
        <w:pStyle w:val="Normalnumbered"/>
        <w:numPr>
          <w:ilvl w:val="0"/>
          <w:numId w:val="3"/>
        </w:numPr>
        <w:rPr>
          <w:color w:val="auto"/>
        </w:rPr>
      </w:pPr>
      <w:r>
        <w:rPr>
          <w:color w:val="auto"/>
        </w:rPr>
        <w:t>The Parties have confirmed their commitment to this agreement as follows:</w:t>
      </w:r>
    </w:p>
    <w:p w14:paraId="0FD0C788" w14:textId="77777777" w:rsidR="003E00B6" w:rsidRDefault="003E00B6" w:rsidP="00AB530D">
      <w:pPr>
        <w:pStyle w:val="ScheduleNumberedPara"/>
        <w:rPr>
          <w:rFonts w:ascii="Times New Roman" w:hAnsi="Times New Roman"/>
          <w:color w:val="auto"/>
          <w:sz w:val="24"/>
          <w:szCs w:val="24"/>
        </w:rPr>
      </w:pPr>
      <w:r>
        <w:rPr>
          <w:rFonts w:ascii="Times New Roman" w:hAnsi="Times New Roman"/>
          <w:b/>
          <w:color w:val="auto"/>
          <w:sz w:val="24"/>
          <w:szCs w:val="24"/>
        </w:rPr>
        <w:t>Signed</w:t>
      </w:r>
      <w:r>
        <w:rPr>
          <w:rFonts w:ascii="Times New Roman" w:hAnsi="Times New Roman"/>
          <w:color w:val="auto"/>
          <w:sz w:val="24"/>
          <w:szCs w:val="24"/>
        </w:rPr>
        <w:t xml:space="preserve"> </w:t>
      </w:r>
      <w:r>
        <w:rPr>
          <w:rFonts w:ascii="Times New Roman" w:hAnsi="Times New Roman"/>
          <w:i/>
          <w:color w:val="auto"/>
          <w:sz w:val="24"/>
          <w:szCs w:val="24"/>
        </w:rPr>
        <w:t>for and on behalf of the Commonwealth of Australia by</w:t>
      </w:r>
    </w:p>
    <w:p w14:paraId="578375FC" w14:textId="77777777" w:rsidR="003E00B6" w:rsidRDefault="003E00B6" w:rsidP="00AB530D">
      <w:pPr>
        <w:pStyle w:val="ScheduleNumberedPara"/>
        <w:rPr>
          <w:color w:val="auto"/>
          <w:szCs w:val="20"/>
        </w:rPr>
      </w:pPr>
    </w:p>
    <w:p w14:paraId="69522C9F" w14:textId="77777777" w:rsidR="003E00B6" w:rsidRDefault="003E00B6" w:rsidP="00AB530D">
      <w:pPr>
        <w:pStyle w:val="ScheduleNumberedPara"/>
        <w:rPr>
          <w:color w:val="auto"/>
        </w:rPr>
      </w:pPr>
    </w:p>
    <w:p w14:paraId="1086B511" w14:textId="77777777" w:rsidR="003E00B6" w:rsidRDefault="003E00B6" w:rsidP="00AB530D">
      <w:pPr>
        <w:pStyle w:val="ScheduleNumberedPara"/>
        <w:rPr>
          <w:color w:val="auto"/>
        </w:rPr>
      </w:pPr>
    </w:p>
    <w:p w14:paraId="1ADD16D5" w14:textId="77777777" w:rsidR="003E00B6" w:rsidRDefault="003E00B6" w:rsidP="00AB530D">
      <w:pPr>
        <w:pStyle w:val="ScheduleNumberedPara"/>
        <w:tabs>
          <w:tab w:val="num" w:pos="2268"/>
        </w:tabs>
        <w:rPr>
          <w:color w:val="auto"/>
        </w:rPr>
      </w:pPr>
      <w:r>
        <w:rPr>
          <w:color w:val="auto"/>
        </w:rPr>
        <w:t>-----------------------------------------------------</w:t>
      </w:r>
    </w:p>
    <w:p w14:paraId="2EC1B210" w14:textId="02331D90" w:rsidR="003E00B6" w:rsidRDefault="003E00B6" w:rsidP="00AB530D">
      <w:pPr>
        <w:pStyle w:val="SingleParagraph"/>
        <w:rPr>
          <w:rStyle w:val="Bold"/>
        </w:rPr>
      </w:pPr>
      <w:r>
        <w:rPr>
          <w:rStyle w:val="Bold"/>
        </w:rPr>
        <w:t xml:space="preserve">The Honourable </w:t>
      </w:r>
      <w:r w:rsidR="00A1693D">
        <w:rPr>
          <w:rStyle w:val="Bold"/>
        </w:rPr>
        <w:t xml:space="preserve">Scott Morrison </w:t>
      </w:r>
      <w:r>
        <w:rPr>
          <w:rStyle w:val="Bold"/>
        </w:rPr>
        <w:t>MP</w:t>
      </w:r>
    </w:p>
    <w:p w14:paraId="57D8CAA1" w14:textId="7E01D55B" w:rsidR="003E00B6" w:rsidRDefault="00A1693D" w:rsidP="00AB530D">
      <w:pPr>
        <w:pStyle w:val="Position"/>
        <w:rPr>
          <w:lang w:val="en-GB"/>
        </w:rPr>
      </w:pPr>
      <w:r>
        <w:rPr>
          <w:lang w:val="en-GB"/>
        </w:rPr>
        <w:t>Treasurer</w:t>
      </w:r>
    </w:p>
    <w:p w14:paraId="32E272E2" w14:textId="41B59CA9" w:rsidR="003E00B6" w:rsidRDefault="00406DAB" w:rsidP="00406DAB">
      <w:pPr>
        <w:pStyle w:val="ScheduleNumberedPara"/>
        <w:ind w:firstLine="720"/>
        <w:rPr>
          <w:lang w:val="en-GB"/>
        </w:rPr>
      </w:pPr>
      <w:r>
        <w:rPr>
          <w:lang w:val="en-GB"/>
        </w:rPr>
        <w:t>June 2018</w:t>
      </w:r>
    </w:p>
    <w:p w14:paraId="345E0D43" w14:textId="77777777" w:rsidR="003E00B6" w:rsidRDefault="003E00B6" w:rsidP="00AB530D">
      <w:pPr>
        <w:pStyle w:val="ScheduleNumberedPara"/>
        <w:rPr>
          <w:lang w:val="en-GB"/>
        </w:rPr>
      </w:pPr>
    </w:p>
    <w:p w14:paraId="172F8FEB" w14:textId="2762FF2C" w:rsidR="003E00B6" w:rsidRDefault="003E00B6" w:rsidP="00AB530D">
      <w:pPr>
        <w:pStyle w:val="ScheduleNumberedPara"/>
        <w:rPr>
          <w:rFonts w:ascii="Times New Roman" w:hAnsi="Times New Roman"/>
          <w:color w:val="auto"/>
          <w:sz w:val="24"/>
          <w:szCs w:val="24"/>
        </w:rPr>
      </w:pPr>
      <w:r>
        <w:rPr>
          <w:rFonts w:ascii="Times New Roman" w:hAnsi="Times New Roman"/>
          <w:b/>
          <w:color w:val="auto"/>
          <w:sz w:val="24"/>
          <w:szCs w:val="24"/>
        </w:rPr>
        <w:t>Signed</w:t>
      </w:r>
      <w:r>
        <w:rPr>
          <w:rFonts w:ascii="Times New Roman" w:hAnsi="Times New Roman"/>
          <w:color w:val="auto"/>
          <w:sz w:val="24"/>
          <w:szCs w:val="24"/>
        </w:rPr>
        <w:t xml:space="preserve"> </w:t>
      </w:r>
      <w:r>
        <w:rPr>
          <w:rFonts w:ascii="Times New Roman" w:hAnsi="Times New Roman"/>
          <w:i/>
          <w:color w:val="auto"/>
          <w:sz w:val="24"/>
          <w:szCs w:val="24"/>
        </w:rPr>
        <w:t xml:space="preserve">for and on behalf of </w:t>
      </w:r>
      <w:r w:rsidR="00A1693D">
        <w:rPr>
          <w:rFonts w:ascii="Times New Roman" w:hAnsi="Times New Roman"/>
          <w:i/>
          <w:color w:val="auto"/>
          <w:sz w:val="24"/>
          <w:szCs w:val="24"/>
        </w:rPr>
        <w:t>Tasmania</w:t>
      </w:r>
      <w:r>
        <w:rPr>
          <w:rFonts w:ascii="Times New Roman" w:hAnsi="Times New Roman"/>
          <w:i/>
          <w:color w:val="auto"/>
          <w:sz w:val="24"/>
          <w:szCs w:val="24"/>
        </w:rPr>
        <w:t xml:space="preserve"> by</w:t>
      </w:r>
    </w:p>
    <w:p w14:paraId="16B0F647" w14:textId="77777777" w:rsidR="003E00B6" w:rsidRDefault="003E00B6" w:rsidP="00AB530D">
      <w:pPr>
        <w:pStyle w:val="ScheduleNumberedPara"/>
        <w:rPr>
          <w:color w:val="auto"/>
          <w:szCs w:val="20"/>
        </w:rPr>
      </w:pPr>
    </w:p>
    <w:p w14:paraId="1DE4B559" w14:textId="77777777" w:rsidR="003E00B6" w:rsidRDefault="003E00B6" w:rsidP="00AB530D">
      <w:pPr>
        <w:pStyle w:val="ScheduleNumberedPara"/>
        <w:rPr>
          <w:color w:val="auto"/>
        </w:rPr>
      </w:pPr>
    </w:p>
    <w:p w14:paraId="6A0DC99B" w14:textId="77777777" w:rsidR="003E00B6" w:rsidRDefault="003E00B6" w:rsidP="00AB530D">
      <w:pPr>
        <w:pStyle w:val="ScheduleNumberedPara"/>
        <w:rPr>
          <w:color w:val="auto"/>
        </w:rPr>
      </w:pPr>
    </w:p>
    <w:p w14:paraId="2DFC3AF1" w14:textId="77777777" w:rsidR="003E00B6" w:rsidRDefault="003E00B6" w:rsidP="00AB530D">
      <w:pPr>
        <w:pStyle w:val="ScheduleNumberedPara"/>
        <w:tabs>
          <w:tab w:val="num" w:pos="2268"/>
        </w:tabs>
        <w:rPr>
          <w:color w:val="auto"/>
        </w:rPr>
      </w:pPr>
      <w:r>
        <w:rPr>
          <w:color w:val="auto"/>
        </w:rPr>
        <w:t>-----------------------------------------------------</w:t>
      </w:r>
    </w:p>
    <w:p w14:paraId="406DFE27" w14:textId="0921F5F8" w:rsidR="003E00B6" w:rsidRDefault="003E00B6" w:rsidP="00367537">
      <w:pPr>
        <w:pStyle w:val="SingleParagraph"/>
        <w:rPr>
          <w:rStyle w:val="Bold"/>
        </w:rPr>
      </w:pPr>
      <w:r>
        <w:rPr>
          <w:rStyle w:val="Bold"/>
        </w:rPr>
        <w:t xml:space="preserve">The Honourable </w:t>
      </w:r>
      <w:r w:rsidR="00367537" w:rsidRPr="00367537">
        <w:rPr>
          <w:rStyle w:val="Bold"/>
        </w:rPr>
        <w:t xml:space="preserve">Roger Jaensch </w:t>
      </w:r>
      <w:r>
        <w:rPr>
          <w:rStyle w:val="Bold"/>
        </w:rPr>
        <w:t>MP</w:t>
      </w:r>
    </w:p>
    <w:p w14:paraId="56BBE666" w14:textId="76E5E04A" w:rsidR="003E00B6" w:rsidRDefault="00367537" w:rsidP="00AB530D">
      <w:pPr>
        <w:pStyle w:val="Position"/>
        <w:rPr>
          <w:lang w:val="en-GB"/>
        </w:rPr>
      </w:pPr>
      <w:r>
        <w:rPr>
          <w:lang w:val="en-GB"/>
        </w:rPr>
        <w:t>Minister for Housing</w:t>
      </w:r>
    </w:p>
    <w:p w14:paraId="494E9111" w14:textId="77777777" w:rsidR="00406DAB" w:rsidRDefault="00406DAB" w:rsidP="00406DAB">
      <w:pPr>
        <w:pStyle w:val="ScheduleNumberedPara"/>
        <w:ind w:firstLine="720"/>
        <w:rPr>
          <w:lang w:val="en-GB"/>
        </w:rPr>
      </w:pPr>
      <w:r>
        <w:rPr>
          <w:lang w:val="en-GB"/>
        </w:rPr>
        <w:t>June 2018</w:t>
      </w:r>
    </w:p>
    <w:p w14:paraId="0182B4CB" w14:textId="26814C08" w:rsidR="003E00B6" w:rsidRDefault="003E00B6" w:rsidP="00406DAB">
      <w:pPr>
        <w:pStyle w:val="ScheduleNumberedPara"/>
        <w:ind w:firstLine="720"/>
        <w:rPr>
          <w:b/>
          <w:color w:val="FF0000"/>
        </w:rPr>
      </w:pPr>
    </w:p>
    <w:p w14:paraId="0E5E8C24" w14:textId="77777777" w:rsidR="003E00B6" w:rsidRDefault="003E00B6" w:rsidP="00AB530D"/>
    <w:p w14:paraId="77ECBB1B" w14:textId="77777777" w:rsidR="00CF683F" w:rsidRPr="003E00B6" w:rsidRDefault="00CF683F" w:rsidP="00AB530D"/>
    <w:sectPr w:rsidR="00CF683F" w:rsidRPr="003E00B6">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F1DC4" w14:textId="77777777" w:rsidR="009140A4" w:rsidRDefault="009140A4" w:rsidP="00066850">
      <w:pPr>
        <w:spacing w:after="0" w:line="240" w:lineRule="auto"/>
      </w:pPr>
      <w:r>
        <w:separator/>
      </w:r>
    </w:p>
  </w:endnote>
  <w:endnote w:type="continuationSeparator" w:id="0">
    <w:p w14:paraId="7504237F" w14:textId="77777777" w:rsidR="009140A4" w:rsidRDefault="009140A4" w:rsidP="00066850">
      <w:pPr>
        <w:spacing w:after="0" w:line="240" w:lineRule="auto"/>
      </w:pPr>
      <w:r>
        <w:continuationSeparator/>
      </w:r>
    </w:p>
  </w:endnote>
  <w:endnote w:type="continuationNotice" w:id="1">
    <w:p w14:paraId="3FEF7634" w14:textId="77777777" w:rsidR="009140A4" w:rsidRDefault="009140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63B78" w14:textId="77777777" w:rsidR="009140A4" w:rsidRDefault="009140A4" w:rsidP="00066850">
      <w:pPr>
        <w:spacing w:after="0" w:line="240" w:lineRule="auto"/>
      </w:pPr>
      <w:r>
        <w:separator/>
      </w:r>
    </w:p>
  </w:footnote>
  <w:footnote w:type="continuationSeparator" w:id="0">
    <w:p w14:paraId="5B6B8633" w14:textId="77777777" w:rsidR="009140A4" w:rsidRDefault="009140A4" w:rsidP="00066850">
      <w:pPr>
        <w:spacing w:after="0" w:line="240" w:lineRule="auto"/>
      </w:pPr>
      <w:r>
        <w:continuationSeparator/>
      </w:r>
    </w:p>
  </w:footnote>
  <w:footnote w:type="continuationNotice" w:id="1">
    <w:p w14:paraId="2363983D" w14:textId="77777777" w:rsidR="009140A4" w:rsidRDefault="009140A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7C0ED" w14:textId="107CD8BE" w:rsidR="009140A4" w:rsidRDefault="00914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nsid w:val="0B5C7851"/>
    <w:multiLevelType w:val="multilevel"/>
    <w:tmpl w:val="CF3E1F74"/>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rPr>
    </w:lvl>
    <w:lvl w:ilvl="1">
      <w:start w:val="1"/>
      <w:numFmt w:val="bullet"/>
      <w:pStyle w:val="Dash"/>
      <w:lvlText w:val="–"/>
      <w:lvlJc w:val="left"/>
      <w:pPr>
        <w:tabs>
          <w:tab w:val="num" w:pos="1040"/>
        </w:tabs>
        <w:ind w:left="1040" w:hanging="520"/>
      </w:pPr>
      <w:rPr>
        <w:rFonts w:ascii="Times New Roman" w:hAnsi="Times New Roman" w:cs="Times New Roman" w:hint="default"/>
      </w:rPr>
    </w:lvl>
    <w:lvl w:ilvl="2">
      <w:start w:val="1"/>
      <w:numFmt w:val="bullet"/>
      <w:pStyle w:val="DoubleDo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8E27E4"/>
    <w:multiLevelType w:val="hybridMultilevel"/>
    <w:tmpl w:val="3F726252"/>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1A75AE6"/>
    <w:multiLevelType w:val="hybridMultilevel"/>
    <w:tmpl w:val="DE4E0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13D10C3"/>
    <w:multiLevelType w:val="multilevel"/>
    <w:tmpl w:val="E522F738"/>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5D1D12"/>
    <w:multiLevelType w:val="hybridMultilevel"/>
    <w:tmpl w:val="FC5AC592"/>
    <w:lvl w:ilvl="0" w:tplc="39167BFA">
      <w:start w:val="1"/>
      <w:numFmt w:val="bullet"/>
      <w:lvlText w:val=""/>
      <w:lvlJc w:val="left"/>
      <w:pPr>
        <w:ind w:left="360" w:hanging="360"/>
      </w:pPr>
      <w:rPr>
        <w:rFonts w:ascii="Symbol" w:hAnsi="Symbol" w:hint="default"/>
      </w:rPr>
    </w:lvl>
    <w:lvl w:ilvl="1" w:tplc="3334C61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67958A1"/>
    <w:multiLevelType w:val="multilevel"/>
    <w:tmpl w:val="6E261D0E"/>
    <w:lvl w:ilvl="0">
      <w:start w:val="1"/>
      <w:numFmt w:val="upperLetter"/>
      <w:suff w:val="nothing"/>
      <w:lvlText w:val="%1"/>
      <w:lvlJc w:val="left"/>
      <w:pPr>
        <w:ind w:left="0" w:firstLine="0"/>
      </w:pPr>
      <w:rPr>
        <w:rFonts w:cs="Times New Roman"/>
      </w:rPr>
    </w:lvl>
    <w:lvl w:ilvl="1">
      <w:start w:val="1"/>
      <w:numFmt w:val="decimal"/>
      <w:lvlText w:val="%2."/>
      <w:lvlJc w:val="left"/>
      <w:pPr>
        <w:tabs>
          <w:tab w:val="num" w:pos="567"/>
        </w:tabs>
        <w:ind w:left="567" w:hanging="567"/>
      </w:pPr>
      <w:rPr>
        <w:rFonts w:cs="Times New Roman"/>
      </w:rPr>
    </w:lvl>
    <w:lvl w:ilvl="2">
      <w:start w:val="1"/>
      <w:numFmt w:val="lowerRoman"/>
      <w:lvlText w:val="%3."/>
      <w:lvlJc w:val="righ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abstractNum w:abstractNumId="7">
    <w:nsid w:val="487A3FA8"/>
    <w:multiLevelType w:val="hybridMultilevel"/>
    <w:tmpl w:val="E6A28AA0"/>
    <w:lvl w:ilvl="0" w:tplc="39167BFA">
      <w:start w:val="1"/>
      <w:numFmt w:val="bullet"/>
      <w:lvlText w:val=""/>
      <w:lvlJc w:val="left"/>
      <w:pPr>
        <w:ind w:left="360" w:hanging="360"/>
      </w:pPr>
      <w:rPr>
        <w:rFonts w:ascii="Symbol" w:hAnsi="Symbol" w:hint="default"/>
      </w:rPr>
    </w:lvl>
    <w:lvl w:ilvl="1" w:tplc="3334C61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5514557"/>
    <w:multiLevelType w:val="hybridMultilevel"/>
    <w:tmpl w:val="C8D4E15E"/>
    <w:lvl w:ilvl="0" w:tplc="660EB736">
      <w:start w:val="1"/>
      <w:numFmt w:val="lowerLetter"/>
      <w:lvlText w:val="(%1)"/>
      <w:lvlJc w:val="left"/>
      <w:pPr>
        <w:ind w:left="1287" w:hanging="360"/>
      </w:pPr>
      <w:rPr>
        <w:rFonts w:cs="Times New Roman"/>
      </w:rPr>
    </w:lvl>
    <w:lvl w:ilvl="1" w:tplc="0C090019">
      <w:start w:val="1"/>
      <w:numFmt w:val="lowerLetter"/>
      <w:lvlText w:val="%2."/>
      <w:lvlJc w:val="left"/>
      <w:pPr>
        <w:ind w:left="2007" w:hanging="360"/>
      </w:pPr>
      <w:rPr>
        <w:rFonts w:cs="Times New Roman"/>
      </w:rPr>
    </w:lvl>
    <w:lvl w:ilvl="2" w:tplc="0C09001B">
      <w:start w:val="1"/>
      <w:numFmt w:val="lowerRoman"/>
      <w:lvlText w:val="%3."/>
      <w:lvlJc w:val="right"/>
      <w:pPr>
        <w:ind w:left="2727" w:hanging="180"/>
      </w:pPr>
      <w:rPr>
        <w:rFonts w:cs="Times New Roman"/>
      </w:rPr>
    </w:lvl>
    <w:lvl w:ilvl="3" w:tplc="0C09000F">
      <w:start w:val="1"/>
      <w:numFmt w:val="decimal"/>
      <w:lvlText w:val="%4."/>
      <w:lvlJc w:val="left"/>
      <w:pPr>
        <w:ind w:left="3447" w:hanging="360"/>
      </w:pPr>
      <w:rPr>
        <w:rFonts w:cs="Times New Roman"/>
      </w:rPr>
    </w:lvl>
    <w:lvl w:ilvl="4" w:tplc="0C090019">
      <w:start w:val="1"/>
      <w:numFmt w:val="lowerLetter"/>
      <w:lvlText w:val="%5."/>
      <w:lvlJc w:val="left"/>
      <w:pPr>
        <w:ind w:left="4167" w:hanging="360"/>
      </w:pPr>
      <w:rPr>
        <w:rFonts w:cs="Times New Roman"/>
      </w:rPr>
    </w:lvl>
    <w:lvl w:ilvl="5" w:tplc="0C09001B">
      <w:start w:val="1"/>
      <w:numFmt w:val="lowerRoman"/>
      <w:lvlText w:val="%6."/>
      <w:lvlJc w:val="right"/>
      <w:pPr>
        <w:ind w:left="4887" w:hanging="180"/>
      </w:pPr>
      <w:rPr>
        <w:rFonts w:cs="Times New Roman"/>
      </w:rPr>
    </w:lvl>
    <w:lvl w:ilvl="6" w:tplc="0C09000F">
      <w:start w:val="1"/>
      <w:numFmt w:val="decimal"/>
      <w:lvlText w:val="%7."/>
      <w:lvlJc w:val="left"/>
      <w:pPr>
        <w:ind w:left="5607" w:hanging="360"/>
      </w:pPr>
      <w:rPr>
        <w:rFonts w:cs="Times New Roman"/>
      </w:rPr>
    </w:lvl>
    <w:lvl w:ilvl="7" w:tplc="0C090019">
      <w:start w:val="1"/>
      <w:numFmt w:val="lowerLetter"/>
      <w:lvlText w:val="%8."/>
      <w:lvlJc w:val="left"/>
      <w:pPr>
        <w:ind w:left="6327" w:hanging="360"/>
      </w:pPr>
      <w:rPr>
        <w:rFonts w:cs="Times New Roman"/>
      </w:rPr>
    </w:lvl>
    <w:lvl w:ilvl="8" w:tplc="0C09001B">
      <w:start w:val="1"/>
      <w:numFmt w:val="lowerRoman"/>
      <w:lvlText w:val="%9."/>
      <w:lvlJc w:val="right"/>
      <w:pPr>
        <w:ind w:left="7047" w:hanging="180"/>
      </w:pPr>
      <w:rPr>
        <w:rFonts w:cs="Times New Roman"/>
      </w:rPr>
    </w:lvl>
  </w:abstractNum>
  <w:abstractNum w:abstractNumId="9">
    <w:nsid w:val="78854AAC"/>
    <w:multiLevelType w:val="hybridMultilevel"/>
    <w:tmpl w:val="6A8270F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7CDF3F99"/>
    <w:multiLevelType w:val="hybridMultilevel"/>
    <w:tmpl w:val="1DCEE8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4"/>
  </w:num>
  <w:num w:numId="6">
    <w:abstractNumId w:val="8"/>
  </w:num>
  <w:num w:numId="7">
    <w:abstractNumId w:val="0"/>
  </w:num>
  <w:num w:numId="8">
    <w:abstractNumId w:val="1"/>
  </w:num>
  <w:num w:numId="9">
    <w:abstractNumId w:val="2"/>
  </w:num>
  <w:num w:numId="10">
    <w:abstractNumId w:val="1"/>
  </w:num>
  <w:num w:numId="11">
    <w:abstractNumId w:val="6"/>
  </w:num>
  <w:num w:numId="12">
    <w:abstractNumId w:val="3"/>
  </w:num>
  <w:num w:numId="13">
    <w:abstractNumId w:val="7"/>
  </w:num>
  <w:num w:numId="14">
    <w:abstractNumId w:val="5"/>
  </w:num>
  <w:num w:numId="15">
    <w:abstractNumId w:val="1"/>
  </w:num>
  <w:num w:numId="16">
    <w:abstractNumId w:val="1"/>
  </w:num>
  <w:num w:numId="17">
    <w:abstractNumId w:val="1"/>
  </w:num>
  <w:num w:numId="18">
    <w:abstractNumId w:val="1"/>
  </w:num>
  <w:num w:numId="19">
    <w:abstractNumId w:val="1"/>
  </w:num>
  <w:num w:numId="2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lvert, Fiona">
    <w15:presenceInfo w15:providerId="AD" w15:userId="S-1-5-21-3068254422-1714677078-1414813089-5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50"/>
    <w:rsid w:val="00005B9C"/>
    <w:rsid w:val="000138E1"/>
    <w:rsid w:val="000138E2"/>
    <w:rsid w:val="00016193"/>
    <w:rsid w:val="0002025B"/>
    <w:rsid w:val="0002043E"/>
    <w:rsid w:val="0002501F"/>
    <w:rsid w:val="0002674C"/>
    <w:rsid w:val="00032288"/>
    <w:rsid w:val="00032F68"/>
    <w:rsid w:val="000366AE"/>
    <w:rsid w:val="00037A1B"/>
    <w:rsid w:val="0004409C"/>
    <w:rsid w:val="00050319"/>
    <w:rsid w:val="000542BA"/>
    <w:rsid w:val="0005534C"/>
    <w:rsid w:val="000653D4"/>
    <w:rsid w:val="00066850"/>
    <w:rsid w:val="000719BB"/>
    <w:rsid w:val="00072ECC"/>
    <w:rsid w:val="00093F4D"/>
    <w:rsid w:val="000A0929"/>
    <w:rsid w:val="000A679B"/>
    <w:rsid w:val="000C2AD1"/>
    <w:rsid w:val="000C6936"/>
    <w:rsid w:val="000D71EB"/>
    <w:rsid w:val="000D7FF1"/>
    <w:rsid w:val="000E29EA"/>
    <w:rsid w:val="000F0CAB"/>
    <w:rsid w:val="000F3331"/>
    <w:rsid w:val="0010785A"/>
    <w:rsid w:val="00121E4A"/>
    <w:rsid w:val="001349DD"/>
    <w:rsid w:val="00144939"/>
    <w:rsid w:val="001463C9"/>
    <w:rsid w:val="00150E9C"/>
    <w:rsid w:val="00151205"/>
    <w:rsid w:val="00151FF9"/>
    <w:rsid w:val="001534E9"/>
    <w:rsid w:val="0016321F"/>
    <w:rsid w:val="00174B9F"/>
    <w:rsid w:val="001921B7"/>
    <w:rsid w:val="00193EB6"/>
    <w:rsid w:val="001A58AE"/>
    <w:rsid w:val="001B2110"/>
    <w:rsid w:val="001B6645"/>
    <w:rsid w:val="001C6688"/>
    <w:rsid w:val="001E0C33"/>
    <w:rsid w:val="001E26C1"/>
    <w:rsid w:val="001E7BBC"/>
    <w:rsid w:val="001F022E"/>
    <w:rsid w:val="001F75C2"/>
    <w:rsid w:val="00211090"/>
    <w:rsid w:val="0021718C"/>
    <w:rsid w:val="002273BB"/>
    <w:rsid w:val="00241625"/>
    <w:rsid w:val="002526CD"/>
    <w:rsid w:val="002652CE"/>
    <w:rsid w:val="00286295"/>
    <w:rsid w:val="00292973"/>
    <w:rsid w:val="002A2F4D"/>
    <w:rsid w:val="002A484C"/>
    <w:rsid w:val="002B384A"/>
    <w:rsid w:val="002B7557"/>
    <w:rsid w:val="002F038B"/>
    <w:rsid w:val="002F7595"/>
    <w:rsid w:val="00314835"/>
    <w:rsid w:val="00317D3D"/>
    <w:rsid w:val="003206A1"/>
    <w:rsid w:val="00322B27"/>
    <w:rsid w:val="00367537"/>
    <w:rsid w:val="003772D8"/>
    <w:rsid w:val="003909D9"/>
    <w:rsid w:val="0039727A"/>
    <w:rsid w:val="003B3CAF"/>
    <w:rsid w:val="003B421C"/>
    <w:rsid w:val="003C2E1A"/>
    <w:rsid w:val="003C67AF"/>
    <w:rsid w:val="003E00B6"/>
    <w:rsid w:val="003E1BB9"/>
    <w:rsid w:val="003E52FB"/>
    <w:rsid w:val="003F227C"/>
    <w:rsid w:val="0040091A"/>
    <w:rsid w:val="004055CE"/>
    <w:rsid w:val="00405B7A"/>
    <w:rsid w:val="00406DAB"/>
    <w:rsid w:val="004162DA"/>
    <w:rsid w:val="00425074"/>
    <w:rsid w:val="004278F4"/>
    <w:rsid w:val="00427CC7"/>
    <w:rsid w:val="0044579F"/>
    <w:rsid w:val="004466EB"/>
    <w:rsid w:val="004605A8"/>
    <w:rsid w:val="0046602F"/>
    <w:rsid w:val="00477A9E"/>
    <w:rsid w:val="00492C47"/>
    <w:rsid w:val="004A1E1C"/>
    <w:rsid w:val="004A4EC4"/>
    <w:rsid w:val="004C03B2"/>
    <w:rsid w:val="004E0FB8"/>
    <w:rsid w:val="004E3D4A"/>
    <w:rsid w:val="004E416B"/>
    <w:rsid w:val="004E4731"/>
    <w:rsid w:val="004F238E"/>
    <w:rsid w:val="004F3391"/>
    <w:rsid w:val="004F3ED5"/>
    <w:rsid w:val="005159D4"/>
    <w:rsid w:val="005216EF"/>
    <w:rsid w:val="00526BFC"/>
    <w:rsid w:val="005440B2"/>
    <w:rsid w:val="00556596"/>
    <w:rsid w:val="00557B23"/>
    <w:rsid w:val="00565D34"/>
    <w:rsid w:val="00590C3B"/>
    <w:rsid w:val="005C11E0"/>
    <w:rsid w:val="005C2CC0"/>
    <w:rsid w:val="005C5BF4"/>
    <w:rsid w:val="005C7181"/>
    <w:rsid w:val="005D1637"/>
    <w:rsid w:val="005D3CFC"/>
    <w:rsid w:val="005D488A"/>
    <w:rsid w:val="005E50E0"/>
    <w:rsid w:val="005F0E51"/>
    <w:rsid w:val="005F515C"/>
    <w:rsid w:val="00613501"/>
    <w:rsid w:val="00613912"/>
    <w:rsid w:val="00621B6E"/>
    <w:rsid w:val="006311BD"/>
    <w:rsid w:val="00633447"/>
    <w:rsid w:val="00633DE2"/>
    <w:rsid w:val="00637DE9"/>
    <w:rsid w:val="00644938"/>
    <w:rsid w:val="00654457"/>
    <w:rsid w:val="00667077"/>
    <w:rsid w:val="00683432"/>
    <w:rsid w:val="00695488"/>
    <w:rsid w:val="00696CC9"/>
    <w:rsid w:val="006A19AE"/>
    <w:rsid w:val="006A393A"/>
    <w:rsid w:val="006B0E47"/>
    <w:rsid w:val="006B5693"/>
    <w:rsid w:val="006D3D25"/>
    <w:rsid w:val="006E2006"/>
    <w:rsid w:val="006E7359"/>
    <w:rsid w:val="006F2F91"/>
    <w:rsid w:val="006F4C4C"/>
    <w:rsid w:val="006F53EB"/>
    <w:rsid w:val="0070155A"/>
    <w:rsid w:val="007262D9"/>
    <w:rsid w:val="007300AB"/>
    <w:rsid w:val="00730D95"/>
    <w:rsid w:val="00732727"/>
    <w:rsid w:val="00737C8D"/>
    <w:rsid w:val="00740F36"/>
    <w:rsid w:val="00742EB4"/>
    <w:rsid w:val="00761FDC"/>
    <w:rsid w:val="007A10B0"/>
    <w:rsid w:val="007A2C3F"/>
    <w:rsid w:val="007A7359"/>
    <w:rsid w:val="007B207E"/>
    <w:rsid w:val="007B572A"/>
    <w:rsid w:val="007B7A3C"/>
    <w:rsid w:val="007C19EA"/>
    <w:rsid w:val="007C3FD4"/>
    <w:rsid w:val="007D7061"/>
    <w:rsid w:val="007E3A68"/>
    <w:rsid w:val="007F2081"/>
    <w:rsid w:val="007F31D3"/>
    <w:rsid w:val="00804F6E"/>
    <w:rsid w:val="00806EF3"/>
    <w:rsid w:val="00841A19"/>
    <w:rsid w:val="0088376A"/>
    <w:rsid w:val="00884D68"/>
    <w:rsid w:val="00890666"/>
    <w:rsid w:val="00890EAB"/>
    <w:rsid w:val="00891231"/>
    <w:rsid w:val="008B79D6"/>
    <w:rsid w:val="008D2294"/>
    <w:rsid w:val="008F5785"/>
    <w:rsid w:val="009037DF"/>
    <w:rsid w:val="00905F17"/>
    <w:rsid w:val="00906169"/>
    <w:rsid w:val="009063B8"/>
    <w:rsid w:val="009108F5"/>
    <w:rsid w:val="009140A4"/>
    <w:rsid w:val="00921846"/>
    <w:rsid w:val="00921ED9"/>
    <w:rsid w:val="00930D6C"/>
    <w:rsid w:val="00946A2F"/>
    <w:rsid w:val="00957240"/>
    <w:rsid w:val="0096204D"/>
    <w:rsid w:val="00971D37"/>
    <w:rsid w:val="009877BC"/>
    <w:rsid w:val="00994059"/>
    <w:rsid w:val="00994EAD"/>
    <w:rsid w:val="009B12C8"/>
    <w:rsid w:val="009B5759"/>
    <w:rsid w:val="009C0434"/>
    <w:rsid w:val="009D1D2F"/>
    <w:rsid w:val="009D382C"/>
    <w:rsid w:val="009D52FC"/>
    <w:rsid w:val="009E04E6"/>
    <w:rsid w:val="009E3CCF"/>
    <w:rsid w:val="009F1141"/>
    <w:rsid w:val="00A03AA6"/>
    <w:rsid w:val="00A044C5"/>
    <w:rsid w:val="00A05EFC"/>
    <w:rsid w:val="00A06D4E"/>
    <w:rsid w:val="00A1410C"/>
    <w:rsid w:val="00A1693D"/>
    <w:rsid w:val="00A17D4C"/>
    <w:rsid w:val="00A4503A"/>
    <w:rsid w:val="00A54605"/>
    <w:rsid w:val="00A638EB"/>
    <w:rsid w:val="00A669B5"/>
    <w:rsid w:val="00A67681"/>
    <w:rsid w:val="00A70FCF"/>
    <w:rsid w:val="00A718F9"/>
    <w:rsid w:val="00A761E1"/>
    <w:rsid w:val="00A95497"/>
    <w:rsid w:val="00AA3B96"/>
    <w:rsid w:val="00AA459B"/>
    <w:rsid w:val="00AB0DCD"/>
    <w:rsid w:val="00AB0F53"/>
    <w:rsid w:val="00AB530D"/>
    <w:rsid w:val="00AB5AF3"/>
    <w:rsid w:val="00AC2F15"/>
    <w:rsid w:val="00AC3DAE"/>
    <w:rsid w:val="00AE0F8B"/>
    <w:rsid w:val="00AE505E"/>
    <w:rsid w:val="00AF37E4"/>
    <w:rsid w:val="00AF76A1"/>
    <w:rsid w:val="00B14696"/>
    <w:rsid w:val="00B3696B"/>
    <w:rsid w:val="00B43931"/>
    <w:rsid w:val="00B515A0"/>
    <w:rsid w:val="00B6163F"/>
    <w:rsid w:val="00B65FFA"/>
    <w:rsid w:val="00B719E8"/>
    <w:rsid w:val="00B73F54"/>
    <w:rsid w:val="00B90B9C"/>
    <w:rsid w:val="00BA2625"/>
    <w:rsid w:val="00BC2C9F"/>
    <w:rsid w:val="00BC2CC7"/>
    <w:rsid w:val="00BC2E76"/>
    <w:rsid w:val="00BC723D"/>
    <w:rsid w:val="00BD0EE9"/>
    <w:rsid w:val="00BD21DD"/>
    <w:rsid w:val="00BE109E"/>
    <w:rsid w:val="00BE1589"/>
    <w:rsid w:val="00C21326"/>
    <w:rsid w:val="00C30B0C"/>
    <w:rsid w:val="00C571AE"/>
    <w:rsid w:val="00C7288F"/>
    <w:rsid w:val="00C86AD1"/>
    <w:rsid w:val="00C87C67"/>
    <w:rsid w:val="00C9525A"/>
    <w:rsid w:val="00C95320"/>
    <w:rsid w:val="00CB2F01"/>
    <w:rsid w:val="00CB74C2"/>
    <w:rsid w:val="00CC1AC6"/>
    <w:rsid w:val="00CC7CCB"/>
    <w:rsid w:val="00CD0E28"/>
    <w:rsid w:val="00CD13C9"/>
    <w:rsid w:val="00CF1510"/>
    <w:rsid w:val="00CF1880"/>
    <w:rsid w:val="00CF683F"/>
    <w:rsid w:val="00D11BDF"/>
    <w:rsid w:val="00D21652"/>
    <w:rsid w:val="00D306C7"/>
    <w:rsid w:val="00D3327F"/>
    <w:rsid w:val="00D47D50"/>
    <w:rsid w:val="00D60E53"/>
    <w:rsid w:val="00D61FB6"/>
    <w:rsid w:val="00D63489"/>
    <w:rsid w:val="00D664EB"/>
    <w:rsid w:val="00D6691B"/>
    <w:rsid w:val="00D7401C"/>
    <w:rsid w:val="00D86954"/>
    <w:rsid w:val="00DA12AE"/>
    <w:rsid w:val="00DA58D8"/>
    <w:rsid w:val="00DB04F0"/>
    <w:rsid w:val="00DB0806"/>
    <w:rsid w:val="00DB201C"/>
    <w:rsid w:val="00DC165E"/>
    <w:rsid w:val="00DD0722"/>
    <w:rsid w:val="00DD4D99"/>
    <w:rsid w:val="00DD5281"/>
    <w:rsid w:val="00DE0EE1"/>
    <w:rsid w:val="00E03BC5"/>
    <w:rsid w:val="00E14A37"/>
    <w:rsid w:val="00E34D2C"/>
    <w:rsid w:val="00E36A58"/>
    <w:rsid w:val="00E54C0A"/>
    <w:rsid w:val="00E76B64"/>
    <w:rsid w:val="00E863B7"/>
    <w:rsid w:val="00E951C2"/>
    <w:rsid w:val="00E95AAA"/>
    <w:rsid w:val="00EB44A7"/>
    <w:rsid w:val="00EC0EEB"/>
    <w:rsid w:val="00EC3FA0"/>
    <w:rsid w:val="00EC617C"/>
    <w:rsid w:val="00ED013B"/>
    <w:rsid w:val="00EF5684"/>
    <w:rsid w:val="00F02438"/>
    <w:rsid w:val="00F10D3B"/>
    <w:rsid w:val="00F10F89"/>
    <w:rsid w:val="00F36C76"/>
    <w:rsid w:val="00F4770E"/>
    <w:rsid w:val="00F65410"/>
    <w:rsid w:val="00F86723"/>
    <w:rsid w:val="00FA1F58"/>
    <w:rsid w:val="00FE4D17"/>
    <w:rsid w:val="00FE76FB"/>
    <w:rsid w:val="00FF26BD"/>
    <w:rsid w:val="00FF52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37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1"/>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5"/>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5"/>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5"/>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unhideWhenUsed/>
    <w:rsid w:val="003F227C"/>
    <w:pPr>
      <w:spacing w:line="240" w:lineRule="auto"/>
    </w:pPr>
    <w:rPr>
      <w:sz w:val="20"/>
    </w:rPr>
  </w:style>
  <w:style w:type="character" w:customStyle="1" w:styleId="CommentTextChar">
    <w:name w:val="Comment Text Char"/>
    <w:basedOn w:val="DefaultParagraphFont"/>
    <w:link w:val="CommentText"/>
    <w:uiPriority w:val="99"/>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7"/>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customStyle="1" w:styleId="Bullet">
    <w:name w:val="Bullet"/>
    <w:basedOn w:val="Normal"/>
    <w:qFormat/>
    <w:rsid w:val="00667077"/>
    <w:pPr>
      <w:numPr>
        <w:numId w:val="8"/>
      </w:numPr>
      <w:spacing w:after="200" w:line="276" w:lineRule="auto"/>
      <w:jc w:val="left"/>
    </w:pPr>
    <w:rPr>
      <w:rFonts w:asciiTheme="minorHAnsi" w:eastAsiaTheme="minorHAnsi" w:hAnsiTheme="minorHAnsi" w:cstheme="minorBidi"/>
      <w:color w:val="auto"/>
      <w:sz w:val="22"/>
      <w:szCs w:val="22"/>
      <w:lang w:eastAsia="en-US"/>
    </w:rPr>
  </w:style>
  <w:style w:type="paragraph" w:customStyle="1" w:styleId="Dash">
    <w:name w:val="Dash"/>
    <w:basedOn w:val="Normal"/>
    <w:link w:val="DashChar"/>
    <w:rsid w:val="00667077"/>
    <w:pPr>
      <w:numPr>
        <w:ilvl w:val="1"/>
        <w:numId w:val="8"/>
      </w:numPr>
      <w:spacing w:after="200" w:line="276" w:lineRule="auto"/>
      <w:jc w:val="left"/>
    </w:pPr>
    <w:rPr>
      <w:rFonts w:asciiTheme="minorHAnsi" w:eastAsiaTheme="minorHAnsi" w:hAnsiTheme="minorHAnsi" w:cstheme="minorBidi"/>
      <w:color w:val="auto"/>
      <w:sz w:val="22"/>
      <w:szCs w:val="22"/>
      <w:lang w:eastAsia="en-US"/>
    </w:rPr>
  </w:style>
  <w:style w:type="paragraph" w:customStyle="1" w:styleId="DoubleDot">
    <w:name w:val="Double Dot"/>
    <w:basedOn w:val="Normal"/>
    <w:link w:val="DoubleDotChar"/>
    <w:rsid w:val="00667077"/>
    <w:pPr>
      <w:numPr>
        <w:ilvl w:val="2"/>
        <w:numId w:val="8"/>
      </w:numPr>
      <w:spacing w:after="200" w:line="276" w:lineRule="auto"/>
      <w:jc w:val="left"/>
    </w:pPr>
    <w:rPr>
      <w:rFonts w:asciiTheme="minorHAnsi" w:eastAsiaTheme="minorHAnsi" w:hAnsiTheme="minorHAnsi" w:cstheme="minorBidi"/>
      <w:color w:val="auto"/>
      <w:sz w:val="22"/>
      <w:szCs w:val="22"/>
      <w:lang w:eastAsia="en-US"/>
    </w:rPr>
  </w:style>
  <w:style w:type="character" w:customStyle="1" w:styleId="DoubleDotChar">
    <w:name w:val="Double Dot Char"/>
    <w:basedOn w:val="DefaultParagraphFont"/>
    <w:link w:val="DoubleDot"/>
    <w:rsid w:val="00667077"/>
  </w:style>
  <w:style w:type="character" w:customStyle="1" w:styleId="DashChar">
    <w:name w:val="Dash Char"/>
    <w:basedOn w:val="DefaultParagraphFont"/>
    <w:link w:val="Dash"/>
    <w:rsid w:val="00667077"/>
  </w:style>
  <w:style w:type="paragraph" w:customStyle="1" w:styleId="Default">
    <w:name w:val="Default"/>
    <w:rsid w:val="00667077"/>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637DE9"/>
    <w:pPr>
      <w:ind w:left="720"/>
      <w:contextualSpacing/>
    </w:pPr>
  </w:style>
  <w:style w:type="character" w:styleId="Hyperlink">
    <w:name w:val="Hyperlink"/>
    <w:basedOn w:val="DefaultParagraphFont"/>
    <w:uiPriority w:val="99"/>
    <w:unhideWhenUsed/>
    <w:rsid w:val="00BE1589"/>
    <w:rPr>
      <w:color w:val="0000FF" w:themeColor="hyperlink"/>
      <w:u w:val="single"/>
    </w:rPr>
  </w:style>
  <w:style w:type="character" w:styleId="SubtleReference">
    <w:name w:val="Subtle Reference"/>
    <w:basedOn w:val="DefaultParagraphFont"/>
    <w:uiPriority w:val="31"/>
    <w:qFormat/>
    <w:rsid w:val="000C2AD1"/>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1"/>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5"/>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5"/>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5"/>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unhideWhenUsed/>
    <w:rsid w:val="003F227C"/>
    <w:pPr>
      <w:spacing w:line="240" w:lineRule="auto"/>
    </w:pPr>
    <w:rPr>
      <w:sz w:val="20"/>
    </w:rPr>
  </w:style>
  <w:style w:type="character" w:customStyle="1" w:styleId="CommentTextChar">
    <w:name w:val="Comment Text Char"/>
    <w:basedOn w:val="DefaultParagraphFont"/>
    <w:link w:val="CommentText"/>
    <w:uiPriority w:val="99"/>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7"/>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customStyle="1" w:styleId="Bullet">
    <w:name w:val="Bullet"/>
    <w:basedOn w:val="Normal"/>
    <w:qFormat/>
    <w:rsid w:val="00667077"/>
    <w:pPr>
      <w:numPr>
        <w:numId w:val="8"/>
      </w:numPr>
      <w:spacing w:after="200" w:line="276" w:lineRule="auto"/>
      <w:jc w:val="left"/>
    </w:pPr>
    <w:rPr>
      <w:rFonts w:asciiTheme="minorHAnsi" w:eastAsiaTheme="minorHAnsi" w:hAnsiTheme="minorHAnsi" w:cstheme="minorBidi"/>
      <w:color w:val="auto"/>
      <w:sz w:val="22"/>
      <w:szCs w:val="22"/>
      <w:lang w:eastAsia="en-US"/>
    </w:rPr>
  </w:style>
  <w:style w:type="paragraph" w:customStyle="1" w:styleId="Dash">
    <w:name w:val="Dash"/>
    <w:basedOn w:val="Normal"/>
    <w:link w:val="DashChar"/>
    <w:rsid w:val="00667077"/>
    <w:pPr>
      <w:numPr>
        <w:ilvl w:val="1"/>
        <w:numId w:val="8"/>
      </w:numPr>
      <w:spacing w:after="200" w:line="276" w:lineRule="auto"/>
      <w:jc w:val="left"/>
    </w:pPr>
    <w:rPr>
      <w:rFonts w:asciiTheme="minorHAnsi" w:eastAsiaTheme="minorHAnsi" w:hAnsiTheme="minorHAnsi" w:cstheme="minorBidi"/>
      <w:color w:val="auto"/>
      <w:sz w:val="22"/>
      <w:szCs w:val="22"/>
      <w:lang w:eastAsia="en-US"/>
    </w:rPr>
  </w:style>
  <w:style w:type="paragraph" w:customStyle="1" w:styleId="DoubleDot">
    <w:name w:val="Double Dot"/>
    <w:basedOn w:val="Normal"/>
    <w:link w:val="DoubleDotChar"/>
    <w:rsid w:val="00667077"/>
    <w:pPr>
      <w:numPr>
        <w:ilvl w:val="2"/>
        <w:numId w:val="8"/>
      </w:numPr>
      <w:spacing w:after="200" w:line="276" w:lineRule="auto"/>
      <w:jc w:val="left"/>
    </w:pPr>
    <w:rPr>
      <w:rFonts w:asciiTheme="minorHAnsi" w:eastAsiaTheme="minorHAnsi" w:hAnsiTheme="minorHAnsi" w:cstheme="minorBidi"/>
      <w:color w:val="auto"/>
      <w:sz w:val="22"/>
      <w:szCs w:val="22"/>
      <w:lang w:eastAsia="en-US"/>
    </w:rPr>
  </w:style>
  <w:style w:type="character" w:customStyle="1" w:styleId="DoubleDotChar">
    <w:name w:val="Double Dot Char"/>
    <w:basedOn w:val="DefaultParagraphFont"/>
    <w:link w:val="DoubleDot"/>
    <w:rsid w:val="00667077"/>
  </w:style>
  <w:style w:type="character" w:customStyle="1" w:styleId="DashChar">
    <w:name w:val="Dash Char"/>
    <w:basedOn w:val="DefaultParagraphFont"/>
    <w:link w:val="Dash"/>
    <w:rsid w:val="00667077"/>
  </w:style>
  <w:style w:type="paragraph" w:customStyle="1" w:styleId="Default">
    <w:name w:val="Default"/>
    <w:rsid w:val="00667077"/>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637DE9"/>
    <w:pPr>
      <w:ind w:left="720"/>
      <w:contextualSpacing/>
    </w:pPr>
  </w:style>
  <w:style w:type="character" w:styleId="Hyperlink">
    <w:name w:val="Hyperlink"/>
    <w:basedOn w:val="DefaultParagraphFont"/>
    <w:uiPriority w:val="99"/>
    <w:unhideWhenUsed/>
    <w:rsid w:val="00BE1589"/>
    <w:rPr>
      <w:color w:val="0000FF" w:themeColor="hyperlink"/>
      <w:u w:val="single"/>
    </w:rPr>
  </w:style>
  <w:style w:type="character" w:styleId="SubtleReference">
    <w:name w:val="Subtle Reference"/>
    <w:basedOn w:val="DefaultParagraphFont"/>
    <w:uiPriority w:val="31"/>
    <w:qFormat/>
    <w:rsid w:val="000C2AD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0091">
      <w:bodyDiv w:val="1"/>
      <w:marLeft w:val="0"/>
      <w:marRight w:val="0"/>
      <w:marTop w:val="0"/>
      <w:marBottom w:val="0"/>
      <w:divBdr>
        <w:top w:val="none" w:sz="0" w:space="0" w:color="auto"/>
        <w:left w:val="none" w:sz="0" w:space="0" w:color="auto"/>
        <w:bottom w:val="none" w:sz="0" w:space="0" w:color="auto"/>
        <w:right w:val="none" w:sz="0" w:space="0" w:color="auto"/>
      </w:divBdr>
    </w:div>
    <w:div w:id="498622962">
      <w:bodyDiv w:val="1"/>
      <w:marLeft w:val="0"/>
      <w:marRight w:val="0"/>
      <w:marTop w:val="0"/>
      <w:marBottom w:val="0"/>
      <w:divBdr>
        <w:top w:val="none" w:sz="0" w:space="0" w:color="auto"/>
        <w:left w:val="none" w:sz="0" w:space="0" w:color="auto"/>
        <w:bottom w:val="none" w:sz="0" w:space="0" w:color="auto"/>
        <w:right w:val="none" w:sz="0" w:space="0" w:color="auto"/>
      </w:divBdr>
    </w:div>
    <w:div w:id="514734280">
      <w:bodyDiv w:val="1"/>
      <w:marLeft w:val="0"/>
      <w:marRight w:val="0"/>
      <w:marTop w:val="0"/>
      <w:marBottom w:val="0"/>
      <w:divBdr>
        <w:top w:val="none" w:sz="0" w:space="0" w:color="auto"/>
        <w:left w:val="none" w:sz="0" w:space="0" w:color="auto"/>
        <w:bottom w:val="none" w:sz="0" w:space="0" w:color="auto"/>
        <w:right w:val="none" w:sz="0" w:space="0" w:color="auto"/>
      </w:divBdr>
    </w:div>
    <w:div w:id="896210915">
      <w:bodyDiv w:val="1"/>
      <w:marLeft w:val="0"/>
      <w:marRight w:val="0"/>
      <w:marTop w:val="0"/>
      <w:marBottom w:val="0"/>
      <w:divBdr>
        <w:top w:val="none" w:sz="0" w:space="0" w:color="auto"/>
        <w:left w:val="none" w:sz="0" w:space="0" w:color="auto"/>
        <w:bottom w:val="none" w:sz="0" w:space="0" w:color="auto"/>
        <w:right w:val="none" w:sz="0" w:space="0" w:color="auto"/>
      </w:divBdr>
    </w:div>
    <w:div w:id="916745943">
      <w:bodyDiv w:val="1"/>
      <w:marLeft w:val="0"/>
      <w:marRight w:val="0"/>
      <w:marTop w:val="0"/>
      <w:marBottom w:val="0"/>
      <w:divBdr>
        <w:top w:val="none" w:sz="0" w:space="0" w:color="auto"/>
        <w:left w:val="none" w:sz="0" w:space="0" w:color="auto"/>
        <w:bottom w:val="none" w:sz="0" w:space="0" w:color="auto"/>
        <w:right w:val="none" w:sz="0" w:space="0" w:color="auto"/>
      </w:divBdr>
    </w:div>
    <w:div w:id="929043010">
      <w:bodyDiv w:val="1"/>
      <w:marLeft w:val="0"/>
      <w:marRight w:val="0"/>
      <w:marTop w:val="0"/>
      <w:marBottom w:val="0"/>
      <w:divBdr>
        <w:top w:val="none" w:sz="0" w:space="0" w:color="auto"/>
        <w:left w:val="none" w:sz="0" w:space="0" w:color="auto"/>
        <w:bottom w:val="none" w:sz="0" w:space="0" w:color="auto"/>
        <w:right w:val="none" w:sz="0" w:space="0" w:color="auto"/>
      </w:divBdr>
    </w:div>
    <w:div w:id="1191409397">
      <w:bodyDiv w:val="1"/>
      <w:marLeft w:val="0"/>
      <w:marRight w:val="0"/>
      <w:marTop w:val="0"/>
      <w:marBottom w:val="0"/>
      <w:divBdr>
        <w:top w:val="none" w:sz="0" w:space="0" w:color="auto"/>
        <w:left w:val="none" w:sz="0" w:space="0" w:color="auto"/>
        <w:bottom w:val="none" w:sz="0" w:space="0" w:color="auto"/>
        <w:right w:val="none" w:sz="0" w:space="0" w:color="auto"/>
      </w:divBdr>
    </w:div>
    <w:div w:id="1265114427">
      <w:bodyDiv w:val="1"/>
      <w:marLeft w:val="0"/>
      <w:marRight w:val="0"/>
      <w:marTop w:val="0"/>
      <w:marBottom w:val="0"/>
      <w:divBdr>
        <w:top w:val="none" w:sz="0" w:space="0" w:color="auto"/>
        <w:left w:val="none" w:sz="0" w:space="0" w:color="auto"/>
        <w:bottom w:val="none" w:sz="0" w:space="0" w:color="auto"/>
        <w:right w:val="none" w:sz="0" w:space="0" w:color="auto"/>
      </w:divBdr>
    </w:div>
    <w:div w:id="1355887480">
      <w:bodyDiv w:val="1"/>
      <w:marLeft w:val="0"/>
      <w:marRight w:val="0"/>
      <w:marTop w:val="0"/>
      <w:marBottom w:val="0"/>
      <w:divBdr>
        <w:top w:val="none" w:sz="0" w:space="0" w:color="auto"/>
        <w:left w:val="none" w:sz="0" w:space="0" w:color="auto"/>
        <w:bottom w:val="none" w:sz="0" w:space="0" w:color="auto"/>
        <w:right w:val="none" w:sz="0" w:space="0" w:color="auto"/>
      </w:divBdr>
    </w:div>
    <w:div w:id="1471243275">
      <w:bodyDiv w:val="1"/>
      <w:marLeft w:val="0"/>
      <w:marRight w:val="0"/>
      <w:marTop w:val="0"/>
      <w:marBottom w:val="0"/>
      <w:divBdr>
        <w:top w:val="none" w:sz="0" w:space="0" w:color="auto"/>
        <w:left w:val="none" w:sz="0" w:space="0" w:color="auto"/>
        <w:bottom w:val="none" w:sz="0" w:space="0" w:color="auto"/>
        <w:right w:val="none" w:sz="0" w:space="0" w:color="auto"/>
      </w:divBdr>
    </w:div>
    <w:div w:id="1540167976">
      <w:bodyDiv w:val="1"/>
      <w:marLeft w:val="0"/>
      <w:marRight w:val="0"/>
      <w:marTop w:val="0"/>
      <w:marBottom w:val="0"/>
      <w:divBdr>
        <w:top w:val="none" w:sz="0" w:space="0" w:color="auto"/>
        <w:left w:val="none" w:sz="0" w:space="0" w:color="auto"/>
        <w:bottom w:val="none" w:sz="0" w:space="0" w:color="auto"/>
        <w:right w:val="none" w:sz="0" w:space="0" w:color="auto"/>
      </w:divBdr>
    </w:div>
    <w:div w:id="1613585213">
      <w:bodyDiv w:val="1"/>
      <w:marLeft w:val="0"/>
      <w:marRight w:val="0"/>
      <w:marTop w:val="0"/>
      <w:marBottom w:val="0"/>
      <w:divBdr>
        <w:top w:val="none" w:sz="0" w:space="0" w:color="auto"/>
        <w:left w:val="none" w:sz="0" w:space="0" w:color="auto"/>
        <w:bottom w:val="none" w:sz="0" w:space="0" w:color="auto"/>
        <w:right w:val="none" w:sz="0" w:space="0" w:color="auto"/>
      </w:divBdr>
    </w:div>
    <w:div w:id="1727995322">
      <w:bodyDiv w:val="1"/>
      <w:marLeft w:val="0"/>
      <w:marRight w:val="0"/>
      <w:marTop w:val="0"/>
      <w:marBottom w:val="0"/>
      <w:divBdr>
        <w:top w:val="none" w:sz="0" w:space="0" w:color="auto"/>
        <w:left w:val="none" w:sz="0" w:space="0" w:color="auto"/>
        <w:bottom w:val="none" w:sz="0" w:space="0" w:color="auto"/>
        <w:right w:val="none" w:sz="0" w:space="0" w:color="auto"/>
      </w:divBdr>
    </w:div>
    <w:div w:id="2013677455">
      <w:bodyDiv w:val="1"/>
      <w:marLeft w:val="0"/>
      <w:marRight w:val="0"/>
      <w:marTop w:val="0"/>
      <w:marBottom w:val="0"/>
      <w:divBdr>
        <w:top w:val="none" w:sz="0" w:space="0" w:color="auto"/>
        <w:left w:val="none" w:sz="0" w:space="0" w:color="auto"/>
        <w:bottom w:val="none" w:sz="0" w:space="0" w:color="auto"/>
        <w:right w:val="none" w:sz="0" w:space="0" w:color="auto"/>
      </w:divBdr>
    </w:div>
    <w:div w:id="214618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housing.tas.gov.au/" TargetMode="External"/><Relationship Id="rId2" Type="http://schemas.openxmlformats.org/officeDocument/2006/relationships/customXml" Target="../customXml/item2.xml"/><Relationship Id="rId16" Type="http://schemas.openxmlformats.org/officeDocument/2006/relationships/hyperlink" Target="http://www.dhhs.tas.gov.au/housing/tasmanian_affordable_housing_strateg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planningreform.tas.gov.a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housing.tas.gov.au/" TargetMode="Externa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2084" ma:contentTypeDescription=" " ma:contentTypeScope="" ma:versionID="c14ea7248ea6a5e24f05c4897b99043f">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2018FG-64-46692</_dlc_DocId>
    <_dlc_DocIdUrl xmlns="e544e5cc-ab70-42e1-849e-1a0f8bb1f4ef">
      <Url>http://tweb/sites/fg/csrd/_layouts/15/DocIdRedir.aspx?ID=2018FG-64-46692</Url>
      <Description>2018FG-64-46692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2A98AC8F-427D-45AE-9F3B-396AC5CDE536}"/>
</file>

<file path=customXml/itemProps2.xml><?xml version="1.0" encoding="utf-8"?>
<ds:datastoreItem xmlns:ds="http://schemas.openxmlformats.org/officeDocument/2006/customXml" ds:itemID="{378723A5-716C-4E0A-BF70-361DD08E7631}">
  <ds:schemaRefs>
    <ds:schemaRef ds:uri="http://schemas.microsoft.com/sharepoint/v3"/>
    <ds:schemaRef ds:uri="e544e5cc-ab70-42e1-849e-1a0f8bb1f4ef"/>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sharepoint/v4"/>
    <ds:schemaRef ds:uri="http://purl.org/dc/dcmitype/"/>
  </ds:schemaRefs>
</ds:datastoreItem>
</file>

<file path=customXml/itemProps3.xml><?xml version="1.0" encoding="utf-8"?>
<ds:datastoreItem xmlns:ds="http://schemas.openxmlformats.org/officeDocument/2006/customXml" ds:itemID="{5936336E-FF0C-4E9A-81AC-3D838B752CFF}">
  <ds:schemaRefs>
    <ds:schemaRef ds:uri="http://schemas.microsoft.com/sharepoint/v3/contenttype/forms"/>
  </ds:schemaRefs>
</ds:datastoreItem>
</file>

<file path=customXml/itemProps4.xml><?xml version="1.0" encoding="utf-8"?>
<ds:datastoreItem xmlns:ds="http://schemas.openxmlformats.org/officeDocument/2006/customXml" ds:itemID="{C5A0DC53-B484-4E50-BA7E-40EDCC540D20}"/>
</file>

<file path=customXml/itemProps5.xml><?xml version="1.0" encoding="utf-8"?>
<ds:datastoreItem xmlns:ds="http://schemas.openxmlformats.org/officeDocument/2006/customXml" ds:itemID="{E1B9E172-617A-4C99-B51C-EE256F026E05}">
  <ds:schemaRefs>
    <ds:schemaRef ds:uri="office.server.policy"/>
  </ds:schemaRefs>
</ds:datastoreItem>
</file>

<file path=customXml/itemProps6.xml><?xml version="1.0" encoding="utf-8"?>
<ds:datastoreItem xmlns:ds="http://schemas.openxmlformats.org/officeDocument/2006/customXml" ds:itemID="{13AB13DD-E1B1-4967-B9E6-7D9DDD1EE751}">
  <ds:schemaRefs>
    <ds:schemaRef ds:uri="http://schemas.openxmlformats.org/officeDocument/2006/bibliography"/>
  </ds:schemaRefs>
</ds:datastoreItem>
</file>

<file path=customXml/itemProps7.xml><?xml version="1.0" encoding="utf-8"?>
<ds:datastoreItem xmlns:ds="http://schemas.openxmlformats.org/officeDocument/2006/customXml" ds:itemID="{8F9CF1DA-B74C-474A-8DFB-F7F368658512}"/>
</file>

<file path=docProps/app.xml><?xml version="1.0" encoding="utf-8"?>
<Properties xmlns="http://schemas.openxmlformats.org/officeDocument/2006/extended-properties" xmlns:vt="http://schemas.openxmlformats.org/officeDocument/2006/docPropsVTypes">
  <Template>71C11F39.dotm</Template>
  <TotalTime>0</TotalTime>
  <Pages>12</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21896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Alyson</dc:creator>
  <cp:lastModifiedBy>jistone</cp:lastModifiedBy>
  <cp:revision>3</cp:revision>
  <cp:lastPrinted>2018-06-05T06:41:00Z</cp:lastPrinted>
  <dcterms:created xsi:type="dcterms:W3CDTF">2018-06-08T06:35:00Z</dcterms:created>
  <dcterms:modified xsi:type="dcterms:W3CDTF">2018-06-08T06:35:00Z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ActiveItemUniqueId">
    <vt:lpwstr>{7e88d36d-a14e-430c-8978-033684d5b8bf}</vt:lpwstr>
  </property>
  <property fmtid="{D5CDD505-2E9C-101B-9397-08002B2CF9AE}" pid="4" name="RecordPoint_SubmissionCompleted">
    <vt:lpwstr>2018-06-19T12:06:13.1267672+10:00</vt:lpwstr>
  </property>
  <property fmtid="{D5CDD505-2E9C-101B-9397-08002B2CF9AE}" pid="5" name="TSYRecordClass">
    <vt:lpwstr>2;#TSY RA-8748 - Retain as national archives|243f2231-dbfc-4282-b24a-c9b768286bd0</vt:lpwstr>
  </property>
  <property fmtid="{D5CDD505-2E9C-101B-9397-08002B2CF9AE}" pid="6" name="RecordPoint_WorkflowType">
    <vt:lpwstr>ActiveSubmitStub</vt:lpwstr>
  </property>
  <property fmtid="{D5CDD505-2E9C-101B-9397-08002B2CF9AE}" pid="7" name="_dlc_DocIdItemGuid">
    <vt:lpwstr>7e88d36d-a14e-430c-8978-033684d5b8bf</vt:lpwstr>
  </property>
  <property fmtid="{D5CDD505-2E9C-101B-9397-08002B2CF9AE}" pid="8" name="RecordPoint_ActiveItemListId">
    <vt:lpwstr>{4435c73b-6585-4bc2-a76a-5d21b1a02e06}</vt:lpwstr>
  </property>
  <property fmtid="{D5CDD505-2E9C-101B-9397-08002B2CF9AE}" pid="9" name="RecordPoint_ActiveItemWebId">
    <vt:lpwstr>{a4589788-615f-4b8b-8296-7f9f6dfbab44}</vt:lpwstr>
  </property>
  <property fmtid="{D5CDD505-2E9C-101B-9397-08002B2CF9AE}" pid="10" name="RecordPoint_ActiveItemSiteId">
    <vt:lpwstr>{a3a280d1-e8f1-4ce7-94f0-aaa2322da0dd}</vt:lpwstr>
  </property>
  <property fmtid="{D5CDD505-2E9C-101B-9397-08002B2CF9AE}" pid="11" name="RecordPoint_RecordNumberSubmitted">
    <vt:lpwstr>R0001755716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NewReviewCycle">
    <vt:lpwstr/>
  </property>
  <property fmtid="{D5CDD505-2E9C-101B-9397-08002B2CF9AE}" pid="16" name="strDeptOpUnit1">
    <vt:lpwstr/>
  </property>
  <property fmtid="{D5CDD505-2E9C-101B-9397-08002B2CF9AE}" pid="17" name="strContact1">
    <vt:lpwstr/>
  </property>
  <property fmtid="{D5CDD505-2E9C-101B-9397-08002B2CF9AE}" pid="18" name="strAreaCode1">
    <vt:lpwstr/>
  </property>
  <property fmtid="{D5CDD505-2E9C-101B-9397-08002B2CF9AE}" pid="19" name="strPhone1">
    <vt:lpwstr/>
  </property>
  <property fmtid="{D5CDD505-2E9C-101B-9397-08002B2CF9AE}" pid="20" name="strEmail1">
    <vt:lpwstr/>
  </property>
  <property fmtid="{D5CDD505-2E9C-101B-9397-08002B2CF9AE}" pid="21" name="strFile1">
    <vt:lpwstr/>
  </property>
  <property fmtid="{D5CDD505-2E9C-101B-9397-08002B2CF9AE}" pid="22" name="strWITS1">
    <vt:lpwstr/>
  </property>
  <property fmtid="{D5CDD505-2E9C-101B-9397-08002B2CF9AE}" pid="23" name="strDate1">
    <vt:lpwstr/>
  </property>
  <property fmtid="{D5CDD505-2E9C-101B-9397-08002B2CF9AE}" pid="24" name="strAttention1">
    <vt:lpwstr/>
  </property>
  <property fmtid="{D5CDD505-2E9C-101B-9397-08002B2CF9AE}" pid="25" name="strAttentionText1">
    <vt:lpwstr/>
  </property>
  <property fmtid="{D5CDD505-2E9C-101B-9397-08002B2CF9AE}" pid="26" name="strSubject1">
    <vt:lpwstr/>
  </property>
  <property fmtid="{D5CDD505-2E9C-101B-9397-08002B2CF9AE}" pid="27" name="strSubjectText1">
    <vt:lpwstr/>
  </property>
  <property fmtid="{D5CDD505-2E9C-101B-9397-08002B2CF9AE}" pid="28" name="strNameSign1">
    <vt:lpwstr/>
  </property>
  <property fmtid="{D5CDD505-2E9C-101B-9397-08002B2CF9AE}" pid="29" name="strTitleSign1">
    <vt:lpwstr/>
  </property>
  <property fmtid="{D5CDD505-2E9C-101B-9397-08002B2CF9AE}" pid="30" name="strName1">
    <vt:lpwstr/>
  </property>
  <property fmtid="{D5CDD505-2E9C-101B-9397-08002B2CF9AE}" pid="31" name="strOrg1">
    <vt:lpwstr/>
  </property>
  <property fmtid="{D5CDD505-2E9C-101B-9397-08002B2CF9AE}" pid="32" name="strOrgCheck1">
    <vt:lpwstr/>
  </property>
  <property fmtid="{D5CDD505-2E9C-101B-9397-08002B2CF9AE}" pid="33" name="strPosTitle1">
    <vt:lpwstr/>
  </property>
  <property fmtid="{D5CDD505-2E9C-101B-9397-08002B2CF9AE}" pid="34" name="strPosTitleCheck1">
    <vt:lpwstr/>
  </property>
  <property fmtid="{D5CDD505-2E9C-101B-9397-08002B2CF9AE}" pid="35" name="strAddress1">
    <vt:lpwstr/>
  </property>
  <property fmtid="{D5CDD505-2E9C-101B-9397-08002B2CF9AE}" pid="36" name="strSuburb1">
    <vt:lpwstr/>
  </property>
  <property fmtid="{D5CDD505-2E9C-101B-9397-08002B2CF9AE}" pid="37" name="strState1">
    <vt:lpwstr/>
  </property>
  <property fmtid="{D5CDD505-2E9C-101B-9397-08002B2CF9AE}" pid="38" name="strPostcode1">
    <vt:lpwstr/>
  </property>
  <property fmtid="{D5CDD505-2E9C-101B-9397-08002B2CF9AE}" pid="39" name="strReturnAddress1">
    <vt:lpwstr/>
  </property>
  <property fmtid="{D5CDD505-2E9C-101B-9397-08002B2CF9AE}" pid="40" name="strRACheck1">
    <vt:lpwstr/>
  </property>
  <property fmtid="{D5CDD505-2E9C-101B-9397-08002B2CF9AE}" pid="41" name="strAttentionCheck1">
    <vt:lpwstr/>
  </property>
  <property fmtid="{D5CDD505-2E9C-101B-9397-08002B2CF9AE}" pid="42" name="strSubjectCheck1">
    <vt:lpwstr/>
  </property>
  <property fmtid="{D5CDD505-2E9C-101B-9397-08002B2CF9AE}" pid="43" name="strRAStreet1">
    <vt:lpwstr/>
  </property>
  <property fmtid="{D5CDD505-2E9C-101B-9397-08002B2CF9AE}" pid="44" name="strRASuburb1">
    <vt:lpwstr/>
  </property>
  <property fmtid="{D5CDD505-2E9C-101B-9397-08002B2CF9AE}" pid="45" name="strRAState1">
    <vt:lpwstr/>
  </property>
  <property fmtid="{D5CDD505-2E9C-101B-9397-08002B2CF9AE}" pid="46" name="strRAPostcode1">
    <vt:lpwstr/>
  </property>
  <property fmtid="{D5CDD505-2E9C-101B-9397-08002B2CF9AE}" pid="47" name="strDear1">
    <vt:lpwstr/>
  </property>
  <property fmtid="{D5CDD505-2E9C-101B-9397-08002B2CF9AE}" pid="48" name="strDearCheck1">
    <vt:lpwstr/>
  </property>
  <property fmtid="{D5CDD505-2E9C-101B-9397-08002B2CF9AE}" pid="49" name="strYoursSincerely1">
    <vt:lpwstr/>
  </property>
  <property fmtid="{D5CDD505-2E9C-101B-9397-08002B2CF9AE}" pid="50" name="strEncCheck1">
    <vt:lpwstr/>
  </property>
  <property fmtid="{D5CDD505-2E9C-101B-9397-08002B2CF9AE}" pid="51" name="strEnc1">
    <vt:lpwstr/>
  </property>
  <property fmtid="{D5CDD505-2E9C-101B-9397-08002B2CF9AE}" pid="52" name="strEncOld1">
    <vt:lpwstr/>
  </property>
  <property fmtid="{D5CDD505-2E9C-101B-9397-08002B2CF9AE}" pid="53" name="strCopyToCheck1">
    <vt:lpwstr/>
  </property>
  <property fmtid="{D5CDD505-2E9C-101B-9397-08002B2CF9AE}" pid="54" name="strCopyTo1">
    <vt:lpwstr/>
  </property>
  <property fmtid="{D5CDD505-2E9C-101B-9397-08002B2CF9AE}" pid="55" name="strCopyToOld1">
    <vt:lpwstr/>
  </property>
  <property fmtid="{D5CDD505-2E9C-101B-9397-08002B2CF9AE}" pid="56" name="PreparedBy1">
    <vt:lpwstr/>
  </property>
  <property fmtid="{D5CDD505-2E9C-101B-9397-08002B2CF9AE}" pid="57" name="PreparedPositionTitle1">
    <vt:lpwstr/>
  </property>
  <property fmtid="{D5CDD505-2E9C-101B-9397-08002B2CF9AE}" pid="58" name="PreparedPhone1">
    <vt:lpwstr/>
  </property>
  <property fmtid="{D5CDD505-2E9C-101B-9397-08002B2CF9AE}" pid="59" name="PreparedDate1">
    <vt:lpwstr/>
  </property>
  <property fmtid="{D5CDD505-2E9C-101B-9397-08002B2CF9AE}" pid="60" name="Through1">
    <vt:lpwstr/>
  </property>
  <property fmtid="{D5CDD505-2E9C-101B-9397-08002B2CF9AE}" pid="61" name="ThroughPositionTitle1">
    <vt:lpwstr/>
  </property>
  <property fmtid="{D5CDD505-2E9C-101B-9397-08002B2CF9AE}" pid="62" name="ThroughPhone1">
    <vt:lpwstr/>
  </property>
  <property fmtid="{D5CDD505-2E9C-101B-9397-08002B2CF9AE}" pid="63" name="ThroughDate1">
    <vt:lpwstr/>
  </property>
  <property fmtid="{D5CDD505-2E9C-101B-9397-08002B2CF9AE}" pid="64" name="Through21">
    <vt:lpwstr/>
  </property>
  <property fmtid="{D5CDD505-2E9C-101B-9397-08002B2CF9AE}" pid="65" name="Through2PositionTitle1">
    <vt:lpwstr/>
  </property>
  <property fmtid="{D5CDD505-2E9C-101B-9397-08002B2CF9AE}" pid="66" name="Through2Phone1">
    <vt:lpwstr/>
  </property>
  <property fmtid="{D5CDD505-2E9C-101B-9397-08002B2CF9AE}" pid="67" name="Through2Date1">
    <vt:lpwstr/>
  </property>
  <property fmtid="{D5CDD505-2E9C-101B-9397-08002B2CF9AE}" pid="68" name="ClearedBy1">
    <vt:lpwstr/>
  </property>
  <property fmtid="{D5CDD505-2E9C-101B-9397-08002B2CF9AE}" pid="69" name="ClearedPositionTitle1">
    <vt:lpwstr/>
  </property>
  <property fmtid="{D5CDD505-2E9C-101B-9397-08002B2CF9AE}" pid="70" name="ClearedPhone1">
    <vt:lpwstr/>
  </property>
  <property fmtid="{D5CDD505-2E9C-101B-9397-08002B2CF9AE}" pid="71" name="ClearedDate1">
    <vt:lpwstr/>
  </property>
  <property fmtid="{D5CDD505-2E9C-101B-9397-08002B2CF9AE}" pid="72" name="_AdHocReviewCycleID">
    <vt:i4>858127457</vt:i4>
  </property>
  <property fmtid="{D5CDD505-2E9C-101B-9397-08002B2CF9AE}" pid="73" name="_EmailSubject">
    <vt:lpwstr>Publishing of NHHA [DLM=For-Official-Use-Only]</vt:lpwstr>
  </property>
  <property fmtid="{D5CDD505-2E9C-101B-9397-08002B2CF9AE}" pid="74" name="_AuthorEmail">
    <vt:lpwstr>Helen.Sykes@treasury.gov.au</vt:lpwstr>
  </property>
  <property fmtid="{D5CDD505-2E9C-101B-9397-08002B2CF9AE}" pid="75" name="_AuthorEmailDisplayName">
    <vt:lpwstr>Sykes, Helen</vt:lpwstr>
  </property>
</Properties>
</file>