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EEF2C" w14:textId="77777777" w:rsidR="00236BC5" w:rsidRPr="00167119" w:rsidRDefault="003E00B6" w:rsidP="003E00B6">
      <w:pPr>
        <w:pStyle w:val="Heading9"/>
      </w:pPr>
      <w:r w:rsidRPr="00167119">
        <w:t xml:space="preserve">Schedule </w:t>
      </w:r>
      <w:r w:rsidR="00712668" w:rsidRPr="00167119">
        <w:t>E4</w:t>
      </w:r>
    </w:p>
    <w:p w14:paraId="5A9A2CB2" w14:textId="77777777" w:rsidR="003E00B6" w:rsidRPr="00167119" w:rsidRDefault="003E00B6" w:rsidP="003E00B6">
      <w:pPr>
        <w:pStyle w:val="Heading9"/>
      </w:pPr>
    </w:p>
    <w:p w14:paraId="67B18DF7" w14:textId="77777777" w:rsidR="003E00B6" w:rsidRPr="00167119" w:rsidRDefault="00DD75FD" w:rsidP="003E00B6">
      <w:pPr>
        <w:pStyle w:val="Title"/>
      </w:pPr>
      <w:r w:rsidRPr="00167119">
        <w:t>Western Australia</w:t>
      </w:r>
    </w:p>
    <w:p w14:paraId="21A02CC0" w14:textId="77777777" w:rsidR="003E00B6" w:rsidRPr="00167119" w:rsidRDefault="003E00B6" w:rsidP="003E00B6">
      <w:pPr>
        <w:pStyle w:val="Subtitle"/>
      </w:pPr>
      <w:r w:rsidRPr="00167119">
        <w:t>National housing and homelessness agreement</w:t>
      </w:r>
    </w:p>
    <w:p w14:paraId="18E18A6F" w14:textId="77777777" w:rsidR="003E00B6" w:rsidRPr="00167119" w:rsidRDefault="003E00B6" w:rsidP="003E00B6">
      <w:pPr>
        <w:pStyle w:val="Heading1"/>
        <w:spacing w:before="240"/>
      </w:pPr>
      <w:r w:rsidRPr="00167119">
        <w:t>Preliminaries</w:t>
      </w:r>
    </w:p>
    <w:p w14:paraId="1F887F25" w14:textId="77777777" w:rsidR="00730D95" w:rsidRPr="00167119" w:rsidRDefault="003E00B6" w:rsidP="00876D4F">
      <w:pPr>
        <w:pStyle w:val="OutlineNumbered1"/>
      </w:pPr>
      <w:bookmarkStart w:id="0" w:name="PART_2:_FORMALITIES"/>
      <w:bookmarkStart w:id="1" w:name="PART_3:_FINANCIAL_ARRANGEMENTS"/>
      <w:bookmarkStart w:id="2" w:name="PART_1:_PRELIMINARIES"/>
      <w:bookmarkEnd w:id="0"/>
      <w:bookmarkEnd w:id="1"/>
      <w:bookmarkEnd w:id="2"/>
      <w:r w:rsidRPr="00167119">
        <w:t xml:space="preserve">This Schedule is an agreement that is a supplementary housing agreement for the purposes of section </w:t>
      </w:r>
      <w:r w:rsidR="003F227C" w:rsidRPr="00167119">
        <w:t>15C</w:t>
      </w:r>
      <w:r w:rsidRPr="00167119">
        <w:t xml:space="preserve"> of the FFR Act. </w:t>
      </w:r>
    </w:p>
    <w:p w14:paraId="52827878" w14:textId="77777777" w:rsidR="00D97670" w:rsidRPr="00167119" w:rsidRDefault="00D97670" w:rsidP="00D97670">
      <w:pPr>
        <w:pStyle w:val="OutlineNumbered1"/>
      </w:pPr>
      <w:r w:rsidRPr="00167119">
        <w:t xml:space="preserve">This Schedule will commence as soon as the Commonwealth and Western Australia sign this and the Agreement. </w:t>
      </w:r>
    </w:p>
    <w:p w14:paraId="72547F1D" w14:textId="77777777" w:rsidR="00D97670" w:rsidRPr="00167119" w:rsidRDefault="00D97670" w:rsidP="00D97670">
      <w:pPr>
        <w:pStyle w:val="OutlineNumbered1"/>
      </w:pPr>
      <w:r w:rsidRPr="00167119">
        <w:t>Unless terminated earlier or extended as agreed in writing by the Parties, this Schedule will:</w:t>
      </w:r>
    </w:p>
    <w:p w14:paraId="2E9D6E7A" w14:textId="77777777" w:rsidR="00D97670" w:rsidRPr="00167119" w:rsidRDefault="00D97670" w:rsidP="00C02410">
      <w:pPr>
        <w:pStyle w:val="OutlineNumbered2"/>
        <w:numPr>
          <w:ilvl w:val="1"/>
          <w:numId w:val="12"/>
        </w:numPr>
      </w:pPr>
      <w:r w:rsidRPr="00167119">
        <w:t>expire no later than 30 June 2023; and</w:t>
      </w:r>
    </w:p>
    <w:p w14:paraId="68A40A38" w14:textId="77777777" w:rsidR="00D97670" w:rsidRPr="00167119" w:rsidRDefault="00D97670" w:rsidP="00C02410">
      <w:pPr>
        <w:pStyle w:val="OutlineNumbered2"/>
        <w:numPr>
          <w:ilvl w:val="1"/>
          <w:numId w:val="12"/>
        </w:numPr>
      </w:pPr>
      <w:r w:rsidRPr="00167119">
        <w:t>be replaced for further terms of up to five years by the written agreement of the Parties.</w:t>
      </w:r>
    </w:p>
    <w:p w14:paraId="7829069E" w14:textId="77777777" w:rsidR="00D97670" w:rsidRPr="00167119" w:rsidRDefault="00D97670" w:rsidP="00D97670">
      <w:pPr>
        <w:pStyle w:val="OutlineNumbered1"/>
      </w:pPr>
      <w:r w:rsidRPr="00167119">
        <w:t>A Party to this Schedule may terminate their participation in the Agreement at any time by giving 12 months’ notice of intention to do so, in writing, to the other Party.</w:t>
      </w:r>
    </w:p>
    <w:p w14:paraId="58EFDA67" w14:textId="77777777" w:rsidR="00D97670" w:rsidRPr="00167119" w:rsidRDefault="00D97670" w:rsidP="00D97670">
      <w:pPr>
        <w:pStyle w:val="OutlineNumbered1"/>
      </w:pPr>
      <w:r w:rsidRPr="00167119">
        <w:t xml:space="preserve">This Schedule may be amended at any time by agreement in writing between the relevant Commonwealth and State portfolio ministers. </w:t>
      </w:r>
    </w:p>
    <w:p w14:paraId="049A76C4" w14:textId="77777777" w:rsidR="00680997" w:rsidRPr="00167119" w:rsidRDefault="00014A51" w:rsidP="0068264A">
      <w:pPr>
        <w:pStyle w:val="OutlineNumbered1"/>
      </w:pPr>
      <w:r w:rsidRPr="00167119">
        <w:t xml:space="preserve">The purpose of this Schedule is to </w:t>
      </w:r>
      <w:r w:rsidR="00680997" w:rsidRPr="00167119">
        <w:t>describe how Western Australia and the Commonwealth will work together to achieve the objectives of the Agreement.</w:t>
      </w:r>
    </w:p>
    <w:p w14:paraId="34CAEC69" w14:textId="77777777" w:rsidR="00687725" w:rsidRPr="00167119" w:rsidRDefault="00687725" w:rsidP="0068264A">
      <w:pPr>
        <w:pStyle w:val="OutlineNumbered1"/>
      </w:pPr>
      <w:r w:rsidRPr="00167119">
        <w:t>To enable payments to commence from 2018-19, Western Australia confirms that it satisfies the requirements of clause 17 of the Agreement as at 1 July 2018 and as set out in this Schedule. At the commencement of this Schedule, Western Australia notes that its housing and homelessness strategies are currently set out in various public documents which are referenced in Parts 2 and 3 of this Schedule. Western Australia will be reviewing and updating its housing and homelessness strategies by 2020.</w:t>
      </w:r>
    </w:p>
    <w:p w14:paraId="67DC3C41" w14:textId="77777777" w:rsidR="00500CE2" w:rsidRPr="00167119" w:rsidRDefault="00500CE2" w:rsidP="00500CE2">
      <w:pPr>
        <w:rPr>
          <w:rFonts w:eastAsiaTheme="minorHAnsi"/>
          <w:b/>
          <w:lang w:eastAsia="en-US"/>
        </w:rPr>
      </w:pPr>
      <w:r w:rsidRPr="00167119">
        <w:rPr>
          <w:rFonts w:eastAsiaTheme="minorHAnsi"/>
          <w:b/>
          <w:lang w:eastAsia="en-US"/>
        </w:rPr>
        <w:t>Funding under this Agreement</w:t>
      </w:r>
    </w:p>
    <w:p w14:paraId="070067BA" w14:textId="77777777" w:rsidR="00500CE2" w:rsidRPr="00167119" w:rsidRDefault="00500CE2" w:rsidP="00500CE2">
      <w:pPr>
        <w:pStyle w:val="OutlineNumbered1"/>
        <w:rPr>
          <w:rFonts w:eastAsiaTheme="minorHAnsi"/>
          <w:lang w:eastAsia="en-US"/>
        </w:rPr>
      </w:pPr>
      <w:r w:rsidRPr="00167119">
        <w:rPr>
          <w:rFonts w:eastAsiaTheme="minorHAnsi"/>
          <w:lang w:eastAsia="en-US"/>
        </w:rPr>
        <w:t xml:space="preserve">Commonwealth funding received by Western Australia under this Agreement in 2018-19 comprises approximately </w:t>
      </w:r>
      <w:r w:rsidR="00CB652C" w:rsidRPr="00167119">
        <w:rPr>
          <w:rFonts w:eastAsiaTheme="minorHAnsi"/>
          <w:lang w:eastAsia="en-US"/>
        </w:rPr>
        <w:t>22</w:t>
      </w:r>
      <w:r w:rsidR="00116F6E" w:rsidRPr="00167119">
        <w:rPr>
          <w:rFonts w:eastAsiaTheme="minorHAnsi"/>
          <w:lang w:eastAsia="en-US"/>
        </w:rPr>
        <w:t>.5</w:t>
      </w:r>
      <w:r w:rsidRPr="00167119">
        <w:rPr>
          <w:rFonts w:eastAsiaTheme="minorHAnsi"/>
          <w:lang w:eastAsia="en-US"/>
        </w:rPr>
        <w:t xml:space="preserve">% of Western Australia’s total expenditure on the delivery of </w:t>
      </w:r>
      <w:r w:rsidR="00CB652C" w:rsidRPr="00167119">
        <w:rPr>
          <w:rFonts w:eastAsiaTheme="minorHAnsi"/>
          <w:lang w:eastAsia="en-US"/>
        </w:rPr>
        <w:t xml:space="preserve">social </w:t>
      </w:r>
      <w:r w:rsidRPr="00167119">
        <w:rPr>
          <w:rFonts w:eastAsiaTheme="minorHAnsi"/>
          <w:lang w:eastAsia="en-US"/>
        </w:rPr>
        <w:t>housing and homelessness programs and services (this figure excludes the cost of services to remote communities).</w:t>
      </w:r>
    </w:p>
    <w:p w14:paraId="35980371" w14:textId="77777777" w:rsidR="00500CE2" w:rsidRPr="00167119" w:rsidRDefault="00500CE2" w:rsidP="00500CE2">
      <w:pPr>
        <w:pStyle w:val="OutlineNumbered1"/>
        <w:rPr>
          <w:rFonts w:eastAsiaTheme="minorHAnsi"/>
          <w:lang w:eastAsia="en-US"/>
        </w:rPr>
      </w:pPr>
      <w:r w:rsidRPr="00167119">
        <w:rPr>
          <w:rFonts w:eastAsiaTheme="minorHAnsi"/>
          <w:lang w:eastAsia="en-US"/>
        </w:rPr>
        <w:t>Commonwealth funding under this Agreement will be wholly directed towards financing the social housing and homelessness services systems.</w:t>
      </w:r>
    </w:p>
    <w:p w14:paraId="23C8DAB9" w14:textId="77777777" w:rsidR="00853B3E" w:rsidRPr="00167119" w:rsidRDefault="00640AC1" w:rsidP="00853B3E">
      <w:pPr>
        <w:pStyle w:val="OutlineNumbered1"/>
        <w:rPr>
          <w:rFonts w:eastAsiaTheme="minorHAnsi"/>
          <w:lang w:eastAsia="en-US"/>
        </w:rPr>
      </w:pPr>
      <w:r w:rsidRPr="00640AC1">
        <w:rPr>
          <w:rFonts w:eastAsiaTheme="minorHAnsi" w:cstheme="minorBidi"/>
          <w:szCs w:val="22"/>
          <w:lang w:eastAsia="en-US"/>
        </w:rPr>
        <w:lastRenderedPageBreak/>
        <w:t xml:space="preserve"> </w:t>
      </w:r>
      <w:r w:rsidRPr="005530A1">
        <w:rPr>
          <w:rFonts w:eastAsiaTheme="minorHAnsi" w:cstheme="minorBidi"/>
          <w:szCs w:val="22"/>
          <w:lang w:eastAsia="en-US"/>
        </w:rPr>
        <w:t xml:space="preserve">As outlined in clause 16 of the Agreement, </w:t>
      </w:r>
      <w:r>
        <w:rPr>
          <w:rFonts w:eastAsiaTheme="minorHAnsi" w:cstheme="minorBidi"/>
          <w:szCs w:val="22"/>
          <w:lang w:eastAsia="en-US"/>
        </w:rPr>
        <w:t>Western Australia</w:t>
      </w:r>
      <w:r w:rsidRPr="005530A1">
        <w:rPr>
          <w:rFonts w:eastAsiaTheme="minorHAnsi" w:cstheme="minorBidi"/>
          <w:szCs w:val="22"/>
          <w:lang w:eastAsia="en-US"/>
        </w:rPr>
        <w:t xml:space="preserve"> and the Commonwealth acknowledge that the aspirational outcomes of the Agreement are a shared responsibility and are influenced by policies, programs and initiatives funded outside of this Agreement.  In particular, welfare support, aged care, taxation, migration and planning and zoning policies have significant impacts on housing supply, housing utilisation levels and all to some degree on the level of homelessness and social housing demand.</w:t>
      </w:r>
    </w:p>
    <w:p w14:paraId="6B7BA86C" w14:textId="77777777" w:rsidR="00095FA6" w:rsidRPr="00167119" w:rsidRDefault="00095FA6" w:rsidP="00095FA6">
      <w:pPr>
        <w:pStyle w:val="OutlineNumbered1"/>
        <w:numPr>
          <w:ilvl w:val="0"/>
          <w:numId w:val="0"/>
        </w:numPr>
        <w:rPr>
          <w:rFonts w:eastAsiaTheme="minorHAnsi"/>
          <w:lang w:eastAsia="en-US"/>
        </w:rPr>
      </w:pPr>
    </w:p>
    <w:p w14:paraId="01F92070" w14:textId="77777777" w:rsidR="001B6645" w:rsidRPr="00167119" w:rsidRDefault="001B6645" w:rsidP="0068264A">
      <w:pPr>
        <w:pStyle w:val="OutlineNumbered1"/>
        <w:numPr>
          <w:ilvl w:val="0"/>
          <w:numId w:val="0"/>
        </w:numPr>
        <w:ind w:left="543" w:hanging="543"/>
        <w:rPr>
          <w:rFonts w:ascii="Consolas" w:hAnsi="Consolas" w:cs="Consolas"/>
          <w:color w:val="1F497D" w:themeColor="text2"/>
          <w:sz w:val="32"/>
          <w:szCs w:val="32"/>
        </w:rPr>
      </w:pPr>
      <w:r w:rsidRPr="00167119">
        <w:rPr>
          <w:rFonts w:ascii="Consolas" w:hAnsi="Consolas" w:cs="Consolas"/>
          <w:color w:val="1F497D" w:themeColor="text2"/>
          <w:sz w:val="32"/>
          <w:szCs w:val="32"/>
        </w:rPr>
        <w:t>P</w:t>
      </w:r>
      <w:r w:rsidR="001314A1" w:rsidRPr="00167119">
        <w:rPr>
          <w:rFonts w:ascii="Consolas" w:hAnsi="Consolas" w:cs="Consolas"/>
          <w:color w:val="1F497D" w:themeColor="text2"/>
          <w:sz w:val="32"/>
          <w:szCs w:val="32"/>
        </w:rPr>
        <w:t>ART</w:t>
      </w:r>
      <w:r w:rsidRPr="00167119">
        <w:rPr>
          <w:rFonts w:ascii="Consolas" w:hAnsi="Consolas" w:cs="Consolas"/>
          <w:color w:val="1F497D" w:themeColor="text2"/>
          <w:sz w:val="32"/>
          <w:szCs w:val="32"/>
        </w:rPr>
        <w:t xml:space="preserve"> 1 – </w:t>
      </w:r>
      <w:r w:rsidR="001314A1" w:rsidRPr="00167119">
        <w:rPr>
          <w:rFonts w:ascii="Consolas" w:hAnsi="Consolas" w:cs="Consolas"/>
          <w:color w:val="1F497D" w:themeColor="text2"/>
          <w:sz w:val="32"/>
          <w:szCs w:val="32"/>
        </w:rPr>
        <w:t>OVERVIEW</w:t>
      </w:r>
    </w:p>
    <w:p w14:paraId="4D5E1D10" w14:textId="77777777" w:rsidR="00825866" w:rsidRPr="00167119" w:rsidRDefault="00825866" w:rsidP="0068264A">
      <w:pPr>
        <w:pStyle w:val="OutlineNumbered1"/>
        <w:numPr>
          <w:ilvl w:val="0"/>
          <w:numId w:val="0"/>
        </w:numPr>
        <w:ind w:left="543" w:hanging="543"/>
        <w:rPr>
          <w:rFonts w:eastAsiaTheme="minorHAnsi"/>
          <w:b/>
          <w:color w:val="auto"/>
          <w:szCs w:val="23"/>
          <w:lang w:eastAsia="en-US"/>
        </w:rPr>
      </w:pPr>
      <w:r w:rsidRPr="00167119">
        <w:rPr>
          <w:rFonts w:eastAsiaTheme="minorHAnsi"/>
          <w:b/>
          <w:color w:val="auto"/>
          <w:szCs w:val="23"/>
          <w:lang w:eastAsia="en-US"/>
        </w:rPr>
        <w:t>Market Context</w:t>
      </w:r>
    </w:p>
    <w:p w14:paraId="2E8DC762" w14:textId="77777777" w:rsidR="00746CB6" w:rsidRPr="00167119" w:rsidRDefault="00E8237B" w:rsidP="0068264A">
      <w:pPr>
        <w:pStyle w:val="OutlineNumbered1"/>
        <w:rPr>
          <w:rFonts w:eastAsiaTheme="minorHAnsi"/>
          <w:lang w:eastAsia="en-US"/>
        </w:rPr>
      </w:pPr>
      <w:r w:rsidRPr="00167119">
        <w:rPr>
          <w:rFonts w:eastAsiaTheme="minorHAnsi"/>
          <w:lang w:eastAsia="en-US"/>
        </w:rPr>
        <w:t>At time of writing, Western Australia’s</w:t>
      </w:r>
      <w:r w:rsidR="00B132E9" w:rsidRPr="00167119">
        <w:rPr>
          <w:rFonts w:eastAsiaTheme="minorHAnsi"/>
          <w:lang w:eastAsia="en-US"/>
        </w:rPr>
        <w:t xml:space="preserve"> easing population growth </w:t>
      </w:r>
      <w:r w:rsidR="00E918F5" w:rsidRPr="00167119">
        <w:rPr>
          <w:rFonts w:eastAsiaTheme="minorHAnsi"/>
          <w:lang w:eastAsia="en-US"/>
        </w:rPr>
        <w:t xml:space="preserve">has </w:t>
      </w:r>
      <w:r w:rsidR="00B132E9" w:rsidRPr="00167119">
        <w:rPr>
          <w:rFonts w:eastAsiaTheme="minorHAnsi"/>
          <w:lang w:eastAsia="en-US"/>
        </w:rPr>
        <w:t>reduced pressure on the broader housing market,</w:t>
      </w:r>
      <w:r w:rsidR="00E918F5" w:rsidRPr="00167119">
        <w:rPr>
          <w:rFonts w:eastAsiaTheme="minorHAnsi"/>
          <w:lang w:eastAsia="en-US"/>
        </w:rPr>
        <w:t xml:space="preserve"> </w:t>
      </w:r>
      <w:r w:rsidR="00B132E9" w:rsidRPr="00167119">
        <w:rPr>
          <w:rFonts w:eastAsiaTheme="minorHAnsi"/>
          <w:lang w:eastAsia="en-US"/>
        </w:rPr>
        <w:t>however subdued economic conditions and</w:t>
      </w:r>
      <w:r w:rsidR="00E918F5" w:rsidRPr="00167119">
        <w:rPr>
          <w:rFonts w:eastAsiaTheme="minorHAnsi"/>
          <w:lang w:eastAsia="en-US"/>
        </w:rPr>
        <w:t xml:space="preserve"> </w:t>
      </w:r>
      <w:r w:rsidR="00B132E9" w:rsidRPr="00167119">
        <w:rPr>
          <w:rFonts w:eastAsiaTheme="minorHAnsi"/>
          <w:lang w:eastAsia="en-US"/>
        </w:rPr>
        <w:t>continued housing affordability pressures in the</w:t>
      </w:r>
      <w:r w:rsidR="00E918F5" w:rsidRPr="00167119">
        <w:rPr>
          <w:rFonts w:eastAsiaTheme="minorHAnsi"/>
          <w:lang w:eastAsia="en-US"/>
        </w:rPr>
        <w:t xml:space="preserve"> </w:t>
      </w:r>
      <w:r w:rsidR="00B132E9" w:rsidRPr="00167119">
        <w:rPr>
          <w:rFonts w:eastAsiaTheme="minorHAnsi"/>
          <w:lang w:eastAsia="en-US"/>
        </w:rPr>
        <w:t xml:space="preserve">lower </w:t>
      </w:r>
      <w:r w:rsidR="00970396" w:rsidRPr="00167119">
        <w:rPr>
          <w:rFonts w:eastAsiaTheme="minorHAnsi"/>
          <w:lang w:eastAsia="en-US"/>
        </w:rPr>
        <w:t>price</w:t>
      </w:r>
      <w:r w:rsidR="0039724B" w:rsidRPr="00167119">
        <w:rPr>
          <w:rFonts w:eastAsiaTheme="minorHAnsi"/>
          <w:lang w:eastAsia="en-US"/>
        </w:rPr>
        <w:t xml:space="preserve"> </w:t>
      </w:r>
      <w:r w:rsidR="00B132E9" w:rsidRPr="00167119">
        <w:rPr>
          <w:rFonts w:eastAsiaTheme="minorHAnsi"/>
          <w:lang w:eastAsia="en-US"/>
        </w:rPr>
        <w:t>quartiles has maintained, and in some cases</w:t>
      </w:r>
      <w:r w:rsidR="00E918F5" w:rsidRPr="00167119">
        <w:rPr>
          <w:rFonts w:eastAsiaTheme="minorHAnsi"/>
          <w:lang w:eastAsia="en-US"/>
        </w:rPr>
        <w:t xml:space="preserve"> </w:t>
      </w:r>
      <w:r w:rsidR="00B132E9" w:rsidRPr="00167119">
        <w:rPr>
          <w:rFonts w:eastAsiaTheme="minorHAnsi"/>
          <w:lang w:eastAsia="en-US"/>
        </w:rPr>
        <w:t>inc</w:t>
      </w:r>
      <w:r w:rsidR="00E918F5" w:rsidRPr="00167119">
        <w:rPr>
          <w:rFonts w:eastAsiaTheme="minorHAnsi"/>
          <w:lang w:eastAsia="en-US"/>
        </w:rPr>
        <w:t xml:space="preserve">reased, demand for assistance across the housing continuum. </w:t>
      </w:r>
      <w:r w:rsidR="00080102" w:rsidRPr="00167119">
        <w:rPr>
          <w:rFonts w:eastAsiaTheme="minorHAnsi"/>
          <w:lang w:eastAsia="en-US"/>
        </w:rPr>
        <w:t>This includes sustained demand and need</w:t>
      </w:r>
      <w:r w:rsidR="00CF2424" w:rsidRPr="00167119">
        <w:rPr>
          <w:rFonts w:eastAsiaTheme="minorHAnsi"/>
          <w:lang w:eastAsia="en-US"/>
        </w:rPr>
        <w:t xml:space="preserve"> </w:t>
      </w:r>
      <w:r w:rsidR="00E05FCC" w:rsidRPr="00167119">
        <w:rPr>
          <w:rFonts w:eastAsiaTheme="minorHAnsi"/>
          <w:lang w:eastAsia="en-US"/>
        </w:rPr>
        <w:t xml:space="preserve">for social housing, </w:t>
      </w:r>
      <w:r w:rsidR="00080102" w:rsidRPr="00167119">
        <w:rPr>
          <w:rFonts w:eastAsiaTheme="minorHAnsi"/>
          <w:lang w:eastAsia="en-US"/>
        </w:rPr>
        <w:t xml:space="preserve">including from people who also have health, disability or complex personal circumstances in addition to low </w:t>
      </w:r>
      <w:r w:rsidR="00E05FCC" w:rsidRPr="00167119">
        <w:rPr>
          <w:rFonts w:eastAsiaTheme="minorHAnsi"/>
          <w:lang w:eastAsia="en-US"/>
        </w:rPr>
        <w:t>incomes.</w:t>
      </w:r>
    </w:p>
    <w:p w14:paraId="1026B98B" w14:textId="77777777" w:rsidR="00E13F6A" w:rsidRPr="00167119" w:rsidRDefault="00E13F6A" w:rsidP="00E13F6A">
      <w:pPr>
        <w:pStyle w:val="OutlineNumbered1"/>
        <w:rPr>
          <w:rFonts w:eastAsiaTheme="minorHAnsi"/>
          <w:lang w:eastAsia="en-US"/>
        </w:rPr>
      </w:pPr>
      <w:r w:rsidRPr="00167119">
        <w:rPr>
          <w:rFonts w:eastAsiaTheme="minorHAnsi"/>
          <w:lang w:eastAsia="en-US"/>
        </w:rPr>
        <w:t>In contrast to the peak of the mining boom in 2013, most regional areas of Western Australia are now more affordable than Perth, with the exception of some South West regional centres. Significant falls in prices in the North West have improved affordability considerably.</w:t>
      </w:r>
    </w:p>
    <w:p w14:paraId="38A8D327" w14:textId="77777777" w:rsidR="0060552C" w:rsidRPr="00167119" w:rsidRDefault="00CF2424" w:rsidP="0060552C">
      <w:pPr>
        <w:pStyle w:val="OutlineNumbered1"/>
        <w:rPr>
          <w:rFonts w:eastAsiaTheme="minorHAnsi"/>
          <w:lang w:eastAsia="en-US"/>
        </w:rPr>
      </w:pPr>
      <w:r w:rsidRPr="00167119">
        <w:rPr>
          <w:rFonts w:eastAsiaTheme="minorHAnsi"/>
          <w:lang w:eastAsia="en-US"/>
        </w:rPr>
        <w:t>Perth is now</w:t>
      </w:r>
      <w:r w:rsidR="00AE62E9" w:rsidRPr="00167119">
        <w:rPr>
          <w:rFonts w:eastAsiaTheme="minorHAnsi"/>
          <w:lang w:eastAsia="en-US"/>
        </w:rPr>
        <w:t xml:space="preserve"> </w:t>
      </w:r>
      <w:r w:rsidR="00E13F6A" w:rsidRPr="00167119">
        <w:rPr>
          <w:rFonts w:eastAsiaTheme="minorHAnsi"/>
          <w:lang w:eastAsia="en-US"/>
        </w:rPr>
        <w:t xml:space="preserve">generally reported as being </w:t>
      </w:r>
      <w:r w:rsidR="00AE62E9" w:rsidRPr="00167119">
        <w:rPr>
          <w:rFonts w:eastAsiaTheme="minorHAnsi"/>
          <w:lang w:eastAsia="en-US"/>
        </w:rPr>
        <w:t>one of</w:t>
      </w:r>
      <w:r w:rsidRPr="00167119">
        <w:rPr>
          <w:rFonts w:eastAsiaTheme="minorHAnsi"/>
          <w:lang w:eastAsia="en-US"/>
        </w:rPr>
        <w:t xml:space="preserve"> </w:t>
      </w:r>
      <w:r w:rsidR="00AE62E9" w:rsidRPr="00167119">
        <w:rPr>
          <w:rFonts w:eastAsiaTheme="minorHAnsi"/>
          <w:lang w:eastAsia="en-US"/>
        </w:rPr>
        <w:t>the most affordable capital cities on</w:t>
      </w:r>
      <w:r w:rsidRPr="00167119">
        <w:rPr>
          <w:rFonts w:eastAsiaTheme="minorHAnsi"/>
          <w:lang w:eastAsia="en-US"/>
        </w:rPr>
        <w:t xml:space="preserve"> mainland Australia, due to lower property prices, low interest rates and relatively high household income. Despite this, Perth’s housing is still considered severely unaffordable</w:t>
      </w:r>
      <w:r w:rsidR="005732E0" w:rsidRPr="00167119">
        <w:rPr>
          <w:rFonts w:eastAsiaTheme="minorHAnsi"/>
          <w:lang w:eastAsia="en-US"/>
        </w:rPr>
        <w:t xml:space="preserve"> for people on low to moderate incomes</w:t>
      </w:r>
      <w:r w:rsidRPr="00167119">
        <w:rPr>
          <w:rFonts w:eastAsiaTheme="minorHAnsi"/>
          <w:lang w:eastAsia="en-US"/>
        </w:rPr>
        <w:t xml:space="preserve">. </w:t>
      </w:r>
    </w:p>
    <w:p w14:paraId="3FB947D9" w14:textId="77777777" w:rsidR="002069DB" w:rsidRPr="00167119" w:rsidRDefault="002069DB" w:rsidP="0060552C">
      <w:pPr>
        <w:pStyle w:val="OutlineNumbered1"/>
        <w:rPr>
          <w:rFonts w:eastAsiaTheme="minorHAnsi"/>
          <w:lang w:eastAsia="en-US"/>
        </w:rPr>
      </w:pPr>
      <w:r w:rsidRPr="00167119">
        <w:rPr>
          <w:rFonts w:eastAsiaTheme="minorHAnsi"/>
          <w:lang w:eastAsia="en-US"/>
        </w:rPr>
        <w:t>Within this market context, Western Australia is focussed on increasing the supply of affordable housing for people on low to moderate incomes.</w:t>
      </w:r>
    </w:p>
    <w:p w14:paraId="42063104" w14:textId="77777777" w:rsidR="00825866" w:rsidRPr="00167119" w:rsidRDefault="00F7169A" w:rsidP="0060552C">
      <w:pPr>
        <w:pStyle w:val="OutlineNumbered1"/>
        <w:numPr>
          <w:ilvl w:val="0"/>
          <w:numId w:val="0"/>
        </w:numPr>
        <w:rPr>
          <w:rFonts w:eastAsiaTheme="minorHAnsi"/>
          <w:b/>
          <w:lang w:eastAsia="en-US"/>
        </w:rPr>
      </w:pPr>
      <w:r w:rsidRPr="00167119">
        <w:rPr>
          <w:rFonts w:eastAsiaTheme="minorHAnsi"/>
          <w:b/>
          <w:lang w:eastAsia="en-US"/>
        </w:rPr>
        <w:t xml:space="preserve">Service </w:t>
      </w:r>
      <w:r w:rsidR="009D41D0" w:rsidRPr="00167119">
        <w:rPr>
          <w:rFonts w:eastAsiaTheme="minorHAnsi"/>
          <w:b/>
          <w:lang w:eastAsia="en-US"/>
        </w:rPr>
        <w:t>Provision</w:t>
      </w:r>
      <w:r w:rsidR="00825866" w:rsidRPr="00167119">
        <w:rPr>
          <w:rFonts w:eastAsiaTheme="minorHAnsi"/>
          <w:b/>
          <w:lang w:eastAsia="en-US"/>
        </w:rPr>
        <w:t xml:space="preserve"> Context</w:t>
      </w:r>
    </w:p>
    <w:p w14:paraId="0293307D" w14:textId="77777777" w:rsidR="001E03A0" w:rsidRPr="00167119" w:rsidRDefault="001E03A0" w:rsidP="0060552C">
      <w:pPr>
        <w:pStyle w:val="OutlineNumbered1"/>
        <w:rPr>
          <w:rFonts w:eastAsiaTheme="minorHAnsi"/>
          <w:lang w:eastAsia="en-US"/>
        </w:rPr>
      </w:pPr>
      <w:r w:rsidRPr="00167119">
        <w:rPr>
          <w:rFonts w:eastAsiaTheme="minorHAnsi"/>
          <w:lang w:eastAsia="en-US"/>
        </w:rPr>
        <w:t xml:space="preserve">The </w:t>
      </w:r>
      <w:r w:rsidR="00B17EA1" w:rsidRPr="00167119">
        <w:rPr>
          <w:rFonts w:eastAsiaTheme="minorHAnsi"/>
          <w:lang w:eastAsia="en-US"/>
        </w:rPr>
        <w:t xml:space="preserve">Western Australian Housing </w:t>
      </w:r>
      <w:r w:rsidRPr="00167119">
        <w:rPr>
          <w:rFonts w:eastAsiaTheme="minorHAnsi"/>
          <w:lang w:eastAsia="en-US"/>
        </w:rPr>
        <w:t>Authority</w:t>
      </w:r>
      <w:r w:rsidR="0068264A" w:rsidRPr="00167119">
        <w:rPr>
          <w:rFonts w:eastAsiaTheme="minorHAnsi"/>
          <w:lang w:eastAsia="en-US"/>
        </w:rPr>
        <w:t xml:space="preserve"> (the Housing Authority)</w:t>
      </w:r>
      <w:r w:rsidRPr="00167119">
        <w:rPr>
          <w:rFonts w:eastAsiaTheme="minorHAnsi"/>
          <w:lang w:eastAsia="en-US"/>
        </w:rPr>
        <w:t xml:space="preserve"> uses its </w:t>
      </w:r>
      <w:r w:rsidR="00B132E9" w:rsidRPr="00167119">
        <w:rPr>
          <w:rFonts w:eastAsiaTheme="minorHAnsi"/>
          <w:lang w:eastAsia="en-US"/>
        </w:rPr>
        <w:t xml:space="preserve">unique </w:t>
      </w:r>
      <w:r w:rsidRPr="00167119">
        <w:rPr>
          <w:rFonts w:eastAsiaTheme="minorHAnsi"/>
          <w:lang w:eastAsia="en-US"/>
        </w:rPr>
        <w:t>combination of functions and</w:t>
      </w:r>
      <w:r w:rsidR="00B17EA1" w:rsidRPr="00167119">
        <w:rPr>
          <w:rFonts w:eastAsiaTheme="minorHAnsi"/>
          <w:lang w:eastAsia="en-US"/>
        </w:rPr>
        <w:t xml:space="preserve"> </w:t>
      </w:r>
      <w:r w:rsidRPr="00167119">
        <w:rPr>
          <w:rFonts w:eastAsiaTheme="minorHAnsi"/>
          <w:lang w:eastAsia="en-US"/>
        </w:rPr>
        <w:t xml:space="preserve">powers </w:t>
      </w:r>
      <w:r w:rsidR="00F10C2F" w:rsidRPr="00167119">
        <w:rPr>
          <w:rFonts w:eastAsiaTheme="minorHAnsi"/>
          <w:lang w:eastAsia="en-US"/>
        </w:rPr>
        <w:t xml:space="preserve">under </w:t>
      </w:r>
      <w:r w:rsidRPr="00167119">
        <w:rPr>
          <w:rFonts w:eastAsiaTheme="minorHAnsi"/>
          <w:lang w:eastAsia="en-US"/>
        </w:rPr>
        <w:t xml:space="preserve">the </w:t>
      </w:r>
      <w:r w:rsidRPr="00167119">
        <w:rPr>
          <w:rFonts w:eastAsiaTheme="minorHAnsi"/>
          <w:i/>
          <w:lang w:eastAsia="en-US"/>
        </w:rPr>
        <w:t>Housing Act 1980</w:t>
      </w:r>
      <w:r w:rsidRPr="00167119">
        <w:rPr>
          <w:rFonts w:eastAsiaTheme="minorHAnsi"/>
          <w:lang w:eastAsia="en-US"/>
        </w:rPr>
        <w:t>, to</w:t>
      </w:r>
      <w:r w:rsidR="00B17EA1" w:rsidRPr="00167119">
        <w:rPr>
          <w:rFonts w:eastAsiaTheme="minorHAnsi"/>
          <w:lang w:eastAsia="en-US"/>
        </w:rPr>
        <w:t xml:space="preserve"> </w:t>
      </w:r>
      <w:r w:rsidRPr="00167119">
        <w:rPr>
          <w:rFonts w:eastAsiaTheme="minorHAnsi"/>
          <w:lang w:eastAsia="en-US"/>
        </w:rPr>
        <w:t>provide and facilitate a wide diversity of housing</w:t>
      </w:r>
      <w:r w:rsidR="00B17EA1" w:rsidRPr="00167119">
        <w:rPr>
          <w:rFonts w:eastAsiaTheme="minorHAnsi"/>
          <w:lang w:eastAsia="en-US"/>
        </w:rPr>
        <w:t xml:space="preserve"> </w:t>
      </w:r>
      <w:r w:rsidR="002D0176" w:rsidRPr="00167119">
        <w:rPr>
          <w:rFonts w:eastAsiaTheme="minorHAnsi"/>
          <w:lang w:eastAsia="en-US"/>
        </w:rPr>
        <w:t xml:space="preserve">opportunities </w:t>
      </w:r>
      <w:r w:rsidR="0039724B" w:rsidRPr="00167119">
        <w:rPr>
          <w:rFonts w:eastAsiaTheme="minorHAnsi"/>
          <w:lang w:eastAsia="en-US"/>
        </w:rPr>
        <w:t>across the housing continuum</w:t>
      </w:r>
      <w:r w:rsidR="00980186" w:rsidRPr="00167119">
        <w:rPr>
          <w:rFonts w:eastAsiaTheme="minorHAnsi"/>
          <w:lang w:eastAsia="en-US"/>
        </w:rPr>
        <w:t>,</w:t>
      </w:r>
      <w:r w:rsidR="0039724B" w:rsidRPr="00167119">
        <w:rPr>
          <w:rFonts w:eastAsiaTheme="minorHAnsi"/>
          <w:lang w:eastAsia="en-US"/>
        </w:rPr>
        <w:t xml:space="preserve"> </w:t>
      </w:r>
      <w:r w:rsidR="002D0176" w:rsidRPr="00167119">
        <w:rPr>
          <w:rFonts w:eastAsiaTheme="minorHAnsi"/>
          <w:lang w:eastAsia="en-US"/>
        </w:rPr>
        <w:t>including</w:t>
      </w:r>
      <w:r w:rsidRPr="00167119">
        <w:rPr>
          <w:rFonts w:eastAsiaTheme="minorHAnsi"/>
          <w:lang w:eastAsia="en-US"/>
        </w:rPr>
        <w:t>:</w:t>
      </w:r>
    </w:p>
    <w:p w14:paraId="63B7CA34" w14:textId="77777777" w:rsidR="00B17EA1" w:rsidRPr="00167119" w:rsidRDefault="00B17EA1" w:rsidP="00663236">
      <w:pPr>
        <w:pStyle w:val="ListParagraph"/>
        <w:numPr>
          <w:ilvl w:val="0"/>
          <w:numId w:val="4"/>
        </w:numPr>
        <w:rPr>
          <w:rFonts w:eastAsiaTheme="minorHAnsi" w:cstheme="minorBidi"/>
          <w:szCs w:val="22"/>
          <w:lang w:eastAsia="en-US"/>
        </w:rPr>
      </w:pPr>
      <w:r w:rsidRPr="00167119">
        <w:rPr>
          <w:rFonts w:eastAsiaTheme="minorHAnsi" w:cstheme="minorBidi"/>
          <w:szCs w:val="22"/>
          <w:lang w:eastAsia="en-US"/>
        </w:rPr>
        <w:t>M</w:t>
      </w:r>
      <w:r w:rsidR="002D0176" w:rsidRPr="00167119">
        <w:rPr>
          <w:rFonts w:eastAsiaTheme="minorHAnsi" w:cstheme="minorBidi"/>
          <w:szCs w:val="22"/>
          <w:lang w:eastAsia="en-US"/>
        </w:rPr>
        <w:t>anaging and overseeing</w:t>
      </w:r>
      <w:r w:rsidR="001E03A0" w:rsidRPr="00167119">
        <w:rPr>
          <w:rFonts w:eastAsiaTheme="minorHAnsi" w:cstheme="minorBidi"/>
          <w:szCs w:val="22"/>
          <w:lang w:eastAsia="en-US"/>
        </w:rPr>
        <w:t xml:space="preserve"> the social housing system</w:t>
      </w:r>
      <w:r w:rsidR="0068264A" w:rsidRPr="00167119">
        <w:rPr>
          <w:rFonts w:eastAsiaTheme="minorHAnsi" w:cstheme="minorBidi"/>
          <w:szCs w:val="22"/>
          <w:lang w:eastAsia="en-US"/>
        </w:rPr>
        <w:t>;</w:t>
      </w:r>
    </w:p>
    <w:p w14:paraId="1CD51FD6" w14:textId="77777777" w:rsidR="001E03A0" w:rsidRPr="00167119" w:rsidRDefault="00B17EA1" w:rsidP="00663236">
      <w:pPr>
        <w:pStyle w:val="ListParagraph"/>
        <w:numPr>
          <w:ilvl w:val="0"/>
          <w:numId w:val="4"/>
        </w:numPr>
        <w:rPr>
          <w:rFonts w:eastAsiaTheme="minorHAnsi" w:cstheme="minorBidi"/>
          <w:szCs w:val="22"/>
          <w:lang w:eastAsia="en-US"/>
        </w:rPr>
      </w:pPr>
      <w:r w:rsidRPr="00167119">
        <w:rPr>
          <w:rFonts w:eastAsiaTheme="minorHAnsi" w:cstheme="minorBidi"/>
          <w:szCs w:val="22"/>
          <w:lang w:eastAsia="en-US"/>
        </w:rPr>
        <w:t>D</w:t>
      </w:r>
      <w:r w:rsidR="002D0176" w:rsidRPr="00167119">
        <w:rPr>
          <w:rFonts w:eastAsiaTheme="minorHAnsi" w:cstheme="minorBidi"/>
          <w:szCs w:val="22"/>
          <w:lang w:eastAsia="en-US"/>
        </w:rPr>
        <w:t>elivering</w:t>
      </w:r>
      <w:r w:rsidR="001E03A0" w:rsidRPr="00167119">
        <w:rPr>
          <w:rFonts w:eastAsiaTheme="minorHAnsi" w:cstheme="minorBidi"/>
          <w:szCs w:val="22"/>
          <w:lang w:eastAsia="en-US"/>
        </w:rPr>
        <w:t xml:space="preserve"> special-purpose housing for people with</w:t>
      </w:r>
      <w:r w:rsidRPr="00167119">
        <w:rPr>
          <w:rFonts w:eastAsiaTheme="minorHAnsi" w:cstheme="minorBidi"/>
          <w:szCs w:val="22"/>
          <w:lang w:eastAsia="en-US"/>
        </w:rPr>
        <w:t xml:space="preserve"> </w:t>
      </w:r>
      <w:r w:rsidR="001E03A0" w:rsidRPr="00167119">
        <w:rPr>
          <w:rFonts w:eastAsiaTheme="minorHAnsi" w:cstheme="minorBidi"/>
          <w:szCs w:val="22"/>
          <w:lang w:eastAsia="en-US"/>
        </w:rPr>
        <w:t xml:space="preserve">specific needs and </w:t>
      </w:r>
      <w:r w:rsidR="00EE1D0E" w:rsidRPr="00167119">
        <w:rPr>
          <w:rFonts w:eastAsiaTheme="minorHAnsi" w:cstheme="minorBidi"/>
          <w:szCs w:val="22"/>
          <w:lang w:eastAsia="en-US"/>
        </w:rPr>
        <w:t xml:space="preserve">for </w:t>
      </w:r>
      <w:r w:rsidR="001E03A0" w:rsidRPr="00167119">
        <w:rPr>
          <w:rFonts w:eastAsiaTheme="minorHAnsi" w:cstheme="minorBidi"/>
          <w:szCs w:val="22"/>
          <w:lang w:eastAsia="en-US"/>
        </w:rPr>
        <w:t>regional key workers across</w:t>
      </w:r>
      <w:r w:rsidRPr="00167119">
        <w:rPr>
          <w:rFonts w:eastAsiaTheme="minorHAnsi" w:cstheme="minorBidi"/>
          <w:szCs w:val="22"/>
          <w:lang w:eastAsia="en-US"/>
        </w:rPr>
        <w:t xml:space="preserve"> </w:t>
      </w:r>
      <w:r w:rsidR="001E03A0" w:rsidRPr="00167119">
        <w:rPr>
          <w:rFonts w:eastAsiaTheme="minorHAnsi" w:cstheme="minorBidi"/>
          <w:szCs w:val="22"/>
          <w:lang w:eastAsia="en-US"/>
        </w:rPr>
        <w:t>Western Australia</w:t>
      </w:r>
      <w:r w:rsidR="0068264A" w:rsidRPr="00167119">
        <w:rPr>
          <w:rFonts w:eastAsiaTheme="minorHAnsi" w:cstheme="minorBidi"/>
          <w:szCs w:val="22"/>
          <w:lang w:eastAsia="en-US"/>
        </w:rPr>
        <w:t>;</w:t>
      </w:r>
    </w:p>
    <w:p w14:paraId="37331149" w14:textId="77777777" w:rsidR="00EE1D0E" w:rsidRPr="00167119" w:rsidRDefault="00B664AB" w:rsidP="00663236">
      <w:pPr>
        <w:pStyle w:val="ListParagraph"/>
        <w:numPr>
          <w:ilvl w:val="0"/>
          <w:numId w:val="4"/>
        </w:numPr>
        <w:rPr>
          <w:rFonts w:eastAsiaTheme="minorHAnsi" w:cstheme="minorBidi"/>
          <w:szCs w:val="22"/>
          <w:lang w:eastAsia="en-US"/>
        </w:rPr>
      </w:pPr>
      <w:r w:rsidRPr="00167119">
        <w:rPr>
          <w:rFonts w:ascii="Arial" w:eastAsiaTheme="minorHAnsi" w:hAnsi="Arial" w:cs="Arial"/>
          <w:szCs w:val="22"/>
          <w:lang w:eastAsia="en-US"/>
        </w:rPr>
        <w:t>D</w:t>
      </w:r>
      <w:r w:rsidR="002D0176" w:rsidRPr="00167119">
        <w:rPr>
          <w:rFonts w:eastAsiaTheme="minorHAnsi" w:cstheme="minorBidi"/>
          <w:szCs w:val="22"/>
          <w:lang w:eastAsia="en-US"/>
        </w:rPr>
        <w:t xml:space="preserve">eveloping land </w:t>
      </w:r>
      <w:r w:rsidR="001E03A0" w:rsidRPr="00167119">
        <w:rPr>
          <w:rFonts w:eastAsiaTheme="minorHAnsi" w:cstheme="minorBidi"/>
          <w:szCs w:val="22"/>
          <w:lang w:eastAsia="en-US"/>
        </w:rPr>
        <w:t>to</w:t>
      </w:r>
      <w:r w:rsidR="00B17EA1" w:rsidRPr="00167119">
        <w:rPr>
          <w:rFonts w:eastAsiaTheme="minorHAnsi" w:cstheme="minorBidi"/>
          <w:szCs w:val="22"/>
          <w:lang w:eastAsia="en-US"/>
        </w:rPr>
        <w:t xml:space="preserve"> </w:t>
      </w:r>
      <w:r w:rsidR="001E03A0" w:rsidRPr="00167119">
        <w:rPr>
          <w:rFonts w:eastAsiaTheme="minorHAnsi" w:cstheme="minorBidi"/>
          <w:szCs w:val="22"/>
          <w:lang w:eastAsia="en-US"/>
        </w:rPr>
        <w:t>boost the supply of affordable housing</w:t>
      </w:r>
      <w:r w:rsidR="0068264A" w:rsidRPr="00167119">
        <w:rPr>
          <w:rFonts w:eastAsiaTheme="minorHAnsi" w:cstheme="minorBidi"/>
          <w:szCs w:val="22"/>
          <w:lang w:eastAsia="en-US"/>
        </w:rPr>
        <w:t xml:space="preserve">; </w:t>
      </w:r>
    </w:p>
    <w:p w14:paraId="3D2AEE5E" w14:textId="77777777" w:rsidR="00464C57" w:rsidRPr="00167119" w:rsidRDefault="00464C57" w:rsidP="00663236">
      <w:pPr>
        <w:pStyle w:val="ListParagraph"/>
        <w:numPr>
          <w:ilvl w:val="0"/>
          <w:numId w:val="4"/>
        </w:numPr>
        <w:rPr>
          <w:rFonts w:eastAsiaTheme="minorHAnsi" w:cstheme="minorBidi"/>
          <w:szCs w:val="22"/>
          <w:lang w:eastAsia="en-US"/>
        </w:rPr>
      </w:pPr>
      <w:r w:rsidRPr="00167119">
        <w:rPr>
          <w:rFonts w:eastAsiaTheme="minorHAnsi" w:cstheme="minorBidi"/>
          <w:szCs w:val="22"/>
          <w:lang w:eastAsia="en-US"/>
        </w:rPr>
        <w:t>Urban development housing projects with private sector partners which aims for an appropriate mix of owner-occupied affordable housing, public housing and private residences; and</w:t>
      </w:r>
    </w:p>
    <w:p w14:paraId="3307659D" w14:textId="77777777" w:rsidR="001E03A0" w:rsidRPr="00167119" w:rsidRDefault="0059538F" w:rsidP="00663236">
      <w:pPr>
        <w:pStyle w:val="ListParagraph"/>
        <w:numPr>
          <w:ilvl w:val="0"/>
          <w:numId w:val="4"/>
        </w:numPr>
        <w:rPr>
          <w:rFonts w:eastAsiaTheme="minorHAnsi" w:cstheme="minorBidi"/>
          <w:szCs w:val="22"/>
          <w:lang w:eastAsia="en-US"/>
        </w:rPr>
      </w:pPr>
      <w:r w:rsidRPr="00167119">
        <w:rPr>
          <w:rFonts w:eastAsiaTheme="minorHAnsi" w:cstheme="minorBidi"/>
          <w:szCs w:val="22"/>
          <w:lang w:eastAsia="en-US"/>
        </w:rPr>
        <w:t>I</w:t>
      </w:r>
      <w:r w:rsidR="001E03A0" w:rsidRPr="00167119">
        <w:rPr>
          <w:rFonts w:eastAsiaTheme="minorHAnsi" w:cstheme="minorBidi"/>
          <w:szCs w:val="22"/>
          <w:lang w:eastAsia="en-US"/>
        </w:rPr>
        <w:t>n partnership with Keystart home loans, provid</w:t>
      </w:r>
      <w:r w:rsidR="00F10C2F" w:rsidRPr="00167119">
        <w:rPr>
          <w:rFonts w:eastAsiaTheme="minorHAnsi" w:cstheme="minorBidi"/>
          <w:szCs w:val="22"/>
          <w:lang w:eastAsia="en-US"/>
        </w:rPr>
        <w:t>ing</w:t>
      </w:r>
      <w:r w:rsidR="00B17EA1" w:rsidRPr="00167119">
        <w:rPr>
          <w:rFonts w:eastAsiaTheme="minorHAnsi" w:cstheme="minorBidi"/>
          <w:szCs w:val="22"/>
          <w:lang w:eastAsia="en-US"/>
        </w:rPr>
        <w:t xml:space="preserve"> </w:t>
      </w:r>
      <w:r w:rsidR="001E03A0" w:rsidRPr="00167119">
        <w:rPr>
          <w:rFonts w:eastAsiaTheme="minorHAnsi" w:cstheme="minorBidi"/>
          <w:szCs w:val="22"/>
          <w:lang w:eastAsia="en-US"/>
        </w:rPr>
        <w:t>finance and home-ownership options for people</w:t>
      </w:r>
      <w:r w:rsidR="00B17EA1" w:rsidRPr="00167119">
        <w:rPr>
          <w:rFonts w:eastAsiaTheme="minorHAnsi" w:cstheme="minorBidi"/>
          <w:szCs w:val="22"/>
          <w:lang w:eastAsia="en-US"/>
        </w:rPr>
        <w:t xml:space="preserve"> </w:t>
      </w:r>
      <w:r w:rsidRPr="00167119">
        <w:rPr>
          <w:rFonts w:eastAsiaTheme="minorHAnsi" w:cstheme="minorBidi"/>
          <w:szCs w:val="22"/>
          <w:lang w:eastAsia="en-US"/>
        </w:rPr>
        <w:t>who cannot</w:t>
      </w:r>
      <w:r w:rsidR="001E03A0" w:rsidRPr="00167119">
        <w:rPr>
          <w:rFonts w:eastAsiaTheme="minorHAnsi" w:cstheme="minorBidi"/>
          <w:szCs w:val="22"/>
          <w:lang w:eastAsia="en-US"/>
        </w:rPr>
        <w:t xml:space="preserve"> </w:t>
      </w:r>
      <w:r w:rsidR="0090135F" w:rsidRPr="00167119">
        <w:rPr>
          <w:rFonts w:eastAsiaTheme="minorHAnsi" w:cstheme="minorBidi"/>
          <w:szCs w:val="22"/>
          <w:lang w:eastAsia="en-US"/>
        </w:rPr>
        <w:t xml:space="preserve">easily </w:t>
      </w:r>
      <w:r w:rsidR="001E03A0" w:rsidRPr="00167119">
        <w:rPr>
          <w:rFonts w:eastAsiaTheme="minorHAnsi" w:cstheme="minorBidi"/>
          <w:szCs w:val="22"/>
          <w:lang w:eastAsia="en-US"/>
        </w:rPr>
        <w:t>access the general lending market.</w:t>
      </w:r>
    </w:p>
    <w:p w14:paraId="3DD20D3B" w14:textId="77777777" w:rsidR="00E05FCC" w:rsidRPr="00167119" w:rsidRDefault="00D11D79" w:rsidP="00E471D6">
      <w:pPr>
        <w:pStyle w:val="OutlineNumbered1"/>
        <w:rPr>
          <w:rFonts w:eastAsiaTheme="minorHAnsi" w:cstheme="minorBidi"/>
          <w:szCs w:val="22"/>
          <w:lang w:eastAsia="en-US"/>
        </w:rPr>
      </w:pPr>
      <w:r w:rsidRPr="00167119">
        <w:rPr>
          <w:rFonts w:eastAsiaTheme="minorHAnsi" w:cstheme="minorBidi"/>
          <w:szCs w:val="22"/>
          <w:lang w:eastAsia="en-US"/>
        </w:rPr>
        <w:t xml:space="preserve">The </w:t>
      </w:r>
      <w:r w:rsidR="00E471D6" w:rsidRPr="00167119">
        <w:rPr>
          <w:rFonts w:eastAsiaTheme="minorHAnsi" w:cstheme="minorBidi"/>
          <w:szCs w:val="22"/>
          <w:lang w:eastAsia="en-US"/>
        </w:rPr>
        <w:t xml:space="preserve">Housing </w:t>
      </w:r>
      <w:r w:rsidRPr="00167119">
        <w:rPr>
          <w:rFonts w:eastAsiaTheme="minorHAnsi" w:cstheme="minorBidi"/>
          <w:szCs w:val="22"/>
          <w:lang w:eastAsia="en-US"/>
        </w:rPr>
        <w:t xml:space="preserve">Authority’s integration into the Department of Communities from </w:t>
      </w:r>
      <w:r w:rsidR="00E471D6" w:rsidRPr="00167119">
        <w:rPr>
          <w:rFonts w:eastAsiaTheme="minorHAnsi" w:cstheme="minorBidi"/>
          <w:szCs w:val="22"/>
          <w:lang w:eastAsia="en-US"/>
        </w:rPr>
        <w:t>1 July </w:t>
      </w:r>
      <w:r w:rsidRPr="00167119">
        <w:rPr>
          <w:rFonts w:eastAsiaTheme="minorHAnsi" w:cstheme="minorBidi"/>
          <w:szCs w:val="22"/>
          <w:lang w:eastAsia="en-US"/>
        </w:rPr>
        <w:t xml:space="preserve">2017 </w:t>
      </w:r>
      <w:r w:rsidR="0079183B" w:rsidRPr="00167119">
        <w:rPr>
          <w:rFonts w:eastAsiaTheme="minorHAnsi" w:cstheme="minorBidi"/>
          <w:szCs w:val="22"/>
          <w:lang w:eastAsia="en-US"/>
        </w:rPr>
        <w:t>provide</w:t>
      </w:r>
      <w:r w:rsidR="00E471D6" w:rsidRPr="00167119">
        <w:rPr>
          <w:rFonts w:eastAsiaTheme="minorHAnsi" w:cstheme="minorBidi"/>
          <w:szCs w:val="22"/>
          <w:lang w:eastAsia="en-US"/>
        </w:rPr>
        <w:t>d</w:t>
      </w:r>
      <w:r w:rsidRPr="00167119">
        <w:rPr>
          <w:rFonts w:eastAsiaTheme="minorHAnsi" w:cstheme="minorBidi"/>
          <w:szCs w:val="22"/>
          <w:lang w:eastAsia="en-US"/>
        </w:rPr>
        <w:t xml:space="preserve"> an opportunity to contribute to a more coordinated approach to human services that will improve the lives of those in need across Western </w:t>
      </w:r>
      <w:r w:rsidR="00AE2176" w:rsidRPr="00167119">
        <w:rPr>
          <w:rFonts w:eastAsiaTheme="minorHAnsi" w:cstheme="minorBidi"/>
          <w:szCs w:val="22"/>
          <w:lang w:eastAsia="en-US"/>
        </w:rPr>
        <w:t>Australia through a focus on People, Place and Home.</w:t>
      </w:r>
    </w:p>
    <w:p w14:paraId="3E525811" w14:textId="77777777" w:rsidR="00BD0835" w:rsidRPr="00167119" w:rsidRDefault="00B17EA1" w:rsidP="00E471D6">
      <w:pPr>
        <w:pStyle w:val="OutlineNumbered1"/>
        <w:rPr>
          <w:rFonts w:eastAsiaTheme="minorHAnsi" w:cstheme="minorBidi"/>
          <w:szCs w:val="22"/>
          <w:lang w:eastAsia="en-US"/>
        </w:rPr>
      </w:pPr>
      <w:r w:rsidRPr="00167119">
        <w:rPr>
          <w:rFonts w:eastAsiaTheme="minorHAnsi" w:cstheme="minorBidi"/>
          <w:szCs w:val="22"/>
          <w:lang w:eastAsia="en-US"/>
        </w:rPr>
        <w:lastRenderedPageBreak/>
        <w:t>The Housing Authority</w:t>
      </w:r>
      <w:r w:rsidR="00A24B80" w:rsidRPr="00167119">
        <w:rPr>
          <w:rFonts w:eastAsiaTheme="minorHAnsi" w:cstheme="minorBidi"/>
          <w:szCs w:val="22"/>
          <w:lang w:eastAsia="en-US"/>
        </w:rPr>
        <w:t xml:space="preserve">’s activities are </w:t>
      </w:r>
      <w:r w:rsidRPr="00167119">
        <w:rPr>
          <w:rFonts w:eastAsiaTheme="minorHAnsi" w:cstheme="minorBidi"/>
          <w:szCs w:val="22"/>
          <w:lang w:eastAsia="en-US"/>
        </w:rPr>
        <w:t>largely self-funded</w:t>
      </w:r>
      <w:r w:rsidR="005332FB" w:rsidRPr="00167119">
        <w:rPr>
          <w:rFonts w:eastAsiaTheme="minorHAnsi" w:cstheme="minorBidi"/>
          <w:szCs w:val="22"/>
          <w:lang w:eastAsia="en-US"/>
        </w:rPr>
        <w:t>, drawing</w:t>
      </w:r>
      <w:r w:rsidRPr="00167119">
        <w:rPr>
          <w:rFonts w:eastAsiaTheme="minorHAnsi" w:cstheme="minorBidi"/>
          <w:szCs w:val="22"/>
          <w:lang w:eastAsia="en-US"/>
        </w:rPr>
        <w:t xml:space="preserve"> on a relatively small funding base from direct government appropriation</w:t>
      </w:r>
      <w:r w:rsidR="006C7A10" w:rsidRPr="00167119">
        <w:rPr>
          <w:rFonts w:eastAsiaTheme="minorHAnsi" w:cstheme="minorBidi"/>
          <w:szCs w:val="22"/>
          <w:lang w:eastAsia="en-US"/>
        </w:rPr>
        <w:t>s.</w:t>
      </w:r>
    </w:p>
    <w:p w14:paraId="78095086" w14:textId="77777777" w:rsidR="00FA55E6" w:rsidRPr="00167119" w:rsidRDefault="00FA55E6" w:rsidP="00FA55E6">
      <w:pPr>
        <w:pStyle w:val="OutlineNumbered1"/>
        <w:numPr>
          <w:ilvl w:val="0"/>
          <w:numId w:val="0"/>
        </w:numPr>
        <w:ind w:left="543" w:hanging="543"/>
        <w:rPr>
          <w:rFonts w:eastAsiaTheme="minorHAnsi" w:cstheme="minorBidi"/>
          <w:szCs w:val="22"/>
          <w:lang w:eastAsia="en-US"/>
        </w:rPr>
      </w:pPr>
    </w:p>
    <w:p w14:paraId="18632868" w14:textId="77777777" w:rsidR="00815098" w:rsidRPr="00167119" w:rsidRDefault="00815098" w:rsidP="0060552C">
      <w:pPr>
        <w:rPr>
          <w:rFonts w:eastAsiaTheme="minorHAnsi"/>
          <w:b/>
          <w:lang w:eastAsia="en-US"/>
        </w:rPr>
      </w:pPr>
      <w:r w:rsidRPr="00167119">
        <w:rPr>
          <w:rFonts w:eastAsiaTheme="minorHAnsi"/>
          <w:b/>
          <w:lang w:eastAsia="en-US"/>
        </w:rPr>
        <w:t xml:space="preserve">Western Australian Response to </w:t>
      </w:r>
      <w:r w:rsidR="00E471D6" w:rsidRPr="00167119">
        <w:rPr>
          <w:rFonts w:eastAsiaTheme="minorHAnsi"/>
          <w:b/>
          <w:lang w:eastAsia="en-US"/>
        </w:rPr>
        <w:t xml:space="preserve">National Housing </w:t>
      </w:r>
      <w:r w:rsidRPr="00167119">
        <w:rPr>
          <w:rFonts w:eastAsiaTheme="minorHAnsi"/>
          <w:b/>
          <w:lang w:eastAsia="en-US"/>
        </w:rPr>
        <w:t>Priorit</w:t>
      </w:r>
      <w:r w:rsidR="00E471D6" w:rsidRPr="00167119">
        <w:rPr>
          <w:rFonts w:eastAsiaTheme="minorHAnsi"/>
          <w:b/>
          <w:lang w:eastAsia="en-US"/>
        </w:rPr>
        <w:t>y Policy Areas</w:t>
      </w:r>
    </w:p>
    <w:p w14:paraId="2F11DDB2" w14:textId="77777777" w:rsidR="00815098" w:rsidRPr="00167119" w:rsidRDefault="00815098" w:rsidP="00E471D6">
      <w:pPr>
        <w:pStyle w:val="OutlineNumbered1"/>
        <w:rPr>
          <w:rFonts w:eastAsiaTheme="minorHAnsi" w:cstheme="minorBidi"/>
          <w:szCs w:val="22"/>
          <w:lang w:eastAsia="en-US"/>
        </w:rPr>
      </w:pPr>
      <w:r w:rsidRPr="00167119">
        <w:rPr>
          <w:rFonts w:eastAsiaTheme="minorHAnsi" w:cstheme="minorBidi"/>
          <w:szCs w:val="22"/>
          <w:lang w:eastAsia="en-US"/>
        </w:rPr>
        <w:t xml:space="preserve">Western Australia’s housing and homelessness policy priorities will be reflected in housing and homelessness strategies as maintained over time. </w:t>
      </w:r>
      <w:r w:rsidR="005C5024" w:rsidRPr="00167119">
        <w:rPr>
          <w:rFonts w:eastAsiaTheme="minorHAnsi" w:cstheme="minorBidi"/>
          <w:szCs w:val="22"/>
          <w:lang w:eastAsia="en-US"/>
        </w:rPr>
        <w:t xml:space="preserve">Western </w:t>
      </w:r>
      <w:r w:rsidR="00883D4D" w:rsidRPr="00167119">
        <w:rPr>
          <w:rFonts w:eastAsiaTheme="minorHAnsi" w:cstheme="minorBidi"/>
          <w:szCs w:val="22"/>
          <w:lang w:eastAsia="en-US"/>
        </w:rPr>
        <w:t xml:space="preserve">Australia’s policy priorities are generally well aligned with the </w:t>
      </w:r>
      <w:r w:rsidR="0060552C" w:rsidRPr="00167119">
        <w:rPr>
          <w:rFonts w:eastAsiaTheme="minorHAnsi" w:cstheme="minorBidi"/>
          <w:szCs w:val="22"/>
          <w:lang w:eastAsia="en-US"/>
        </w:rPr>
        <w:t xml:space="preserve">national </w:t>
      </w:r>
      <w:r w:rsidR="00883D4D" w:rsidRPr="00167119">
        <w:rPr>
          <w:rFonts w:eastAsiaTheme="minorHAnsi" w:cstheme="minorBidi"/>
          <w:szCs w:val="22"/>
          <w:lang w:eastAsia="en-US"/>
        </w:rPr>
        <w:t xml:space="preserve">priorities.  Western Australia’s alignment with </w:t>
      </w:r>
      <w:r w:rsidR="0060552C" w:rsidRPr="00167119">
        <w:rPr>
          <w:rFonts w:eastAsiaTheme="minorHAnsi" w:cstheme="minorBidi"/>
          <w:szCs w:val="22"/>
          <w:lang w:eastAsia="en-US"/>
        </w:rPr>
        <w:t xml:space="preserve">these </w:t>
      </w:r>
      <w:r w:rsidR="00883D4D" w:rsidRPr="00167119">
        <w:rPr>
          <w:rFonts w:eastAsiaTheme="minorHAnsi" w:cstheme="minorBidi"/>
          <w:szCs w:val="22"/>
          <w:lang w:eastAsia="en-US"/>
        </w:rPr>
        <w:t xml:space="preserve">priorities is </w:t>
      </w:r>
      <w:r w:rsidR="00680997" w:rsidRPr="00167119">
        <w:rPr>
          <w:rFonts w:eastAsiaTheme="minorHAnsi" w:cstheme="minorBidi"/>
          <w:szCs w:val="22"/>
          <w:lang w:eastAsia="en-US"/>
        </w:rPr>
        <w:t xml:space="preserve">outlined </w:t>
      </w:r>
      <w:r w:rsidR="00883D4D" w:rsidRPr="00167119">
        <w:rPr>
          <w:rFonts w:eastAsiaTheme="minorHAnsi" w:cstheme="minorBidi"/>
          <w:szCs w:val="22"/>
          <w:lang w:eastAsia="en-US"/>
        </w:rPr>
        <w:t>at Parts 2 and 3.</w:t>
      </w:r>
    </w:p>
    <w:p w14:paraId="5B72CD2E" w14:textId="77777777" w:rsidR="003E00B6" w:rsidRPr="00167119" w:rsidRDefault="003E00B6" w:rsidP="00654B19">
      <w:pPr>
        <w:pStyle w:val="Heading1"/>
        <w:spacing w:before="240"/>
      </w:pPr>
      <w:r w:rsidRPr="00167119">
        <w:t xml:space="preserve">Part 2 – </w:t>
      </w:r>
      <w:r w:rsidR="00AB140D" w:rsidRPr="00167119">
        <w:t>Western Australian</w:t>
      </w:r>
      <w:r w:rsidRPr="00167119">
        <w:t xml:space="preserve"> housing strategy</w:t>
      </w:r>
    </w:p>
    <w:p w14:paraId="5E363D8B" w14:textId="77777777" w:rsidR="00AB140D" w:rsidRPr="00167119" w:rsidRDefault="00C95693" w:rsidP="00E76384">
      <w:pPr>
        <w:pStyle w:val="OutlineNumbered1"/>
      </w:pPr>
      <w:bookmarkStart w:id="3" w:name="_Hlk507053063"/>
      <w:bookmarkStart w:id="4" w:name="_Hlk507053040"/>
      <w:r w:rsidRPr="00167119">
        <w:t>Western Australia</w:t>
      </w:r>
      <w:r w:rsidR="00746CB6" w:rsidRPr="00167119">
        <w:t xml:space="preserve"> </w:t>
      </w:r>
      <w:r w:rsidR="00E66134" w:rsidRPr="00167119">
        <w:t>is committed to improving outcomes for people</w:t>
      </w:r>
      <w:bookmarkEnd w:id="3"/>
      <w:r w:rsidR="00E66134" w:rsidRPr="00167119">
        <w:t xml:space="preserve"> </w:t>
      </w:r>
      <w:r w:rsidR="006B00B1" w:rsidRPr="00167119">
        <w:t>across the housing continuum</w:t>
      </w:r>
      <w:r w:rsidR="00B05298" w:rsidRPr="00167119">
        <w:t xml:space="preserve">, </w:t>
      </w:r>
      <w:r w:rsidR="00E66134" w:rsidRPr="00167119">
        <w:t xml:space="preserve">and </w:t>
      </w:r>
      <w:r w:rsidR="00B05298" w:rsidRPr="00167119">
        <w:t>has</w:t>
      </w:r>
      <w:r w:rsidR="00701BA6" w:rsidRPr="00167119">
        <w:t xml:space="preserve"> had a whole of government</w:t>
      </w:r>
      <w:r w:rsidR="00746CB6" w:rsidRPr="00167119">
        <w:t xml:space="preserve"> affordable housing strategy in place since 2010. The strategy</w:t>
      </w:r>
      <w:r w:rsidR="00E76384" w:rsidRPr="00167119">
        <w:t xml:space="preserve">, titled </w:t>
      </w:r>
      <w:r w:rsidR="00E76384" w:rsidRPr="00167119">
        <w:rPr>
          <w:i/>
          <w:iCs/>
          <w:lang w:val="en-US"/>
        </w:rPr>
        <w:t>Affordable Housing Strategy 2010-2020: Opening Doors to Affordable Housing,</w:t>
      </w:r>
      <w:r w:rsidR="00746CB6" w:rsidRPr="00167119">
        <w:t xml:space="preserve"> covers initiatives across the following focus areas</w:t>
      </w:r>
      <w:r w:rsidR="00C36070" w:rsidRPr="00167119">
        <w:t>:</w:t>
      </w:r>
      <w:r w:rsidR="006B00B1" w:rsidRPr="00167119">
        <w:t xml:space="preserve"> </w:t>
      </w:r>
    </w:p>
    <w:bookmarkEnd w:id="4"/>
    <w:p w14:paraId="61E3E38C" w14:textId="77777777" w:rsidR="00093469" w:rsidRPr="00167119" w:rsidRDefault="00701BA6" w:rsidP="00663236">
      <w:pPr>
        <w:pStyle w:val="ScheduleNumberedPara"/>
        <w:numPr>
          <w:ilvl w:val="0"/>
          <w:numId w:val="9"/>
        </w:numPr>
        <w:spacing w:after="0"/>
        <w:ind w:left="1077" w:hanging="357"/>
      </w:pPr>
      <w:r w:rsidRPr="00167119">
        <w:t>Strengthening social housing</w:t>
      </w:r>
      <w:r w:rsidR="00EF25B2" w:rsidRPr="00167119">
        <w:t>;</w:t>
      </w:r>
    </w:p>
    <w:p w14:paraId="7E9D5AD5" w14:textId="77777777" w:rsidR="00701BA6" w:rsidRPr="00167119" w:rsidRDefault="00701BA6" w:rsidP="00663236">
      <w:pPr>
        <w:pStyle w:val="ScheduleNumberedPara"/>
        <w:numPr>
          <w:ilvl w:val="0"/>
          <w:numId w:val="9"/>
        </w:numPr>
        <w:spacing w:after="0"/>
      </w:pPr>
      <w:r w:rsidRPr="00167119">
        <w:t>Improving housing supply</w:t>
      </w:r>
      <w:r w:rsidR="00EF25B2" w:rsidRPr="00167119">
        <w:t>;</w:t>
      </w:r>
      <w:r w:rsidR="00E76384" w:rsidRPr="00167119">
        <w:t xml:space="preserve"> and</w:t>
      </w:r>
    </w:p>
    <w:p w14:paraId="75B28993" w14:textId="77777777" w:rsidR="00A754F6" w:rsidRPr="00167119" w:rsidRDefault="00701BA6" w:rsidP="00663236">
      <w:pPr>
        <w:pStyle w:val="ScheduleNumberedPara"/>
        <w:numPr>
          <w:ilvl w:val="0"/>
          <w:numId w:val="9"/>
        </w:numPr>
      </w:pPr>
      <w:r w:rsidRPr="00167119">
        <w:t>Enabling successful transition</w:t>
      </w:r>
      <w:r w:rsidR="00A754F6" w:rsidRPr="00167119">
        <w:t xml:space="preserve"> through the social housing system and wider continuum.</w:t>
      </w:r>
    </w:p>
    <w:p w14:paraId="5D54B154" w14:textId="77777777" w:rsidR="009F5B11" w:rsidRPr="00167119" w:rsidRDefault="009F5B11" w:rsidP="00E76384">
      <w:pPr>
        <w:pStyle w:val="OutlineNumbered1"/>
      </w:pPr>
      <w:r w:rsidRPr="00167119">
        <w:t>The strategy is underpinned by value-adding partnerships with the private and not-for-profit sectors that enable the cost-efficient delivery of a larger number and wider range of affordable housing options.</w:t>
      </w:r>
    </w:p>
    <w:p w14:paraId="1523D722" w14:textId="77777777" w:rsidR="00242A3A" w:rsidRPr="00167119" w:rsidRDefault="00093469" w:rsidP="00E76384">
      <w:pPr>
        <w:pStyle w:val="OutlineNumbered1"/>
      </w:pPr>
      <w:r w:rsidRPr="00167119">
        <w:t>The target initi</w:t>
      </w:r>
      <w:r w:rsidR="00190F9E" w:rsidRPr="00167119">
        <w:t xml:space="preserve">ally set under the strategy of </w:t>
      </w:r>
      <w:r w:rsidRPr="00167119">
        <w:t xml:space="preserve">20,000 affordable housing opportunities </w:t>
      </w:r>
      <w:r w:rsidR="00701BA6" w:rsidRPr="00167119">
        <w:t xml:space="preserve">for people on low to moderate incomes </w:t>
      </w:r>
      <w:r w:rsidR="00190F9E" w:rsidRPr="00167119">
        <w:t>by 2020</w:t>
      </w:r>
      <w:r w:rsidR="004F6884" w:rsidRPr="00167119">
        <w:t>,</w:t>
      </w:r>
      <w:r w:rsidR="00190F9E" w:rsidRPr="00167119">
        <w:t xml:space="preserve"> </w:t>
      </w:r>
      <w:r w:rsidRPr="00167119">
        <w:t>was achieved</w:t>
      </w:r>
      <w:r w:rsidR="00190F9E" w:rsidRPr="00167119">
        <w:t xml:space="preserve"> </w:t>
      </w:r>
      <w:r w:rsidRPr="00167119">
        <w:t xml:space="preserve">in </w:t>
      </w:r>
      <w:r w:rsidR="00190F9E" w:rsidRPr="00167119">
        <w:t>2015</w:t>
      </w:r>
      <w:r w:rsidR="00242A3A" w:rsidRPr="00167119">
        <w:t>.</w:t>
      </w:r>
    </w:p>
    <w:p w14:paraId="1B00F13F" w14:textId="77777777" w:rsidR="009819E4" w:rsidRPr="00167119" w:rsidRDefault="009819E4" w:rsidP="008E1155">
      <w:pPr>
        <w:pStyle w:val="OutlineNumbered1"/>
        <w:keepNext/>
        <w:numPr>
          <w:ilvl w:val="0"/>
          <w:numId w:val="0"/>
        </w:numPr>
        <w:rPr>
          <w:b/>
          <w:u w:val="single"/>
        </w:rPr>
      </w:pPr>
      <w:r w:rsidRPr="00167119">
        <w:rPr>
          <w:b/>
          <w:u w:val="single"/>
        </w:rPr>
        <w:t>Affordable Housing Action Plan 2017-18 to 2019-20</w:t>
      </w:r>
    </w:p>
    <w:p w14:paraId="0E33B2B7" w14:textId="77777777" w:rsidR="00B05298" w:rsidRPr="00167119" w:rsidRDefault="009819E4" w:rsidP="00DA3288">
      <w:pPr>
        <w:pStyle w:val="OutlineNumbered1"/>
      </w:pPr>
      <w:r w:rsidRPr="00167119">
        <w:t>Western Australia has developed an Affordable Housing Action Plan as a precursor to a new strategy to be developed by 2020.The new Action Plan sets a higher target of 35,000 additional homes for people on low to moderate incomes by 2020.</w:t>
      </w:r>
      <w:r w:rsidRPr="00167119" w:rsidDel="0028572A">
        <w:t xml:space="preserve"> </w:t>
      </w:r>
    </w:p>
    <w:p w14:paraId="705BCC20" w14:textId="77777777" w:rsidR="00D9046D" w:rsidRPr="00167119" w:rsidRDefault="00D9046D" w:rsidP="00E76384">
      <w:pPr>
        <w:pStyle w:val="OutlineNumbered1"/>
      </w:pPr>
      <w:r w:rsidRPr="00167119">
        <w:t xml:space="preserve">Reflecting the ‘People, Place and Home’ focus of the new Department of Communities, the </w:t>
      </w:r>
      <w:r w:rsidR="009819E4" w:rsidRPr="00167119">
        <w:t>A</w:t>
      </w:r>
      <w:r w:rsidRPr="00167119">
        <w:t xml:space="preserve">ction </w:t>
      </w:r>
      <w:r w:rsidR="009819E4" w:rsidRPr="00167119">
        <w:t>P</w:t>
      </w:r>
      <w:r w:rsidRPr="00167119">
        <w:t xml:space="preserve">lan </w:t>
      </w:r>
      <w:r w:rsidR="00464C57" w:rsidRPr="00167119">
        <w:t>is</w:t>
      </w:r>
      <w:r w:rsidR="00C40C88" w:rsidRPr="00167119">
        <w:t xml:space="preserve"> </w:t>
      </w:r>
      <w:r w:rsidRPr="00167119">
        <w:t xml:space="preserve">guided by the following three </w:t>
      </w:r>
      <w:r w:rsidR="009819E4" w:rsidRPr="00167119">
        <w:t xml:space="preserve">inter-connected </w:t>
      </w:r>
      <w:r w:rsidRPr="00167119">
        <w:t>goals:</w:t>
      </w:r>
    </w:p>
    <w:p w14:paraId="0CB2E9EE" w14:textId="77777777" w:rsidR="009819E4" w:rsidRPr="00167119" w:rsidRDefault="009819E4" w:rsidP="00663236">
      <w:pPr>
        <w:pStyle w:val="ScheduleNumberedPara"/>
        <w:numPr>
          <w:ilvl w:val="0"/>
          <w:numId w:val="9"/>
        </w:numPr>
        <w:spacing w:after="0"/>
        <w:ind w:left="1077" w:hanging="357"/>
      </w:pPr>
      <w:r w:rsidRPr="00167119">
        <w:t>Using housing to help achieve better outcomes for individuals and families in need</w:t>
      </w:r>
      <w:r w:rsidR="00A0457D" w:rsidRPr="00167119">
        <w:t>;</w:t>
      </w:r>
    </w:p>
    <w:p w14:paraId="46C4FE24" w14:textId="77777777" w:rsidR="009819E4" w:rsidRPr="00167119" w:rsidRDefault="009819E4" w:rsidP="00663236">
      <w:pPr>
        <w:pStyle w:val="ScheduleNumberedPara"/>
        <w:numPr>
          <w:ilvl w:val="0"/>
          <w:numId w:val="9"/>
        </w:numPr>
        <w:spacing w:after="0"/>
        <w:ind w:left="1077" w:hanging="357"/>
      </w:pPr>
      <w:r w:rsidRPr="00167119">
        <w:t>Delivering inclusive and connected communities, where people of all incomes and backgrounds have a place to call home and belong to; and</w:t>
      </w:r>
    </w:p>
    <w:p w14:paraId="0E568B24" w14:textId="77777777" w:rsidR="009819E4" w:rsidRPr="00167119" w:rsidRDefault="009819E4" w:rsidP="00663236">
      <w:pPr>
        <w:pStyle w:val="ScheduleNumberedPara"/>
        <w:numPr>
          <w:ilvl w:val="0"/>
          <w:numId w:val="9"/>
        </w:numPr>
      </w:pPr>
      <w:r w:rsidRPr="00167119">
        <w:t>Creating a housing system that is more responsive to current and future need.</w:t>
      </w:r>
      <w:r w:rsidRPr="00167119" w:rsidDel="0028572A">
        <w:t xml:space="preserve"> </w:t>
      </w:r>
    </w:p>
    <w:p w14:paraId="29249250" w14:textId="77777777" w:rsidR="00214436" w:rsidRPr="00167119" w:rsidRDefault="006B00B1" w:rsidP="00E76384">
      <w:pPr>
        <w:pStyle w:val="OutlineNumbered1"/>
      </w:pPr>
      <w:r w:rsidRPr="00167119">
        <w:t xml:space="preserve">The </w:t>
      </w:r>
      <w:r w:rsidR="009819E4" w:rsidRPr="00167119">
        <w:t>Action Plan focuses</w:t>
      </w:r>
      <w:r w:rsidR="004F6884" w:rsidRPr="00167119">
        <w:t xml:space="preserve"> on</w:t>
      </w:r>
      <w:r w:rsidR="00214436" w:rsidRPr="00167119">
        <w:t>:</w:t>
      </w:r>
    </w:p>
    <w:p w14:paraId="7B0DBD4F" w14:textId="77777777" w:rsidR="009819E4" w:rsidRPr="00167119" w:rsidRDefault="009819E4" w:rsidP="00663236">
      <w:pPr>
        <w:pStyle w:val="ScheduleNumberedPara"/>
        <w:numPr>
          <w:ilvl w:val="0"/>
          <w:numId w:val="9"/>
        </w:numPr>
        <w:spacing w:after="0"/>
        <w:ind w:left="1077" w:hanging="357"/>
      </w:pPr>
      <w:r w:rsidRPr="00167119">
        <w:t>Transforming the service delivery system to deliver more people and place centred outcomes;</w:t>
      </w:r>
    </w:p>
    <w:p w14:paraId="59246D05" w14:textId="77777777" w:rsidR="009819E4" w:rsidRPr="00167119" w:rsidRDefault="009819E4" w:rsidP="00663236">
      <w:pPr>
        <w:pStyle w:val="ScheduleNumberedPara"/>
        <w:numPr>
          <w:ilvl w:val="0"/>
          <w:numId w:val="9"/>
        </w:numPr>
        <w:spacing w:after="0"/>
        <w:ind w:left="1077" w:hanging="357"/>
      </w:pPr>
      <w:r w:rsidRPr="00167119">
        <w:t>Supporting vulnerable Western Australians – including with earlier and more coordinated support;</w:t>
      </w:r>
    </w:p>
    <w:p w14:paraId="65773341" w14:textId="77777777" w:rsidR="009819E4" w:rsidRPr="00167119" w:rsidRDefault="009819E4" w:rsidP="00663236">
      <w:pPr>
        <w:pStyle w:val="ScheduleNumberedPara"/>
        <w:numPr>
          <w:ilvl w:val="0"/>
          <w:numId w:val="9"/>
        </w:numPr>
        <w:spacing w:after="0"/>
        <w:ind w:left="1077" w:hanging="357"/>
      </w:pPr>
      <w:r w:rsidRPr="00167119">
        <w:t>Providing more options and pathways across the housing continuum to help people reach their housing goals;</w:t>
      </w:r>
    </w:p>
    <w:p w14:paraId="28F627AC" w14:textId="77777777" w:rsidR="009819E4" w:rsidRPr="00167119" w:rsidRDefault="009819E4" w:rsidP="00663236">
      <w:pPr>
        <w:pStyle w:val="ScheduleNumberedPara"/>
        <w:numPr>
          <w:ilvl w:val="0"/>
          <w:numId w:val="9"/>
        </w:numPr>
        <w:spacing w:after="0"/>
        <w:ind w:left="1077" w:hanging="357"/>
      </w:pPr>
      <w:r w:rsidRPr="00167119">
        <w:t>Broadening sources of capital to augment government investment;</w:t>
      </w:r>
    </w:p>
    <w:p w14:paraId="065CA9E9" w14:textId="77777777" w:rsidR="009819E4" w:rsidRPr="00167119" w:rsidRDefault="009819E4" w:rsidP="00663236">
      <w:pPr>
        <w:pStyle w:val="ScheduleNumberedPara"/>
        <w:numPr>
          <w:ilvl w:val="0"/>
          <w:numId w:val="9"/>
        </w:numPr>
        <w:spacing w:after="0"/>
        <w:ind w:left="1077" w:hanging="357"/>
      </w:pPr>
      <w:r w:rsidRPr="00167119">
        <w:lastRenderedPageBreak/>
        <w:t>Reforming the planning and approvals systems to support diverse, affordable, accessible and safe communities;</w:t>
      </w:r>
    </w:p>
    <w:p w14:paraId="2BEEFA81" w14:textId="77777777" w:rsidR="009819E4" w:rsidRPr="00167119" w:rsidRDefault="009819E4" w:rsidP="00663236">
      <w:pPr>
        <w:pStyle w:val="ScheduleNumberedPara"/>
        <w:numPr>
          <w:ilvl w:val="0"/>
          <w:numId w:val="9"/>
        </w:numPr>
        <w:spacing w:after="0"/>
        <w:ind w:left="1077" w:hanging="357"/>
      </w:pPr>
      <w:r w:rsidRPr="00167119">
        <w:t>Increasing housing diversity and adaptability to meet current and future housing needs;</w:t>
      </w:r>
    </w:p>
    <w:p w14:paraId="0A0CFCCF" w14:textId="77777777" w:rsidR="009819E4" w:rsidRPr="00167119" w:rsidRDefault="009819E4" w:rsidP="00663236">
      <w:pPr>
        <w:pStyle w:val="ScheduleNumberedPara"/>
        <w:numPr>
          <w:ilvl w:val="0"/>
          <w:numId w:val="9"/>
        </w:numPr>
        <w:spacing w:after="0"/>
        <w:ind w:left="1077" w:hanging="357"/>
      </w:pPr>
      <w:r w:rsidRPr="00167119">
        <w:t>Leveraging METRONET precincts for social and affordable housing outcomes; and</w:t>
      </w:r>
    </w:p>
    <w:p w14:paraId="2F4B51CA" w14:textId="77777777" w:rsidR="009819E4" w:rsidRPr="00167119" w:rsidRDefault="009819E4" w:rsidP="00663236">
      <w:pPr>
        <w:pStyle w:val="ScheduleNumberedPara"/>
        <w:numPr>
          <w:ilvl w:val="0"/>
          <w:numId w:val="9"/>
        </w:numPr>
      </w:pPr>
      <w:r w:rsidRPr="00167119">
        <w:t xml:space="preserve">Creating new and renewed communities that are inclusive, affordable and transformative. </w:t>
      </w:r>
    </w:p>
    <w:p w14:paraId="778D7BE2" w14:textId="77777777" w:rsidR="00242A3A" w:rsidRPr="00167119" w:rsidRDefault="00242A3A" w:rsidP="00095FA6">
      <w:pPr>
        <w:pStyle w:val="OutlineNumbered1"/>
        <w:jc w:val="left"/>
      </w:pPr>
      <w:r w:rsidRPr="00167119">
        <w:t xml:space="preserve">The strategy and the Affordable Housing Action Plan are publicly available at </w:t>
      </w:r>
      <w:hyperlink r:id="rId15" w:history="1">
        <w:r w:rsidR="00312B96" w:rsidRPr="00167119">
          <w:rPr>
            <w:rStyle w:val="Hyperlink"/>
          </w:rPr>
          <w:t>http://www.housing.wa.gov.au/aboutus/affordablehousingactionplan/affordablehousingstrategy/Pages/default.aspx</w:t>
        </w:r>
      </w:hyperlink>
      <w:r w:rsidR="00312B96" w:rsidRPr="00167119">
        <w:t xml:space="preserve"> and</w:t>
      </w:r>
      <w:r w:rsidR="00095FA6" w:rsidRPr="00167119">
        <w:t xml:space="preserve"> </w:t>
      </w:r>
      <w:hyperlink r:id="rId16" w:history="1">
        <w:r w:rsidR="00312B96" w:rsidRPr="00167119">
          <w:rPr>
            <w:rStyle w:val="Hyperlink"/>
          </w:rPr>
          <w:t>http://www.housing.wa.gov.au/aboutus/affordablehousingactionplan/Pages/default.aspx</w:t>
        </w:r>
      </w:hyperlink>
      <w:r w:rsidR="00312B96" w:rsidRPr="00167119">
        <w:t xml:space="preserve"> respectively.</w:t>
      </w:r>
    </w:p>
    <w:p w14:paraId="09D69493" w14:textId="77777777" w:rsidR="002A4A75" w:rsidRPr="00167119" w:rsidRDefault="002A4A75" w:rsidP="00312B96">
      <w:pPr>
        <w:pStyle w:val="OutlineNumbered1"/>
      </w:pPr>
      <w:r w:rsidRPr="00167119">
        <w:t xml:space="preserve">Complementing the strategy and the </w:t>
      </w:r>
      <w:r w:rsidR="000104A6" w:rsidRPr="00167119">
        <w:t xml:space="preserve">Affordable Housing </w:t>
      </w:r>
      <w:r w:rsidRPr="00167119">
        <w:t xml:space="preserve">Action Plan is </w:t>
      </w:r>
      <w:r w:rsidR="000104A6" w:rsidRPr="00167119">
        <w:t>the following</w:t>
      </w:r>
      <w:r w:rsidRPr="00167119">
        <w:t xml:space="preserve"> range of </w:t>
      </w:r>
      <w:r w:rsidR="000104A6" w:rsidRPr="00167119">
        <w:t>land use planning and infrastructure frameworks:</w:t>
      </w:r>
    </w:p>
    <w:p w14:paraId="080E8E78" w14:textId="77777777" w:rsidR="000104A6" w:rsidRPr="00167119" w:rsidRDefault="000104A6" w:rsidP="000104A6">
      <w:pPr>
        <w:pStyle w:val="OutlineNumbered2"/>
      </w:pPr>
      <w:r w:rsidRPr="00167119">
        <w:t xml:space="preserve">The </w:t>
      </w:r>
      <w:r w:rsidR="00A44F15" w:rsidRPr="00167119">
        <w:t>Western Australian Government’s</w:t>
      </w:r>
      <w:r w:rsidRPr="00167119">
        <w:t xml:space="preserve"> </w:t>
      </w:r>
      <w:r w:rsidRPr="00167119">
        <w:rPr>
          <w:i/>
        </w:rPr>
        <w:t>Perth and Peel @3.5million</w:t>
      </w:r>
      <w:r w:rsidRPr="00167119">
        <w:t xml:space="preserve"> (March 2018) suite of land use planning and infrastructure frameworks guide the future growth of Perth and Peel Regions to accommodate 3.5 million people by 2050. The frameworks are a comprehensive whole-of government response to the 800,000 new homes required to accommodate the projected population growth through a mix of infill and greenfield development with targets of 47 per cent and 53 percent respectively. The frameworks are publicly available and can be accessed</w:t>
      </w:r>
      <w:r w:rsidR="006F6EAC" w:rsidRPr="00167119">
        <w:t xml:space="preserve"> at</w:t>
      </w:r>
      <w:r w:rsidRPr="00167119">
        <w:t xml:space="preserve"> the following link: </w:t>
      </w:r>
      <w:hyperlink r:id="rId17" w:history="1">
        <w:r w:rsidRPr="00167119">
          <w:rPr>
            <w:rStyle w:val="Hyperlink"/>
          </w:rPr>
          <w:t>https://www.planning.wa.gov.au/10586.aspx</w:t>
        </w:r>
      </w:hyperlink>
      <w:r w:rsidR="00DF3887" w:rsidRPr="00167119">
        <w:rPr>
          <w:rStyle w:val="Hyperlink"/>
        </w:rPr>
        <w:t>.</w:t>
      </w:r>
    </w:p>
    <w:p w14:paraId="317C3483" w14:textId="77777777" w:rsidR="000104A6" w:rsidRPr="00167119" w:rsidRDefault="000104A6" w:rsidP="000104A6">
      <w:pPr>
        <w:pStyle w:val="OutlineNumbered2"/>
      </w:pPr>
      <w:r w:rsidRPr="00167119">
        <w:t xml:space="preserve">Regional Planning and Infrastructure Frameworks for the State’s eight country planning regions are developed by state government in partnership with Regional Development Commissions, Regional Development Australia and local governments. The purpose of each framework is to establish a regional vision and specific initiatives to guide future growth needs including land and housing supply requirements. The regional frameworks can be accessed </w:t>
      </w:r>
      <w:r w:rsidR="006F6EAC" w:rsidRPr="00167119">
        <w:t>at</w:t>
      </w:r>
      <w:r w:rsidRPr="00167119">
        <w:t xml:space="preserve"> the following link: </w:t>
      </w:r>
      <w:hyperlink r:id="rId18" w:history="1">
        <w:r w:rsidRPr="00167119">
          <w:rPr>
            <w:rStyle w:val="Hyperlink"/>
          </w:rPr>
          <w:t>https://www.planning.wa.gov.au/6971.aspx</w:t>
        </w:r>
      </w:hyperlink>
      <w:r w:rsidR="00DF3887" w:rsidRPr="00167119">
        <w:rPr>
          <w:rStyle w:val="Hyperlink"/>
        </w:rPr>
        <w:t>.</w:t>
      </w:r>
    </w:p>
    <w:p w14:paraId="04F751CC" w14:textId="77777777" w:rsidR="00834BD4" w:rsidRPr="00167119" w:rsidRDefault="000104A6" w:rsidP="00834BD4">
      <w:pPr>
        <w:pStyle w:val="OutlineNumbered2"/>
      </w:pPr>
      <w:r w:rsidRPr="00167119">
        <w:t xml:space="preserve">The Department of Planning, Lands and Heritage’s Urban Development Program tracks land demand and supply as well as proposed development and infrastructure in Western Australia’s major urban centres to promote a more effective use of land, better staging of development, delivery and timing of infrastructure investment and to identify where supply is not meeting demand so government can consider appropriate responses. The suite of reports and data produced under the Urban Development Program, including a Housing Industry Forecasting Group that tracks how the market is responding to emerging demand, can be </w:t>
      </w:r>
      <w:r w:rsidR="006F6EAC" w:rsidRPr="00167119">
        <w:t>accessed</w:t>
      </w:r>
      <w:r w:rsidR="003E123E" w:rsidRPr="00167119">
        <w:t xml:space="preserve"> </w:t>
      </w:r>
      <w:r w:rsidR="006F6EAC" w:rsidRPr="00167119">
        <w:t xml:space="preserve">at </w:t>
      </w:r>
      <w:r w:rsidR="003E123E" w:rsidRPr="00167119">
        <w:t>the following link:</w:t>
      </w:r>
      <w:hyperlink r:id="rId19" w:history="1">
        <w:r w:rsidRPr="00167119">
          <w:rPr>
            <w:rStyle w:val="Hyperlink"/>
          </w:rPr>
          <w:t>https://www.planning.wa.gov.au/Urban-Development-Program.aspx</w:t>
        </w:r>
      </w:hyperlink>
      <w:r w:rsidRPr="00167119">
        <w:t>.</w:t>
      </w:r>
    </w:p>
    <w:p w14:paraId="1F09A82C" w14:textId="77777777" w:rsidR="00764F6A" w:rsidRPr="00167119" w:rsidRDefault="00764F6A" w:rsidP="00C04052">
      <w:pPr>
        <w:pStyle w:val="OutlineNumbered1"/>
        <w:keepNext/>
        <w:numPr>
          <w:ilvl w:val="0"/>
          <w:numId w:val="0"/>
        </w:numPr>
        <w:ind w:left="544" w:hanging="544"/>
      </w:pPr>
      <w:r w:rsidRPr="00167119">
        <w:rPr>
          <w:rFonts w:cs="Arial"/>
          <w:b/>
          <w:bCs/>
          <w:iCs/>
          <w:color w:val="3D4B67"/>
          <w:sz w:val="24"/>
          <w:szCs w:val="28"/>
        </w:rPr>
        <w:t>Western Australia</w:t>
      </w:r>
      <w:r w:rsidR="00387550" w:rsidRPr="00167119">
        <w:rPr>
          <w:rFonts w:cs="Arial"/>
          <w:b/>
          <w:bCs/>
          <w:iCs/>
          <w:color w:val="3D4B67"/>
          <w:sz w:val="24"/>
          <w:szCs w:val="28"/>
        </w:rPr>
        <w:t>’s</w:t>
      </w:r>
      <w:r w:rsidRPr="00167119">
        <w:rPr>
          <w:rFonts w:cs="Arial"/>
          <w:b/>
          <w:bCs/>
          <w:iCs/>
          <w:color w:val="3D4B67"/>
          <w:sz w:val="24"/>
          <w:szCs w:val="28"/>
        </w:rPr>
        <w:t xml:space="preserve"> </w:t>
      </w:r>
      <w:r w:rsidR="001E7A8E" w:rsidRPr="00167119">
        <w:rPr>
          <w:rFonts w:cs="Arial"/>
          <w:b/>
          <w:bCs/>
          <w:iCs/>
          <w:color w:val="3D4B67"/>
          <w:sz w:val="24"/>
          <w:szCs w:val="28"/>
        </w:rPr>
        <w:t>alignment</w:t>
      </w:r>
      <w:r w:rsidRPr="00167119">
        <w:rPr>
          <w:rFonts w:cs="Arial"/>
          <w:b/>
          <w:bCs/>
          <w:iCs/>
          <w:color w:val="3D4B67"/>
          <w:sz w:val="24"/>
          <w:szCs w:val="28"/>
        </w:rPr>
        <w:t xml:space="preserve"> </w:t>
      </w:r>
      <w:r w:rsidR="00A535FA" w:rsidRPr="00167119">
        <w:rPr>
          <w:rFonts w:cs="Arial"/>
          <w:b/>
          <w:bCs/>
          <w:iCs/>
          <w:color w:val="3D4B67"/>
          <w:sz w:val="24"/>
          <w:szCs w:val="28"/>
        </w:rPr>
        <w:t>with</w:t>
      </w:r>
      <w:r w:rsidRPr="00167119">
        <w:rPr>
          <w:rFonts w:cs="Arial"/>
          <w:b/>
          <w:bCs/>
          <w:iCs/>
          <w:color w:val="3D4B67"/>
          <w:sz w:val="24"/>
          <w:szCs w:val="28"/>
        </w:rPr>
        <w:t xml:space="preserve"> National </w:t>
      </w:r>
      <w:r w:rsidR="00387550" w:rsidRPr="00167119">
        <w:rPr>
          <w:rFonts w:cs="Arial"/>
          <w:b/>
          <w:bCs/>
          <w:iCs/>
          <w:color w:val="3D4B67"/>
          <w:sz w:val="24"/>
          <w:szCs w:val="28"/>
        </w:rPr>
        <w:t xml:space="preserve">Housing </w:t>
      </w:r>
      <w:r w:rsidR="00B664AB" w:rsidRPr="00167119">
        <w:rPr>
          <w:rFonts w:cs="Arial"/>
          <w:b/>
          <w:bCs/>
          <w:iCs/>
          <w:color w:val="3D4B67"/>
          <w:sz w:val="24"/>
          <w:szCs w:val="28"/>
        </w:rPr>
        <w:t xml:space="preserve">Priority </w:t>
      </w:r>
      <w:r w:rsidRPr="00167119">
        <w:rPr>
          <w:rFonts w:cs="Arial"/>
          <w:b/>
          <w:bCs/>
          <w:iCs/>
          <w:color w:val="3D4B67"/>
          <w:sz w:val="24"/>
          <w:szCs w:val="28"/>
        </w:rPr>
        <w:t>Policy</w:t>
      </w:r>
      <w:r w:rsidR="00B664AB" w:rsidRPr="00167119">
        <w:rPr>
          <w:rFonts w:cs="Arial"/>
          <w:b/>
          <w:bCs/>
          <w:iCs/>
          <w:color w:val="3D4B67"/>
          <w:sz w:val="24"/>
          <w:szCs w:val="28"/>
        </w:rPr>
        <w:t xml:space="preserve"> Areas</w:t>
      </w:r>
      <w:r w:rsidRPr="00167119">
        <w:rPr>
          <w:rFonts w:cs="Arial"/>
          <w:b/>
          <w:bCs/>
          <w:iCs/>
          <w:color w:val="3D4B67"/>
          <w:sz w:val="24"/>
          <w:szCs w:val="28"/>
        </w:rPr>
        <w:t xml:space="preserve"> </w:t>
      </w:r>
    </w:p>
    <w:p w14:paraId="50856824" w14:textId="77777777" w:rsidR="00233A4D" w:rsidRPr="00167119" w:rsidRDefault="00233A4D" w:rsidP="00C04052">
      <w:pPr>
        <w:pStyle w:val="OutlineNumbered1"/>
        <w:keepNext/>
        <w:ind w:left="544" w:hanging="544"/>
      </w:pPr>
      <w:r w:rsidRPr="00167119">
        <w:t xml:space="preserve">The table below </w:t>
      </w:r>
      <w:r w:rsidR="00387550" w:rsidRPr="00167119">
        <w:t>outlines</w:t>
      </w:r>
      <w:r w:rsidRPr="00167119">
        <w:t xml:space="preserve"> Western Australia’s </w:t>
      </w:r>
      <w:r w:rsidR="00387550" w:rsidRPr="00167119">
        <w:t xml:space="preserve">response to the national </w:t>
      </w:r>
      <w:r w:rsidRPr="00167119">
        <w:t>housing priorities</w:t>
      </w:r>
      <w:r w:rsidR="001E7A8E" w:rsidRPr="00167119">
        <w:t>.</w:t>
      </w:r>
      <w:r w:rsidR="00E31C95" w:rsidRPr="00167119">
        <w:t xml:space="preserve"> </w:t>
      </w:r>
    </w:p>
    <w:tbl>
      <w:tblPr>
        <w:tblStyle w:val="TableGrid2"/>
        <w:tblpPr w:leftFromText="181" w:rightFromText="181" w:vertAnchor="text" w:horzAnchor="page" w:tblpX="1912" w:tblpY="285"/>
        <w:tblW w:w="9242" w:type="dxa"/>
        <w:tblLook w:val="04A0" w:firstRow="1" w:lastRow="0" w:firstColumn="1" w:lastColumn="0" w:noHBand="0" w:noVBand="1"/>
      </w:tblPr>
      <w:tblGrid>
        <w:gridCol w:w="3179"/>
        <w:gridCol w:w="3053"/>
        <w:gridCol w:w="3010"/>
      </w:tblGrid>
      <w:tr w:rsidR="003F22AE" w:rsidRPr="00167119" w14:paraId="60EA1DE0" w14:textId="77777777" w:rsidTr="00FA0CE4">
        <w:trPr>
          <w:tblHeader/>
        </w:trPr>
        <w:tc>
          <w:tcPr>
            <w:tcW w:w="3179" w:type="dxa"/>
            <w:shd w:val="clear" w:color="auto" w:fill="C6D9F1" w:themeFill="text2" w:themeFillTint="33"/>
            <w:vAlign w:val="center"/>
          </w:tcPr>
          <w:p w14:paraId="28F903D9" w14:textId="77777777" w:rsidR="003F22AE" w:rsidRPr="00167119" w:rsidRDefault="003F22AE" w:rsidP="00C04052">
            <w:pPr>
              <w:keepNext/>
              <w:keepLines/>
              <w:spacing w:after="0"/>
              <w:jc w:val="center"/>
              <w:outlineLvl w:val="4"/>
              <w:rPr>
                <w:rFonts w:asciiTheme="majorHAnsi" w:eastAsiaTheme="majorEastAsia" w:hAnsiTheme="majorHAnsi" w:cstheme="majorBidi"/>
                <w:color w:val="365F91" w:themeColor="accent1" w:themeShade="BF"/>
              </w:rPr>
            </w:pPr>
            <w:r w:rsidRPr="00167119">
              <w:rPr>
                <w:rFonts w:asciiTheme="majorHAnsi" w:eastAsiaTheme="majorEastAsia" w:hAnsiTheme="majorHAnsi" w:cstheme="majorBidi"/>
                <w:color w:val="365F91" w:themeColor="accent1" w:themeShade="BF"/>
              </w:rPr>
              <w:t>National Priority Policy Area</w:t>
            </w:r>
          </w:p>
        </w:tc>
        <w:tc>
          <w:tcPr>
            <w:tcW w:w="3053" w:type="dxa"/>
            <w:shd w:val="clear" w:color="auto" w:fill="C6D9F1" w:themeFill="text2" w:themeFillTint="33"/>
            <w:vAlign w:val="center"/>
          </w:tcPr>
          <w:p w14:paraId="74155C58" w14:textId="77777777" w:rsidR="003F22AE" w:rsidRPr="00167119" w:rsidRDefault="003F22AE" w:rsidP="00C04052">
            <w:pPr>
              <w:keepNext/>
              <w:keepLines/>
              <w:spacing w:after="0"/>
              <w:jc w:val="center"/>
              <w:outlineLvl w:val="4"/>
            </w:pPr>
            <w:r w:rsidRPr="00167119">
              <w:rPr>
                <w:rFonts w:asciiTheme="majorHAnsi" w:eastAsiaTheme="majorEastAsia" w:hAnsiTheme="majorHAnsi" w:cstheme="majorBidi"/>
                <w:color w:val="365F91" w:themeColor="accent1" w:themeShade="BF"/>
              </w:rPr>
              <w:t>Western Australian Initiatives on National Priority Policy Areas</w:t>
            </w:r>
          </w:p>
        </w:tc>
        <w:tc>
          <w:tcPr>
            <w:tcW w:w="3010" w:type="dxa"/>
            <w:shd w:val="clear" w:color="auto" w:fill="C6D9F1" w:themeFill="text2" w:themeFillTint="33"/>
            <w:vAlign w:val="center"/>
          </w:tcPr>
          <w:p w14:paraId="728484DE" w14:textId="77777777" w:rsidR="000E173F" w:rsidRPr="00167119" w:rsidRDefault="00F30CBD" w:rsidP="00C04052">
            <w:pPr>
              <w:keepNext/>
              <w:keepLines/>
              <w:spacing w:after="0"/>
              <w:jc w:val="center"/>
              <w:outlineLvl w:val="4"/>
              <w:rPr>
                <w:rFonts w:asciiTheme="majorHAnsi" w:eastAsiaTheme="majorEastAsia" w:hAnsiTheme="majorHAnsi" w:cstheme="majorBidi"/>
                <w:color w:val="365F91" w:themeColor="accent1" w:themeShade="BF"/>
              </w:rPr>
            </w:pPr>
            <w:r w:rsidRPr="00167119">
              <w:rPr>
                <w:rFonts w:asciiTheme="majorHAnsi" w:eastAsiaTheme="majorEastAsia" w:hAnsiTheme="majorHAnsi" w:cstheme="majorBidi"/>
                <w:color w:val="365F91" w:themeColor="accent1" w:themeShade="BF"/>
              </w:rPr>
              <w:t>Key actions and indicative timeframes</w:t>
            </w:r>
          </w:p>
        </w:tc>
      </w:tr>
      <w:tr w:rsidR="003F22AE" w:rsidRPr="00167119" w14:paraId="245F62C2" w14:textId="77777777" w:rsidTr="00C04052">
        <w:tc>
          <w:tcPr>
            <w:tcW w:w="3179" w:type="dxa"/>
          </w:tcPr>
          <w:p w14:paraId="10890381" w14:textId="77777777" w:rsidR="003F22AE" w:rsidRPr="00167119" w:rsidRDefault="003F22AE" w:rsidP="00C04052">
            <w:pPr>
              <w:numPr>
                <w:ilvl w:val="0"/>
                <w:numId w:val="5"/>
              </w:numPr>
              <w:spacing w:after="0" w:line="240" w:lineRule="auto"/>
              <w:ind w:left="360"/>
              <w:contextualSpacing/>
              <w:jc w:val="left"/>
              <w:rPr>
                <w:rFonts w:eastAsiaTheme="minorHAnsi"/>
              </w:rPr>
            </w:pPr>
            <w:r w:rsidRPr="00167119">
              <w:rPr>
                <w:rFonts w:eastAsiaTheme="minorHAnsi"/>
                <w:b/>
              </w:rPr>
              <w:lastRenderedPageBreak/>
              <w:t>social housing</w:t>
            </w:r>
            <w:r w:rsidRPr="00167119">
              <w:rPr>
                <w:rFonts w:eastAsiaTheme="minorHAnsi"/>
              </w:rPr>
              <w:t xml:space="preserve"> that is:</w:t>
            </w:r>
          </w:p>
          <w:p w14:paraId="73581944" w14:textId="77777777" w:rsidR="003F22AE" w:rsidRPr="00167119" w:rsidRDefault="003F22AE" w:rsidP="00C04052">
            <w:pPr>
              <w:numPr>
                <w:ilvl w:val="0"/>
                <w:numId w:val="8"/>
              </w:numPr>
              <w:spacing w:after="0" w:line="240" w:lineRule="auto"/>
              <w:contextualSpacing/>
              <w:jc w:val="left"/>
              <w:rPr>
                <w:rFonts w:eastAsiaTheme="minorHAnsi"/>
              </w:rPr>
            </w:pPr>
            <w:r w:rsidRPr="00167119">
              <w:rPr>
                <w:rFonts w:eastAsiaTheme="minorHAnsi"/>
              </w:rPr>
              <w:t>utilised efficiently and effectively (may include redevelopment and stock transfers)</w:t>
            </w:r>
          </w:p>
          <w:p w14:paraId="15CE48C1" w14:textId="77777777" w:rsidR="003F22AE" w:rsidRPr="00167119" w:rsidRDefault="003F22AE" w:rsidP="00C04052">
            <w:pPr>
              <w:numPr>
                <w:ilvl w:val="0"/>
                <w:numId w:val="8"/>
              </w:numPr>
              <w:spacing w:after="0" w:line="240" w:lineRule="auto"/>
              <w:contextualSpacing/>
              <w:jc w:val="left"/>
              <w:rPr>
                <w:rFonts w:eastAsiaTheme="minorHAnsi"/>
              </w:rPr>
            </w:pPr>
            <w:r w:rsidRPr="00167119">
              <w:rPr>
                <w:rFonts w:eastAsiaTheme="minorHAnsi"/>
              </w:rPr>
              <w:t xml:space="preserve">responsive to the needs of tenants (may include redevelopment and stock transfers); </w:t>
            </w:r>
          </w:p>
          <w:p w14:paraId="25C9E21E" w14:textId="77777777" w:rsidR="003F22AE" w:rsidRPr="00167119" w:rsidRDefault="003F22AE" w:rsidP="00C04052">
            <w:pPr>
              <w:numPr>
                <w:ilvl w:val="0"/>
                <w:numId w:val="8"/>
              </w:numPr>
              <w:spacing w:after="0" w:line="240" w:lineRule="auto"/>
              <w:contextualSpacing/>
              <w:jc w:val="left"/>
              <w:rPr>
                <w:rFonts w:eastAsiaTheme="minorHAnsi"/>
              </w:rPr>
            </w:pPr>
            <w:r w:rsidRPr="00167119">
              <w:rPr>
                <w:rFonts w:eastAsiaTheme="minorHAnsi"/>
              </w:rPr>
              <w:t>appropriately renewed and maintained (may include redevelopment and new construction);</w:t>
            </w:r>
          </w:p>
          <w:p w14:paraId="4CF44FBF" w14:textId="77777777" w:rsidR="003F22AE" w:rsidRPr="00167119" w:rsidRDefault="003F22AE" w:rsidP="00C04052">
            <w:pPr>
              <w:numPr>
                <w:ilvl w:val="0"/>
                <w:numId w:val="8"/>
              </w:numPr>
              <w:spacing w:after="0" w:line="240" w:lineRule="auto"/>
              <w:contextualSpacing/>
              <w:jc w:val="left"/>
              <w:rPr>
                <w:rFonts w:eastAsiaTheme="minorHAnsi"/>
              </w:rPr>
            </w:pPr>
            <w:r w:rsidRPr="00167119">
              <w:rPr>
                <w:rFonts w:eastAsiaTheme="minorHAnsi"/>
              </w:rPr>
              <w:t>responsive to demand (may include new construction and re-development)</w:t>
            </w:r>
          </w:p>
        </w:tc>
        <w:tc>
          <w:tcPr>
            <w:tcW w:w="3053" w:type="dxa"/>
            <w:vAlign w:val="center"/>
          </w:tcPr>
          <w:p w14:paraId="53A42ABA" w14:textId="77777777" w:rsidR="003F22AE" w:rsidRPr="00167119" w:rsidRDefault="003F22AE" w:rsidP="00C04052">
            <w:pPr>
              <w:jc w:val="left"/>
            </w:pPr>
            <w:r w:rsidRPr="00167119">
              <w:t>Western Australia is committed to delivering an efficient and sustainable social housing system that is responsive to the needs of tenants.</w:t>
            </w:r>
          </w:p>
          <w:p w14:paraId="5C080154" w14:textId="77777777" w:rsidR="003F22AE" w:rsidRPr="00167119" w:rsidRDefault="003F22AE" w:rsidP="00C04052">
            <w:pPr>
              <w:jc w:val="left"/>
            </w:pPr>
            <w:r w:rsidRPr="00167119">
              <w:t>Public housing is the backbone of the social housing system in Western Australia.</w:t>
            </w:r>
          </w:p>
          <w:p w14:paraId="3A27D29A" w14:textId="77777777" w:rsidR="003F22AE" w:rsidRPr="00167119" w:rsidRDefault="003F22AE" w:rsidP="00C04052">
            <w:pPr>
              <w:jc w:val="left"/>
            </w:pPr>
            <w:r w:rsidRPr="00167119">
              <w:t>Growth of the public housing system in Western Australia is constrained by the current fiscal environment.</w:t>
            </w:r>
          </w:p>
          <w:p w14:paraId="24C724AE" w14:textId="77777777" w:rsidR="003F22AE" w:rsidRPr="00167119" w:rsidRDefault="003F22AE" w:rsidP="00C04052">
            <w:pPr>
              <w:jc w:val="left"/>
            </w:pPr>
            <w:r w:rsidRPr="00167119">
              <w:t xml:space="preserve">Western Australia will seek to renew and reposition social housing assets to better meet current and future needs, and create additional opportunities through reducing under-occupancy, timely management of vacancies and assisting people with the capacity to transition to other housing options. </w:t>
            </w:r>
          </w:p>
        </w:tc>
        <w:tc>
          <w:tcPr>
            <w:tcW w:w="3010" w:type="dxa"/>
          </w:tcPr>
          <w:p w14:paraId="06D6ECAC" w14:textId="77777777" w:rsidR="009B2A4C" w:rsidRPr="00167119" w:rsidRDefault="009B2A4C" w:rsidP="00C04052">
            <w:pPr>
              <w:jc w:val="left"/>
            </w:pPr>
            <w:r w:rsidRPr="00167119">
              <w:t>Action from 2018-2023:</w:t>
            </w:r>
          </w:p>
          <w:p w14:paraId="7E424491" w14:textId="77777777" w:rsidR="000E173F" w:rsidRPr="00167119" w:rsidRDefault="00C01CBB" w:rsidP="00C04052">
            <w:pPr>
              <w:numPr>
                <w:ilvl w:val="0"/>
                <w:numId w:val="13"/>
              </w:numPr>
              <w:jc w:val="left"/>
            </w:pPr>
            <w:r w:rsidRPr="00167119">
              <w:t xml:space="preserve">Maintain </w:t>
            </w:r>
            <w:r w:rsidR="000E173F" w:rsidRPr="00167119">
              <w:t>over 43,000 social housing rentals, including subsidising public housing rents by an average of $300m p.a. to ensure they remain affordable</w:t>
            </w:r>
            <w:r w:rsidR="00140203" w:rsidRPr="00167119">
              <w:t>.</w:t>
            </w:r>
          </w:p>
          <w:p w14:paraId="4F4D76D2" w14:textId="77777777" w:rsidR="00F30CBD" w:rsidRPr="00167119" w:rsidRDefault="007B7DE7" w:rsidP="00C04052">
            <w:pPr>
              <w:jc w:val="left"/>
            </w:pPr>
            <w:r w:rsidRPr="00167119">
              <w:t xml:space="preserve">2018-19 to </w:t>
            </w:r>
            <w:r w:rsidR="00F30CBD" w:rsidRPr="00167119">
              <w:t>2019-2020:</w:t>
            </w:r>
          </w:p>
          <w:p w14:paraId="69D431C6" w14:textId="77777777" w:rsidR="000E173F" w:rsidRPr="00167119" w:rsidRDefault="000E173F" w:rsidP="00C04052">
            <w:pPr>
              <w:numPr>
                <w:ilvl w:val="0"/>
                <w:numId w:val="13"/>
              </w:numPr>
              <w:jc w:val="left"/>
            </w:pPr>
            <w:r w:rsidRPr="00167119">
              <w:t>Deliver a further 534 homes to assist more than 1,000 people with urgent need</w:t>
            </w:r>
            <w:r w:rsidR="00140203" w:rsidRPr="00167119">
              <w:t>.</w:t>
            </w:r>
          </w:p>
          <w:p w14:paraId="0C8670D2" w14:textId="77777777" w:rsidR="000E173F" w:rsidRPr="00167119" w:rsidRDefault="000E173F" w:rsidP="00C04052">
            <w:pPr>
              <w:numPr>
                <w:ilvl w:val="0"/>
                <w:numId w:val="13"/>
              </w:numPr>
              <w:jc w:val="left"/>
            </w:pPr>
            <w:r w:rsidRPr="00167119">
              <w:t>Refurbish 100 social housing dwellings to extend their useful life</w:t>
            </w:r>
            <w:r w:rsidR="008F44B3" w:rsidRPr="00167119">
              <w:t>.</w:t>
            </w:r>
          </w:p>
          <w:p w14:paraId="1CA2CD62" w14:textId="77777777" w:rsidR="000E173F" w:rsidRPr="00167119" w:rsidRDefault="000E173F" w:rsidP="00C04052">
            <w:pPr>
              <w:numPr>
                <w:ilvl w:val="0"/>
                <w:numId w:val="13"/>
              </w:numPr>
              <w:jc w:val="left"/>
            </w:pPr>
            <w:r w:rsidRPr="00167119">
              <w:t>Replace 100 larger homes with 1-2 bedroom homes to better align to applicants</w:t>
            </w:r>
            <w:r w:rsidR="008F44B3" w:rsidRPr="00167119">
              <w:t>’</w:t>
            </w:r>
            <w:r w:rsidRPr="00167119">
              <w:t xml:space="preserve"> needs</w:t>
            </w:r>
            <w:r w:rsidR="008F44B3" w:rsidRPr="00167119">
              <w:t>.</w:t>
            </w:r>
          </w:p>
          <w:p w14:paraId="2CADD8B5" w14:textId="77777777" w:rsidR="003F22AE" w:rsidRPr="00167119" w:rsidRDefault="000E173F" w:rsidP="00C04052">
            <w:pPr>
              <w:numPr>
                <w:ilvl w:val="0"/>
                <w:numId w:val="13"/>
              </w:numPr>
              <w:jc w:val="left"/>
            </w:pPr>
            <w:r w:rsidRPr="00167119">
              <w:t>Facilitate 500 transfers of small households from large to smaller homes to help free up capacity to assist more people.</w:t>
            </w:r>
          </w:p>
        </w:tc>
      </w:tr>
      <w:tr w:rsidR="003F22AE" w:rsidRPr="00167119" w14:paraId="3AA851B6" w14:textId="77777777" w:rsidTr="00C04052">
        <w:tc>
          <w:tcPr>
            <w:tcW w:w="3179" w:type="dxa"/>
          </w:tcPr>
          <w:p w14:paraId="7A5C7F7E" w14:textId="77777777" w:rsidR="003F22AE" w:rsidRPr="00167119" w:rsidRDefault="003F22AE" w:rsidP="00C04052">
            <w:pPr>
              <w:numPr>
                <w:ilvl w:val="0"/>
                <w:numId w:val="5"/>
              </w:numPr>
              <w:spacing w:after="0" w:line="240" w:lineRule="auto"/>
              <w:ind w:left="360"/>
              <w:contextualSpacing/>
              <w:jc w:val="left"/>
            </w:pPr>
            <w:r w:rsidRPr="00167119">
              <w:rPr>
                <w:b/>
              </w:rPr>
              <w:t>community housing support</w:t>
            </w:r>
            <w:r w:rsidRPr="00167119">
              <w:t xml:space="preserve"> that improves the viability and encourages growth of the sector (may include redevelopment and stock transfers)</w:t>
            </w:r>
          </w:p>
        </w:tc>
        <w:tc>
          <w:tcPr>
            <w:tcW w:w="3053" w:type="dxa"/>
          </w:tcPr>
          <w:p w14:paraId="49940EDE" w14:textId="77777777" w:rsidR="003F22AE" w:rsidRPr="00167119" w:rsidRDefault="003F22AE" w:rsidP="00C04052">
            <w:r w:rsidRPr="00167119">
              <w:t>Western Australia is currently reviewing the contribution of the community housing sector to the social housing system in terms of tenant, asset and financial outcomes with a view to informing future investment decisions.</w:t>
            </w:r>
          </w:p>
          <w:p w14:paraId="500B2B7F" w14:textId="77777777" w:rsidR="003F22AE" w:rsidRPr="00167119" w:rsidRDefault="003F22AE" w:rsidP="00C04052">
            <w:r w:rsidRPr="00167119">
              <w:t>The Housing Authority operates an open and ongoing EOI process through which it will continue to enter into partnerships and commercial arrangements with community housing providers on a case by case basis where the project meets specified investment criteria.</w:t>
            </w:r>
          </w:p>
        </w:tc>
        <w:tc>
          <w:tcPr>
            <w:tcW w:w="3010" w:type="dxa"/>
          </w:tcPr>
          <w:p w14:paraId="5790809A" w14:textId="77777777" w:rsidR="007B7DE7" w:rsidRPr="00167119" w:rsidRDefault="007B7DE7" w:rsidP="00C04052">
            <w:r w:rsidRPr="00167119">
              <w:t>2018-19 to 2019-2020:</w:t>
            </w:r>
          </w:p>
          <w:p w14:paraId="5DA26923" w14:textId="77777777" w:rsidR="00712668" w:rsidRPr="00167119" w:rsidRDefault="0071135A" w:rsidP="00C04052">
            <w:pPr>
              <w:pStyle w:val="ListParagraph"/>
              <w:numPr>
                <w:ilvl w:val="0"/>
                <w:numId w:val="14"/>
              </w:numPr>
            </w:pPr>
            <w:r w:rsidRPr="00167119">
              <w:t>Deliver</w:t>
            </w:r>
            <w:r w:rsidR="00712668" w:rsidRPr="00167119">
              <w:t xml:space="preserve"> the final 122 homes (of </w:t>
            </w:r>
            <w:r w:rsidR="00B360E8" w:rsidRPr="00167119">
              <w:t xml:space="preserve">the agreed </w:t>
            </w:r>
            <w:r w:rsidR="00712668" w:rsidRPr="00167119">
              <w:t xml:space="preserve">552 over 10 years) </w:t>
            </w:r>
            <w:r w:rsidR="00B360E8" w:rsidRPr="00167119">
              <w:t xml:space="preserve">from leveraging the transfer and leasing of public housing stock </w:t>
            </w:r>
            <w:r w:rsidR="00712668" w:rsidRPr="00167119">
              <w:t>as part of the $600m asset transfer program to Community Housing providers</w:t>
            </w:r>
            <w:r w:rsidR="002D12B9" w:rsidRPr="00167119">
              <w:t>.</w:t>
            </w:r>
          </w:p>
        </w:tc>
      </w:tr>
      <w:tr w:rsidR="003F22AE" w:rsidRPr="00167119" w14:paraId="0FD854BD" w14:textId="77777777" w:rsidTr="00C04052">
        <w:tc>
          <w:tcPr>
            <w:tcW w:w="3179" w:type="dxa"/>
          </w:tcPr>
          <w:p w14:paraId="66537F78" w14:textId="77777777" w:rsidR="003F22AE" w:rsidRPr="00167119" w:rsidRDefault="003F22AE" w:rsidP="00C04052">
            <w:pPr>
              <w:numPr>
                <w:ilvl w:val="0"/>
                <w:numId w:val="5"/>
              </w:numPr>
              <w:spacing w:after="0" w:line="240" w:lineRule="auto"/>
              <w:ind w:left="360"/>
              <w:contextualSpacing/>
              <w:jc w:val="left"/>
            </w:pPr>
            <w:r w:rsidRPr="00167119">
              <w:rPr>
                <w:b/>
              </w:rPr>
              <w:lastRenderedPageBreak/>
              <w:t>affordable housing</w:t>
            </w:r>
            <w:r w:rsidRPr="00167119">
              <w:t xml:space="preserve"> (may include stock transfers and incentives to increase supply);</w:t>
            </w:r>
          </w:p>
        </w:tc>
        <w:tc>
          <w:tcPr>
            <w:tcW w:w="3053" w:type="dxa"/>
          </w:tcPr>
          <w:p w14:paraId="2C4DFBF5" w14:textId="77777777" w:rsidR="003F22AE" w:rsidRPr="00167119" w:rsidRDefault="003F22AE" w:rsidP="00C04052">
            <w:r w:rsidRPr="00167119">
              <w:t>Provision of affordable housing opportunities, particularly for people on low to moderate incomes, is a key priority for Western Australia and this is reflected in our Affordable Housing Action Plan. In WA, affordable housing opportunities include affordable private rentals, NRAS, shared equity, Keystart home loans, bond assistance loans, and affordable housing and land development delivered through joint ventures with industry partners.</w:t>
            </w:r>
          </w:p>
        </w:tc>
        <w:tc>
          <w:tcPr>
            <w:tcW w:w="3010" w:type="dxa"/>
          </w:tcPr>
          <w:p w14:paraId="46C7A5EB" w14:textId="77777777" w:rsidR="009B2A4C" w:rsidRPr="00167119" w:rsidRDefault="009B2A4C" w:rsidP="00C04052">
            <w:pPr>
              <w:jc w:val="left"/>
            </w:pPr>
            <w:r w:rsidRPr="00167119">
              <w:t>2018-2023:</w:t>
            </w:r>
          </w:p>
          <w:p w14:paraId="7434FFE2" w14:textId="77777777" w:rsidR="00F30CBD" w:rsidRPr="00167119" w:rsidRDefault="009B2A4C" w:rsidP="00C04052">
            <w:pPr>
              <w:pStyle w:val="ListParagraph"/>
              <w:numPr>
                <w:ilvl w:val="0"/>
                <w:numId w:val="14"/>
              </w:numPr>
              <w:jc w:val="left"/>
            </w:pPr>
            <w:r w:rsidRPr="00167119">
              <w:t>C</w:t>
            </w:r>
            <w:r w:rsidR="00F30CBD" w:rsidRPr="00167119">
              <w:t>ontinue to work with our key government, community and industry partners to deliver affordable housing options for people on low to moderate incomes.</w:t>
            </w:r>
          </w:p>
          <w:p w14:paraId="3049874D" w14:textId="77777777" w:rsidR="003F22AE" w:rsidRPr="00167119" w:rsidRDefault="003F22AE" w:rsidP="00C04052">
            <w:pPr>
              <w:jc w:val="left"/>
            </w:pPr>
          </w:p>
        </w:tc>
      </w:tr>
      <w:tr w:rsidR="003F22AE" w:rsidRPr="00167119" w14:paraId="1725F503" w14:textId="77777777" w:rsidTr="00C04052">
        <w:tc>
          <w:tcPr>
            <w:tcW w:w="3179" w:type="dxa"/>
          </w:tcPr>
          <w:p w14:paraId="7937A03D" w14:textId="77777777" w:rsidR="003F22AE" w:rsidRPr="00167119" w:rsidRDefault="003F22AE" w:rsidP="00C04052">
            <w:pPr>
              <w:numPr>
                <w:ilvl w:val="0"/>
                <w:numId w:val="5"/>
              </w:numPr>
              <w:spacing w:after="0" w:line="240" w:lineRule="auto"/>
              <w:ind w:left="360"/>
              <w:contextualSpacing/>
              <w:jc w:val="left"/>
            </w:pPr>
            <w:r w:rsidRPr="00167119">
              <w:rPr>
                <w:b/>
              </w:rPr>
              <w:t>tenancy reform</w:t>
            </w:r>
            <w:r w:rsidRPr="00167119">
              <w:t xml:space="preserve"> that encourages security of tenure</w:t>
            </w:r>
          </w:p>
        </w:tc>
        <w:tc>
          <w:tcPr>
            <w:tcW w:w="3053" w:type="dxa"/>
          </w:tcPr>
          <w:p w14:paraId="660B2C3C" w14:textId="77777777" w:rsidR="003F22AE" w:rsidRPr="00167119" w:rsidRDefault="009B2A4C" w:rsidP="00C04052">
            <w:r w:rsidRPr="00167119">
              <w:t>Western Australia will maintain a focus on delivering diverse housing types and tenures that promote inclusive and connected communities.</w:t>
            </w:r>
          </w:p>
          <w:p w14:paraId="55ACDF2D" w14:textId="77777777" w:rsidR="00960D93" w:rsidRPr="00167119" w:rsidRDefault="00960D93" w:rsidP="00C04052"/>
        </w:tc>
        <w:tc>
          <w:tcPr>
            <w:tcW w:w="3010" w:type="dxa"/>
          </w:tcPr>
          <w:p w14:paraId="63FA91F8" w14:textId="77777777" w:rsidR="00743A5C" w:rsidRPr="00167119" w:rsidRDefault="00743A5C" w:rsidP="00C04052">
            <w:r w:rsidRPr="00167119">
              <w:t>2018-2023:</w:t>
            </w:r>
          </w:p>
          <w:p w14:paraId="1EBEC205" w14:textId="77777777" w:rsidR="003F22AE" w:rsidRPr="00167119" w:rsidRDefault="009B2A4C" w:rsidP="00C04052">
            <w:pPr>
              <w:pStyle w:val="ListParagraph"/>
              <w:numPr>
                <w:ilvl w:val="0"/>
                <w:numId w:val="14"/>
              </w:numPr>
              <w:jc w:val="left"/>
            </w:pPr>
            <w:r w:rsidRPr="00167119">
              <w:t>P</w:t>
            </w:r>
            <w:r w:rsidR="00743A5C" w:rsidRPr="00167119">
              <w:t>ursue actions to create long-term affordable rental options in the market, particularly for people on low incomes</w:t>
            </w:r>
            <w:r w:rsidRPr="00167119">
              <w:t>.</w:t>
            </w:r>
          </w:p>
        </w:tc>
      </w:tr>
      <w:tr w:rsidR="003F22AE" w:rsidRPr="00167119" w14:paraId="1ADAA2CE" w14:textId="77777777" w:rsidTr="00C04052">
        <w:tc>
          <w:tcPr>
            <w:tcW w:w="3179" w:type="dxa"/>
          </w:tcPr>
          <w:p w14:paraId="26353A99" w14:textId="77777777" w:rsidR="003F22AE" w:rsidRPr="00167119" w:rsidRDefault="003F22AE" w:rsidP="00C04052">
            <w:pPr>
              <w:numPr>
                <w:ilvl w:val="0"/>
                <w:numId w:val="5"/>
              </w:numPr>
              <w:spacing w:after="0" w:line="240" w:lineRule="auto"/>
              <w:ind w:left="360"/>
              <w:contextualSpacing/>
              <w:jc w:val="left"/>
            </w:pPr>
            <w:r w:rsidRPr="00167119">
              <w:rPr>
                <w:b/>
              </w:rPr>
              <w:t>home ownership</w:t>
            </w:r>
            <w:r w:rsidRPr="00167119">
              <w:t xml:space="preserve"> including support for first home buyers</w:t>
            </w:r>
          </w:p>
        </w:tc>
        <w:tc>
          <w:tcPr>
            <w:tcW w:w="3053" w:type="dxa"/>
          </w:tcPr>
          <w:p w14:paraId="6315D67F" w14:textId="77777777" w:rsidR="003F22AE" w:rsidRPr="00167119" w:rsidRDefault="003F22AE" w:rsidP="00C04052">
            <w:r w:rsidRPr="00167119">
              <w:t>Wes</w:t>
            </w:r>
            <w:r w:rsidR="00F83C2E" w:rsidRPr="00167119">
              <w:t xml:space="preserve">tern Australia </w:t>
            </w:r>
            <w:r w:rsidRPr="00167119">
              <w:t>support</w:t>
            </w:r>
            <w:r w:rsidR="00F83C2E" w:rsidRPr="00167119">
              <w:t>s</w:t>
            </w:r>
            <w:r w:rsidRPr="00167119">
              <w:t xml:space="preserve"> home ownership through shared equity opportunities and the responsible provision of low deposit home loans for low to moderate income households through Keystart. </w:t>
            </w:r>
          </w:p>
        </w:tc>
        <w:tc>
          <w:tcPr>
            <w:tcW w:w="3010" w:type="dxa"/>
          </w:tcPr>
          <w:p w14:paraId="57D2BAF3" w14:textId="77777777" w:rsidR="003F22AE" w:rsidRPr="00167119" w:rsidRDefault="00743A5C" w:rsidP="00C04052">
            <w:pPr>
              <w:jc w:val="left"/>
            </w:pPr>
            <w:r w:rsidRPr="00167119">
              <w:t>2018-2023:</w:t>
            </w:r>
          </w:p>
          <w:p w14:paraId="4A5ADCEF" w14:textId="77777777" w:rsidR="007B7DE7" w:rsidRPr="00167119" w:rsidRDefault="007B7DE7" w:rsidP="00C04052">
            <w:pPr>
              <w:pStyle w:val="ListParagraph"/>
              <w:numPr>
                <w:ilvl w:val="0"/>
                <w:numId w:val="14"/>
              </w:numPr>
              <w:jc w:val="left"/>
            </w:pPr>
            <w:r w:rsidRPr="00167119">
              <w:t>Continue to support home ownership opportunities through shared equity and low deposit home loans.</w:t>
            </w:r>
          </w:p>
        </w:tc>
      </w:tr>
      <w:tr w:rsidR="003F22AE" w:rsidRPr="00167119" w14:paraId="18343AB4" w14:textId="77777777" w:rsidTr="00C04052">
        <w:trPr>
          <w:trHeight w:val="6578"/>
        </w:trPr>
        <w:tc>
          <w:tcPr>
            <w:tcW w:w="3179" w:type="dxa"/>
          </w:tcPr>
          <w:p w14:paraId="50A4747A" w14:textId="77777777" w:rsidR="003F22AE" w:rsidRPr="00167119" w:rsidRDefault="003F22AE" w:rsidP="00C04052">
            <w:pPr>
              <w:numPr>
                <w:ilvl w:val="0"/>
                <w:numId w:val="5"/>
              </w:numPr>
              <w:spacing w:after="0" w:line="240" w:lineRule="auto"/>
              <w:ind w:left="360"/>
              <w:contextualSpacing/>
              <w:jc w:val="left"/>
            </w:pPr>
            <w:r w:rsidRPr="00167119">
              <w:rPr>
                <w:b/>
              </w:rPr>
              <w:lastRenderedPageBreak/>
              <w:t>planning and zoning reform</w:t>
            </w:r>
            <w:r w:rsidRPr="00167119">
              <w:t>, including consideration of inclusionary zoning and land release strategies</w:t>
            </w:r>
          </w:p>
          <w:p w14:paraId="50155CA3" w14:textId="77777777" w:rsidR="003F22AE" w:rsidRPr="00167119" w:rsidRDefault="003F22AE" w:rsidP="00C04052">
            <w:pPr>
              <w:spacing w:after="0" w:line="240" w:lineRule="auto"/>
              <w:ind w:left="360"/>
              <w:contextualSpacing/>
              <w:jc w:val="left"/>
            </w:pPr>
          </w:p>
        </w:tc>
        <w:tc>
          <w:tcPr>
            <w:tcW w:w="3053" w:type="dxa"/>
          </w:tcPr>
          <w:p w14:paraId="5E8FBDC4" w14:textId="77777777" w:rsidR="003F22AE" w:rsidRPr="00167119" w:rsidRDefault="003F22AE" w:rsidP="00C04052">
            <w:pPr>
              <w:rPr>
                <w:color w:val="FF0000"/>
              </w:rPr>
            </w:pPr>
            <w:r w:rsidRPr="00167119">
              <w:t xml:space="preserve">Western Australia has undertaken extensive planning reforms and in May 2018 released a planning reform Green Paper for public consultation. Feedback on the </w:t>
            </w:r>
            <w:r w:rsidRPr="00167119">
              <w:rPr>
                <w:color w:val="auto"/>
              </w:rPr>
              <w:t>Green Paper will inform the State Government’s reform agenda</w:t>
            </w:r>
            <w:r w:rsidR="00B017F2" w:rsidRPr="00167119">
              <w:rPr>
                <w:color w:val="auto"/>
              </w:rPr>
              <w:t xml:space="preserve"> for a contemporary planning system</w:t>
            </w:r>
            <w:r w:rsidRPr="00167119">
              <w:rPr>
                <w:color w:val="auto"/>
              </w:rPr>
              <w:t>.</w:t>
            </w:r>
          </w:p>
          <w:p w14:paraId="4B6FFF44" w14:textId="77777777" w:rsidR="003F22AE" w:rsidRPr="00167119" w:rsidRDefault="003F22AE" w:rsidP="00C04052">
            <w:r w:rsidRPr="00167119">
              <w:t>In respect to land supply for urban development, there is currently sufficient land identified across Perth and Peel for urban development to meet future requirements over the next 50 years, based on average consumption rates and providing infill targets continue to keep pace with demand.</w:t>
            </w:r>
          </w:p>
          <w:p w14:paraId="22A09F3C" w14:textId="77777777" w:rsidR="003F22AE" w:rsidRPr="00167119" w:rsidRDefault="003F22AE" w:rsidP="00C04052"/>
        </w:tc>
        <w:tc>
          <w:tcPr>
            <w:tcW w:w="3010" w:type="dxa"/>
          </w:tcPr>
          <w:p w14:paraId="070977DF" w14:textId="77777777" w:rsidR="000972B2" w:rsidRPr="00167119" w:rsidRDefault="000972B2" w:rsidP="00C04052">
            <w:r w:rsidRPr="00167119">
              <w:t>Action</w:t>
            </w:r>
            <w:r w:rsidR="00743A5C" w:rsidRPr="00167119">
              <w:t>s</w:t>
            </w:r>
            <w:r w:rsidRPr="00167119">
              <w:t xml:space="preserve"> from 2018 to 2023:</w:t>
            </w:r>
          </w:p>
          <w:p w14:paraId="11486CE6" w14:textId="77777777" w:rsidR="00407E39" w:rsidRPr="00167119" w:rsidRDefault="00AC2E65" w:rsidP="00C04052">
            <w:pPr>
              <w:pStyle w:val="ListParagraph"/>
              <w:numPr>
                <w:ilvl w:val="0"/>
                <w:numId w:val="14"/>
              </w:numPr>
              <w:jc w:val="left"/>
            </w:pPr>
            <w:r w:rsidRPr="00167119">
              <w:t xml:space="preserve">Develop and commence implementation of Western Australia’s </w:t>
            </w:r>
            <w:r w:rsidR="00407E39" w:rsidRPr="00167119">
              <w:t>planning reform agenda.</w:t>
            </w:r>
          </w:p>
          <w:p w14:paraId="22866097" w14:textId="77777777" w:rsidR="00925F7F" w:rsidRPr="00167119" w:rsidRDefault="00925F7F" w:rsidP="00C04052">
            <w:pPr>
              <w:jc w:val="left"/>
            </w:pPr>
          </w:p>
        </w:tc>
      </w:tr>
    </w:tbl>
    <w:p w14:paraId="26BCC78F" w14:textId="77777777" w:rsidR="0035425C" w:rsidRPr="00167119" w:rsidRDefault="0035425C" w:rsidP="0035425C">
      <w:pPr>
        <w:pStyle w:val="OutlineNumbered1"/>
        <w:numPr>
          <w:ilvl w:val="0"/>
          <w:numId w:val="0"/>
        </w:numPr>
        <w:rPr>
          <w:rFonts w:eastAsiaTheme="minorHAnsi"/>
          <w:sz w:val="24"/>
          <w:lang w:eastAsia="en-US"/>
        </w:rPr>
      </w:pPr>
    </w:p>
    <w:p w14:paraId="33408D52" w14:textId="77777777" w:rsidR="0069302A" w:rsidRPr="0069302A" w:rsidRDefault="0069302A" w:rsidP="0069302A">
      <w:pPr>
        <w:pStyle w:val="OutlineNumbered1"/>
        <w:rPr>
          <w:sz w:val="24"/>
        </w:rPr>
      </w:pPr>
      <w:bookmarkStart w:id="5" w:name="_Hlk519259885"/>
      <w:r w:rsidRPr="0069302A">
        <w:t xml:space="preserve"> </w:t>
      </w:r>
      <w:r>
        <w:rPr>
          <w:sz w:val="24"/>
        </w:rPr>
        <w:t>Western Australia</w:t>
      </w:r>
      <w:r w:rsidRPr="0069302A">
        <w:rPr>
          <w:sz w:val="24"/>
        </w:rPr>
        <w:t xml:space="preserve"> asserts that changes to the</w:t>
      </w:r>
      <w:r>
        <w:rPr>
          <w:sz w:val="24"/>
        </w:rPr>
        <w:t xml:space="preserve"> key actions </w:t>
      </w:r>
      <w:r w:rsidRPr="0069302A">
        <w:rPr>
          <w:sz w:val="24"/>
        </w:rPr>
        <w:t xml:space="preserve">and timeframes </w:t>
      </w:r>
      <w:r>
        <w:rPr>
          <w:sz w:val="24"/>
        </w:rPr>
        <w:t xml:space="preserve">detailed in the table at clause 27 </w:t>
      </w:r>
      <w:r w:rsidRPr="0069302A">
        <w:rPr>
          <w:sz w:val="24"/>
        </w:rPr>
        <w:t xml:space="preserve">remain at </w:t>
      </w:r>
      <w:r>
        <w:rPr>
          <w:sz w:val="24"/>
        </w:rPr>
        <w:t>the discretion of the Western Australian</w:t>
      </w:r>
      <w:r w:rsidRPr="0069302A">
        <w:rPr>
          <w:sz w:val="24"/>
        </w:rPr>
        <w:t xml:space="preserve"> Government.</w:t>
      </w:r>
    </w:p>
    <w:bookmarkEnd w:id="5"/>
    <w:p w14:paraId="4E7A4A7F" w14:textId="77777777" w:rsidR="003E00B6" w:rsidRPr="00167119" w:rsidRDefault="003E00B6" w:rsidP="0055311E">
      <w:pPr>
        <w:pStyle w:val="Heading1"/>
        <w:spacing w:before="240"/>
      </w:pPr>
      <w:r w:rsidRPr="00167119">
        <w:t>Part 3 –</w:t>
      </w:r>
      <w:r w:rsidR="00AB140D" w:rsidRPr="00167119">
        <w:t xml:space="preserve"> Western Australian</w:t>
      </w:r>
      <w:r w:rsidRPr="00167119">
        <w:t xml:space="preserve"> homelessness strategy</w:t>
      </w:r>
    </w:p>
    <w:p w14:paraId="4488BD75" w14:textId="77777777" w:rsidR="00C51334" w:rsidRPr="00167119" w:rsidRDefault="00C51334" w:rsidP="00C51334">
      <w:pPr>
        <w:pStyle w:val="OutlineNumbered1"/>
      </w:pPr>
      <w:bookmarkStart w:id="6" w:name="PART_4:_PROJECT_MILESTONES,_REPORTING_AN"/>
      <w:bookmarkEnd w:id="6"/>
      <w:r w:rsidRPr="00167119">
        <w:t>With respect to the requirement to have a homelessness strategy, as outlined in clause</w:t>
      </w:r>
      <w:r w:rsidR="00726919">
        <w:t> </w:t>
      </w:r>
      <w:r w:rsidRPr="00167119">
        <w:t>17</w:t>
      </w:r>
      <w:r w:rsidR="00726919">
        <w:t> (b)</w:t>
      </w:r>
      <w:r w:rsidRPr="00167119">
        <w:t xml:space="preserve"> of the Agreement, Western Australia is developing and will have a new strategy in place and publicly available by 1 July 2019. The period from 1 July 2018 to 30</w:t>
      </w:r>
      <w:r w:rsidR="00726919">
        <w:t> </w:t>
      </w:r>
      <w:r w:rsidRPr="00167119">
        <w:t xml:space="preserve">June 2019 is a period prescribed for the purposes of sub-clause 18(e) of the Agreement for which it is not reasonably practicable for Western Australia to have a publicly available strategy.   </w:t>
      </w:r>
    </w:p>
    <w:p w14:paraId="4CD90ABE" w14:textId="77777777" w:rsidR="00CB2EF3" w:rsidRPr="00167119" w:rsidRDefault="00CB2EF3" w:rsidP="007453CC">
      <w:pPr>
        <w:pStyle w:val="OutlineNumbered1"/>
        <w:numPr>
          <w:ilvl w:val="0"/>
          <w:numId w:val="0"/>
        </w:numPr>
        <w:ind w:left="543" w:hanging="543"/>
        <w:rPr>
          <w:b/>
          <w:u w:val="single"/>
        </w:rPr>
      </w:pPr>
      <w:r w:rsidRPr="00167119">
        <w:rPr>
          <w:b/>
          <w:u w:val="single"/>
        </w:rPr>
        <w:t>10 – Year Homelessness Strategy</w:t>
      </w:r>
    </w:p>
    <w:p w14:paraId="3D7E01AD" w14:textId="77777777" w:rsidR="00145958" w:rsidRPr="00167119" w:rsidRDefault="00145958" w:rsidP="00C51334">
      <w:pPr>
        <w:pStyle w:val="OutlineNumbered1"/>
      </w:pPr>
      <w:r w:rsidRPr="00167119">
        <w:t>Western Australia</w:t>
      </w:r>
      <w:r w:rsidR="00977E88" w:rsidRPr="00167119">
        <w:t xml:space="preserve"> has commenced work on</w:t>
      </w:r>
      <w:r w:rsidR="00D0371F" w:rsidRPr="00167119">
        <w:t xml:space="preserve"> a </w:t>
      </w:r>
      <w:r w:rsidR="003C633C" w:rsidRPr="00167119">
        <w:t xml:space="preserve">10-year </w:t>
      </w:r>
      <w:r w:rsidR="00D0371F" w:rsidRPr="00167119">
        <w:t xml:space="preserve">Homelessness Strategy </w:t>
      </w:r>
      <w:r w:rsidR="00977E88" w:rsidRPr="00167119">
        <w:t xml:space="preserve">which will be </w:t>
      </w:r>
      <w:r w:rsidR="00565DE6" w:rsidRPr="00167119">
        <w:t xml:space="preserve">published following a co-design process with the community sector </w:t>
      </w:r>
      <w:r w:rsidR="00601B3F" w:rsidRPr="00167119">
        <w:t>and consumers of homelessness services or those who have experienced homelessness.</w:t>
      </w:r>
    </w:p>
    <w:p w14:paraId="26131DD8" w14:textId="77777777" w:rsidR="00145958" w:rsidRPr="00167119" w:rsidRDefault="00344C58" w:rsidP="00C51334">
      <w:pPr>
        <w:pStyle w:val="OutlineNumbered1"/>
      </w:pPr>
      <w:r w:rsidRPr="00167119">
        <w:t xml:space="preserve">Development of the </w:t>
      </w:r>
      <w:r w:rsidR="00565DE6" w:rsidRPr="00167119">
        <w:t xml:space="preserve">10-year </w:t>
      </w:r>
      <w:r w:rsidRPr="00167119">
        <w:t xml:space="preserve">Homelessness Strategy will involve investigating innovative </w:t>
      </w:r>
      <w:r w:rsidR="00145958" w:rsidRPr="00167119">
        <w:t>and sustainable ways services can be delivered to better meet the needs of individuals and fam</w:t>
      </w:r>
      <w:r w:rsidRPr="00167119">
        <w:t>ilies experiencing homelessnes</w:t>
      </w:r>
      <w:r w:rsidR="00120AAA" w:rsidRPr="00167119">
        <w:t>s, with a focus on older women in addition to the national</w:t>
      </w:r>
      <w:r w:rsidRPr="00167119">
        <w:t xml:space="preserve"> priority </w:t>
      </w:r>
      <w:r w:rsidR="00120AAA" w:rsidRPr="00167119">
        <w:t>homelessness cohorts.</w:t>
      </w:r>
    </w:p>
    <w:p w14:paraId="466CB2B2" w14:textId="77777777" w:rsidR="00815098" w:rsidRPr="00167119" w:rsidRDefault="00601B3F" w:rsidP="00C51334">
      <w:pPr>
        <w:pStyle w:val="OutlineNumbered1"/>
      </w:pPr>
      <w:r w:rsidRPr="00167119">
        <w:lastRenderedPageBreak/>
        <w:t>Dedicated h</w:t>
      </w:r>
      <w:r w:rsidR="008D0321" w:rsidRPr="00167119">
        <w:t>omelessness funding under this Agreement will be applied</w:t>
      </w:r>
      <w:r w:rsidRPr="00167119">
        <w:t xml:space="preserve"> initially</w:t>
      </w:r>
      <w:r w:rsidR="008D0321" w:rsidRPr="00167119">
        <w:t xml:space="preserve"> to extending the existing contracts for funded service providers while the</w:t>
      </w:r>
      <w:r w:rsidR="00565DE6" w:rsidRPr="00167119">
        <w:t xml:space="preserve"> 10-year</w:t>
      </w:r>
      <w:r w:rsidR="008D0321" w:rsidRPr="00167119">
        <w:t xml:space="preserve"> Homelessness Strategy is developed</w:t>
      </w:r>
      <w:r w:rsidRPr="00167119">
        <w:t xml:space="preserve"> and transition to new service models is effected.</w:t>
      </w:r>
    </w:p>
    <w:p w14:paraId="53103E97" w14:textId="77777777" w:rsidR="0048726D" w:rsidRPr="00167119" w:rsidRDefault="0048726D" w:rsidP="00C51334">
      <w:pPr>
        <w:pStyle w:val="OutlineNumbered1"/>
      </w:pPr>
      <w:r w:rsidRPr="00167119">
        <w:t xml:space="preserve">Once endorsed by the WA Government, the 10-year Homelessness Strategy will be publicly available at </w:t>
      </w:r>
      <w:hyperlink r:id="rId20" w:history="1">
        <w:r w:rsidR="00FB6F45" w:rsidRPr="00167119">
          <w:rPr>
            <w:rStyle w:val="Hyperlink"/>
          </w:rPr>
          <w:t>http://www.communities.wa.gov.au/</w:t>
        </w:r>
      </w:hyperlink>
      <w:r w:rsidR="00FB6F45" w:rsidRPr="00167119">
        <w:t>.</w:t>
      </w:r>
      <w:r w:rsidRPr="00167119">
        <w:t xml:space="preserve"> </w:t>
      </w:r>
    </w:p>
    <w:p w14:paraId="313DFE39" w14:textId="77777777" w:rsidR="00CB2EF3" w:rsidRPr="00167119" w:rsidRDefault="00CB2EF3" w:rsidP="00E40025">
      <w:pPr>
        <w:pStyle w:val="OutlineNumbered1"/>
        <w:numPr>
          <w:ilvl w:val="0"/>
          <w:numId w:val="0"/>
        </w:numPr>
        <w:rPr>
          <w:b/>
          <w:u w:val="single"/>
        </w:rPr>
      </w:pPr>
      <w:r w:rsidRPr="00167119">
        <w:rPr>
          <w:b/>
          <w:u w:val="single"/>
        </w:rPr>
        <w:t>Western Australia</w:t>
      </w:r>
      <w:r w:rsidR="00A535FA" w:rsidRPr="00167119">
        <w:rPr>
          <w:b/>
          <w:u w:val="single"/>
        </w:rPr>
        <w:t xml:space="preserve">’s </w:t>
      </w:r>
      <w:r w:rsidR="000648F0" w:rsidRPr="00167119">
        <w:rPr>
          <w:b/>
          <w:u w:val="single"/>
        </w:rPr>
        <w:t>alignment with</w:t>
      </w:r>
      <w:r w:rsidRPr="00167119">
        <w:rPr>
          <w:b/>
          <w:u w:val="single"/>
        </w:rPr>
        <w:t xml:space="preserve"> National </w:t>
      </w:r>
      <w:r w:rsidR="00A535FA" w:rsidRPr="00167119">
        <w:rPr>
          <w:b/>
          <w:u w:val="single"/>
        </w:rPr>
        <w:t>Homelessness Priority Cohorts and Reform Areas</w:t>
      </w:r>
      <w:r w:rsidRPr="00167119">
        <w:rPr>
          <w:b/>
          <w:u w:val="single"/>
        </w:rPr>
        <w:t xml:space="preserve"> </w:t>
      </w:r>
    </w:p>
    <w:p w14:paraId="324EA29B" w14:textId="77777777" w:rsidR="00233A4D" w:rsidRPr="00167119" w:rsidRDefault="00233A4D" w:rsidP="00233A4D">
      <w:pPr>
        <w:pStyle w:val="OutlineNumbered1"/>
      </w:pPr>
      <w:r w:rsidRPr="00167119">
        <w:t xml:space="preserve">The table below </w:t>
      </w:r>
      <w:r w:rsidR="00A535FA" w:rsidRPr="00167119">
        <w:t>outlines</w:t>
      </w:r>
      <w:r w:rsidRPr="00167119">
        <w:t xml:space="preserve"> Western Australia’s </w:t>
      </w:r>
      <w:r w:rsidR="00A535FA" w:rsidRPr="00167119">
        <w:t xml:space="preserve">response to the national </w:t>
      </w:r>
      <w:r w:rsidRPr="00167119">
        <w:t>homelessness priorities</w:t>
      </w:r>
      <w:r w:rsidR="00A535FA" w:rsidRPr="00167119">
        <w:t>.</w:t>
      </w:r>
    </w:p>
    <w:tbl>
      <w:tblPr>
        <w:tblStyle w:val="TableGrid"/>
        <w:tblpPr w:leftFromText="181" w:rightFromText="181" w:vertAnchor="text" w:tblpY="143"/>
        <w:tblOverlap w:val="never"/>
        <w:tblW w:w="9337" w:type="dxa"/>
        <w:tblLook w:val="04A0" w:firstRow="1" w:lastRow="0" w:firstColumn="1" w:lastColumn="0" w:noHBand="0" w:noVBand="1"/>
      </w:tblPr>
      <w:tblGrid>
        <w:gridCol w:w="4423"/>
        <w:gridCol w:w="4914"/>
      </w:tblGrid>
      <w:tr w:rsidR="000F2428" w:rsidRPr="00167119" w14:paraId="0ABEBAD8" w14:textId="77777777" w:rsidTr="00B837FD">
        <w:trPr>
          <w:trHeight w:val="530"/>
        </w:trPr>
        <w:tc>
          <w:tcPr>
            <w:tcW w:w="4423" w:type="dxa"/>
            <w:shd w:val="clear" w:color="auto" w:fill="C6D9F1" w:themeFill="text2" w:themeFillTint="33"/>
            <w:vAlign w:val="center"/>
          </w:tcPr>
          <w:p w14:paraId="0DC0DC3E" w14:textId="77777777" w:rsidR="000F2428" w:rsidRPr="00167119" w:rsidRDefault="000F2428" w:rsidP="00FA0CE4">
            <w:pPr>
              <w:pStyle w:val="Heading5"/>
              <w:jc w:val="center"/>
              <w:outlineLvl w:val="4"/>
              <w:rPr>
                <w:rFonts w:eastAsia="Calibri"/>
                <w:lang w:eastAsia="en-US"/>
              </w:rPr>
            </w:pPr>
            <w:r w:rsidRPr="00167119">
              <w:t>National Priority Homelessness Cohorts</w:t>
            </w:r>
          </w:p>
        </w:tc>
        <w:tc>
          <w:tcPr>
            <w:tcW w:w="4914" w:type="dxa"/>
            <w:shd w:val="clear" w:color="auto" w:fill="C6D9F1" w:themeFill="text2" w:themeFillTint="33"/>
            <w:vAlign w:val="center"/>
          </w:tcPr>
          <w:p w14:paraId="3ACDF863" w14:textId="77777777" w:rsidR="000F2428" w:rsidRPr="00167119" w:rsidRDefault="000F2428" w:rsidP="00C44832">
            <w:pPr>
              <w:pStyle w:val="Heading5"/>
              <w:jc w:val="center"/>
              <w:outlineLvl w:val="4"/>
            </w:pPr>
            <w:r w:rsidRPr="00167119">
              <w:t xml:space="preserve">Key actions </w:t>
            </w:r>
            <w:r w:rsidR="00C44832">
              <w:t>in</w:t>
            </w:r>
            <w:r w:rsidR="00C44832" w:rsidRPr="00167119">
              <w:t xml:space="preserve"> </w:t>
            </w:r>
            <w:r w:rsidRPr="00167119">
              <w:t>201</w:t>
            </w:r>
            <w:r w:rsidR="00EB1388">
              <w:t>8</w:t>
            </w:r>
            <w:r w:rsidRPr="00167119">
              <w:t>-20</w:t>
            </w:r>
            <w:r w:rsidR="00EB1388">
              <w:t>19</w:t>
            </w:r>
          </w:p>
        </w:tc>
      </w:tr>
      <w:tr w:rsidR="000F2428" w:rsidRPr="00167119" w14:paraId="5E87C50A" w14:textId="77777777" w:rsidTr="00B837FD">
        <w:trPr>
          <w:trHeight w:val="530"/>
        </w:trPr>
        <w:tc>
          <w:tcPr>
            <w:tcW w:w="4423" w:type="dxa"/>
            <w:tcBorders>
              <w:top w:val="single" w:sz="4" w:space="0" w:color="auto"/>
              <w:left w:val="single" w:sz="4" w:space="0" w:color="auto"/>
              <w:bottom w:val="single" w:sz="4" w:space="0" w:color="auto"/>
              <w:right w:val="single" w:sz="4" w:space="0" w:color="auto"/>
            </w:tcBorders>
          </w:tcPr>
          <w:p w14:paraId="5212B1E1" w14:textId="77777777" w:rsidR="000F2428" w:rsidRPr="00167119" w:rsidRDefault="000F2428" w:rsidP="00FA0CE4">
            <w:pPr>
              <w:pStyle w:val="Heading5"/>
              <w:outlineLvl w:val="4"/>
              <w:rPr>
                <w:rFonts w:ascii="Corbel" w:eastAsia="Times New Roman" w:hAnsi="Corbel" w:cs="Times New Roman"/>
                <w:color w:val="000000"/>
              </w:rPr>
            </w:pPr>
            <w:r w:rsidRPr="00167119">
              <w:rPr>
                <w:rFonts w:ascii="Corbel" w:eastAsia="Times New Roman" w:hAnsi="Corbel" w:cs="Times New Roman"/>
                <w:color w:val="000000"/>
              </w:rPr>
              <w:t>Reforms and initiatives that will contribute to a reduction in the incidence of homelessness</w:t>
            </w:r>
          </w:p>
        </w:tc>
        <w:tc>
          <w:tcPr>
            <w:tcW w:w="4914" w:type="dxa"/>
            <w:tcBorders>
              <w:top w:val="single" w:sz="4" w:space="0" w:color="auto"/>
              <w:left w:val="single" w:sz="4" w:space="0" w:color="auto"/>
              <w:bottom w:val="single" w:sz="4" w:space="0" w:color="auto"/>
              <w:right w:val="single" w:sz="4" w:space="0" w:color="auto"/>
            </w:tcBorders>
          </w:tcPr>
          <w:p w14:paraId="323EF488" w14:textId="77777777" w:rsidR="00922C51" w:rsidRPr="00167119" w:rsidRDefault="00922C51" w:rsidP="00FA0CE4">
            <w:pPr>
              <w:pStyle w:val="Heading5"/>
              <w:spacing w:after="240"/>
              <w:outlineLvl w:val="4"/>
              <w:rPr>
                <w:rFonts w:ascii="Corbel" w:eastAsia="Times New Roman" w:hAnsi="Corbel" w:cs="Times New Roman"/>
                <w:color w:val="000000"/>
              </w:rPr>
            </w:pPr>
            <w:r w:rsidRPr="00167119">
              <w:rPr>
                <w:rFonts w:ascii="Corbel" w:eastAsia="Times New Roman" w:hAnsi="Corbel" w:cs="Times New Roman"/>
                <w:color w:val="000000"/>
              </w:rPr>
              <w:t>D</w:t>
            </w:r>
            <w:r w:rsidR="000F2428" w:rsidRPr="00167119">
              <w:rPr>
                <w:rFonts w:ascii="Corbel" w:eastAsia="Times New Roman" w:hAnsi="Corbel" w:cs="Times New Roman"/>
                <w:color w:val="000000"/>
              </w:rPr>
              <w:t xml:space="preserve">evelop a </w:t>
            </w:r>
            <w:r w:rsidRPr="00167119">
              <w:rPr>
                <w:rFonts w:ascii="Corbel" w:eastAsia="Times New Roman" w:hAnsi="Corbel" w:cs="Times New Roman"/>
                <w:color w:val="000000"/>
              </w:rPr>
              <w:t xml:space="preserve">10-Year </w:t>
            </w:r>
            <w:r w:rsidR="000F2428" w:rsidRPr="00167119">
              <w:rPr>
                <w:rFonts w:ascii="Corbel" w:eastAsia="Times New Roman" w:hAnsi="Corbel" w:cs="Times New Roman"/>
                <w:color w:val="000000"/>
              </w:rPr>
              <w:t>State Homelessness Strategy in partnership with the</w:t>
            </w:r>
            <w:r w:rsidRPr="00167119">
              <w:rPr>
                <w:rFonts w:ascii="Corbel" w:eastAsia="Times New Roman" w:hAnsi="Corbel" w:cs="Times New Roman"/>
                <w:color w:val="000000"/>
              </w:rPr>
              <w:t xml:space="preserve"> community sector</w:t>
            </w:r>
            <w:r w:rsidR="00EB1388">
              <w:rPr>
                <w:rFonts w:ascii="Corbel" w:eastAsia="Times New Roman" w:hAnsi="Corbel" w:cs="Times New Roman"/>
                <w:color w:val="000000"/>
              </w:rPr>
              <w:t xml:space="preserve"> by 1</w:t>
            </w:r>
            <w:r w:rsidR="00AB7340">
              <w:rPr>
                <w:rFonts w:ascii="Corbel" w:eastAsia="Times New Roman" w:hAnsi="Corbel" w:cs="Times New Roman"/>
                <w:color w:val="000000"/>
              </w:rPr>
              <w:t> </w:t>
            </w:r>
            <w:r w:rsidR="00EB1388">
              <w:rPr>
                <w:rFonts w:ascii="Corbel" w:eastAsia="Times New Roman" w:hAnsi="Corbel" w:cs="Times New Roman"/>
                <w:color w:val="000000"/>
              </w:rPr>
              <w:t>July 2019</w:t>
            </w:r>
            <w:r w:rsidRPr="00167119">
              <w:rPr>
                <w:rFonts w:ascii="Corbel" w:eastAsia="Times New Roman" w:hAnsi="Corbel" w:cs="Times New Roman"/>
                <w:color w:val="000000"/>
              </w:rPr>
              <w:t>.</w:t>
            </w:r>
          </w:p>
          <w:p w14:paraId="3437DF8C" w14:textId="77777777" w:rsidR="000F2428" w:rsidRPr="00167119" w:rsidRDefault="000F2428" w:rsidP="00FA0CE4">
            <w:pPr>
              <w:pStyle w:val="Heading5"/>
              <w:spacing w:after="240"/>
              <w:outlineLvl w:val="4"/>
              <w:rPr>
                <w:rFonts w:ascii="Corbel" w:eastAsia="Times New Roman" w:hAnsi="Corbel" w:cs="Times New Roman"/>
                <w:color w:val="000000"/>
              </w:rPr>
            </w:pPr>
            <w:r w:rsidRPr="00167119">
              <w:rPr>
                <w:rFonts w:ascii="Corbel" w:eastAsia="Times New Roman" w:hAnsi="Corbel" w:cs="Times New Roman"/>
                <w:color w:val="000000"/>
              </w:rPr>
              <w:t>The 10-year Homelessness Strategy will address the National Priority Homelessness cohorts, with an additional focus on older women and any emerging cohorts identified through the co-design process.</w:t>
            </w:r>
          </w:p>
        </w:tc>
      </w:tr>
      <w:tr w:rsidR="000F2428" w:rsidRPr="00167119" w14:paraId="46B90604" w14:textId="77777777" w:rsidTr="00B837FD">
        <w:trPr>
          <w:trHeight w:val="530"/>
        </w:trPr>
        <w:tc>
          <w:tcPr>
            <w:tcW w:w="4423" w:type="dxa"/>
            <w:tcBorders>
              <w:top w:val="single" w:sz="4" w:space="0" w:color="auto"/>
              <w:left w:val="single" w:sz="4" w:space="0" w:color="auto"/>
              <w:bottom w:val="single" w:sz="4" w:space="0" w:color="auto"/>
              <w:right w:val="single" w:sz="4" w:space="0" w:color="auto"/>
            </w:tcBorders>
            <w:hideMark/>
          </w:tcPr>
          <w:p w14:paraId="199EFFE7" w14:textId="77777777" w:rsidR="000F2428" w:rsidRPr="00167119" w:rsidRDefault="000F2428" w:rsidP="00FA0CE4">
            <w:pPr>
              <w:pStyle w:val="Heading5"/>
              <w:outlineLvl w:val="4"/>
              <w:rPr>
                <w:rFonts w:ascii="Corbel" w:eastAsia="Times New Roman" w:hAnsi="Corbel" w:cs="Times New Roman"/>
                <w:color w:val="000000"/>
              </w:rPr>
            </w:pPr>
            <w:r w:rsidRPr="00167119">
              <w:rPr>
                <w:rFonts w:ascii="Corbel" w:eastAsia="Times New Roman" w:hAnsi="Corbel" w:cs="Times New Roman"/>
                <w:color w:val="000000"/>
              </w:rPr>
              <w:t>Women and children affected by family and domestic violence</w:t>
            </w:r>
          </w:p>
        </w:tc>
        <w:tc>
          <w:tcPr>
            <w:tcW w:w="4914" w:type="dxa"/>
            <w:tcBorders>
              <w:top w:val="single" w:sz="4" w:space="0" w:color="auto"/>
              <w:left w:val="single" w:sz="4" w:space="0" w:color="auto"/>
              <w:bottom w:val="single" w:sz="4" w:space="0" w:color="auto"/>
              <w:right w:val="single" w:sz="4" w:space="0" w:color="auto"/>
            </w:tcBorders>
          </w:tcPr>
          <w:p w14:paraId="03CC10A5" w14:textId="77777777" w:rsidR="000F2428" w:rsidRPr="00167119" w:rsidRDefault="000F2428" w:rsidP="00FA0CE4">
            <w:pPr>
              <w:pStyle w:val="Heading5"/>
              <w:outlineLvl w:val="4"/>
              <w:rPr>
                <w:rFonts w:ascii="Corbel" w:eastAsia="Times New Roman" w:hAnsi="Corbel" w:cs="Times New Roman"/>
                <w:color w:val="000000"/>
              </w:rPr>
            </w:pPr>
            <w:r w:rsidRPr="00167119">
              <w:rPr>
                <w:rFonts w:ascii="Corbel" w:eastAsia="Times New Roman" w:hAnsi="Corbel" w:cs="Times New Roman"/>
                <w:color w:val="000000"/>
              </w:rPr>
              <w:t>Service models for women and children affected by family and domestic violence will be reviewed and potentially re-designed in consultation with the community sector.</w:t>
            </w:r>
          </w:p>
          <w:p w14:paraId="46A7479B" w14:textId="77777777" w:rsidR="000F2428" w:rsidRPr="00167119" w:rsidRDefault="000F2428" w:rsidP="00FA0CE4">
            <w:pPr>
              <w:spacing w:before="240"/>
            </w:pPr>
            <w:r w:rsidRPr="00167119">
              <w:t>In the interim, WA will continue to implement an integrated and coordinated family and domestic violence service system to support women and children escaping family and domestic violence.</w:t>
            </w:r>
          </w:p>
          <w:p w14:paraId="1A72F1F5" w14:textId="77777777" w:rsidR="000F2428" w:rsidRPr="00167119" w:rsidRDefault="000F2428" w:rsidP="00FA0CE4">
            <w:r w:rsidRPr="00167119">
              <w:t>Under the Affordable Housing Action Plan WA will invest $20.5m capital for new and refurbished crisis accommodation facilities for people dealing with family violence, homelessness and drug and/or alcohol issues, including two new women’s refuges.</w:t>
            </w:r>
          </w:p>
        </w:tc>
      </w:tr>
      <w:tr w:rsidR="000F2428" w:rsidRPr="00167119" w14:paraId="03AC0CB4" w14:textId="77777777" w:rsidTr="00B837FD">
        <w:trPr>
          <w:trHeight w:val="530"/>
        </w:trPr>
        <w:tc>
          <w:tcPr>
            <w:tcW w:w="4423" w:type="dxa"/>
            <w:tcBorders>
              <w:top w:val="single" w:sz="4" w:space="0" w:color="auto"/>
              <w:left w:val="single" w:sz="4" w:space="0" w:color="auto"/>
              <w:bottom w:val="single" w:sz="4" w:space="0" w:color="auto"/>
              <w:right w:val="single" w:sz="4" w:space="0" w:color="auto"/>
            </w:tcBorders>
            <w:hideMark/>
          </w:tcPr>
          <w:p w14:paraId="4328A244" w14:textId="77777777" w:rsidR="000F2428" w:rsidRPr="00167119" w:rsidRDefault="000F2428" w:rsidP="00FA0CE4">
            <w:pPr>
              <w:pStyle w:val="Heading5"/>
              <w:outlineLvl w:val="4"/>
              <w:rPr>
                <w:rFonts w:ascii="Corbel" w:eastAsia="Times New Roman" w:hAnsi="Corbel" w:cs="Times New Roman"/>
                <w:color w:val="000000"/>
              </w:rPr>
            </w:pPr>
            <w:r w:rsidRPr="00167119">
              <w:rPr>
                <w:rFonts w:ascii="Corbel" w:eastAsia="Times New Roman" w:hAnsi="Corbel" w:cs="Times New Roman"/>
                <w:color w:val="000000"/>
              </w:rPr>
              <w:t>Children and young people</w:t>
            </w:r>
          </w:p>
        </w:tc>
        <w:tc>
          <w:tcPr>
            <w:tcW w:w="4914" w:type="dxa"/>
            <w:tcBorders>
              <w:top w:val="single" w:sz="4" w:space="0" w:color="auto"/>
              <w:left w:val="single" w:sz="4" w:space="0" w:color="auto"/>
              <w:bottom w:val="single" w:sz="4" w:space="0" w:color="auto"/>
              <w:right w:val="single" w:sz="4" w:space="0" w:color="auto"/>
            </w:tcBorders>
            <w:hideMark/>
          </w:tcPr>
          <w:p w14:paraId="08E5EA3E" w14:textId="77777777" w:rsidR="000F2428" w:rsidRPr="00167119" w:rsidRDefault="000F2428" w:rsidP="00FA0CE4">
            <w:pPr>
              <w:pStyle w:val="Heading5"/>
              <w:spacing w:after="240"/>
              <w:outlineLvl w:val="4"/>
              <w:rPr>
                <w:rFonts w:ascii="Corbel" w:eastAsia="Times New Roman" w:hAnsi="Corbel" w:cs="Times New Roman"/>
                <w:color w:val="000000"/>
              </w:rPr>
            </w:pPr>
            <w:r w:rsidRPr="00167119">
              <w:rPr>
                <w:rFonts w:ascii="Corbel" w:eastAsia="Times New Roman" w:hAnsi="Corbel" w:cs="Times New Roman"/>
                <w:color w:val="000000"/>
              </w:rPr>
              <w:t>Service models for children and young people will be reviewed and potentially re-designed in consultation with the community sector.</w:t>
            </w:r>
          </w:p>
          <w:p w14:paraId="7757F056" w14:textId="77777777" w:rsidR="000F2428" w:rsidRPr="00167119" w:rsidRDefault="000F2428" w:rsidP="00FA0CE4">
            <w:pPr>
              <w:pStyle w:val="Heading5"/>
              <w:outlineLvl w:val="4"/>
              <w:rPr>
                <w:rFonts w:ascii="Corbel" w:eastAsia="Times New Roman" w:hAnsi="Corbel" w:cs="Times New Roman"/>
                <w:color w:val="000000"/>
              </w:rPr>
            </w:pPr>
            <w:r w:rsidRPr="00167119">
              <w:rPr>
                <w:rFonts w:ascii="Corbel" w:eastAsia="Times New Roman" w:hAnsi="Corbel" w:cs="Times New Roman"/>
                <w:color w:val="000000"/>
              </w:rPr>
              <w:t>In the interim, WA will continue provision of intensive support for young people with complex needs who are homeless or at risk of homelessness, with a focus on young people leaving care.</w:t>
            </w:r>
          </w:p>
        </w:tc>
      </w:tr>
      <w:tr w:rsidR="000F2428" w:rsidRPr="00167119" w14:paraId="5E1AFF55" w14:textId="77777777" w:rsidTr="00B837FD">
        <w:trPr>
          <w:trHeight w:val="530"/>
        </w:trPr>
        <w:tc>
          <w:tcPr>
            <w:tcW w:w="4423" w:type="dxa"/>
            <w:tcBorders>
              <w:top w:val="single" w:sz="4" w:space="0" w:color="auto"/>
              <w:left w:val="single" w:sz="4" w:space="0" w:color="auto"/>
              <w:bottom w:val="single" w:sz="4" w:space="0" w:color="auto"/>
              <w:right w:val="single" w:sz="4" w:space="0" w:color="auto"/>
            </w:tcBorders>
            <w:hideMark/>
          </w:tcPr>
          <w:p w14:paraId="7A7019CC" w14:textId="77777777" w:rsidR="000F2428" w:rsidRPr="00167119" w:rsidRDefault="000F2428" w:rsidP="00FA0CE4">
            <w:pPr>
              <w:pStyle w:val="Heading5"/>
              <w:outlineLvl w:val="4"/>
              <w:rPr>
                <w:rFonts w:ascii="Corbel" w:eastAsia="Times New Roman" w:hAnsi="Corbel" w:cs="Times New Roman"/>
                <w:color w:val="000000"/>
              </w:rPr>
            </w:pPr>
            <w:r w:rsidRPr="00167119">
              <w:rPr>
                <w:rFonts w:ascii="Corbel" w:eastAsia="Times New Roman" w:hAnsi="Corbel" w:cs="Times New Roman"/>
                <w:color w:val="000000"/>
              </w:rPr>
              <w:lastRenderedPageBreak/>
              <w:t>Indigenous Australians</w:t>
            </w:r>
          </w:p>
        </w:tc>
        <w:tc>
          <w:tcPr>
            <w:tcW w:w="4914" w:type="dxa"/>
            <w:tcBorders>
              <w:top w:val="single" w:sz="4" w:space="0" w:color="auto"/>
              <w:left w:val="single" w:sz="4" w:space="0" w:color="auto"/>
              <w:bottom w:val="single" w:sz="4" w:space="0" w:color="auto"/>
              <w:right w:val="single" w:sz="4" w:space="0" w:color="auto"/>
            </w:tcBorders>
          </w:tcPr>
          <w:p w14:paraId="399AA118" w14:textId="77777777" w:rsidR="000F2428" w:rsidRPr="00167119" w:rsidRDefault="000F2428" w:rsidP="00FA0CE4">
            <w:pPr>
              <w:pStyle w:val="Heading5"/>
              <w:outlineLvl w:val="4"/>
            </w:pPr>
            <w:r w:rsidRPr="00167119">
              <w:rPr>
                <w:rFonts w:ascii="Corbel" w:eastAsia="Times New Roman" w:hAnsi="Corbel" w:cs="Times New Roman"/>
                <w:color w:val="000000"/>
              </w:rPr>
              <w:t>Service models for Indigenous Australians will be reviewed and potentially re-designed in consultation with the community sector.</w:t>
            </w:r>
          </w:p>
          <w:p w14:paraId="7C22E477" w14:textId="77777777" w:rsidR="000F2428" w:rsidRPr="00167119" w:rsidRDefault="000F2428" w:rsidP="00FA0CE4">
            <w:pPr>
              <w:spacing w:after="0"/>
            </w:pPr>
          </w:p>
          <w:p w14:paraId="61A3A5C2" w14:textId="77777777" w:rsidR="000F2428" w:rsidRPr="00167119" w:rsidRDefault="000F2428" w:rsidP="00FA0CE4">
            <w:pPr>
              <w:spacing w:after="0"/>
            </w:pPr>
            <w:r w:rsidRPr="00167119">
              <w:t>In the interim, WA will continue to provide appropriate housing and support models for Aboriginal people who are homeless or at risk of homelessness.</w:t>
            </w:r>
          </w:p>
        </w:tc>
      </w:tr>
      <w:tr w:rsidR="000F2428" w:rsidRPr="00167119" w14:paraId="1A2AFC85" w14:textId="77777777" w:rsidTr="00B837FD">
        <w:trPr>
          <w:trHeight w:val="530"/>
        </w:trPr>
        <w:tc>
          <w:tcPr>
            <w:tcW w:w="4423" w:type="dxa"/>
            <w:tcBorders>
              <w:top w:val="single" w:sz="4" w:space="0" w:color="auto"/>
              <w:left w:val="single" w:sz="4" w:space="0" w:color="auto"/>
              <w:bottom w:val="single" w:sz="4" w:space="0" w:color="auto"/>
              <w:right w:val="single" w:sz="4" w:space="0" w:color="auto"/>
            </w:tcBorders>
            <w:hideMark/>
          </w:tcPr>
          <w:p w14:paraId="4CC24362" w14:textId="77777777" w:rsidR="000F2428" w:rsidRPr="00167119" w:rsidRDefault="000F2428" w:rsidP="00FA0CE4">
            <w:pPr>
              <w:pStyle w:val="Heading5"/>
              <w:outlineLvl w:val="4"/>
              <w:rPr>
                <w:rFonts w:ascii="Corbel" w:eastAsia="Times New Roman" w:hAnsi="Corbel" w:cs="Times New Roman"/>
                <w:color w:val="000000"/>
              </w:rPr>
            </w:pPr>
            <w:r w:rsidRPr="00167119">
              <w:rPr>
                <w:rFonts w:ascii="Corbel" w:eastAsia="Times New Roman" w:hAnsi="Corbel" w:cs="Times New Roman"/>
                <w:color w:val="000000"/>
              </w:rPr>
              <w:t>People experiencing repeat homelessness</w:t>
            </w:r>
          </w:p>
        </w:tc>
        <w:tc>
          <w:tcPr>
            <w:tcW w:w="4914" w:type="dxa"/>
            <w:tcBorders>
              <w:top w:val="single" w:sz="4" w:space="0" w:color="auto"/>
              <w:left w:val="single" w:sz="4" w:space="0" w:color="auto"/>
              <w:bottom w:val="single" w:sz="4" w:space="0" w:color="auto"/>
              <w:right w:val="single" w:sz="4" w:space="0" w:color="auto"/>
            </w:tcBorders>
          </w:tcPr>
          <w:p w14:paraId="539FE8D5" w14:textId="77777777" w:rsidR="000F2428" w:rsidRDefault="000F2428" w:rsidP="00FA0CE4">
            <w:pPr>
              <w:spacing w:after="0"/>
            </w:pPr>
            <w:r w:rsidRPr="00167119">
              <w:t>Service models for people experiencing repeat homelessness will be reviewed and potentially re-designed in consultation with the community sector.</w:t>
            </w:r>
          </w:p>
          <w:p w14:paraId="38B4123D" w14:textId="77777777" w:rsidR="000D0EE0" w:rsidRDefault="000D0EE0" w:rsidP="00FA0CE4">
            <w:pPr>
              <w:spacing w:after="0"/>
            </w:pPr>
          </w:p>
          <w:p w14:paraId="6F2C8659" w14:textId="77777777" w:rsidR="000D0EE0" w:rsidRPr="00167119" w:rsidRDefault="000D0EE0" w:rsidP="000D0EE0">
            <w:pPr>
              <w:spacing w:after="0"/>
            </w:pPr>
          </w:p>
        </w:tc>
      </w:tr>
      <w:tr w:rsidR="000F2428" w:rsidRPr="00167119" w14:paraId="49E3CCD9" w14:textId="77777777" w:rsidTr="00B837FD">
        <w:trPr>
          <w:trHeight w:val="530"/>
        </w:trPr>
        <w:tc>
          <w:tcPr>
            <w:tcW w:w="4423" w:type="dxa"/>
            <w:tcBorders>
              <w:top w:val="single" w:sz="4" w:space="0" w:color="auto"/>
              <w:left w:val="single" w:sz="4" w:space="0" w:color="auto"/>
              <w:bottom w:val="single" w:sz="4" w:space="0" w:color="auto"/>
              <w:right w:val="single" w:sz="4" w:space="0" w:color="auto"/>
            </w:tcBorders>
            <w:hideMark/>
          </w:tcPr>
          <w:p w14:paraId="7E263B47" w14:textId="77777777" w:rsidR="000F2428" w:rsidRPr="00167119" w:rsidRDefault="000F2428" w:rsidP="00FA0CE4">
            <w:pPr>
              <w:pStyle w:val="Heading5"/>
              <w:outlineLvl w:val="4"/>
              <w:rPr>
                <w:rFonts w:ascii="Corbel" w:eastAsia="Times New Roman" w:hAnsi="Corbel" w:cs="Times New Roman"/>
                <w:color w:val="000000"/>
              </w:rPr>
            </w:pPr>
            <w:r w:rsidRPr="00167119">
              <w:rPr>
                <w:rFonts w:ascii="Corbel" w:eastAsia="Times New Roman" w:hAnsi="Corbel" w:cs="Times New Roman"/>
                <w:color w:val="000000"/>
              </w:rPr>
              <w:t>People currently exiting institutions and care into homelessness</w:t>
            </w:r>
          </w:p>
        </w:tc>
        <w:tc>
          <w:tcPr>
            <w:tcW w:w="4914" w:type="dxa"/>
            <w:tcBorders>
              <w:top w:val="single" w:sz="4" w:space="0" w:color="auto"/>
              <w:left w:val="single" w:sz="4" w:space="0" w:color="auto"/>
              <w:bottom w:val="single" w:sz="4" w:space="0" w:color="auto"/>
              <w:right w:val="single" w:sz="4" w:space="0" w:color="auto"/>
            </w:tcBorders>
          </w:tcPr>
          <w:p w14:paraId="1BBCFF24" w14:textId="77777777" w:rsidR="000F2428" w:rsidRPr="00167119" w:rsidRDefault="000F2428" w:rsidP="00FA0CE4">
            <w:pPr>
              <w:pStyle w:val="Heading5"/>
              <w:outlineLvl w:val="4"/>
              <w:rPr>
                <w:rFonts w:ascii="Corbel" w:eastAsia="Times New Roman" w:hAnsi="Corbel" w:cs="Times New Roman"/>
                <w:color w:val="000000"/>
              </w:rPr>
            </w:pPr>
            <w:r w:rsidRPr="00167119">
              <w:rPr>
                <w:rFonts w:ascii="Corbel" w:eastAsia="Times New Roman" w:hAnsi="Corbel" w:cs="Times New Roman"/>
                <w:color w:val="000000"/>
              </w:rPr>
              <w:t>Service models for people exiting institutions and care into homelessness will be reviewed and potentially re-designed in consultation with the community sector.</w:t>
            </w:r>
          </w:p>
          <w:p w14:paraId="3C94D495" w14:textId="77777777" w:rsidR="000F2428" w:rsidRPr="00167119" w:rsidRDefault="000F2428" w:rsidP="00FA0CE4">
            <w:pPr>
              <w:spacing w:after="0"/>
            </w:pPr>
          </w:p>
          <w:p w14:paraId="34AC1D10" w14:textId="77777777" w:rsidR="000F2428" w:rsidRPr="00167119" w:rsidRDefault="000F2428" w:rsidP="00FA0CE4">
            <w:pPr>
              <w:pStyle w:val="Heading5"/>
              <w:outlineLvl w:val="4"/>
              <w:rPr>
                <w:rFonts w:ascii="Corbel" w:eastAsia="Times New Roman" w:hAnsi="Corbel" w:cs="Times New Roman"/>
                <w:color w:val="000000"/>
              </w:rPr>
            </w:pPr>
            <w:r w:rsidRPr="00167119">
              <w:rPr>
                <w:rFonts w:ascii="Corbel" w:eastAsia="Times New Roman" w:hAnsi="Corbel" w:cs="Times New Roman"/>
                <w:color w:val="000000"/>
              </w:rPr>
              <w:t>In the interim, WA will continue to strengthen outreach and support services to vulnerable cohorts, such as those experiencing mental health concerns, alcohol and drug issues and people leaving correctional facilities.</w:t>
            </w:r>
          </w:p>
        </w:tc>
      </w:tr>
      <w:tr w:rsidR="000F2428" w:rsidRPr="00167119" w14:paraId="2B77FE5F" w14:textId="77777777" w:rsidTr="00B837FD">
        <w:trPr>
          <w:trHeight w:val="530"/>
        </w:trPr>
        <w:tc>
          <w:tcPr>
            <w:tcW w:w="4423" w:type="dxa"/>
            <w:tcBorders>
              <w:top w:val="single" w:sz="4" w:space="0" w:color="auto"/>
              <w:left w:val="single" w:sz="4" w:space="0" w:color="auto"/>
              <w:bottom w:val="single" w:sz="4" w:space="0" w:color="auto"/>
              <w:right w:val="single" w:sz="4" w:space="0" w:color="auto"/>
            </w:tcBorders>
            <w:hideMark/>
          </w:tcPr>
          <w:p w14:paraId="43367919" w14:textId="77777777" w:rsidR="000F2428" w:rsidRPr="00167119" w:rsidRDefault="000F2428" w:rsidP="00FA0CE4">
            <w:pPr>
              <w:pStyle w:val="Heading5"/>
              <w:outlineLvl w:val="4"/>
              <w:rPr>
                <w:rFonts w:ascii="Corbel" w:eastAsia="Times New Roman" w:hAnsi="Corbel" w:cs="Times New Roman"/>
                <w:color w:val="000000"/>
              </w:rPr>
            </w:pPr>
            <w:r w:rsidRPr="00167119">
              <w:rPr>
                <w:rFonts w:ascii="Corbel" w:eastAsia="Times New Roman" w:hAnsi="Corbel" w:cs="Times New Roman"/>
                <w:color w:val="000000"/>
              </w:rPr>
              <w:t>Older people</w:t>
            </w:r>
          </w:p>
        </w:tc>
        <w:tc>
          <w:tcPr>
            <w:tcW w:w="4914" w:type="dxa"/>
            <w:tcBorders>
              <w:top w:val="single" w:sz="4" w:space="0" w:color="auto"/>
              <w:left w:val="single" w:sz="4" w:space="0" w:color="auto"/>
              <w:bottom w:val="single" w:sz="4" w:space="0" w:color="auto"/>
              <w:right w:val="single" w:sz="4" w:space="0" w:color="auto"/>
            </w:tcBorders>
          </w:tcPr>
          <w:p w14:paraId="1BD08CE0" w14:textId="77777777" w:rsidR="000F2428" w:rsidRDefault="00C45803" w:rsidP="00FA0CE4">
            <w:pPr>
              <w:spacing w:after="0"/>
            </w:pPr>
            <w:r w:rsidRPr="00167119">
              <w:t xml:space="preserve">Service models </w:t>
            </w:r>
            <w:r w:rsidR="000F2428" w:rsidRPr="00167119">
              <w:t>will be reviewed and potentially re-designed in consult</w:t>
            </w:r>
            <w:r w:rsidRPr="00167119">
              <w:t>ation with the community sector to better meet the needs of older people experiencing homelessness.</w:t>
            </w:r>
          </w:p>
          <w:p w14:paraId="2AB92A38" w14:textId="77777777" w:rsidR="000D0EE0" w:rsidRDefault="000D0EE0" w:rsidP="00FA0CE4">
            <w:pPr>
              <w:spacing w:after="0"/>
            </w:pPr>
          </w:p>
          <w:p w14:paraId="1C956CB4" w14:textId="77777777" w:rsidR="000D0EE0" w:rsidRPr="00167119" w:rsidRDefault="000D0EE0" w:rsidP="00FA0CE4">
            <w:pPr>
              <w:spacing w:after="0"/>
            </w:pPr>
          </w:p>
        </w:tc>
      </w:tr>
    </w:tbl>
    <w:p w14:paraId="35665934" w14:textId="77777777" w:rsidR="00FA0CE4" w:rsidRPr="00167119" w:rsidRDefault="00FA0CE4" w:rsidP="00FA0CE4">
      <w:pPr>
        <w:framePr w:hSpace="181" w:wrap="around" w:vAnchor="text" w:hAnchor="text" w:y="143"/>
        <w:spacing w:after="0"/>
        <w:suppressOverlap/>
      </w:pPr>
    </w:p>
    <w:tbl>
      <w:tblPr>
        <w:tblStyle w:val="TableGrid3"/>
        <w:tblW w:w="9289" w:type="dxa"/>
        <w:tblLook w:val="04A0" w:firstRow="1" w:lastRow="0" w:firstColumn="1" w:lastColumn="0" w:noHBand="0" w:noVBand="1"/>
      </w:tblPr>
      <w:tblGrid>
        <w:gridCol w:w="4423"/>
        <w:gridCol w:w="4866"/>
      </w:tblGrid>
      <w:tr w:rsidR="00C45803" w:rsidRPr="00167119" w14:paraId="24FC30D8" w14:textId="77777777" w:rsidTr="00FA0CE4">
        <w:trPr>
          <w:trHeight w:val="810"/>
        </w:trPr>
        <w:tc>
          <w:tcPr>
            <w:tcW w:w="4423" w:type="dxa"/>
            <w:shd w:val="clear" w:color="auto" w:fill="C6D9F1" w:themeFill="text2" w:themeFillTint="33"/>
            <w:vAlign w:val="center"/>
          </w:tcPr>
          <w:p w14:paraId="3278FFCD" w14:textId="77777777" w:rsidR="00C45803" w:rsidRPr="00167119" w:rsidRDefault="00C45803" w:rsidP="00FA0CE4">
            <w:pPr>
              <w:pStyle w:val="Heading5"/>
              <w:jc w:val="center"/>
              <w:outlineLvl w:val="4"/>
            </w:pPr>
            <w:r w:rsidRPr="00167119">
              <w:lastRenderedPageBreak/>
              <w:t>Homelessness Priority Policy Reform Areas</w:t>
            </w:r>
          </w:p>
        </w:tc>
        <w:tc>
          <w:tcPr>
            <w:tcW w:w="4866" w:type="dxa"/>
            <w:shd w:val="clear" w:color="auto" w:fill="C6D9F1" w:themeFill="text2" w:themeFillTint="33"/>
            <w:vAlign w:val="center"/>
          </w:tcPr>
          <w:p w14:paraId="66FA2221" w14:textId="77777777" w:rsidR="00C45803" w:rsidRPr="00167119" w:rsidRDefault="00C45803" w:rsidP="00C44832">
            <w:pPr>
              <w:pStyle w:val="Heading5"/>
              <w:jc w:val="center"/>
              <w:outlineLvl w:val="4"/>
            </w:pPr>
            <w:r w:rsidRPr="00167119">
              <w:t xml:space="preserve">Key actions </w:t>
            </w:r>
            <w:r w:rsidR="00C44832">
              <w:t>in</w:t>
            </w:r>
            <w:r w:rsidR="00C44832" w:rsidRPr="00167119">
              <w:t xml:space="preserve"> </w:t>
            </w:r>
            <w:r w:rsidRPr="00167119">
              <w:t>201</w:t>
            </w:r>
            <w:r w:rsidR="000D0EE0">
              <w:t>8</w:t>
            </w:r>
            <w:r w:rsidRPr="00167119">
              <w:t>-20</w:t>
            </w:r>
            <w:r w:rsidR="000D0EE0">
              <w:t>19</w:t>
            </w:r>
          </w:p>
        </w:tc>
      </w:tr>
      <w:tr w:rsidR="00C45803" w:rsidRPr="00167119" w14:paraId="52999095" w14:textId="77777777" w:rsidTr="00FA0CE4">
        <w:trPr>
          <w:trHeight w:val="1686"/>
        </w:trPr>
        <w:tc>
          <w:tcPr>
            <w:tcW w:w="4423" w:type="dxa"/>
          </w:tcPr>
          <w:p w14:paraId="79EA94AC" w14:textId="77777777" w:rsidR="00C45803" w:rsidRPr="00167119" w:rsidRDefault="00C45803" w:rsidP="00FA0CE4">
            <w:pPr>
              <w:numPr>
                <w:ilvl w:val="0"/>
                <w:numId w:val="7"/>
              </w:numPr>
              <w:spacing w:after="160" w:line="259" w:lineRule="auto"/>
              <w:jc w:val="left"/>
            </w:pPr>
            <w:r w:rsidRPr="00167119">
              <w:t>Achieving better outcomes for people, setting out how the desired outcomes for individuals will be measured (may include a focus on priority groups, economic and social participation)</w:t>
            </w:r>
          </w:p>
        </w:tc>
        <w:tc>
          <w:tcPr>
            <w:tcW w:w="4866" w:type="dxa"/>
            <w:vMerge w:val="restart"/>
          </w:tcPr>
          <w:p w14:paraId="37569241" w14:textId="77777777" w:rsidR="00C45803" w:rsidRPr="00167119" w:rsidRDefault="00C45803" w:rsidP="00FA0CE4">
            <w:r w:rsidRPr="00167119">
              <w:t>Western Australia will develop and launch a 10-Year Homelessness Strategy</w:t>
            </w:r>
            <w:r w:rsidR="000D0EE0">
              <w:t xml:space="preserve"> </w:t>
            </w:r>
            <w:r w:rsidR="00C44832">
              <w:t>by</w:t>
            </w:r>
            <w:r w:rsidR="000D0EE0">
              <w:t xml:space="preserve"> 1 July 2019</w:t>
            </w:r>
            <w:r w:rsidRPr="00167119">
              <w:t xml:space="preserve"> to improve outcomes for people experiencing, or at risk of, homelessness.</w:t>
            </w:r>
          </w:p>
          <w:p w14:paraId="0F35A68D" w14:textId="77777777" w:rsidR="00C45803" w:rsidRPr="00167119" w:rsidRDefault="00C45803" w:rsidP="00FA0CE4">
            <w:r w:rsidRPr="00167119">
              <w:t>The 10 Year Strategy will provide a whole-of-community plan that will enable the delivery of better targeted and more person-centred services, and will include new and innovative ideas to contribute to a reduction in homelessness across Western Australia.</w:t>
            </w:r>
          </w:p>
          <w:p w14:paraId="18432805" w14:textId="77777777" w:rsidR="00C45803" w:rsidRPr="00167119" w:rsidRDefault="00C45803" w:rsidP="00FA0CE4">
            <w:r w:rsidRPr="00167119">
              <w:t>Through a co-design process with the community sector, the 10-Year Homelessness Strategy will:</w:t>
            </w:r>
          </w:p>
          <w:p w14:paraId="63631584" w14:textId="77777777" w:rsidR="00C45803" w:rsidRPr="00167119" w:rsidRDefault="00C45803" w:rsidP="00FA0CE4">
            <w:pPr>
              <w:pStyle w:val="ListParagraph"/>
              <w:numPr>
                <w:ilvl w:val="0"/>
                <w:numId w:val="15"/>
              </w:numPr>
            </w:pPr>
            <w:r w:rsidRPr="00167119">
              <w:t>Provide an overarching framework for government, the community sector and the community to work together to address homelessness.</w:t>
            </w:r>
          </w:p>
          <w:p w14:paraId="6B3D50A7" w14:textId="77777777" w:rsidR="00C45803" w:rsidRPr="00167119" w:rsidRDefault="00C45803" w:rsidP="00FA0CE4">
            <w:pPr>
              <w:pStyle w:val="ListParagraph"/>
              <w:numPr>
                <w:ilvl w:val="0"/>
                <w:numId w:val="15"/>
              </w:numPr>
            </w:pPr>
            <w:r w:rsidRPr="00167119">
              <w:t>Set strategic directions and priorities.</w:t>
            </w:r>
          </w:p>
          <w:p w14:paraId="2A4BFF7F" w14:textId="77777777" w:rsidR="00C45803" w:rsidRPr="00167119" w:rsidRDefault="00C45803" w:rsidP="00FA0CE4">
            <w:pPr>
              <w:pStyle w:val="ListParagraph"/>
              <w:numPr>
                <w:ilvl w:val="0"/>
                <w:numId w:val="15"/>
              </w:numPr>
            </w:pPr>
            <w:r w:rsidRPr="00167119">
              <w:t>Articulate outcomes to be achieved at the systems level, service level, and for people.</w:t>
            </w:r>
          </w:p>
          <w:p w14:paraId="4095631C" w14:textId="77777777" w:rsidR="00C45803" w:rsidRPr="00167119" w:rsidRDefault="00C45803" w:rsidP="00FA0CE4">
            <w:pPr>
              <w:pStyle w:val="ListParagraph"/>
              <w:numPr>
                <w:ilvl w:val="0"/>
                <w:numId w:val="15"/>
              </w:numPr>
            </w:pPr>
            <w:r w:rsidRPr="00167119">
              <w:t>Guide activity and investment.</w:t>
            </w:r>
          </w:p>
          <w:p w14:paraId="3E07F6F3" w14:textId="77777777" w:rsidR="00C45803" w:rsidRPr="00167119" w:rsidRDefault="00C45803" w:rsidP="00FA0CE4">
            <w:pPr>
              <w:pStyle w:val="ListParagraph"/>
              <w:numPr>
                <w:ilvl w:val="0"/>
                <w:numId w:val="15"/>
              </w:numPr>
              <w:spacing w:after="0"/>
            </w:pPr>
            <w:r w:rsidRPr="00167119">
              <w:t>As a part of this process data matching across government and non-government agencies will be undertaken to guide in the development of homelessness services for Western Australia.</w:t>
            </w:r>
          </w:p>
        </w:tc>
      </w:tr>
      <w:tr w:rsidR="00C45803" w:rsidRPr="00167119" w14:paraId="73B6DED8" w14:textId="77777777" w:rsidTr="00FA0CE4">
        <w:trPr>
          <w:trHeight w:val="1740"/>
        </w:trPr>
        <w:tc>
          <w:tcPr>
            <w:tcW w:w="4423" w:type="dxa"/>
          </w:tcPr>
          <w:p w14:paraId="684C88D5" w14:textId="77777777" w:rsidR="00C45803" w:rsidRPr="00167119" w:rsidRDefault="00C45803" w:rsidP="00FA0CE4">
            <w:pPr>
              <w:numPr>
                <w:ilvl w:val="0"/>
                <w:numId w:val="7"/>
              </w:numPr>
              <w:spacing w:after="160" w:line="259" w:lineRule="auto"/>
              <w:jc w:val="left"/>
            </w:pPr>
            <w:r w:rsidRPr="00167119">
              <w:t>Early intervention and prevention, including through mainstream services, setting out actions being taken through homelessness services and mainstream services (may include a focus on particular client groups or services.</w:t>
            </w:r>
          </w:p>
          <w:p w14:paraId="5B2A3203" w14:textId="77777777" w:rsidR="00C45803" w:rsidRPr="00167119" w:rsidRDefault="00C45803" w:rsidP="00FA0CE4">
            <w:pPr>
              <w:spacing w:after="160" w:line="259" w:lineRule="auto"/>
            </w:pPr>
          </w:p>
        </w:tc>
        <w:tc>
          <w:tcPr>
            <w:tcW w:w="4866" w:type="dxa"/>
            <w:vMerge/>
          </w:tcPr>
          <w:p w14:paraId="7CCD86BC" w14:textId="77777777" w:rsidR="00C45803" w:rsidRPr="00167119" w:rsidRDefault="00C45803" w:rsidP="00FA0CE4">
            <w:pPr>
              <w:spacing w:after="160" w:line="259" w:lineRule="auto"/>
            </w:pPr>
          </w:p>
        </w:tc>
      </w:tr>
      <w:tr w:rsidR="00C45803" w:rsidRPr="00167119" w14:paraId="3886F59F" w14:textId="77777777" w:rsidTr="00FA0CE4">
        <w:trPr>
          <w:trHeight w:val="1709"/>
        </w:trPr>
        <w:tc>
          <w:tcPr>
            <w:tcW w:w="4423" w:type="dxa"/>
          </w:tcPr>
          <w:p w14:paraId="498FEABF" w14:textId="77777777" w:rsidR="00C45803" w:rsidRPr="00167119" w:rsidRDefault="00C45803" w:rsidP="00FA0CE4">
            <w:pPr>
              <w:numPr>
                <w:ilvl w:val="0"/>
                <w:numId w:val="7"/>
              </w:numPr>
              <w:spacing w:after="160" w:line="259" w:lineRule="auto"/>
              <w:jc w:val="left"/>
            </w:pPr>
            <w:r w:rsidRPr="00167119">
              <w:t>Commitment to service program and design, that is evidence and research-based, that shows what evidence and research was used to design responses to homelessness and how responses/strategies will be evaluated.</w:t>
            </w:r>
          </w:p>
        </w:tc>
        <w:tc>
          <w:tcPr>
            <w:tcW w:w="4866" w:type="dxa"/>
            <w:vMerge/>
          </w:tcPr>
          <w:p w14:paraId="312D78FB" w14:textId="77777777" w:rsidR="00C45803" w:rsidRPr="00167119" w:rsidRDefault="00C45803" w:rsidP="00FA0CE4">
            <w:pPr>
              <w:spacing w:after="160" w:line="259" w:lineRule="auto"/>
            </w:pPr>
          </w:p>
        </w:tc>
      </w:tr>
    </w:tbl>
    <w:p w14:paraId="2C89B6B2" w14:textId="77777777" w:rsidR="00334AE6" w:rsidRPr="00167119" w:rsidRDefault="00334AE6" w:rsidP="00334AE6">
      <w:pPr>
        <w:pStyle w:val="OutlineNumbered1"/>
        <w:numPr>
          <w:ilvl w:val="0"/>
          <w:numId w:val="0"/>
        </w:numPr>
      </w:pPr>
    </w:p>
    <w:p w14:paraId="3A328DA7" w14:textId="77777777" w:rsidR="0069302A" w:rsidRPr="0069302A" w:rsidRDefault="0069302A" w:rsidP="0069302A">
      <w:pPr>
        <w:pStyle w:val="OutlineNumbered1"/>
      </w:pPr>
      <w:r>
        <w:t>Western Australia</w:t>
      </w:r>
      <w:r w:rsidRPr="0069302A">
        <w:t xml:space="preserve"> asserts that changes to the</w:t>
      </w:r>
      <w:r>
        <w:t xml:space="preserve"> key actions </w:t>
      </w:r>
      <w:r w:rsidRPr="0069302A">
        <w:t xml:space="preserve">and timeframes </w:t>
      </w:r>
      <w:r>
        <w:t xml:space="preserve">detailed in the table at clause 27 </w:t>
      </w:r>
      <w:r w:rsidRPr="0069302A">
        <w:t xml:space="preserve">remain at </w:t>
      </w:r>
      <w:r>
        <w:t>the discretion of the Western Australian</w:t>
      </w:r>
      <w:r w:rsidRPr="0069302A">
        <w:t xml:space="preserve"> Government.</w:t>
      </w:r>
    </w:p>
    <w:p w14:paraId="407101FB" w14:textId="77777777" w:rsidR="00E14A37" w:rsidRPr="00167119" w:rsidRDefault="00E14A37" w:rsidP="00B46E9F">
      <w:pPr>
        <w:pStyle w:val="Heading1"/>
      </w:pPr>
      <w:r w:rsidRPr="00167119">
        <w:t>par</w:t>
      </w:r>
      <w:r w:rsidR="00AC2F15" w:rsidRPr="00167119">
        <w:t>t 4 – Joint reform commitments</w:t>
      </w:r>
    </w:p>
    <w:p w14:paraId="4A65CA82" w14:textId="77777777" w:rsidR="0022030F" w:rsidRPr="00167119" w:rsidRDefault="0022030F" w:rsidP="00B46E9F">
      <w:pPr>
        <w:pStyle w:val="OutlineNumbered1"/>
      </w:pPr>
      <w:r w:rsidRPr="00167119">
        <w:t>The Commonwealth and Western Australia agree to investigate opportunities for joint reform.</w:t>
      </w:r>
      <w:r w:rsidR="00A03860" w:rsidRPr="00167119">
        <w:t xml:space="preserve"> </w:t>
      </w:r>
    </w:p>
    <w:p w14:paraId="3E16AC47" w14:textId="77777777" w:rsidR="00DA3288" w:rsidRPr="00167119" w:rsidRDefault="00DA3288" w:rsidP="00DA3288">
      <w:pPr>
        <w:pStyle w:val="OutlineNumbered1"/>
      </w:pPr>
      <w:r w:rsidRPr="00167119">
        <w:t xml:space="preserve">The Commonwealth and Western Australia </w:t>
      </w:r>
      <w:r w:rsidR="00387A08" w:rsidRPr="00167119">
        <w:t xml:space="preserve">also </w:t>
      </w:r>
      <w:r w:rsidRPr="00167119">
        <w:t xml:space="preserve">agree to work collaboratively to determine how any new </w:t>
      </w:r>
      <w:r w:rsidR="00334AE6" w:rsidRPr="00167119">
        <w:t xml:space="preserve">Commonwealth </w:t>
      </w:r>
      <w:r w:rsidRPr="00167119">
        <w:t>investment into programs in Western Australia can contribute to improved outcomes supported by the Agreement. This includes identifying opportunities for integrating with Western Australia</w:t>
      </w:r>
      <w:r w:rsidR="00387A08" w:rsidRPr="00167119">
        <w:t>’s</w:t>
      </w:r>
      <w:r w:rsidRPr="00167119">
        <w:t xml:space="preserve"> housing and homelessness strategies and programs, which will support better targeting of resources, help avoid duplication and address service gaps to better assist people in need.</w:t>
      </w:r>
    </w:p>
    <w:p w14:paraId="06DBEB79" w14:textId="77777777" w:rsidR="00B46E9F" w:rsidRPr="00167119" w:rsidRDefault="00B46E9F" w:rsidP="00B46E9F">
      <w:pPr>
        <w:pStyle w:val="OutlineNumbered1"/>
      </w:pPr>
      <w:r w:rsidRPr="00167119">
        <w:t>Western Australia and the Commonwealth will explore opportunities to share data and undertake agreed projects to share and link social housing and homelessness data with social security and other datasets.</w:t>
      </w:r>
    </w:p>
    <w:p w14:paraId="3DE545F7" w14:textId="77777777" w:rsidR="00AB140D" w:rsidRPr="00167119" w:rsidRDefault="00AB140D" w:rsidP="00B46E9F">
      <w:pPr>
        <w:pStyle w:val="Heading1"/>
      </w:pPr>
      <w:r w:rsidRPr="00167119">
        <w:lastRenderedPageBreak/>
        <w:t xml:space="preserve">PART 5 – </w:t>
      </w:r>
      <w:r w:rsidR="004C0C7B" w:rsidRPr="00167119">
        <w:t xml:space="preserve">STATE-SPECIFIC </w:t>
      </w:r>
      <w:r w:rsidR="008B00ED" w:rsidRPr="00167119">
        <w:t>MEasurement</w:t>
      </w:r>
    </w:p>
    <w:p w14:paraId="1FB9F9BC" w14:textId="77777777" w:rsidR="008B697C" w:rsidRPr="00167119" w:rsidRDefault="008B697C" w:rsidP="008B697C">
      <w:pPr>
        <w:pStyle w:val="OutlineNumbered1"/>
      </w:pPr>
      <w:r w:rsidRPr="00167119">
        <w:t>Western Australia currently collects a wide range of information to better understand the housing market and the effectiveness of policies and programs.</w:t>
      </w:r>
    </w:p>
    <w:p w14:paraId="3CAE7571" w14:textId="77777777" w:rsidR="00667E0A" w:rsidRPr="00167119" w:rsidRDefault="00EA1E72" w:rsidP="00EA1E72">
      <w:pPr>
        <w:pStyle w:val="OutlineNumbered1"/>
      </w:pPr>
      <w:r w:rsidRPr="00167119">
        <w:t>For the purpose of this agreement, Western Australia wil</w:t>
      </w:r>
      <w:r w:rsidR="00B64F20" w:rsidRPr="00167119">
        <w:t>l share with the Commonwealth</w:t>
      </w:r>
      <w:r w:rsidRPr="00167119">
        <w:t>, information on how well the social housing and homelessness service systems are functioning</w:t>
      </w:r>
      <w:r w:rsidR="00667E0A" w:rsidRPr="00167119">
        <w:t>.</w:t>
      </w:r>
    </w:p>
    <w:p w14:paraId="0BDC4938" w14:textId="77777777" w:rsidR="00857368" w:rsidRPr="00167119" w:rsidRDefault="008B697C" w:rsidP="00857368">
      <w:pPr>
        <w:pStyle w:val="OutlineNumbered1"/>
      </w:pPr>
      <w:r w:rsidRPr="00167119">
        <w:t xml:space="preserve">Recognising that this bilateral agreement should reflect a dynamic and active engagement between partners, Western Australian and Commonwealth officials </w:t>
      </w:r>
      <w:r w:rsidR="001A101A" w:rsidRPr="00167119">
        <w:t>will</w:t>
      </w:r>
      <w:r w:rsidR="00254D44" w:rsidRPr="00167119">
        <w:t xml:space="preserve"> continue to work together to:</w:t>
      </w:r>
      <w:r w:rsidR="001A101A" w:rsidRPr="00167119">
        <w:t xml:space="preserve"> </w:t>
      </w:r>
    </w:p>
    <w:p w14:paraId="1CF1A2AB" w14:textId="77777777" w:rsidR="00857368" w:rsidRPr="00167119" w:rsidRDefault="008B697C" w:rsidP="00663236">
      <w:pPr>
        <w:pStyle w:val="ScheduleNumberedPara"/>
        <w:numPr>
          <w:ilvl w:val="0"/>
          <w:numId w:val="9"/>
        </w:numPr>
        <w:spacing w:after="0"/>
        <w:ind w:left="1077" w:hanging="357"/>
      </w:pPr>
      <w:r w:rsidRPr="00167119">
        <w:t xml:space="preserve">share information on </w:t>
      </w:r>
      <w:r w:rsidR="00857368" w:rsidRPr="00167119">
        <w:t xml:space="preserve">factors influencing </w:t>
      </w:r>
      <w:r w:rsidR="003C3D06" w:rsidRPr="00167119">
        <w:t xml:space="preserve">homelessness in Western Australia, </w:t>
      </w:r>
      <w:r w:rsidR="00857368" w:rsidRPr="00167119">
        <w:t xml:space="preserve">the Western Australian housing market including information on the progress of </w:t>
      </w:r>
      <w:r w:rsidRPr="00167119">
        <w:t xml:space="preserve">implementation </w:t>
      </w:r>
      <w:r w:rsidR="00915280" w:rsidRPr="00167119">
        <w:t>of action</w:t>
      </w:r>
      <w:r w:rsidR="00857368" w:rsidRPr="00167119">
        <w:t xml:space="preserve"> </w:t>
      </w:r>
      <w:r w:rsidRPr="00167119">
        <w:t>plans</w:t>
      </w:r>
      <w:r w:rsidR="00915280" w:rsidRPr="00167119">
        <w:t xml:space="preserve"> and</w:t>
      </w:r>
      <w:r w:rsidRPr="00167119">
        <w:t xml:space="preserve"> analysis of </w:t>
      </w:r>
      <w:r w:rsidR="00857368" w:rsidRPr="00167119">
        <w:t>specific policies or programs</w:t>
      </w:r>
      <w:r w:rsidRPr="00167119">
        <w:t xml:space="preserve">, </w:t>
      </w:r>
    </w:p>
    <w:p w14:paraId="7CFA2BDF" w14:textId="77777777" w:rsidR="00857368" w:rsidRPr="00167119" w:rsidRDefault="008B697C" w:rsidP="00663236">
      <w:pPr>
        <w:pStyle w:val="ScheduleNumberedPara"/>
        <w:numPr>
          <w:ilvl w:val="0"/>
          <w:numId w:val="9"/>
        </w:numPr>
        <w:spacing w:after="0"/>
        <w:ind w:left="1077" w:hanging="357"/>
      </w:pPr>
      <w:r w:rsidRPr="00167119">
        <w:t xml:space="preserve">identify joint reform projects, and </w:t>
      </w:r>
    </w:p>
    <w:p w14:paraId="2471FB3B" w14:textId="77777777" w:rsidR="008B697C" w:rsidRPr="00167119" w:rsidRDefault="008B697C" w:rsidP="00663236">
      <w:pPr>
        <w:pStyle w:val="ScheduleNumberedPara"/>
        <w:numPr>
          <w:ilvl w:val="0"/>
          <w:numId w:val="9"/>
        </w:numPr>
      </w:pPr>
      <w:r w:rsidRPr="00167119">
        <w:t xml:space="preserve">recommend changes to any or all elements of this bilateral agreement. </w:t>
      </w:r>
    </w:p>
    <w:p w14:paraId="43BFCB98" w14:textId="77777777" w:rsidR="00AB140D" w:rsidRPr="00167119" w:rsidRDefault="00120AAA" w:rsidP="00AA4652">
      <w:pPr>
        <w:pStyle w:val="Heading1"/>
        <w:spacing w:before="0"/>
      </w:pPr>
      <w:r w:rsidRPr="00167119">
        <w:t>PART 6</w:t>
      </w:r>
      <w:r w:rsidR="00AB140D" w:rsidRPr="00167119">
        <w:t xml:space="preserve"> – REPORTING</w:t>
      </w:r>
    </w:p>
    <w:p w14:paraId="2FF252CC" w14:textId="77777777" w:rsidR="009C7ABB" w:rsidRPr="00167119" w:rsidRDefault="002A7465" w:rsidP="00566FA6">
      <w:pPr>
        <w:pStyle w:val="OutlineNumbered1"/>
      </w:pPr>
      <w:r w:rsidRPr="00167119">
        <w:t xml:space="preserve">Western Australia is committed to ongoing improvements in accountability and transparency </w:t>
      </w:r>
      <w:r w:rsidR="00AA15ED" w:rsidRPr="00167119">
        <w:t xml:space="preserve">under this agreement. </w:t>
      </w:r>
    </w:p>
    <w:p w14:paraId="7E5F2802" w14:textId="77777777" w:rsidR="003A447C" w:rsidRPr="00167119" w:rsidRDefault="003A447C" w:rsidP="003A447C">
      <w:pPr>
        <w:pStyle w:val="OutlineNumbered1"/>
        <w:rPr>
          <w:rFonts w:eastAsiaTheme="minorHAnsi" w:cstheme="minorBidi"/>
          <w:color w:val="auto"/>
          <w:szCs w:val="22"/>
          <w:lang w:eastAsia="en-US"/>
        </w:rPr>
      </w:pPr>
      <w:r w:rsidRPr="00167119">
        <w:rPr>
          <w:rFonts w:eastAsiaTheme="minorHAnsi" w:cstheme="minorBidi"/>
          <w:color w:val="auto"/>
          <w:szCs w:val="22"/>
          <w:lang w:eastAsia="en-US"/>
        </w:rPr>
        <w:t>In respect of strategies and action</w:t>
      </w:r>
      <w:r w:rsidR="0050173C" w:rsidRPr="00167119">
        <w:rPr>
          <w:rFonts w:eastAsiaTheme="minorHAnsi" w:cstheme="minorBidi"/>
          <w:color w:val="auto"/>
          <w:szCs w:val="22"/>
          <w:lang w:eastAsia="en-US"/>
        </w:rPr>
        <w:t xml:space="preserve"> </w:t>
      </w:r>
      <w:r w:rsidRPr="00167119">
        <w:rPr>
          <w:rFonts w:eastAsiaTheme="minorHAnsi" w:cstheme="minorBidi"/>
          <w:color w:val="auto"/>
          <w:szCs w:val="22"/>
          <w:lang w:eastAsia="en-US"/>
        </w:rPr>
        <w:t xml:space="preserve">plans outlined in Parts 2 and 3 of this Schedule, Western Australia </w:t>
      </w:r>
      <w:r w:rsidR="006B423A" w:rsidRPr="00167119">
        <w:rPr>
          <w:rFonts w:eastAsiaTheme="minorHAnsi" w:cstheme="minorBidi"/>
          <w:color w:val="auto"/>
          <w:szCs w:val="22"/>
          <w:lang w:eastAsia="en-US"/>
        </w:rPr>
        <w:t xml:space="preserve">will </w:t>
      </w:r>
      <w:r w:rsidRPr="00167119">
        <w:rPr>
          <w:rFonts w:eastAsiaTheme="minorHAnsi" w:cstheme="minorBidi"/>
          <w:color w:val="auto"/>
          <w:szCs w:val="22"/>
          <w:lang w:eastAsia="en-US"/>
        </w:rPr>
        <w:t xml:space="preserve">publish reports </w:t>
      </w:r>
      <w:r w:rsidR="00640AC1" w:rsidRPr="00167119">
        <w:rPr>
          <w:rFonts w:eastAsiaTheme="minorHAnsi" w:cstheme="minorBidi"/>
          <w:color w:val="auto"/>
          <w:szCs w:val="22"/>
          <w:lang w:eastAsia="en-US"/>
        </w:rPr>
        <w:t xml:space="preserve">for its own purposes </w:t>
      </w:r>
      <w:r w:rsidRPr="00167119">
        <w:rPr>
          <w:rFonts w:eastAsiaTheme="minorHAnsi" w:cstheme="minorBidi"/>
          <w:color w:val="auto"/>
          <w:szCs w:val="22"/>
          <w:lang w:eastAsia="en-US"/>
        </w:rPr>
        <w:t xml:space="preserve">on the progress of implementation against plans or the achievement of outcomes.  Any such reports will be publicly available at </w:t>
      </w:r>
      <w:hyperlink r:id="rId21" w:history="1">
        <w:r w:rsidR="00FB6F45" w:rsidRPr="00167119">
          <w:rPr>
            <w:rStyle w:val="Hyperlink"/>
          </w:rPr>
          <w:t>http://www.communities.wa.gov.au/</w:t>
        </w:r>
      </w:hyperlink>
      <w:r w:rsidR="00FB6F45" w:rsidRPr="00167119">
        <w:t xml:space="preserve">.  </w:t>
      </w:r>
      <w:r w:rsidR="006B423A" w:rsidRPr="00167119">
        <w:t>Th</w:t>
      </w:r>
      <w:r w:rsidR="001A101A" w:rsidRPr="00167119">
        <w:t>ese</w:t>
      </w:r>
      <w:r w:rsidR="006B423A" w:rsidRPr="00167119">
        <w:t xml:space="preserve"> report</w:t>
      </w:r>
      <w:r w:rsidR="001A101A" w:rsidRPr="00167119">
        <w:t>s</w:t>
      </w:r>
      <w:r w:rsidR="006B423A" w:rsidRPr="00167119">
        <w:t xml:space="preserve"> will be provided to the Commonwealth Minister with portfolio responsibility for housing and homelessness</w:t>
      </w:r>
      <w:r w:rsidR="00825A98">
        <w:t xml:space="preserve"> by 31 October each year</w:t>
      </w:r>
      <w:r w:rsidR="006B423A" w:rsidRPr="00167119">
        <w:t xml:space="preserve">. </w:t>
      </w:r>
      <w:r w:rsidR="00BD6ED9" w:rsidRPr="00167119">
        <w:rPr>
          <w:rFonts w:eastAsiaTheme="minorHAnsi" w:cstheme="minorBidi"/>
          <w:color w:val="auto"/>
          <w:szCs w:val="22"/>
          <w:lang w:eastAsia="en-US"/>
        </w:rPr>
        <w:t>Information on specific elements of the strategies and action plans may also be included in the Annual Reports to Parliament of relevant departments, which will be publicly available on that department’s website.</w:t>
      </w:r>
    </w:p>
    <w:p w14:paraId="238ED501" w14:textId="77777777" w:rsidR="00825A98" w:rsidRPr="00BD35D4" w:rsidRDefault="00825A98" w:rsidP="00825A98">
      <w:pPr>
        <w:pStyle w:val="OutlineNumbered1"/>
        <w:rPr>
          <w:rFonts w:eastAsiaTheme="minorHAnsi" w:cstheme="minorBidi"/>
          <w:color w:val="auto"/>
          <w:szCs w:val="22"/>
          <w:lang w:eastAsia="en-US"/>
        </w:rPr>
      </w:pPr>
      <w:r w:rsidRPr="00BD35D4">
        <w:rPr>
          <w:rFonts w:eastAsiaTheme="minorHAnsi" w:cstheme="minorBidi"/>
          <w:color w:val="auto"/>
          <w:szCs w:val="22"/>
          <w:lang w:eastAsia="en-US"/>
        </w:rPr>
        <w:t xml:space="preserve">In respect of the requirement in Clause 37(a)(i) of the Agreement to disaggregate funding against priority homelessness cohorts, Western Australia will include disaggregated expenditure against the national priority cohorts; however, where not possible, expenditure will be identified as expenditure on general homelessness services. The expenditure on general homelessness services will include additional information, which at a minimum would include a list of the programs delivering general homelessness services. </w:t>
      </w:r>
    </w:p>
    <w:p w14:paraId="398E6001" w14:textId="77777777" w:rsidR="00825A98" w:rsidRPr="00167119" w:rsidRDefault="00825A98" w:rsidP="00825A98">
      <w:pPr>
        <w:pStyle w:val="OutlineNumbered1"/>
      </w:pPr>
      <w:r w:rsidRPr="00BD35D4">
        <w:rPr>
          <w:rFonts w:eastAsiaTheme="minorHAnsi" w:cstheme="minorBidi"/>
          <w:color w:val="auto"/>
          <w:szCs w:val="22"/>
          <w:lang w:eastAsia="en-US"/>
        </w:rPr>
        <w:t>To meet the requirement in Cla</w:t>
      </w:r>
      <w:r w:rsidR="00FE0D69">
        <w:rPr>
          <w:rFonts w:eastAsiaTheme="minorHAnsi" w:cstheme="minorBidi"/>
          <w:color w:val="auto"/>
          <w:szCs w:val="22"/>
          <w:lang w:eastAsia="en-US"/>
        </w:rPr>
        <w:t xml:space="preserve">use 37(a)(i) of the Agreement, </w:t>
      </w:r>
      <w:r w:rsidRPr="00BD35D4">
        <w:rPr>
          <w:rFonts w:eastAsiaTheme="minorHAnsi" w:cstheme="minorBidi"/>
          <w:color w:val="auto"/>
          <w:szCs w:val="22"/>
          <w:lang w:eastAsia="en-US"/>
        </w:rPr>
        <w:t>the Commonwealth and Western Australia will work together to provide information relating to the proportion of clients from the national priority cohorts supported by the general homelessness services</w:t>
      </w:r>
      <w:r w:rsidR="00C44832">
        <w:rPr>
          <w:rFonts w:eastAsiaTheme="minorHAnsi" w:cstheme="minorBidi"/>
          <w:color w:val="auto"/>
          <w:szCs w:val="22"/>
          <w:lang w:eastAsia="en-US"/>
        </w:rPr>
        <w:t>.</w:t>
      </w:r>
    </w:p>
    <w:p w14:paraId="2605DBA2" w14:textId="77777777" w:rsidR="00A2301B" w:rsidRPr="00167119" w:rsidRDefault="00A2301B" w:rsidP="00A2301B">
      <w:pPr>
        <w:pStyle w:val="Heading1"/>
        <w:jc w:val="both"/>
        <w:rPr>
          <w:bCs w:val="0"/>
          <w:caps w:val="0"/>
        </w:rPr>
      </w:pPr>
      <w:r w:rsidRPr="00167119">
        <w:t>Part 7 – Other conditions/Priority Policy Areas</w:t>
      </w:r>
    </w:p>
    <w:p w14:paraId="49C7A473" w14:textId="77777777" w:rsidR="00A2301B" w:rsidRPr="00167119" w:rsidRDefault="00A2301B" w:rsidP="00A2301B">
      <w:pPr>
        <w:pStyle w:val="OutlineNumbered1"/>
      </w:pPr>
      <w:r w:rsidRPr="00167119">
        <w:t>Other conditions and/or priority policy areas may be agreed between the Parties from time to time.</w:t>
      </w:r>
    </w:p>
    <w:p w14:paraId="0AFCBE60" w14:textId="77777777" w:rsidR="001B2110" w:rsidRPr="00167119" w:rsidRDefault="001B2110">
      <w:pPr>
        <w:spacing w:after="200" w:line="276" w:lineRule="auto"/>
        <w:jc w:val="left"/>
        <w:rPr>
          <w:rFonts w:ascii="Consolas" w:hAnsi="Consolas" w:cs="Arial"/>
          <w:bCs/>
          <w:caps/>
          <w:color w:val="3D4B67"/>
          <w:kern w:val="32"/>
          <w:sz w:val="32"/>
          <w:szCs w:val="36"/>
        </w:rPr>
      </w:pPr>
      <w:r w:rsidRPr="00167119">
        <w:br w:type="page"/>
      </w:r>
      <w:r w:rsidR="00856ACC" w:rsidRPr="00167119">
        <w:lastRenderedPageBreak/>
        <w:t xml:space="preserve"> </w:t>
      </w:r>
    </w:p>
    <w:p w14:paraId="1D202040" w14:textId="77777777" w:rsidR="003E00B6" w:rsidRPr="00167119" w:rsidRDefault="002526CD" w:rsidP="003E00B6">
      <w:pPr>
        <w:pStyle w:val="Heading1"/>
      </w:pPr>
      <w:r w:rsidRPr="00167119">
        <w:t xml:space="preserve">Part </w:t>
      </w:r>
      <w:r w:rsidR="00CA4E24" w:rsidRPr="00167119">
        <w:t>8</w:t>
      </w:r>
      <w:r w:rsidR="00695488" w:rsidRPr="00167119">
        <w:t xml:space="preserve"> –</w:t>
      </w:r>
      <w:r w:rsidR="003E00B6" w:rsidRPr="00167119">
        <w:t xml:space="preserve"> Sign Off</w:t>
      </w:r>
    </w:p>
    <w:p w14:paraId="7481F3A4" w14:textId="77777777" w:rsidR="003E00B6" w:rsidRPr="00167119" w:rsidRDefault="003E00B6" w:rsidP="003E00B6">
      <w:pPr>
        <w:pStyle w:val="ScheduleNumberedPara"/>
        <w:numPr>
          <w:ilvl w:val="1"/>
          <w:numId w:val="1"/>
        </w:numPr>
        <w:tabs>
          <w:tab w:val="num" w:pos="2268"/>
        </w:tabs>
        <w:rPr>
          <w:color w:val="auto"/>
        </w:rPr>
      </w:pPr>
      <w:r w:rsidRPr="00167119">
        <w:rPr>
          <w:color w:val="auto"/>
        </w:rPr>
        <w:t xml:space="preserve">The Parties have confirmed their commitment to this </w:t>
      </w:r>
      <w:r w:rsidR="00E92CFA" w:rsidRPr="00167119">
        <w:rPr>
          <w:color w:val="auto"/>
        </w:rPr>
        <w:t xml:space="preserve">Schedule </w:t>
      </w:r>
      <w:r w:rsidRPr="00167119">
        <w:rPr>
          <w:color w:val="auto"/>
        </w:rPr>
        <w:t>as follows:</w:t>
      </w:r>
    </w:p>
    <w:p w14:paraId="386CC3DA" w14:textId="77777777" w:rsidR="003E00B6" w:rsidRPr="00167119" w:rsidRDefault="003E00B6" w:rsidP="003E00B6">
      <w:pPr>
        <w:pStyle w:val="ScheduleNumberedPara"/>
        <w:rPr>
          <w:rFonts w:ascii="Times New Roman" w:hAnsi="Times New Roman"/>
          <w:color w:val="auto"/>
          <w:sz w:val="24"/>
          <w:szCs w:val="24"/>
        </w:rPr>
      </w:pPr>
      <w:r w:rsidRPr="00167119">
        <w:rPr>
          <w:rFonts w:ascii="Times New Roman" w:hAnsi="Times New Roman"/>
          <w:b/>
          <w:color w:val="auto"/>
          <w:sz w:val="24"/>
          <w:szCs w:val="24"/>
        </w:rPr>
        <w:t>Signed</w:t>
      </w:r>
      <w:r w:rsidRPr="00167119">
        <w:rPr>
          <w:rFonts w:ascii="Times New Roman" w:hAnsi="Times New Roman"/>
          <w:color w:val="auto"/>
          <w:sz w:val="24"/>
          <w:szCs w:val="24"/>
        </w:rPr>
        <w:t xml:space="preserve"> </w:t>
      </w:r>
      <w:r w:rsidRPr="00167119">
        <w:rPr>
          <w:rFonts w:ascii="Times New Roman" w:hAnsi="Times New Roman"/>
          <w:i/>
          <w:color w:val="auto"/>
          <w:sz w:val="24"/>
          <w:szCs w:val="24"/>
        </w:rPr>
        <w:t>for and on behalf of the Commonwealth of Australia by</w:t>
      </w:r>
    </w:p>
    <w:p w14:paraId="3FA263FA" w14:textId="77777777" w:rsidR="003E00B6" w:rsidRPr="00167119" w:rsidRDefault="003E00B6" w:rsidP="003E00B6">
      <w:pPr>
        <w:pStyle w:val="ScheduleNumberedPara"/>
        <w:rPr>
          <w:color w:val="auto"/>
        </w:rPr>
      </w:pPr>
    </w:p>
    <w:p w14:paraId="53E2493B" w14:textId="77777777" w:rsidR="003E00B6" w:rsidRPr="00167119" w:rsidRDefault="003E00B6" w:rsidP="003E00B6">
      <w:pPr>
        <w:pStyle w:val="ScheduleNumberedPara"/>
        <w:rPr>
          <w:color w:val="auto"/>
        </w:rPr>
      </w:pPr>
    </w:p>
    <w:p w14:paraId="2B204D5A" w14:textId="77777777" w:rsidR="003E00B6" w:rsidRPr="00167119" w:rsidRDefault="003E00B6" w:rsidP="003E00B6">
      <w:pPr>
        <w:pStyle w:val="ScheduleNumberedPara"/>
        <w:tabs>
          <w:tab w:val="num" w:pos="2268"/>
        </w:tabs>
        <w:rPr>
          <w:color w:val="auto"/>
        </w:rPr>
      </w:pPr>
      <w:r w:rsidRPr="00167119">
        <w:rPr>
          <w:color w:val="auto"/>
        </w:rPr>
        <w:t>-----------------------------------------------------</w:t>
      </w:r>
    </w:p>
    <w:p w14:paraId="53B7796B" w14:textId="77777777" w:rsidR="00074429" w:rsidRDefault="00074429" w:rsidP="00074429">
      <w:pPr>
        <w:keepNext/>
      </w:pPr>
    </w:p>
    <w:p w14:paraId="408E5243" w14:textId="337D7222" w:rsidR="00D31C48" w:rsidRDefault="00D31C48" w:rsidP="00074429">
      <w:pPr>
        <w:keepNext/>
      </w:pPr>
    </w:p>
    <w:p w14:paraId="6155CBEF" w14:textId="77777777" w:rsidR="00D31C48" w:rsidRPr="00167119" w:rsidRDefault="00D31C48" w:rsidP="00074429">
      <w:pPr>
        <w:keepNext/>
      </w:pPr>
    </w:p>
    <w:p w14:paraId="40B9E580" w14:textId="77777777" w:rsidR="00074429" w:rsidRPr="00167119" w:rsidRDefault="00074429" w:rsidP="00074429">
      <w:pPr>
        <w:keepNext/>
      </w:pPr>
      <w:r w:rsidRPr="00167119">
        <w:t>….…./…..…/……..</w:t>
      </w:r>
    </w:p>
    <w:p w14:paraId="36A631FF" w14:textId="77777777" w:rsidR="003E00B6" w:rsidRPr="00167119" w:rsidRDefault="003E00B6" w:rsidP="003E00B6">
      <w:pPr>
        <w:pStyle w:val="ScheduleNumberedPara"/>
        <w:rPr>
          <w:lang w:val="en-GB"/>
        </w:rPr>
      </w:pPr>
    </w:p>
    <w:p w14:paraId="20D8DCF4" w14:textId="77777777" w:rsidR="003E00B6" w:rsidRPr="00167119" w:rsidRDefault="003E00B6" w:rsidP="003E00B6">
      <w:pPr>
        <w:pStyle w:val="ScheduleNumberedPara"/>
        <w:rPr>
          <w:rFonts w:ascii="Times New Roman" w:hAnsi="Times New Roman"/>
          <w:color w:val="auto"/>
          <w:sz w:val="24"/>
          <w:szCs w:val="24"/>
        </w:rPr>
      </w:pPr>
      <w:bookmarkStart w:id="7" w:name="_Hlk514067689"/>
      <w:r w:rsidRPr="00167119">
        <w:rPr>
          <w:rFonts w:ascii="Times New Roman" w:hAnsi="Times New Roman"/>
          <w:b/>
          <w:color w:val="auto"/>
          <w:sz w:val="24"/>
          <w:szCs w:val="24"/>
        </w:rPr>
        <w:t>Signed</w:t>
      </w:r>
      <w:r w:rsidRPr="00167119">
        <w:rPr>
          <w:rFonts w:ascii="Times New Roman" w:hAnsi="Times New Roman"/>
          <w:color w:val="auto"/>
          <w:sz w:val="24"/>
          <w:szCs w:val="24"/>
        </w:rPr>
        <w:t xml:space="preserve"> </w:t>
      </w:r>
      <w:r w:rsidR="00781DD7" w:rsidRPr="00167119">
        <w:rPr>
          <w:rFonts w:ascii="Times New Roman" w:hAnsi="Times New Roman"/>
          <w:i/>
          <w:color w:val="auto"/>
          <w:sz w:val="24"/>
          <w:szCs w:val="24"/>
        </w:rPr>
        <w:t>for and on behalf of Western Australia</w:t>
      </w:r>
      <w:r w:rsidRPr="00167119">
        <w:rPr>
          <w:rFonts w:ascii="Times New Roman" w:hAnsi="Times New Roman"/>
          <w:i/>
          <w:color w:val="auto"/>
          <w:sz w:val="24"/>
          <w:szCs w:val="24"/>
        </w:rPr>
        <w:t xml:space="preserve"> by</w:t>
      </w:r>
    </w:p>
    <w:p w14:paraId="3AA143E6" w14:textId="77777777" w:rsidR="003E00B6" w:rsidRPr="00167119" w:rsidRDefault="003E00B6" w:rsidP="003E00B6">
      <w:pPr>
        <w:pStyle w:val="ScheduleNumberedPara"/>
        <w:rPr>
          <w:color w:val="auto"/>
        </w:rPr>
      </w:pPr>
    </w:p>
    <w:p w14:paraId="57B69E6D" w14:textId="77777777" w:rsidR="003E00B6" w:rsidRPr="00167119" w:rsidRDefault="003E00B6" w:rsidP="003E00B6">
      <w:pPr>
        <w:pStyle w:val="ScheduleNumberedPara"/>
        <w:rPr>
          <w:color w:val="auto"/>
        </w:rPr>
      </w:pPr>
    </w:p>
    <w:p w14:paraId="13E8AD91" w14:textId="77777777" w:rsidR="003E00B6" w:rsidRPr="00167119" w:rsidRDefault="003E00B6" w:rsidP="003E00B6">
      <w:pPr>
        <w:pStyle w:val="ScheduleNumberedPara"/>
        <w:tabs>
          <w:tab w:val="num" w:pos="2268"/>
        </w:tabs>
        <w:rPr>
          <w:color w:val="auto"/>
        </w:rPr>
      </w:pPr>
      <w:r w:rsidRPr="00167119">
        <w:rPr>
          <w:color w:val="auto"/>
        </w:rPr>
        <w:t>-----------------------------------------------------</w:t>
      </w:r>
    </w:p>
    <w:p w14:paraId="605751B7" w14:textId="77777777" w:rsidR="003E00B6" w:rsidRPr="00167119" w:rsidRDefault="00937F02" w:rsidP="003E00B6">
      <w:pPr>
        <w:pStyle w:val="SingleParagraph"/>
        <w:rPr>
          <w:rStyle w:val="Bold"/>
        </w:rPr>
      </w:pPr>
      <w:r w:rsidRPr="00167119">
        <w:rPr>
          <w:rStyle w:val="Bold"/>
        </w:rPr>
        <w:t>Hon Peter Tinley AM MLA</w:t>
      </w:r>
    </w:p>
    <w:p w14:paraId="10E6C29C" w14:textId="77777777" w:rsidR="003E00B6" w:rsidRPr="00167119" w:rsidRDefault="00937F02" w:rsidP="003E00B6">
      <w:pPr>
        <w:pStyle w:val="Position"/>
        <w:rPr>
          <w:lang w:val="en-GB"/>
        </w:rPr>
      </w:pPr>
      <w:r w:rsidRPr="00167119">
        <w:rPr>
          <w:lang w:val="en-GB"/>
        </w:rPr>
        <w:t>Minister for Housing</w:t>
      </w:r>
    </w:p>
    <w:p w14:paraId="7FC48813" w14:textId="77777777" w:rsidR="00074429" w:rsidRPr="00167119" w:rsidRDefault="00074429" w:rsidP="00074429">
      <w:pPr>
        <w:keepNext/>
      </w:pPr>
    </w:p>
    <w:p w14:paraId="31A543F4" w14:textId="77777777" w:rsidR="00074429" w:rsidRPr="00167119" w:rsidRDefault="00074429" w:rsidP="00074429">
      <w:pPr>
        <w:keepNext/>
      </w:pPr>
      <w:r w:rsidRPr="00167119">
        <w:t>….…./…..…/……..</w:t>
      </w:r>
    </w:p>
    <w:bookmarkEnd w:id="7"/>
    <w:p w14:paraId="2C2CB5A4" w14:textId="77777777" w:rsidR="00937F02" w:rsidRPr="00167119" w:rsidRDefault="00937F02" w:rsidP="00937F02"/>
    <w:p w14:paraId="4A4131CA" w14:textId="77777777" w:rsidR="00937F02" w:rsidRPr="00167119" w:rsidRDefault="00937F02" w:rsidP="00937F02"/>
    <w:p w14:paraId="421FEAB9" w14:textId="77777777" w:rsidR="00937F02" w:rsidRPr="00167119" w:rsidRDefault="00937F02" w:rsidP="00937F02">
      <w:r w:rsidRPr="00167119">
        <w:t>-----------------------------------------------------</w:t>
      </w:r>
    </w:p>
    <w:p w14:paraId="5D7C9AF7" w14:textId="77777777" w:rsidR="00937F02" w:rsidRPr="00167119" w:rsidRDefault="00937F02" w:rsidP="00574DF3">
      <w:pPr>
        <w:pStyle w:val="SingleParagraph"/>
        <w:rPr>
          <w:rStyle w:val="Bold"/>
        </w:rPr>
      </w:pPr>
      <w:r w:rsidRPr="00167119">
        <w:rPr>
          <w:rStyle w:val="Bold"/>
        </w:rPr>
        <w:t>Hon Simone McGurk MLA</w:t>
      </w:r>
    </w:p>
    <w:p w14:paraId="1051D4D1" w14:textId="77777777" w:rsidR="00937F02" w:rsidRPr="00167119" w:rsidRDefault="00937F02" w:rsidP="00574DF3">
      <w:pPr>
        <w:pStyle w:val="SingleParagraph"/>
        <w:rPr>
          <w:rStyle w:val="Bold"/>
          <w:b w:val="0"/>
          <w:sz w:val="20"/>
        </w:rPr>
      </w:pPr>
      <w:r w:rsidRPr="00167119">
        <w:rPr>
          <w:rStyle w:val="Bold"/>
          <w:b w:val="0"/>
          <w:sz w:val="20"/>
        </w:rPr>
        <w:t>Minister for Child Protection</w:t>
      </w:r>
      <w:r w:rsidR="00630842" w:rsidRPr="00167119">
        <w:rPr>
          <w:rStyle w:val="Bold"/>
          <w:b w:val="0"/>
          <w:sz w:val="20"/>
        </w:rPr>
        <w:t xml:space="preserve">; </w:t>
      </w:r>
      <w:r w:rsidR="003870CA" w:rsidRPr="00167119">
        <w:rPr>
          <w:rStyle w:val="Bold"/>
          <w:b w:val="0"/>
          <w:sz w:val="20"/>
        </w:rPr>
        <w:t xml:space="preserve">Women’s Interests, </w:t>
      </w:r>
      <w:r w:rsidR="00630842" w:rsidRPr="00167119">
        <w:rPr>
          <w:rStyle w:val="Bold"/>
          <w:b w:val="0"/>
          <w:sz w:val="20"/>
        </w:rPr>
        <w:t>Prevention of Family and Domestic Violence</w:t>
      </w:r>
      <w:r w:rsidR="003870CA" w:rsidRPr="00167119">
        <w:rPr>
          <w:rStyle w:val="Bold"/>
          <w:b w:val="0"/>
          <w:sz w:val="20"/>
        </w:rPr>
        <w:t>, Community Services</w:t>
      </w:r>
    </w:p>
    <w:p w14:paraId="2E5E1CA9" w14:textId="77777777" w:rsidR="00574DF3" w:rsidRPr="00167119" w:rsidRDefault="00574DF3" w:rsidP="00574DF3">
      <w:pPr>
        <w:pStyle w:val="SingleParagraph"/>
        <w:rPr>
          <w:rStyle w:val="Bold"/>
          <w:b w:val="0"/>
          <w:sz w:val="20"/>
        </w:rPr>
      </w:pPr>
    </w:p>
    <w:p w14:paraId="6B7E44DA" w14:textId="77777777" w:rsidR="00074429" w:rsidRPr="00167119" w:rsidRDefault="00074429" w:rsidP="00074429">
      <w:pPr>
        <w:keepNext/>
      </w:pPr>
    </w:p>
    <w:p w14:paraId="18DD66BA" w14:textId="52EDA5C4" w:rsidR="00CF683F" w:rsidRPr="00CA6D0E" w:rsidRDefault="00074429" w:rsidP="00CA6D0E">
      <w:pPr>
        <w:keepNext/>
      </w:pPr>
      <w:r w:rsidRPr="00167119">
        <w:t>….…./…..…/……..</w:t>
      </w:r>
      <w:bookmarkStart w:id="8" w:name="_GoBack"/>
      <w:bookmarkEnd w:id="8"/>
    </w:p>
    <w:sectPr w:rsidR="00CF683F" w:rsidRPr="00CA6D0E" w:rsidSect="00CA6D0E">
      <w:headerReference w:type="default" r:id="rId22"/>
      <w:footerReference w:type="default" r:id="rId23"/>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3C4EE" w14:textId="77777777" w:rsidR="005037A5" w:rsidRDefault="005037A5" w:rsidP="00066850">
      <w:pPr>
        <w:spacing w:after="0" w:line="240" w:lineRule="auto"/>
      </w:pPr>
      <w:r>
        <w:separator/>
      </w:r>
    </w:p>
  </w:endnote>
  <w:endnote w:type="continuationSeparator" w:id="0">
    <w:p w14:paraId="0766A413" w14:textId="77777777" w:rsidR="005037A5" w:rsidRDefault="005037A5" w:rsidP="00066850">
      <w:pPr>
        <w:spacing w:after="0" w:line="240" w:lineRule="auto"/>
      </w:pPr>
      <w:r>
        <w:continuationSeparator/>
      </w:r>
    </w:p>
  </w:endnote>
  <w:endnote w:type="continuationNotice" w:id="1">
    <w:p w14:paraId="4425665B" w14:textId="77777777" w:rsidR="005037A5" w:rsidRDefault="00503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632372"/>
      <w:docPartObj>
        <w:docPartGallery w:val="Page Numbers (Bottom of Page)"/>
        <w:docPartUnique/>
      </w:docPartObj>
    </w:sdtPr>
    <w:sdtEndPr>
      <w:rPr>
        <w:noProof/>
      </w:rPr>
    </w:sdtEndPr>
    <w:sdtContent>
      <w:p w14:paraId="39CA6098" w14:textId="77777777" w:rsidR="007B7DE7" w:rsidRDefault="007B7DE7">
        <w:pPr>
          <w:pStyle w:val="Footer"/>
          <w:jc w:val="center"/>
        </w:pPr>
        <w:r>
          <w:fldChar w:fldCharType="begin"/>
        </w:r>
        <w:r>
          <w:instrText xml:space="preserve"> PAGE   \* MERGEFORMAT </w:instrText>
        </w:r>
        <w:r>
          <w:fldChar w:fldCharType="separate"/>
        </w:r>
        <w:r w:rsidR="00CA6D0E">
          <w:rPr>
            <w:noProof/>
          </w:rPr>
          <w:t>2</w:t>
        </w:r>
        <w:r>
          <w:rPr>
            <w:noProof/>
          </w:rPr>
          <w:fldChar w:fldCharType="end"/>
        </w:r>
      </w:p>
    </w:sdtContent>
  </w:sdt>
  <w:p w14:paraId="23E88465" w14:textId="77777777" w:rsidR="007B7DE7" w:rsidRDefault="007B7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BD868" w14:textId="77777777" w:rsidR="005037A5" w:rsidRDefault="005037A5" w:rsidP="00066850">
      <w:pPr>
        <w:spacing w:after="0" w:line="240" w:lineRule="auto"/>
      </w:pPr>
      <w:r>
        <w:separator/>
      </w:r>
    </w:p>
  </w:footnote>
  <w:footnote w:type="continuationSeparator" w:id="0">
    <w:p w14:paraId="6F19CCB8" w14:textId="77777777" w:rsidR="005037A5" w:rsidRDefault="005037A5" w:rsidP="00066850">
      <w:pPr>
        <w:spacing w:after="0" w:line="240" w:lineRule="auto"/>
      </w:pPr>
      <w:r>
        <w:continuationSeparator/>
      </w:r>
    </w:p>
  </w:footnote>
  <w:footnote w:type="continuationNotice" w:id="1">
    <w:p w14:paraId="7AAE60C8" w14:textId="77777777" w:rsidR="005037A5" w:rsidRDefault="005037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D7852" w14:textId="11004898" w:rsidR="007B7DE7" w:rsidRDefault="007B7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nsid w:val="05536BD4"/>
    <w:multiLevelType w:val="hybridMultilevel"/>
    <w:tmpl w:val="23E45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E71078"/>
    <w:multiLevelType w:val="hybridMultilevel"/>
    <w:tmpl w:val="47DA0B90"/>
    <w:lvl w:ilvl="0" w:tplc="5C18A11C">
      <w:start w:val="1"/>
      <w:numFmt w:val="lowerLetter"/>
      <w:lvlText w:val="(%1)"/>
      <w:lvlJc w:val="left"/>
      <w:pPr>
        <w:ind w:left="786" w:hanging="360"/>
      </w:pPr>
      <w:rPr>
        <w:rFonts w:cs="Times New Roman" w:hint="default"/>
      </w:rPr>
    </w:lvl>
    <w:lvl w:ilvl="1" w:tplc="0C09001B">
      <w:start w:val="1"/>
      <w:numFmt w:val="lowerRoman"/>
      <w:lvlText w:val="%2."/>
      <w:lvlJc w:val="righ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3">
    <w:nsid w:val="0F183EBF"/>
    <w:multiLevelType w:val="hybridMultilevel"/>
    <w:tmpl w:val="C23613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007183B"/>
    <w:multiLevelType w:val="multilevel"/>
    <w:tmpl w:val="23248198"/>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EA017A"/>
    <w:multiLevelType w:val="hybridMultilevel"/>
    <w:tmpl w:val="3F368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A771D47"/>
    <w:multiLevelType w:val="multilevel"/>
    <w:tmpl w:val="A9966FDA"/>
    <w:lvl w:ilvl="0">
      <w:start w:val="1"/>
      <w:numFmt w:val="decimal"/>
      <w:lvlText w:val="%1."/>
      <w:lvlJc w:val="left"/>
      <w:pPr>
        <w:tabs>
          <w:tab w:val="num" w:pos="543"/>
        </w:tabs>
        <w:ind w:left="543" w:hanging="543"/>
      </w:pPr>
    </w:lvl>
    <w:lvl w:ilvl="1">
      <w:start w:val="1"/>
      <w:numFmt w:val="lowerLetter"/>
      <w:lvlText w:val="(%2)"/>
      <w:lvlJc w:val="left"/>
      <w:pPr>
        <w:tabs>
          <w:tab w:val="num" w:pos="1086"/>
        </w:tabs>
        <w:ind w:left="1086" w:hanging="543"/>
      </w:pPr>
      <w:rPr>
        <w:rFonts w:cs="Times New Roman"/>
      </w:rPr>
    </w:lvl>
    <w:lvl w:ilvl="2">
      <w:start w:val="1"/>
      <w:numFmt w:val="decimal"/>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B8E099B"/>
    <w:multiLevelType w:val="hybridMultilevel"/>
    <w:tmpl w:val="594A004A"/>
    <w:lvl w:ilvl="0" w:tplc="0C090001">
      <w:start w:val="1"/>
      <w:numFmt w:val="bullet"/>
      <w:lvlText w:val=""/>
      <w:lvlJc w:val="left"/>
      <w:pPr>
        <w:ind w:left="903" w:hanging="360"/>
      </w:pPr>
      <w:rPr>
        <w:rFonts w:ascii="Symbol" w:hAnsi="Symbol" w:hint="default"/>
      </w:rPr>
    </w:lvl>
    <w:lvl w:ilvl="1" w:tplc="0C090003" w:tentative="1">
      <w:start w:val="1"/>
      <w:numFmt w:val="bullet"/>
      <w:lvlText w:val="o"/>
      <w:lvlJc w:val="left"/>
      <w:pPr>
        <w:ind w:left="1623" w:hanging="360"/>
      </w:pPr>
      <w:rPr>
        <w:rFonts w:ascii="Courier New" w:hAnsi="Courier New" w:cs="Courier New" w:hint="default"/>
      </w:rPr>
    </w:lvl>
    <w:lvl w:ilvl="2" w:tplc="0C090005" w:tentative="1">
      <w:start w:val="1"/>
      <w:numFmt w:val="bullet"/>
      <w:lvlText w:val=""/>
      <w:lvlJc w:val="left"/>
      <w:pPr>
        <w:ind w:left="2343" w:hanging="360"/>
      </w:pPr>
      <w:rPr>
        <w:rFonts w:ascii="Wingdings" w:hAnsi="Wingdings" w:hint="default"/>
      </w:rPr>
    </w:lvl>
    <w:lvl w:ilvl="3" w:tplc="0C090001" w:tentative="1">
      <w:start w:val="1"/>
      <w:numFmt w:val="bullet"/>
      <w:lvlText w:val=""/>
      <w:lvlJc w:val="left"/>
      <w:pPr>
        <w:ind w:left="3063" w:hanging="360"/>
      </w:pPr>
      <w:rPr>
        <w:rFonts w:ascii="Symbol" w:hAnsi="Symbol" w:hint="default"/>
      </w:rPr>
    </w:lvl>
    <w:lvl w:ilvl="4" w:tplc="0C090003" w:tentative="1">
      <w:start w:val="1"/>
      <w:numFmt w:val="bullet"/>
      <w:lvlText w:val="o"/>
      <w:lvlJc w:val="left"/>
      <w:pPr>
        <w:ind w:left="3783" w:hanging="360"/>
      </w:pPr>
      <w:rPr>
        <w:rFonts w:ascii="Courier New" w:hAnsi="Courier New" w:cs="Courier New" w:hint="default"/>
      </w:rPr>
    </w:lvl>
    <w:lvl w:ilvl="5" w:tplc="0C090005" w:tentative="1">
      <w:start w:val="1"/>
      <w:numFmt w:val="bullet"/>
      <w:lvlText w:val=""/>
      <w:lvlJc w:val="left"/>
      <w:pPr>
        <w:ind w:left="4503" w:hanging="360"/>
      </w:pPr>
      <w:rPr>
        <w:rFonts w:ascii="Wingdings" w:hAnsi="Wingdings" w:hint="default"/>
      </w:rPr>
    </w:lvl>
    <w:lvl w:ilvl="6" w:tplc="0C090001" w:tentative="1">
      <w:start w:val="1"/>
      <w:numFmt w:val="bullet"/>
      <w:lvlText w:val=""/>
      <w:lvlJc w:val="left"/>
      <w:pPr>
        <w:ind w:left="5223" w:hanging="360"/>
      </w:pPr>
      <w:rPr>
        <w:rFonts w:ascii="Symbol" w:hAnsi="Symbol" w:hint="default"/>
      </w:rPr>
    </w:lvl>
    <w:lvl w:ilvl="7" w:tplc="0C090003" w:tentative="1">
      <w:start w:val="1"/>
      <w:numFmt w:val="bullet"/>
      <w:lvlText w:val="o"/>
      <w:lvlJc w:val="left"/>
      <w:pPr>
        <w:ind w:left="5943" w:hanging="360"/>
      </w:pPr>
      <w:rPr>
        <w:rFonts w:ascii="Courier New" w:hAnsi="Courier New" w:cs="Courier New" w:hint="default"/>
      </w:rPr>
    </w:lvl>
    <w:lvl w:ilvl="8" w:tplc="0C090005" w:tentative="1">
      <w:start w:val="1"/>
      <w:numFmt w:val="bullet"/>
      <w:lvlText w:val=""/>
      <w:lvlJc w:val="left"/>
      <w:pPr>
        <w:ind w:left="6663" w:hanging="360"/>
      </w:pPr>
      <w:rPr>
        <w:rFonts w:ascii="Wingdings" w:hAnsi="Wingdings" w:hint="default"/>
      </w:rPr>
    </w:lvl>
  </w:abstractNum>
  <w:abstractNum w:abstractNumId="8">
    <w:nsid w:val="413D10C3"/>
    <w:multiLevelType w:val="multilevel"/>
    <w:tmpl w:val="A8D21724"/>
    <w:lvl w:ilvl="0">
      <w:start w:val="1"/>
      <w:numFmt w:val="decimal"/>
      <w:pStyle w:val="OutlineNumbered1"/>
      <w:lvlText w:val="%1."/>
      <w:lvlJc w:val="left"/>
      <w:pPr>
        <w:tabs>
          <w:tab w:val="num" w:pos="543"/>
        </w:tabs>
        <w:ind w:left="543" w:hanging="543"/>
      </w:pPr>
    </w:lvl>
    <w:lvl w:ilvl="1">
      <w:start w:val="1"/>
      <w:numFmt w:val="bullet"/>
      <w:pStyle w:val="OutlineNumbered2"/>
      <w:lvlText w:val=""/>
      <w:lvlJc w:val="left"/>
      <w:pPr>
        <w:tabs>
          <w:tab w:val="num" w:pos="1086"/>
        </w:tabs>
        <w:ind w:left="1086" w:hanging="543"/>
      </w:pPr>
      <w:rPr>
        <w:rFonts w:ascii="Symbol" w:hAnsi="Symbol" w:hint="default"/>
      </w:r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67958A1"/>
    <w:multiLevelType w:val="multilevel"/>
    <w:tmpl w:val="6E261D0E"/>
    <w:lvl w:ilvl="0">
      <w:start w:val="1"/>
      <w:numFmt w:val="upperLetter"/>
      <w:suff w:val="nothing"/>
      <w:lvlText w:val="%1"/>
      <w:lvlJc w:val="left"/>
      <w:pPr>
        <w:ind w:left="0" w:firstLine="0"/>
      </w:pPr>
      <w:rPr>
        <w:rFonts w:cs="Times New Roman"/>
      </w:rPr>
    </w:lvl>
    <w:lvl w:ilvl="1">
      <w:start w:val="1"/>
      <w:numFmt w:val="decimal"/>
      <w:lvlText w:val="%2."/>
      <w:lvlJc w:val="left"/>
      <w:pPr>
        <w:tabs>
          <w:tab w:val="num" w:pos="567"/>
        </w:tabs>
        <w:ind w:left="567" w:hanging="567"/>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10">
    <w:nsid w:val="4D0045DF"/>
    <w:multiLevelType w:val="hybridMultilevel"/>
    <w:tmpl w:val="47DA0B90"/>
    <w:lvl w:ilvl="0" w:tplc="5C18A11C">
      <w:start w:val="1"/>
      <w:numFmt w:val="lowerLetter"/>
      <w:lvlText w:val="(%1)"/>
      <w:lvlJc w:val="left"/>
      <w:pPr>
        <w:ind w:left="360" w:hanging="360"/>
      </w:pPr>
      <w:rPr>
        <w:rFonts w:cs="Times New Roman" w:hint="default"/>
      </w:rPr>
    </w:lvl>
    <w:lvl w:ilvl="1" w:tplc="0C09001B">
      <w:start w:val="1"/>
      <w:numFmt w:val="lowerRoman"/>
      <w:lvlText w:val="%2."/>
      <w:lvlJc w:val="right"/>
      <w:pPr>
        <w:ind w:left="1221" w:hanging="360"/>
      </w:pPr>
      <w:rPr>
        <w:rFonts w:cs="Times New Roman"/>
      </w:rPr>
    </w:lvl>
    <w:lvl w:ilvl="2" w:tplc="0C09001B" w:tentative="1">
      <w:start w:val="1"/>
      <w:numFmt w:val="lowerRoman"/>
      <w:lvlText w:val="%3."/>
      <w:lvlJc w:val="right"/>
      <w:pPr>
        <w:ind w:left="1941" w:hanging="180"/>
      </w:pPr>
      <w:rPr>
        <w:rFonts w:cs="Times New Roman"/>
      </w:rPr>
    </w:lvl>
    <w:lvl w:ilvl="3" w:tplc="0C09000F" w:tentative="1">
      <w:start w:val="1"/>
      <w:numFmt w:val="decimal"/>
      <w:lvlText w:val="%4."/>
      <w:lvlJc w:val="left"/>
      <w:pPr>
        <w:ind w:left="2661" w:hanging="360"/>
      </w:pPr>
      <w:rPr>
        <w:rFonts w:cs="Times New Roman"/>
      </w:rPr>
    </w:lvl>
    <w:lvl w:ilvl="4" w:tplc="0C090019" w:tentative="1">
      <w:start w:val="1"/>
      <w:numFmt w:val="lowerLetter"/>
      <w:lvlText w:val="%5."/>
      <w:lvlJc w:val="left"/>
      <w:pPr>
        <w:ind w:left="3381" w:hanging="360"/>
      </w:pPr>
      <w:rPr>
        <w:rFonts w:cs="Times New Roman"/>
      </w:rPr>
    </w:lvl>
    <w:lvl w:ilvl="5" w:tplc="0C09001B" w:tentative="1">
      <w:start w:val="1"/>
      <w:numFmt w:val="lowerRoman"/>
      <w:lvlText w:val="%6."/>
      <w:lvlJc w:val="right"/>
      <w:pPr>
        <w:ind w:left="4101" w:hanging="180"/>
      </w:pPr>
      <w:rPr>
        <w:rFonts w:cs="Times New Roman"/>
      </w:rPr>
    </w:lvl>
    <w:lvl w:ilvl="6" w:tplc="0C09000F" w:tentative="1">
      <w:start w:val="1"/>
      <w:numFmt w:val="decimal"/>
      <w:lvlText w:val="%7."/>
      <w:lvlJc w:val="left"/>
      <w:pPr>
        <w:ind w:left="4821" w:hanging="360"/>
      </w:pPr>
      <w:rPr>
        <w:rFonts w:cs="Times New Roman"/>
      </w:rPr>
    </w:lvl>
    <w:lvl w:ilvl="7" w:tplc="0C090019" w:tentative="1">
      <w:start w:val="1"/>
      <w:numFmt w:val="lowerLetter"/>
      <w:lvlText w:val="%8."/>
      <w:lvlJc w:val="left"/>
      <w:pPr>
        <w:ind w:left="5541" w:hanging="360"/>
      </w:pPr>
      <w:rPr>
        <w:rFonts w:cs="Times New Roman"/>
      </w:rPr>
    </w:lvl>
    <w:lvl w:ilvl="8" w:tplc="0C09001B" w:tentative="1">
      <w:start w:val="1"/>
      <w:numFmt w:val="lowerRoman"/>
      <w:lvlText w:val="%9."/>
      <w:lvlJc w:val="right"/>
      <w:pPr>
        <w:ind w:left="6261" w:hanging="180"/>
      </w:pPr>
      <w:rPr>
        <w:rFonts w:cs="Times New Roman"/>
      </w:rPr>
    </w:lvl>
  </w:abstractNum>
  <w:abstractNum w:abstractNumId="11">
    <w:nsid w:val="4D207BB9"/>
    <w:multiLevelType w:val="hybridMultilevel"/>
    <w:tmpl w:val="817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14557"/>
    <w:multiLevelType w:val="hybridMultilevel"/>
    <w:tmpl w:val="C8D4E15E"/>
    <w:lvl w:ilvl="0" w:tplc="660EB736">
      <w:start w:val="1"/>
      <w:numFmt w:val="lowerLetter"/>
      <w:lvlText w:val="(%1)"/>
      <w:lvlJc w:val="left"/>
      <w:pPr>
        <w:ind w:left="1287" w:hanging="360"/>
      </w:pPr>
      <w:rPr>
        <w:rFonts w:cs="Times New Roman"/>
      </w:rPr>
    </w:lvl>
    <w:lvl w:ilvl="1" w:tplc="0C090019">
      <w:start w:val="1"/>
      <w:numFmt w:val="lowerLetter"/>
      <w:lvlText w:val="%2."/>
      <w:lvlJc w:val="left"/>
      <w:pPr>
        <w:ind w:left="2007" w:hanging="360"/>
      </w:pPr>
      <w:rPr>
        <w:rFonts w:cs="Times New Roman"/>
      </w:rPr>
    </w:lvl>
    <w:lvl w:ilvl="2" w:tplc="0C09001B">
      <w:start w:val="1"/>
      <w:numFmt w:val="lowerRoman"/>
      <w:lvlText w:val="%3."/>
      <w:lvlJc w:val="right"/>
      <w:pPr>
        <w:ind w:left="2727" w:hanging="180"/>
      </w:pPr>
      <w:rPr>
        <w:rFonts w:cs="Times New Roman"/>
      </w:rPr>
    </w:lvl>
    <w:lvl w:ilvl="3" w:tplc="0C09000F">
      <w:start w:val="1"/>
      <w:numFmt w:val="decimal"/>
      <w:lvlText w:val="%4."/>
      <w:lvlJc w:val="left"/>
      <w:pPr>
        <w:ind w:left="3447" w:hanging="360"/>
      </w:pPr>
      <w:rPr>
        <w:rFonts w:cs="Times New Roman"/>
      </w:rPr>
    </w:lvl>
    <w:lvl w:ilvl="4" w:tplc="0C090019">
      <w:start w:val="1"/>
      <w:numFmt w:val="lowerLetter"/>
      <w:lvlText w:val="%5."/>
      <w:lvlJc w:val="left"/>
      <w:pPr>
        <w:ind w:left="4167" w:hanging="360"/>
      </w:pPr>
      <w:rPr>
        <w:rFonts w:cs="Times New Roman"/>
      </w:rPr>
    </w:lvl>
    <w:lvl w:ilvl="5" w:tplc="0C09001B">
      <w:start w:val="1"/>
      <w:numFmt w:val="lowerRoman"/>
      <w:lvlText w:val="%6."/>
      <w:lvlJc w:val="right"/>
      <w:pPr>
        <w:ind w:left="4887" w:hanging="180"/>
      </w:pPr>
      <w:rPr>
        <w:rFonts w:cs="Times New Roman"/>
      </w:rPr>
    </w:lvl>
    <w:lvl w:ilvl="6" w:tplc="0C09000F">
      <w:start w:val="1"/>
      <w:numFmt w:val="decimal"/>
      <w:lvlText w:val="%7."/>
      <w:lvlJc w:val="left"/>
      <w:pPr>
        <w:ind w:left="5607" w:hanging="360"/>
      </w:pPr>
      <w:rPr>
        <w:rFonts w:cs="Times New Roman"/>
      </w:rPr>
    </w:lvl>
    <w:lvl w:ilvl="7" w:tplc="0C090019">
      <w:start w:val="1"/>
      <w:numFmt w:val="lowerLetter"/>
      <w:lvlText w:val="%8."/>
      <w:lvlJc w:val="left"/>
      <w:pPr>
        <w:ind w:left="6327" w:hanging="360"/>
      </w:pPr>
      <w:rPr>
        <w:rFonts w:cs="Times New Roman"/>
      </w:rPr>
    </w:lvl>
    <w:lvl w:ilvl="8" w:tplc="0C09001B">
      <w:start w:val="1"/>
      <w:numFmt w:val="lowerRoman"/>
      <w:lvlText w:val="%9."/>
      <w:lvlJc w:val="right"/>
      <w:pPr>
        <w:ind w:left="7047" w:hanging="180"/>
      </w:pPr>
      <w:rPr>
        <w:rFonts w:cs="Times New Roman"/>
      </w:rPr>
    </w:lvl>
  </w:abstractNum>
  <w:abstractNum w:abstractNumId="13">
    <w:nsid w:val="5E937FB4"/>
    <w:multiLevelType w:val="hybridMultilevel"/>
    <w:tmpl w:val="DDEE9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71D1DFF"/>
    <w:multiLevelType w:val="hybridMultilevel"/>
    <w:tmpl w:val="6F1E7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87810F9"/>
    <w:multiLevelType w:val="multilevel"/>
    <w:tmpl w:val="9DE604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D952D8A"/>
    <w:multiLevelType w:val="hybridMultilevel"/>
    <w:tmpl w:val="47DA0B90"/>
    <w:lvl w:ilvl="0" w:tplc="5C18A11C">
      <w:start w:val="1"/>
      <w:numFmt w:val="lowerLetter"/>
      <w:lvlText w:val="(%1)"/>
      <w:lvlJc w:val="left"/>
      <w:pPr>
        <w:ind w:left="360" w:hanging="360"/>
      </w:pPr>
      <w:rPr>
        <w:rFonts w:cs="Times New Roman" w:hint="default"/>
      </w:rPr>
    </w:lvl>
    <w:lvl w:ilvl="1" w:tplc="0C09001B">
      <w:start w:val="1"/>
      <w:numFmt w:val="lowerRoman"/>
      <w:lvlText w:val="%2."/>
      <w:lvlJc w:val="right"/>
      <w:pPr>
        <w:ind w:left="1221" w:hanging="360"/>
      </w:pPr>
      <w:rPr>
        <w:rFonts w:cs="Times New Roman"/>
      </w:rPr>
    </w:lvl>
    <w:lvl w:ilvl="2" w:tplc="0C09001B" w:tentative="1">
      <w:start w:val="1"/>
      <w:numFmt w:val="lowerRoman"/>
      <w:lvlText w:val="%3."/>
      <w:lvlJc w:val="right"/>
      <w:pPr>
        <w:ind w:left="1941" w:hanging="180"/>
      </w:pPr>
      <w:rPr>
        <w:rFonts w:cs="Times New Roman"/>
      </w:rPr>
    </w:lvl>
    <w:lvl w:ilvl="3" w:tplc="0C09000F" w:tentative="1">
      <w:start w:val="1"/>
      <w:numFmt w:val="decimal"/>
      <w:lvlText w:val="%4."/>
      <w:lvlJc w:val="left"/>
      <w:pPr>
        <w:ind w:left="2661" w:hanging="360"/>
      </w:pPr>
      <w:rPr>
        <w:rFonts w:cs="Times New Roman"/>
      </w:rPr>
    </w:lvl>
    <w:lvl w:ilvl="4" w:tplc="0C090019" w:tentative="1">
      <w:start w:val="1"/>
      <w:numFmt w:val="lowerLetter"/>
      <w:lvlText w:val="%5."/>
      <w:lvlJc w:val="left"/>
      <w:pPr>
        <w:ind w:left="3381" w:hanging="360"/>
      </w:pPr>
      <w:rPr>
        <w:rFonts w:cs="Times New Roman"/>
      </w:rPr>
    </w:lvl>
    <w:lvl w:ilvl="5" w:tplc="0C09001B" w:tentative="1">
      <w:start w:val="1"/>
      <w:numFmt w:val="lowerRoman"/>
      <w:lvlText w:val="%6."/>
      <w:lvlJc w:val="right"/>
      <w:pPr>
        <w:ind w:left="4101" w:hanging="180"/>
      </w:pPr>
      <w:rPr>
        <w:rFonts w:cs="Times New Roman"/>
      </w:rPr>
    </w:lvl>
    <w:lvl w:ilvl="6" w:tplc="0C09000F" w:tentative="1">
      <w:start w:val="1"/>
      <w:numFmt w:val="decimal"/>
      <w:lvlText w:val="%7."/>
      <w:lvlJc w:val="left"/>
      <w:pPr>
        <w:ind w:left="4821" w:hanging="360"/>
      </w:pPr>
      <w:rPr>
        <w:rFonts w:cs="Times New Roman"/>
      </w:rPr>
    </w:lvl>
    <w:lvl w:ilvl="7" w:tplc="0C090019" w:tentative="1">
      <w:start w:val="1"/>
      <w:numFmt w:val="lowerLetter"/>
      <w:lvlText w:val="%8."/>
      <w:lvlJc w:val="left"/>
      <w:pPr>
        <w:ind w:left="5541" w:hanging="360"/>
      </w:pPr>
      <w:rPr>
        <w:rFonts w:cs="Times New Roman"/>
      </w:rPr>
    </w:lvl>
    <w:lvl w:ilvl="8" w:tplc="0C09001B" w:tentative="1">
      <w:start w:val="1"/>
      <w:numFmt w:val="lowerRoman"/>
      <w:lvlText w:val="%9."/>
      <w:lvlJc w:val="right"/>
      <w:pPr>
        <w:ind w:left="6261" w:hanging="180"/>
      </w:pPr>
      <w:rPr>
        <w:rFonts w:cs="Times New Roman"/>
      </w:rPr>
    </w:lvl>
  </w:abstractNum>
  <w:abstractNum w:abstractNumId="17">
    <w:nsid w:val="6F5F5121"/>
    <w:multiLevelType w:val="hybridMultilevel"/>
    <w:tmpl w:val="3E14F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8A09C8"/>
    <w:multiLevelType w:val="hybridMultilevel"/>
    <w:tmpl w:val="E69234A2"/>
    <w:lvl w:ilvl="0" w:tplc="0C09001B">
      <w:start w:val="1"/>
      <w:numFmt w:val="lowerRoman"/>
      <w:lvlText w:val="%1."/>
      <w:lvlJc w:val="right"/>
      <w:pPr>
        <w:ind w:left="720" w:hanging="360"/>
      </w:pPr>
      <w:rPr>
        <w:rFonts w:cs="Times New Roman" w:hint="default"/>
      </w:rPr>
    </w:lvl>
    <w:lvl w:ilvl="1" w:tplc="0C09001B">
      <w:start w:val="1"/>
      <w:numFmt w:val="lowerRoman"/>
      <w:lvlText w:val="%2."/>
      <w:lvlJc w:val="right"/>
      <w:pPr>
        <w:ind w:left="1581" w:hanging="360"/>
      </w:pPr>
      <w:rPr>
        <w:rFonts w:cs="Times New Roman"/>
      </w:rPr>
    </w:lvl>
    <w:lvl w:ilvl="2" w:tplc="0C09001B" w:tentative="1">
      <w:start w:val="1"/>
      <w:numFmt w:val="lowerRoman"/>
      <w:lvlText w:val="%3."/>
      <w:lvlJc w:val="right"/>
      <w:pPr>
        <w:ind w:left="2301" w:hanging="180"/>
      </w:pPr>
      <w:rPr>
        <w:rFonts w:cs="Times New Roman"/>
      </w:rPr>
    </w:lvl>
    <w:lvl w:ilvl="3" w:tplc="0C09000F" w:tentative="1">
      <w:start w:val="1"/>
      <w:numFmt w:val="decimal"/>
      <w:lvlText w:val="%4."/>
      <w:lvlJc w:val="left"/>
      <w:pPr>
        <w:ind w:left="3021" w:hanging="360"/>
      </w:pPr>
      <w:rPr>
        <w:rFonts w:cs="Times New Roman"/>
      </w:rPr>
    </w:lvl>
    <w:lvl w:ilvl="4" w:tplc="0C090019" w:tentative="1">
      <w:start w:val="1"/>
      <w:numFmt w:val="lowerLetter"/>
      <w:lvlText w:val="%5."/>
      <w:lvlJc w:val="left"/>
      <w:pPr>
        <w:ind w:left="3741" w:hanging="360"/>
      </w:pPr>
      <w:rPr>
        <w:rFonts w:cs="Times New Roman"/>
      </w:rPr>
    </w:lvl>
    <w:lvl w:ilvl="5" w:tplc="0C09001B" w:tentative="1">
      <w:start w:val="1"/>
      <w:numFmt w:val="lowerRoman"/>
      <w:lvlText w:val="%6."/>
      <w:lvlJc w:val="right"/>
      <w:pPr>
        <w:ind w:left="4461" w:hanging="180"/>
      </w:pPr>
      <w:rPr>
        <w:rFonts w:cs="Times New Roman"/>
      </w:rPr>
    </w:lvl>
    <w:lvl w:ilvl="6" w:tplc="0C09000F" w:tentative="1">
      <w:start w:val="1"/>
      <w:numFmt w:val="decimal"/>
      <w:lvlText w:val="%7."/>
      <w:lvlJc w:val="left"/>
      <w:pPr>
        <w:ind w:left="5181" w:hanging="360"/>
      </w:pPr>
      <w:rPr>
        <w:rFonts w:cs="Times New Roman"/>
      </w:rPr>
    </w:lvl>
    <w:lvl w:ilvl="7" w:tplc="0C090019" w:tentative="1">
      <w:start w:val="1"/>
      <w:numFmt w:val="lowerLetter"/>
      <w:lvlText w:val="%8."/>
      <w:lvlJc w:val="left"/>
      <w:pPr>
        <w:ind w:left="5901" w:hanging="360"/>
      </w:pPr>
      <w:rPr>
        <w:rFonts w:cs="Times New Roman"/>
      </w:rPr>
    </w:lvl>
    <w:lvl w:ilvl="8" w:tplc="0C09001B" w:tentative="1">
      <w:start w:val="1"/>
      <w:numFmt w:val="lowerRoman"/>
      <w:lvlText w:val="%9."/>
      <w:lvlJc w:val="right"/>
      <w:pPr>
        <w:ind w:left="6621" w:hanging="180"/>
      </w:pPr>
      <w:rPr>
        <w:rFonts w:cs="Times New Roman"/>
      </w:rPr>
    </w:lvl>
  </w:abstractNum>
  <w:abstractNum w:abstractNumId="19">
    <w:nsid w:val="78854AAC"/>
    <w:multiLevelType w:val="hybridMultilevel"/>
    <w:tmpl w:val="A81E36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7BC74247"/>
    <w:multiLevelType w:val="hybridMultilevel"/>
    <w:tmpl w:val="5A8AFA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2"/>
  </w:num>
  <w:num w:numId="6">
    <w:abstractNumId w:val="16"/>
  </w:num>
  <w:num w:numId="7">
    <w:abstractNumId w:val="10"/>
  </w:num>
  <w:num w:numId="8">
    <w:abstractNumId w:val="18"/>
  </w:num>
  <w:num w:numId="9">
    <w:abstractNumId w:val="3"/>
  </w:num>
  <w:num w:numId="10">
    <w:abstractNumId w:val="4"/>
  </w:num>
  <w:num w:numId="11">
    <w:abstractNumId w:val="20"/>
  </w:num>
  <w:num w:numId="12">
    <w:abstractNumId w:val="6"/>
  </w:num>
  <w:num w:numId="13">
    <w:abstractNumId w:val="1"/>
  </w:num>
  <w:num w:numId="14">
    <w:abstractNumId w:val="5"/>
  </w:num>
  <w:num w:numId="15">
    <w:abstractNumId w:val="14"/>
  </w:num>
  <w:num w:numId="16">
    <w:abstractNumId w:val="17"/>
  </w:num>
  <w:num w:numId="17">
    <w:abstractNumId w:val="11"/>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50"/>
    <w:rsid w:val="000008FA"/>
    <w:rsid w:val="00001F14"/>
    <w:rsid w:val="000104A6"/>
    <w:rsid w:val="000116F1"/>
    <w:rsid w:val="000138E2"/>
    <w:rsid w:val="00014A51"/>
    <w:rsid w:val="00024B41"/>
    <w:rsid w:val="00025EF0"/>
    <w:rsid w:val="0002674C"/>
    <w:rsid w:val="00037AE1"/>
    <w:rsid w:val="00040336"/>
    <w:rsid w:val="000409F2"/>
    <w:rsid w:val="0004377D"/>
    <w:rsid w:val="0004409C"/>
    <w:rsid w:val="0005102F"/>
    <w:rsid w:val="000554DA"/>
    <w:rsid w:val="00057E77"/>
    <w:rsid w:val="00062C88"/>
    <w:rsid w:val="000648F0"/>
    <w:rsid w:val="00066850"/>
    <w:rsid w:val="00067F6C"/>
    <w:rsid w:val="000719BB"/>
    <w:rsid w:val="00072FD2"/>
    <w:rsid w:val="00074429"/>
    <w:rsid w:val="00080102"/>
    <w:rsid w:val="000811FD"/>
    <w:rsid w:val="0008514F"/>
    <w:rsid w:val="00085CEE"/>
    <w:rsid w:val="00093469"/>
    <w:rsid w:val="00095FA6"/>
    <w:rsid w:val="000972B2"/>
    <w:rsid w:val="00097E40"/>
    <w:rsid w:val="000A475B"/>
    <w:rsid w:val="000B33B8"/>
    <w:rsid w:val="000B790D"/>
    <w:rsid w:val="000C19D2"/>
    <w:rsid w:val="000C313F"/>
    <w:rsid w:val="000C410F"/>
    <w:rsid w:val="000C7485"/>
    <w:rsid w:val="000D04BA"/>
    <w:rsid w:val="000D0EE0"/>
    <w:rsid w:val="000D71EB"/>
    <w:rsid w:val="000E12C4"/>
    <w:rsid w:val="000E173F"/>
    <w:rsid w:val="000E3F58"/>
    <w:rsid w:val="000E4865"/>
    <w:rsid w:val="000F0C07"/>
    <w:rsid w:val="000F2428"/>
    <w:rsid w:val="000F6986"/>
    <w:rsid w:val="000F6F94"/>
    <w:rsid w:val="00100ADC"/>
    <w:rsid w:val="0010200E"/>
    <w:rsid w:val="00102033"/>
    <w:rsid w:val="00114C9C"/>
    <w:rsid w:val="00116F6E"/>
    <w:rsid w:val="00120AAA"/>
    <w:rsid w:val="00121E4A"/>
    <w:rsid w:val="0012261C"/>
    <w:rsid w:val="0012550A"/>
    <w:rsid w:val="00125E7E"/>
    <w:rsid w:val="00127CBB"/>
    <w:rsid w:val="001314A1"/>
    <w:rsid w:val="00131A65"/>
    <w:rsid w:val="00135422"/>
    <w:rsid w:val="00140203"/>
    <w:rsid w:val="0014301E"/>
    <w:rsid w:val="00145162"/>
    <w:rsid w:val="00145958"/>
    <w:rsid w:val="00150E9C"/>
    <w:rsid w:val="00151205"/>
    <w:rsid w:val="00151FF9"/>
    <w:rsid w:val="001526AC"/>
    <w:rsid w:val="00156FBF"/>
    <w:rsid w:val="0016626F"/>
    <w:rsid w:val="00167119"/>
    <w:rsid w:val="00172D9C"/>
    <w:rsid w:val="00174B9F"/>
    <w:rsid w:val="0018138E"/>
    <w:rsid w:val="00182FA8"/>
    <w:rsid w:val="0018376A"/>
    <w:rsid w:val="00190F9E"/>
    <w:rsid w:val="001959C0"/>
    <w:rsid w:val="00195B56"/>
    <w:rsid w:val="001A101A"/>
    <w:rsid w:val="001A33C1"/>
    <w:rsid w:val="001A58AE"/>
    <w:rsid w:val="001B12F2"/>
    <w:rsid w:val="001B2110"/>
    <w:rsid w:val="001B642E"/>
    <w:rsid w:val="001B6645"/>
    <w:rsid w:val="001C133B"/>
    <w:rsid w:val="001C2F45"/>
    <w:rsid w:val="001C562D"/>
    <w:rsid w:val="001E03A0"/>
    <w:rsid w:val="001E26C1"/>
    <w:rsid w:val="001E3C65"/>
    <w:rsid w:val="001E68A2"/>
    <w:rsid w:val="001E7A8E"/>
    <w:rsid w:val="001E7BBC"/>
    <w:rsid w:val="001F022E"/>
    <w:rsid w:val="001F3CDA"/>
    <w:rsid w:val="001F6C06"/>
    <w:rsid w:val="001F727E"/>
    <w:rsid w:val="001F75C2"/>
    <w:rsid w:val="0020519E"/>
    <w:rsid w:val="002069DB"/>
    <w:rsid w:val="0021019F"/>
    <w:rsid w:val="002132AD"/>
    <w:rsid w:val="00213AB0"/>
    <w:rsid w:val="00214436"/>
    <w:rsid w:val="0022030F"/>
    <w:rsid w:val="0022650B"/>
    <w:rsid w:val="0022781A"/>
    <w:rsid w:val="002306CD"/>
    <w:rsid w:val="002324FB"/>
    <w:rsid w:val="00233A4D"/>
    <w:rsid w:val="00236BC5"/>
    <w:rsid w:val="00242A3A"/>
    <w:rsid w:val="002454B5"/>
    <w:rsid w:val="002526CD"/>
    <w:rsid w:val="00254D44"/>
    <w:rsid w:val="00257E91"/>
    <w:rsid w:val="002612E0"/>
    <w:rsid w:val="00263BC5"/>
    <w:rsid w:val="00264C17"/>
    <w:rsid w:val="002652CE"/>
    <w:rsid w:val="002736FD"/>
    <w:rsid w:val="00273F9E"/>
    <w:rsid w:val="00274215"/>
    <w:rsid w:val="00275B3B"/>
    <w:rsid w:val="0028117B"/>
    <w:rsid w:val="0028351A"/>
    <w:rsid w:val="00283821"/>
    <w:rsid w:val="00283887"/>
    <w:rsid w:val="00283D1D"/>
    <w:rsid w:val="00291D2F"/>
    <w:rsid w:val="00292973"/>
    <w:rsid w:val="002A2ABA"/>
    <w:rsid w:val="002A4A75"/>
    <w:rsid w:val="002A7465"/>
    <w:rsid w:val="002B4395"/>
    <w:rsid w:val="002B7557"/>
    <w:rsid w:val="002C3C27"/>
    <w:rsid w:val="002C484E"/>
    <w:rsid w:val="002D0176"/>
    <w:rsid w:val="002D074B"/>
    <w:rsid w:val="002D12B9"/>
    <w:rsid w:val="002D20A4"/>
    <w:rsid w:val="002D41D9"/>
    <w:rsid w:val="002F3629"/>
    <w:rsid w:val="002F7595"/>
    <w:rsid w:val="003019D4"/>
    <w:rsid w:val="00302AC9"/>
    <w:rsid w:val="00305303"/>
    <w:rsid w:val="003054D4"/>
    <w:rsid w:val="00305BD9"/>
    <w:rsid w:val="003112EC"/>
    <w:rsid w:val="00312445"/>
    <w:rsid w:val="00312B96"/>
    <w:rsid w:val="00313F00"/>
    <w:rsid w:val="00316965"/>
    <w:rsid w:val="00317806"/>
    <w:rsid w:val="003203DA"/>
    <w:rsid w:val="003206A1"/>
    <w:rsid w:val="0032131F"/>
    <w:rsid w:val="00325182"/>
    <w:rsid w:val="00334AE6"/>
    <w:rsid w:val="00344C58"/>
    <w:rsid w:val="003460A0"/>
    <w:rsid w:val="00347589"/>
    <w:rsid w:val="0035425C"/>
    <w:rsid w:val="00362EA4"/>
    <w:rsid w:val="0037228F"/>
    <w:rsid w:val="00372EE2"/>
    <w:rsid w:val="003772E0"/>
    <w:rsid w:val="00377CDC"/>
    <w:rsid w:val="00380A34"/>
    <w:rsid w:val="003870CA"/>
    <w:rsid w:val="00387550"/>
    <w:rsid w:val="00387A08"/>
    <w:rsid w:val="00387B5A"/>
    <w:rsid w:val="003909D9"/>
    <w:rsid w:val="00393982"/>
    <w:rsid w:val="00393B2D"/>
    <w:rsid w:val="0039724B"/>
    <w:rsid w:val="0039727A"/>
    <w:rsid w:val="003A0C9B"/>
    <w:rsid w:val="003A447C"/>
    <w:rsid w:val="003B1D66"/>
    <w:rsid w:val="003C1E15"/>
    <w:rsid w:val="003C2E1A"/>
    <w:rsid w:val="003C32AF"/>
    <w:rsid w:val="003C3D06"/>
    <w:rsid w:val="003C53A1"/>
    <w:rsid w:val="003C633C"/>
    <w:rsid w:val="003D0450"/>
    <w:rsid w:val="003D4E6B"/>
    <w:rsid w:val="003E00B6"/>
    <w:rsid w:val="003E0533"/>
    <w:rsid w:val="003E0674"/>
    <w:rsid w:val="003E123E"/>
    <w:rsid w:val="003F0B96"/>
    <w:rsid w:val="003F227C"/>
    <w:rsid w:val="003F22AE"/>
    <w:rsid w:val="003F5996"/>
    <w:rsid w:val="00401896"/>
    <w:rsid w:val="00403712"/>
    <w:rsid w:val="00405B7A"/>
    <w:rsid w:val="00407A86"/>
    <w:rsid w:val="00407E39"/>
    <w:rsid w:val="00410792"/>
    <w:rsid w:val="00415869"/>
    <w:rsid w:val="004242E7"/>
    <w:rsid w:val="00427C63"/>
    <w:rsid w:val="00427D4D"/>
    <w:rsid w:val="00447D7D"/>
    <w:rsid w:val="00450AF3"/>
    <w:rsid w:val="00454B93"/>
    <w:rsid w:val="004605C3"/>
    <w:rsid w:val="00461C77"/>
    <w:rsid w:val="00461D06"/>
    <w:rsid w:val="00464C57"/>
    <w:rsid w:val="00470812"/>
    <w:rsid w:val="004722EC"/>
    <w:rsid w:val="00476E2F"/>
    <w:rsid w:val="0048726D"/>
    <w:rsid w:val="004929CF"/>
    <w:rsid w:val="004A0423"/>
    <w:rsid w:val="004A381A"/>
    <w:rsid w:val="004A471C"/>
    <w:rsid w:val="004B7F90"/>
    <w:rsid w:val="004C0C7B"/>
    <w:rsid w:val="004C29C8"/>
    <w:rsid w:val="004C5782"/>
    <w:rsid w:val="004E416B"/>
    <w:rsid w:val="004E4CE5"/>
    <w:rsid w:val="004F0E2A"/>
    <w:rsid w:val="004F238E"/>
    <w:rsid w:val="004F5F41"/>
    <w:rsid w:val="004F6884"/>
    <w:rsid w:val="00500CE2"/>
    <w:rsid w:val="0050173C"/>
    <w:rsid w:val="005037A5"/>
    <w:rsid w:val="005076E1"/>
    <w:rsid w:val="00523A2E"/>
    <w:rsid w:val="00524E6B"/>
    <w:rsid w:val="00526BFC"/>
    <w:rsid w:val="00531266"/>
    <w:rsid w:val="0053246F"/>
    <w:rsid w:val="005332FB"/>
    <w:rsid w:val="00534A37"/>
    <w:rsid w:val="00541DE1"/>
    <w:rsid w:val="005440B2"/>
    <w:rsid w:val="00546294"/>
    <w:rsid w:val="00550FBE"/>
    <w:rsid w:val="0055311E"/>
    <w:rsid w:val="0055330B"/>
    <w:rsid w:val="00556240"/>
    <w:rsid w:val="00565DE6"/>
    <w:rsid w:val="00566FA6"/>
    <w:rsid w:val="00567DFC"/>
    <w:rsid w:val="005705EC"/>
    <w:rsid w:val="0057211F"/>
    <w:rsid w:val="00572B0D"/>
    <w:rsid w:val="005732E0"/>
    <w:rsid w:val="00574DF3"/>
    <w:rsid w:val="0057569D"/>
    <w:rsid w:val="00575F68"/>
    <w:rsid w:val="0057610F"/>
    <w:rsid w:val="00577969"/>
    <w:rsid w:val="00581C4E"/>
    <w:rsid w:val="00587FB2"/>
    <w:rsid w:val="005908F0"/>
    <w:rsid w:val="00590C3B"/>
    <w:rsid w:val="005923C7"/>
    <w:rsid w:val="00593A2B"/>
    <w:rsid w:val="0059538F"/>
    <w:rsid w:val="0059741D"/>
    <w:rsid w:val="005B399C"/>
    <w:rsid w:val="005B67E5"/>
    <w:rsid w:val="005C4737"/>
    <w:rsid w:val="005C5024"/>
    <w:rsid w:val="005C511C"/>
    <w:rsid w:val="005C52C0"/>
    <w:rsid w:val="005C7181"/>
    <w:rsid w:val="005C7318"/>
    <w:rsid w:val="005D3CFC"/>
    <w:rsid w:val="005D6419"/>
    <w:rsid w:val="005E1AD0"/>
    <w:rsid w:val="005E50E0"/>
    <w:rsid w:val="00601B3F"/>
    <w:rsid w:val="0060552C"/>
    <w:rsid w:val="006135F6"/>
    <w:rsid w:val="00613912"/>
    <w:rsid w:val="00614484"/>
    <w:rsid w:val="0061753F"/>
    <w:rsid w:val="00630842"/>
    <w:rsid w:val="00632EBB"/>
    <w:rsid w:val="006334FA"/>
    <w:rsid w:val="00633DE2"/>
    <w:rsid w:val="00640AC1"/>
    <w:rsid w:val="006413E5"/>
    <w:rsid w:val="00641E12"/>
    <w:rsid w:val="00644938"/>
    <w:rsid w:val="006478FD"/>
    <w:rsid w:val="00654B19"/>
    <w:rsid w:val="00655916"/>
    <w:rsid w:val="00655C64"/>
    <w:rsid w:val="00656CA5"/>
    <w:rsid w:val="00662386"/>
    <w:rsid w:val="00663236"/>
    <w:rsid w:val="006648F4"/>
    <w:rsid w:val="00664F49"/>
    <w:rsid w:val="00667E0A"/>
    <w:rsid w:val="00670140"/>
    <w:rsid w:val="00671352"/>
    <w:rsid w:val="00674757"/>
    <w:rsid w:val="00674990"/>
    <w:rsid w:val="00677995"/>
    <w:rsid w:val="00680997"/>
    <w:rsid w:val="0068264A"/>
    <w:rsid w:val="0068400F"/>
    <w:rsid w:val="00686375"/>
    <w:rsid w:val="00687725"/>
    <w:rsid w:val="0069302A"/>
    <w:rsid w:val="00695488"/>
    <w:rsid w:val="00697B1C"/>
    <w:rsid w:val="006A00FD"/>
    <w:rsid w:val="006A08BE"/>
    <w:rsid w:val="006A19AE"/>
    <w:rsid w:val="006A39FA"/>
    <w:rsid w:val="006A746A"/>
    <w:rsid w:val="006B00B1"/>
    <w:rsid w:val="006B0E47"/>
    <w:rsid w:val="006B423A"/>
    <w:rsid w:val="006B5693"/>
    <w:rsid w:val="006C1FFC"/>
    <w:rsid w:val="006C7A10"/>
    <w:rsid w:val="006D186D"/>
    <w:rsid w:val="006E46DC"/>
    <w:rsid w:val="006E7359"/>
    <w:rsid w:val="006F092B"/>
    <w:rsid w:val="006F1B3F"/>
    <w:rsid w:val="006F2F91"/>
    <w:rsid w:val="006F6EAC"/>
    <w:rsid w:val="006F731B"/>
    <w:rsid w:val="007004C6"/>
    <w:rsid w:val="00701BA6"/>
    <w:rsid w:val="00704993"/>
    <w:rsid w:val="0071135A"/>
    <w:rsid w:val="00711CF4"/>
    <w:rsid w:val="00712668"/>
    <w:rsid w:val="007143EA"/>
    <w:rsid w:val="007149F0"/>
    <w:rsid w:val="00716081"/>
    <w:rsid w:val="00716E03"/>
    <w:rsid w:val="00726919"/>
    <w:rsid w:val="00727BE9"/>
    <w:rsid w:val="007300AB"/>
    <w:rsid w:val="00730D95"/>
    <w:rsid w:val="00737C8D"/>
    <w:rsid w:val="00743A5C"/>
    <w:rsid w:val="007453CC"/>
    <w:rsid w:val="00745D21"/>
    <w:rsid w:val="00746435"/>
    <w:rsid w:val="00746CB6"/>
    <w:rsid w:val="00746DD2"/>
    <w:rsid w:val="00750987"/>
    <w:rsid w:val="00760A8A"/>
    <w:rsid w:val="007617E4"/>
    <w:rsid w:val="00764F6A"/>
    <w:rsid w:val="0076673E"/>
    <w:rsid w:val="00767A6E"/>
    <w:rsid w:val="00771C6E"/>
    <w:rsid w:val="00774755"/>
    <w:rsid w:val="00774D58"/>
    <w:rsid w:val="0078125D"/>
    <w:rsid w:val="00781DD7"/>
    <w:rsid w:val="00783536"/>
    <w:rsid w:val="00786D2C"/>
    <w:rsid w:val="00791838"/>
    <w:rsid w:val="0079183B"/>
    <w:rsid w:val="007978BF"/>
    <w:rsid w:val="007A2C3F"/>
    <w:rsid w:val="007A7359"/>
    <w:rsid w:val="007A7465"/>
    <w:rsid w:val="007B1867"/>
    <w:rsid w:val="007B3E31"/>
    <w:rsid w:val="007B572A"/>
    <w:rsid w:val="007B5A58"/>
    <w:rsid w:val="007B7DE7"/>
    <w:rsid w:val="007C059D"/>
    <w:rsid w:val="007C3346"/>
    <w:rsid w:val="007C46D4"/>
    <w:rsid w:val="007D2A56"/>
    <w:rsid w:val="007D4CAC"/>
    <w:rsid w:val="007D7061"/>
    <w:rsid w:val="007D7C56"/>
    <w:rsid w:val="007E0F35"/>
    <w:rsid w:val="007E1DD3"/>
    <w:rsid w:val="007E219F"/>
    <w:rsid w:val="007F1F03"/>
    <w:rsid w:val="007F2081"/>
    <w:rsid w:val="00806AF7"/>
    <w:rsid w:val="00815098"/>
    <w:rsid w:val="00820613"/>
    <w:rsid w:val="00822E70"/>
    <w:rsid w:val="00823B15"/>
    <w:rsid w:val="00825335"/>
    <w:rsid w:val="00825866"/>
    <w:rsid w:val="00825A98"/>
    <w:rsid w:val="00826DF2"/>
    <w:rsid w:val="00834BD4"/>
    <w:rsid w:val="00836F5D"/>
    <w:rsid w:val="00841A19"/>
    <w:rsid w:val="0084487A"/>
    <w:rsid w:val="00853B3E"/>
    <w:rsid w:val="00856ACC"/>
    <w:rsid w:val="00857368"/>
    <w:rsid w:val="00863201"/>
    <w:rsid w:val="008678BA"/>
    <w:rsid w:val="008716EC"/>
    <w:rsid w:val="00874175"/>
    <w:rsid w:val="00876D4F"/>
    <w:rsid w:val="00877611"/>
    <w:rsid w:val="00883D4D"/>
    <w:rsid w:val="00890666"/>
    <w:rsid w:val="00890EAB"/>
    <w:rsid w:val="00891EFF"/>
    <w:rsid w:val="008957E5"/>
    <w:rsid w:val="008A0D29"/>
    <w:rsid w:val="008A5852"/>
    <w:rsid w:val="008B00ED"/>
    <w:rsid w:val="008B5910"/>
    <w:rsid w:val="008B697C"/>
    <w:rsid w:val="008C1311"/>
    <w:rsid w:val="008C3998"/>
    <w:rsid w:val="008C7B9E"/>
    <w:rsid w:val="008D0321"/>
    <w:rsid w:val="008D2294"/>
    <w:rsid w:val="008D649A"/>
    <w:rsid w:val="008D6EC7"/>
    <w:rsid w:val="008E1155"/>
    <w:rsid w:val="008E6E51"/>
    <w:rsid w:val="008F2EA8"/>
    <w:rsid w:val="008F44B3"/>
    <w:rsid w:val="008F52A1"/>
    <w:rsid w:val="0090135F"/>
    <w:rsid w:val="00903E9B"/>
    <w:rsid w:val="00905F17"/>
    <w:rsid w:val="00906169"/>
    <w:rsid w:val="009063B8"/>
    <w:rsid w:val="00915280"/>
    <w:rsid w:val="009205F7"/>
    <w:rsid w:val="0092088A"/>
    <w:rsid w:val="00921846"/>
    <w:rsid w:val="00921ED9"/>
    <w:rsid w:val="00922C51"/>
    <w:rsid w:val="00925F7F"/>
    <w:rsid w:val="009368FF"/>
    <w:rsid w:val="00936E12"/>
    <w:rsid w:val="00937F02"/>
    <w:rsid w:val="00946EA6"/>
    <w:rsid w:val="00952517"/>
    <w:rsid w:val="00954585"/>
    <w:rsid w:val="009548B5"/>
    <w:rsid w:val="0096066E"/>
    <w:rsid w:val="00960D93"/>
    <w:rsid w:val="00965451"/>
    <w:rsid w:val="00970396"/>
    <w:rsid w:val="00971D37"/>
    <w:rsid w:val="009767DB"/>
    <w:rsid w:val="00977E88"/>
    <w:rsid w:val="00977FA9"/>
    <w:rsid w:val="00980186"/>
    <w:rsid w:val="009819E4"/>
    <w:rsid w:val="00983B37"/>
    <w:rsid w:val="0098434A"/>
    <w:rsid w:val="009939C1"/>
    <w:rsid w:val="009965FB"/>
    <w:rsid w:val="009974F2"/>
    <w:rsid w:val="009A0DB6"/>
    <w:rsid w:val="009A38C9"/>
    <w:rsid w:val="009A7A02"/>
    <w:rsid w:val="009B2A4C"/>
    <w:rsid w:val="009B72EA"/>
    <w:rsid w:val="009C0434"/>
    <w:rsid w:val="009C4B82"/>
    <w:rsid w:val="009C7ABB"/>
    <w:rsid w:val="009D1D2F"/>
    <w:rsid w:val="009D382C"/>
    <w:rsid w:val="009D41D0"/>
    <w:rsid w:val="009E2848"/>
    <w:rsid w:val="009E5CF2"/>
    <w:rsid w:val="009E5EF1"/>
    <w:rsid w:val="009F094D"/>
    <w:rsid w:val="009F0F80"/>
    <w:rsid w:val="009F20D6"/>
    <w:rsid w:val="009F250D"/>
    <w:rsid w:val="009F5B11"/>
    <w:rsid w:val="009F621D"/>
    <w:rsid w:val="00A03860"/>
    <w:rsid w:val="00A044C5"/>
    <w:rsid w:val="00A0457D"/>
    <w:rsid w:val="00A10E98"/>
    <w:rsid w:val="00A12F74"/>
    <w:rsid w:val="00A2301B"/>
    <w:rsid w:val="00A2302D"/>
    <w:rsid w:val="00A24B80"/>
    <w:rsid w:val="00A2702A"/>
    <w:rsid w:val="00A3740B"/>
    <w:rsid w:val="00A412B6"/>
    <w:rsid w:val="00A43E20"/>
    <w:rsid w:val="00A44F15"/>
    <w:rsid w:val="00A535FA"/>
    <w:rsid w:val="00A55256"/>
    <w:rsid w:val="00A57ED4"/>
    <w:rsid w:val="00A638EB"/>
    <w:rsid w:val="00A65A87"/>
    <w:rsid w:val="00A718F9"/>
    <w:rsid w:val="00A7508C"/>
    <w:rsid w:val="00A754F6"/>
    <w:rsid w:val="00A76389"/>
    <w:rsid w:val="00A80BE3"/>
    <w:rsid w:val="00A828CD"/>
    <w:rsid w:val="00A83D64"/>
    <w:rsid w:val="00A855FC"/>
    <w:rsid w:val="00A9093F"/>
    <w:rsid w:val="00A91599"/>
    <w:rsid w:val="00A95497"/>
    <w:rsid w:val="00AA15ED"/>
    <w:rsid w:val="00AA2036"/>
    <w:rsid w:val="00AA459B"/>
    <w:rsid w:val="00AA4652"/>
    <w:rsid w:val="00AB0476"/>
    <w:rsid w:val="00AB06E5"/>
    <w:rsid w:val="00AB140D"/>
    <w:rsid w:val="00AB5A2E"/>
    <w:rsid w:val="00AB7340"/>
    <w:rsid w:val="00AC2E65"/>
    <w:rsid w:val="00AC2F15"/>
    <w:rsid w:val="00AC3C04"/>
    <w:rsid w:val="00AC6EED"/>
    <w:rsid w:val="00AE132F"/>
    <w:rsid w:val="00AE2176"/>
    <w:rsid w:val="00AE4321"/>
    <w:rsid w:val="00AE62E9"/>
    <w:rsid w:val="00AF15E2"/>
    <w:rsid w:val="00AF76A1"/>
    <w:rsid w:val="00B017F2"/>
    <w:rsid w:val="00B05298"/>
    <w:rsid w:val="00B05682"/>
    <w:rsid w:val="00B06F09"/>
    <w:rsid w:val="00B07A84"/>
    <w:rsid w:val="00B132E9"/>
    <w:rsid w:val="00B17EA1"/>
    <w:rsid w:val="00B27368"/>
    <w:rsid w:val="00B30C95"/>
    <w:rsid w:val="00B35284"/>
    <w:rsid w:val="00B360E8"/>
    <w:rsid w:val="00B42591"/>
    <w:rsid w:val="00B43931"/>
    <w:rsid w:val="00B46E9F"/>
    <w:rsid w:val="00B515A0"/>
    <w:rsid w:val="00B526A2"/>
    <w:rsid w:val="00B54684"/>
    <w:rsid w:val="00B54CFB"/>
    <w:rsid w:val="00B6087D"/>
    <w:rsid w:val="00B62629"/>
    <w:rsid w:val="00B64DC5"/>
    <w:rsid w:val="00B64F20"/>
    <w:rsid w:val="00B664AB"/>
    <w:rsid w:val="00B719E8"/>
    <w:rsid w:val="00B77F56"/>
    <w:rsid w:val="00B837FD"/>
    <w:rsid w:val="00B84E34"/>
    <w:rsid w:val="00B86093"/>
    <w:rsid w:val="00B869C0"/>
    <w:rsid w:val="00B86D8A"/>
    <w:rsid w:val="00B90B9C"/>
    <w:rsid w:val="00B97321"/>
    <w:rsid w:val="00BA107C"/>
    <w:rsid w:val="00BA3CDC"/>
    <w:rsid w:val="00BA49FA"/>
    <w:rsid w:val="00BA6D1F"/>
    <w:rsid w:val="00BA7C3C"/>
    <w:rsid w:val="00BB169E"/>
    <w:rsid w:val="00BB31B9"/>
    <w:rsid w:val="00BB4003"/>
    <w:rsid w:val="00BB70BC"/>
    <w:rsid w:val="00BC06C4"/>
    <w:rsid w:val="00BC723D"/>
    <w:rsid w:val="00BD0835"/>
    <w:rsid w:val="00BD3936"/>
    <w:rsid w:val="00BD6ED9"/>
    <w:rsid w:val="00BE3381"/>
    <w:rsid w:val="00BE6CAC"/>
    <w:rsid w:val="00BE7C26"/>
    <w:rsid w:val="00C00FCD"/>
    <w:rsid w:val="00C01CBB"/>
    <w:rsid w:val="00C02410"/>
    <w:rsid w:val="00C04052"/>
    <w:rsid w:val="00C0667A"/>
    <w:rsid w:val="00C072D3"/>
    <w:rsid w:val="00C10690"/>
    <w:rsid w:val="00C13864"/>
    <w:rsid w:val="00C150DB"/>
    <w:rsid w:val="00C20FD5"/>
    <w:rsid w:val="00C21326"/>
    <w:rsid w:val="00C222DB"/>
    <w:rsid w:val="00C24367"/>
    <w:rsid w:val="00C2776C"/>
    <w:rsid w:val="00C30B0C"/>
    <w:rsid w:val="00C35234"/>
    <w:rsid w:val="00C36070"/>
    <w:rsid w:val="00C40C88"/>
    <w:rsid w:val="00C429A9"/>
    <w:rsid w:val="00C44832"/>
    <w:rsid w:val="00C45803"/>
    <w:rsid w:val="00C463E9"/>
    <w:rsid w:val="00C51334"/>
    <w:rsid w:val="00C571AE"/>
    <w:rsid w:val="00C578E9"/>
    <w:rsid w:val="00C67C6E"/>
    <w:rsid w:val="00C728BC"/>
    <w:rsid w:val="00C73C92"/>
    <w:rsid w:val="00C75B35"/>
    <w:rsid w:val="00C80031"/>
    <w:rsid w:val="00C95320"/>
    <w:rsid w:val="00C95693"/>
    <w:rsid w:val="00C96113"/>
    <w:rsid w:val="00CA3D91"/>
    <w:rsid w:val="00CA4E24"/>
    <w:rsid w:val="00CA568F"/>
    <w:rsid w:val="00CA6D0E"/>
    <w:rsid w:val="00CB28A7"/>
    <w:rsid w:val="00CB2EF3"/>
    <w:rsid w:val="00CB2F01"/>
    <w:rsid w:val="00CB30F2"/>
    <w:rsid w:val="00CB3E68"/>
    <w:rsid w:val="00CB652C"/>
    <w:rsid w:val="00CB74C2"/>
    <w:rsid w:val="00CC45C9"/>
    <w:rsid w:val="00CC77EC"/>
    <w:rsid w:val="00CD13C9"/>
    <w:rsid w:val="00CD1D80"/>
    <w:rsid w:val="00CD3331"/>
    <w:rsid w:val="00CE52FA"/>
    <w:rsid w:val="00CF1510"/>
    <w:rsid w:val="00CF1880"/>
    <w:rsid w:val="00CF2424"/>
    <w:rsid w:val="00CF683F"/>
    <w:rsid w:val="00D0371F"/>
    <w:rsid w:val="00D0478B"/>
    <w:rsid w:val="00D04E7D"/>
    <w:rsid w:val="00D05663"/>
    <w:rsid w:val="00D05B50"/>
    <w:rsid w:val="00D11D79"/>
    <w:rsid w:val="00D14356"/>
    <w:rsid w:val="00D1610A"/>
    <w:rsid w:val="00D27138"/>
    <w:rsid w:val="00D31C48"/>
    <w:rsid w:val="00D31D02"/>
    <w:rsid w:val="00D32775"/>
    <w:rsid w:val="00D3327F"/>
    <w:rsid w:val="00D377C0"/>
    <w:rsid w:val="00D42657"/>
    <w:rsid w:val="00D450F8"/>
    <w:rsid w:val="00D50B05"/>
    <w:rsid w:val="00D53792"/>
    <w:rsid w:val="00D571AF"/>
    <w:rsid w:val="00D648AB"/>
    <w:rsid w:val="00D75A07"/>
    <w:rsid w:val="00D81D83"/>
    <w:rsid w:val="00D82531"/>
    <w:rsid w:val="00D82B94"/>
    <w:rsid w:val="00D85EA2"/>
    <w:rsid w:val="00D85FEF"/>
    <w:rsid w:val="00D86954"/>
    <w:rsid w:val="00D901A2"/>
    <w:rsid w:val="00D9046D"/>
    <w:rsid w:val="00D9251E"/>
    <w:rsid w:val="00D97670"/>
    <w:rsid w:val="00DA3288"/>
    <w:rsid w:val="00DA58D8"/>
    <w:rsid w:val="00DA5995"/>
    <w:rsid w:val="00DB047A"/>
    <w:rsid w:val="00DB0C24"/>
    <w:rsid w:val="00DC10EA"/>
    <w:rsid w:val="00DC55D9"/>
    <w:rsid w:val="00DD7339"/>
    <w:rsid w:val="00DD75FD"/>
    <w:rsid w:val="00DE22B4"/>
    <w:rsid w:val="00DE2676"/>
    <w:rsid w:val="00DF1869"/>
    <w:rsid w:val="00DF3887"/>
    <w:rsid w:val="00E01CE2"/>
    <w:rsid w:val="00E03BC5"/>
    <w:rsid w:val="00E05FCC"/>
    <w:rsid w:val="00E13371"/>
    <w:rsid w:val="00E13EF8"/>
    <w:rsid w:val="00E13F6A"/>
    <w:rsid w:val="00E14580"/>
    <w:rsid w:val="00E14A37"/>
    <w:rsid w:val="00E16004"/>
    <w:rsid w:val="00E17138"/>
    <w:rsid w:val="00E24215"/>
    <w:rsid w:val="00E2792C"/>
    <w:rsid w:val="00E31C95"/>
    <w:rsid w:val="00E40025"/>
    <w:rsid w:val="00E42C45"/>
    <w:rsid w:val="00E438BB"/>
    <w:rsid w:val="00E471D6"/>
    <w:rsid w:val="00E478E1"/>
    <w:rsid w:val="00E566BD"/>
    <w:rsid w:val="00E57C4A"/>
    <w:rsid w:val="00E62D01"/>
    <w:rsid w:val="00E62F44"/>
    <w:rsid w:val="00E63639"/>
    <w:rsid w:val="00E66134"/>
    <w:rsid w:val="00E720DD"/>
    <w:rsid w:val="00E732BE"/>
    <w:rsid w:val="00E75647"/>
    <w:rsid w:val="00E76384"/>
    <w:rsid w:val="00E8237B"/>
    <w:rsid w:val="00E85249"/>
    <w:rsid w:val="00E863B7"/>
    <w:rsid w:val="00E918F5"/>
    <w:rsid w:val="00E92CFA"/>
    <w:rsid w:val="00E951C2"/>
    <w:rsid w:val="00E97ADE"/>
    <w:rsid w:val="00EA095A"/>
    <w:rsid w:val="00EA19A5"/>
    <w:rsid w:val="00EA1E72"/>
    <w:rsid w:val="00EA1EE3"/>
    <w:rsid w:val="00EA5C15"/>
    <w:rsid w:val="00EB1388"/>
    <w:rsid w:val="00EB43F7"/>
    <w:rsid w:val="00EC0E5C"/>
    <w:rsid w:val="00EE1D0E"/>
    <w:rsid w:val="00EF25B2"/>
    <w:rsid w:val="00EF5684"/>
    <w:rsid w:val="00F01D60"/>
    <w:rsid w:val="00F0693C"/>
    <w:rsid w:val="00F07467"/>
    <w:rsid w:val="00F10C2F"/>
    <w:rsid w:val="00F13483"/>
    <w:rsid w:val="00F14003"/>
    <w:rsid w:val="00F16EB6"/>
    <w:rsid w:val="00F227A6"/>
    <w:rsid w:val="00F30CBD"/>
    <w:rsid w:val="00F32383"/>
    <w:rsid w:val="00F32439"/>
    <w:rsid w:val="00F34FAD"/>
    <w:rsid w:val="00F35A59"/>
    <w:rsid w:val="00F36C76"/>
    <w:rsid w:val="00F4052B"/>
    <w:rsid w:val="00F43099"/>
    <w:rsid w:val="00F45A66"/>
    <w:rsid w:val="00F45E8E"/>
    <w:rsid w:val="00F50D91"/>
    <w:rsid w:val="00F635E9"/>
    <w:rsid w:val="00F65410"/>
    <w:rsid w:val="00F7169A"/>
    <w:rsid w:val="00F7417F"/>
    <w:rsid w:val="00F83C2E"/>
    <w:rsid w:val="00F86646"/>
    <w:rsid w:val="00F94EE2"/>
    <w:rsid w:val="00F94F44"/>
    <w:rsid w:val="00FA0CE4"/>
    <w:rsid w:val="00FA0E03"/>
    <w:rsid w:val="00FA1F58"/>
    <w:rsid w:val="00FA480C"/>
    <w:rsid w:val="00FA55E6"/>
    <w:rsid w:val="00FB007C"/>
    <w:rsid w:val="00FB352A"/>
    <w:rsid w:val="00FB6F45"/>
    <w:rsid w:val="00FC5128"/>
    <w:rsid w:val="00FD647C"/>
    <w:rsid w:val="00FD76F2"/>
    <w:rsid w:val="00FE0D69"/>
    <w:rsid w:val="00FE1931"/>
    <w:rsid w:val="00FE4D17"/>
    <w:rsid w:val="00FE76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0F6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1"/>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3">
    <w:name w:val="heading 3"/>
    <w:basedOn w:val="Normal"/>
    <w:next w:val="Normal"/>
    <w:link w:val="Heading3Char"/>
    <w:uiPriority w:val="9"/>
    <w:unhideWhenUsed/>
    <w:qFormat/>
    <w:rsid w:val="008258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8117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8117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2"/>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2"/>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2"/>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semiHidden/>
    <w:unhideWhenUsed/>
    <w:rsid w:val="003F227C"/>
    <w:pPr>
      <w:spacing w:line="240" w:lineRule="auto"/>
    </w:pPr>
    <w:rPr>
      <w:sz w:val="20"/>
    </w:rPr>
  </w:style>
  <w:style w:type="character" w:customStyle="1" w:styleId="CommentTextChar">
    <w:name w:val="Comment Text Char"/>
    <w:basedOn w:val="DefaultParagraphFont"/>
    <w:link w:val="CommentText"/>
    <w:uiPriority w:val="99"/>
    <w:semiHidden/>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39"/>
    <w:rsid w:val="009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3"/>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styleId="Revision">
    <w:name w:val="Revision"/>
    <w:hidden/>
    <w:uiPriority w:val="99"/>
    <w:semiHidden/>
    <w:rsid w:val="003D4E6B"/>
    <w:pPr>
      <w:spacing w:after="0" w:line="240" w:lineRule="auto"/>
    </w:pPr>
    <w:rPr>
      <w:rFonts w:ascii="Corbel" w:eastAsia="Times New Roman" w:hAnsi="Corbel" w:cs="Times New Roman"/>
      <w:color w:val="000000"/>
      <w:sz w:val="23"/>
      <w:szCs w:val="20"/>
      <w:lang w:eastAsia="en-AU"/>
    </w:rPr>
  </w:style>
  <w:style w:type="paragraph" w:styleId="FootnoteText">
    <w:name w:val="footnote text"/>
    <w:basedOn w:val="Normal"/>
    <w:link w:val="FootnoteTextChar"/>
    <w:uiPriority w:val="99"/>
    <w:semiHidden/>
    <w:unhideWhenUsed/>
    <w:rsid w:val="00131A65"/>
    <w:pPr>
      <w:spacing w:after="0" w:line="240" w:lineRule="auto"/>
    </w:pPr>
    <w:rPr>
      <w:sz w:val="20"/>
    </w:rPr>
  </w:style>
  <w:style w:type="character" w:customStyle="1" w:styleId="FootnoteTextChar">
    <w:name w:val="Footnote Text Char"/>
    <w:basedOn w:val="DefaultParagraphFont"/>
    <w:link w:val="FootnoteText"/>
    <w:uiPriority w:val="99"/>
    <w:semiHidden/>
    <w:rsid w:val="00131A65"/>
    <w:rPr>
      <w:rFonts w:ascii="Corbel" w:eastAsia="Times New Roman" w:hAnsi="Corbel" w:cs="Times New Roman"/>
      <w:color w:val="000000"/>
      <w:sz w:val="20"/>
      <w:szCs w:val="20"/>
      <w:lang w:eastAsia="en-AU"/>
    </w:rPr>
  </w:style>
  <w:style w:type="character" w:styleId="FootnoteReference">
    <w:name w:val="footnote reference"/>
    <w:basedOn w:val="DefaultParagraphFont"/>
    <w:uiPriority w:val="99"/>
    <w:semiHidden/>
    <w:unhideWhenUsed/>
    <w:rsid w:val="00131A65"/>
    <w:rPr>
      <w:vertAlign w:val="superscript"/>
    </w:rPr>
  </w:style>
  <w:style w:type="paragraph" w:styleId="NormalWeb">
    <w:name w:val="Normal (Web)"/>
    <w:basedOn w:val="Normal"/>
    <w:uiPriority w:val="99"/>
    <w:semiHidden/>
    <w:unhideWhenUsed/>
    <w:rsid w:val="00CF2424"/>
    <w:pPr>
      <w:spacing w:before="100" w:beforeAutospacing="1" w:after="100" w:afterAutospacing="1" w:line="240" w:lineRule="auto"/>
      <w:jc w:val="left"/>
    </w:pPr>
    <w:rPr>
      <w:rFonts w:ascii="Times New Roman" w:hAnsi="Times New Roman"/>
      <w:color w:val="auto"/>
      <w:sz w:val="24"/>
      <w:szCs w:val="24"/>
    </w:rPr>
  </w:style>
  <w:style w:type="paragraph" w:styleId="ListParagraph">
    <w:name w:val="List Paragraph"/>
    <w:basedOn w:val="Normal"/>
    <w:uiPriority w:val="34"/>
    <w:qFormat/>
    <w:rsid w:val="00B17EA1"/>
    <w:pPr>
      <w:ind w:left="720"/>
      <w:contextualSpacing/>
    </w:pPr>
  </w:style>
  <w:style w:type="character" w:styleId="Hyperlink">
    <w:name w:val="Hyperlink"/>
    <w:basedOn w:val="DefaultParagraphFont"/>
    <w:uiPriority w:val="99"/>
    <w:unhideWhenUsed/>
    <w:rsid w:val="00701BA6"/>
    <w:rPr>
      <w:color w:val="0000FF" w:themeColor="hyperlink"/>
      <w:u w:val="single"/>
    </w:rPr>
  </w:style>
  <w:style w:type="character" w:customStyle="1" w:styleId="UnresolvedMention1">
    <w:name w:val="Unresolved Mention1"/>
    <w:basedOn w:val="DefaultParagraphFont"/>
    <w:uiPriority w:val="99"/>
    <w:semiHidden/>
    <w:unhideWhenUsed/>
    <w:rsid w:val="00701BA6"/>
    <w:rPr>
      <w:color w:val="808080"/>
      <w:shd w:val="clear" w:color="auto" w:fill="E6E6E6"/>
    </w:rPr>
  </w:style>
  <w:style w:type="character" w:customStyle="1" w:styleId="Heading3Char">
    <w:name w:val="Heading 3 Char"/>
    <w:basedOn w:val="DefaultParagraphFont"/>
    <w:link w:val="Heading3"/>
    <w:uiPriority w:val="9"/>
    <w:rsid w:val="00825866"/>
    <w:rPr>
      <w:rFonts w:asciiTheme="majorHAnsi" w:eastAsiaTheme="majorEastAsia" w:hAnsiTheme="majorHAnsi" w:cstheme="majorBidi"/>
      <w:color w:val="243F60" w:themeColor="accent1" w:themeShade="7F"/>
      <w:sz w:val="24"/>
      <w:szCs w:val="24"/>
      <w:lang w:eastAsia="en-AU"/>
    </w:rPr>
  </w:style>
  <w:style w:type="table" w:customStyle="1" w:styleId="TableGrid1">
    <w:name w:val="Table Grid1"/>
    <w:basedOn w:val="TableNormal"/>
    <w:next w:val="TableGrid"/>
    <w:uiPriority w:val="39"/>
    <w:rsid w:val="000C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8117B"/>
    <w:rPr>
      <w:rFonts w:asciiTheme="majorHAnsi" w:eastAsiaTheme="majorEastAsia" w:hAnsiTheme="majorHAnsi" w:cstheme="majorBidi"/>
      <w:i/>
      <w:iCs/>
      <w:color w:val="365F91" w:themeColor="accent1" w:themeShade="BF"/>
      <w:sz w:val="23"/>
      <w:szCs w:val="20"/>
      <w:lang w:eastAsia="en-AU"/>
    </w:rPr>
  </w:style>
  <w:style w:type="character" w:customStyle="1" w:styleId="Heading5Char">
    <w:name w:val="Heading 5 Char"/>
    <w:basedOn w:val="DefaultParagraphFont"/>
    <w:link w:val="Heading5"/>
    <w:uiPriority w:val="9"/>
    <w:rsid w:val="0028117B"/>
    <w:rPr>
      <w:rFonts w:asciiTheme="majorHAnsi" w:eastAsiaTheme="majorEastAsia" w:hAnsiTheme="majorHAnsi" w:cstheme="majorBidi"/>
      <w:color w:val="365F91" w:themeColor="accent1" w:themeShade="BF"/>
      <w:sz w:val="23"/>
      <w:szCs w:val="20"/>
      <w:lang w:eastAsia="en-AU"/>
    </w:rPr>
  </w:style>
  <w:style w:type="table" w:customStyle="1" w:styleId="TableGrid2">
    <w:name w:val="Table Grid2"/>
    <w:basedOn w:val="TableNormal"/>
    <w:next w:val="TableGrid"/>
    <w:uiPriority w:val="39"/>
    <w:rsid w:val="003E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14A51"/>
    <w:pPr>
      <w:numPr>
        <w:numId w:val="10"/>
      </w:numPr>
      <w:spacing w:after="200" w:line="276" w:lineRule="auto"/>
      <w:jc w:val="left"/>
    </w:pPr>
    <w:rPr>
      <w:rFonts w:asciiTheme="minorHAnsi" w:eastAsiaTheme="minorHAnsi" w:hAnsiTheme="minorHAnsi" w:cstheme="minorBidi"/>
      <w:i/>
      <w:color w:val="auto"/>
      <w:sz w:val="22"/>
      <w:szCs w:val="22"/>
      <w:lang w:eastAsia="en-US"/>
    </w:rPr>
  </w:style>
  <w:style w:type="paragraph" w:customStyle="1" w:styleId="Dash">
    <w:name w:val="Dash"/>
    <w:basedOn w:val="Normal"/>
    <w:rsid w:val="00014A51"/>
    <w:pPr>
      <w:numPr>
        <w:ilvl w:val="1"/>
        <w:numId w:val="10"/>
      </w:numPr>
      <w:spacing w:after="200" w:line="276" w:lineRule="auto"/>
      <w:jc w:val="left"/>
    </w:pPr>
    <w:rPr>
      <w:rFonts w:asciiTheme="minorHAnsi" w:eastAsiaTheme="minorHAnsi" w:hAnsiTheme="minorHAnsi" w:cstheme="minorBidi"/>
      <w:i/>
      <w:color w:val="auto"/>
      <w:sz w:val="22"/>
      <w:szCs w:val="22"/>
      <w:lang w:eastAsia="en-US"/>
    </w:rPr>
  </w:style>
  <w:style w:type="paragraph" w:customStyle="1" w:styleId="DoubleDot">
    <w:name w:val="Double Dot"/>
    <w:basedOn w:val="Normal"/>
    <w:rsid w:val="00014A51"/>
    <w:pPr>
      <w:numPr>
        <w:ilvl w:val="2"/>
        <w:numId w:val="10"/>
      </w:numPr>
      <w:spacing w:after="200" w:line="276" w:lineRule="auto"/>
      <w:jc w:val="left"/>
    </w:pPr>
    <w:rPr>
      <w:rFonts w:asciiTheme="minorHAnsi" w:eastAsiaTheme="minorHAnsi" w:hAnsiTheme="minorHAnsi" w:cstheme="minorBidi"/>
      <w:i/>
      <w:color w:val="auto"/>
      <w:sz w:val="22"/>
      <w:szCs w:val="22"/>
      <w:lang w:eastAsia="en-US"/>
    </w:rPr>
  </w:style>
  <w:style w:type="character" w:customStyle="1" w:styleId="UnresolvedMention2">
    <w:name w:val="Unresolved Mention2"/>
    <w:basedOn w:val="DefaultParagraphFont"/>
    <w:uiPriority w:val="99"/>
    <w:semiHidden/>
    <w:unhideWhenUsed/>
    <w:rsid w:val="00A55256"/>
    <w:rPr>
      <w:color w:val="808080"/>
      <w:shd w:val="clear" w:color="auto" w:fill="E6E6E6"/>
    </w:rPr>
  </w:style>
  <w:style w:type="character" w:customStyle="1" w:styleId="UnresolvedMention3">
    <w:name w:val="Unresolved Mention3"/>
    <w:basedOn w:val="DefaultParagraphFont"/>
    <w:uiPriority w:val="99"/>
    <w:semiHidden/>
    <w:unhideWhenUsed/>
    <w:rsid w:val="00312B96"/>
    <w:rPr>
      <w:color w:val="808080"/>
      <w:shd w:val="clear" w:color="auto" w:fill="E6E6E6"/>
    </w:rPr>
  </w:style>
  <w:style w:type="character" w:styleId="FollowedHyperlink">
    <w:name w:val="FollowedHyperlink"/>
    <w:basedOn w:val="DefaultParagraphFont"/>
    <w:uiPriority w:val="99"/>
    <w:semiHidden/>
    <w:unhideWhenUsed/>
    <w:rsid w:val="000104A6"/>
    <w:rPr>
      <w:color w:val="800080" w:themeColor="followedHyperlink"/>
      <w:u w:val="single"/>
    </w:rPr>
  </w:style>
  <w:style w:type="table" w:customStyle="1" w:styleId="TableGrid3">
    <w:name w:val="Table Grid3"/>
    <w:basedOn w:val="TableNormal"/>
    <w:next w:val="TableGrid"/>
    <w:uiPriority w:val="39"/>
    <w:rsid w:val="00CD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Bodytext">
    <w:name w:val="DC Body text"/>
    <w:basedOn w:val="Normal"/>
    <w:qFormat/>
    <w:rsid w:val="00401896"/>
    <w:pPr>
      <w:spacing w:line="240" w:lineRule="auto"/>
      <w:jc w:val="left"/>
    </w:pPr>
    <w:rPr>
      <w:rFonts w:ascii="Arial" w:hAnsi="Arial" w:cs="Arial"/>
      <w:sz w:val="24"/>
      <w:szCs w:val="24"/>
    </w:rPr>
  </w:style>
  <w:style w:type="paragraph" w:styleId="NoSpacing">
    <w:name w:val="No Spacing"/>
    <w:uiPriority w:val="1"/>
    <w:qFormat/>
    <w:rsid w:val="00AC2E65"/>
    <w:pPr>
      <w:spacing w:after="0" w:line="240" w:lineRule="auto"/>
      <w:jc w:val="both"/>
    </w:pPr>
    <w:rPr>
      <w:rFonts w:ascii="Corbel" w:eastAsia="Times New Roman" w:hAnsi="Corbel" w:cs="Times New Roman"/>
      <w:color w:val="000000"/>
      <w:sz w:val="23"/>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1"/>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3">
    <w:name w:val="heading 3"/>
    <w:basedOn w:val="Normal"/>
    <w:next w:val="Normal"/>
    <w:link w:val="Heading3Char"/>
    <w:uiPriority w:val="9"/>
    <w:unhideWhenUsed/>
    <w:qFormat/>
    <w:rsid w:val="008258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8117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8117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2"/>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2"/>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2"/>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semiHidden/>
    <w:unhideWhenUsed/>
    <w:rsid w:val="003F227C"/>
    <w:pPr>
      <w:spacing w:line="240" w:lineRule="auto"/>
    </w:pPr>
    <w:rPr>
      <w:sz w:val="20"/>
    </w:rPr>
  </w:style>
  <w:style w:type="character" w:customStyle="1" w:styleId="CommentTextChar">
    <w:name w:val="Comment Text Char"/>
    <w:basedOn w:val="DefaultParagraphFont"/>
    <w:link w:val="CommentText"/>
    <w:uiPriority w:val="99"/>
    <w:semiHidden/>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39"/>
    <w:rsid w:val="009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3"/>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styleId="Revision">
    <w:name w:val="Revision"/>
    <w:hidden/>
    <w:uiPriority w:val="99"/>
    <w:semiHidden/>
    <w:rsid w:val="003D4E6B"/>
    <w:pPr>
      <w:spacing w:after="0" w:line="240" w:lineRule="auto"/>
    </w:pPr>
    <w:rPr>
      <w:rFonts w:ascii="Corbel" w:eastAsia="Times New Roman" w:hAnsi="Corbel" w:cs="Times New Roman"/>
      <w:color w:val="000000"/>
      <w:sz w:val="23"/>
      <w:szCs w:val="20"/>
      <w:lang w:eastAsia="en-AU"/>
    </w:rPr>
  </w:style>
  <w:style w:type="paragraph" w:styleId="FootnoteText">
    <w:name w:val="footnote text"/>
    <w:basedOn w:val="Normal"/>
    <w:link w:val="FootnoteTextChar"/>
    <w:uiPriority w:val="99"/>
    <w:semiHidden/>
    <w:unhideWhenUsed/>
    <w:rsid w:val="00131A65"/>
    <w:pPr>
      <w:spacing w:after="0" w:line="240" w:lineRule="auto"/>
    </w:pPr>
    <w:rPr>
      <w:sz w:val="20"/>
    </w:rPr>
  </w:style>
  <w:style w:type="character" w:customStyle="1" w:styleId="FootnoteTextChar">
    <w:name w:val="Footnote Text Char"/>
    <w:basedOn w:val="DefaultParagraphFont"/>
    <w:link w:val="FootnoteText"/>
    <w:uiPriority w:val="99"/>
    <w:semiHidden/>
    <w:rsid w:val="00131A65"/>
    <w:rPr>
      <w:rFonts w:ascii="Corbel" w:eastAsia="Times New Roman" w:hAnsi="Corbel" w:cs="Times New Roman"/>
      <w:color w:val="000000"/>
      <w:sz w:val="20"/>
      <w:szCs w:val="20"/>
      <w:lang w:eastAsia="en-AU"/>
    </w:rPr>
  </w:style>
  <w:style w:type="character" w:styleId="FootnoteReference">
    <w:name w:val="footnote reference"/>
    <w:basedOn w:val="DefaultParagraphFont"/>
    <w:uiPriority w:val="99"/>
    <w:semiHidden/>
    <w:unhideWhenUsed/>
    <w:rsid w:val="00131A65"/>
    <w:rPr>
      <w:vertAlign w:val="superscript"/>
    </w:rPr>
  </w:style>
  <w:style w:type="paragraph" w:styleId="NormalWeb">
    <w:name w:val="Normal (Web)"/>
    <w:basedOn w:val="Normal"/>
    <w:uiPriority w:val="99"/>
    <w:semiHidden/>
    <w:unhideWhenUsed/>
    <w:rsid w:val="00CF2424"/>
    <w:pPr>
      <w:spacing w:before="100" w:beforeAutospacing="1" w:after="100" w:afterAutospacing="1" w:line="240" w:lineRule="auto"/>
      <w:jc w:val="left"/>
    </w:pPr>
    <w:rPr>
      <w:rFonts w:ascii="Times New Roman" w:hAnsi="Times New Roman"/>
      <w:color w:val="auto"/>
      <w:sz w:val="24"/>
      <w:szCs w:val="24"/>
    </w:rPr>
  </w:style>
  <w:style w:type="paragraph" w:styleId="ListParagraph">
    <w:name w:val="List Paragraph"/>
    <w:basedOn w:val="Normal"/>
    <w:uiPriority w:val="34"/>
    <w:qFormat/>
    <w:rsid w:val="00B17EA1"/>
    <w:pPr>
      <w:ind w:left="720"/>
      <w:contextualSpacing/>
    </w:pPr>
  </w:style>
  <w:style w:type="character" w:styleId="Hyperlink">
    <w:name w:val="Hyperlink"/>
    <w:basedOn w:val="DefaultParagraphFont"/>
    <w:uiPriority w:val="99"/>
    <w:unhideWhenUsed/>
    <w:rsid w:val="00701BA6"/>
    <w:rPr>
      <w:color w:val="0000FF" w:themeColor="hyperlink"/>
      <w:u w:val="single"/>
    </w:rPr>
  </w:style>
  <w:style w:type="character" w:customStyle="1" w:styleId="UnresolvedMention1">
    <w:name w:val="Unresolved Mention1"/>
    <w:basedOn w:val="DefaultParagraphFont"/>
    <w:uiPriority w:val="99"/>
    <w:semiHidden/>
    <w:unhideWhenUsed/>
    <w:rsid w:val="00701BA6"/>
    <w:rPr>
      <w:color w:val="808080"/>
      <w:shd w:val="clear" w:color="auto" w:fill="E6E6E6"/>
    </w:rPr>
  </w:style>
  <w:style w:type="character" w:customStyle="1" w:styleId="Heading3Char">
    <w:name w:val="Heading 3 Char"/>
    <w:basedOn w:val="DefaultParagraphFont"/>
    <w:link w:val="Heading3"/>
    <w:uiPriority w:val="9"/>
    <w:rsid w:val="00825866"/>
    <w:rPr>
      <w:rFonts w:asciiTheme="majorHAnsi" w:eastAsiaTheme="majorEastAsia" w:hAnsiTheme="majorHAnsi" w:cstheme="majorBidi"/>
      <w:color w:val="243F60" w:themeColor="accent1" w:themeShade="7F"/>
      <w:sz w:val="24"/>
      <w:szCs w:val="24"/>
      <w:lang w:eastAsia="en-AU"/>
    </w:rPr>
  </w:style>
  <w:style w:type="table" w:customStyle="1" w:styleId="TableGrid1">
    <w:name w:val="Table Grid1"/>
    <w:basedOn w:val="TableNormal"/>
    <w:next w:val="TableGrid"/>
    <w:uiPriority w:val="39"/>
    <w:rsid w:val="000C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8117B"/>
    <w:rPr>
      <w:rFonts w:asciiTheme="majorHAnsi" w:eastAsiaTheme="majorEastAsia" w:hAnsiTheme="majorHAnsi" w:cstheme="majorBidi"/>
      <w:i/>
      <w:iCs/>
      <w:color w:val="365F91" w:themeColor="accent1" w:themeShade="BF"/>
      <w:sz w:val="23"/>
      <w:szCs w:val="20"/>
      <w:lang w:eastAsia="en-AU"/>
    </w:rPr>
  </w:style>
  <w:style w:type="character" w:customStyle="1" w:styleId="Heading5Char">
    <w:name w:val="Heading 5 Char"/>
    <w:basedOn w:val="DefaultParagraphFont"/>
    <w:link w:val="Heading5"/>
    <w:uiPriority w:val="9"/>
    <w:rsid w:val="0028117B"/>
    <w:rPr>
      <w:rFonts w:asciiTheme="majorHAnsi" w:eastAsiaTheme="majorEastAsia" w:hAnsiTheme="majorHAnsi" w:cstheme="majorBidi"/>
      <w:color w:val="365F91" w:themeColor="accent1" w:themeShade="BF"/>
      <w:sz w:val="23"/>
      <w:szCs w:val="20"/>
      <w:lang w:eastAsia="en-AU"/>
    </w:rPr>
  </w:style>
  <w:style w:type="table" w:customStyle="1" w:styleId="TableGrid2">
    <w:name w:val="Table Grid2"/>
    <w:basedOn w:val="TableNormal"/>
    <w:next w:val="TableGrid"/>
    <w:uiPriority w:val="39"/>
    <w:rsid w:val="003E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14A51"/>
    <w:pPr>
      <w:numPr>
        <w:numId w:val="10"/>
      </w:numPr>
      <w:spacing w:after="200" w:line="276" w:lineRule="auto"/>
      <w:jc w:val="left"/>
    </w:pPr>
    <w:rPr>
      <w:rFonts w:asciiTheme="minorHAnsi" w:eastAsiaTheme="minorHAnsi" w:hAnsiTheme="minorHAnsi" w:cstheme="minorBidi"/>
      <w:i/>
      <w:color w:val="auto"/>
      <w:sz w:val="22"/>
      <w:szCs w:val="22"/>
      <w:lang w:eastAsia="en-US"/>
    </w:rPr>
  </w:style>
  <w:style w:type="paragraph" w:customStyle="1" w:styleId="Dash">
    <w:name w:val="Dash"/>
    <w:basedOn w:val="Normal"/>
    <w:rsid w:val="00014A51"/>
    <w:pPr>
      <w:numPr>
        <w:ilvl w:val="1"/>
        <w:numId w:val="10"/>
      </w:numPr>
      <w:spacing w:after="200" w:line="276" w:lineRule="auto"/>
      <w:jc w:val="left"/>
    </w:pPr>
    <w:rPr>
      <w:rFonts w:asciiTheme="minorHAnsi" w:eastAsiaTheme="minorHAnsi" w:hAnsiTheme="minorHAnsi" w:cstheme="minorBidi"/>
      <w:i/>
      <w:color w:val="auto"/>
      <w:sz w:val="22"/>
      <w:szCs w:val="22"/>
      <w:lang w:eastAsia="en-US"/>
    </w:rPr>
  </w:style>
  <w:style w:type="paragraph" w:customStyle="1" w:styleId="DoubleDot">
    <w:name w:val="Double Dot"/>
    <w:basedOn w:val="Normal"/>
    <w:rsid w:val="00014A51"/>
    <w:pPr>
      <w:numPr>
        <w:ilvl w:val="2"/>
        <w:numId w:val="10"/>
      </w:numPr>
      <w:spacing w:after="200" w:line="276" w:lineRule="auto"/>
      <w:jc w:val="left"/>
    </w:pPr>
    <w:rPr>
      <w:rFonts w:asciiTheme="minorHAnsi" w:eastAsiaTheme="minorHAnsi" w:hAnsiTheme="minorHAnsi" w:cstheme="minorBidi"/>
      <w:i/>
      <w:color w:val="auto"/>
      <w:sz w:val="22"/>
      <w:szCs w:val="22"/>
      <w:lang w:eastAsia="en-US"/>
    </w:rPr>
  </w:style>
  <w:style w:type="character" w:customStyle="1" w:styleId="UnresolvedMention2">
    <w:name w:val="Unresolved Mention2"/>
    <w:basedOn w:val="DefaultParagraphFont"/>
    <w:uiPriority w:val="99"/>
    <w:semiHidden/>
    <w:unhideWhenUsed/>
    <w:rsid w:val="00A55256"/>
    <w:rPr>
      <w:color w:val="808080"/>
      <w:shd w:val="clear" w:color="auto" w:fill="E6E6E6"/>
    </w:rPr>
  </w:style>
  <w:style w:type="character" w:customStyle="1" w:styleId="UnresolvedMention3">
    <w:name w:val="Unresolved Mention3"/>
    <w:basedOn w:val="DefaultParagraphFont"/>
    <w:uiPriority w:val="99"/>
    <w:semiHidden/>
    <w:unhideWhenUsed/>
    <w:rsid w:val="00312B96"/>
    <w:rPr>
      <w:color w:val="808080"/>
      <w:shd w:val="clear" w:color="auto" w:fill="E6E6E6"/>
    </w:rPr>
  </w:style>
  <w:style w:type="character" w:styleId="FollowedHyperlink">
    <w:name w:val="FollowedHyperlink"/>
    <w:basedOn w:val="DefaultParagraphFont"/>
    <w:uiPriority w:val="99"/>
    <w:semiHidden/>
    <w:unhideWhenUsed/>
    <w:rsid w:val="000104A6"/>
    <w:rPr>
      <w:color w:val="800080" w:themeColor="followedHyperlink"/>
      <w:u w:val="single"/>
    </w:rPr>
  </w:style>
  <w:style w:type="table" w:customStyle="1" w:styleId="TableGrid3">
    <w:name w:val="Table Grid3"/>
    <w:basedOn w:val="TableNormal"/>
    <w:next w:val="TableGrid"/>
    <w:uiPriority w:val="39"/>
    <w:rsid w:val="00CD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Bodytext">
    <w:name w:val="DC Body text"/>
    <w:basedOn w:val="Normal"/>
    <w:qFormat/>
    <w:rsid w:val="00401896"/>
    <w:pPr>
      <w:spacing w:line="240" w:lineRule="auto"/>
      <w:jc w:val="left"/>
    </w:pPr>
    <w:rPr>
      <w:rFonts w:ascii="Arial" w:hAnsi="Arial" w:cs="Arial"/>
      <w:sz w:val="24"/>
      <w:szCs w:val="24"/>
    </w:rPr>
  </w:style>
  <w:style w:type="paragraph" w:styleId="NoSpacing">
    <w:name w:val="No Spacing"/>
    <w:uiPriority w:val="1"/>
    <w:qFormat/>
    <w:rsid w:val="00AC2E65"/>
    <w:pPr>
      <w:spacing w:after="0" w:line="240" w:lineRule="auto"/>
      <w:jc w:val="both"/>
    </w:pPr>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806">
      <w:bodyDiv w:val="1"/>
      <w:marLeft w:val="0"/>
      <w:marRight w:val="0"/>
      <w:marTop w:val="0"/>
      <w:marBottom w:val="0"/>
      <w:divBdr>
        <w:top w:val="none" w:sz="0" w:space="0" w:color="auto"/>
        <w:left w:val="none" w:sz="0" w:space="0" w:color="auto"/>
        <w:bottom w:val="none" w:sz="0" w:space="0" w:color="auto"/>
        <w:right w:val="none" w:sz="0" w:space="0" w:color="auto"/>
      </w:divBdr>
    </w:div>
    <w:div w:id="412317651">
      <w:bodyDiv w:val="1"/>
      <w:marLeft w:val="0"/>
      <w:marRight w:val="0"/>
      <w:marTop w:val="0"/>
      <w:marBottom w:val="0"/>
      <w:divBdr>
        <w:top w:val="none" w:sz="0" w:space="0" w:color="auto"/>
        <w:left w:val="none" w:sz="0" w:space="0" w:color="auto"/>
        <w:bottom w:val="none" w:sz="0" w:space="0" w:color="auto"/>
        <w:right w:val="none" w:sz="0" w:space="0" w:color="auto"/>
      </w:divBdr>
    </w:div>
    <w:div w:id="446193263">
      <w:bodyDiv w:val="1"/>
      <w:marLeft w:val="0"/>
      <w:marRight w:val="0"/>
      <w:marTop w:val="0"/>
      <w:marBottom w:val="0"/>
      <w:divBdr>
        <w:top w:val="none" w:sz="0" w:space="0" w:color="auto"/>
        <w:left w:val="none" w:sz="0" w:space="0" w:color="auto"/>
        <w:bottom w:val="none" w:sz="0" w:space="0" w:color="auto"/>
        <w:right w:val="none" w:sz="0" w:space="0" w:color="auto"/>
      </w:divBdr>
    </w:div>
    <w:div w:id="498622962">
      <w:bodyDiv w:val="1"/>
      <w:marLeft w:val="0"/>
      <w:marRight w:val="0"/>
      <w:marTop w:val="0"/>
      <w:marBottom w:val="0"/>
      <w:divBdr>
        <w:top w:val="none" w:sz="0" w:space="0" w:color="auto"/>
        <w:left w:val="none" w:sz="0" w:space="0" w:color="auto"/>
        <w:bottom w:val="none" w:sz="0" w:space="0" w:color="auto"/>
        <w:right w:val="none" w:sz="0" w:space="0" w:color="auto"/>
      </w:divBdr>
    </w:div>
    <w:div w:id="782072297">
      <w:bodyDiv w:val="1"/>
      <w:marLeft w:val="0"/>
      <w:marRight w:val="0"/>
      <w:marTop w:val="0"/>
      <w:marBottom w:val="0"/>
      <w:divBdr>
        <w:top w:val="none" w:sz="0" w:space="0" w:color="auto"/>
        <w:left w:val="none" w:sz="0" w:space="0" w:color="auto"/>
        <w:bottom w:val="none" w:sz="0" w:space="0" w:color="auto"/>
        <w:right w:val="none" w:sz="0" w:space="0" w:color="auto"/>
      </w:divBdr>
    </w:div>
    <w:div w:id="916745943">
      <w:bodyDiv w:val="1"/>
      <w:marLeft w:val="0"/>
      <w:marRight w:val="0"/>
      <w:marTop w:val="0"/>
      <w:marBottom w:val="0"/>
      <w:divBdr>
        <w:top w:val="none" w:sz="0" w:space="0" w:color="auto"/>
        <w:left w:val="none" w:sz="0" w:space="0" w:color="auto"/>
        <w:bottom w:val="none" w:sz="0" w:space="0" w:color="auto"/>
        <w:right w:val="none" w:sz="0" w:space="0" w:color="auto"/>
      </w:divBdr>
    </w:div>
    <w:div w:id="1265114427">
      <w:bodyDiv w:val="1"/>
      <w:marLeft w:val="0"/>
      <w:marRight w:val="0"/>
      <w:marTop w:val="0"/>
      <w:marBottom w:val="0"/>
      <w:divBdr>
        <w:top w:val="none" w:sz="0" w:space="0" w:color="auto"/>
        <w:left w:val="none" w:sz="0" w:space="0" w:color="auto"/>
        <w:bottom w:val="none" w:sz="0" w:space="0" w:color="auto"/>
        <w:right w:val="none" w:sz="0" w:space="0" w:color="auto"/>
      </w:divBdr>
    </w:div>
    <w:div w:id="1355887480">
      <w:bodyDiv w:val="1"/>
      <w:marLeft w:val="0"/>
      <w:marRight w:val="0"/>
      <w:marTop w:val="0"/>
      <w:marBottom w:val="0"/>
      <w:divBdr>
        <w:top w:val="none" w:sz="0" w:space="0" w:color="auto"/>
        <w:left w:val="none" w:sz="0" w:space="0" w:color="auto"/>
        <w:bottom w:val="none" w:sz="0" w:space="0" w:color="auto"/>
        <w:right w:val="none" w:sz="0" w:space="0" w:color="auto"/>
      </w:divBdr>
    </w:div>
    <w:div w:id="1445222700">
      <w:bodyDiv w:val="1"/>
      <w:marLeft w:val="0"/>
      <w:marRight w:val="0"/>
      <w:marTop w:val="0"/>
      <w:marBottom w:val="0"/>
      <w:divBdr>
        <w:top w:val="none" w:sz="0" w:space="0" w:color="auto"/>
        <w:left w:val="none" w:sz="0" w:space="0" w:color="auto"/>
        <w:bottom w:val="none" w:sz="0" w:space="0" w:color="auto"/>
        <w:right w:val="none" w:sz="0" w:space="0" w:color="auto"/>
      </w:divBdr>
    </w:div>
    <w:div w:id="1471243275">
      <w:bodyDiv w:val="1"/>
      <w:marLeft w:val="0"/>
      <w:marRight w:val="0"/>
      <w:marTop w:val="0"/>
      <w:marBottom w:val="0"/>
      <w:divBdr>
        <w:top w:val="none" w:sz="0" w:space="0" w:color="auto"/>
        <w:left w:val="none" w:sz="0" w:space="0" w:color="auto"/>
        <w:bottom w:val="none" w:sz="0" w:space="0" w:color="auto"/>
        <w:right w:val="none" w:sz="0" w:space="0" w:color="auto"/>
      </w:divBdr>
    </w:div>
    <w:div w:id="16628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planning.wa.gov.au/6971.aspx" TargetMode="External"/><Relationship Id="rId3" Type="http://schemas.openxmlformats.org/officeDocument/2006/relationships/customXml" Target="../customXml/item3.xml"/><Relationship Id="rId21" Type="http://schemas.openxmlformats.org/officeDocument/2006/relationships/hyperlink" Target="http://www.communities.wa.gov.a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planning.wa.gov.au/10586.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ousing.wa.gov.au/aboutus/affordablehousingactionplan/Pages/default.aspx" TargetMode="External"/><Relationship Id="rId20" Type="http://schemas.openxmlformats.org/officeDocument/2006/relationships/hyperlink" Target="http://www.communities.wa.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ousing.wa.gov.au/aboutus/affordablehousingactionplan/affordablehousingstrategy/Pages/default.aspx" TargetMode="External"/><Relationship Id="rId23"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hyperlink" Target="https://www.planning.wa.gov.au/Urban-Development-Program.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2018FG-64-55124</_dlc_DocId>
    <_dlc_DocIdUrl xmlns="0f563589-9cf9-4143-b1eb-fb0534803d38">
      <Url>http://tweb/sites/fg/csrd/_layouts/15/DocIdRedir.aspx?ID=2018FG-64-55124</Url>
      <Description>2018FG-64-55124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6423" ma:contentTypeDescription=" " ma:contentTypeScope="" ma:versionID="dcec593f56ebe0e815f2cb435e68a88b">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E172-617A-4C99-B51C-EE256F026E05}">
  <ds:schemaRefs>
    <ds:schemaRef ds:uri="office.server.policy"/>
  </ds:schemaRefs>
</ds:datastoreItem>
</file>

<file path=customXml/itemProps2.xml><?xml version="1.0" encoding="utf-8"?>
<ds:datastoreItem xmlns:ds="http://schemas.openxmlformats.org/officeDocument/2006/customXml" ds:itemID="{378723A5-716C-4E0A-BF70-361DD08E7631}">
  <ds:schemaRefs>
    <ds:schemaRef ds:uri="e544e5cc-ab70-42e1-849e-1a0f8bb1f4ef"/>
    <ds:schemaRef ds:uri="http://schemas.microsoft.com/sharepoint/v4"/>
    <ds:schemaRef ds:uri="http://purl.org/dc/elements/1.1/"/>
    <ds:schemaRef ds:uri="http://www.w3.org/XML/1998/namespace"/>
    <ds:schemaRef ds:uri="http://schemas.microsoft.com/sharepoint/v3"/>
    <ds:schemaRef ds:uri="0f563589-9cf9-4143-b1eb-fb0534803d38"/>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936336E-FF0C-4E9A-81AC-3D838B752CFF}">
  <ds:schemaRefs>
    <ds:schemaRef ds:uri="http://schemas.microsoft.com/sharepoint/v3/contenttype/forms"/>
  </ds:schemaRefs>
</ds:datastoreItem>
</file>

<file path=customXml/itemProps4.xml><?xml version="1.0" encoding="utf-8"?>
<ds:datastoreItem xmlns:ds="http://schemas.openxmlformats.org/officeDocument/2006/customXml" ds:itemID="{37D30A9D-72C7-4ED5-8AD4-1D90D10A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6BBD93-5ADC-4E07-ADA7-806DF1A1C0D4}">
  <ds:schemaRefs>
    <ds:schemaRef ds:uri="Microsoft.SharePoint.Taxonomy.ContentTypeSync"/>
  </ds:schemaRefs>
</ds:datastoreItem>
</file>

<file path=customXml/itemProps6.xml><?xml version="1.0" encoding="utf-8"?>
<ds:datastoreItem xmlns:ds="http://schemas.openxmlformats.org/officeDocument/2006/customXml" ds:itemID="{1602D7DF-07A2-4817-9D16-108198C69BC9}">
  <ds:schemaRefs>
    <ds:schemaRef ds:uri="http://schemas.microsoft.com/sharepoint/events"/>
  </ds:schemaRefs>
</ds:datastoreItem>
</file>

<file path=customXml/itemProps7.xml><?xml version="1.0" encoding="utf-8"?>
<ds:datastoreItem xmlns:ds="http://schemas.openxmlformats.org/officeDocument/2006/customXml" ds:itemID="{E1BF8D2D-620F-4DDD-832A-0A077D63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3826</Words>
  <Characters>21814</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Alyson</dc:creator>
  <cp:lastModifiedBy>Le, Alan</cp:lastModifiedBy>
  <cp:revision>2</cp:revision>
  <cp:lastPrinted>2018-12-21T05:46:00Z</cp:lastPrinted>
  <dcterms:created xsi:type="dcterms:W3CDTF">2018-12-21T05:47:00Z</dcterms:created>
  <dcterms:modified xsi:type="dcterms:W3CDTF">2018-12-21T05:47:00Z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{0a75c396-5460-458f-b40d-6e0c4b5b1476}</vt:lpwstr>
  </property>
  <property fmtid="{D5CDD505-2E9C-101B-9397-08002B2CF9AE}" pid="4" name="RecordPoint_SubmissionCompleted">
    <vt:lpwstr>2018-08-27T15:53:22.1709262+10:00</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_dlc_DocIdItemGuid">
    <vt:lpwstr>1bbdd48d-a52e-48c3-8625-67bd2fb869d9</vt:lpwstr>
  </property>
  <property fmtid="{D5CDD505-2E9C-101B-9397-08002B2CF9AE}" pid="8" name="RecordPoint_ActiveItemListId">
    <vt:lpwstr>{f0cc883e-91d9-4ad8-b518-0119e7248d9c}</vt:lpwstr>
  </property>
  <property fmtid="{D5CDD505-2E9C-101B-9397-08002B2CF9AE}" pid="9" name="RecordPoint_ActiveItemWebId">
    <vt:lpwstr>{ac2b4cc5-b8cd-4121-8055-95747869c0b0}</vt:lpwstr>
  </property>
  <property fmtid="{D5CDD505-2E9C-101B-9397-08002B2CF9AE}" pid="10" name="RecordPoint_ActiveItemSiteId">
    <vt:lpwstr>{a3a280d1-e8f1-4ce7-94f0-aaa2322da0dd}</vt:lpwstr>
  </property>
  <property fmtid="{D5CDD505-2E9C-101B-9397-08002B2CF9AE}" pid="11" name="RecordPoint_RecordNumberSubmitted">
    <vt:lpwstr>R0001846688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NewReviewCycle">
    <vt:lpwstr/>
  </property>
  <property fmtid="{D5CDD505-2E9C-101B-9397-08002B2CF9AE}" pid="16" name="_AdHocReviewCycleID">
    <vt:i4>-1714658645</vt:i4>
  </property>
  <property fmtid="{D5CDD505-2E9C-101B-9397-08002B2CF9AE}" pid="17" name="_EmailSubject">
    <vt:lpwstr>MS18-003796 - Finalisation of the NHHA - WA Bilaterial Schedule and Media Release [SEC=UNCLASSIFIED]</vt:lpwstr>
  </property>
  <property fmtid="{D5CDD505-2E9C-101B-9397-08002B2CF9AE}" pid="18" name="_AuthorEmail">
    <vt:lpwstr>Ashley.Bartlett@treasury.gov.au</vt:lpwstr>
  </property>
  <property fmtid="{D5CDD505-2E9C-101B-9397-08002B2CF9AE}" pid="19" name="_AuthorEmailDisplayName">
    <vt:lpwstr>Bartlett, Ashley</vt:lpwstr>
  </property>
  <property fmtid="{D5CDD505-2E9C-101B-9397-08002B2CF9AE}" pid="20" name="_PreviousAdHocReviewCycleID">
    <vt:i4>1652765333</vt:i4>
  </property>
  <property fmtid="{D5CDD505-2E9C-101B-9397-08002B2CF9AE}" pid="21" name="_ReviewingToolsShownOnce">
    <vt:lpwstr/>
  </property>
</Properties>
</file>