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AE610" w14:textId="77777777" w:rsidR="000C55DD" w:rsidRPr="000C55DD" w:rsidRDefault="000C55DD" w:rsidP="000C55DD">
      <w:pPr>
        <w:keepNext/>
        <w:spacing w:after="120" w:line="240" w:lineRule="auto"/>
        <w:jc w:val="right"/>
        <w:outlineLvl w:val="8"/>
        <w:rPr>
          <w:rFonts w:ascii="Corbel" w:hAnsi="Corbel" w:cs="Arial"/>
          <w:color w:val="3D4B67"/>
          <w:spacing w:val="0"/>
          <w:sz w:val="36"/>
          <w:szCs w:val="22"/>
        </w:rPr>
      </w:pPr>
      <w:r w:rsidRPr="000C55DD">
        <w:rPr>
          <w:rFonts w:ascii="Corbel" w:hAnsi="Corbel" w:cs="Arial"/>
          <w:color w:val="3D4B67"/>
          <w:spacing w:val="0"/>
          <w:sz w:val="36"/>
          <w:szCs w:val="22"/>
        </w:rPr>
        <w:t>Schedule E2</w:t>
      </w:r>
    </w:p>
    <w:p w14:paraId="55A8ED45" w14:textId="77777777" w:rsidR="000C55DD" w:rsidRPr="000C55DD" w:rsidRDefault="000C55DD" w:rsidP="000C55DD">
      <w:pPr>
        <w:spacing w:before="0" w:after="0" w:line="240" w:lineRule="auto"/>
        <w:rPr>
          <w:rFonts w:ascii="Corbel" w:hAnsi="Corbel"/>
          <w:color w:val="3D4B67"/>
          <w:spacing w:val="0"/>
          <w:sz w:val="72"/>
          <w:szCs w:val="48"/>
          <w:lang w:eastAsia="ja-JP"/>
        </w:rPr>
      </w:pPr>
      <w:r w:rsidRPr="000C55DD">
        <w:rPr>
          <w:rFonts w:ascii="Corbel" w:hAnsi="Corbel"/>
          <w:color w:val="3D4B67"/>
          <w:spacing w:val="0"/>
          <w:sz w:val="72"/>
          <w:szCs w:val="48"/>
          <w:lang w:eastAsia="ja-JP"/>
        </w:rPr>
        <w:t>Victoria</w:t>
      </w:r>
    </w:p>
    <w:p w14:paraId="4CA35AD7" w14:textId="77777777" w:rsidR="000C55DD" w:rsidRPr="000C55DD" w:rsidRDefault="000C55DD" w:rsidP="000C55DD">
      <w:pPr>
        <w:spacing w:before="0" w:after="600" w:line="240" w:lineRule="auto"/>
        <w:rPr>
          <w:rFonts w:ascii="Consolas" w:hAnsi="Consolas"/>
          <w:b/>
          <w:caps/>
          <w:color w:val="C7823E"/>
          <w:spacing w:val="50"/>
          <w:szCs w:val="22"/>
          <w:lang w:eastAsia="ja-JP"/>
        </w:rPr>
      </w:pPr>
      <w:r w:rsidRPr="000C55DD">
        <w:rPr>
          <w:rFonts w:ascii="Consolas" w:hAnsi="Consolas"/>
          <w:b/>
          <w:caps/>
          <w:color w:val="C7823E"/>
          <w:spacing w:val="50"/>
          <w:szCs w:val="22"/>
          <w:lang w:eastAsia="ja-JP"/>
        </w:rPr>
        <w:t>National housing and homelessness agreement</w:t>
      </w:r>
    </w:p>
    <w:p w14:paraId="31E0BDBA" w14:textId="77777777" w:rsidR="000C55DD" w:rsidRPr="000C55DD" w:rsidRDefault="000C55DD" w:rsidP="000C55DD">
      <w:pPr>
        <w:keepNext/>
        <w:spacing w:before="240" w:line="240" w:lineRule="auto"/>
        <w:outlineLvl w:val="0"/>
        <w:rPr>
          <w:rFonts w:ascii="Consolas" w:hAnsi="Consolas" w:cs="Arial"/>
          <w:bCs/>
          <w:caps/>
          <w:color w:val="3D4B67"/>
          <w:spacing w:val="0"/>
          <w:kern w:val="32"/>
          <w:sz w:val="32"/>
          <w:szCs w:val="36"/>
        </w:rPr>
      </w:pPr>
      <w:r w:rsidRPr="000C55DD">
        <w:rPr>
          <w:rFonts w:ascii="Consolas" w:hAnsi="Consolas" w:cs="Arial"/>
          <w:bCs/>
          <w:caps/>
          <w:color w:val="3D4B67"/>
          <w:spacing w:val="0"/>
          <w:kern w:val="32"/>
          <w:sz w:val="32"/>
          <w:szCs w:val="36"/>
        </w:rPr>
        <w:t>Preliminaries</w:t>
      </w:r>
    </w:p>
    <w:p w14:paraId="15DB5753" w14:textId="77777777" w:rsidR="000C55DD" w:rsidRPr="000C55DD" w:rsidRDefault="000C55DD" w:rsidP="000C55DD">
      <w:pPr>
        <w:numPr>
          <w:ilvl w:val="0"/>
          <w:numId w:val="4"/>
        </w:numPr>
        <w:spacing w:before="0" w:after="240" w:line="260" w:lineRule="exact"/>
        <w:jc w:val="both"/>
        <w:rPr>
          <w:rFonts w:ascii="Corbel" w:eastAsia="Calibri" w:hAnsi="Corbel" w:cs="Arial"/>
          <w:color w:val="000000"/>
          <w:spacing w:val="0"/>
          <w:sz w:val="23"/>
          <w:szCs w:val="22"/>
          <w:lang w:eastAsia="en-US"/>
        </w:rPr>
      </w:pPr>
      <w:bookmarkStart w:id="0" w:name="PART_2:_FORMALITIES"/>
      <w:bookmarkStart w:id="1" w:name="PART_3:_FINANCIAL_ARRANGEMENTS"/>
      <w:bookmarkStart w:id="2" w:name="PART_1:_PRELIMINARIES"/>
      <w:bookmarkEnd w:id="0"/>
      <w:bookmarkEnd w:id="1"/>
      <w:bookmarkEnd w:id="2"/>
      <w:r w:rsidRPr="000C55DD">
        <w:rPr>
          <w:rFonts w:ascii="Corbel" w:eastAsia="Calibri" w:hAnsi="Corbel" w:cs="Arial"/>
          <w:color w:val="000000"/>
          <w:spacing w:val="0"/>
          <w:sz w:val="23"/>
          <w:szCs w:val="22"/>
          <w:lang w:eastAsia="en-US"/>
        </w:rPr>
        <w:t xml:space="preserve">This Schedule is an agreement that is a supplementary housing agreement for the purposes of section 15C of the </w:t>
      </w:r>
      <w:r w:rsidRPr="000C55DD">
        <w:rPr>
          <w:rFonts w:ascii="Corbel" w:eastAsia="Calibri" w:hAnsi="Corbel" w:cs="Arial"/>
          <w:i/>
          <w:color w:val="000000"/>
          <w:spacing w:val="0"/>
          <w:sz w:val="23"/>
          <w:szCs w:val="22"/>
          <w:lang w:eastAsia="en-US"/>
        </w:rPr>
        <w:t>Federal Financial Relations Act 2009</w:t>
      </w:r>
      <w:r w:rsidRPr="000C55DD">
        <w:rPr>
          <w:rFonts w:ascii="Corbel" w:eastAsia="Calibri" w:hAnsi="Corbel" w:cs="Arial"/>
          <w:color w:val="000000"/>
          <w:spacing w:val="0"/>
          <w:sz w:val="23"/>
          <w:szCs w:val="22"/>
          <w:lang w:eastAsia="en-US"/>
        </w:rPr>
        <w:t xml:space="preserve">. </w:t>
      </w:r>
    </w:p>
    <w:p w14:paraId="1AB1BAF6" w14:textId="77777777" w:rsidR="000C55DD" w:rsidRPr="000C55DD" w:rsidRDefault="000C55DD" w:rsidP="000C55DD">
      <w:pPr>
        <w:numPr>
          <w:ilvl w:val="0"/>
          <w:numId w:val="4"/>
        </w:numPr>
        <w:spacing w:before="0" w:after="240" w:line="260" w:lineRule="exact"/>
        <w:jc w:val="both"/>
        <w:rPr>
          <w:rFonts w:ascii="Corbel" w:eastAsia="Calibri" w:hAnsi="Corbel" w:cs="Arial"/>
          <w:color w:val="000000"/>
          <w:spacing w:val="0"/>
          <w:sz w:val="23"/>
          <w:szCs w:val="22"/>
          <w:lang w:eastAsia="en-US"/>
        </w:rPr>
      </w:pPr>
      <w:r w:rsidRPr="000C55DD">
        <w:rPr>
          <w:rFonts w:ascii="Corbel" w:eastAsia="Calibri" w:hAnsi="Corbel" w:cs="Arial"/>
          <w:color w:val="000000"/>
          <w:spacing w:val="0"/>
          <w:sz w:val="23"/>
          <w:szCs w:val="22"/>
          <w:lang w:eastAsia="en-US"/>
        </w:rPr>
        <w:t>This Schedule is intended to replace Schedule E2 of the National Housing and Homelessness Agreement (the Agreement) after 30 June 2023.</w:t>
      </w:r>
    </w:p>
    <w:p w14:paraId="2F5E1E80" w14:textId="77777777" w:rsidR="000C55DD" w:rsidRPr="000C55DD" w:rsidRDefault="000C55DD" w:rsidP="000C55DD">
      <w:pPr>
        <w:numPr>
          <w:ilvl w:val="0"/>
          <w:numId w:val="4"/>
        </w:numPr>
        <w:spacing w:before="0" w:after="240" w:line="260" w:lineRule="exact"/>
        <w:jc w:val="both"/>
        <w:rPr>
          <w:rFonts w:ascii="Corbel" w:eastAsia="Calibri" w:hAnsi="Corbel" w:cs="Arial"/>
          <w:color w:val="000000"/>
          <w:spacing w:val="0"/>
          <w:sz w:val="23"/>
          <w:szCs w:val="22"/>
          <w:lang w:eastAsia="en-US"/>
        </w:rPr>
      </w:pPr>
      <w:r w:rsidRPr="000C55DD">
        <w:rPr>
          <w:rFonts w:ascii="Corbel" w:eastAsia="Calibri" w:hAnsi="Corbel" w:cs="Arial"/>
          <w:color w:val="000000"/>
          <w:spacing w:val="0"/>
          <w:sz w:val="23"/>
          <w:szCs w:val="22"/>
          <w:lang w:eastAsia="en-US"/>
        </w:rPr>
        <w:t>This Schedule will commence as soon as the Commonwealth and Victoria sign the schedule.</w:t>
      </w:r>
    </w:p>
    <w:p w14:paraId="48C4D1A4" w14:textId="77777777" w:rsidR="000C55DD" w:rsidRPr="000C55DD" w:rsidRDefault="000C55DD" w:rsidP="000C55DD">
      <w:pPr>
        <w:numPr>
          <w:ilvl w:val="0"/>
          <w:numId w:val="4"/>
        </w:numPr>
        <w:spacing w:before="0" w:after="240" w:line="260" w:lineRule="exact"/>
        <w:jc w:val="both"/>
        <w:rPr>
          <w:rFonts w:ascii="Corbel" w:eastAsia="Calibri" w:hAnsi="Corbel" w:cs="Arial"/>
          <w:color w:val="000000"/>
          <w:spacing w:val="0"/>
          <w:sz w:val="23"/>
          <w:szCs w:val="22"/>
          <w:lang w:eastAsia="en-US"/>
        </w:rPr>
      </w:pPr>
      <w:r w:rsidRPr="000C55DD">
        <w:rPr>
          <w:rFonts w:ascii="Corbel" w:eastAsia="Calibri" w:hAnsi="Corbel" w:cs="Arial"/>
          <w:color w:val="000000"/>
          <w:spacing w:val="0"/>
          <w:sz w:val="23"/>
          <w:szCs w:val="22"/>
          <w:lang w:eastAsia="en-US"/>
        </w:rPr>
        <w:t>This Schedule is to support the terms set out in the Agreement signed by the Commonwealth and Victoria.</w:t>
      </w:r>
    </w:p>
    <w:p w14:paraId="41AB62CF" w14:textId="77777777" w:rsidR="000C55DD" w:rsidRPr="000C55DD" w:rsidRDefault="000C55DD" w:rsidP="000C55DD">
      <w:pPr>
        <w:numPr>
          <w:ilvl w:val="0"/>
          <w:numId w:val="4"/>
        </w:numPr>
        <w:spacing w:before="0" w:after="240" w:line="260" w:lineRule="exact"/>
        <w:jc w:val="both"/>
        <w:rPr>
          <w:rFonts w:ascii="Corbel" w:eastAsia="Calibri" w:hAnsi="Corbel" w:cs="Arial"/>
          <w:color w:val="000000"/>
          <w:spacing w:val="0"/>
          <w:sz w:val="23"/>
          <w:szCs w:val="22"/>
          <w:lang w:eastAsia="en-US"/>
        </w:rPr>
      </w:pPr>
      <w:r w:rsidRPr="000C55DD">
        <w:rPr>
          <w:rFonts w:ascii="Corbel" w:eastAsia="Calibri" w:hAnsi="Corbel" w:cs="Arial"/>
          <w:color w:val="000000"/>
          <w:spacing w:val="0"/>
          <w:sz w:val="23"/>
          <w:szCs w:val="22"/>
          <w:lang w:eastAsia="en-US"/>
        </w:rPr>
        <w:t>Unless terminated earlier or extended as agreed in writing by the Parties, this Schedule will expire no later than 30 June 2024.</w:t>
      </w:r>
    </w:p>
    <w:p w14:paraId="66FA7E0E" w14:textId="77777777" w:rsidR="000C55DD" w:rsidRPr="000C55DD" w:rsidRDefault="000C55DD" w:rsidP="000C55DD">
      <w:pPr>
        <w:numPr>
          <w:ilvl w:val="0"/>
          <w:numId w:val="4"/>
        </w:numPr>
        <w:spacing w:before="0" w:after="240" w:line="260" w:lineRule="exact"/>
        <w:jc w:val="both"/>
        <w:rPr>
          <w:rFonts w:ascii="Corbel" w:eastAsia="Calibri" w:hAnsi="Corbel" w:cs="Arial"/>
          <w:color w:val="000000"/>
          <w:spacing w:val="0"/>
          <w:sz w:val="23"/>
          <w:szCs w:val="22"/>
          <w:lang w:eastAsia="en-US"/>
        </w:rPr>
      </w:pPr>
      <w:r w:rsidRPr="000C55DD">
        <w:rPr>
          <w:rFonts w:ascii="Corbel" w:eastAsia="Calibri" w:hAnsi="Corbel" w:cs="Arial"/>
          <w:color w:val="000000"/>
          <w:spacing w:val="0"/>
          <w:sz w:val="23"/>
          <w:szCs w:val="22"/>
          <w:lang w:eastAsia="en-US"/>
        </w:rPr>
        <w:t>A Party to this Schedule may terminate their participation in the Agreement at any time by giving 12 months’ notice of intention to do so, in writing, to the other Party.</w:t>
      </w:r>
    </w:p>
    <w:p w14:paraId="32C2DDA4" w14:textId="77777777" w:rsidR="000C55DD" w:rsidRPr="000C55DD" w:rsidRDefault="000C55DD" w:rsidP="000C55DD">
      <w:pPr>
        <w:numPr>
          <w:ilvl w:val="0"/>
          <w:numId w:val="4"/>
        </w:numPr>
        <w:spacing w:before="0" w:after="240" w:line="260" w:lineRule="exact"/>
        <w:jc w:val="both"/>
        <w:rPr>
          <w:rFonts w:ascii="Corbel" w:eastAsia="Calibri" w:hAnsi="Corbel" w:cs="Arial"/>
          <w:color w:val="000000"/>
          <w:spacing w:val="0"/>
          <w:sz w:val="23"/>
          <w:szCs w:val="22"/>
          <w:lang w:eastAsia="en-US"/>
        </w:rPr>
      </w:pPr>
      <w:r w:rsidRPr="000C55DD">
        <w:rPr>
          <w:rFonts w:ascii="Corbel" w:eastAsia="Calibri" w:hAnsi="Corbel" w:cs="Arial"/>
          <w:color w:val="000000"/>
          <w:spacing w:val="0"/>
          <w:sz w:val="23"/>
          <w:szCs w:val="22"/>
          <w:lang w:eastAsia="en-US"/>
        </w:rPr>
        <w:t xml:space="preserve">This Schedule may be varied at any time by agreement in writing of the relevant Commonwealth and State portfolio Ministers. </w:t>
      </w:r>
    </w:p>
    <w:p w14:paraId="78BDAE66" w14:textId="77777777" w:rsidR="000C55DD" w:rsidRPr="000C55DD" w:rsidRDefault="000C55DD" w:rsidP="000C55DD">
      <w:pPr>
        <w:numPr>
          <w:ilvl w:val="0"/>
          <w:numId w:val="4"/>
        </w:numPr>
        <w:spacing w:before="0" w:after="240" w:line="260" w:lineRule="exact"/>
        <w:jc w:val="both"/>
        <w:rPr>
          <w:rFonts w:ascii="Corbel" w:eastAsia="Calibri" w:hAnsi="Corbel" w:cs="Arial"/>
          <w:color w:val="000000"/>
          <w:spacing w:val="0"/>
          <w:sz w:val="23"/>
          <w:szCs w:val="22"/>
          <w:lang w:eastAsia="en-US"/>
        </w:rPr>
      </w:pPr>
      <w:r w:rsidRPr="000C55DD">
        <w:rPr>
          <w:rFonts w:ascii="Corbel" w:eastAsia="Calibri" w:hAnsi="Corbel" w:cs="Arial"/>
          <w:color w:val="000000"/>
          <w:spacing w:val="0"/>
          <w:sz w:val="23"/>
          <w:szCs w:val="23"/>
          <w:lang w:eastAsia="en-US"/>
        </w:rPr>
        <w:t>The purpose of this Schedule is to provide an indication of how Victoria intends to implement the conditions of the Agreement</w:t>
      </w:r>
      <w:r w:rsidRPr="000C55DD">
        <w:rPr>
          <w:rFonts w:ascii="Corbel" w:eastAsia="Calibri" w:hAnsi="Corbel" w:cs="Arial"/>
          <w:color w:val="000000"/>
          <w:spacing w:val="0"/>
          <w:sz w:val="23"/>
          <w:szCs w:val="22"/>
          <w:lang w:eastAsia="en-US"/>
        </w:rPr>
        <w:t>.</w:t>
      </w:r>
    </w:p>
    <w:p w14:paraId="1FD86662" w14:textId="77777777" w:rsidR="000C55DD" w:rsidRPr="000C55DD" w:rsidRDefault="000C55DD" w:rsidP="000C55DD">
      <w:pPr>
        <w:numPr>
          <w:ilvl w:val="0"/>
          <w:numId w:val="4"/>
        </w:numPr>
        <w:spacing w:before="0" w:after="240" w:line="260" w:lineRule="exact"/>
        <w:jc w:val="both"/>
        <w:rPr>
          <w:rFonts w:ascii="Consolas" w:eastAsia="Calibri" w:hAnsi="Consolas" w:cs="Arial"/>
          <w:caps/>
          <w:color w:val="3D4B67"/>
          <w:spacing w:val="0"/>
          <w:kern w:val="32"/>
          <w:sz w:val="32"/>
          <w:szCs w:val="32"/>
          <w:lang w:eastAsia="en-US"/>
        </w:rPr>
      </w:pPr>
      <w:r w:rsidRPr="000C55DD">
        <w:rPr>
          <w:rFonts w:ascii="Corbel" w:eastAsia="Calibri" w:hAnsi="Corbel" w:cs="Arial"/>
          <w:color w:val="000000"/>
          <w:spacing w:val="0"/>
          <w:sz w:val="23"/>
          <w:szCs w:val="22"/>
          <w:lang w:eastAsia="en-US"/>
        </w:rPr>
        <w:t xml:space="preserve">To enable payments to commence from 1 July 2023 to 30 June 2024, Victoria confirms that it satisfies the requirements of clause 17 of the Agreement as at 1 July 2023 and as set out in this Schedule. </w:t>
      </w:r>
      <w:r w:rsidRPr="000C55DD">
        <w:rPr>
          <w:rFonts w:ascii="Corbel" w:eastAsia="Calibri" w:hAnsi="Corbel" w:cs="Arial"/>
          <w:color w:val="000000"/>
          <w:spacing w:val="0"/>
          <w:sz w:val="23"/>
          <w:szCs w:val="22"/>
          <w:lang w:eastAsia="en-US"/>
        </w:rPr>
        <w:br w:type="page"/>
      </w:r>
    </w:p>
    <w:p w14:paraId="4BDC83A9" w14:textId="77777777" w:rsidR="000C55DD" w:rsidRPr="000C55DD" w:rsidRDefault="000C55DD" w:rsidP="000C55DD">
      <w:pPr>
        <w:keepNext/>
        <w:spacing w:before="240" w:line="240" w:lineRule="auto"/>
        <w:outlineLvl w:val="0"/>
        <w:rPr>
          <w:rFonts w:ascii="Consolas" w:hAnsi="Consolas" w:cs="Arial"/>
          <w:bCs/>
          <w:caps/>
          <w:color w:val="3D4B67"/>
          <w:spacing w:val="0"/>
          <w:kern w:val="32"/>
          <w:sz w:val="32"/>
          <w:szCs w:val="36"/>
        </w:rPr>
      </w:pPr>
      <w:r w:rsidRPr="000C55DD">
        <w:rPr>
          <w:rFonts w:ascii="Consolas" w:hAnsi="Consolas" w:cs="Arial"/>
          <w:bCs/>
          <w:caps/>
          <w:color w:val="3D4B67"/>
          <w:spacing w:val="0"/>
          <w:kern w:val="32"/>
          <w:sz w:val="32"/>
          <w:szCs w:val="36"/>
        </w:rPr>
        <w:lastRenderedPageBreak/>
        <w:t>Part 1 – Funding</w:t>
      </w:r>
    </w:p>
    <w:p w14:paraId="65B3BDDD" w14:textId="77777777" w:rsidR="00AE4080" w:rsidRPr="00266619" w:rsidRDefault="000C55DD" w:rsidP="00314121">
      <w:pPr>
        <w:spacing w:before="0" w:after="240" w:line="260" w:lineRule="exact"/>
        <w:contextualSpacing/>
        <w:jc w:val="both"/>
        <w:rPr>
          <w:rFonts w:ascii="Corbel" w:hAnsi="Corbel"/>
          <w:color w:val="000000"/>
          <w:spacing w:val="0"/>
          <w:sz w:val="23"/>
          <w:szCs w:val="20"/>
        </w:rPr>
      </w:pPr>
      <w:r w:rsidRPr="000C55DD">
        <w:rPr>
          <w:rFonts w:ascii="Corbel" w:hAnsi="Corbel"/>
          <w:color w:val="000000"/>
          <w:spacing w:val="0"/>
          <w:sz w:val="23"/>
          <w:szCs w:val="20"/>
        </w:rPr>
        <w:t>The funding allocation for Victoria is estimated to be $</w:t>
      </w:r>
      <w:r>
        <w:rPr>
          <w:rFonts w:ascii="Corbel" w:hAnsi="Corbel"/>
          <w:color w:val="000000"/>
          <w:spacing w:val="0"/>
          <w:sz w:val="23"/>
          <w:szCs w:val="20"/>
        </w:rPr>
        <w:t>411.1</w:t>
      </w:r>
      <w:r w:rsidRPr="000C55DD">
        <w:rPr>
          <w:rFonts w:ascii="Corbel" w:hAnsi="Corbel"/>
          <w:color w:val="000000"/>
          <w:spacing w:val="0"/>
          <w:sz w:val="23"/>
          <w:szCs w:val="20"/>
        </w:rPr>
        <w:t xml:space="preserve"> m</w:t>
      </w:r>
      <w:r>
        <w:rPr>
          <w:rFonts w:ascii="Corbel" w:hAnsi="Corbel"/>
          <w:color w:val="000000"/>
          <w:spacing w:val="0"/>
          <w:sz w:val="23"/>
          <w:szCs w:val="20"/>
        </w:rPr>
        <w:t>illion general funding and $25.3</w:t>
      </w:r>
      <w:r w:rsidRPr="000C55DD">
        <w:rPr>
          <w:rFonts w:ascii="Corbel" w:hAnsi="Corbel"/>
          <w:color w:val="000000"/>
          <w:spacing w:val="0"/>
          <w:sz w:val="23"/>
          <w:szCs w:val="20"/>
        </w:rPr>
        <w:t xml:space="preserve"> million homelessness funding from 1 July 2023 to 30 June 2024. Actual funding entitlements may vary in line with Clause 42 of the Agreement</w:t>
      </w:r>
      <w:r w:rsidRPr="00266619">
        <w:rPr>
          <w:rFonts w:ascii="Corbel" w:hAnsi="Corbel"/>
          <w:color w:val="000000"/>
          <w:spacing w:val="0"/>
          <w:sz w:val="23"/>
          <w:szCs w:val="20"/>
        </w:rPr>
        <w:t>. The general funding includes additional funding committed on 24 March 2023 for homelessness services.</w:t>
      </w:r>
    </w:p>
    <w:p w14:paraId="3B87AE76" w14:textId="77777777" w:rsidR="009428F6" w:rsidRPr="000C55DD" w:rsidRDefault="009428F6" w:rsidP="00314121">
      <w:pPr>
        <w:spacing w:before="0" w:after="240" w:line="260" w:lineRule="exact"/>
        <w:contextualSpacing/>
        <w:jc w:val="both"/>
        <w:rPr>
          <w:rFonts w:ascii="Corbel" w:hAnsi="Corbel"/>
          <w:color w:val="000000"/>
          <w:spacing w:val="0"/>
          <w:sz w:val="23"/>
          <w:szCs w:val="20"/>
        </w:rPr>
      </w:pPr>
    </w:p>
    <w:p w14:paraId="5F3CC346" w14:textId="77777777" w:rsidR="000C55DD" w:rsidRPr="000C55DD" w:rsidRDefault="000C55DD" w:rsidP="000C55DD">
      <w:pPr>
        <w:keepNext/>
        <w:spacing w:before="240" w:line="240" w:lineRule="auto"/>
        <w:outlineLvl w:val="0"/>
        <w:rPr>
          <w:rFonts w:ascii="Consolas" w:hAnsi="Consolas" w:cs="Arial"/>
          <w:bCs/>
          <w:caps/>
          <w:color w:val="3D4B67"/>
          <w:spacing w:val="0"/>
          <w:kern w:val="32"/>
          <w:sz w:val="32"/>
          <w:szCs w:val="36"/>
        </w:rPr>
      </w:pPr>
      <w:r w:rsidRPr="000C55DD">
        <w:rPr>
          <w:rFonts w:ascii="Consolas" w:hAnsi="Consolas" w:cs="Arial"/>
          <w:bCs/>
          <w:caps/>
          <w:color w:val="3D4B67"/>
          <w:spacing w:val="0"/>
          <w:kern w:val="32"/>
          <w:sz w:val="32"/>
          <w:szCs w:val="36"/>
        </w:rPr>
        <w:t>Part 2 – VICTORIAn housing STRATEGY AND HOMELESSNESS strategy</w:t>
      </w:r>
    </w:p>
    <w:p w14:paraId="391C4F8A" w14:textId="77777777" w:rsidR="000C55DD" w:rsidRPr="000C55DD" w:rsidRDefault="000C55DD" w:rsidP="000C55DD">
      <w:pPr>
        <w:numPr>
          <w:ilvl w:val="0"/>
          <w:numId w:val="4"/>
        </w:numPr>
        <w:spacing w:before="0" w:after="240" w:line="260" w:lineRule="exact"/>
        <w:jc w:val="both"/>
        <w:rPr>
          <w:rFonts w:ascii="Corbel" w:eastAsia="Calibri" w:hAnsi="Corbel" w:cs="Arial"/>
          <w:color w:val="000000"/>
          <w:spacing w:val="0"/>
          <w:sz w:val="23"/>
          <w:szCs w:val="22"/>
          <w:lang w:eastAsia="en-US"/>
        </w:rPr>
      </w:pPr>
      <w:r w:rsidRPr="000C55DD">
        <w:rPr>
          <w:rFonts w:ascii="Corbel" w:eastAsia="Calibri" w:hAnsi="Corbel" w:cs="Arial"/>
          <w:color w:val="000000"/>
          <w:spacing w:val="0"/>
          <w:sz w:val="23"/>
          <w:szCs w:val="22"/>
          <w:lang w:eastAsia="en-US"/>
        </w:rPr>
        <w:t xml:space="preserve">Victoria meets the requirements of sub-clause 17(a) and (b) of the Agreement through the following publicly available documents: </w:t>
      </w:r>
    </w:p>
    <w:p w14:paraId="0E242552" w14:textId="77777777" w:rsidR="000C55DD" w:rsidRPr="000C55DD" w:rsidRDefault="000C55DD" w:rsidP="000C55DD">
      <w:pPr>
        <w:spacing w:before="0" w:after="240" w:line="260" w:lineRule="exact"/>
        <w:jc w:val="both"/>
        <w:rPr>
          <w:rFonts w:ascii="Corbel" w:eastAsia="Calibri" w:hAnsi="Corbel" w:cs="Arial"/>
          <w:color w:val="000000"/>
          <w:spacing w:val="0"/>
          <w:sz w:val="23"/>
          <w:szCs w:val="22"/>
          <w:lang w:eastAsia="en-US"/>
        </w:rPr>
      </w:pPr>
      <w:r w:rsidRPr="000C55DD">
        <w:rPr>
          <w:rFonts w:ascii="Corbel" w:eastAsia="Calibri" w:hAnsi="Corbel" w:cs="Arial"/>
          <w:b/>
          <w:bCs/>
          <w:color w:val="000000"/>
          <w:spacing w:val="0"/>
          <w:sz w:val="23"/>
          <w:szCs w:val="22"/>
          <w:lang w:eastAsia="en-US"/>
        </w:rPr>
        <w:t>Table 1</w:t>
      </w:r>
      <w:r w:rsidRPr="000C55DD">
        <w:rPr>
          <w:rFonts w:ascii="Corbel" w:eastAsia="Calibri" w:hAnsi="Corbel" w:cs="Arial"/>
          <w:color w:val="000000"/>
          <w:spacing w:val="0"/>
          <w:sz w:val="23"/>
          <w:szCs w:val="22"/>
          <w:lang w:eastAsia="en-US"/>
        </w:rPr>
        <w:t>: Victorian strategies and initiatives</w:t>
      </w:r>
    </w:p>
    <w:tbl>
      <w:tblPr>
        <w:tblStyle w:val="TableGrid3"/>
        <w:tblW w:w="0" w:type="auto"/>
        <w:tblInd w:w="0" w:type="dxa"/>
        <w:tblLook w:val="04A0" w:firstRow="1" w:lastRow="0" w:firstColumn="1" w:lastColumn="0" w:noHBand="0" w:noVBand="1"/>
      </w:tblPr>
      <w:tblGrid>
        <w:gridCol w:w="9016"/>
      </w:tblGrid>
      <w:tr w:rsidR="000C55DD" w:rsidRPr="000C55DD" w14:paraId="0F1A24FB" w14:textId="77777777" w:rsidTr="000C55DD">
        <w:trPr>
          <w:trHeight w:val="263"/>
        </w:trPr>
        <w:tc>
          <w:tcPr>
            <w:tcW w:w="9016" w:type="dxa"/>
            <w:shd w:val="clear" w:color="auto" w:fill="DBE5F1"/>
          </w:tcPr>
          <w:p w14:paraId="1BB87982" w14:textId="77777777" w:rsidR="000C55DD" w:rsidRPr="000C55DD" w:rsidRDefault="000C55DD" w:rsidP="000C55DD">
            <w:pPr>
              <w:spacing w:before="0" w:after="240" w:line="260" w:lineRule="exact"/>
              <w:jc w:val="both"/>
              <w:rPr>
                <w:rFonts w:ascii="Corbel" w:eastAsia="Calibri" w:hAnsi="Corbel" w:cs="Arial"/>
                <w:b/>
                <w:spacing w:val="0"/>
                <w:sz w:val="23"/>
                <w:szCs w:val="22"/>
                <w:lang w:eastAsia="en-US"/>
              </w:rPr>
            </w:pPr>
            <w:r w:rsidRPr="000C55DD">
              <w:rPr>
                <w:rFonts w:ascii="Corbel" w:eastAsia="Calibri" w:hAnsi="Corbel" w:cs="Arial"/>
                <w:b/>
                <w:spacing w:val="0"/>
                <w:sz w:val="23"/>
                <w:szCs w:val="22"/>
                <w:lang w:eastAsia="en-US"/>
              </w:rPr>
              <w:t>Overview</w:t>
            </w:r>
          </w:p>
        </w:tc>
      </w:tr>
      <w:tr w:rsidR="000C55DD" w:rsidRPr="000C55DD" w14:paraId="1A3CEDBE" w14:textId="77777777" w:rsidTr="000C55DD">
        <w:trPr>
          <w:trHeight w:val="263"/>
        </w:trPr>
        <w:tc>
          <w:tcPr>
            <w:tcW w:w="9016" w:type="dxa"/>
            <w:shd w:val="clear" w:color="auto" w:fill="FFFFFF"/>
          </w:tcPr>
          <w:p w14:paraId="79095FDC" w14:textId="77777777" w:rsidR="000C55DD" w:rsidRPr="000C55DD" w:rsidRDefault="000C55DD" w:rsidP="000C55DD">
            <w:pPr>
              <w:spacing w:before="0" w:after="240" w:line="260" w:lineRule="exact"/>
              <w:jc w:val="both"/>
              <w:rPr>
                <w:rFonts w:ascii="Corbel" w:eastAsia="Calibri" w:hAnsi="Corbel" w:cs="Arial"/>
                <w:spacing w:val="0"/>
                <w:sz w:val="23"/>
                <w:szCs w:val="22"/>
                <w:lang w:eastAsia="en-US"/>
              </w:rPr>
            </w:pPr>
            <w:r w:rsidRPr="000C55DD">
              <w:rPr>
                <w:rFonts w:ascii="Corbel" w:eastAsia="Calibri" w:hAnsi="Corbel" w:cs="Arial"/>
                <w:spacing w:val="0"/>
                <w:sz w:val="23"/>
                <w:szCs w:val="22"/>
                <w:lang w:eastAsia="en-US"/>
              </w:rPr>
              <w:t>In Victoria, funding under the National Housing and Homelessness Agreement is used to assist vulnerable people through the provision of social housing and homelessness services.</w:t>
            </w:r>
            <w:r w:rsidRPr="000C55DD">
              <w:rPr>
                <w:rFonts w:ascii="Corbel" w:eastAsia="Calibri" w:hAnsi="Corbel" w:cs="Arial"/>
                <w:color w:val="000000"/>
                <w:spacing w:val="0"/>
                <w:sz w:val="23"/>
                <w:szCs w:val="22"/>
                <w:lang w:eastAsia="en-US"/>
              </w:rPr>
              <w:t xml:space="preserve"> </w:t>
            </w:r>
            <w:r w:rsidRPr="000C55DD">
              <w:rPr>
                <w:rFonts w:ascii="Corbel" w:eastAsia="Calibri" w:hAnsi="Corbel" w:cs="Arial"/>
                <w:color w:val="000000"/>
                <w:spacing w:val="0"/>
                <w:sz w:val="23"/>
                <w:szCs w:val="22"/>
                <w:lang w:eastAsia="en-US"/>
              </w:rPr>
              <w:br/>
            </w:r>
            <w:r w:rsidRPr="000C55DD">
              <w:rPr>
                <w:rFonts w:ascii="Corbel" w:eastAsia="Calibri" w:hAnsi="Corbel" w:cs="Arial"/>
                <w:spacing w:val="0"/>
                <w:sz w:val="23"/>
                <w:szCs w:val="22"/>
                <w:lang w:eastAsia="en-US"/>
              </w:rPr>
              <w:t>This includes provision of crisis and transitional accommodation, long term social housing, regular upgrades, maintenance, builds and acquisitions along with a range of assistance to prevent homelessness and support people to access and maintain housing.</w:t>
            </w:r>
          </w:p>
          <w:p w14:paraId="77AF8157" w14:textId="77777777" w:rsidR="000C55DD" w:rsidRPr="000C55DD" w:rsidRDefault="000C55DD" w:rsidP="000C55DD">
            <w:pPr>
              <w:spacing w:before="0" w:after="240" w:line="260" w:lineRule="exact"/>
              <w:jc w:val="both"/>
              <w:rPr>
                <w:rFonts w:ascii="Corbel" w:eastAsia="Calibri" w:hAnsi="Corbel" w:cs="Arial"/>
                <w:spacing w:val="0"/>
                <w:sz w:val="23"/>
                <w:szCs w:val="22"/>
                <w:lang w:eastAsia="en-US"/>
              </w:rPr>
            </w:pPr>
            <w:r w:rsidRPr="000C55DD">
              <w:rPr>
                <w:rFonts w:ascii="Corbel" w:eastAsia="Calibri" w:hAnsi="Corbel" w:cs="Arial"/>
                <w:spacing w:val="0"/>
                <w:sz w:val="23"/>
                <w:szCs w:val="22"/>
                <w:lang w:eastAsia="en-US"/>
              </w:rPr>
              <w:t>The Victorian Government is addressing the increased demand for housing and homelessness services through comprehensive strategies.</w:t>
            </w:r>
          </w:p>
          <w:p w14:paraId="2301E1B7" w14:textId="77777777" w:rsidR="000C55DD" w:rsidRPr="000C55DD" w:rsidRDefault="000C55DD" w:rsidP="000C55DD">
            <w:pPr>
              <w:spacing w:before="0" w:after="240" w:line="260" w:lineRule="exact"/>
              <w:jc w:val="both"/>
              <w:rPr>
                <w:rFonts w:ascii="Corbel" w:eastAsia="Calibri" w:hAnsi="Corbel" w:cs="Arial"/>
                <w:spacing w:val="0"/>
                <w:sz w:val="23"/>
                <w:szCs w:val="22"/>
                <w:lang w:eastAsia="en-US"/>
              </w:rPr>
            </w:pPr>
            <w:r w:rsidRPr="000C55DD">
              <w:rPr>
                <w:rFonts w:ascii="Corbel" w:eastAsia="Calibri" w:hAnsi="Corbel" w:cs="Arial"/>
                <w:spacing w:val="0"/>
                <w:sz w:val="23"/>
                <w:szCs w:val="22"/>
                <w:lang w:eastAsia="en-US"/>
              </w:rPr>
              <w:t xml:space="preserve">Victoria and the Commonwealth acknowledge that the aspirational housing outcomes of the Agreement are a shared responsibility and are influenced by external factors as well as government policies and initiatives. All levels of government need to coordinate effort and work collaboratively to improve outcomes. </w:t>
            </w:r>
          </w:p>
        </w:tc>
      </w:tr>
      <w:tr w:rsidR="000C55DD" w:rsidRPr="000C55DD" w14:paraId="002691C0" w14:textId="77777777" w:rsidTr="000C55DD">
        <w:trPr>
          <w:trHeight w:val="263"/>
        </w:trPr>
        <w:tc>
          <w:tcPr>
            <w:tcW w:w="9016" w:type="dxa"/>
            <w:shd w:val="clear" w:color="auto" w:fill="DBE5F1"/>
          </w:tcPr>
          <w:p w14:paraId="2E7957B5" w14:textId="77777777" w:rsidR="000C55DD" w:rsidRPr="000C55DD" w:rsidRDefault="000C55DD" w:rsidP="000C55DD">
            <w:pPr>
              <w:spacing w:before="0" w:after="240" w:line="260" w:lineRule="exact"/>
              <w:jc w:val="both"/>
              <w:rPr>
                <w:rFonts w:ascii="Corbel" w:eastAsia="Calibri" w:hAnsi="Corbel" w:cs="Arial"/>
                <w:b/>
                <w:spacing w:val="0"/>
                <w:sz w:val="23"/>
                <w:szCs w:val="22"/>
                <w:lang w:eastAsia="en-US"/>
              </w:rPr>
            </w:pPr>
            <w:r w:rsidRPr="000C55DD">
              <w:rPr>
                <w:rFonts w:ascii="Corbel" w:eastAsia="Calibri" w:hAnsi="Corbel" w:cs="Arial"/>
                <w:b/>
                <w:spacing w:val="0"/>
                <w:sz w:val="23"/>
                <w:szCs w:val="22"/>
                <w:lang w:eastAsia="en-US"/>
              </w:rPr>
              <w:t>Housing</w:t>
            </w:r>
          </w:p>
        </w:tc>
      </w:tr>
      <w:tr w:rsidR="000C55DD" w:rsidRPr="000C55DD" w14:paraId="34D44606" w14:textId="77777777" w:rsidTr="005E423A">
        <w:tc>
          <w:tcPr>
            <w:tcW w:w="9016" w:type="dxa"/>
          </w:tcPr>
          <w:p w14:paraId="62B221CE" w14:textId="77777777" w:rsidR="000C55DD" w:rsidRPr="000C55DD" w:rsidRDefault="000C55DD" w:rsidP="000C55DD">
            <w:pPr>
              <w:spacing w:before="0" w:after="240" w:line="260" w:lineRule="exact"/>
              <w:jc w:val="both"/>
              <w:rPr>
                <w:rFonts w:ascii="Corbel" w:eastAsia="Calibri" w:hAnsi="Corbel" w:cs="Arial"/>
                <w:b/>
                <w:spacing w:val="0"/>
                <w:sz w:val="23"/>
                <w:szCs w:val="22"/>
                <w:lang w:eastAsia="en-US"/>
              </w:rPr>
            </w:pPr>
            <w:r w:rsidRPr="000C55DD">
              <w:rPr>
                <w:rFonts w:ascii="Corbel" w:eastAsia="Calibri" w:hAnsi="Corbel" w:cs="Arial"/>
                <w:b/>
                <w:spacing w:val="0"/>
                <w:sz w:val="23"/>
                <w:szCs w:val="22"/>
                <w:lang w:eastAsia="en-US"/>
              </w:rPr>
              <w:t>Strategies and reforms</w:t>
            </w:r>
          </w:p>
          <w:p w14:paraId="66C7B85F" w14:textId="77777777" w:rsidR="000C55DD" w:rsidRPr="000C55DD" w:rsidRDefault="000C55DD" w:rsidP="000C55DD">
            <w:pPr>
              <w:spacing w:before="0" w:after="240" w:line="260" w:lineRule="exact"/>
              <w:jc w:val="both"/>
              <w:rPr>
                <w:rFonts w:ascii="Corbel" w:eastAsia="Calibri" w:hAnsi="Corbel" w:cs="Arial"/>
                <w:spacing w:val="0"/>
                <w:sz w:val="23"/>
                <w:szCs w:val="22"/>
                <w:u w:val="single"/>
                <w:lang w:eastAsia="en-US"/>
              </w:rPr>
            </w:pPr>
            <w:r w:rsidRPr="000C55DD">
              <w:rPr>
                <w:rFonts w:ascii="Corbel" w:eastAsia="Calibri" w:hAnsi="Corbel" w:cs="Arial"/>
                <w:spacing w:val="0"/>
                <w:sz w:val="23"/>
                <w:szCs w:val="22"/>
                <w:u w:val="single"/>
                <w:lang w:eastAsia="en-US"/>
              </w:rPr>
              <w:t>Homes for Victorians</w:t>
            </w:r>
            <w:r w:rsidRPr="000C55DD">
              <w:rPr>
                <w:rFonts w:ascii="Corbel" w:eastAsia="Calibri" w:hAnsi="Corbel" w:cs="Arial"/>
                <w:spacing w:val="0"/>
                <w:sz w:val="23"/>
                <w:szCs w:val="22"/>
                <w:u w:val="single"/>
                <w:vertAlign w:val="superscript"/>
                <w:lang w:eastAsia="en-US"/>
              </w:rPr>
              <w:footnoteReference w:id="1"/>
            </w:r>
          </w:p>
          <w:p w14:paraId="16F90941" w14:textId="77777777" w:rsidR="000C55DD" w:rsidRPr="000C55DD" w:rsidRDefault="000C55DD" w:rsidP="000C55DD">
            <w:pPr>
              <w:spacing w:before="0" w:after="240" w:line="260" w:lineRule="exact"/>
              <w:jc w:val="both"/>
              <w:rPr>
                <w:rFonts w:ascii="Corbel" w:eastAsia="Calibri" w:hAnsi="Corbel" w:cs="Arial"/>
                <w:spacing w:val="0"/>
                <w:sz w:val="23"/>
                <w:szCs w:val="22"/>
                <w:lang w:eastAsia="en-US"/>
              </w:rPr>
            </w:pPr>
            <w:r w:rsidRPr="000C55DD">
              <w:rPr>
                <w:rFonts w:ascii="Corbel" w:eastAsia="Times" w:hAnsi="Corbel" w:cs="Arial"/>
                <w:i/>
                <w:spacing w:val="0"/>
                <w:sz w:val="23"/>
                <w:szCs w:val="23"/>
                <w:lang w:eastAsia="en-US"/>
              </w:rPr>
              <w:t>Homes for Victorians</w:t>
            </w:r>
            <w:r w:rsidRPr="000C55DD">
              <w:rPr>
                <w:rFonts w:ascii="Corbel" w:eastAsia="Times" w:hAnsi="Corbel" w:cs="Arial"/>
                <w:spacing w:val="0"/>
                <w:sz w:val="23"/>
                <w:szCs w:val="23"/>
                <w:lang w:eastAsia="en-US"/>
              </w:rPr>
              <w:t xml:space="preserve"> is a comprehensive strategy to address housing and homelessness in Victoria, and commits $2.7 billion </w:t>
            </w:r>
            <w:r w:rsidRPr="000C55DD">
              <w:rPr>
                <w:rFonts w:ascii="Corbel" w:eastAsia="Calibri" w:hAnsi="Corbel" w:cs="Arial"/>
                <w:spacing w:val="0"/>
                <w:sz w:val="23"/>
                <w:szCs w:val="23"/>
                <w:lang w:eastAsia="en-US"/>
              </w:rPr>
              <w:t>in funding and financial instruments to address the spectrum of housing affordability issues, including social housing and homelessness</w:t>
            </w:r>
            <w:r w:rsidRPr="000C55DD">
              <w:rPr>
                <w:rFonts w:ascii="Corbel" w:eastAsia="Times" w:hAnsi="Corbel" w:cs="Arial"/>
                <w:spacing w:val="0"/>
                <w:sz w:val="23"/>
                <w:szCs w:val="23"/>
                <w:lang w:eastAsia="en-US"/>
              </w:rPr>
              <w:t>.</w:t>
            </w:r>
          </w:p>
          <w:p w14:paraId="6AE4B5F0" w14:textId="77777777" w:rsidR="000C55DD" w:rsidRPr="000C55DD" w:rsidRDefault="000C55DD" w:rsidP="000C55DD">
            <w:pPr>
              <w:spacing w:before="0" w:after="240" w:line="260" w:lineRule="exact"/>
              <w:jc w:val="both"/>
              <w:rPr>
                <w:rFonts w:ascii="Corbel" w:eastAsia="Calibri" w:hAnsi="Corbel" w:cs="Arial"/>
                <w:spacing w:val="0"/>
                <w:sz w:val="23"/>
                <w:szCs w:val="22"/>
                <w:u w:val="single"/>
                <w:lang w:eastAsia="en-US"/>
              </w:rPr>
            </w:pPr>
            <w:r w:rsidRPr="000C55DD">
              <w:rPr>
                <w:rFonts w:ascii="Corbel" w:eastAsia="Calibri" w:hAnsi="Corbel" w:cs="Arial"/>
                <w:spacing w:val="0"/>
                <w:sz w:val="23"/>
                <w:szCs w:val="22"/>
                <w:u w:val="single"/>
                <w:lang w:eastAsia="en-US"/>
              </w:rPr>
              <w:t>Big Housing Build</w:t>
            </w:r>
            <w:r w:rsidRPr="000C55DD">
              <w:rPr>
                <w:rFonts w:ascii="Corbel" w:eastAsia="Calibri" w:hAnsi="Corbel" w:cs="Arial"/>
                <w:spacing w:val="0"/>
                <w:sz w:val="23"/>
                <w:szCs w:val="22"/>
                <w:u w:val="single"/>
                <w:vertAlign w:val="superscript"/>
                <w:lang w:eastAsia="en-US"/>
              </w:rPr>
              <w:footnoteReference w:id="2"/>
            </w:r>
          </w:p>
          <w:p w14:paraId="6324A249" w14:textId="77777777" w:rsidR="000C55DD" w:rsidRPr="000C55DD" w:rsidRDefault="000C55DD" w:rsidP="000C55DD">
            <w:pPr>
              <w:spacing w:before="0" w:after="240" w:line="260" w:lineRule="exact"/>
              <w:jc w:val="both"/>
              <w:rPr>
                <w:rFonts w:ascii="Corbel" w:eastAsia="Calibri" w:hAnsi="Corbel" w:cs="Arial"/>
                <w:spacing w:val="0"/>
                <w:sz w:val="23"/>
                <w:szCs w:val="22"/>
                <w:lang w:eastAsia="en-US"/>
              </w:rPr>
            </w:pPr>
            <w:r w:rsidRPr="000C55DD">
              <w:rPr>
                <w:rFonts w:ascii="Corbel" w:eastAsia="Calibri" w:hAnsi="Corbel" w:cs="Arial"/>
                <w:spacing w:val="0"/>
                <w:sz w:val="23"/>
                <w:szCs w:val="22"/>
                <w:lang w:eastAsia="en-US"/>
              </w:rPr>
              <w:t>Victoria’s record $5.3 billion investment in social and affordable housing will deliver 12,000 new homes across metropolitan and regional Victoria. Overall, the Big Housing Build will increase Victoria’s social housing portfolio by 10 per cent.</w:t>
            </w:r>
          </w:p>
          <w:p w14:paraId="0F72AC28" w14:textId="77777777" w:rsidR="000C55DD" w:rsidRPr="000C55DD" w:rsidRDefault="000C55DD" w:rsidP="000C55DD">
            <w:pPr>
              <w:spacing w:before="0" w:after="240" w:line="260" w:lineRule="exact"/>
              <w:rPr>
                <w:rFonts w:ascii="Corbel" w:eastAsia="Calibri" w:hAnsi="Corbel" w:cs="Arial"/>
                <w:spacing w:val="0"/>
                <w:sz w:val="23"/>
                <w:szCs w:val="22"/>
                <w:lang w:eastAsia="en-US"/>
              </w:rPr>
            </w:pPr>
            <w:r w:rsidRPr="000C55DD">
              <w:rPr>
                <w:rFonts w:ascii="Corbel" w:eastAsia="Calibri" w:hAnsi="Corbel" w:cs="Arial"/>
                <w:spacing w:val="0"/>
                <w:sz w:val="23"/>
                <w:szCs w:val="22"/>
                <w:lang w:eastAsia="en-US"/>
              </w:rPr>
              <w:t>In addition to the Big Housing Build, Victoria is delivering the:</w:t>
            </w:r>
          </w:p>
          <w:p w14:paraId="3D4321A5" w14:textId="77777777" w:rsidR="000C55DD" w:rsidRPr="000C55DD" w:rsidRDefault="000C55DD" w:rsidP="000C55DD">
            <w:pPr>
              <w:numPr>
                <w:ilvl w:val="0"/>
                <w:numId w:val="6"/>
              </w:numPr>
              <w:spacing w:before="0" w:after="240" w:line="260" w:lineRule="exact"/>
              <w:jc w:val="both"/>
              <w:rPr>
                <w:rFonts w:ascii="Corbel" w:eastAsia="Calibri" w:hAnsi="Corbel" w:cs="Arial"/>
                <w:spacing w:val="0"/>
                <w:sz w:val="23"/>
                <w:szCs w:val="22"/>
                <w:lang w:eastAsia="en-US"/>
              </w:rPr>
            </w:pPr>
            <w:r w:rsidRPr="000C55DD">
              <w:rPr>
                <w:rFonts w:ascii="Corbel" w:eastAsia="Calibri" w:hAnsi="Corbel" w:cs="Arial"/>
                <w:spacing w:val="0"/>
                <w:sz w:val="23"/>
                <w:szCs w:val="22"/>
                <w:lang w:eastAsia="en-US"/>
              </w:rPr>
              <w:t xml:space="preserve">Social Housing Building Works - $498 million for the maintenance and upgrade of 23,000 social housing properties across Victoria and building 168 new social housing </w:t>
            </w:r>
            <w:r w:rsidRPr="000C55DD">
              <w:rPr>
                <w:rFonts w:ascii="Corbel" w:eastAsia="Calibri" w:hAnsi="Corbel" w:cs="Arial"/>
                <w:spacing w:val="0"/>
                <w:sz w:val="23"/>
                <w:szCs w:val="22"/>
                <w:lang w:eastAsia="en-US"/>
              </w:rPr>
              <w:lastRenderedPageBreak/>
              <w:t>dwellings. This will fast-track economic recovery and create local jobs. The package aims to provide modern, comfortable and accessible accommodation.</w:t>
            </w:r>
          </w:p>
          <w:p w14:paraId="536E89BC" w14:textId="77777777" w:rsidR="000C55DD" w:rsidRPr="000C55DD" w:rsidRDefault="000C55DD" w:rsidP="000C55DD">
            <w:pPr>
              <w:numPr>
                <w:ilvl w:val="0"/>
                <w:numId w:val="6"/>
              </w:numPr>
              <w:spacing w:before="0" w:after="240" w:line="260" w:lineRule="exact"/>
              <w:jc w:val="both"/>
              <w:rPr>
                <w:rFonts w:ascii="Corbel" w:eastAsia="Calibri" w:hAnsi="Corbel" w:cs="Arial"/>
                <w:spacing w:val="0"/>
                <w:sz w:val="23"/>
                <w:szCs w:val="22"/>
                <w:lang w:eastAsia="en-US"/>
              </w:rPr>
            </w:pPr>
            <w:r w:rsidRPr="000C55DD">
              <w:rPr>
                <w:rFonts w:ascii="Corbel" w:eastAsia="Calibri" w:hAnsi="Corbel" w:cs="Arial"/>
                <w:spacing w:val="0"/>
                <w:sz w:val="23"/>
                <w:szCs w:val="22"/>
                <w:lang w:eastAsia="en-US"/>
              </w:rPr>
              <w:t>Social housing energy efficiency upgrades - $112 million for energy efficient upgrades to 35,000 social housing to provide energy cost savings, improve comfort for tenants and deliver environmental benefits.</w:t>
            </w:r>
          </w:p>
          <w:p w14:paraId="52A6E67C" w14:textId="77777777" w:rsidR="000C55DD" w:rsidRPr="000C55DD" w:rsidRDefault="000C55DD" w:rsidP="000C55DD">
            <w:pPr>
              <w:spacing w:after="120" w:line="300" w:lineRule="auto"/>
              <w:rPr>
                <w:rFonts w:ascii="Corbel" w:eastAsia="MS Mincho" w:hAnsi="Corbel" w:cs="Arial"/>
                <w:color w:val="000000"/>
                <w:spacing w:val="0"/>
                <w:sz w:val="23"/>
                <w:szCs w:val="20"/>
                <w:u w:val="single"/>
              </w:rPr>
            </w:pPr>
            <w:r w:rsidRPr="000C55DD">
              <w:rPr>
                <w:rFonts w:ascii="Corbel" w:eastAsia="MS Mincho" w:hAnsi="Corbel" w:cs="Arial"/>
                <w:color w:val="000000"/>
                <w:spacing w:val="0"/>
                <w:sz w:val="23"/>
                <w:szCs w:val="20"/>
                <w:u w:val="single"/>
              </w:rPr>
              <w:t>Social Housing Growth Fund (SHGF)</w:t>
            </w:r>
          </w:p>
          <w:p w14:paraId="67E5002E" w14:textId="77777777" w:rsidR="000C55DD" w:rsidRPr="000C55DD" w:rsidRDefault="000C55DD" w:rsidP="000C55DD">
            <w:pPr>
              <w:spacing w:before="0" w:after="240" w:line="260" w:lineRule="exact"/>
              <w:jc w:val="both"/>
              <w:rPr>
                <w:rFonts w:ascii="Corbel" w:hAnsi="Corbel"/>
                <w:color w:val="000000"/>
                <w:spacing w:val="0"/>
                <w:sz w:val="23"/>
                <w:szCs w:val="20"/>
              </w:rPr>
            </w:pPr>
            <w:r w:rsidRPr="000C55DD">
              <w:rPr>
                <w:rFonts w:ascii="Corbel" w:hAnsi="Corbel"/>
                <w:color w:val="000000"/>
                <w:spacing w:val="0"/>
                <w:sz w:val="23"/>
                <w:szCs w:val="20"/>
              </w:rPr>
              <w:t xml:space="preserve">Victoria’s SHGF is a $1 billion fund jointly managed between the Departments of Families, Fairness and Housing (DFFH) and Treasury and Finance (DTF) and leverages the state’s ability to borrow at low rates and achieve investment returns that are sufficient to fund social housing projects over a long-term basis through availability payments. </w:t>
            </w:r>
          </w:p>
          <w:p w14:paraId="5744DC72" w14:textId="77777777" w:rsidR="000C55DD" w:rsidRPr="000C55DD" w:rsidRDefault="000C55DD" w:rsidP="000C55DD">
            <w:pPr>
              <w:spacing w:before="0" w:after="240" w:line="260" w:lineRule="exact"/>
              <w:jc w:val="both"/>
              <w:rPr>
                <w:rFonts w:ascii="Corbel" w:hAnsi="Corbel"/>
                <w:color w:val="000000"/>
                <w:spacing w:val="0"/>
                <w:sz w:val="23"/>
                <w:szCs w:val="20"/>
              </w:rPr>
            </w:pPr>
            <w:r w:rsidRPr="000C55DD">
              <w:rPr>
                <w:rFonts w:ascii="Corbel" w:hAnsi="Corbel"/>
                <w:color w:val="000000"/>
                <w:spacing w:val="0"/>
                <w:sz w:val="23"/>
                <w:szCs w:val="20"/>
              </w:rPr>
              <w:t xml:space="preserve">The SHGF delivers housing predominantly through the Build &amp; Operate Program (BOP) and the New Rental Development Program (NRDP), which provide grants or availability payments to Community Housing Agencies (CHAs). </w:t>
            </w:r>
          </w:p>
          <w:p w14:paraId="07C9E54C" w14:textId="77777777" w:rsidR="000C55DD" w:rsidRPr="000C55DD" w:rsidRDefault="000C55DD" w:rsidP="000C55DD">
            <w:pPr>
              <w:spacing w:before="0" w:after="240" w:line="260" w:lineRule="exact"/>
              <w:jc w:val="both"/>
              <w:rPr>
                <w:rFonts w:ascii="Corbel" w:hAnsi="Corbel"/>
                <w:color w:val="000000"/>
                <w:spacing w:val="0"/>
                <w:sz w:val="23"/>
                <w:szCs w:val="20"/>
              </w:rPr>
            </w:pPr>
            <w:r w:rsidRPr="000C55DD">
              <w:rPr>
                <w:rFonts w:ascii="Corbel" w:hAnsi="Corbel"/>
                <w:color w:val="000000"/>
                <w:spacing w:val="0"/>
                <w:sz w:val="23"/>
                <w:szCs w:val="20"/>
              </w:rPr>
              <w:t xml:space="preserve">As part of the Victorian Government’s $5.3 billion Big Housing Build announced in November 2020, the SHGF received $1.38 billion to provide upfront grants to CHAs to deliver new social housing, alongside the existing availability payment system. </w:t>
            </w:r>
          </w:p>
          <w:p w14:paraId="676E4CF4" w14:textId="77777777" w:rsidR="000C55DD" w:rsidRPr="000C55DD" w:rsidRDefault="000C55DD" w:rsidP="000C55DD">
            <w:pPr>
              <w:spacing w:after="120" w:line="300" w:lineRule="auto"/>
              <w:rPr>
                <w:rFonts w:ascii="Corbel" w:eastAsia="MS Mincho" w:hAnsi="Corbel" w:cs="Arial"/>
                <w:color w:val="000000"/>
                <w:spacing w:val="0"/>
                <w:sz w:val="23"/>
                <w:szCs w:val="20"/>
                <w:u w:val="single"/>
              </w:rPr>
            </w:pPr>
            <w:r w:rsidRPr="000C55DD">
              <w:rPr>
                <w:rFonts w:ascii="Corbel" w:eastAsia="MS Mincho" w:hAnsi="Corbel" w:cs="Arial"/>
                <w:color w:val="000000"/>
                <w:spacing w:val="0"/>
                <w:sz w:val="23"/>
                <w:szCs w:val="20"/>
                <w:u w:val="single"/>
              </w:rPr>
              <w:t>Victorian Homebuyer Fund</w:t>
            </w:r>
          </w:p>
          <w:p w14:paraId="0D8B1D43" w14:textId="77777777" w:rsidR="000C55DD" w:rsidRPr="000C55DD" w:rsidRDefault="000C55DD" w:rsidP="000C55DD">
            <w:pPr>
              <w:spacing w:before="0" w:after="240" w:line="260" w:lineRule="exact"/>
              <w:jc w:val="both"/>
              <w:rPr>
                <w:rFonts w:ascii="Corbel" w:hAnsi="Corbel"/>
                <w:color w:val="000000"/>
                <w:spacing w:val="0"/>
                <w:sz w:val="23"/>
                <w:szCs w:val="20"/>
              </w:rPr>
            </w:pPr>
            <w:r w:rsidRPr="000C55DD">
              <w:rPr>
                <w:rFonts w:ascii="Corbel" w:hAnsi="Corbel"/>
                <w:color w:val="000000"/>
                <w:spacing w:val="0"/>
                <w:sz w:val="23"/>
                <w:szCs w:val="20"/>
              </w:rPr>
              <w:t>The $1.6 billion Victoria Homebuyer Fund (VHF) provides shared equity to select new home buyers across regional and metropolitan Victoria.</w:t>
            </w:r>
          </w:p>
          <w:p w14:paraId="2CEE470B" w14:textId="77777777" w:rsidR="000C55DD" w:rsidRPr="000C55DD" w:rsidRDefault="000C55DD" w:rsidP="000C55DD">
            <w:pPr>
              <w:spacing w:after="120" w:line="300" w:lineRule="auto"/>
              <w:rPr>
                <w:rFonts w:ascii="Corbel" w:eastAsia="Calibri" w:hAnsi="Corbel" w:cs="Arial"/>
                <w:spacing w:val="0"/>
                <w:sz w:val="23"/>
                <w:szCs w:val="23"/>
                <w:u w:val="single"/>
                <w:lang w:eastAsia="en-US"/>
              </w:rPr>
            </w:pPr>
            <w:r w:rsidRPr="000C55DD">
              <w:rPr>
                <w:rFonts w:ascii="Corbel" w:eastAsia="Calibri" w:hAnsi="Corbel" w:cs="Arial"/>
                <w:spacing w:val="0"/>
                <w:sz w:val="23"/>
                <w:szCs w:val="23"/>
                <w:u w:val="single"/>
                <w:lang w:eastAsia="en-US"/>
              </w:rPr>
              <w:t>Plan Melbourne 2017-2050</w:t>
            </w:r>
            <w:r w:rsidRPr="000C55DD">
              <w:rPr>
                <w:rFonts w:ascii="Corbel" w:eastAsia="Calibri" w:hAnsi="Corbel" w:cs="Arial"/>
                <w:spacing w:val="0"/>
                <w:sz w:val="23"/>
                <w:szCs w:val="23"/>
                <w:u w:val="single"/>
                <w:vertAlign w:val="superscript"/>
                <w:lang w:eastAsia="en-US"/>
              </w:rPr>
              <w:footnoteReference w:id="3"/>
            </w:r>
          </w:p>
          <w:p w14:paraId="4C283136" w14:textId="77777777" w:rsidR="000C55DD" w:rsidRPr="000C55DD" w:rsidRDefault="000C55DD" w:rsidP="000C55DD">
            <w:pPr>
              <w:spacing w:after="120" w:line="300" w:lineRule="auto"/>
              <w:rPr>
                <w:rFonts w:ascii="Corbel" w:eastAsia="Calibri" w:hAnsi="Corbel" w:cs="Arial"/>
                <w:color w:val="000000"/>
                <w:spacing w:val="0"/>
                <w:sz w:val="23"/>
                <w:szCs w:val="23"/>
              </w:rPr>
            </w:pPr>
            <w:r w:rsidRPr="000C55DD">
              <w:rPr>
                <w:rFonts w:ascii="Corbel" w:eastAsia="Calibri" w:hAnsi="Corbel" w:cs="Arial"/>
                <w:spacing w:val="0"/>
                <w:sz w:val="23"/>
                <w:szCs w:val="23"/>
                <w:lang w:eastAsia="en-US"/>
              </w:rPr>
              <w:t xml:space="preserve">Victoria is managing demand in greater Melbourne though </w:t>
            </w:r>
            <w:r w:rsidRPr="000C55DD">
              <w:rPr>
                <w:rFonts w:ascii="Corbel" w:eastAsia="Calibri" w:hAnsi="Corbel" w:cs="Arial"/>
                <w:i/>
                <w:color w:val="000000"/>
                <w:spacing w:val="0"/>
                <w:sz w:val="23"/>
                <w:szCs w:val="23"/>
              </w:rPr>
              <w:t xml:space="preserve">Plan Melbourne 2017-2050, </w:t>
            </w:r>
            <w:r w:rsidRPr="000C55DD">
              <w:rPr>
                <w:rFonts w:ascii="Corbel" w:eastAsia="Calibri" w:hAnsi="Corbel" w:cs="Arial"/>
                <w:color w:val="000000"/>
                <w:spacing w:val="0"/>
                <w:sz w:val="23"/>
                <w:szCs w:val="23"/>
              </w:rPr>
              <w:t xml:space="preserve">which outlines a strategy for responding to projected changes in population, jobs, housing and transport. </w:t>
            </w:r>
            <w:r w:rsidRPr="000C55DD">
              <w:rPr>
                <w:rFonts w:ascii="Corbel" w:eastAsia="Calibri" w:hAnsi="Corbel" w:cs="Arial"/>
                <w:i/>
                <w:color w:val="000000"/>
                <w:spacing w:val="0"/>
                <w:sz w:val="23"/>
                <w:szCs w:val="23"/>
              </w:rPr>
              <w:t>Plan Melbourne</w:t>
            </w:r>
            <w:r w:rsidRPr="000C55DD">
              <w:rPr>
                <w:rFonts w:ascii="Corbel" w:eastAsia="Calibri" w:hAnsi="Corbel" w:cs="Arial"/>
                <w:color w:val="000000"/>
                <w:spacing w:val="0"/>
                <w:sz w:val="23"/>
                <w:szCs w:val="23"/>
              </w:rPr>
              <w:t xml:space="preserve"> includes directions and policies to respond to the projected need for 1.6 million additional homes required in Melbourne by 2050</w:t>
            </w:r>
            <w:r w:rsidRPr="000C55DD">
              <w:rPr>
                <w:rFonts w:ascii="Corbel" w:eastAsia="Calibri" w:hAnsi="Corbel" w:cs="Arial"/>
                <w:spacing w:val="0"/>
                <w:sz w:val="23"/>
                <w:szCs w:val="23"/>
                <w:vertAlign w:val="superscript"/>
                <w:lang w:eastAsia="en-US"/>
              </w:rPr>
              <w:footnoteReference w:id="4"/>
            </w:r>
            <w:r w:rsidRPr="000C55DD">
              <w:rPr>
                <w:rFonts w:ascii="Corbel" w:eastAsia="Calibri" w:hAnsi="Corbel" w:cs="Arial"/>
                <w:color w:val="000000"/>
                <w:spacing w:val="0"/>
                <w:sz w:val="23"/>
                <w:szCs w:val="23"/>
              </w:rPr>
              <w:t xml:space="preserve">. </w:t>
            </w:r>
          </w:p>
          <w:p w14:paraId="3CF4B1A5" w14:textId="77777777" w:rsidR="000C55DD" w:rsidRPr="000C55DD" w:rsidRDefault="000C55DD" w:rsidP="000C55DD">
            <w:pPr>
              <w:spacing w:after="120" w:line="300" w:lineRule="auto"/>
              <w:rPr>
                <w:rFonts w:ascii="Corbel" w:hAnsi="Corbel"/>
                <w:color w:val="000000"/>
                <w:spacing w:val="0"/>
                <w:sz w:val="23"/>
                <w:szCs w:val="20"/>
                <w:u w:val="single"/>
              </w:rPr>
            </w:pPr>
            <w:r w:rsidRPr="000C55DD">
              <w:rPr>
                <w:rFonts w:ascii="Corbel" w:hAnsi="Corbel"/>
                <w:color w:val="000000"/>
                <w:spacing w:val="0"/>
                <w:sz w:val="23"/>
                <w:szCs w:val="20"/>
                <w:u w:val="single"/>
              </w:rPr>
              <w:t xml:space="preserve">Victorian Infrastructure Plan </w:t>
            </w:r>
          </w:p>
          <w:p w14:paraId="124FD64B" w14:textId="77777777" w:rsidR="000C55DD" w:rsidRPr="000C55DD" w:rsidRDefault="000C55DD" w:rsidP="000C55DD">
            <w:pPr>
              <w:spacing w:after="120" w:line="300" w:lineRule="auto"/>
              <w:rPr>
                <w:rFonts w:ascii="Corbel" w:hAnsi="Corbel"/>
                <w:color w:val="000000"/>
                <w:spacing w:val="0"/>
                <w:sz w:val="23"/>
                <w:szCs w:val="20"/>
              </w:rPr>
            </w:pPr>
            <w:r w:rsidRPr="000C55DD">
              <w:rPr>
                <w:rFonts w:ascii="Corbel" w:hAnsi="Corbel"/>
                <w:color w:val="000000"/>
                <w:spacing w:val="0"/>
                <w:sz w:val="23"/>
                <w:szCs w:val="20"/>
              </w:rPr>
              <w:t xml:space="preserve">The Victorian Infrastructure Plan responds to Infrastructure Victoria’s 30-year strategy, and outlines priorities for Victorian infrastructure to accommodate increased demand across eight sectors. This includes infrastructure priorities relating to social and affordable housing. </w:t>
            </w:r>
          </w:p>
          <w:p w14:paraId="1BDCBC70" w14:textId="77777777" w:rsidR="000C55DD" w:rsidRPr="000C55DD" w:rsidRDefault="000C55DD" w:rsidP="000C55DD">
            <w:pPr>
              <w:spacing w:before="0" w:after="240" w:line="260" w:lineRule="exact"/>
              <w:jc w:val="both"/>
              <w:rPr>
                <w:rFonts w:ascii="Corbel" w:eastAsia="Calibri" w:hAnsi="Corbel" w:cs="Arial"/>
                <w:b/>
                <w:spacing w:val="0"/>
                <w:sz w:val="23"/>
                <w:szCs w:val="22"/>
                <w:lang w:eastAsia="en-US"/>
              </w:rPr>
            </w:pPr>
            <w:r w:rsidRPr="000C55DD">
              <w:rPr>
                <w:rFonts w:ascii="Corbel" w:eastAsia="Calibri" w:hAnsi="Corbel" w:cs="Arial"/>
                <w:b/>
                <w:spacing w:val="0"/>
                <w:sz w:val="23"/>
                <w:szCs w:val="22"/>
                <w:lang w:eastAsia="en-US"/>
              </w:rPr>
              <w:t>Projected demand</w:t>
            </w:r>
          </w:p>
          <w:p w14:paraId="7E35C935" w14:textId="77777777" w:rsidR="000C55DD" w:rsidRPr="000C55DD" w:rsidRDefault="000C55DD" w:rsidP="000C55DD">
            <w:pPr>
              <w:spacing w:after="0" w:line="300" w:lineRule="auto"/>
              <w:rPr>
                <w:rFonts w:ascii="Corbel" w:eastAsia="Calibri" w:hAnsi="Corbel" w:cs="Arial"/>
                <w:spacing w:val="0"/>
                <w:sz w:val="23"/>
                <w:szCs w:val="23"/>
                <w:u w:val="single"/>
                <w:lang w:eastAsia="en-US"/>
              </w:rPr>
            </w:pPr>
            <w:r w:rsidRPr="000C55DD">
              <w:rPr>
                <w:rFonts w:ascii="Corbel" w:eastAsia="Calibri" w:hAnsi="Corbel" w:cs="Arial"/>
                <w:spacing w:val="0"/>
                <w:sz w:val="23"/>
                <w:szCs w:val="23"/>
                <w:u w:val="single"/>
                <w:lang w:eastAsia="en-US"/>
              </w:rPr>
              <w:t xml:space="preserve">Housing </w:t>
            </w:r>
          </w:p>
          <w:p w14:paraId="7075031E" w14:textId="77777777" w:rsidR="000C55DD" w:rsidRPr="000C55DD" w:rsidRDefault="000C55DD" w:rsidP="000C55DD">
            <w:pPr>
              <w:spacing w:before="0" w:after="120" w:line="300" w:lineRule="auto"/>
              <w:rPr>
                <w:rFonts w:ascii="Corbel" w:eastAsia="Calibri" w:hAnsi="Corbel" w:cs="Arial"/>
                <w:spacing w:val="0"/>
                <w:sz w:val="23"/>
                <w:szCs w:val="23"/>
                <w:lang w:eastAsia="en-US"/>
              </w:rPr>
            </w:pPr>
            <w:r w:rsidRPr="000C55DD">
              <w:rPr>
                <w:rFonts w:ascii="Corbel" w:eastAsia="Calibri" w:hAnsi="Corbel" w:cs="Arial"/>
                <w:spacing w:val="0"/>
                <w:sz w:val="23"/>
                <w:szCs w:val="23"/>
                <w:lang w:eastAsia="en-US"/>
              </w:rPr>
              <w:t>It is projected that an additional 2.3 million dwellings are expected to be required to house the population by 2056</w:t>
            </w:r>
            <w:r w:rsidRPr="000C55DD">
              <w:rPr>
                <w:rFonts w:ascii="Corbel" w:eastAsia="Calibri" w:hAnsi="Corbel" w:cs="Arial"/>
                <w:spacing w:val="0"/>
                <w:sz w:val="23"/>
                <w:szCs w:val="23"/>
                <w:vertAlign w:val="superscript"/>
                <w:lang w:eastAsia="en-US"/>
              </w:rPr>
              <w:footnoteReference w:id="5"/>
            </w:r>
            <w:r w:rsidRPr="000C55DD">
              <w:rPr>
                <w:rFonts w:ascii="Corbel" w:eastAsia="Calibri" w:hAnsi="Corbel" w:cs="Arial"/>
                <w:spacing w:val="0"/>
                <w:sz w:val="23"/>
                <w:szCs w:val="23"/>
                <w:lang w:eastAsia="en-US"/>
              </w:rPr>
              <w:t xml:space="preserve">. </w:t>
            </w:r>
          </w:p>
          <w:p w14:paraId="54058252" w14:textId="77777777" w:rsidR="000C55DD" w:rsidRPr="000C55DD" w:rsidRDefault="000C55DD" w:rsidP="000C55DD">
            <w:pPr>
              <w:spacing w:after="0" w:line="300" w:lineRule="auto"/>
              <w:rPr>
                <w:rFonts w:ascii="Corbel" w:eastAsia="Calibri" w:hAnsi="Corbel" w:cs="Arial"/>
                <w:spacing w:val="0"/>
                <w:sz w:val="23"/>
                <w:szCs w:val="23"/>
                <w:u w:val="single"/>
                <w:lang w:eastAsia="en-US"/>
              </w:rPr>
            </w:pPr>
            <w:r w:rsidRPr="000C55DD">
              <w:rPr>
                <w:rFonts w:ascii="Corbel" w:eastAsia="Calibri" w:hAnsi="Corbel" w:cs="Arial"/>
                <w:spacing w:val="0"/>
                <w:sz w:val="23"/>
                <w:szCs w:val="23"/>
                <w:u w:val="single"/>
                <w:lang w:eastAsia="en-US"/>
              </w:rPr>
              <w:t>Social housing</w:t>
            </w:r>
          </w:p>
          <w:p w14:paraId="72655755" w14:textId="77777777" w:rsidR="000C55DD" w:rsidRPr="000C55DD" w:rsidRDefault="000C55DD" w:rsidP="000C55DD">
            <w:pPr>
              <w:spacing w:before="0" w:after="240" w:line="260" w:lineRule="exact"/>
              <w:jc w:val="both"/>
              <w:rPr>
                <w:rFonts w:ascii="Corbel" w:eastAsia="Calibri" w:hAnsi="Corbel" w:cs="Arial"/>
                <w:spacing w:val="0"/>
                <w:sz w:val="23"/>
                <w:szCs w:val="23"/>
                <w:lang w:eastAsia="en-US"/>
              </w:rPr>
            </w:pPr>
            <w:r w:rsidRPr="000C55DD">
              <w:rPr>
                <w:rFonts w:ascii="Corbel" w:eastAsia="Calibri" w:hAnsi="Corbel" w:cs="Arial"/>
                <w:spacing w:val="0"/>
                <w:sz w:val="23"/>
                <w:szCs w:val="23"/>
                <w:lang w:eastAsia="en-US"/>
              </w:rPr>
              <w:lastRenderedPageBreak/>
              <w:t>Approximately 1,700 additional social housing dwellings will be required in Victoria each year for the next two decades, if social housing levels are to keep pace with overall housing growth</w:t>
            </w:r>
            <w:r w:rsidRPr="000C55DD">
              <w:rPr>
                <w:rFonts w:ascii="Corbel" w:eastAsia="Calibri" w:hAnsi="Corbel" w:cs="Arial"/>
                <w:spacing w:val="0"/>
                <w:sz w:val="23"/>
                <w:szCs w:val="23"/>
                <w:vertAlign w:val="superscript"/>
                <w:lang w:eastAsia="en-US"/>
              </w:rPr>
              <w:footnoteReference w:id="6"/>
            </w:r>
            <w:r w:rsidRPr="000C55DD">
              <w:rPr>
                <w:rFonts w:ascii="Corbel" w:eastAsia="Calibri" w:hAnsi="Corbel" w:cs="Arial"/>
                <w:spacing w:val="0"/>
                <w:sz w:val="23"/>
                <w:szCs w:val="23"/>
                <w:lang w:eastAsia="en-US"/>
              </w:rPr>
              <w:t>.</w:t>
            </w:r>
          </w:p>
        </w:tc>
      </w:tr>
      <w:tr w:rsidR="000C55DD" w:rsidRPr="000C55DD" w14:paraId="65FC4674" w14:textId="77777777" w:rsidTr="000C55DD">
        <w:tc>
          <w:tcPr>
            <w:tcW w:w="9016" w:type="dxa"/>
            <w:shd w:val="clear" w:color="auto" w:fill="DBE5F1"/>
          </w:tcPr>
          <w:p w14:paraId="4E8F2E9E" w14:textId="77777777" w:rsidR="000C55DD" w:rsidRPr="000C55DD" w:rsidRDefault="000C55DD" w:rsidP="000C55DD">
            <w:pPr>
              <w:spacing w:before="0" w:after="240" w:line="260" w:lineRule="exact"/>
              <w:jc w:val="both"/>
              <w:rPr>
                <w:rFonts w:ascii="Corbel" w:eastAsia="Calibri" w:hAnsi="Corbel" w:cs="Arial"/>
                <w:b/>
                <w:spacing w:val="0"/>
                <w:sz w:val="23"/>
                <w:szCs w:val="22"/>
                <w:lang w:eastAsia="en-US"/>
              </w:rPr>
            </w:pPr>
            <w:r w:rsidRPr="000C55DD">
              <w:rPr>
                <w:rFonts w:ascii="Corbel" w:eastAsia="Calibri" w:hAnsi="Corbel" w:cs="Arial"/>
                <w:b/>
                <w:spacing w:val="0"/>
                <w:sz w:val="23"/>
                <w:szCs w:val="22"/>
                <w:lang w:eastAsia="en-US"/>
              </w:rPr>
              <w:lastRenderedPageBreak/>
              <w:t xml:space="preserve">Homelessness </w:t>
            </w:r>
          </w:p>
        </w:tc>
      </w:tr>
      <w:tr w:rsidR="000C55DD" w:rsidRPr="000C55DD" w14:paraId="40B50B56" w14:textId="77777777" w:rsidTr="005E423A">
        <w:tc>
          <w:tcPr>
            <w:tcW w:w="9016" w:type="dxa"/>
          </w:tcPr>
          <w:p w14:paraId="1A27AEED" w14:textId="77777777" w:rsidR="000C55DD" w:rsidRPr="000C55DD" w:rsidRDefault="000C55DD" w:rsidP="000C55DD">
            <w:pPr>
              <w:spacing w:before="0" w:after="240" w:line="260" w:lineRule="exact"/>
              <w:jc w:val="both"/>
              <w:rPr>
                <w:rFonts w:ascii="Corbel" w:eastAsia="Calibri" w:hAnsi="Corbel" w:cs="Arial"/>
                <w:b/>
                <w:spacing w:val="0"/>
                <w:sz w:val="23"/>
                <w:szCs w:val="22"/>
                <w:lang w:eastAsia="en-US"/>
              </w:rPr>
            </w:pPr>
            <w:r w:rsidRPr="000C55DD">
              <w:rPr>
                <w:rFonts w:ascii="Corbel" w:eastAsia="Calibri" w:hAnsi="Corbel" w:cs="Arial"/>
                <w:b/>
                <w:spacing w:val="0"/>
                <w:sz w:val="23"/>
                <w:szCs w:val="22"/>
                <w:lang w:eastAsia="en-US"/>
              </w:rPr>
              <w:t>Strategies and reforms</w:t>
            </w:r>
          </w:p>
          <w:p w14:paraId="7F6E8B51" w14:textId="77777777" w:rsidR="000C55DD" w:rsidRPr="000C55DD" w:rsidRDefault="000C55DD" w:rsidP="000C55DD">
            <w:pPr>
              <w:spacing w:after="120" w:line="300" w:lineRule="auto"/>
              <w:rPr>
                <w:rFonts w:ascii="Corbel" w:hAnsi="Corbel"/>
                <w:spacing w:val="0"/>
                <w:sz w:val="23"/>
                <w:szCs w:val="20"/>
                <w:u w:val="single"/>
              </w:rPr>
            </w:pPr>
            <w:r w:rsidRPr="000C55DD">
              <w:rPr>
                <w:rFonts w:ascii="Corbel" w:hAnsi="Corbel"/>
                <w:spacing w:val="0"/>
                <w:sz w:val="23"/>
                <w:szCs w:val="20"/>
                <w:u w:val="single"/>
              </w:rPr>
              <w:t xml:space="preserve">General homelessness services </w:t>
            </w:r>
          </w:p>
          <w:p w14:paraId="4EE39EBB" w14:textId="77777777" w:rsidR="000C55DD" w:rsidRPr="000C55DD" w:rsidRDefault="000C55DD" w:rsidP="000C55DD">
            <w:pPr>
              <w:spacing w:before="0" w:after="240" w:line="260" w:lineRule="exact"/>
              <w:jc w:val="both"/>
              <w:rPr>
                <w:rFonts w:ascii="Corbel" w:eastAsia="Calibri" w:hAnsi="Corbel" w:cs="Arial"/>
                <w:spacing w:val="0"/>
                <w:sz w:val="23"/>
                <w:szCs w:val="23"/>
                <w:lang w:eastAsia="en-US"/>
              </w:rPr>
            </w:pPr>
            <w:r w:rsidRPr="000C55DD">
              <w:rPr>
                <w:rFonts w:ascii="Corbel" w:eastAsia="Calibri" w:hAnsi="Corbel" w:cs="Arial"/>
                <w:spacing w:val="0"/>
                <w:sz w:val="23"/>
                <w:szCs w:val="23"/>
                <w:lang w:eastAsia="en-US"/>
              </w:rPr>
              <w:t>Every year, Victoria’s specialist homelessness services respond to the needs of more than 100,000 people experiencing or at risk of homelessness</w:t>
            </w:r>
            <w:r w:rsidRPr="000C55DD">
              <w:rPr>
                <w:rFonts w:ascii="Corbel" w:eastAsia="Calibri" w:hAnsi="Corbel" w:cs="Arial"/>
                <w:spacing w:val="0"/>
                <w:sz w:val="23"/>
                <w:szCs w:val="23"/>
                <w:vertAlign w:val="superscript"/>
                <w:lang w:eastAsia="en-US"/>
              </w:rPr>
              <w:footnoteReference w:id="7"/>
            </w:r>
            <w:r w:rsidRPr="000C55DD">
              <w:rPr>
                <w:rFonts w:ascii="Corbel" w:eastAsia="Calibri" w:hAnsi="Corbel" w:cs="Arial"/>
                <w:spacing w:val="0"/>
                <w:sz w:val="23"/>
                <w:szCs w:val="23"/>
                <w:lang w:eastAsia="en-US"/>
              </w:rPr>
              <w:t>. In 2021/22, this included approximately:  </w:t>
            </w:r>
          </w:p>
          <w:p w14:paraId="0D4D52F7" w14:textId="77777777" w:rsidR="000C55DD" w:rsidRPr="000C55DD" w:rsidRDefault="000C55DD" w:rsidP="000C55DD">
            <w:pPr>
              <w:numPr>
                <w:ilvl w:val="0"/>
                <w:numId w:val="7"/>
              </w:numPr>
              <w:spacing w:before="0" w:after="120" w:line="300" w:lineRule="auto"/>
              <w:jc w:val="both"/>
              <w:rPr>
                <w:rFonts w:ascii="Corbel" w:hAnsi="Corbel"/>
                <w:spacing w:val="0"/>
                <w:sz w:val="23"/>
                <w:szCs w:val="20"/>
              </w:rPr>
            </w:pPr>
            <w:r w:rsidRPr="000C55DD">
              <w:rPr>
                <w:rFonts w:ascii="Corbel" w:hAnsi="Corbel"/>
                <w:spacing w:val="0"/>
                <w:sz w:val="23"/>
                <w:szCs w:val="20"/>
              </w:rPr>
              <w:t>46,000 women and children escaping family violence</w:t>
            </w:r>
          </w:p>
          <w:p w14:paraId="6A7477D7" w14:textId="77777777" w:rsidR="000C55DD" w:rsidRPr="000C55DD" w:rsidRDefault="000C55DD" w:rsidP="000C55DD">
            <w:pPr>
              <w:numPr>
                <w:ilvl w:val="0"/>
                <w:numId w:val="7"/>
              </w:numPr>
              <w:spacing w:before="0" w:after="120" w:line="300" w:lineRule="auto"/>
              <w:jc w:val="both"/>
              <w:rPr>
                <w:rFonts w:ascii="Corbel" w:hAnsi="Corbel"/>
                <w:spacing w:val="0"/>
                <w:sz w:val="23"/>
                <w:szCs w:val="20"/>
              </w:rPr>
            </w:pPr>
            <w:r w:rsidRPr="000C55DD">
              <w:rPr>
                <w:rFonts w:ascii="Corbel" w:hAnsi="Corbel"/>
                <w:spacing w:val="0"/>
                <w:sz w:val="23"/>
                <w:szCs w:val="20"/>
              </w:rPr>
              <w:t>8,000 people who were sleeping rough or in an inadequate dwelling when they first presented to services</w:t>
            </w:r>
          </w:p>
          <w:p w14:paraId="11265018" w14:textId="77777777" w:rsidR="000C55DD" w:rsidRPr="000C55DD" w:rsidRDefault="000C55DD" w:rsidP="000C55DD">
            <w:pPr>
              <w:numPr>
                <w:ilvl w:val="0"/>
                <w:numId w:val="7"/>
              </w:numPr>
              <w:spacing w:before="0" w:after="120" w:line="300" w:lineRule="auto"/>
              <w:jc w:val="both"/>
              <w:rPr>
                <w:rFonts w:ascii="Corbel" w:hAnsi="Corbel"/>
                <w:spacing w:val="0"/>
                <w:sz w:val="23"/>
                <w:szCs w:val="20"/>
              </w:rPr>
            </w:pPr>
            <w:r w:rsidRPr="000C55DD">
              <w:rPr>
                <w:rFonts w:ascii="Corbel" w:hAnsi="Corbel"/>
                <w:spacing w:val="0"/>
                <w:sz w:val="23"/>
                <w:szCs w:val="20"/>
              </w:rPr>
              <w:t>12,000 young people (aged 15-24) presenting alone to services</w:t>
            </w:r>
          </w:p>
          <w:p w14:paraId="05DB6C28" w14:textId="77777777" w:rsidR="000C55DD" w:rsidRPr="000C55DD" w:rsidRDefault="000C55DD" w:rsidP="000C55DD">
            <w:pPr>
              <w:numPr>
                <w:ilvl w:val="0"/>
                <w:numId w:val="7"/>
              </w:numPr>
              <w:spacing w:before="0" w:after="120" w:line="300" w:lineRule="auto"/>
              <w:jc w:val="both"/>
              <w:rPr>
                <w:rFonts w:cs="Arial"/>
                <w:color w:val="000000"/>
                <w:spacing w:val="0"/>
                <w:sz w:val="22"/>
                <w:szCs w:val="22"/>
              </w:rPr>
            </w:pPr>
            <w:r w:rsidRPr="000C55DD">
              <w:rPr>
                <w:rFonts w:ascii="Corbel" w:hAnsi="Corbel"/>
                <w:spacing w:val="0"/>
                <w:sz w:val="23"/>
                <w:szCs w:val="20"/>
              </w:rPr>
              <w:t>11,168 clients identified as Aboriginal or Torres Strait Islander</w:t>
            </w:r>
          </w:p>
          <w:p w14:paraId="4DD1004A" w14:textId="77777777" w:rsidR="000C55DD" w:rsidRPr="000C55DD" w:rsidRDefault="000C55DD" w:rsidP="000C55DD">
            <w:pPr>
              <w:spacing w:before="0" w:after="240" w:line="260" w:lineRule="exact"/>
              <w:jc w:val="both"/>
              <w:rPr>
                <w:rFonts w:ascii="Corbel" w:eastAsia="Calibri" w:hAnsi="Corbel" w:cs="Arial"/>
                <w:spacing w:val="0"/>
                <w:sz w:val="23"/>
                <w:szCs w:val="23"/>
                <w:lang w:eastAsia="en-US"/>
              </w:rPr>
            </w:pPr>
            <w:r w:rsidRPr="000C55DD">
              <w:rPr>
                <w:rFonts w:ascii="Corbel" w:eastAsia="Calibri" w:hAnsi="Corbel" w:cs="Arial"/>
                <w:spacing w:val="0"/>
                <w:sz w:val="23"/>
                <w:szCs w:val="23"/>
                <w:lang w:eastAsia="en-US"/>
              </w:rPr>
              <w:t>Homelessness services in Victoria provide a wide range of supports including: </w:t>
            </w:r>
          </w:p>
          <w:p w14:paraId="6604F4D7" w14:textId="77777777" w:rsidR="000C55DD" w:rsidRPr="000C55DD" w:rsidRDefault="000C55DD" w:rsidP="000C55DD">
            <w:pPr>
              <w:numPr>
                <w:ilvl w:val="0"/>
                <w:numId w:val="7"/>
              </w:numPr>
              <w:spacing w:before="0" w:after="120" w:line="300" w:lineRule="auto"/>
              <w:jc w:val="both"/>
              <w:rPr>
                <w:rFonts w:ascii="Corbel" w:hAnsi="Corbel"/>
                <w:spacing w:val="0"/>
                <w:sz w:val="23"/>
                <w:szCs w:val="20"/>
              </w:rPr>
            </w:pPr>
            <w:r w:rsidRPr="000C55DD">
              <w:rPr>
                <w:rFonts w:ascii="Corbel" w:hAnsi="Corbel"/>
                <w:spacing w:val="0"/>
                <w:sz w:val="23"/>
                <w:szCs w:val="20"/>
              </w:rPr>
              <w:t>initial assessment and planning at 70 access points  </w:t>
            </w:r>
          </w:p>
          <w:p w14:paraId="6731D3C4" w14:textId="77777777" w:rsidR="000C55DD" w:rsidRPr="000C55DD" w:rsidRDefault="000C55DD" w:rsidP="000C55DD">
            <w:pPr>
              <w:numPr>
                <w:ilvl w:val="0"/>
                <w:numId w:val="7"/>
              </w:numPr>
              <w:spacing w:before="0" w:after="120" w:line="300" w:lineRule="auto"/>
              <w:jc w:val="both"/>
              <w:rPr>
                <w:rFonts w:ascii="Corbel" w:hAnsi="Corbel"/>
                <w:spacing w:val="0"/>
                <w:sz w:val="23"/>
                <w:szCs w:val="20"/>
              </w:rPr>
            </w:pPr>
            <w:r w:rsidRPr="000C55DD">
              <w:rPr>
                <w:rFonts w:ascii="Corbel" w:hAnsi="Corbel"/>
                <w:spacing w:val="0"/>
                <w:sz w:val="23"/>
                <w:szCs w:val="20"/>
              </w:rPr>
              <w:t>crisis accommodation including 11 adult congregate crisis accommodation sties </w:t>
            </w:r>
          </w:p>
          <w:p w14:paraId="7D95E31C" w14:textId="77777777" w:rsidR="000C55DD" w:rsidRPr="000C55DD" w:rsidRDefault="000C55DD" w:rsidP="000C55DD">
            <w:pPr>
              <w:numPr>
                <w:ilvl w:val="0"/>
                <w:numId w:val="7"/>
              </w:numPr>
              <w:spacing w:before="0" w:after="120" w:line="300" w:lineRule="auto"/>
              <w:jc w:val="both"/>
              <w:rPr>
                <w:rFonts w:ascii="Corbel" w:hAnsi="Corbel"/>
                <w:spacing w:val="0"/>
                <w:sz w:val="23"/>
                <w:szCs w:val="20"/>
              </w:rPr>
            </w:pPr>
            <w:r w:rsidRPr="000C55DD">
              <w:rPr>
                <w:rFonts w:ascii="Corbel" w:hAnsi="Corbel"/>
                <w:spacing w:val="0"/>
                <w:sz w:val="23"/>
                <w:szCs w:val="20"/>
              </w:rPr>
              <w:t>transitional services </w:t>
            </w:r>
          </w:p>
          <w:p w14:paraId="7A36B25D" w14:textId="77777777" w:rsidR="000C55DD" w:rsidRPr="000C55DD" w:rsidRDefault="000C55DD" w:rsidP="000C55DD">
            <w:pPr>
              <w:numPr>
                <w:ilvl w:val="0"/>
                <w:numId w:val="7"/>
              </w:numPr>
              <w:spacing w:before="0" w:after="120" w:line="300" w:lineRule="auto"/>
              <w:jc w:val="both"/>
              <w:rPr>
                <w:rFonts w:ascii="Corbel" w:hAnsi="Corbel"/>
                <w:spacing w:val="0"/>
                <w:sz w:val="23"/>
                <w:szCs w:val="20"/>
              </w:rPr>
            </w:pPr>
            <w:r w:rsidRPr="000C55DD">
              <w:rPr>
                <w:rFonts w:ascii="Corbel" w:hAnsi="Corbel"/>
                <w:spacing w:val="0"/>
                <w:sz w:val="23"/>
                <w:szCs w:val="20"/>
              </w:rPr>
              <w:t>early intervention including private rental assistance and other flexible funding </w:t>
            </w:r>
          </w:p>
          <w:p w14:paraId="1F658A1B" w14:textId="77777777" w:rsidR="000C55DD" w:rsidRPr="000C55DD" w:rsidRDefault="000C55DD" w:rsidP="000C55DD">
            <w:pPr>
              <w:numPr>
                <w:ilvl w:val="0"/>
                <w:numId w:val="7"/>
              </w:numPr>
              <w:spacing w:before="0" w:after="120" w:line="300" w:lineRule="auto"/>
              <w:jc w:val="both"/>
              <w:rPr>
                <w:rFonts w:ascii="Corbel" w:hAnsi="Corbel"/>
                <w:spacing w:val="0"/>
                <w:sz w:val="23"/>
                <w:szCs w:val="20"/>
              </w:rPr>
            </w:pPr>
            <w:r w:rsidRPr="000C55DD">
              <w:rPr>
                <w:rFonts w:ascii="Corbel" w:hAnsi="Corbel"/>
                <w:spacing w:val="0"/>
                <w:sz w:val="23"/>
                <w:szCs w:val="20"/>
              </w:rPr>
              <w:t>dedicated youth services including 22 youth refuges, 13 youth foyers and 3 Education First Youth Foyers </w:t>
            </w:r>
          </w:p>
          <w:p w14:paraId="156FEC14" w14:textId="77777777" w:rsidR="000C55DD" w:rsidRPr="000C55DD" w:rsidRDefault="000C55DD" w:rsidP="000C55DD">
            <w:pPr>
              <w:numPr>
                <w:ilvl w:val="0"/>
                <w:numId w:val="7"/>
              </w:numPr>
              <w:spacing w:before="0" w:after="120" w:line="300" w:lineRule="auto"/>
              <w:jc w:val="both"/>
              <w:rPr>
                <w:rFonts w:ascii="Corbel" w:hAnsi="Corbel"/>
                <w:spacing w:val="0"/>
                <w:sz w:val="23"/>
                <w:szCs w:val="20"/>
              </w:rPr>
            </w:pPr>
            <w:r w:rsidRPr="000C55DD">
              <w:rPr>
                <w:rFonts w:ascii="Corbel" w:hAnsi="Corbel"/>
                <w:spacing w:val="0"/>
                <w:sz w:val="23"/>
                <w:szCs w:val="20"/>
              </w:rPr>
              <w:t>family violence support </w:t>
            </w:r>
          </w:p>
          <w:p w14:paraId="01C06C93" w14:textId="77777777" w:rsidR="000C55DD" w:rsidRPr="000C55DD" w:rsidRDefault="000C55DD" w:rsidP="000C55DD">
            <w:pPr>
              <w:numPr>
                <w:ilvl w:val="0"/>
                <w:numId w:val="7"/>
              </w:numPr>
              <w:spacing w:before="0" w:after="120" w:line="300" w:lineRule="auto"/>
              <w:jc w:val="both"/>
              <w:rPr>
                <w:rFonts w:ascii="Corbel" w:hAnsi="Corbel"/>
                <w:spacing w:val="0"/>
                <w:sz w:val="23"/>
                <w:szCs w:val="20"/>
              </w:rPr>
            </w:pPr>
            <w:r w:rsidRPr="000C55DD">
              <w:rPr>
                <w:rFonts w:ascii="Corbel" w:hAnsi="Corbel"/>
                <w:spacing w:val="0"/>
                <w:sz w:val="23"/>
                <w:szCs w:val="20"/>
              </w:rPr>
              <w:t>long-term accommodation with on-site support following the Housing First model. </w:t>
            </w:r>
          </w:p>
          <w:p w14:paraId="4E11E472" w14:textId="77777777" w:rsidR="000C55DD" w:rsidRPr="000C55DD" w:rsidRDefault="000C55DD" w:rsidP="000C55DD">
            <w:pPr>
              <w:spacing w:after="120" w:line="300" w:lineRule="auto"/>
              <w:rPr>
                <w:rFonts w:ascii="Corbel" w:hAnsi="Corbel"/>
                <w:spacing w:val="0"/>
                <w:sz w:val="23"/>
                <w:szCs w:val="20"/>
                <w:u w:val="single"/>
              </w:rPr>
            </w:pPr>
            <w:r w:rsidRPr="000C55DD">
              <w:rPr>
                <w:rFonts w:ascii="Corbel" w:hAnsi="Corbel"/>
                <w:spacing w:val="0"/>
                <w:sz w:val="23"/>
                <w:szCs w:val="20"/>
                <w:u w:val="single"/>
              </w:rPr>
              <w:t>Youth housing</w:t>
            </w:r>
          </w:p>
          <w:p w14:paraId="1F75C73B" w14:textId="77777777" w:rsidR="000C55DD" w:rsidRPr="000C55DD" w:rsidRDefault="000C55DD" w:rsidP="000C55DD">
            <w:pPr>
              <w:spacing w:after="120" w:line="300" w:lineRule="auto"/>
              <w:rPr>
                <w:rFonts w:ascii="Corbel" w:hAnsi="Corbel"/>
                <w:spacing w:val="0"/>
                <w:sz w:val="23"/>
                <w:szCs w:val="20"/>
                <w:u w:val="single"/>
              </w:rPr>
            </w:pPr>
            <w:r w:rsidRPr="000C55DD">
              <w:rPr>
                <w:rFonts w:ascii="Corbel" w:hAnsi="Corbel"/>
                <w:spacing w:val="0"/>
                <w:sz w:val="23"/>
                <w:szCs w:val="20"/>
              </w:rPr>
              <w:t>$50 million was invested from the Big Housing Build to build more than 130 new homes for young people across Victoria to address youth homelessness and make sure more young Victorians have access to the housing they need.</w:t>
            </w:r>
            <w:r w:rsidRPr="000C55DD">
              <w:rPr>
                <w:rFonts w:ascii="Corbel" w:hAnsi="Corbel"/>
                <w:spacing w:val="0"/>
                <w:sz w:val="23"/>
                <w:szCs w:val="20"/>
              </w:rPr>
              <w:br/>
            </w:r>
            <w:r w:rsidRPr="000C55DD">
              <w:rPr>
                <w:rFonts w:ascii="Corbel" w:hAnsi="Corbel"/>
                <w:spacing w:val="0"/>
                <w:sz w:val="23"/>
                <w:szCs w:val="20"/>
                <w:u w:val="single"/>
              </w:rPr>
              <w:t>From Homelessness to a Home</w:t>
            </w:r>
          </w:p>
          <w:p w14:paraId="0468D670" w14:textId="77777777" w:rsidR="000C55DD" w:rsidRPr="000C55DD" w:rsidRDefault="000C55DD" w:rsidP="000C55DD">
            <w:pPr>
              <w:spacing w:before="0" w:after="240" w:line="260" w:lineRule="exact"/>
              <w:jc w:val="both"/>
              <w:rPr>
                <w:rFonts w:ascii="Corbel" w:eastAsia="Calibri" w:hAnsi="Corbel" w:cs="Arial"/>
                <w:spacing w:val="0"/>
                <w:sz w:val="23"/>
                <w:szCs w:val="22"/>
                <w:lang w:eastAsia="en-US"/>
              </w:rPr>
            </w:pPr>
            <w:r w:rsidRPr="000C55DD">
              <w:rPr>
                <w:rFonts w:ascii="Corbel" w:eastAsia="Calibri" w:hAnsi="Corbel" w:cs="Arial"/>
                <w:spacing w:val="0"/>
                <w:sz w:val="23"/>
                <w:szCs w:val="22"/>
                <w:lang w:eastAsia="en-US"/>
              </w:rPr>
              <w:t xml:space="preserve">A $167 million package is providing housing and support packages for 1,845 people experiencing homelessness requiring emergency hotel accommodation due to COVID-19. </w:t>
            </w:r>
            <w:r w:rsidRPr="000C55DD">
              <w:rPr>
                <w:rFonts w:ascii="Corbel" w:eastAsia="Calibri" w:hAnsi="Corbel" w:cs="Arial"/>
                <w:spacing w:val="0"/>
                <w:sz w:val="23"/>
                <w:szCs w:val="22"/>
                <w:lang w:eastAsia="en-US"/>
              </w:rPr>
              <w:lastRenderedPageBreak/>
              <w:t>Support packages were made available to assist families and individuals in hotels to move into safe and secure longer-term housing.</w:t>
            </w:r>
          </w:p>
          <w:p w14:paraId="44F73C69" w14:textId="77777777" w:rsidR="000C55DD" w:rsidRPr="000C55DD" w:rsidRDefault="000C55DD" w:rsidP="000C55DD">
            <w:pPr>
              <w:spacing w:after="120" w:line="300" w:lineRule="auto"/>
              <w:rPr>
                <w:rFonts w:ascii="Corbel" w:hAnsi="Corbel"/>
                <w:spacing w:val="0"/>
                <w:sz w:val="23"/>
                <w:szCs w:val="20"/>
                <w:u w:val="single"/>
              </w:rPr>
            </w:pPr>
            <w:r w:rsidRPr="000C55DD">
              <w:rPr>
                <w:rFonts w:ascii="Corbel" w:hAnsi="Corbel"/>
                <w:spacing w:val="0"/>
                <w:sz w:val="23"/>
                <w:szCs w:val="20"/>
                <w:u w:val="single"/>
              </w:rPr>
              <w:t>Homes for Families</w:t>
            </w:r>
          </w:p>
          <w:p w14:paraId="5BD56B0C" w14:textId="77777777" w:rsidR="000C55DD" w:rsidRPr="000C55DD" w:rsidRDefault="000C55DD" w:rsidP="000C55DD">
            <w:pPr>
              <w:spacing w:before="0" w:after="240" w:line="260" w:lineRule="exact"/>
              <w:jc w:val="both"/>
              <w:rPr>
                <w:rFonts w:ascii="Corbel" w:eastAsia="Calibri" w:hAnsi="Corbel" w:cs="Arial"/>
                <w:spacing w:val="0"/>
                <w:sz w:val="23"/>
                <w:szCs w:val="22"/>
                <w:lang w:eastAsia="en-US"/>
              </w:rPr>
            </w:pPr>
            <w:r w:rsidRPr="000C55DD">
              <w:rPr>
                <w:rFonts w:ascii="Corbel" w:eastAsia="Calibri" w:hAnsi="Corbel" w:cs="Arial"/>
                <w:spacing w:val="0"/>
                <w:sz w:val="23"/>
                <w:szCs w:val="22"/>
                <w:lang w:eastAsia="en-US"/>
              </w:rPr>
              <w:t>$66 million has been allocated to support up to 250 families with children currently living in emergency accommodation to secure stable housing and have the support they need to keep it. This will continue to support families with children while longer term housing is sourced.</w:t>
            </w:r>
          </w:p>
          <w:p w14:paraId="2578A292" w14:textId="77777777" w:rsidR="000C55DD" w:rsidRPr="000C55DD" w:rsidRDefault="000C55DD" w:rsidP="000C55DD">
            <w:pPr>
              <w:spacing w:after="120" w:line="300" w:lineRule="auto"/>
              <w:rPr>
                <w:rFonts w:ascii="Corbel" w:eastAsia="Calibri" w:hAnsi="Corbel" w:cs="Arial"/>
                <w:spacing w:val="0"/>
                <w:sz w:val="23"/>
                <w:szCs w:val="23"/>
                <w:u w:val="single"/>
                <w:lang w:eastAsia="en-US"/>
              </w:rPr>
            </w:pPr>
            <w:r w:rsidRPr="000C55DD">
              <w:rPr>
                <w:rFonts w:ascii="Corbel" w:hAnsi="Corbel"/>
                <w:spacing w:val="0"/>
                <w:sz w:val="23"/>
                <w:szCs w:val="20"/>
                <w:u w:val="single"/>
              </w:rPr>
              <w:t>Victoria’s Homelessness and Rough Sleeping Action Plan</w:t>
            </w:r>
            <w:r w:rsidRPr="000C55DD">
              <w:rPr>
                <w:rFonts w:ascii="Corbel" w:hAnsi="Corbel"/>
                <w:spacing w:val="0"/>
                <w:sz w:val="23"/>
                <w:szCs w:val="20"/>
                <w:u w:val="single"/>
                <w:vertAlign w:val="superscript"/>
              </w:rPr>
              <w:footnoteReference w:id="8"/>
            </w:r>
          </w:p>
          <w:p w14:paraId="20019481" w14:textId="77777777" w:rsidR="000C55DD" w:rsidRPr="000C55DD" w:rsidRDefault="000C55DD" w:rsidP="000C55DD">
            <w:pPr>
              <w:spacing w:before="0" w:after="240" w:line="260" w:lineRule="exact"/>
              <w:jc w:val="both"/>
              <w:rPr>
                <w:rFonts w:ascii="Corbel" w:eastAsia="Calibri" w:hAnsi="Corbel" w:cs="Arial"/>
                <w:color w:val="000000"/>
                <w:spacing w:val="0"/>
                <w:sz w:val="23"/>
                <w:szCs w:val="22"/>
                <w:lang w:eastAsia="en-US"/>
              </w:rPr>
            </w:pPr>
            <w:r w:rsidRPr="000C55DD">
              <w:rPr>
                <w:rFonts w:ascii="Corbel" w:eastAsia="Calibri" w:hAnsi="Corbel" w:cs="Arial"/>
                <w:spacing w:val="0"/>
                <w:sz w:val="23"/>
                <w:szCs w:val="22"/>
                <w:lang w:eastAsia="en-US"/>
              </w:rPr>
              <w:t>Victoria’s Homelessness and Rough Sleeping Action Plan provides a comprehensive plan to provide tailored support for people across three priority rough sleeping cohorts, including people recently homelessness and sleeping rough, those sleeping rough for an extended period of time, and those at risk of chronic homelessness and rough sleeping.</w:t>
            </w:r>
            <w:r w:rsidRPr="000C55DD">
              <w:rPr>
                <w:rFonts w:ascii="Corbel" w:eastAsia="Calibri" w:hAnsi="Corbel" w:cs="Arial"/>
                <w:color w:val="000000"/>
                <w:spacing w:val="0"/>
                <w:sz w:val="23"/>
                <w:szCs w:val="22"/>
                <w:lang w:eastAsia="en-US"/>
              </w:rPr>
              <w:t xml:space="preserve"> </w:t>
            </w:r>
          </w:p>
          <w:p w14:paraId="77AAEE0E" w14:textId="77777777" w:rsidR="000C55DD" w:rsidRPr="000C55DD" w:rsidRDefault="000C55DD" w:rsidP="000C55DD">
            <w:pPr>
              <w:spacing w:before="0" w:after="240" w:line="260" w:lineRule="exact"/>
              <w:jc w:val="both"/>
              <w:rPr>
                <w:rFonts w:ascii="Corbel" w:eastAsia="Calibri" w:hAnsi="Corbel" w:cs="Arial"/>
                <w:color w:val="000000"/>
                <w:spacing w:val="0"/>
                <w:sz w:val="23"/>
                <w:szCs w:val="22"/>
                <w:lang w:eastAsia="en-US"/>
              </w:rPr>
            </w:pPr>
            <w:r w:rsidRPr="000C55DD">
              <w:rPr>
                <w:rFonts w:ascii="Corbel" w:eastAsia="Calibri" w:hAnsi="Corbel" w:cs="Arial"/>
                <w:spacing w:val="0"/>
                <w:sz w:val="23"/>
                <w:szCs w:val="22"/>
                <w:lang w:eastAsia="en-US"/>
              </w:rPr>
              <w:t>The strategy provides a framework for four key areas of reform, including intervening early to prevent homelessness, providing stable accommodation as quickly as possible, support to maintain stable accommodation and an effective and responsive homelessness system.</w:t>
            </w:r>
          </w:p>
          <w:p w14:paraId="737B7D14" w14:textId="77777777" w:rsidR="000C55DD" w:rsidRPr="000C55DD" w:rsidRDefault="000C55DD" w:rsidP="000C55DD">
            <w:pPr>
              <w:spacing w:before="0" w:after="240" w:line="260" w:lineRule="exact"/>
              <w:jc w:val="both"/>
              <w:rPr>
                <w:rFonts w:ascii="Corbel" w:eastAsia="Calibri" w:hAnsi="Corbel" w:cs="Arial"/>
                <w:spacing w:val="0"/>
                <w:sz w:val="23"/>
                <w:szCs w:val="22"/>
                <w:lang w:eastAsia="en-US"/>
              </w:rPr>
            </w:pPr>
            <w:r w:rsidRPr="000C55DD">
              <w:rPr>
                <w:rFonts w:ascii="Corbel" w:eastAsia="Calibri" w:hAnsi="Corbel" w:cs="Arial"/>
                <w:spacing w:val="0"/>
                <w:sz w:val="23"/>
                <w:szCs w:val="22"/>
                <w:lang w:eastAsia="en-US"/>
              </w:rPr>
              <w:t>The above strategies and reforms address the priority homelessness cohorts as well as the homelessness priority policy reform areas set out in the NHHA.</w:t>
            </w:r>
          </w:p>
          <w:p w14:paraId="637A5AFB" w14:textId="77777777" w:rsidR="000C55DD" w:rsidRPr="000C55DD" w:rsidRDefault="000C55DD" w:rsidP="000C55DD">
            <w:pPr>
              <w:spacing w:before="0" w:after="240" w:line="260" w:lineRule="exact"/>
              <w:jc w:val="both"/>
              <w:rPr>
                <w:rFonts w:ascii="Corbel" w:eastAsia="Calibri" w:hAnsi="Corbel" w:cs="Arial"/>
                <w:spacing w:val="0"/>
                <w:sz w:val="23"/>
                <w:szCs w:val="22"/>
                <w:u w:val="single"/>
                <w:lang w:eastAsia="en-US"/>
              </w:rPr>
            </w:pPr>
            <w:r w:rsidRPr="000C55DD">
              <w:rPr>
                <w:rFonts w:ascii="Corbel" w:eastAsia="Calibri" w:hAnsi="Corbel" w:cs="Arial"/>
                <w:spacing w:val="0"/>
                <w:sz w:val="23"/>
                <w:szCs w:val="22"/>
                <w:u w:val="single"/>
                <w:lang w:eastAsia="en-US"/>
              </w:rPr>
              <w:t xml:space="preserve">Ending Family Violence </w:t>
            </w:r>
          </w:p>
          <w:p w14:paraId="68012C9E" w14:textId="77777777" w:rsidR="000C55DD" w:rsidRPr="000C55DD" w:rsidRDefault="000C55DD" w:rsidP="000C55DD">
            <w:pPr>
              <w:spacing w:before="0" w:after="240" w:line="260" w:lineRule="exact"/>
              <w:jc w:val="both"/>
              <w:rPr>
                <w:rFonts w:ascii="Corbel" w:eastAsia="Calibri" w:hAnsi="Corbel" w:cs="Arial"/>
                <w:spacing w:val="0"/>
                <w:sz w:val="23"/>
                <w:szCs w:val="22"/>
                <w:lang w:eastAsia="en-US"/>
              </w:rPr>
            </w:pPr>
            <w:r w:rsidRPr="000C55DD">
              <w:rPr>
                <w:rFonts w:ascii="Corbel" w:eastAsia="Calibri" w:hAnsi="Corbel" w:cs="Arial"/>
                <w:spacing w:val="0"/>
                <w:sz w:val="23"/>
                <w:szCs w:val="22"/>
                <w:lang w:eastAsia="en-US"/>
              </w:rPr>
              <w:t>Ending Family Violence: Victoria’s Plan for Change outlines a vision for a future where Victorians live free from family violence. Rolling Action Plans, delivered approximately every three years, detail the actions and initiatives to achieve this vision.</w:t>
            </w:r>
          </w:p>
          <w:p w14:paraId="101996A6" w14:textId="77777777" w:rsidR="000C55DD" w:rsidRPr="000C55DD" w:rsidRDefault="000C55DD" w:rsidP="000C55DD">
            <w:pPr>
              <w:spacing w:before="0" w:after="240" w:line="260" w:lineRule="exact"/>
              <w:jc w:val="both"/>
              <w:rPr>
                <w:rFonts w:ascii="Corbel" w:eastAsia="Calibri" w:hAnsi="Corbel" w:cs="Arial"/>
                <w:spacing w:val="0"/>
                <w:sz w:val="23"/>
                <w:szCs w:val="22"/>
                <w:lang w:eastAsia="en-US"/>
              </w:rPr>
            </w:pPr>
            <w:r w:rsidRPr="000C55DD">
              <w:rPr>
                <w:rFonts w:ascii="Corbel" w:eastAsia="Calibri" w:hAnsi="Corbel" w:cs="Arial"/>
                <w:spacing w:val="0"/>
                <w:sz w:val="23"/>
                <w:szCs w:val="22"/>
                <w:lang w:eastAsia="en-US"/>
              </w:rPr>
              <w:t>The Family Violence Rolling Action Plan 2020-2023 builds on the first phase of implementation and continued delivery of significant long-term housing investments, including new activities focusing on refuges and crisis accommodation, supporting victim survivors to remain in their homes, increasing social and affordable housing stock for people escaping family violence and housing development in rural and remote communities. Services across family violence, homelessness and social housing are working collaboratively to provide holistic support to victim survivors where housing is considered in the context of their wider needs.</w:t>
            </w:r>
          </w:p>
        </w:tc>
      </w:tr>
    </w:tbl>
    <w:p w14:paraId="7C80C272" w14:textId="77777777" w:rsidR="000C55DD" w:rsidRPr="000C55DD" w:rsidRDefault="000C55DD" w:rsidP="000C55DD">
      <w:pPr>
        <w:spacing w:before="0" w:after="200" w:line="276" w:lineRule="auto"/>
        <w:rPr>
          <w:rFonts w:ascii="Corbel" w:hAnsi="Corbel"/>
          <w:color w:val="000000"/>
          <w:spacing w:val="0"/>
          <w:sz w:val="23"/>
          <w:szCs w:val="20"/>
        </w:rPr>
      </w:pPr>
      <w:bookmarkStart w:id="3" w:name="PART_4:_PROJECT_MILESTONES,_REPORTING_AN"/>
      <w:bookmarkEnd w:id="3"/>
      <w:r w:rsidRPr="000C55DD">
        <w:rPr>
          <w:rFonts w:ascii="Consolas" w:hAnsi="Consolas" w:cs="Arial"/>
          <w:bCs/>
          <w:caps/>
          <w:color w:val="3D4B67"/>
          <w:spacing w:val="0"/>
          <w:kern w:val="32"/>
          <w:sz w:val="32"/>
          <w:szCs w:val="36"/>
        </w:rPr>
        <w:lastRenderedPageBreak/>
        <w:br/>
        <w:t>Part 3 – reporting</w:t>
      </w:r>
    </w:p>
    <w:p w14:paraId="72B0984E" w14:textId="77777777" w:rsidR="000C55DD" w:rsidRPr="000C55DD" w:rsidRDefault="000C55DD" w:rsidP="000C55DD">
      <w:pPr>
        <w:numPr>
          <w:ilvl w:val="0"/>
          <w:numId w:val="4"/>
        </w:numPr>
        <w:spacing w:before="0" w:after="240" w:line="260" w:lineRule="exact"/>
        <w:jc w:val="both"/>
        <w:rPr>
          <w:rFonts w:ascii="Corbel" w:eastAsia="Calibri" w:hAnsi="Corbel" w:cs="Arial"/>
          <w:color w:val="000000"/>
          <w:spacing w:val="0"/>
          <w:sz w:val="23"/>
          <w:szCs w:val="22"/>
          <w:lang w:eastAsia="en-US"/>
        </w:rPr>
      </w:pPr>
      <w:r w:rsidRPr="000C55DD">
        <w:rPr>
          <w:rFonts w:ascii="Corbel" w:eastAsia="Calibri" w:hAnsi="Corbel" w:cs="Arial"/>
          <w:color w:val="000000"/>
          <w:spacing w:val="0"/>
          <w:sz w:val="23"/>
          <w:szCs w:val="22"/>
          <w:lang w:eastAsia="en-US"/>
        </w:rPr>
        <w:t>As required by clause 40 of the Agreement, Victoria will report on the implementation of the reforms and initiatives set out in the housing and homelessness strategies identified in Part 2 of this Schedule.</w:t>
      </w:r>
    </w:p>
    <w:p w14:paraId="7BCFE324" w14:textId="77777777" w:rsidR="000C55DD" w:rsidRPr="000C55DD" w:rsidRDefault="000C55DD" w:rsidP="000C55DD">
      <w:pPr>
        <w:spacing w:before="0" w:after="240" w:line="260" w:lineRule="exact"/>
        <w:ind w:left="567"/>
        <w:jc w:val="both"/>
        <w:rPr>
          <w:rFonts w:ascii="Corbel" w:eastAsia="Calibri" w:hAnsi="Corbel" w:cs="Arial"/>
          <w:color w:val="000000"/>
          <w:spacing w:val="0"/>
          <w:sz w:val="23"/>
          <w:szCs w:val="22"/>
          <w:lang w:eastAsia="en-US"/>
        </w:rPr>
      </w:pPr>
      <w:r w:rsidRPr="000C55DD">
        <w:rPr>
          <w:rFonts w:ascii="Corbel" w:eastAsia="Calibri" w:hAnsi="Corbel" w:cs="Arial"/>
          <w:color w:val="000000"/>
          <w:spacing w:val="0"/>
          <w:sz w:val="23"/>
          <w:szCs w:val="22"/>
          <w:lang w:eastAsia="en-US"/>
        </w:rPr>
        <w:t xml:space="preserve">Victoria reports publicly on key social housing and homelessness measures. </w:t>
      </w:r>
      <w:r w:rsidRPr="000C55DD">
        <w:rPr>
          <w:rFonts w:ascii="Corbel" w:eastAsia="Calibri" w:hAnsi="Corbel" w:cs="Arial"/>
          <w:color w:val="000000"/>
          <w:spacing w:val="0"/>
          <w:sz w:val="23"/>
          <w:szCs w:val="22"/>
          <w:lang w:eastAsia="en-US"/>
        </w:rPr>
        <w:br/>
        <w:t>The information will be made available through an addendum to the annual statement of assurance. The report may also refer to publicly available documents, such as the following, which are released annually:</w:t>
      </w:r>
    </w:p>
    <w:p w14:paraId="7149D130" w14:textId="77777777" w:rsidR="000C55DD" w:rsidRPr="000C55DD" w:rsidRDefault="000C55DD" w:rsidP="000C55DD">
      <w:pPr>
        <w:numPr>
          <w:ilvl w:val="0"/>
          <w:numId w:val="5"/>
        </w:numPr>
        <w:spacing w:before="0" w:after="120" w:line="260" w:lineRule="exact"/>
        <w:ind w:left="1088" w:hanging="544"/>
        <w:jc w:val="both"/>
        <w:rPr>
          <w:rFonts w:ascii="Corbel" w:hAnsi="Corbel"/>
          <w:color w:val="000000"/>
          <w:spacing w:val="0"/>
          <w:sz w:val="23"/>
          <w:szCs w:val="20"/>
        </w:rPr>
      </w:pPr>
      <w:r w:rsidRPr="000C55DD">
        <w:rPr>
          <w:rFonts w:ascii="Corbel" w:hAnsi="Corbel"/>
          <w:color w:val="000000"/>
          <w:spacing w:val="0"/>
          <w:sz w:val="23"/>
          <w:szCs w:val="20"/>
        </w:rPr>
        <w:t>Victorian Government Budget Papers (usually released in May each year)</w:t>
      </w:r>
    </w:p>
    <w:p w14:paraId="37EB1B0B" w14:textId="77777777" w:rsidR="000C55DD" w:rsidRPr="000C55DD" w:rsidRDefault="000C55DD" w:rsidP="000C55DD">
      <w:pPr>
        <w:numPr>
          <w:ilvl w:val="0"/>
          <w:numId w:val="5"/>
        </w:numPr>
        <w:spacing w:before="0" w:after="120" w:line="260" w:lineRule="exact"/>
        <w:ind w:left="1088" w:hanging="544"/>
        <w:jc w:val="both"/>
        <w:rPr>
          <w:rFonts w:ascii="Corbel" w:hAnsi="Corbel"/>
          <w:color w:val="000000"/>
          <w:spacing w:val="0"/>
          <w:sz w:val="23"/>
          <w:szCs w:val="20"/>
        </w:rPr>
      </w:pPr>
      <w:r w:rsidRPr="000C55DD">
        <w:rPr>
          <w:rFonts w:ascii="Corbel" w:hAnsi="Corbel"/>
          <w:color w:val="000000"/>
          <w:spacing w:val="0"/>
          <w:sz w:val="23"/>
          <w:szCs w:val="20"/>
        </w:rPr>
        <w:lastRenderedPageBreak/>
        <w:t>Department of Families, Fairness and Housing Annual Report (tabled in the Victorian Parliament following the end of the financial year, in accordance with the</w:t>
      </w:r>
      <w:r w:rsidRPr="000C55DD">
        <w:rPr>
          <w:rFonts w:ascii="Corbel" w:hAnsi="Corbel"/>
          <w:i/>
          <w:color w:val="000000"/>
          <w:spacing w:val="0"/>
          <w:sz w:val="23"/>
          <w:szCs w:val="20"/>
        </w:rPr>
        <w:t xml:space="preserve"> Financial Management Act 1994</w:t>
      </w:r>
      <w:r w:rsidRPr="000C55DD">
        <w:rPr>
          <w:rFonts w:ascii="Corbel" w:hAnsi="Corbel"/>
          <w:color w:val="000000"/>
          <w:spacing w:val="0"/>
          <w:sz w:val="23"/>
          <w:szCs w:val="20"/>
        </w:rPr>
        <w:t>)</w:t>
      </w:r>
    </w:p>
    <w:p w14:paraId="51795188" w14:textId="77777777" w:rsidR="000C55DD" w:rsidRPr="000C55DD" w:rsidRDefault="000C55DD" w:rsidP="000C55DD">
      <w:pPr>
        <w:numPr>
          <w:ilvl w:val="0"/>
          <w:numId w:val="5"/>
        </w:numPr>
        <w:spacing w:before="0" w:after="120" w:line="260" w:lineRule="exact"/>
        <w:jc w:val="both"/>
        <w:rPr>
          <w:rFonts w:ascii="Corbel" w:hAnsi="Corbel"/>
          <w:color w:val="000000"/>
          <w:spacing w:val="0"/>
          <w:sz w:val="23"/>
          <w:szCs w:val="20"/>
        </w:rPr>
      </w:pPr>
      <w:r w:rsidRPr="000C55DD">
        <w:rPr>
          <w:rFonts w:ascii="Corbel" w:hAnsi="Corbel"/>
          <w:color w:val="000000"/>
          <w:spacing w:val="0"/>
          <w:sz w:val="23"/>
          <w:szCs w:val="20"/>
        </w:rPr>
        <w:t>Report on Government Services (produced by the Productivity Commission, usually released in January each year)</w:t>
      </w:r>
    </w:p>
    <w:p w14:paraId="3639B4C2" w14:textId="77777777" w:rsidR="000C55DD" w:rsidRPr="000C55DD" w:rsidRDefault="000C55DD" w:rsidP="000C55DD">
      <w:pPr>
        <w:numPr>
          <w:ilvl w:val="0"/>
          <w:numId w:val="5"/>
        </w:numPr>
        <w:spacing w:before="0" w:after="240" w:line="260" w:lineRule="exact"/>
        <w:jc w:val="both"/>
        <w:rPr>
          <w:rFonts w:ascii="Corbel" w:hAnsi="Corbel"/>
          <w:color w:val="000000"/>
          <w:spacing w:val="0"/>
          <w:sz w:val="23"/>
          <w:szCs w:val="20"/>
        </w:rPr>
      </w:pPr>
      <w:r w:rsidRPr="000C55DD">
        <w:rPr>
          <w:rFonts w:ascii="Corbel" w:hAnsi="Corbel"/>
          <w:color w:val="000000"/>
          <w:spacing w:val="0"/>
          <w:sz w:val="23"/>
          <w:szCs w:val="20"/>
        </w:rPr>
        <w:t>Specialist Homelessness Services Annual Report (produced by the Australian Institute of Health and Welfare, usually released in December each year)</w:t>
      </w:r>
    </w:p>
    <w:p w14:paraId="5ED854F6" w14:textId="77777777" w:rsidR="000C55DD" w:rsidRPr="000C55DD" w:rsidRDefault="000C55DD" w:rsidP="000C55DD">
      <w:pPr>
        <w:numPr>
          <w:ilvl w:val="0"/>
          <w:numId w:val="4"/>
        </w:numPr>
        <w:spacing w:before="0" w:after="240" w:line="260" w:lineRule="exact"/>
        <w:jc w:val="both"/>
        <w:rPr>
          <w:rFonts w:ascii="Corbel" w:eastAsia="Calibri" w:hAnsi="Corbel" w:cs="Arial"/>
          <w:color w:val="000000"/>
          <w:spacing w:val="0"/>
          <w:sz w:val="23"/>
          <w:szCs w:val="22"/>
          <w:lang w:eastAsia="en-US"/>
        </w:rPr>
      </w:pPr>
      <w:r w:rsidRPr="000C55DD">
        <w:rPr>
          <w:rFonts w:ascii="Corbel" w:eastAsia="Calibri" w:hAnsi="Corbel" w:cs="Arial"/>
          <w:color w:val="000000"/>
          <w:spacing w:val="0"/>
          <w:sz w:val="23"/>
          <w:szCs w:val="22"/>
          <w:lang w:eastAsia="en-US"/>
        </w:rPr>
        <w:t xml:space="preserve">Victoria asserts that changes to the deliverables, milestones, measures and timeframes for Victoria’s housing and homelessness initiatives set out in various public documents and referenced in Part 2 of this Schedule remain at the discretion of the Victorian Government. </w:t>
      </w:r>
    </w:p>
    <w:p w14:paraId="2C403D15" w14:textId="77777777" w:rsidR="000C55DD" w:rsidRPr="000C55DD" w:rsidRDefault="000C55DD" w:rsidP="000C55DD">
      <w:pPr>
        <w:spacing w:before="0" w:after="298" w:line="230" w:lineRule="auto"/>
        <w:ind w:right="16"/>
        <w:rPr>
          <w:rFonts w:ascii="Consolas" w:hAnsi="Consolas" w:cs="Arial"/>
          <w:bCs/>
          <w:caps/>
          <w:color w:val="3D4B67"/>
          <w:spacing w:val="0"/>
          <w:kern w:val="32"/>
          <w:sz w:val="32"/>
          <w:szCs w:val="36"/>
        </w:rPr>
      </w:pPr>
      <w:r w:rsidRPr="000C55DD">
        <w:rPr>
          <w:rFonts w:ascii="Consolas" w:hAnsi="Consolas" w:cs="Arial"/>
          <w:bCs/>
          <w:caps/>
          <w:color w:val="3D4B67"/>
          <w:spacing w:val="0"/>
          <w:kern w:val="32"/>
          <w:sz w:val="32"/>
          <w:szCs w:val="36"/>
        </w:rPr>
        <w:t xml:space="preserve">Part 4 – Other Conditions / Priority Policy Areas </w:t>
      </w:r>
    </w:p>
    <w:p w14:paraId="37740EB2" w14:textId="77777777" w:rsidR="000C55DD" w:rsidRPr="000C55DD" w:rsidRDefault="000C55DD" w:rsidP="000C55DD">
      <w:pPr>
        <w:numPr>
          <w:ilvl w:val="0"/>
          <w:numId w:val="4"/>
        </w:numPr>
        <w:spacing w:before="0" w:after="240" w:line="260" w:lineRule="exact"/>
        <w:jc w:val="both"/>
        <w:rPr>
          <w:rFonts w:ascii="Corbel" w:eastAsia="Calibri" w:hAnsi="Corbel" w:cs="Arial"/>
          <w:color w:val="000000"/>
          <w:spacing w:val="0"/>
          <w:sz w:val="23"/>
          <w:szCs w:val="22"/>
          <w:lang w:eastAsia="en-US"/>
        </w:rPr>
      </w:pPr>
      <w:r w:rsidRPr="000C55DD">
        <w:rPr>
          <w:rFonts w:ascii="Corbel" w:eastAsia="Calibri" w:hAnsi="Corbel" w:cs="Arial"/>
          <w:color w:val="000000"/>
          <w:spacing w:val="0"/>
          <w:sz w:val="23"/>
          <w:szCs w:val="22"/>
          <w:lang w:eastAsia="en-US"/>
        </w:rPr>
        <w:t xml:space="preserve">Other conditions and/or priority policy areas may be agreed between the Parties from time to time. </w:t>
      </w:r>
    </w:p>
    <w:p w14:paraId="7A6481C0" w14:textId="77777777" w:rsidR="000C55DD" w:rsidRPr="000C55DD" w:rsidRDefault="000C55DD" w:rsidP="000C55DD">
      <w:pPr>
        <w:keepNext/>
        <w:spacing w:before="480" w:line="240" w:lineRule="auto"/>
        <w:outlineLvl w:val="0"/>
        <w:rPr>
          <w:rFonts w:ascii="Consolas" w:hAnsi="Consolas" w:cs="Arial"/>
          <w:bCs/>
          <w:caps/>
          <w:color w:val="3D4B67"/>
          <w:spacing w:val="0"/>
          <w:kern w:val="32"/>
          <w:sz w:val="32"/>
          <w:szCs w:val="36"/>
        </w:rPr>
      </w:pPr>
      <w:r w:rsidRPr="000C55DD">
        <w:rPr>
          <w:rFonts w:ascii="Consolas" w:hAnsi="Consolas" w:cs="Arial"/>
          <w:bCs/>
          <w:caps/>
          <w:color w:val="3D4B67"/>
          <w:spacing w:val="0"/>
          <w:kern w:val="32"/>
          <w:sz w:val="32"/>
          <w:szCs w:val="36"/>
        </w:rPr>
        <w:t>Part 5 – Sign Off</w:t>
      </w:r>
    </w:p>
    <w:p w14:paraId="7CD2A0B3" w14:textId="77777777" w:rsidR="000C55DD" w:rsidRPr="000C55DD" w:rsidRDefault="000C55DD" w:rsidP="000C55DD">
      <w:pPr>
        <w:numPr>
          <w:ilvl w:val="0"/>
          <w:numId w:val="4"/>
        </w:numPr>
        <w:spacing w:before="0" w:after="240" w:line="260" w:lineRule="exact"/>
        <w:jc w:val="both"/>
        <w:rPr>
          <w:rFonts w:ascii="Corbel" w:eastAsia="Calibri" w:hAnsi="Corbel" w:cs="Arial"/>
          <w:spacing w:val="0"/>
          <w:sz w:val="23"/>
          <w:szCs w:val="22"/>
          <w:lang w:eastAsia="en-US"/>
        </w:rPr>
      </w:pPr>
      <w:r w:rsidRPr="000C55DD">
        <w:rPr>
          <w:rFonts w:ascii="Corbel" w:eastAsia="Calibri" w:hAnsi="Corbel" w:cs="Arial"/>
          <w:color w:val="000000"/>
          <w:spacing w:val="0"/>
          <w:sz w:val="23"/>
          <w:szCs w:val="22"/>
          <w:lang w:eastAsia="en-US"/>
        </w:rPr>
        <w:t>The</w:t>
      </w:r>
      <w:r w:rsidRPr="000C55DD">
        <w:rPr>
          <w:rFonts w:ascii="Corbel" w:eastAsia="Calibri" w:hAnsi="Corbel" w:cs="Arial"/>
          <w:spacing w:val="0"/>
          <w:sz w:val="23"/>
          <w:szCs w:val="22"/>
          <w:lang w:eastAsia="en-US"/>
        </w:rPr>
        <w:t xml:space="preserve"> Parties have confirmed their commitment to this agreement as follows:</w:t>
      </w:r>
    </w:p>
    <w:p w14:paraId="376C0045" w14:textId="77777777" w:rsidR="000C55DD" w:rsidRPr="000C55DD" w:rsidRDefault="000C55DD" w:rsidP="000C55DD">
      <w:pPr>
        <w:spacing w:before="0" w:after="240" w:line="260" w:lineRule="exact"/>
        <w:jc w:val="both"/>
        <w:rPr>
          <w:rFonts w:ascii="Times New Roman" w:eastAsia="Calibri" w:hAnsi="Times New Roman" w:cs="Arial"/>
          <w:spacing w:val="0"/>
          <w:lang w:eastAsia="en-US"/>
        </w:rPr>
      </w:pPr>
      <w:r w:rsidRPr="000C55DD">
        <w:rPr>
          <w:rFonts w:ascii="Times New Roman" w:eastAsia="Calibri" w:hAnsi="Times New Roman" w:cs="Arial"/>
          <w:b/>
          <w:spacing w:val="0"/>
          <w:lang w:eastAsia="en-US"/>
        </w:rPr>
        <w:t>Signed</w:t>
      </w:r>
      <w:r w:rsidRPr="000C55DD">
        <w:rPr>
          <w:rFonts w:ascii="Times New Roman" w:eastAsia="Calibri" w:hAnsi="Times New Roman" w:cs="Arial"/>
          <w:spacing w:val="0"/>
          <w:lang w:eastAsia="en-US"/>
        </w:rPr>
        <w:t xml:space="preserve"> </w:t>
      </w:r>
      <w:r w:rsidRPr="000C55DD">
        <w:rPr>
          <w:rFonts w:ascii="Times New Roman" w:eastAsia="Calibri" w:hAnsi="Times New Roman" w:cs="Arial"/>
          <w:i/>
          <w:spacing w:val="0"/>
          <w:lang w:eastAsia="en-US"/>
        </w:rPr>
        <w:t>for and on behalf of the Commonwealth of Australia by</w:t>
      </w:r>
    </w:p>
    <w:p w14:paraId="455319AD" w14:textId="77777777" w:rsidR="000C55DD" w:rsidRPr="000C55DD" w:rsidRDefault="000C55DD" w:rsidP="000C55DD">
      <w:pPr>
        <w:spacing w:before="0" w:after="240" w:line="260" w:lineRule="exact"/>
        <w:jc w:val="both"/>
        <w:rPr>
          <w:rFonts w:ascii="Corbel" w:eastAsia="Calibri" w:hAnsi="Corbel" w:cs="Arial"/>
          <w:spacing w:val="0"/>
          <w:sz w:val="23"/>
          <w:szCs w:val="20"/>
          <w:lang w:eastAsia="en-US"/>
        </w:rPr>
      </w:pPr>
    </w:p>
    <w:p w14:paraId="200CEE0C" w14:textId="77777777" w:rsidR="000C55DD" w:rsidRPr="000C55DD" w:rsidRDefault="000C55DD" w:rsidP="000C55DD">
      <w:pPr>
        <w:spacing w:before="0" w:after="240" w:line="260" w:lineRule="exact"/>
        <w:jc w:val="both"/>
        <w:rPr>
          <w:rFonts w:ascii="Corbel" w:eastAsia="Calibri" w:hAnsi="Corbel" w:cs="Arial"/>
          <w:spacing w:val="0"/>
          <w:sz w:val="23"/>
          <w:szCs w:val="22"/>
          <w:lang w:eastAsia="en-US"/>
        </w:rPr>
      </w:pPr>
    </w:p>
    <w:p w14:paraId="2B1500ED" w14:textId="77777777" w:rsidR="000C55DD" w:rsidRPr="000C55DD" w:rsidRDefault="000C55DD" w:rsidP="000C55DD">
      <w:pPr>
        <w:spacing w:before="0" w:after="240" w:line="260" w:lineRule="exact"/>
        <w:jc w:val="both"/>
        <w:rPr>
          <w:rFonts w:ascii="Corbel" w:eastAsia="Calibri" w:hAnsi="Corbel" w:cs="Arial"/>
          <w:spacing w:val="0"/>
          <w:sz w:val="23"/>
          <w:szCs w:val="22"/>
          <w:lang w:eastAsia="en-US"/>
        </w:rPr>
      </w:pPr>
    </w:p>
    <w:p w14:paraId="5FD15146" w14:textId="77777777" w:rsidR="000C55DD" w:rsidRPr="000C55DD" w:rsidRDefault="000C55DD" w:rsidP="000C55DD">
      <w:pPr>
        <w:tabs>
          <w:tab w:val="num" w:pos="2268"/>
        </w:tabs>
        <w:spacing w:before="0" w:after="240" w:line="260" w:lineRule="exact"/>
        <w:jc w:val="both"/>
        <w:rPr>
          <w:rFonts w:ascii="Corbel" w:eastAsia="Calibri" w:hAnsi="Corbel" w:cs="Arial"/>
          <w:spacing w:val="0"/>
          <w:sz w:val="23"/>
          <w:szCs w:val="22"/>
          <w:lang w:eastAsia="en-US"/>
        </w:rPr>
      </w:pPr>
      <w:r w:rsidRPr="000C55DD">
        <w:rPr>
          <w:rFonts w:ascii="Corbel" w:eastAsia="Calibri" w:hAnsi="Corbel" w:cs="Arial"/>
          <w:spacing w:val="0"/>
          <w:sz w:val="23"/>
          <w:szCs w:val="22"/>
          <w:lang w:eastAsia="en-US"/>
        </w:rPr>
        <w:t>-----------------------------------------------------</w:t>
      </w:r>
    </w:p>
    <w:p w14:paraId="7C27C7B6" w14:textId="77777777" w:rsidR="000C55DD" w:rsidRPr="000C55DD" w:rsidRDefault="000C55DD" w:rsidP="000C55DD">
      <w:pPr>
        <w:spacing w:before="0" w:after="0" w:line="260" w:lineRule="exact"/>
        <w:jc w:val="both"/>
        <w:rPr>
          <w:rFonts w:ascii="Corbel" w:hAnsi="Corbel"/>
          <w:b/>
          <w:color w:val="000000"/>
          <w:spacing w:val="0"/>
          <w:sz w:val="23"/>
          <w:szCs w:val="20"/>
        </w:rPr>
      </w:pPr>
      <w:r w:rsidRPr="000C55DD">
        <w:rPr>
          <w:rFonts w:ascii="Corbel" w:hAnsi="Corbel"/>
          <w:b/>
          <w:color w:val="000000"/>
          <w:spacing w:val="0"/>
          <w:sz w:val="23"/>
          <w:szCs w:val="20"/>
        </w:rPr>
        <w:t>The Honourable Julie Collins MP</w:t>
      </w:r>
    </w:p>
    <w:p w14:paraId="1D2596CB" w14:textId="77777777" w:rsidR="000C55DD" w:rsidRPr="000C55DD" w:rsidRDefault="00907A95" w:rsidP="000C55DD">
      <w:pPr>
        <w:spacing w:before="0" w:after="120" w:line="260" w:lineRule="exact"/>
        <w:jc w:val="both"/>
        <w:rPr>
          <w:rFonts w:ascii="Corbel" w:hAnsi="Corbel"/>
          <w:bCs/>
          <w:color w:val="000000"/>
          <w:spacing w:val="0"/>
          <w:sz w:val="20"/>
          <w:szCs w:val="20"/>
          <w:lang w:val="en-GB"/>
        </w:rPr>
      </w:pPr>
      <w:r>
        <w:rPr>
          <w:rFonts w:ascii="Corbel" w:hAnsi="Corbel"/>
          <w:bCs/>
          <w:color w:val="000000"/>
          <w:spacing w:val="0"/>
          <w:sz w:val="20"/>
          <w:szCs w:val="20"/>
          <w:lang w:val="en-GB"/>
        </w:rPr>
        <w:t>Minister for Housing and Minister for Homelessness</w:t>
      </w:r>
    </w:p>
    <w:p w14:paraId="46169F05" w14:textId="77777777" w:rsidR="000C55DD" w:rsidRPr="000C55DD" w:rsidRDefault="000C55DD" w:rsidP="000C55DD">
      <w:pPr>
        <w:spacing w:before="0" w:after="240" w:line="260" w:lineRule="exact"/>
        <w:jc w:val="both"/>
        <w:rPr>
          <w:rFonts w:ascii="Corbel" w:eastAsia="Calibri" w:hAnsi="Corbel" w:cs="Arial"/>
          <w:color w:val="000000"/>
          <w:spacing w:val="0"/>
          <w:sz w:val="23"/>
          <w:szCs w:val="22"/>
          <w:lang w:val="en-GB" w:eastAsia="en-US"/>
        </w:rPr>
      </w:pPr>
      <w:r w:rsidRPr="000C55DD">
        <w:rPr>
          <w:rFonts w:ascii="Corbel" w:eastAsia="Calibri" w:hAnsi="Corbel" w:cs="Arial"/>
          <w:color w:val="000000"/>
          <w:spacing w:val="0"/>
          <w:sz w:val="23"/>
          <w:szCs w:val="22"/>
          <w:lang w:val="en-GB" w:eastAsia="en-US"/>
        </w:rPr>
        <w:t xml:space="preserve">           2023</w:t>
      </w:r>
    </w:p>
    <w:p w14:paraId="6CDF6246" w14:textId="77777777" w:rsidR="000C55DD" w:rsidRPr="000C55DD" w:rsidRDefault="000C55DD" w:rsidP="000C55DD">
      <w:pPr>
        <w:spacing w:before="0" w:after="240" w:line="260" w:lineRule="exact"/>
        <w:jc w:val="both"/>
        <w:rPr>
          <w:rFonts w:ascii="Corbel" w:eastAsia="Calibri" w:hAnsi="Corbel" w:cs="Arial"/>
          <w:color w:val="000000"/>
          <w:spacing w:val="0"/>
          <w:sz w:val="23"/>
          <w:szCs w:val="22"/>
          <w:lang w:val="en-GB" w:eastAsia="en-US"/>
        </w:rPr>
      </w:pPr>
    </w:p>
    <w:p w14:paraId="50CA0101" w14:textId="77777777" w:rsidR="000C55DD" w:rsidRPr="000C55DD" w:rsidRDefault="000C55DD" w:rsidP="000C55DD">
      <w:pPr>
        <w:spacing w:before="0" w:after="240" w:line="260" w:lineRule="exact"/>
        <w:jc w:val="both"/>
        <w:rPr>
          <w:rFonts w:ascii="Times New Roman" w:eastAsia="Calibri" w:hAnsi="Times New Roman" w:cs="Arial"/>
          <w:spacing w:val="0"/>
          <w:lang w:eastAsia="en-US"/>
        </w:rPr>
      </w:pPr>
      <w:r w:rsidRPr="000C55DD">
        <w:rPr>
          <w:rFonts w:ascii="Times New Roman" w:eastAsia="Calibri" w:hAnsi="Times New Roman" w:cs="Arial"/>
          <w:b/>
          <w:spacing w:val="0"/>
          <w:lang w:eastAsia="en-US"/>
        </w:rPr>
        <w:t>Signed</w:t>
      </w:r>
      <w:r w:rsidRPr="000C55DD">
        <w:rPr>
          <w:rFonts w:ascii="Times New Roman" w:eastAsia="Calibri" w:hAnsi="Times New Roman" w:cs="Arial"/>
          <w:spacing w:val="0"/>
          <w:lang w:eastAsia="en-US"/>
        </w:rPr>
        <w:t xml:space="preserve"> </w:t>
      </w:r>
      <w:r w:rsidRPr="000C55DD">
        <w:rPr>
          <w:rFonts w:ascii="Times New Roman" w:eastAsia="Calibri" w:hAnsi="Times New Roman" w:cs="Arial"/>
          <w:i/>
          <w:spacing w:val="0"/>
          <w:lang w:eastAsia="en-US"/>
        </w:rPr>
        <w:t>for and on behalf of Victoria by</w:t>
      </w:r>
    </w:p>
    <w:p w14:paraId="70955AA7" w14:textId="77777777" w:rsidR="000C55DD" w:rsidRPr="000C55DD" w:rsidRDefault="000C55DD" w:rsidP="000C55DD">
      <w:pPr>
        <w:spacing w:before="0" w:after="240" w:line="260" w:lineRule="exact"/>
        <w:jc w:val="both"/>
        <w:rPr>
          <w:rFonts w:ascii="Corbel" w:eastAsia="Calibri" w:hAnsi="Corbel" w:cs="Arial"/>
          <w:spacing w:val="0"/>
          <w:sz w:val="23"/>
          <w:szCs w:val="20"/>
          <w:lang w:eastAsia="en-US"/>
        </w:rPr>
      </w:pPr>
    </w:p>
    <w:p w14:paraId="2CC3A9F6" w14:textId="77777777" w:rsidR="000C55DD" w:rsidRPr="000C55DD" w:rsidRDefault="000C55DD" w:rsidP="000C55DD">
      <w:pPr>
        <w:spacing w:before="0" w:after="240" w:line="260" w:lineRule="exact"/>
        <w:jc w:val="both"/>
        <w:rPr>
          <w:rFonts w:ascii="Corbel" w:eastAsia="Calibri" w:hAnsi="Corbel" w:cs="Arial"/>
          <w:spacing w:val="0"/>
          <w:sz w:val="23"/>
          <w:szCs w:val="22"/>
          <w:lang w:eastAsia="en-US"/>
        </w:rPr>
      </w:pPr>
    </w:p>
    <w:p w14:paraId="695C0E6B" w14:textId="77777777" w:rsidR="000C55DD" w:rsidRPr="000C55DD" w:rsidRDefault="000C55DD" w:rsidP="000C55DD">
      <w:pPr>
        <w:spacing w:before="0" w:after="240" w:line="260" w:lineRule="exact"/>
        <w:jc w:val="both"/>
        <w:rPr>
          <w:rFonts w:ascii="Corbel" w:eastAsia="Calibri" w:hAnsi="Corbel" w:cs="Arial"/>
          <w:spacing w:val="0"/>
          <w:sz w:val="23"/>
          <w:szCs w:val="22"/>
          <w:lang w:eastAsia="en-US"/>
        </w:rPr>
      </w:pPr>
    </w:p>
    <w:p w14:paraId="0BA206BA" w14:textId="77777777" w:rsidR="000C55DD" w:rsidRPr="000C55DD" w:rsidRDefault="000C55DD" w:rsidP="000C55DD">
      <w:pPr>
        <w:tabs>
          <w:tab w:val="num" w:pos="2268"/>
        </w:tabs>
        <w:spacing w:before="0" w:after="240" w:line="260" w:lineRule="exact"/>
        <w:jc w:val="both"/>
        <w:rPr>
          <w:rFonts w:ascii="Corbel" w:eastAsia="Calibri" w:hAnsi="Corbel" w:cs="Arial"/>
          <w:spacing w:val="0"/>
          <w:sz w:val="23"/>
          <w:szCs w:val="22"/>
          <w:lang w:eastAsia="en-US"/>
        </w:rPr>
      </w:pPr>
      <w:r w:rsidRPr="000C55DD">
        <w:rPr>
          <w:rFonts w:ascii="Corbel" w:eastAsia="Calibri" w:hAnsi="Corbel" w:cs="Arial"/>
          <w:spacing w:val="0"/>
          <w:sz w:val="23"/>
          <w:szCs w:val="22"/>
          <w:lang w:eastAsia="en-US"/>
        </w:rPr>
        <w:t>-----------------------------------------------------</w:t>
      </w:r>
    </w:p>
    <w:p w14:paraId="61E8B79A" w14:textId="77777777" w:rsidR="000C55DD" w:rsidRPr="000C55DD" w:rsidRDefault="000C55DD" w:rsidP="000C55DD">
      <w:pPr>
        <w:spacing w:before="0" w:after="0" w:line="260" w:lineRule="exact"/>
        <w:jc w:val="both"/>
        <w:rPr>
          <w:rFonts w:ascii="Corbel" w:hAnsi="Corbel"/>
          <w:b/>
          <w:color w:val="000000"/>
          <w:spacing w:val="0"/>
          <w:sz w:val="23"/>
          <w:szCs w:val="20"/>
        </w:rPr>
      </w:pPr>
      <w:r w:rsidRPr="000C55DD">
        <w:rPr>
          <w:rFonts w:ascii="Corbel" w:hAnsi="Corbel"/>
          <w:b/>
          <w:color w:val="000000"/>
          <w:spacing w:val="0"/>
          <w:sz w:val="23"/>
          <w:szCs w:val="20"/>
        </w:rPr>
        <w:t xml:space="preserve">The Honourable Colin Brooks MP </w:t>
      </w:r>
    </w:p>
    <w:p w14:paraId="37D88B54" w14:textId="77777777" w:rsidR="000C55DD" w:rsidRPr="000C55DD" w:rsidRDefault="000C55DD" w:rsidP="000C55DD">
      <w:pPr>
        <w:spacing w:before="0" w:after="120" w:line="260" w:lineRule="exact"/>
        <w:jc w:val="both"/>
        <w:rPr>
          <w:rFonts w:ascii="Corbel" w:hAnsi="Corbel"/>
          <w:bCs/>
          <w:color w:val="000000"/>
          <w:spacing w:val="0"/>
          <w:sz w:val="20"/>
          <w:szCs w:val="20"/>
          <w:lang w:val="en-GB"/>
        </w:rPr>
      </w:pPr>
      <w:r w:rsidRPr="000C55DD">
        <w:rPr>
          <w:rFonts w:ascii="Corbel" w:hAnsi="Corbel"/>
          <w:bCs/>
          <w:color w:val="000000"/>
          <w:spacing w:val="0"/>
          <w:sz w:val="20"/>
          <w:szCs w:val="20"/>
          <w:lang w:val="en-GB"/>
        </w:rPr>
        <w:t xml:space="preserve">Minister for Housing </w:t>
      </w:r>
    </w:p>
    <w:p w14:paraId="0965DD13" w14:textId="77777777" w:rsidR="00331B1E" w:rsidRPr="001E4920" w:rsidRDefault="000C55DD" w:rsidP="001E4920">
      <w:pPr>
        <w:spacing w:before="0" w:after="240" w:line="260" w:lineRule="exact"/>
        <w:jc w:val="both"/>
        <w:rPr>
          <w:rFonts w:ascii="Corbel" w:eastAsia="Calibri" w:hAnsi="Corbel" w:cs="Arial"/>
          <w:color w:val="000000"/>
          <w:spacing w:val="0"/>
          <w:sz w:val="23"/>
          <w:szCs w:val="22"/>
          <w:lang w:eastAsia="en-US"/>
        </w:rPr>
      </w:pPr>
      <w:r w:rsidRPr="000C55DD">
        <w:rPr>
          <w:rFonts w:ascii="Corbel" w:eastAsia="Calibri" w:hAnsi="Corbel" w:cs="Arial"/>
          <w:color w:val="000000"/>
          <w:spacing w:val="0"/>
          <w:sz w:val="23"/>
          <w:szCs w:val="22"/>
          <w:lang w:val="en-GB" w:eastAsia="en-US"/>
        </w:rPr>
        <w:t xml:space="preserve">           2023</w:t>
      </w:r>
    </w:p>
    <w:sectPr w:rsidR="00331B1E" w:rsidRPr="001E4920" w:rsidSect="000C55DD">
      <w:headerReference w:type="first" r:id="rId7"/>
      <w:pgSz w:w="11906" w:h="16838"/>
      <w:pgMar w:top="1134" w:right="1418" w:bottom="1418" w:left="1134" w:header="851" w:footer="26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39B15" w14:textId="77777777" w:rsidR="00D22AD0" w:rsidRDefault="00341FAF" w:rsidP="008F3023">
      <w:pPr>
        <w:spacing w:before="0" w:after="0" w:line="240" w:lineRule="auto"/>
      </w:pPr>
      <w:r>
        <w:separator/>
      </w:r>
    </w:p>
  </w:endnote>
  <w:endnote w:type="continuationSeparator" w:id="0">
    <w:p w14:paraId="49B913A2" w14:textId="77777777" w:rsidR="00D22AD0" w:rsidRDefault="00341FAF" w:rsidP="008F302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Georgia">
    <w:panose1 w:val="02040502050405020303"/>
    <w:charset w:val="00"/>
    <w:family w:val="roman"/>
    <w:pitch w:val="variable"/>
    <w:sig w:usb0="00000287" w:usb1="00000000" w:usb2="00000000" w:usb3="00000000" w:csb0="0000009F" w:csb1="00000000"/>
  </w:font>
  <w:font w:name="SimHei">
    <w:altName w:val="黑体"/>
    <w:panose1 w:val="02010600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EE74A" w14:textId="77777777" w:rsidR="00D22AD0" w:rsidRDefault="00341FAF" w:rsidP="008F3023">
      <w:pPr>
        <w:spacing w:before="0" w:after="0" w:line="240" w:lineRule="auto"/>
      </w:pPr>
      <w:r>
        <w:separator/>
      </w:r>
    </w:p>
  </w:footnote>
  <w:footnote w:type="continuationSeparator" w:id="0">
    <w:p w14:paraId="0F6E8EE8" w14:textId="77777777" w:rsidR="00D22AD0" w:rsidRDefault="00341FAF" w:rsidP="008F3023">
      <w:pPr>
        <w:spacing w:before="0" w:after="0" w:line="240" w:lineRule="auto"/>
      </w:pPr>
      <w:r>
        <w:continuationSeparator/>
      </w:r>
    </w:p>
  </w:footnote>
  <w:footnote w:id="1">
    <w:p w14:paraId="017C7834" w14:textId="77777777" w:rsidR="000C55DD" w:rsidRPr="00066D5F" w:rsidRDefault="000C55DD" w:rsidP="000C55DD">
      <w:pPr>
        <w:pStyle w:val="FootnoteText"/>
        <w:rPr>
          <w:sz w:val="16"/>
          <w:szCs w:val="16"/>
        </w:rPr>
      </w:pPr>
      <w:r w:rsidRPr="00066D5F">
        <w:rPr>
          <w:rStyle w:val="FootnoteReference"/>
        </w:rPr>
        <w:footnoteRef/>
      </w:r>
      <w:r w:rsidRPr="00066D5F">
        <w:rPr>
          <w:sz w:val="16"/>
          <w:szCs w:val="16"/>
        </w:rPr>
        <w:t xml:space="preserve"> Homes for Victorians </w:t>
      </w:r>
      <w:hyperlink r:id="rId1" w:history="1">
        <w:r w:rsidRPr="00066D5F">
          <w:rPr>
            <w:rStyle w:val="Hyperlink"/>
            <w:sz w:val="16"/>
            <w:szCs w:val="16"/>
          </w:rPr>
          <w:t>https://www.vic.gov.au/sites/default/files/2019-08/Homes-for-Victorians.pdf</w:t>
        </w:r>
      </w:hyperlink>
      <w:r w:rsidRPr="00066D5F">
        <w:rPr>
          <w:sz w:val="16"/>
          <w:szCs w:val="16"/>
        </w:rPr>
        <w:t xml:space="preserve"> </w:t>
      </w:r>
    </w:p>
  </w:footnote>
  <w:footnote w:id="2">
    <w:p w14:paraId="1F1C0403" w14:textId="77777777" w:rsidR="000C55DD" w:rsidRPr="00E939FE" w:rsidRDefault="000C55DD" w:rsidP="000C55DD">
      <w:pPr>
        <w:pStyle w:val="FootnoteText"/>
        <w:jc w:val="left"/>
        <w:rPr>
          <w:sz w:val="16"/>
          <w:szCs w:val="16"/>
        </w:rPr>
      </w:pPr>
      <w:r>
        <w:rPr>
          <w:rStyle w:val="FootnoteReference"/>
        </w:rPr>
        <w:footnoteRef/>
      </w:r>
      <w:r>
        <w:t xml:space="preserve"> </w:t>
      </w:r>
      <w:r w:rsidRPr="00E939FE">
        <w:rPr>
          <w:sz w:val="16"/>
          <w:szCs w:val="16"/>
        </w:rPr>
        <w:t xml:space="preserve">Big Housing Build </w:t>
      </w:r>
      <w:hyperlink r:id="rId2" w:history="1">
        <w:r w:rsidRPr="004E10BD">
          <w:rPr>
            <w:rStyle w:val="Hyperlink"/>
            <w:sz w:val="16"/>
            <w:szCs w:val="16"/>
          </w:rPr>
          <w:t>https://www.homes.vic.gov.au/big-housing-build</w:t>
        </w:r>
      </w:hyperlink>
      <w:r w:rsidRPr="004E10BD">
        <w:rPr>
          <w:sz w:val="16"/>
          <w:szCs w:val="16"/>
        </w:rPr>
        <w:t xml:space="preserve"> </w:t>
      </w:r>
    </w:p>
  </w:footnote>
  <w:footnote w:id="3">
    <w:p w14:paraId="10D2A582" w14:textId="77777777" w:rsidR="000C55DD" w:rsidRPr="000C55DD" w:rsidRDefault="000C55DD" w:rsidP="000C55DD">
      <w:pPr>
        <w:spacing w:after="0" w:line="240" w:lineRule="auto"/>
        <w:rPr>
          <w:rFonts w:eastAsia="Calibri" w:cs="Arial"/>
          <w:sz w:val="16"/>
          <w:szCs w:val="16"/>
        </w:rPr>
      </w:pPr>
      <w:r w:rsidRPr="00066D5F">
        <w:rPr>
          <w:rStyle w:val="FootnoteReference"/>
          <w:sz w:val="20"/>
        </w:rPr>
        <w:footnoteRef/>
      </w:r>
      <w:r w:rsidRPr="00066D5F">
        <w:rPr>
          <w:sz w:val="16"/>
          <w:szCs w:val="16"/>
        </w:rPr>
        <w:t xml:space="preserve"> Plan Melbourne </w:t>
      </w:r>
      <w:hyperlink r:id="rId3" w:history="1">
        <w:r w:rsidRPr="000C55DD">
          <w:rPr>
            <w:rStyle w:val="Hyperlink"/>
            <w:rFonts w:eastAsia="Calibri" w:cs="Arial"/>
            <w:sz w:val="16"/>
            <w:szCs w:val="16"/>
          </w:rPr>
          <w:t>https://www.planmelbourne.vic.gov.au/</w:t>
        </w:r>
      </w:hyperlink>
      <w:r w:rsidRPr="000C55DD">
        <w:rPr>
          <w:rFonts w:eastAsia="Calibri" w:cs="Arial"/>
          <w:sz w:val="16"/>
          <w:szCs w:val="16"/>
        </w:rPr>
        <w:t xml:space="preserve"> </w:t>
      </w:r>
    </w:p>
  </w:footnote>
  <w:footnote w:id="4">
    <w:p w14:paraId="7C2436F7" w14:textId="77777777" w:rsidR="000C55DD" w:rsidRPr="00066D5F" w:rsidRDefault="000C55DD" w:rsidP="000C55DD">
      <w:pPr>
        <w:pStyle w:val="FootnoteText"/>
        <w:jc w:val="left"/>
        <w:rPr>
          <w:sz w:val="16"/>
          <w:szCs w:val="16"/>
        </w:rPr>
      </w:pPr>
      <w:r w:rsidRPr="00066D5F">
        <w:rPr>
          <w:rStyle w:val="FootnoteReference"/>
        </w:rPr>
        <w:footnoteRef/>
      </w:r>
      <w:r>
        <w:rPr>
          <w:sz w:val="16"/>
          <w:szCs w:val="16"/>
        </w:rPr>
        <w:t xml:space="preserve"> </w:t>
      </w:r>
      <w:r w:rsidRPr="00066D5F">
        <w:rPr>
          <w:sz w:val="16"/>
          <w:szCs w:val="16"/>
        </w:rPr>
        <w:t xml:space="preserve">Plan Melbourne 2017-2050, p2, </w:t>
      </w:r>
      <w:hyperlink r:id="rId4" w:history="1">
        <w:r w:rsidRPr="00066D5F">
          <w:rPr>
            <w:rStyle w:val="Hyperlink"/>
            <w:sz w:val="16"/>
            <w:szCs w:val="16"/>
          </w:rPr>
          <w:t>https://www.planmelbourne.vic.gov.au/__data/assets/pdf_file/0007/377206/Plan_Melbourne_2017-2050_Strategy_.pdf</w:t>
        </w:r>
      </w:hyperlink>
      <w:r w:rsidRPr="00066D5F">
        <w:rPr>
          <w:sz w:val="16"/>
          <w:szCs w:val="16"/>
        </w:rPr>
        <w:t xml:space="preserve"> </w:t>
      </w:r>
    </w:p>
  </w:footnote>
  <w:footnote w:id="5">
    <w:p w14:paraId="145D95E9" w14:textId="77777777" w:rsidR="000C55DD" w:rsidRPr="00066D5F" w:rsidRDefault="000C55DD" w:rsidP="000C55DD">
      <w:pPr>
        <w:pStyle w:val="FootnoteText"/>
        <w:jc w:val="left"/>
        <w:rPr>
          <w:sz w:val="16"/>
          <w:szCs w:val="16"/>
        </w:rPr>
      </w:pPr>
      <w:r w:rsidRPr="00066D5F">
        <w:rPr>
          <w:rStyle w:val="FootnoteReference"/>
        </w:rPr>
        <w:footnoteRef/>
      </w:r>
      <w:r w:rsidRPr="00066D5F">
        <w:rPr>
          <w:sz w:val="16"/>
          <w:szCs w:val="16"/>
        </w:rPr>
        <w:t xml:space="preserve"> Victoria in Future 2019, p8, </w:t>
      </w:r>
      <w:hyperlink r:id="rId5" w:history="1">
        <w:r w:rsidRPr="00066D5F">
          <w:rPr>
            <w:rStyle w:val="Hyperlink"/>
            <w:sz w:val="16"/>
            <w:szCs w:val="16"/>
          </w:rPr>
          <w:t>https://www.planning.vic.gov.au/land-use-and-population-research/victoria-in-future</w:t>
        </w:r>
      </w:hyperlink>
      <w:r w:rsidRPr="00066D5F">
        <w:rPr>
          <w:sz w:val="16"/>
          <w:szCs w:val="16"/>
        </w:rPr>
        <w:t xml:space="preserve"> </w:t>
      </w:r>
    </w:p>
  </w:footnote>
  <w:footnote w:id="6">
    <w:p w14:paraId="654CC45D" w14:textId="77777777" w:rsidR="000C55DD" w:rsidRDefault="000C55DD" w:rsidP="000C55DD">
      <w:pPr>
        <w:pStyle w:val="FootnoteText"/>
        <w:jc w:val="left"/>
      </w:pPr>
      <w:r w:rsidRPr="00066D5F">
        <w:rPr>
          <w:rStyle w:val="FootnoteReference"/>
        </w:rPr>
        <w:footnoteRef/>
      </w:r>
      <w:r w:rsidRPr="00066D5F">
        <w:rPr>
          <w:sz w:val="16"/>
          <w:szCs w:val="16"/>
        </w:rPr>
        <w:t xml:space="preserve"> Victoria’s social housing supply requirements to 2036, </w:t>
      </w:r>
      <w:hyperlink r:id="rId6" w:history="1">
        <w:r w:rsidRPr="00066D5F">
          <w:rPr>
            <w:rStyle w:val="Hyperlink"/>
            <w:sz w:val="16"/>
            <w:szCs w:val="16"/>
          </w:rPr>
          <w:t>https://www.vic.gov.au/sites/default/files/2019-06/Victorias-social-housing-supply-requirements-to-2036.pdf</w:t>
        </w:r>
      </w:hyperlink>
      <w:r>
        <w:rPr>
          <w:sz w:val="16"/>
          <w:szCs w:val="16"/>
        </w:rPr>
        <w:t xml:space="preserve"> </w:t>
      </w:r>
    </w:p>
  </w:footnote>
  <w:footnote w:id="7">
    <w:p w14:paraId="4D1610E1" w14:textId="77777777" w:rsidR="000C55DD" w:rsidRDefault="000C55DD" w:rsidP="000C55DD">
      <w:pPr>
        <w:pStyle w:val="FootnoteText"/>
      </w:pPr>
      <w:r>
        <w:rPr>
          <w:rStyle w:val="FootnoteReference"/>
        </w:rPr>
        <w:footnoteRef/>
      </w:r>
      <w:r>
        <w:t xml:space="preserve"> </w:t>
      </w:r>
      <w:r w:rsidRPr="000C55DD">
        <w:rPr>
          <w:rFonts w:cs="Arial"/>
          <w:color w:val="auto"/>
          <w:sz w:val="16"/>
          <w:szCs w:val="16"/>
        </w:rPr>
        <w:t xml:space="preserve">Australian Institute of Health and Welfare  - Specialist Homelessness Services Annual Report 2021- 2022, </w:t>
      </w:r>
      <w:hyperlink r:id="rId7" w:history="1">
        <w:r w:rsidRPr="000C55DD">
          <w:rPr>
            <w:rStyle w:val="Hyperlink"/>
            <w:rFonts w:cs="Arial"/>
            <w:sz w:val="16"/>
            <w:szCs w:val="16"/>
          </w:rPr>
          <w:t>https://www.aihw.gov.au/reports/homelessness-services/specialist-homelessness-services-annual-report/contents/clients-services-and-outcomes</w:t>
        </w:r>
      </w:hyperlink>
      <w:r w:rsidRPr="000C55DD">
        <w:rPr>
          <w:rFonts w:cs="Arial"/>
          <w:color w:val="auto"/>
          <w:sz w:val="23"/>
          <w:szCs w:val="23"/>
        </w:rPr>
        <w:t xml:space="preserve"> </w:t>
      </w:r>
    </w:p>
  </w:footnote>
  <w:footnote w:id="8">
    <w:p w14:paraId="6292738F" w14:textId="77777777" w:rsidR="000C55DD" w:rsidRDefault="000C55DD" w:rsidP="000C55DD">
      <w:pPr>
        <w:pStyle w:val="FootnoteText"/>
        <w:jc w:val="left"/>
      </w:pPr>
      <w:r w:rsidRPr="00EE1943">
        <w:rPr>
          <w:rStyle w:val="FootnoteReference"/>
          <w:sz w:val="16"/>
          <w:szCs w:val="16"/>
        </w:rPr>
        <w:footnoteRef/>
      </w:r>
      <w:r w:rsidRPr="00EE1943">
        <w:rPr>
          <w:sz w:val="16"/>
          <w:szCs w:val="16"/>
        </w:rPr>
        <w:t xml:space="preserve"> Rough Sleeping action plan </w:t>
      </w:r>
      <w:hyperlink r:id="rId8" w:history="1">
        <w:r w:rsidRPr="00EE1943">
          <w:rPr>
            <w:rStyle w:val="Hyperlink"/>
            <w:sz w:val="16"/>
          </w:rPr>
          <w:t>https://www.vic.gov.au/system/user_files/Documents/housing/1711047_Rough%20Sleeping%20Action%20Plan_On-Line.pdf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C581C" w14:textId="77777777" w:rsidR="00E23AB1" w:rsidRPr="000C696E" w:rsidRDefault="00E23AB1" w:rsidP="003B1DF3">
    <w:pPr>
      <w:ind w:left="-964"/>
      <w:jc w:val="right"/>
      <w:rPr>
        <w:rFonts w:ascii="Tahoma" w:hAnsi="Tahoma" w:cs="Tahom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0653"/>
    <w:multiLevelType w:val="hybridMultilevel"/>
    <w:tmpl w:val="7A1C16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56537F"/>
    <w:multiLevelType w:val="hybridMultilevel"/>
    <w:tmpl w:val="5A48F09E"/>
    <w:lvl w:ilvl="0" w:tplc="4E0CB178">
      <w:start w:val="1"/>
      <w:numFmt w:val="bullet"/>
      <w:pStyle w:val="ListBullet"/>
      <w:lvlText w:val="•"/>
      <w:lvlJc w:val="left"/>
      <w:pPr>
        <w:tabs>
          <w:tab w:val="num" w:pos="360"/>
        </w:tabs>
        <w:ind w:left="360" w:hanging="360"/>
      </w:pPr>
      <w:rPr>
        <w:rFonts w:ascii="Arial" w:hAnsi="Arial" w:hint="default"/>
      </w:rPr>
    </w:lvl>
    <w:lvl w:ilvl="1" w:tplc="BDB8DFAC" w:tentative="1">
      <w:start w:val="1"/>
      <w:numFmt w:val="bullet"/>
      <w:lvlText w:val="o"/>
      <w:lvlJc w:val="left"/>
      <w:pPr>
        <w:ind w:left="1440" w:hanging="360"/>
      </w:pPr>
      <w:rPr>
        <w:rFonts w:ascii="Courier New" w:hAnsi="Courier New" w:cs="Courier New" w:hint="default"/>
      </w:rPr>
    </w:lvl>
    <w:lvl w:ilvl="2" w:tplc="7F5459DC" w:tentative="1">
      <w:start w:val="1"/>
      <w:numFmt w:val="bullet"/>
      <w:lvlText w:val=""/>
      <w:lvlJc w:val="left"/>
      <w:pPr>
        <w:ind w:left="2160" w:hanging="360"/>
      </w:pPr>
      <w:rPr>
        <w:rFonts w:ascii="Wingdings" w:hAnsi="Wingdings" w:hint="default"/>
      </w:rPr>
    </w:lvl>
    <w:lvl w:ilvl="3" w:tplc="EA76582C" w:tentative="1">
      <w:start w:val="1"/>
      <w:numFmt w:val="bullet"/>
      <w:lvlText w:val=""/>
      <w:lvlJc w:val="left"/>
      <w:pPr>
        <w:ind w:left="2880" w:hanging="360"/>
      </w:pPr>
      <w:rPr>
        <w:rFonts w:ascii="Symbol" w:hAnsi="Symbol" w:hint="default"/>
      </w:rPr>
    </w:lvl>
    <w:lvl w:ilvl="4" w:tplc="ED743BBE" w:tentative="1">
      <w:start w:val="1"/>
      <w:numFmt w:val="bullet"/>
      <w:lvlText w:val="o"/>
      <w:lvlJc w:val="left"/>
      <w:pPr>
        <w:ind w:left="3600" w:hanging="360"/>
      </w:pPr>
      <w:rPr>
        <w:rFonts w:ascii="Courier New" w:hAnsi="Courier New" w:cs="Courier New" w:hint="default"/>
      </w:rPr>
    </w:lvl>
    <w:lvl w:ilvl="5" w:tplc="412A7E9A" w:tentative="1">
      <w:start w:val="1"/>
      <w:numFmt w:val="bullet"/>
      <w:lvlText w:val=""/>
      <w:lvlJc w:val="left"/>
      <w:pPr>
        <w:ind w:left="4320" w:hanging="360"/>
      </w:pPr>
      <w:rPr>
        <w:rFonts w:ascii="Wingdings" w:hAnsi="Wingdings" w:hint="default"/>
      </w:rPr>
    </w:lvl>
    <w:lvl w:ilvl="6" w:tplc="78480056" w:tentative="1">
      <w:start w:val="1"/>
      <w:numFmt w:val="bullet"/>
      <w:lvlText w:val=""/>
      <w:lvlJc w:val="left"/>
      <w:pPr>
        <w:ind w:left="5040" w:hanging="360"/>
      </w:pPr>
      <w:rPr>
        <w:rFonts w:ascii="Symbol" w:hAnsi="Symbol" w:hint="default"/>
      </w:rPr>
    </w:lvl>
    <w:lvl w:ilvl="7" w:tplc="561A9F76" w:tentative="1">
      <w:start w:val="1"/>
      <w:numFmt w:val="bullet"/>
      <w:lvlText w:val="o"/>
      <w:lvlJc w:val="left"/>
      <w:pPr>
        <w:ind w:left="5760" w:hanging="360"/>
      </w:pPr>
      <w:rPr>
        <w:rFonts w:ascii="Courier New" w:hAnsi="Courier New" w:cs="Courier New" w:hint="default"/>
      </w:rPr>
    </w:lvl>
    <w:lvl w:ilvl="8" w:tplc="1916AF6E" w:tentative="1">
      <w:start w:val="1"/>
      <w:numFmt w:val="bullet"/>
      <w:lvlText w:val=""/>
      <w:lvlJc w:val="left"/>
      <w:pPr>
        <w:ind w:left="6480" w:hanging="360"/>
      </w:pPr>
      <w:rPr>
        <w:rFonts w:ascii="Wingdings" w:hAnsi="Wingdings" w:hint="default"/>
      </w:rPr>
    </w:lvl>
  </w:abstractNum>
  <w:abstractNum w:abstractNumId="2" w15:restartNumberingAfterBreak="0">
    <w:nsid w:val="2F923740"/>
    <w:multiLevelType w:val="multilevel"/>
    <w:tmpl w:val="84B0E6B8"/>
    <w:lvl w:ilvl="0">
      <w:start w:val="1"/>
      <w:numFmt w:val="bullet"/>
      <w:lvlText w:val=""/>
      <w:lvlJc w:val="left"/>
      <w:pPr>
        <w:tabs>
          <w:tab w:val="num" w:pos="1086"/>
        </w:tabs>
        <w:ind w:left="1086" w:hanging="543"/>
      </w:pPr>
      <w:rPr>
        <w:rFonts w:ascii="Symbol" w:hAnsi="Symbol" w:hint="default"/>
        <w:color w:val="auto"/>
        <w:sz w:val="23"/>
        <w:szCs w:val="23"/>
      </w:rPr>
    </w:lvl>
    <w:lvl w:ilvl="1">
      <w:start w:val="1"/>
      <w:numFmt w:val="decimal"/>
      <w:lvlText w:val="%1.%2."/>
      <w:lvlJc w:val="left"/>
      <w:pPr>
        <w:tabs>
          <w:tab w:val="num" w:pos="1629"/>
        </w:tabs>
        <w:ind w:left="1629" w:hanging="543"/>
      </w:pPr>
      <w:rPr>
        <w:rFonts w:hint="default"/>
      </w:rPr>
    </w:lvl>
    <w:lvl w:ilvl="2">
      <w:start w:val="1"/>
      <w:numFmt w:val="decimal"/>
      <w:lvlText w:val="%1.%2.%3."/>
      <w:lvlJc w:val="left"/>
      <w:pPr>
        <w:tabs>
          <w:tab w:val="num" w:pos="2172"/>
        </w:tabs>
        <w:ind w:left="2172" w:hanging="543"/>
      </w:pPr>
      <w:rPr>
        <w:rFonts w:hint="default"/>
      </w:rPr>
    </w:lvl>
    <w:lvl w:ilvl="3">
      <w:start w:val="1"/>
      <w:numFmt w:val="decimal"/>
      <w:lvlText w:val="(%4)"/>
      <w:lvlJc w:val="left"/>
      <w:pPr>
        <w:ind w:left="1983" w:hanging="360"/>
      </w:pPr>
      <w:rPr>
        <w:rFonts w:hint="default"/>
      </w:rPr>
    </w:lvl>
    <w:lvl w:ilvl="4">
      <w:start w:val="1"/>
      <w:numFmt w:val="lowerLetter"/>
      <w:lvlText w:val="(%5)"/>
      <w:lvlJc w:val="left"/>
      <w:pPr>
        <w:ind w:left="2343" w:hanging="360"/>
      </w:pPr>
      <w:rPr>
        <w:rFonts w:hint="default"/>
      </w:rPr>
    </w:lvl>
    <w:lvl w:ilvl="5">
      <w:start w:val="1"/>
      <w:numFmt w:val="lowerRoman"/>
      <w:lvlText w:val="(%6)"/>
      <w:lvlJc w:val="left"/>
      <w:pPr>
        <w:ind w:left="2703" w:hanging="360"/>
      </w:pPr>
      <w:rPr>
        <w:rFonts w:hint="default"/>
      </w:rPr>
    </w:lvl>
    <w:lvl w:ilvl="6">
      <w:start w:val="1"/>
      <w:numFmt w:val="decimal"/>
      <w:lvlText w:val="%7."/>
      <w:lvlJc w:val="left"/>
      <w:pPr>
        <w:ind w:left="3063" w:hanging="360"/>
      </w:pPr>
      <w:rPr>
        <w:rFonts w:hint="default"/>
      </w:rPr>
    </w:lvl>
    <w:lvl w:ilvl="7">
      <w:start w:val="1"/>
      <w:numFmt w:val="lowerLetter"/>
      <w:lvlText w:val="%8."/>
      <w:lvlJc w:val="left"/>
      <w:pPr>
        <w:ind w:left="3423" w:hanging="360"/>
      </w:pPr>
      <w:rPr>
        <w:rFonts w:hint="default"/>
      </w:rPr>
    </w:lvl>
    <w:lvl w:ilvl="8">
      <w:start w:val="1"/>
      <w:numFmt w:val="lowerRoman"/>
      <w:lvlText w:val="%9."/>
      <w:lvlJc w:val="left"/>
      <w:pPr>
        <w:ind w:left="3783" w:hanging="360"/>
      </w:pPr>
      <w:rPr>
        <w:rFonts w:hint="default"/>
      </w:rPr>
    </w:lvl>
  </w:abstractNum>
  <w:abstractNum w:abstractNumId="3" w15:restartNumberingAfterBreak="0">
    <w:nsid w:val="385608B5"/>
    <w:multiLevelType w:val="hybridMultilevel"/>
    <w:tmpl w:val="86FC0D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E4C7132"/>
    <w:multiLevelType w:val="hybridMultilevel"/>
    <w:tmpl w:val="7C625F16"/>
    <w:lvl w:ilvl="0" w:tplc="72A0C14C">
      <w:start w:val="1"/>
      <w:numFmt w:val="bullet"/>
      <w:lvlText w:val="o"/>
      <w:lvlJc w:val="left"/>
      <w:pPr>
        <w:tabs>
          <w:tab w:val="num" w:pos="568"/>
        </w:tabs>
        <w:ind w:left="284" w:firstLine="0"/>
      </w:pPr>
      <w:rPr>
        <w:rFonts w:ascii="Courier New" w:hAnsi="Courier New" w:hint="default"/>
        <w:sz w:val="16"/>
      </w:rPr>
    </w:lvl>
    <w:lvl w:ilvl="1" w:tplc="29F63732">
      <w:start w:val="1"/>
      <w:numFmt w:val="bullet"/>
      <w:pStyle w:val="StyleNumbPara-Bullet-1stLevelBefore0ptAfter0pt2"/>
      <w:lvlText w:val=""/>
      <w:lvlJc w:val="left"/>
      <w:pPr>
        <w:tabs>
          <w:tab w:val="num" w:pos="1080"/>
        </w:tabs>
        <w:ind w:left="1647" w:hanging="567"/>
      </w:pPr>
      <w:rPr>
        <w:rFonts w:ascii="Wingdings" w:hAnsi="Wingdings" w:hint="default"/>
        <w:sz w:val="16"/>
      </w:rPr>
    </w:lvl>
    <w:lvl w:ilvl="2" w:tplc="D150730E" w:tentative="1">
      <w:start w:val="1"/>
      <w:numFmt w:val="bullet"/>
      <w:lvlText w:val=""/>
      <w:lvlJc w:val="left"/>
      <w:pPr>
        <w:tabs>
          <w:tab w:val="num" w:pos="2160"/>
        </w:tabs>
        <w:ind w:left="2160" w:hanging="360"/>
      </w:pPr>
      <w:rPr>
        <w:rFonts w:ascii="Wingdings" w:hAnsi="Wingdings" w:hint="default"/>
      </w:rPr>
    </w:lvl>
    <w:lvl w:ilvl="3" w:tplc="4E9E6266" w:tentative="1">
      <w:start w:val="1"/>
      <w:numFmt w:val="bullet"/>
      <w:lvlText w:val=""/>
      <w:lvlJc w:val="left"/>
      <w:pPr>
        <w:tabs>
          <w:tab w:val="num" w:pos="2880"/>
        </w:tabs>
        <w:ind w:left="2880" w:hanging="360"/>
      </w:pPr>
      <w:rPr>
        <w:rFonts w:ascii="Symbol" w:hAnsi="Symbol" w:hint="default"/>
      </w:rPr>
    </w:lvl>
    <w:lvl w:ilvl="4" w:tplc="3BF4820A" w:tentative="1">
      <w:start w:val="1"/>
      <w:numFmt w:val="bullet"/>
      <w:lvlText w:val="o"/>
      <w:lvlJc w:val="left"/>
      <w:pPr>
        <w:tabs>
          <w:tab w:val="num" w:pos="3600"/>
        </w:tabs>
        <w:ind w:left="3600" w:hanging="360"/>
      </w:pPr>
      <w:rPr>
        <w:rFonts w:ascii="Courier New" w:hAnsi="Courier New" w:cs="Courier New" w:hint="default"/>
      </w:rPr>
    </w:lvl>
    <w:lvl w:ilvl="5" w:tplc="248A39CE" w:tentative="1">
      <w:start w:val="1"/>
      <w:numFmt w:val="bullet"/>
      <w:lvlText w:val=""/>
      <w:lvlJc w:val="left"/>
      <w:pPr>
        <w:tabs>
          <w:tab w:val="num" w:pos="4320"/>
        </w:tabs>
        <w:ind w:left="4320" w:hanging="360"/>
      </w:pPr>
      <w:rPr>
        <w:rFonts w:ascii="Wingdings" w:hAnsi="Wingdings" w:hint="default"/>
      </w:rPr>
    </w:lvl>
    <w:lvl w:ilvl="6" w:tplc="DDEAE728" w:tentative="1">
      <w:start w:val="1"/>
      <w:numFmt w:val="bullet"/>
      <w:lvlText w:val=""/>
      <w:lvlJc w:val="left"/>
      <w:pPr>
        <w:tabs>
          <w:tab w:val="num" w:pos="5040"/>
        </w:tabs>
        <w:ind w:left="5040" w:hanging="360"/>
      </w:pPr>
      <w:rPr>
        <w:rFonts w:ascii="Symbol" w:hAnsi="Symbol" w:hint="default"/>
      </w:rPr>
    </w:lvl>
    <w:lvl w:ilvl="7" w:tplc="7898C134" w:tentative="1">
      <w:start w:val="1"/>
      <w:numFmt w:val="bullet"/>
      <w:lvlText w:val="o"/>
      <w:lvlJc w:val="left"/>
      <w:pPr>
        <w:tabs>
          <w:tab w:val="num" w:pos="5760"/>
        </w:tabs>
        <w:ind w:left="5760" w:hanging="360"/>
      </w:pPr>
      <w:rPr>
        <w:rFonts w:ascii="Courier New" w:hAnsi="Courier New" w:cs="Courier New" w:hint="default"/>
      </w:rPr>
    </w:lvl>
    <w:lvl w:ilvl="8" w:tplc="7B6075B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B11DEF"/>
    <w:multiLevelType w:val="multilevel"/>
    <w:tmpl w:val="2F38E24A"/>
    <w:lvl w:ilvl="0">
      <w:start w:val="1"/>
      <w:numFmt w:val="bullet"/>
      <w:pStyle w:val="list1"/>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78854AAC"/>
    <w:multiLevelType w:val="hybridMultilevel"/>
    <w:tmpl w:val="52F851FE"/>
    <w:lvl w:ilvl="0" w:tplc="61F09D86">
      <w:start w:val="1"/>
      <w:numFmt w:val="decimal"/>
      <w:lvlText w:val="%1."/>
      <w:lvlJc w:val="left"/>
      <w:pPr>
        <w:tabs>
          <w:tab w:val="num" w:pos="567"/>
        </w:tabs>
        <w:ind w:left="567" w:hanging="567"/>
      </w:pPr>
      <w:rPr>
        <w:rFonts w:ascii="Corbel" w:hAnsi="Corbel" w:cs="Times New Roman" w:hint="default"/>
        <w:b w:val="0"/>
        <w:color w:val="auto"/>
        <w:sz w:val="23"/>
        <w:szCs w:val="23"/>
      </w:rPr>
    </w:lvl>
    <w:lvl w:ilvl="1" w:tplc="0C090001">
      <w:start w:val="1"/>
      <w:numFmt w:val="bullet"/>
      <w:lvlText w:val=""/>
      <w:lvlJc w:val="left"/>
      <w:pPr>
        <w:tabs>
          <w:tab w:val="num" w:pos="927"/>
        </w:tabs>
        <w:ind w:left="927" w:hanging="360"/>
      </w:pPr>
      <w:rPr>
        <w:rFonts w:ascii="Symbol" w:hAnsi="Symbol" w:hint="default"/>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1"/>
  </w:num>
  <w:num w:numId="2">
    <w:abstractNumId w:val="4"/>
  </w:num>
  <w:num w:numId="3">
    <w:abstractNumId w:val="5"/>
  </w:num>
  <w:num w:numId="4">
    <w:abstractNumId w:val="6"/>
  </w:num>
  <w:num w:numId="5">
    <w:abstractNumId w:val="2"/>
  </w:num>
  <w:num w:numId="6">
    <w:abstractNumId w:val="3"/>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87042768-0A1C-4E15-A722-F223D5D7BDF8}"/>
    <w:docVar w:name="dgnword-eventsink" w:val="559623240"/>
  </w:docVars>
  <w:rsids>
    <w:rsidRoot w:val="00C920A2"/>
    <w:rsid w:val="00003659"/>
    <w:rsid w:val="000140B8"/>
    <w:rsid w:val="000169F4"/>
    <w:rsid w:val="000207D2"/>
    <w:rsid w:val="00023CD1"/>
    <w:rsid w:val="00025757"/>
    <w:rsid w:val="0004721D"/>
    <w:rsid w:val="000620B1"/>
    <w:rsid w:val="00077C71"/>
    <w:rsid w:val="00081610"/>
    <w:rsid w:val="000C17F4"/>
    <w:rsid w:val="000C55DD"/>
    <w:rsid w:val="000C696E"/>
    <w:rsid w:val="000E1C7B"/>
    <w:rsid w:val="000F75FC"/>
    <w:rsid w:val="00100957"/>
    <w:rsid w:val="00103791"/>
    <w:rsid w:val="00111B1E"/>
    <w:rsid w:val="00115698"/>
    <w:rsid w:val="00116CA6"/>
    <w:rsid w:val="001206A2"/>
    <w:rsid w:val="0014549F"/>
    <w:rsid w:val="0014617E"/>
    <w:rsid w:val="001510D7"/>
    <w:rsid w:val="00160895"/>
    <w:rsid w:val="001A40B4"/>
    <w:rsid w:val="001A6023"/>
    <w:rsid w:val="001A7461"/>
    <w:rsid w:val="001B0174"/>
    <w:rsid w:val="001B4004"/>
    <w:rsid w:val="001C7F87"/>
    <w:rsid w:val="001D0826"/>
    <w:rsid w:val="001E145F"/>
    <w:rsid w:val="001E4920"/>
    <w:rsid w:val="001E630D"/>
    <w:rsid w:val="001E77C8"/>
    <w:rsid w:val="00200061"/>
    <w:rsid w:val="00202118"/>
    <w:rsid w:val="00207006"/>
    <w:rsid w:val="00207238"/>
    <w:rsid w:val="00212A9C"/>
    <w:rsid w:val="002175F6"/>
    <w:rsid w:val="002205B8"/>
    <w:rsid w:val="00223D3F"/>
    <w:rsid w:val="002240D2"/>
    <w:rsid w:val="00232640"/>
    <w:rsid w:val="002346B5"/>
    <w:rsid w:val="002578B9"/>
    <w:rsid w:val="00263EBF"/>
    <w:rsid w:val="00266619"/>
    <w:rsid w:val="0027431C"/>
    <w:rsid w:val="00276370"/>
    <w:rsid w:val="00281DFB"/>
    <w:rsid w:val="00283AA3"/>
    <w:rsid w:val="0029306E"/>
    <w:rsid w:val="002B33CC"/>
    <w:rsid w:val="002B3CC6"/>
    <w:rsid w:val="002B5258"/>
    <w:rsid w:val="002F131F"/>
    <w:rsid w:val="002F35B9"/>
    <w:rsid w:val="00301FF1"/>
    <w:rsid w:val="00311FC7"/>
    <w:rsid w:val="00312A61"/>
    <w:rsid w:val="00314121"/>
    <w:rsid w:val="00331B1E"/>
    <w:rsid w:val="00335A14"/>
    <w:rsid w:val="00337926"/>
    <w:rsid w:val="00341FAF"/>
    <w:rsid w:val="00367366"/>
    <w:rsid w:val="00371290"/>
    <w:rsid w:val="00376E97"/>
    <w:rsid w:val="0038044C"/>
    <w:rsid w:val="0038693F"/>
    <w:rsid w:val="003A1A7A"/>
    <w:rsid w:val="003A20E9"/>
    <w:rsid w:val="003B0D19"/>
    <w:rsid w:val="003B1DF3"/>
    <w:rsid w:val="003B2BB8"/>
    <w:rsid w:val="003D34FF"/>
    <w:rsid w:val="003D5D9D"/>
    <w:rsid w:val="003D7554"/>
    <w:rsid w:val="003E2B62"/>
    <w:rsid w:val="003F3B6C"/>
    <w:rsid w:val="003F71FA"/>
    <w:rsid w:val="00403055"/>
    <w:rsid w:val="00410E6B"/>
    <w:rsid w:val="004118D5"/>
    <w:rsid w:val="00412CDC"/>
    <w:rsid w:val="00417EF2"/>
    <w:rsid w:val="00421FD3"/>
    <w:rsid w:val="004220B3"/>
    <w:rsid w:val="004243F2"/>
    <w:rsid w:val="00440CB8"/>
    <w:rsid w:val="0045125E"/>
    <w:rsid w:val="00464330"/>
    <w:rsid w:val="004667C9"/>
    <w:rsid w:val="00476530"/>
    <w:rsid w:val="00482A8D"/>
    <w:rsid w:val="004879D5"/>
    <w:rsid w:val="0049780F"/>
    <w:rsid w:val="004B54CA"/>
    <w:rsid w:val="004B7B47"/>
    <w:rsid w:val="004C709C"/>
    <w:rsid w:val="004D587B"/>
    <w:rsid w:val="004E5B69"/>
    <w:rsid w:val="004E5CBF"/>
    <w:rsid w:val="004F21F4"/>
    <w:rsid w:val="004F46BF"/>
    <w:rsid w:val="004F77F4"/>
    <w:rsid w:val="005071A5"/>
    <w:rsid w:val="00517AE4"/>
    <w:rsid w:val="005200BC"/>
    <w:rsid w:val="00521A17"/>
    <w:rsid w:val="00530203"/>
    <w:rsid w:val="005312DA"/>
    <w:rsid w:val="005318C2"/>
    <w:rsid w:val="00540337"/>
    <w:rsid w:val="0054713E"/>
    <w:rsid w:val="0054755D"/>
    <w:rsid w:val="00561F57"/>
    <w:rsid w:val="00567053"/>
    <w:rsid w:val="00582B87"/>
    <w:rsid w:val="00584FC1"/>
    <w:rsid w:val="00586246"/>
    <w:rsid w:val="005877DC"/>
    <w:rsid w:val="005A763A"/>
    <w:rsid w:val="005B3E0F"/>
    <w:rsid w:val="005C28AF"/>
    <w:rsid w:val="005C3AA9"/>
    <w:rsid w:val="005C6BC1"/>
    <w:rsid w:val="005D40D0"/>
    <w:rsid w:val="005D7B34"/>
    <w:rsid w:val="005E6289"/>
    <w:rsid w:val="005F327B"/>
    <w:rsid w:val="005F4EAA"/>
    <w:rsid w:val="005F787E"/>
    <w:rsid w:val="006045F9"/>
    <w:rsid w:val="00604F82"/>
    <w:rsid w:val="00612C17"/>
    <w:rsid w:val="0062540B"/>
    <w:rsid w:val="006333F1"/>
    <w:rsid w:val="0064602F"/>
    <w:rsid w:val="00656E6B"/>
    <w:rsid w:val="00660A56"/>
    <w:rsid w:val="00662C61"/>
    <w:rsid w:val="00696D99"/>
    <w:rsid w:val="006A4CE7"/>
    <w:rsid w:val="006C246B"/>
    <w:rsid w:val="006D039F"/>
    <w:rsid w:val="006F11F0"/>
    <w:rsid w:val="006F5418"/>
    <w:rsid w:val="006F71F0"/>
    <w:rsid w:val="006F7FC1"/>
    <w:rsid w:val="007065F3"/>
    <w:rsid w:val="00714431"/>
    <w:rsid w:val="0073320E"/>
    <w:rsid w:val="0073651D"/>
    <w:rsid w:val="00750321"/>
    <w:rsid w:val="00760F6C"/>
    <w:rsid w:val="00775DF0"/>
    <w:rsid w:val="00785261"/>
    <w:rsid w:val="0078718B"/>
    <w:rsid w:val="00796D5C"/>
    <w:rsid w:val="007B0256"/>
    <w:rsid w:val="007B796B"/>
    <w:rsid w:val="007D63A7"/>
    <w:rsid w:val="0081086B"/>
    <w:rsid w:val="00822707"/>
    <w:rsid w:val="0082444E"/>
    <w:rsid w:val="0084227C"/>
    <w:rsid w:val="008565DF"/>
    <w:rsid w:val="0085710F"/>
    <w:rsid w:val="00870F90"/>
    <w:rsid w:val="008721DD"/>
    <w:rsid w:val="00876CA6"/>
    <w:rsid w:val="00877018"/>
    <w:rsid w:val="00877B26"/>
    <w:rsid w:val="0088321E"/>
    <w:rsid w:val="0088382F"/>
    <w:rsid w:val="00894113"/>
    <w:rsid w:val="008B5749"/>
    <w:rsid w:val="008E3090"/>
    <w:rsid w:val="008E7221"/>
    <w:rsid w:val="008F3023"/>
    <w:rsid w:val="008F5464"/>
    <w:rsid w:val="0090132D"/>
    <w:rsid w:val="00906656"/>
    <w:rsid w:val="00907A95"/>
    <w:rsid w:val="0091070E"/>
    <w:rsid w:val="00916F8F"/>
    <w:rsid w:val="009225F0"/>
    <w:rsid w:val="00923CDB"/>
    <w:rsid w:val="009428F6"/>
    <w:rsid w:val="0094563F"/>
    <w:rsid w:val="00960DBD"/>
    <w:rsid w:val="00964C18"/>
    <w:rsid w:val="00970BF9"/>
    <w:rsid w:val="009745CF"/>
    <w:rsid w:val="00991302"/>
    <w:rsid w:val="009D3CCB"/>
    <w:rsid w:val="009E392C"/>
    <w:rsid w:val="00A03802"/>
    <w:rsid w:val="00A069D6"/>
    <w:rsid w:val="00A06D43"/>
    <w:rsid w:val="00A10564"/>
    <w:rsid w:val="00A1287B"/>
    <w:rsid w:val="00A13549"/>
    <w:rsid w:val="00A15D6F"/>
    <w:rsid w:val="00A4085B"/>
    <w:rsid w:val="00A43E66"/>
    <w:rsid w:val="00A4462B"/>
    <w:rsid w:val="00A74769"/>
    <w:rsid w:val="00AA05A4"/>
    <w:rsid w:val="00AA27EB"/>
    <w:rsid w:val="00AA68CE"/>
    <w:rsid w:val="00AA7226"/>
    <w:rsid w:val="00AB0367"/>
    <w:rsid w:val="00AB6381"/>
    <w:rsid w:val="00AE4080"/>
    <w:rsid w:val="00B105D5"/>
    <w:rsid w:val="00B10EB1"/>
    <w:rsid w:val="00B23605"/>
    <w:rsid w:val="00B25125"/>
    <w:rsid w:val="00B51393"/>
    <w:rsid w:val="00B70E97"/>
    <w:rsid w:val="00B772DB"/>
    <w:rsid w:val="00BA2DB9"/>
    <w:rsid w:val="00BB2375"/>
    <w:rsid w:val="00BD7DC9"/>
    <w:rsid w:val="00BE7148"/>
    <w:rsid w:val="00C027B8"/>
    <w:rsid w:val="00C06298"/>
    <w:rsid w:val="00C5232A"/>
    <w:rsid w:val="00C57001"/>
    <w:rsid w:val="00C757E8"/>
    <w:rsid w:val="00C807FE"/>
    <w:rsid w:val="00C809C3"/>
    <w:rsid w:val="00C8209A"/>
    <w:rsid w:val="00C91A07"/>
    <w:rsid w:val="00C920A2"/>
    <w:rsid w:val="00C97D5D"/>
    <w:rsid w:val="00CC07A4"/>
    <w:rsid w:val="00CE0823"/>
    <w:rsid w:val="00CE1CB4"/>
    <w:rsid w:val="00CF0FAB"/>
    <w:rsid w:val="00D01CEB"/>
    <w:rsid w:val="00D22A8A"/>
    <w:rsid w:val="00D22AD0"/>
    <w:rsid w:val="00D4070E"/>
    <w:rsid w:val="00D5599D"/>
    <w:rsid w:val="00D57CBF"/>
    <w:rsid w:val="00D71C54"/>
    <w:rsid w:val="00D7519F"/>
    <w:rsid w:val="00D7667B"/>
    <w:rsid w:val="00D77B5E"/>
    <w:rsid w:val="00D80BA5"/>
    <w:rsid w:val="00D8415A"/>
    <w:rsid w:val="00D86E50"/>
    <w:rsid w:val="00D90D3C"/>
    <w:rsid w:val="00D955EC"/>
    <w:rsid w:val="00DA4018"/>
    <w:rsid w:val="00DC38A8"/>
    <w:rsid w:val="00DC4075"/>
    <w:rsid w:val="00DE02AB"/>
    <w:rsid w:val="00DE113A"/>
    <w:rsid w:val="00DE4332"/>
    <w:rsid w:val="00DF2760"/>
    <w:rsid w:val="00DF4939"/>
    <w:rsid w:val="00DF5EF1"/>
    <w:rsid w:val="00E033E8"/>
    <w:rsid w:val="00E1756C"/>
    <w:rsid w:val="00E2092B"/>
    <w:rsid w:val="00E23AB1"/>
    <w:rsid w:val="00E373C5"/>
    <w:rsid w:val="00E43930"/>
    <w:rsid w:val="00E46AFB"/>
    <w:rsid w:val="00E708BB"/>
    <w:rsid w:val="00E7408D"/>
    <w:rsid w:val="00E744E9"/>
    <w:rsid w:val="00E77516"/>
    <w:rsid w:val="00EA116D"/>
    <w:rsid w:val="00EC0AFC"/>
    <w:rsid w:val="00EC1E37"/>
    <w:rsid w:val="00EE22B2"/>
    <w:rsid w:val="00EE3834"/>
    <w:rsid w:val="00EE59B5"/>
    <w:rsid w:val="00EF41C6"/>
    <w:rsid w:val="00F03B4E"/>
    <w:rsid w:val="00F12C6D"/>
    <w:rsid w:val="00F2024E"/>
    <w:rsid w:val="00F257B3"/>
    <w:rsid w:val="00F27D5A"/>
    <w:rsid w:val="00F30908"/>
    <w:rsid w:val="00F44B57"/>
    <w:rsid w:val="00F54CD1"/>
    <w:rsid w:val="00F73AA2"/>
    <w:rsid w:val="00F8204C"/>
    <w:rsid w:val="00F85669"/>
    <w:rsid w:val="00FA1D80"/>
    <w:rsid w:val="00FA763A"/>
    <w:rsid w:val="00FC143A"/>
    <w:rsid w:val="00FC4B3B"/>
    <w:rsid w:val="00FF63D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CBF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1F0"/>
    <w:pPr>
      <w:spacing w:before="120" w:after="180" w:line="280" w:lineRule="atLeast"/>
    </w:pPr>
    <w:rPr>
      <w:rFonts w:ascii="Arial" w:eastAsia="Times New Roman" w:hAnsi="Arial" w:cs="Times New Roman"/>
      <w:spacing w:val="4"/>
      <w:sz w:val="24"/>
      <w:szCs w:val="24"/>
      <w:lang w:eastAsia="en-AU"/>
    </w:rPr>
  </w:style>
  <w:style w:type="paragraph" w:styleId="Heading1">
    <w:name w:val="heading 1"/>
    <w:basedOn w:val="Normal"/>
    <w:next w:val="Normal"/>
    <w:link w:val="Heading1Char"/>
    <w:uiPriority w:val="2"/>
    <w:qFormat/>
    <w:rsid w:val="006F11F0"/>
    <w:pPr>
      <w:spacing w:before="360" w:after="120" w:line="240" w:lineRule="auto"/>
      <w:contextualSpacing/>
      <w:outlineLvl w:val="0"/>
    </w:pPr>
    <w:rPr>
      <w:rFonts w:ascii="Georgia" w:eastAsiaTheme="majorEastAsia" w:hAnsi="Georgia" w:cstheme="majorBidi"/>
      <w:bCs/>
      <w:color w:val="275D38"/>
      <w:sz w:val="36"/>
      <w:szCs w:val="28"/>
    </w:rPr>
  </w:style>
  <w:style w:type="paragraph" w:styleId="Heading2">
    <w:name w:val="heading 2"/>
    <w:basedOn w:val="Normal"/>
    <w:next w:val="Normal"/>
    <w:link w:val="Heading2Char"/>
    <w:uiPriority w:val="2"/>
    <w:unhideWhenUsed/>
    <w:qFormat/>
    <w:rsid w:val="00D01CEB"/>
    <w:pPr>
      <w:spacing w:before="240" w:after="120" w:line="240" w:lineRule="auto"/>
      <w:outlineLvl w:val="1"/>
    </w:pPr>
    <w:rPr>
      <w:rFonts w:ascii="Georgia" w:eastAsiaTheme="majorEastAsia" w:hAnsi="Georgia" w:cstheme="majorBidi"/>
      <w:bCs/>
      <w:color w:val="275D38"/>
      <w:sz w:val="32"/>
      <w:szCs w:val="26"/>
    </w:rPr>
  </w:style>
  <w:style w:type="paragraph" w:styleId="Heading3">
    <w:name w:val="heading 3"/>
    <w:basedOn w:val="Normal"/>
    <w:next w:val="Normal"/>
    <w:link w:val="Heading3Char"/>
    <w:uiPriority w:val="9"/>
    <w:unhideWhenUsed/>
    <w:qFormat/>
    <w:rsid w:val="002B3CC6"/>
    <w:pPr>
      <w:spacing w:before="200" w:after="0" w:line="271" w:lineRule="auto"/>
      <w:outlineLvl w:val="2"/>
    </w:pPr>
    <w:rPr>
      <w:rFonts w:ascii="Georgia" w:eastAsiaTheme="majorEastAsia" w:hAnsi="Georgia" w:cstheme="majorBidi"/>
      <w:bCs/>
      <w:sz w:val="28"/>
    </w:rPr>
  </w:style>
  <w:style w:type="paragraph" w:styleId="Heading4">
    <w:name w:val="heading 4"/>
    <w:basedOn w:val="Normal"/>
    <w:next w:val="Normal"/>
    <w:link w:val="Heading4Char"/>
    <w:uiPriority w:val="9"/>
    <w:unhideWhenUsed/>
    <w:qFormat/>
    <w:rsid w:val="0054713E"/>
    <w:pPr>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54713E"/>
    <w:pPr>
      <w:spacing w:before="200" w:after="0"/>
      <w:outlineLvl w:val="4"/>
    </w:pPr>
    <w:rPr>
      <w:rFonts w:eastAsiaTheme="majorEastAsia" w:cstheme="majorBidi"/>
      <w:bCs/>
    </w:rPr>
  </w:style>
  <w:style w:type="paragraph" w:styleId="Heading6">
    <w:name w:val="heading 6"/>
    <w:basedOn w:val="Normal"/>
    <w:next w:val="Normal"/>
    <w:link w:val="Heading6Char"/>
    <w:uiPriority w:val="9"/>
    <w:unhideWhenUsed/>
    <w:qFormat/>
    <w:rsid w:val="0054713E"/>
    <w:pPr>
      <w:spacing w:after="0" w:line="271" w:lineRule="auto"/>
      <w:outlineLvl w:val="5"/>
    </w:pPr>
    <w:rPr>
      <w:rFonts w:eastAsiaTheme="majorEastAsia" w:cstheme="majorBidi"/>
      <w:bCs/>
      <w:iCs/>
    </w:rPr>
  </w:style>
  <w:style w:type="paragraph" w:styleId="Heading7">
    <w:name w:val="heading 7"/>
    <w:basedOn w:val="Normal"/>
    <w:next w:val="Normal"/>
    <w:link w:val="Heading7Char"/>
    <w:uiPriority w:val="9"/>
    <w:unhideWhenUsed/>
    <w:qFormat/>
    <w:rsid w:val="0054713E"/>
    <w:pPr>
      <w:spacing w:after="0"/>
      <w:outlineLvl w:val="6"/>
    </w:pPr>
    <w:rPr>
      <w:rFonts w:eastAsiaTheme="majorEastAsia" w:cstheme="majorBid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54713E"/>
    <w:pPr>
      <w:spacing w:after="0"/>
      <w:outlineLvl w:val="8"/>
    </w:pPr>
    <w:rPr>
      <w:rFonts w:eastAsiaTheme="majorEastAsia" w:cstheme="majorBid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6F11F0"/>
    <w:rPr>
      <w:rFonts w:ascii="Georgia" w:eastAsiaTheme="majorEastAsia" w:hAnsi="Georgia" w:cstheme="majorBidi"/>
      <w:bCs/>
      <w:color w:val="275D38"/>
      <w:spacing w:val="4"/>
      <w:sz w:val="36"/>
      <w:szCs w:val="28"/>
      <w:lang w:eastAsia="en-AU"/>
    </w:rPr>
  </w:style>
  <w:style w:type="character" w:customStyle="1" w:styleId="Heading2Char">
    <w:name w:val="Heading 2 Char"/>
    <w:basedOn w:val="DefaultParagraphFont"/>
    <w:link w:val="Heading2"/>
    <w:uiPriority w:val="9"/>
    <w:rsid w:val="00D01CEB"/>
    <w:rPr>
      <w:rFonts w:ascii="Georgia" w:eastAsiaTheme="majorEastAsia" w:hAnsi="Georgia" w:cstheme="majorBidi"/>
      <w:bCs/>
      <w:color w:val="275D38"/>
      <w:sz w:val="32"/>
      <w:szCs w:val="26"/>
      <w:lang w:eastAsia="en-AU"/>
    </w:rPr>
  </w:style>
  <w:style w:type="character" w:customStyle="1" w:styleId="Heading3Char">
    <w:name w:val="Heading 3 Char"/>
    <w:basedOn w:val="DefaultParagraphFont"/>
    <w:link w:val="Heading3"/>
    <w:uiPriority w:val="9"/>
    <w:rsid w:val="002B3CC6"/>
    <w:rPr>
      <w:rFonts w:ascii="Georgia" w:eastAsiaTheme="majorEastAsia" w:hAnsi="Georgia" w:cstheme="majorBidi"/>
      <w:bCs/>
      <w:sz w:val="28"/>
      <w:szCs w:val="24"/>
      <w:lang w:eastAsia="en-AU"/>
    </w:rPr>
  </w:style>
  <w:style w:type="character" w:customStyle="1" w:styleId="Heading4Char">
    <w:name w:val="Heading 4 Char"/>
    <w:basedOn w:val="DefaultParagraphFont"/>
    <w:link w:val="Heading4"/>
    <w:uiPriority w:val="9"/>
    <w:rsid w:val="0054713E"/>
    <w:rPr>
      <w:rFonts w:ascii="Arial" w:eastAsiaTheme="majorEastAsia" w:hAnsi="Arial" w:cstheme="majorBidi"/>
      <w:b/>
      <w:bCs/>
      <w:iCs/>
      <w:szCs w:val="24"/>
      <w:lang w:eastAsia="en-AU"/>
    </w:rPr>
  </w:style>
  <w:style w:type="character" w:customStyle="1" w:styleId="Heading5Char">
    <w:name w:val="Heading 5 Char"/>
    <w:basedOn w:val="DefaultParagraphFont"/>
    <w:link w:val="Heading5"/>
    <w:uiPriority w:val="9"/>
    <w:rsid w:val="0054713E"/>
    <w:rPr>
      <w:rFonts w:ascii="Arial" w:eastAsiaTheme="majorEastAsia" w:hAnsi="Arial" w:cstheme="majorBidi"/>
      <w:bCs/>
      <w:szCs w:val="24"/>
      <w:lang w:eastAsia="en-AU"/>
    </w:rPr>
  </w:style>
  <w:style w:type="character" w:customStyle="1" w:styleId="Heading6Char">
    <w:name w:val="Heading 6 Char"/>
    <w:basedOn w:val="DefaultParagraphFont"/>
    <w:link w:val="Heading6"/>
    <w:uiPriority w:val="2"/>
    <w:rsid w:val="0054713E"/>
    <w:rPr>
      <w:rFonts w:ascii="Arial" w:eastAsiaTheme="majorEastAsia" w:hAnsi="Arial" w:cstheme="majorBidi"/>
      <w:bCs/>
      <w:iCs/>
      <w:szCs w:val="24"/>
      <w:lang w:eastAsia="en-AU"/>
    </w:rPr>
  </w:style>
  <w:style w:type="character" w:customStyle="1" w:styleId="Heading7Char">
    <w:name w:val="Heading 7 Char"/>
    <w:basedOn w:val="DefaultParagraphFont"/>
    <w:link w:val="Heading7"/>
    <w:uiPriority w:val="9"/>
    <w:rsid w:val="0054713E"/>
    <w:rPr>
      <w:rFonts w:ascii="Arial" w:eastAsiaTheme="majorEastAsia" w:hAnsi="Arial" w:cstheme="majorBidi"/>
      <w:iCs/>
      <w:szCs w:val="24"/>
      <w:lang w:eastAsia="en-AU"/>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54713E"/>
    <w:rPr>
      <w:rFonts w:ascii="Arial" w:eastAsiaTheme="majorEastAsia" w:hAnsi="Arial" w:cstheme="majorBidi"/>
      <w:iCs/>
      <w:spacing w:val="5"/>
      <w:szCs w:val="20"/>
      <w:lang w:eastAsia="en-AU"/>
    </w:rPr>
  </w:style>
  <w:style w:type="paragraph" w:styleId="NoSpacing">
    <w:name w:val="No Spacing"/>
    <w:basedOn w:val="Normal"/>
    <w:link w:val="NoSpacingChar"/>
    <w:uiPriority w:val="1"/>
    <w:qFormat/>
    <w:rsid w:val="004B54CA"/>
    <w:pPr>
      <w:spacing w:after="0" w:line="240" w:lineRule="auto"/>
    </w:pPr>
  </w:style>
  <w:style w:type="character" w:customStyle="1" w:styleId="NoSpacingChar">
    <w:name w:val="No Spacing Char"/>
    <w:basedOn w:val="DefaultParagraphFont"/>
    <w:link w:val="NoSpacing"/>
    <w:uiPriority w:val="1"/>
    <w:rsid w:val="004B54CA"/>
    <w:rPr>
      <w:rFonts w:ascii="Arial" w:hAnsi="Arial"/>
    </w:rPr>
  </w:style>
  <w:style w:type="paragraph" w:styleId="Title">
    <w:name w:val="Title"/>
    <w:basedOn w:val="Normal"/>
    <w:next w:val="Normal"/>
    <w:link w:val="TitleChar"/>
    <w:uiPriority w:val="99"/>
    <w:qFormat/>
    <w:rsid w:val="006F11F0"/>
    <w:pPr>
      <w:spacing w:before="1440" w:line="240" w:lineRule="auto"/>
      <w:contextualSpacing/>
    </w:pPr>
    <w:rPr>
      <w:rFonts w:ascii="Georgia" w:eastAsiaTheme="majorEastAsia" w:hAnsi="Georgia" w:cstheme="majorBidi"/>
      <w:color w:val="275D38"/>
      <w:spacing w:val="5"/>
      <w:sz w:val="72"/>
      <w:szCs w:val="52"/>
    </w:rPr>
  </w:style>
  <w:style w:type="character" w:customStyle="1" w:styleId="TitleChar">
    <w:name w:val="Title Char"/>
    <w:basedOn w:val="DefaultParagraphFont"/>
    <w:link w:val="Title"/>
    <w:uiPriority w:val="99"/>
    <w:rsid w:val="006F11F0"/>
    <w:rPr>
      <w:rFonts w:ascii="Georgia" w:eastAsiaTheme="majorEastAsia" w:hAnsi="Georgia" w:cstheme="majorBidi"/>
      <w:color w:val="275D38"/>
      <w:spacing w:val="5"/>
      <w:sz w:val="72"/>
      <w:szCs w:val="52"/>
      <w:lang w:eastAsia="en-AU"/>
    </w:rPr>
  </w:style>
  <w:style w:type="paragraph" w:styleId="Subtitle">
    <w:name w:val="Subtitle"/>
    <w:basedOn w:val="Normal"/>
    <w:next w:val="Normal"/>
    <w:link w:val="SubtitleChar"/>
    <w:uiPriority w:val="99"/>
    <w:qFormat/>
    <w:rsid w:val="006F11F0"/>
    <w:pPr>
      <w:spacing w:before="240" w:after="600" w:line="240" w:lineRule="auto"/>
    </w:pPr>
    <w:rPr>
      <w:rFonts w:ascii="Georgia" w:eastAsiaTheme="majorEastAsia" w:hAnsi="Georgia" w:cstheme="majorBidi"/>
      <w:iCs/>
      <w:spacing w:val="6"/>
      <w:sz w:val="36"/>
    </w:rPr>
  </w:style>
  <w:style w:type="character" w:customStyle="1" w:styleId="SubtitleChar">
    <w:name w:val="Subtitle Char"/>
    <w:basedOn w:val="DefaultParagraphFont"/>
    <w:link w:val="Subtitle"/>
    <w:uiPriority w:val="99"/>
    <w:rsid w:val="006F11F0"/>
    <w:rPr>
      <w:rFonts w:ascii="Georgia" w:eastAsiaTheme="majorEastAsia" w:hAnsi="Georgia" w:cstheme="majorBidi"/>
      <w:iCs/>
      <w:spacing w:val="6"/>
      <w:sz w:val="36"/>
      <w:szCs w:val="24"/>
      <w:lang w:eastAsia="en-AU"/>
    </w:rPr>
  </w:style>
  <w:style w:type="character" w:styleId="SubtleEmphasis">
    <w:name w:val="Subtle Emphasis"/>
    <w:uiPriority w:val="19"/>
    <w:qFormat/>
    <w:rsid w:val="004B54CA"/>
    <w:rPr>
      <w:i/>
      <w:iCs/>
    </w:rPr>
  </w:style>
  <w:style w:type="character" w:styleId="Strong">
    <w:name w:val="Strong"/>
    <w:aliases w:val="Bold"/>
    <w:uiPriority w:val="22"/>
    <w:qFormat/>
    <w:rsid w:val="004B54CA"/>
    <w:rPr>
      <w:b/>
      <w:bCs/>
    </w:rPr>
  </w:style>
  <w:style w:type="paragraph" w:styleId="ListParagraph">
    <w:name w:val="List Paragraph"/>
    <w:aliases w:val="Bullet Point,Bullet point,Bullet points,CV text,Content descriptions,Dot pt,F5 List Paragraph,L,List Paragraph1,List Paragraph11,List Paragraph111,Main,Medium Grid 1 - Accent 21,NFP GP Bulleted List,Numbered Paragraph,Recommendation,Table"/>
    <w:basedOn w:val="Normal"/>
    <w:link w:val="ListParagraphChar"/>
    <w:uiPriority w:val="34"/>
    <w:qFormat/>
    <w:rsid w:val="00417EF2"/>
    <w:pPr>
      <w:ind w:left="720"/>
      <w:contextualSpacing/>
    </w:pPr>
  </w:style>
  <w:style w:type="character" w:customStyle="1" w:styleId="ListParagraphChar">
    <w:name w:val="List Paragraph Char"/>
    <w:aliases w:val="Bullet Point Char,Bullet point Char,Bullet points Char,CV text Char,Content descriptions Char,Dot pt Char,F5 List Paragraph Char,L Char,List Paragraph1 Char,List Paragraph11 Char,List Paragraph111 Char,Main Char,Recommendation Char"/>
    <w:basedOn w:val="DefaultParagraphFont"/>
    <w:link w:val="ListParagraph"/>
    <w:uiPriority w:val="34"/>
    <w:locked/>
    <w:rsid w:val="00C920A2"/>
    <w:rPr>
      <w:rFonts w:ascii="Arial" w:eastAsia="Times New Roman" w:hAnsi="Arial" w:cs="Times New Roman"/>
      <w:spacing w:val="4"/>
      <w:sz w:val="24"/>
      <w:szCs w:val="24"/>
      <w:lang w:eastAsia="en-AU"/>
    </w:r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customStyle="1" w:styleId="Titlepage">
    <w:name w:val="Title page"/>
    <w:basedOn w:val="Title"/>
    <w:qFormat/>
    <w:rsid w:val="00D01CEB"/>
    <w:pPr>
      <w:spacing w:before="4000"/>
      <w:jc w:val="center"/>
    </w:pPr>
  </w:style>
  <w:style w:type="paragraph" w:styleId="Caption">
    <w:name w:val="caption"/>
    <w:aliases w:val="Caption Table title,table title"/>
    <w:basedOn w:val="Normal"/>
    <w:next w:val="Normal"/>
    <w:uiPriority w:val="35"/>
    <w:unhideWhenUsed/>
    <w:rsid w:val="006F11F0"/>
    <w:pPr>
      <w:spacing w:before="360" w:after="120" w:line="240" w:lineRule="atLeast"/>
    </w:pPr>
    <w:rPr>
      <w:b/>
      <w:bCs/>
      <w:szCs w:val="18"/>
    </w:rPr>
  </w:style>
  <w:style w:type="paragraph" w:styleId="TOCHeading">
    <w:name w:val="TOC Heading"/>
    <w:basedOn w:val="Heading1"/>
    <w:next w:val="Normal"/>
    <w:uiPriority w:val="39"/>
    <w:unhideWhenUsed/>
    <w:qFormat/>
    <w:rsid w:val="004B54CA"/>
    <w:pPr>
      <w:outlineLvl w:val="9"/>
    </w:pPr>
    <w:rPr>
      <w:lang w:bidi="en-US"/>
    </w:rPr>
  </w:style>
  <w:style w:type="paragraph" w:styleId="Header">
    <w:name w:val="header"/>
    <w:basedOn w:val="Normal"/>
    <w:link w:val="HeaderChar"/>
    <w:uiPriority w:val="99"/>
    <w:unhideWhenUsed/>
    <w:rsid w:val="00D01CEB"/>
    <w:pPr>
      <w:pBdr>
        <w:bottom w:val="single" w:sz="18" w:space="1" w:color="275D38"/>
      </w:pBdr>
      <w:tabs>
        <w:tab w:val="center" w:pos="4513"/>
        <w:tab w:val="right" w:pos="9026"/>
      </w:tabs>
      <w:spacing w:before="600" w:after="720" w:line="240" w:lineRule="auto"/>
    </w:pPr>
    <w:rPr>
      <w:rFonts w:ascii="Georgia" w:hAnsi="Georgia"/>
      <w:color w:val="275D38"/>
    </w:rPr>
  </w:style>
  <w:style w:type="character" w:customStyle="1" w:styleId="HeaderChar">
    <w:name w:val="Header Char"/>
    <w:basedOn w:val="DefaultParagraphFont"/>
    <w:link w:val="Header"/>
    <w:uiPriority w:val="99"/>
    <w:rsid w:val="00D01CEB"/>
    <w:rPr>
      <w:rFonts w:ascii="Georgia" w:eastAsia="Times New Roman" w:hAnsi="Georgia" w:cs="Times New Roman"/>
      <w:color w:val="275D38"/>
      <w:szCs w:val="24"/>
      <w:lang w:eastAsia="en-AU"/>
    </w:rPr>
  </w:style>
  <w:style w:type="paragraph" w:styleId="Footer">
    <w:name w:val="footer"/>
    <w:basedOn w:val="Normal"/>
    <w:link w:val="FooterChar"/>
    <w:uiPriority w:val="99"/>
    <w:unhideWhenUsed/>
    <w:rsid w:val="008F30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3023"/>
    <w:rPr>
      <w:rFonts w:ascii="Arial" w:hAnsi="Arial"/>
    </w:rPr>
  </w:style>
  <w:style w:type="paragraph" w:styleId="BalloonText">
    <w:name w:val="Balloon Text"/>
    <w:basedOn w:val="Normal"/>
    <w:link w:val="BalloonTextChar"/>
    <w:uiPriority w:val="99"/>
    <w:semiHidden/>
    <w:unhideWhenUsed/>
    <w:rsid w:val="008F3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023"/>
    <w:rPr>
      <w:rFonts w:ascii="Tahoma" w:hAnsi="Tahoma" w:cs="Tahoma"/>
      <w:sz w:val="16"/>
      <w:szCs w:val="16"/>
    </w:rPr>
  </w:style>
  <w:style w:type="paragraph" w:styleId="ListBullet">
    <w:name w:val="List Bullet"/>
    <w:basedOn w:val="Normal"/>
    <w:uiPriority w:val="1"/>
    <w:qFormat/>
    <w:rsid w:val="00417EF2"/>
    <w:pPr>
      <w:numPr>
        <w:numId w:val="1"/>
      </w:numPr>
      <w:tabs>
        <w:tab w:val="clear" w:pos="360"/>
        <w:tab w:val="left" w:pos="170"/>
      </w:tabs>
      <w:ind w:left="170" w:hanging="170"/>
    </w:pPr>
  </w:style>
  <w:style w:type="paragraph" w:customStyle="1" w:styleId="Pullouttext">
    <w:name w:val="Pullout text"/>
    <w:next w:val="Normal"/>
    <w:link w:val="PullouttextChar"/>
    <w:uiPriority w:val="3"/>
    <w:qFormat/>
    <w:rsid w:val="00263EBF"/>
    <w:pPr>
      <w:spacing w:before="120" w:after="120" w:line="240" w:lineRule="auto"/>
      <w:ind w:left="397"/>
      <w:contextualSpacing/>
    </w:pPr>
    <w:rPr>
      <w:rFonts w:ascii="Georgia" w:eastAsia="Times New Roman" w:hAnsi="Georgia" w:cs="Arial"/>
      <w:bCs/>
      <w:iCs/>
      <w:color w:val="275D38"/>
      <w:sz w:val="24"/>
      <w:szCs w:val="28"/>
      <w:lang w:eastAsia="en-AU"/>
    </w:rPr>
  </w:style>
  <w:style w:type="character" w:customStyle="1" w:styleId="PullouttextChar">
    <w:name w:val="Pullout text Char"/>
    <w:basedOn w:val="Heading2Char"/>
    <w:link w:val="Pullouttext"/>
    <w:uiPriority w:val="3"/>
    <w:rsid w:val="00263EBF"/>
    <w:rPr>
      <w:rFonts w:ascii="Georgia" w:eastAsia="Times New Roman" w:hAnsi="Georgia" w:cs="Arial"/>
      <w:bCs/>
      <w:iCs/>
      <w:color w:val="275D38"/>
      <w:sz w:val="24"/>
      <w:szCs w:val="28"/>
      <w:lang w:eastAsia="en-AU"/>
    </w:rPr>
  </w:style>
  <w:style w:type="character" w:styleId="Hyperlink">
    <w:name w:val="Hyperlink"/>
    <w:basedOn w:val="DefaultParagraphFont"/>
    <w:uiPriority w:val="99"/>
    <w:rsid w:val="00D22A8A"/>
    <w:rPr>
      <w:rFonts w:ascii="Arial" w:hAnsi="Arial"/>
      <w:b w:val="0"/>
      <w:color w:val="0000FF"/>
      <w:sz w:val="22"/>
      <w:u w:val="single"/>
    </w:rPr>
  </w:style>
  <w:style w:type="paragraph" w:styleId="NormalWeb">
    <w:name w:val="Normal (Web)"/>
    <w:basedOn w:val="Normal"/>
    <w:uiPriority w:val="99"/>
    <w:semiHidden/>
    <w:unhideWhenUsed/>
    <w:rsid w:val="00876CA6"/>
    <w:pPr>
      <w:spacing w:before="100" w:beforeAutospacing="1" w:after="100" w:afterAutospacing="1" w:line="240" w:lineRule="auto"/>
    </w:pPr>
    <w:rPr>
      <w:rFonts w:ascii="Times New Roman" w:hAnsi="Times New Roman"/>
    </w:rPr>
  </w:style>
  <w:style w:type="paragraph" w:styleId="TOC1">
    <w:name w:val="toc 1"/>
    <w:basedOn w:val="Normal"/>
    <w:next w:val="Normal"/>
    <w:autoRedefine/>
    <w:uiPriority w:val="39"/>
    <w:unhideWhenUsed/>
    <w:rsid w:val="00876CA6"/>
    <w:pPr>
      <w:spacing w:after="100"/>
    </w:pPr>
  </w:style>
  <w:style w:type="paragraph" w:styleId="TOC2">
    <w:name w:val="toc 2"/>
    <w:basedOn w:val="Normal"/>
    <w:next w:val="Normal"/>
    <w:autoRedefine/>
    <w:uiPriority w:val="39"/>
    <w:unhideWhenUsed/>
    <w:rsid w:val="00876CA6"/>
    <w:pPr>
      <w:spacing w:after="100"/>
      <w:ind w:left="200"/>
    </w:pPr>
  </w:style>
  <w:style w:type="paragraph" w:styleId="TOC3">
    <w:name w:val="toc 3"/>
    <w:basedOn w:val="Normal"/>
    <w:next w:val="Normal"/>
    <w:autoRedefine/>
    <w:uiPriority w:val="39"/>
    <w:unhideWhenUsed/>
    <w:rsid w:val="00876CA6"/>
    <w:pPr>
      <w:spacing w:after="100"/>
      <w:ind w:left="400"/>
    </w:pPr>
  </w:style>
  <w:style w:type="paragraph" w:customStyle="1" w:styleId="Smalltext">
    <w:name w:val="Small text"/>
    <w:basedOn w:val="Normal"/>
    <w:rsid w:val="0054713E"/>
    <w:pPr>
      <w:spacing w:before="480" w:after="120" w:line="240" w:lineRule="auto"/>
    </w:pPr>
    <w:rPr>
      <w:sz w:val="12"/>
      <w:szCs w:val="16"/>
      <w:lang w:val="en-US"/>
    </w:rPr>
  </w:style>
  <w:style w:type="table" w:styleId="TableGrid">
    <w:name w:val="Table Grid"/>
    <w:basedOn w:val="TableNormal"/>
    <w:uiPriority w:val="59"/>
    <w:rsid w:val="00AA72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SSDatatablestyle">
    <w:name w:val="DSS Data table style"/>
    <w:basedOn w:val="TableNormal"/>
    <w:uiPriority w:val="99"/>
    <w:rsid w:val="005C6BC1"/>
    <w:pPr>
      <w:spacing w:after="0" w:line="240" w:lineRule="auto"/>
    </w:pPr>
    <w:rPr>
      <w:rFonts w:ascii="Arial" w:hAnsi="Arial"/>
    </w:rPr>
    <w:tblPr>
      <w:tblStyleRowBandSize w:val="1"/>
      <w:tblInd w:w="113" w:type="dxa"/>
    </w:tblPr>
    <w:tblStylePr w:type="firstRow">
      <w:rPr>
        <w:rFonts w:ascii="Arial" w:hAnsi="Arial"/>
        <w:b/>
        <w:color w:val="FFFFFF" w:themeColor="background1"/>
        <w:sz w:val="22"/>
      </w:rPr>
      <w:tblPr/>
      <w:tcPr>
        <w:shd w:val="clear" w:color="auto" w:fill="275D38"/>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F3F9E7"/>
      </w:tcPr>
    </w:tblStylePr>
  </w:style>
  <w:style w:type="table" w:customStyle="1" w:styleId="DSSTableStyleB">
    <w:name w:val="DSS Table Style B"/>
    <w:basedOn w:val="TableNormal"/>
    <w:uiPriority w:val="99"/>
    <w:rsid w:val="006F11F0"/>
    <w:pPr>
      <w:spacing w:after="0" w:line="240" w:lineRule="auto"/>
    </w:pPr>
    <w:rPr>
      <w:rFonts w:ascii="Arial" w:hAnsi="Arial"/>
    </w:rPr>
    <w:tblPr>
      <w:tblStyleRowBandSize w:val="1"/>
      <w:tblInd w:w="113" w:type="dxa"/>
    </w:tblPr>
    <w:tblStylePr w:type="firstRow">
      <w:pPr>
        <w:jc w:val="left"/>
      </w:pPr>
      <w:rPr>
        <w:rFonts w:ascii="Arial" w:hAnsi="Arial"/>
        <w:b/>
        <w:sz w:val="22"/>
      </w:rPr>
      <w:tblPr/>
      <w:tcPr>
        <w:shd w:val="clear" w:color="auto" w:fill="C2E189"/>
      </w:tcPr>
    </w:tblStylePr>
    <w:tblStylePr w:type="lastRow">
      <w:rPr>
        <w:rFonts w:ascii="Arial" w:hAnsi="Arial"/>
        <w:b/>
        <w:sz w:val="22"/>
      </w:rPr>
      <w:tblPr/>
      <w:tcPr>
        <w:tcBorders>
          <w:top w:val="single" w:sz="4" w:space="0" w:color="000000" w:themeColor="text1"/>
          <w:left w:val="nil"/>
          <w:bottom w:val="single" w:sz="4" w:space="0" w:color="000000" w:themeColor="text1"/>
          <w:right w:val="nil"/>
          <w:insideH w:val="nil"/>
          <w:insideV w:val="nil"/>
        </w:tcBorders>
        <w:shd w:val="clear" w:color="auto" w:fill="F2F2F2" w:themeFill="background1" w:themeFillShade="F2"/>
      </w:tcPr>
    </w:tblStylePr>
  </w:style>
  <w:style w:type="character" w:styleId="BookTitle">
    <w:name w:val="Book Title"/>
    <w:uiPriority w:val="33"/>
    <w:qFormat/>
    <w:rsid w:val="00C920A2"/>
    <w:rPr>
      <w:i/>
      <w:iCs/>
      <w:smallCaps/>
      <w:spacing w:val="5"/>
    </w:rPr>
  </w:style>
  <w:style w:type="paragraph" w:customStyle="1" w:styleId="Default">
    <w:name w:val="Default"/>
    <w:rsid w:val="00C920A2"/>
    <w:pPr>
      <w:autoSpaceDE w:val="0"/>
      <w:autoSpaceDN w:val="0"/>
      <w:adjustRightInd w:val="0"/>
      <w:spacing w:after="0" w:line="240" w:lineRule="auto"/>
    </w:pPr>
    <w:rPr>
      <w:rFonts w:ascii="Times New Roman" w:hAnsi="Times New Roman" w:cs="Times New Roman"/>
      <w:color w:val="000000"/>
      <w:sz w:val="24"/>
      <w:szCs w:val="24"/>
    </w:rPr>
  </w:style>
  <w:style w:type="paragraph" w:styleId="PlainText">
    <w:name w:val="Plain Text"/>
    <w:basedOn w:val="Normal"/>
    <w:link w:val="PlainTextChar"/>
    <w:uiPriority w:val="99"/>
    <w:unhideWhenUsed/>
    <w:rsid w:val="00C920A2"/>
    <w:pPr>
      <w:spacing w:before="0" w:after="0" w:line="240" w:lineRule="auto"/>
    </w:pPr>
    <w:rPr>
      <w:rFonts w:eastAsiaTheme="minorHAnsi" w:cs="Arial"/>
      <w:color w:val="000000"/>
      <w:spacing w:val="0"/>
      <w:sz w:val="20"/>
      <w:szCs w:val="20"/>
      <w:lang w:eastAsia="en-US"/>
    </w:rPr>
  </w:style>
  <w:style w:type="character" w:customStyle="1" w:styleId="PlainTextChar">
    <w:name w:val="Plain Text Char"/>
    <w:basedOn w:val="DefaultParagraphFont"/>
    <w:link w:val="PlainText"/>
    <w:uiPriority w:val="99"/>
    <w:rsid w:val="00C920A2"/>
    <w:rPr>
      <w:rFonts w:ascii="Arial" w:hAnsi="Arial" w:cs="Arial"/>
      <w:color w:val="000000"/>
      <w:sz w:val="20"/>
      <w:szCs w:val="20"/>
    </w:rPr>
  </w:style>
  <w:style w:type="character" w:styleId="CommentReference">
    <w:name w:val="annotation reference"/>
    <w:basedOn w:val="DefaultParagraphFont"/>
    <w:uiPriority w:val="99"/>
    <w:semiHidden/>
    <w:unhideWhenUsed/>
    <w:rsid w:val="00C920A2"/>
    <w:rPr>
      <w:sz w:val="16"/>
      <w:szCs w:val="16"/>
    </w:rPr>
  </w:style>
  <w:style w:type="paragraph" w:styleId="CommentText">
    <w:name w:val="annotation text"/>
    <w:basedOn w:val="Normal"/>
    <w:link w:val="CommentTextChar"/>
    <w:uiPriority w:val="99"/>
    <w:unhideWhenUsed/>
    <w:rsid w:val="00C920A2"/>
    <w:pPr>
      <w:spacing w:line="240" w:lineRule="auto"/>
    </w:pPr>
    <w:rPr>
      <w:sz w:val="20"/>
      <w:szCs w:val="20"/>
    </w:rPr>
  </w:style>
  <w:style w:type="character" w:customStyle="1" w:styleId="CommentTextChar">
    <w:name w:val="Comment Text Char"/>
    <w:basedOn w:val="DefaultParagraphFont"/>
    <w:link w:val="CommentText"/>
    <w:uiPriority w:val="99"/>
    <w:rsid w:val="00C920A2"/>
    <w:rPr>
      <w:rFonts w:ascii="Arial" w:eastAsia="Times New Roman" w:hAnsi="Arial" w:cs="Times New Roman"/>
      <w:spacing w:val="4"/>
      <w:sz w:val="20"/>
      <w:szCs w:val="20"/>
      <w:lang w:eastAsia="en-AU"/>
    </w:rPr>
  </w:style>
  <w:style w:type="paragraph" w:styleId="CommentSubject">
    <w:name w:val="annotation subject"/>
    <w:basedOn w:val="CommentText"/>
    <w:next w:val="CommentText"/>
    <w:link w:val="CommentSubjectChar"/>
    <w:uiPriority w:val="99"/>
    <w:semiHidden/>
    <w:unhideWhenUsed/>
    <w:rsid w:val="00C920A2"/>
    <w:rPr>
      <w:b/>
      <w:bCs/>
    </w:rPr>
  </w:style>
  <w:style w:type="character" w:customStyle="1" w:styleId="CommentSubjectChar">
    <w:name w:val="Comment Subject Char"/>
    <w:basedOn w:val="CommentTextChar"/>
    <w:link w:val="CommentSubject"/>
    <w:uiPriority w:val="99"/>
    <w:semiHidden/>
    <w:rsid w:val="00C920A2"/>
    <w:rPr>
      <w:rFonts w:ascii="Arial" w:eastAsia="Times New Roman" w:hAnsi="Arial" w:cs="Times New Roman"/>
      <w:b/>
      <w:bCs/>
      <w:spacing w:val="4"/>
      <w:sz w:val="20"/>
      <w:szCs w:val="20"/>
      <w:lang w:eastAsia="en-AU"/>
    </w:rPr>
  </w:style>
  <w:style w:type="table" w:styleId="ColorfulList-Accent2">
    <w:name w:val="Colorful List Accent 2"/>
    <w:basedOn w:val="TableNormal"/>
    <w:uiPriority w:val="72"/>
    <w:rsid w:val="00C920A2"/>
    <w:pPr>
      <w:spacing w:after="0" w:line="240" w:lineRule="auto"/>
    </w:pPr>
    <w:rPr>
      <w:rFonts w:ascii="Times New Roman" w:eastAsia="Times New Roman" w:hAnsi="Times New Roman" w:cs="Times New Roman"/>
      <w:color w:val="000000" w:themeColor="text1"/>
      <w:sz w:val="20"/>
      <w:szCs w:val="20"/>
      <w:lang w:eastAsia="en-AU"/>
    </w:rPr>
    <w:tblPr>
      <w:tblStyleRowBandSize w:val="1"/>
      <w:tblStyleColBandSize w:val="1"/>
    </w:tblPr>
    <w:tcPr>
      <w:shd w:val="clear" w:color="auto" w:fill="F1FBE6" w:themeFill="accent2" w:themeFillTint="19"/>
    </w:tcPr>
    <w:tblStylePr w:type="firstRow">
      <w:rPr>
        <w:b/>
        <w:bCs/>
        <w:color w:val="FFFFFF" w:themeColor="background1"/>
      </w:rPr>
      <w:tblPr/>
      <w:tcPr>
        <w:tcBorders>
          <w:bottom w:val="single" w:sz="12" w:space="0" w:color="FFFFFF" w:themeColor="background1"/>
        </w:tcBorders>
        <w:shd w:val="clear" w:color="auto" w:fill="5F9719" w:themeFill="accent2" w:themeFillShade="CC"/>
      </w:tcPr>
    </w:tblStylePr>
    <w:tblStylePr w:type="lastRow">
      <w:rPr>
        <w:b/>
        <w:bCs/>
        <w:color w:val="5F971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F4C1" w:themeFill="accent2" w:themeFillTint="3F"/>
      </w:tcPr>
    </w:tblStylePr>
    <w:tblStylePr w:type="band1Horz">
      <w:tblPr/>
      <w:tcPr>
        <w:shd w:val="clear" w:color="auto" w:fill="E4F6CD" w:themeFill="accent2" w:themeFillTint="33"/>
      </w:tcPr>
    </w:tblStylePr>
  </w:style>
  <w:style w:type="paragraph" w:customStyle="1" w:styleId="StyleNumbPara-Bullet-1stLevelBefore0ptAfter0pt2">
    <w:name w:val="Style Numb Para - Bullet - 1st Level + Before:  0 pt After:  0 pt2"/>
    <w:basedOn w:val="Normal"/>
    <w:rsid w:val="00C920A2"/>
    <w:pPr>
      <w:numPr>
        <w:ilvl w:val="1"/>
        <w:numId w:val="2"/>
      </w:numPr>
      <w:spacing w:before="0" w:after="0" w:line="240" w:lineRule="auto"/>
    </w:pPr>
    <w:rPr>
      <w:rFonts w:ascii="Times New Roman" w:hAnsi="Times New Roman"/>
      <w:spacing w:val="0"/>
    </w:rPr>
  </w:style>
  <w:style w:type="paragraph" w:customStyle="1" w:styleId="list1">
    <w:name w:val="list1"/>
    <w:basedOn w:val="ListParagraph"/>
    <w:link w:val="list1Char"/>
    <w:qFormat/>
    <w:rsid w:val="00C920A2"/>
    <w:pPr>
      <w:numPr>
        <w:numId w:val="3"/>
      </w:numPr>
    </w:pPr>
    <w:rPr>
      <w:sz w:val="22"/>
    </w:rPr>
  </w:style>
  <w:style w:type="character" w:customStyle="1" w:styleId="list1Char">
    <w:name w:val="list1 Char"/>
    <w:basedOn w:val="DefaultParagraphFont"/>
    <w:link w:val="list1"/>
    <w:rsid w:val="00C920A2"/>
    <w:rPr>
      <w:rFonts w:ascii="Arial" w:eastAsia="Times New Roman" w:hAnsi="Arial" w:cs="Times New Roman"/>
      <w:spacing w:val="4"/>
      <w:szCs w:val="24"/>
      <w:lang w:eastAsia="en-AU"/>
    </w:rPr>
  </w:style>
  <w:style w:type="character" w:styleId="FollowedHyperlink">
    <w:name w:val="FollowedHyperlink"/>
    <w:basedOn w:val="DefaultParagraphFont"/>
    <w:uiPriority w:val="99"/>
    <w:semiHidden/>
    <w:unhideWhenUsed/>
    <w:rsid w:val="00FA763A"/>
    <w:rPr>
      <w:color w:val="000000" w:themeColor="followedHyperlink"/>
      <w:u w:val="single"/>
    </w:rPr>
  </w:style>
  <w:style w:type="table" w:customStyle="1" w:styleId="TableGrid1">
    <w:name w:val="Table Grid1"/>
    <w:basedOn w:val="TableNormal"/>
    <w:next w:val="TableGrid"/>
    <w:uiPriority w:val="59"/>
    <w:rsid w:val="00DC40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8382F"/>
    <w:rPr>
      <w:color w:val="808080"/>
    </w:rPr>
  </w:style>
  <w:style w:type="table" w:customStyle="1" w:styleId="TableGrid2">
    <w:name w:val="Table Grid2"/>
    <w:basedOn w:val="TableNormal"/>
    <w:next w:val="TableGrid"/>
    <w:uiPriority w:val="59"/>
    <w:rsid w:val="00331B1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31B1E"/>
    <w:pPr>
      <w:spacing w:before="0" w:after="0" w:line="240" w:lineRule="auto"/>
      <w:jc w:val="both"/>
    </w:pPr>
    <w:rPr>
      <w:rFonts w:ascii="Corbel" w:hAnsi="Corbel"/>
      <w:color w:val="000000"/>
      <w:spacing w:val="0"/>
      <w:sz w:val="20"/>
      <w:szCs w:val="20"/>
    </w:rPr>
  </w:style>
  <w:style w:type="character" w:customStyle="1" w:styleId="FootnoteTextChar">
    <w:name w:val="Footnote Text Char"/>
    <w:basedOn w:val="DefaultParagraphFont"/>
    <w:link w:val="FootnoteText"/>
    <w:uiPriority w:val="99"/>
    <w:semiHidden/>
    <w:rsid w:val="00331B1E"/>
    <w:rPr>
      <w:rFonts w:ascii="Corbel" w:eastAsia="Times New Roman" w:hAnsi="Corbel" w:cs="Times New Roman"/>
      <w:color w:val="000000"/>
      <w:sz w:val="20"/>
      <w:szCs w:val="20"/>
      <w:lang w:eastAsia="en-AU"/>
    </w:rPr>
  </w:style>
  <w:style w:type="character" w:styleId="FootnoteReference">
    <w:name w:val="footnote reference"/>
    <w:basedOn w:val="DefaultParagraphFont"/>
    <w:uiPriority w:val="99"/>
    <w:semiHidden/>
    <w:unhideWhenUsed/>
    <w:rsid w:val="00331B1E"/>
    <w:rPr>
      <w:vertAlign w:val="superscript"/>
    </w:rPr>
  </w:style>
  <w:style w:type="paragraph" w:customStyle="1" w:styleId="footnotedescription">
    <w:name w:val="footnote description"/>
    <w:next w:val="Normal"/>
    <w:link w:val="footnotedescriptionChar"/>
    <w:hidden/>
    <w:rsid w:val="00331B1E"/>
    <w:pPr>
      <w:spacing w:after="12" w:line="259" w:lineRule="auto"/>
    </w:pPr>
    <w:rPr>
      <w:rFonts w:ascii="Corbel" w:eastAsia="Corbel" w:hAnsi="Corbel" w:cs="Corbel"/>
      <w:color w:val="0000FF"/>
      <w:sz w:val="16"/>
      <w:u w:val="single" w:color="0000FF"/>
      <w:lang w:eastAsia="en-AU"/>
    </w:rPr>
  </w:style>
  <w:style w:type="character" w:customStyle="1" w:styleId="footnotedescriptionChar">
    <w:name w:val="footnote description Char"/>
    <w:link w:val="footnotedescription"/>
    <w:rsid w:val="00331B1E"/>
    <w:rPr>
      <w:rFonts w:ascii="Corbel" w:eastAsia="Corbel" w:hAnsi="Corbel" w:cs="Corbel"/>
      <w:color w:val="0000FF"/>
      <w:sz w:val="16"/>
      <w:u w:val="single" w:color="0000FF"/>
      <w:lang w:eastAsia="en-AU"/>
    </w:rPr>
  </w:style>
  <w:style w:type="character" w:customStyle="1" w:styleId="footnotemark">
    <w:name w:val="footnote mark"/>
    <w:hidden/>
    <w:rsid w:val="00331B1E"/>
    <w:rPr>
      <w:rFonts w:ascii="Corbel" w:eastAsia="Corbel" w:hAnsi="Corbel" w:cs="Corbel"/>
      <w:color w:val="000000"/>
      <w:sz w:val="20"/>
      <w:vertAlign w:val="superscript"/>
    </w:rPr>
  </w:style>
  <w:style w:type="table" w:customStyle="1" w:styleId="TableGrid3">
    <w:name w:val="Table Grid3"/>
    <w:basedOn w:val="TableNormal"/>
    <w:next w:val="TableGrid"/>
    <w:uiPriority w:val="59"/>
    <w:rsid w:val="000C55D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vic.gov.au/system/user_files/Documents/housing/1711047_Rough%20Sleeping%20Action%20Plan_On-Line.pdf" TargetMode="External"/><Relationship Id="rId3" Type="http://schemas.openxmlformats.org/officeDocument/2006/relationships/hyperlink" Target="https://www.planmelbourne.vic.gov.au/" TargetMode="External"/><Relationship Id="rId7" Type="http://schemas.openxmlformats.org/officeDocument/2006/relationships/hyperlink" Target="https://www.aihw.gov.au/reports/homelessness-services/specialist-homelessness-services-annual-report/contents/clients-services-and-outcomes" TargetMode="External"/><Relationship Id="rId2" Type="http://schemas.openxmlformats.org/officeDocument/2006/relationships/hyperlink" Target="https://www.homes.vic.gov.au/big-housing-build" TargetMode="External"/><Relationship Id="rId1" Type="http://schemas.openxmlformats.org/officeDocument/2006/relationships/hyperlink" Target="https://www.vic.gov.au/sites/default/files/2019-08/Homes-for-Victorians.pdf" TargetMode="External"/><Relationship Id="rId6" Type="http://schemas.openxmlformats.org/officeDocument/2006/relationships/hyperlink" Target="https://www.vic.gov.au/sites/default/files/2019-06/Victorias-social-housing-supply-requirements-to-2036.pdf" TargetMode="External"/><Relationship Id="rId5" Type="http://schemas.openxmlformats.org/officeDocument/2006/relationships/hyperlink" Target="https://www.planning.vic.gov.au/land-use-and-population-research/victoria-in-future" TargetMode="External"/><Relationship Id="rId4" Type="http://schemas.openxmlformats.org/officeDocument/2006/relationships/hyperlink" Target="https://www.planmelbourne.vic.gov.au/__data/assets/pdf_file/0007/377206/Plan_Melbourne_2017-2050_Strategy_.pdf" TargetMode="External"/></Relationships>
</file>

<file path=word/theme/theme1.xml><?xml version="1.0" encoding="utf-8"?>
<a:theme xmlns:a="http://schemas.openxmlformats.org/drawingml/2006/main" name="DSS Green">
  <a:themeElements>
    <a:clrScheme name="DSS Green">
      <a:dk1>
        <a:sysClr val="windowText" lastClr="000000"/>
      </a:dk1>
      <a:lt1>
        <a:sysClr val="window" lastClr="FFFFFF"/>
      </a:lt1>
      <a:dk2>
        <a:srgbClr val="000000"/>
      </a:dk2>
      <a:lt2>
        <a:srgbClr val="F8F8F8"/>
      </a:lt2>
      <a:accent1>
        <a:srgbClr val="275D38"/>
      </a:accent1>
      <a:accent2>
        <a:srgbClr val="78BE20"/>
      </a:accent2>
      <a:accent3>
        <a:srgbClr val="C2E189"/>
      </a:accent3>
      <a:accent4>
        <a:srgbClr val="275D38"/>
      </a:accent4>
      <a:accent5>
        <a:srgbClr val="78BE20"/>
      </a:accent5>
      <a:accent6>
        <a:srgbClr val="C2E189"/>
      </a:accent6>
      <a:hlink>
        <a:srgbClr val="0000FF"/>
      </a:hlink>
      <a:folHlink>
        <a:srgbClr val="000000"/>
      </a:folHlink>
    </a:clrScheme>
    <a:fontScheme name="Stronger Relationships">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1695</Words>
  <Characters>9881</Characters>
  <Application>Microsoft Office Word</Application>
  <DocSecurity>0</DocSecurity>
  <Lines>189</Lines>
  <Paragraphs>96</Paragraphs>
  <ScaleCrop>false</ScaleCrop>
  <HeadingPairs>
    <vt:vector size="2" baseType="variant">
      <vt:variant>
        <vt:lpstr>Title</vt:lpstr>
      </vt:variant>
      <vt:variant>
        <vt:i4>1</vt:i4>
      </vt:variant>
    </vt:vector>
  </HeadingPairs>
  <TitlesOfParts>
    <vt:vector size="1" baseType="lpstr">
      <vt:lpstr>National Housing and Homelessness Agreement - Bilateral Agreement between the Commonwealth and Victoria</vt:lpstr>
    </vt:vector>
  </TitlesOfParts>
  <Company/>
  <LinksUpToDate>false</LinksUpToDate>
  <CharactersWithSpaces>11556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Housing and Homelessness Agreement - Bilateral Agreement between the Commonwealth and Victoria</dc:title>
  <dc:subject/>
  <dc:creator/>
  <cp:keywords/>
  <cp:lastModifiedBy/>
  <cp:revision>1</cp:revision>
  <dcterms:created xsi:type="dcterms:W3CDTF">2023-09-21T05:10:00Z</dcterms:created>
  <dcterms:modified xsi:type="dcterms:W3CDTF">2023-09-21T05:10:00Z</dcterms:modified>
  <cp:category/>
</cp:coreProperties>
</file>