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7.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52EB1" w14:textId="77777777" w:rsidR="0036688B" w:rsidRPr="001E7293" w:rsidRDefault="00ED513E" w:rsidP="00A17D70">
      <w:pPr>
        <w:pStyle w:val="Title"/>
      </w:pPr>
      <w:bookmarkStart w:id="0" w:name="_GoBack"/>
      <w:bookmarkEnd w:id="0"/>
      <w:r>
        <w:t>New South Wales</w:t>
      </w:r>
      <w:r w:rsidR="00921651" w:rsidRPr="001E7293">
        <w:t xml:space="preserve"> Implementation Plan</w:t>
      </w:r>
    </w:p>
    <w:p w14:paraId="4B5D2832" w14:textId="0E8A9C79" w:rsidR="0036688B" w:rsidRPr="001E7293" w:rsidRDefault="00B934F5" w:rsidP="00E96DA4">
      <w:pPr>
        <w:pStyle w:val="Subtitle"/>
        <w:spacing w:after="120"/>
      </w:pPr>
      <w:r w:rsidRPr="001E7293">
        <w:t xml:space="preserve">National Partnership </w:t>
      </w:r>
      <w:r w:rsidR="0036688B" w:rsidRPr="001E7293">
        <w:t>on</w:t>
      </w:r>
      <w:r w:rsidR="00D26F53" w:rsidRPr="001E7293">
        <w:t xml:space="preserve"> UNIVERSAL ACCESS TO EARLY CHILDHOOD EDUCATION – </w:t>
      </w:r>
      <w:r w:rsidR="007B4BA6" w:rsidRPr="001E7293">
        <w:t>2018</w:t>
      </w:r>
      <w:r w:rsidR="00557EAB">
        <w:t xml:space="preserve"> AND 2019</w:t>
      </w:r>
    </w:p>
    <w:p w14:paraId="4FDBF595" w14:textId="77777777" w:rsidR="0036688B" w:rsidRPr="001E7293" w:rsidRDefault="0036688B" w:rsidP="00354A85">
      <w:pPr>
        <w:pStyle w:val="Heading1"/>
      </w:pPr>
      <w:r w:rsidRPr="001E7293">
        <w:t>Part 1: Preliminaries</w:t>
      </w:r>
    </w:p>
    <w:p w14:paraId="446932CA" w14:textId="77777777" w:rsidR="00354A85" w:rsidRPr="001E7293" w:rsidRDefault="00354A85" w:rsidP="00354A85">
      <w:pPr>
        <w:keepNext/>
        <w:keepLines/>
      </w:pPr>
    </w:p>
    <w:p w14:paraId="12CE4B2C" w14:textId="5797414E" w:rsidR="001918B1" w:rsidRPr="001E7293" w:rsidRDefault="001918B1" w:rsidP="00354A85">
      <w:pPr>
        <w:pStyle w:val="Normalnumbered"/>
        <w:keepNext/>
        <w:keepLines/>
        <w:spacing w:after="240"/>
      </w:pPr>
      <w:r w:rsidRPr="001E7293">
        <w:t xml:space="preserve">This </w:t>
      </w:r>
      <w:r w:rsidR="00E47C62" w:rsidRPr="001E7293">
        <w:t>Implementation Plan</w:t>
      </w:r>
      <w:r w:rsidRPr="001E7293">
        <w:t xml:space="preserve"> is </w:t>
      </w:r>
      <w:r w:rsidR="00C22701" w:rsidRPr="001E7293">
        <w:t>a schedule to</w:t>
      </w:r>
      <w:r w:rsidRPr="001E7293">
        <w:t xml:space="preserve"> the National Partnership on </w:t>
      </w:r>
      <w:r w:rsidR="003C4F3C" w:rsidRPr="001E7293">
        <w:t xml:space="preserve">Universal Access to Early Childhood Education – </w:t>
      </w:r>
      <w:r w:rsidR="007B4BA6" w:rsidRPr="001E7293">
        <w:t>2018</w:t>
      </w:r>
      <w:r w:rsidR="00557EAB">
        <w:t xml:space="preserve"> and 2019</w:t>
      </w:r>
      <w:r w:rsidR="003C4F3C" w:rsidRPr="001E7293">
        <w:t xml:space="preserve"> </w:t>
      </w:r>
      <w:r w:rsidR="00E86662" w:rsidRPr="001E7293">
        <w:t xml:space="preserve">(the National Partnership) </w:t>
      </w:r>
      <w:r w:rsidRPr="001E7293">
        <w:t>and should be read in conjunction with that Agreement.</w:t>
      </w:r>
    </w:p>
    <w:p w14:paraId="0F269E05" w14:textId="77777777" w:rsidR="00E652EB" w:rsidRPr="001E7293" w:rsidRDefault="00E652EB" w:rsidP="00354A85">
      <w:pPr>
        <w:pStyle w:val="Normalnumbered"/>
        <w:keepNext/>
        <w:keepLines/>
        <w:spacing w:after="240"/>
      </w:pPr>
      <w:r w:rsidRPr="001E7293">
        <w:rPr>
          <w:rFonts w:eastAsia="Calibri"/>
          <w:color w:val="000000"/>
          <w:szCs w:val="23"/>
        </w:rPr>
        <w:t>The objective of the National Partnership is to facilitate children’s early learning and development and transition to school, by maintaining universal access</w:t>
      </w:r>
      <w:r w:rsidRPr="001E7293" w:rsidDel="00DC012C">
        <w:rPr>
          <w:rFonts w:eastAsia="Calibri"/>
          <w:color w:val="000000"/>
          <w:szCs w:val="23"/>
        </w:rPr>
        <w:t xml:space="preserve"> </w:t>
      </w:r>
      <w:r w:rsidRPr="001E7293">
        <w:rPr>
          <w:rFonts w:eastAsia="Calibri"/>
          <w:color w:val="000000"/>
          <w:szCs w:val="23"/>
        </w:rPr>
        <w:t xml:space="preserve">to, and improving participation in, affordable, quality early childhood education </w:t>
      </w:r>
      <w:r w:rsidR="007B4BA6" w:rsidRPr="001E7293">
        <w:rPr>
          <w:rFonts w:eastAsia="Calibri"/>
          <w:color w:val="000000"/>
          <w:szCs w:val="23"/>
        </w:rPr>
        <w:t>program</w:t>
      </w:r>
      <w:r w:rsidRPr="001E7293">
        <w:rPr>
          <w:rFonts w:eastAsia="Calibri"/>
          <w:color w:val="000000"/>
          <w:szCs w:val="23"/>
        </w:rPr>
        <w:t>s for all children.</w:t>
      </w:r>
    </w:p>
    <w:p w14:paraId="5788E0C9" w14:textId="77777777" w:rsidR="00924EF4" w:rsidRPr="001E7293" w:rsidRDefault="003C4F3C" w:rsidP="00924EF4">
      <w:pPr>
        <w:pStyle w:val="Normalnumbered"/>
        <w:spacing w:after="240"/>
        <w:rPr>
          <w:szCs w:val="23"/>
        </w:rPr>
      </w:pPr>
      <w:r w:rsidRPr="001E7293">
        <w:t>Th</w:t>
      </w:r>
      <w:r w:rsidR="00E652EB" w:rsidRPr="001E7293">
        <w:t>is</w:t>
      </w:r>
      <w:r w:rsidRPr="001E7293">
        <w:t xml:space="preserve"> objective</w:t>
      </w:r>
      <w:r w:rsidR="00E652EB" w:rsidRPr="001E7293">
        <w:rPr>
          <w:szCs w:val="23"/>
        </w:rPr>
        <w:t xml:space="preserve"> is to be achieved through </w:t>
      </w:r>
      <w:r w:rsidRPr="001E7293">
        <w:rPr>
          <w:szCs w:val="23"/>
        </w:rPr>
        <w:t xml:space="preserve">universal access to quality early childhood education </w:t>
      </w:r>
      <w:r w:rsidR="007B4BA6" w:rsidRPr="001E7293">
        <w:rPr>
          <w:szCs w:val="23"/>
        </w:rPr>
        <w:t>program</w:t>
      </w:r>
      <w:r w:rsidRPr="001E7293">
        <w:rPr>
          <w:szCs w:val="23"/>
        </w:rPr>
        <w:t xml:space="preserve">(s) </w:t>
      </w:r>
      <w:r w:rsidR="009C38C1" w:rsidRPr="001E7293">
        <w:rPr>
          <w:szCs w:val="23"/>
        </w:rPr>
        <w:t xml:space="preserve">for 600 hours per year, delivered by a qualified early childhood teacher who meets </w:t>
      </w:r>
      <w:r w:rsidR="00CF5CD5" w:rsidRPr="001E7293">
        <w:rPr>
          <w:szCs w:val="23"/>
        </w:rPr>
        <w:t xml:space="preserve">National Quality Framework </w:t>
      </w:r>
      <w:r w:rsidR="009C38C1" w:rsidRPr="001E7293">
        <w:rPr>
          <w:szCs w:val="23"/>
        </w:rPr>
        <w:t xml:space="preserve">requirements, and with a focus on participation by Indigenous, vulnerable and disadvantaged children, regardless of the setting in which </w:t>
      </w:r>
      <w:r w:rsidR="007B4BA6" w:rsidRPr="001E7293">
        <w:rPr>
          <w:szCs w:val="23"/>
        </w:rPr>
        <w:t>program</w:t>
      </w:r>
      <w:r w:rsidR="009C38C1" w:rsidRPr="001E7293">
        <w:rPr>
          <w:szCs w:val="23"/>
        </w:rPr>
        <w:t>s are delivered</w:t>
      </w:r>
      <w:r w:rsidR="00924EF4" w:rsidRPr="001E7293">
        <w:rPr>
          <w:szCs w:val="23"/>
        </w:rPr>
        <w:t>.</w:t>
      </w:r>
    </w:p>
    <w:p w14:paraId="392456FC" w14:textId="77777777" w:rsidR="00E652EB" w:rsidRPr="001E7293" w:rsidRDefault="00E652EB" w:rsidP="00E652EB">
      <w:pPr>
        <w:pStyle w:val="Normalnumbered"/>
        <w:keepNext/>
        <w:keepLines/>
        <w:spacing w:after="240"/>
        <w:rPr>
          <w:rFonts w:eastAsia="Calibri"/>
          <w:color w:val="000000"/>
          <w:szCs w:val="23"/>
        </w:rPr>
      </w:pPr>
      <w:r w:rsidRPr="001E7293">
        <w:rPr>
          <w:rFonts w:eastAsia="Calibri"/>
          <w:color w:val="000000"/>
          <w:szCs w:val="23"/>
        </w:rPr>
        <w:t>Children living in remote Indigenous communities remain a focus for universal access.</w:t>
      </w:r>
    </w:p>
    <w:p w14:paraId="4229E4D4" w14:textId="77777777" w:rsidR="003E230C" w:rsidRPr="001E7293" w:rsidRDefault="003E230C" w:rsidP="00A17D70">
      <w:pPr>
        <w:pStyle w:val="Heading1"/>
      </w:pPr>
      <w:r w:rsidRPr="001E7293">
        <w:t xml:space="preserve">Part 2: Terms of this </w:t>
      </w:r>
      <w:r w:rsidR="00E47C62" w:rsidRPr="001E7293">
        <w:t>Implementation Plan</w:t>
      </w:r>
    </w:p>
    <w:p w14:paraId="5C3C6657" w14:textId="77777777" w:rsidR="003E230C" w:rsidRPr="001E7293" w:rsidRDefault="003E230C" w:rsidP="003E230C"/>
    <w:p w14:paraId="142F02D5" w14:textId="14EFE170"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will commence as soon as it is agreed between the Commonwealth of Australia, represented by the Minister for </w:t>
      </w:r>
      <w:r w:rsidR="0093776A" w:rsidRPr="001E7293">
        <w:rPr>
          <w:szCs w:val="23"/>
        </w:rPr>
        <w:t>Education</w:t>
      </w:r>
      <w:r w:rsidRPr="001E7293">
        <w:rPr>
          <w:szCs w:val="23"/>
        </w:rPr>
        <w:t xml:space="preserve">, and the </w:t>
      </w:r>
      <w:r w:rsidR="009A3E60" w:rsidRPr="001E7293">
        <w:rPr>
          <w:szCs w:val="23"/>
        </w:rPr>
        <w:t>s</w:t>
      </w:r>
      <w:r w:rsidR="007B7FDC" w:rsidRPr="001E7293">
        <w:rPr>
          <w:szCs w:val="23"/>
        </w:rPr>
        <w:t xml:space="preserve">tate </w:t>
      </w:r>
      <w:r w:rsidR="00ED513E">
        <w:rPr>
          <w:szCs w:val="23"/>
        </w:rPr>
        <w:t xml:space="preserve">of </w:t>
      </w:r>
      <w:r w:rsidR="003C4482">
        <w:rPr>
          <w:szCs w:val="23"/>
        </w:rPr>
        <w:t>N</w:t>
      </w:r>
      <w:r w:rsidR="00936DE8">
        <w:rPr>
          <w:szCs w:val="23"/>
        </w:rPr>
        <w:t>ew South Wales (NSW)</w:t>
      </w:r>
      <w:r w:rsidRPr="001E7293">
        <w:rPr>
          <w:szCs w:val="23"/>
        </w:rPr>
        <w:t>, represented by the Minister</w:t>
      </w:r>
      <w:r w:rsidR="0093776A" w:rsidRPr="001E7293">
        <w:rPr>
          <w:szCs w:val="23"/>
        </w:rPr>
        <w:t> </w:t>
      </w:r>
      <w:r w:rsidRPr="001E7293">
        <w:rPr>
          <w:szCs w:val="23"/>
        </w:rPr>
        <w:t>for</w:t>
      </w:r>
      <w:r w:rsidR="005F5787" w:rsidRPr="001E7293">
        <w:rPr>
          <w:szCs w:val="23"/>
        </w:rPr>
        <w:t xml:space="preserve"> </w:t>
      </w:r>
      <w:r w:rsidR="00ED513E">
        <w:rPr>
          <w:szCs w:val="23"/>
        </w:rPr>
        <w:t>Early Childhood Education</w:t>
      </w:r>
      <w:r w:rsidRPr="001E7293">
        <w:rPr>
          <w:szCs w:val="23"/>
        </w:rPr>
        <w:t>.</w:t>
      </w:r>
    </w:p>
    <w:p w14:paraId="6A8C5614" w14:textId="77777777" w:rsidR="0036688B" w:rsidRPr="001E7293" w:rsidRDefault="0036688B" w:rsidP="007A1B28">
      <w:pPr>
        <w:pStyle w:val="Normalnumbered"/>
        <w:spacing w:after="240"/>
      </w:pPr>
      <w:r w:rsidRPr="001E7293">
        <w:t xml:space="preserve">As a schedule to the National Partnership, the purpose of this </w:t>
      </w:r>
      <w:r w:rsidR="00E47C62" w:rsidRPr="001E7293">
        <w:t>Implementation Plan</w:t>
      </w:r>
      <w:r w:rsidRPr="001E7293">
        <w:t xml:space="preserve"> is to provide the public with </w:t>
      </w:r>
      <w:r w:rsidR="007B7FDC" w:rsidRPr="001E7293">
        <w:t>an indication of</w:t>
      </w:r>
      <w:r w:rsidRPr="001E7293">
        <w:t xml:space="preserve"> how </w:t>
      </w:r>
      <w:r w:rsidR="007A1B28" w:rsidRPr="001E7293">
        <w:t>universal access</w:t>
      </w:r>
      <w:r w:rsidRPr="001E7293">
        <w:t xml:space="preserve"> </w:t>
      </w:r>
      <w:r w:rsidR="00903874" w:rsidRPr="001E7293">
        <w:t>is intended to be</w:t>
      </w:r>
      <w:r w:rsidRPr="001E7293">
        <w:t xml:space="preserve"> delivered</w:t>
      </w:r>
      <w:r w:rsidR="007B7FDC" w:rsidRPr="001E7293">
        <w:t xml:space="preserve"> and demonstrate </w:t>
      </w:r>
      <w:r w:rsidR="00ED513E">
        <w:t>NSW</w:t>
      </w:r>
      <w:r w:rsidR="007B7FDC" w:rsidRPr="001E7293">
        <w:t xml:space="preserve">’s capacity to achieve the outcomes of the </w:t>
      </w:r>
      <w:r w:rsidR="002E328E" w:rsidRPr="001E7293">
        <w:t>National Partnership</w:t>
      </w:r>
      <w:r w:rsidRPr="001E7293">
        <w:t>.</w:t>
      </w:r>
    </w:p>
    <w:p w14:paraId="24CF4004" w14:textId="77777777"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will cease on completion </w:t>
      </w:r>
      <w:r w:rsidR="00F9039F" w:rsidRPr="001E7293">
        <w:rPr>
          <w:szCs w:val="23"/>
        </w:rPr>
        <w:t xml:space="preserve">or termination </w:t>
      </w:r>
      <w:r w:rsidRPr="001E7293">
        <w:rPr>
          <w:szCs w:val="23"/>
        </w:rPr>
        <w:t xml:space="preserve">of </w:t>
      </w:r>
      <w:r w:rsidR="00AC5296" w:rsidRPr="001E7293">
        <w:rPr>
          <w:szCs w:val="23"/>
        </w:rPr>
        <w:t>the National</w:t>
      </w:r>
      <w:r w:rsidR="00305B5A" w:rsidRPr="001E7293">
        <w:rPr>
          <w:szCs w:val="23"/>
        </w:rPr>
        <w:t> </w:t>
      </w:r>
      <w:r w:rsidR="00AC5296" w:rsidRPr="001E7293">
        <w:rPr>
          <w:szCs w:val="23"/>
        </w:rPr>
        <w:t>Partnership</w:t>
      </w:r>
      <w:r w:rsidR="00BC5FA5" w:rsidRPr="001E7293">
        <w:rPr>
          <w:szCs w:val="23"/>
        </w:rPr>
        <w:t>, including final performance reporting and processing of final payments against performance benchmarks or milestones.</w:t>
      </w:r>
    </w:p>
    <w:p w14:paraId="3DD7B1DE" w14:textId="77777777"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may be varied by written agreement between the </w:t>
      </w:r>
      <w:r w:rsidR="00D3241C" w:rsidRPr="001E7293">
        <w:rPr>
          <w:szCs w:val="23"/>
        </w:rPr>
        <w:t xml:space="preserve">Commonwealth and State </w:t>
      </w:r>
      <w:r w:rsidRPr="001E7293">
        <w:rPr>
          <w:szCs w:val="23"/>
        </w:rPr>
        <w:t>Minister</w:t>
      </w:r>
      <w:r w:rsidR="00D3241C" w:rsidRPr="001E7293">
        <w:rPr>
          <w:szCs w:val="23"/>
        </w:rPr>
        <w:t xml:space="preserve"> responsible for it under the overarching National</w:t>
      </w:r>
      <w:r w:rsidR="007A1B28" w:rsidRPr="001E7293">
        <w:t> </w:t>
      </w:r>
      <w:r w:rsidR="00D3241C" w:rsidRPr="001E7293">
        <w:rPr>
          <w:szCs w:val="23"/>
        </w:rPr>
        <w:t>Partnership</w:t>
      </w:r>
      <w:r w:rsidRPr="001E7293">
        <w:rPr>
          <w:szCs w:val="23"/>
        </w:rPr>
        <w:t>.</w:t>
      </w:r>
    </w:p>
    <w:p w14:paraId="16CF7861" w14:textId="77777777" w:rsidR="0036688B" w:rsidRPr="001E7293" w:rsidRDefault="0036688B" w:rsidP="0036688B">
      <w:pPr>
        <w:pStyle w:val="Normalnumbered"/>
        <w:spacing w:after="240" w:line="260" w:lineRule="exact"/>
        <w:rPr>
          <w:szCs w:val="23"/>
        </w:rPr>
      </w:pPr>
      <w:r w:rsidRPr="001E7293">
        <w:rPr>
          <w:szCs w:val="23"/>
        </w:rPr>
        <w:t xml:space="preserve">The Parties to this </w:t>
      </w:r>
      <w:r w:rsidR="00E47C62" w:rsidRPr="001E7293">
        <w:rPr>
          <w:szCs w:val="23"/>
        </w:rPr>
        <w:t>Implementation Plan</w:t>
      </w:r>
      <w:r w:rsidRPr="001E7293">
        <w:rPr>
          <w:szCs w:val="23"/>
        </w:rPr>
        <w:t xml:space="preserve"> do not intend any of the provisions to be legally enforceable. However, that does not lessen the Parties’ commitment to </w:t>
      </w:r>
      <w:r w:rsidR="00CD5739" w:rsidRPr="001E7293">
        <w:rPr>
          <w:szCs w:val="23"/>
        </w:rPr>
        <w:t xml:space="preserve">the plan and its full </w:t>
      </w:r>
      <w:r w:rsidRPr="001E7293">
        <w:rPr>
          <w:szCs w:val="23"/>
        </w:rPr>
        <w:t>implementation.</w:t>
      </w:r>
    </w:p>
    <w:p w14:paraId="3049D5D7" w14:textId="183B4B05" w:rsidR="0036688B" w:rsidRPr="001E7293" w:rsidRDefault="0036688B" w:rsidP="00A17D70">
      <w:pPr>
        <w:pStyle w:val="Heading1"/>
      </w:pPr>
      <w:r w:rsidRPr="001E7293">
        <w:t xml:space="preserve">Part </w:t>
      </w:r>
      <w:r w:rsidR="00C26A29" w:rsidRPr="001E7293">
        <w:t>3</w:t>
      </w:r>
      <w:r w:rsidRPr="001E7293">
        <w:t>: Strategy for implementation</w:t>
      </w:r>
    </w:p>
    <w:p w14:paraId="1B9D6037" w14:textId="77777777" w:rsidR="00354A85" w:rsidRPr="001E7293" w:rsidRDefault="00354A85" w:rsidP="00354A85"/>
    <w:p w14:paraId="7F80DFEA" w14:textId="77777777" w:rsidR="0036688B" w:rsidRDefault="0036688B" w:rsidP="00DD21A5">
      <w:pPr>
        <w:pStyle w:val="Heading2"/>
        <w:spacing w:before="0" w:after="120"/>
      </w:pPr>
      <w:r w:rsidRPr="001E7293">
        <w:lastRenderedPageBreak/>
        <w:t>Project information</w:t>
      </w:r>
    </w:p>
    <w:p w14:paraId="70D1DF4A" w14:textId="1513BB01" w:rsidR="005A1081" w:rsidRDefault="001A4374" w:rsidP="001A4374">
      <w:pPr>
        <w:pStyle w:val="Normalnumbered"/>
        <w:spacing w:after="240" w:line="260" w:lineRule="exact"/>
      </w:pPr>
      <w:r w:rsidRPr="001E7293">
        <w:t xml:space="preserve">The National Partnership reaffirms the commitment to provide universal access to, and improved participation by, children in quality early childhood education </w:t>
      </w:r>
      <w:r w:rsidR="007B4BA6" w:rsidRPr="001E7293">
        <w:t>program</w:t>
      </w:r>
      <w:r w:rsidRPr="001E7293">
        <w:t xml:space="preserve">s in the year before full-time school, with a focus on </w:t>
      </w:r>
      <w:r w:rsidR="00DF2E47" w:rsidRPr="001E7293">
        <w:t xml:space="preserve">Indigenous and </w:t>
      </w:r>
      <w:r w:rsidRPr="001E7293">
        <w:t xml:space="preserve">vulnerable and disadvantaged children and in a manner that meets the needs of children, parents and communities </w:t>
      </w:r>
      <w:r w:rsidR="00DF2E47" w:rsidRPr="001E7293">
        <w:t xml:space="preserve">at a cost which does not present a </w:t>
      </w:r>
      <w:r w:rsidRPr="001E7293">
        <w:t>barrier to participation.</w:t>
      </w:r>
    </w:p>
    <w:p w14:paraId="30F9CE76" w14:textId="38DFA289" w:rsidR="00B842BD" w:rsidRDefault="00B842BD" w:rsidP="001A4374">
      <w:pPr>
        <w:pStyle w:val="Normalnumbered"/>
        <w:spacing w:after="240" w:line="260" w:lineRule="exact"/>
      </w:pPr>
      <w:r>
        <w:t xml:space="preserve">The </w:t>
      </w:r>
      <w:r w:rsidRPr="00B842BD">
        <w:t>project elements planned are shown in Table 1:</w:t>
      </w:r>
    </w:p>
    <w:p w14:paraId="05CDBB09" w14:textId="58A22816" w:rsidR="0056324C" w:rsidRDefault="0056324C" w:rsidP="0056324C">
      <w:pPr>
        <w:pStyle w:val="Heading2"/>
        <w:spacing w:after="120"/>
        <w:rPr>
          <w:rFonts w:ascii="Consolas" w:hAnsi="Consolas" w:cs="Times New Roman"/>
          <w:bCs w:val="0"/>
          <w:iCs w:val="0"/>
          <w:sz w:val="23"/>
          <w:szCs w:val="20"/>
        </w:rPr>
      </w:pPr>
      <w:r w:rsidRPr="004F1824">
        <w:rPr>
          <w:rFonts w:ascii="Consolas" w:hAnsi="Consolas" w:cs="Times New Roman"/>
          <w:bCs w:val="0"/>
          <w:iCs w:val="0"/>
          <w:sz w:val="23"/>
          <w:szCs w:val="20"/>
        </w:rPr>
        <w:t xml:space="preserve">Table 1: Project elements </w:t>
      </w:r>
      <w:r w:rsidRPr="004F1824">
        <w:rPr>
          <w:rFonts w:ascii="Consolas" w:hAnsi="Consolas" w:cs="Times New Roman"/>
          <w:bCs w:val="0"/>
          <w:iCs w:val="0"/>
          <w:sz w:val="23"/>
          <w:szCs w:val="20"/>
        </w:rPr>
        <w:tab/>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72"/>
        <w:gridCol w:w="1423"/>
        <w:gridCol w:w="3818"/>
        <w:gridCol w:w="1133"/>
        <w:gridCol w:w="1133"/>
        <w:gridCol w:w="1414"/>
      </w:tblGrid>
      <w:tr w:rsidR="007461C9" w:rsidRPr="00B405A7" w14:paraId="38E60CC9" w14:textId="77777777" w:rsidTr="00E4683D">
        <w:trPr>
          <w:trHeight w:val="105"/>
          <w:tblHeader/>
        </w:trPr>
        <w:tc>
          <w:tcPr>
            <w:tcW w:w="301" w:type="pct"/>
            <w:shd w:val="clear" w:color="auto" w:fill="E6E6E6"/>
          </w:tcPr>
          <w:p w14:paraId="7707378E" w14:textId="77777777" w:rsidR="007461C9" w:rsidRPr="00312524" w:rsidRDefault="007461C9" w:rsidP="00E4683D">
            <w:pPr>
              <w:keepLines/>
              <w:rPr>
                <w:b/>
              </w:rPr>
            </w:pPr>
            <w:r w:rsidRPr="00312524">
              <w:rPr>
                <w:b/>
              </w:rPr>
              <w:t>No</w:t>
            </w:r>
          </w:p>
        </w:tc>
        <w:tc>
          <w:tcPr>
            <w:tcW w:w="749" w:type="pct"/>
            <w:shd w:val="clear" w:color="auto" w:fill="E6E6E6"/>
          </w:tcPr>
          <w:p w14:paraId="6AEB3D51" w14:textId="77777777" w:rsidR="007461C9" w:rsidRPr="00312524" w:rsidRDefault="007461C9" w:rsidP="00E4683D">
            <w:pPr>
              <w:keepLines/>
              <w:rPr>
                <w:b/>
              </w:rPr>
            </w:pPr>
            <w:r w:rsidRPr="00312524">
              <w:rPr>
                <w:b/>
              </w:rPr>
              <w:t>Title</w:t>
            </w:r>
          </w:p>
        </w:tc>
        <w:tc>
          <w:tcPr>
            <w:tcW w:w="2011" w:type="pct"/>
            <w:shd w:val="clear" w:color="auto" w:fill="E6E6E6"/>
          </w:tcPr>
          <w:p w14:paraId="5D9C3AA5" w14:textId="77777777" w:rsidR="007461C9" w:rsidRPr="00B405A7" w:rsidRDefault="007461C9" w:rsidP="00E4683D">
            <w:pPr>
              <w:keepLines/>
              <w:rPr>
                <w:b/>
              </w:rPr>
            </w:pPr>
            <w:r w:rsidRPr="00B405A7">
              <w:rPr>
                <w:b/>
              </w:rPr>
              <w:t>Short description</w:t>
            </w:r>
          </w:p>
        </w:tc>
        <w:tc>
          <w:tcPr>
            <w:tcW w:w="597" w:type="pct"/>
            <w:shd w:val="clear" w:color="auto" w:fill="E6E6E6"/>
          </w:tcPr>
          <w:p w14:paraId="4D82AD46" w14:textId="77777777" w:rsidR="007461C9" w:rsidRPr="00B405A7" w:rsidRDefault="007461C9" w:rsidP="00E4683D">
            <w:pPr>
              <w:keepLines/>
              <w:rPr>
                <w:b/>
              </w:rPr>
            </w:pPr>
            <w:r w:rsidRPr="00B405A7">
              <w:rPr>
                <w:b/>
              </w:rPr>
              <w:t>Planned start date</w:t>
            </w:r>
          </w:p>
        </w:tc>
        <w:tc>
          <w:tcPr>
            <w:tcW w:w="597" w:type="pct"/>
            <w:shd w:val="clear" w:color="auto" w:fill="E6E6E6"/>
          </w:tcPr>
          <w:p w14:paraId="293E2E66" w14:textId="77777777" w:rsidR="007461C9" w:rsidRPr="00B405A7" w:rsidRDefault="007461C9" w:rsidP="00E4683D">
            <w:pPr>
              <w:keepLines/>
              <w:rPr>
                <w:b/>
              </w:rPr>
            </w:pPr>
            <w:r w:rsidRPr="00B405A7">
              <w:rPr>
                <w:b/>
              </w:rPr>
              <w:t>Planned end date</w:t>
            </w:r>
          </w:p>
        </w:tc>
        <w:tc>
          <w:tcPr>
            <w:tcW w:w="745" w:type="pct"/>
            <w:shd w:val="clear" w:color="auto" w:fill="E6E6E6"/>
          </w:tcPr>
          <w:p w14:paraId="5186BBF8" w14:textId="77777777" w:rsidR="007461C9" w:rsidRPr="00B405A7" w:rsidRDefault="007461C9" w:rsidP="00E4683D">
            <w:pPr>
              <w:keepLines/>
              <w:rPr>
                <w:b/>
              </w:rPr>
            </w:pPr>
            <w:r>
              <w:rPr>
                <w:b/>
              </w:rPr>
              <w:t xml:space="preserve">Dependent  on projects </w:t>
            </w:r>
          </w:p>
        </w:tc>
      </w:tr>
      <w:tr w:rsidR="007461C9" w:rsidRPr="005D5922" w14:paraId="7458047B" w14:textId="77777777" w:rsidTr="00741976">
        <w:trPr>
          <w:trHeight w:val="2631"/>
        </w:trPr>
        <w:tc>
          <w:tcPr>
            <w:tcW w:w="301" w:type="pct"/>
          </w:tcPr>
          <w:p w14:paraId="6C853FE0" w14:textId="77777777" w:rsidR="007461C9" w:rsidRPr="00621EA0" w:rsidRDefault="007461C9" w:rsidP="003209FE">
            <w:pPr>
              <w:pStyle w:val="Heading3"/>
              <w:keepNext w:val="0"/>
              <w:widowControl w:val="0"/>
              <w:spacing w:after="120"/>
            </w:pPr>
            <w:r>
              <w:rPr>
                <w:rFonts w:ascii="Corbel" w:hAnsi="Corbel"/>
                <w:b w:val="0"/>
                <w:color w:val="000000" w:themeColor="text1"/>
                <w:szCs w:val="24"/>
              </w:rPr>
              <w:br w:type="page"/>
            </w:r>
            <w:r w:rsidRPr="00621EA0">
              <w:rPr>
                <w:rFonts w:ascii="Corbel" w:hAnsi="Corbel"/>
                <w:b w:val="0"/>
                <w:color w:val="000000" w:themeColor="text1"/>
                <w:spacing w:val="1"/>
              </w:rPr>
              <w:t>1</w:t>
            </w:r>
          </w:p>
        </w:tc>
        <w:tc>
          <w:tcPr>
            <w:tcW w:w="749" w:type="pct"/>
          </w:tcPr>
          <w:p w14:paraId="4EF071CE" w14:textId="77777777" w:rsidR="007461C9" w:rsidRPr="005D5922" w:rsidRDefault="007461C9" w:rsidP="00E4683D">
            <w:pPr>
              <w:keepLines/>
              <w:rPr>
                <w:rFonts w:cs="Corbel"/>
                <w:b/>
                <w:spacing w:val="1"/>
                <w:szCs w:val="23"/>
              </w:rPr>
            </w:pPr>
            <w:r>
              <w:rPr>
                <w:rFonts w:cs="Corbel"/>
                <w:b/>
                <w:spacing w:val="1"/>
                <w:szCs w:val="23"/>
              </w:rPr>
              <w:t>Start Strong Model</w:t>
            </w:r>
          </w:p>
          <w:p w14:paraId="794AC85F" w14:textId="77777777" w:rsidR="007461C9" w:rsidRDefault="007461C9" w:rsidP="00E4683D">
            <w:pPr>
              <w:keepLines/>
              <w:rPr>
                <w:b/>
                <w:szCs w:val="23"/>
              </w:rPr>
            </w:pPr>
          </w:p>
          <w:p w14:paraId="44F5CADD" w14:textId="77777777" w:rsidR="007461C9" w:rsidRDefault="007461C9" w:rsidP="00E4683D">
            <w:pPr>
              <w:keepLines/>
              <w:rPr>
                <w:b/>
                <w:szCs w:val="23"/>
              </w:rPr>
            </w:pPr>
          </w:p>
          <w:p w14:paraId="24745EEC" w14:textId="77777777" w:rsidR="007461C9" w:rsidRDefault="007461C9" w:rsidP="00E4683D">
            <w:pPr>
              <w:keepLines/>
              <w:rPr>
                <w:b/>
                <w:szCs w:val="23"/>
              </w:rPr>
            </w:pPr>
          </w:p>
          <w:p w14:paraId="1F6A4706" w14:textId="77777777" w:rsidR="007461C9" w:rsidRDefault="007461C9" w:rsidP="00E4683D">
            <w:pPr>
              <w:keepLines/>
              <w:rPr>
                <w:b/>
                <w:szCs w:val="23"/>
              </w:rPr>
            </w:pPr>
          </w:p>
          <w:p w14:paraId="4B336900" w14:textId="77777777" w:rsidR="007461C9" w:rsidRDefault="007461C9" w:rsidP="00E4683D">
            <w:pPr>
              <w:keepLines/>
              <w:rPr>
                <w:b/>
                <w:szCs w:val="23"/>
              </w:rPr>
            </w:pPr>
          </w:p>
          <w:p w14:paraId="0E500B35" w14:textId="77777777" w:rsidR="007461C9" w:rsidRDefault="007461C9" w:rsidP="00E4683D">
            <w:pPr>
              <w:keepLines/>
              <w:rPr>
                <w:b/>
                <w:szCs w:val="23"/>
              </w:rPr>
            </w:pPr>
          </w:p>
          <w:p w14:paraId="2FCA9A71" w14:textId="77777777" w:rsidR="007461C9" w:rsidRDefault="007461C9" w:rsidP="00E4683D">
            <w:pPr>
              <w:keepLines/>
              <w:rPr>
                <w:b/>
                <w:szCs w:val="23"/>
              </w:rPr>
            </w:pPr>
          </w:p>
          <w:p w14:paraId="0A939EA5" w14:textId="77777777" w:rsidR="007461C9" w:rsidRDefault="007461C9" w:rsidP="00E4683D">
            <w:pPr>
              <w:keepLines/>
              <w:rPr>
                <w:b/>
              </w:rPr>
            </w:pPr>
          </w:p>
          <w:p w14:paraId="5C39DF41" w14:textId="77777777" w:rsidR="007461C9" w:rsidRDefault="007461C9" w:rsidP="00E4683D">
            <w:pPr>
              <w:keepLines/>
              <w:rPr>
                <w:b/>
              </w:rPr>
            </w:pPr>
          </w:p>
          <w:p w14:paraId="3336AD1C" w14:textId="77777777" w:rsidR="007461C9" w:rsidRDefault="007461C9" w:rsidP="00E4683D">
            <w:pPr>
              <w:keepLines/>
              <w:rPr>
                <w:b/>
              </w:rPr>
            </w:pPr>
          </w:p>
          <w:p w14:paraId="539BE59C" w14:textId="77777777" w:rsidR="007461C9" w:rsidRDefault="007461C9" w:rsidP="00E4683D">
            <w:pPr>
              <w:keepLines/>
              <w:rPr>
                <w:b/>
              </w:rPr>
            </w:pPr>
          </w:p>
          <w:p w14:paraId="1EC474BB" w14:textId="77777777" w:rsidR="007461C9" w:rsidRDefault="007461C9" w:rsidP="00E4683D">
            <w:pPr>
              <w:keepLines/>
              <w:rPr>
                <w:b/>
              </w:rPr>
            </w:pPr>
          </w:p>
          <w:p w14:paraId="71BEE25A" w14:textId="77777777" w:rsidR="007461C9" w:rsidRDefault="007461C9" w:rsidP="00E4683D">
            <w:pPr>
              <w:keepLines/>
              <w:rPr>
                <w:b/>
              </w:rPr>
            </w:pPr>
          </w:p>
          <w:p w14:paraId="42FE8E48" w14:textId="77777777" w:rsidR="007461C9" w:rsidRDefault="007461C9" w:rsidP="00E4683D">
            <w:pPr>
              <w:keepLines/>
              <w:rPr>
                <w:b/>
              </w:rPr>
            </w:pPr>
          </w:p>
          <w:p w14:paraId="3AA5361A" w14:textId="77777777" w:rsidR="007461C9" w:rsidRDefault="007461C9" w:rsidP="00E4683D">
            <w:pPr>
              <w:keepLines/>
              <w:rPr>
                <w:b/>
              </w:rPr>
            </w:pPr>
          </w:p>
          <w:p w14:paraId="6F194408" w14:textId="77777777" w:rsidR="007461C9" w:rsidRDefault="007461C9" w:rsidP="00E4683D">
            <w:pPr>
              <w:keepLines/>
              <w:rPr>
                <w:b/>
              </w:rPr>
            </w:pPr>
          </w:p>
          <w:p w14:paraId="3753D6C6" w14:textId="77777777" w:rsidR="007461C9" w:rsidRDefault="007461C9" w:rsidP="00E4683D">
            <w:pPr>
              <w:keepLines/>
              <w:rPr>
                <w:b/>
              </w:rPr>
            </w:pPr>
          </w:p>
          <w:p w14:paraId="26634B1D" w14:textId="77777777" w:rsidR="007461C9" w:rsidRDefault="007461C9" w:rsidP="00E4683D">
            <w:pPr>
              <w:keepLines/>
              <w:rPr>
                <w:b/>
              </w:rPr>
            </w:pPr>
          </w:p>
          <w:p w14:paraId="4A456190" w14:textId="77777777" w:rsidR="007461C9" w:rsidRDefault="007461C9" w:rsidP="00E4683D">
            <w:pPr>
              <w:keepLines/>
              <w:rPr>
                <w:b/>
                <w:szCs w:val="23"/>
              </w:rPr>
            </w:pPr>
            <w:r w:rsidRPr="00621EA0">
              <w:rPr>
                <w:b/>
              </w:rPr>
              <w:t>Community Preschools</w:t>
            </w:r>
          </w:p>
          <w:p w14:paraId="62BCBCD5" w14:textId="77777777" w:rsidR="007461C9" w:rsidRDefault="007461C9" w:rsidP="00E4683D">
            <w:pPr>
              <w:keepLines/>
              <w:rPr>
                <w:b/>
                <w:szCs w:val="23"/>
              </w:rPr>
            </w:pPr>
          </w:p>
          <w:p w14:paraId="7DA52A51" w14:textId="77777777" w:rsidR="007461C9" w:rsidRDefault="007461C9" w:rsidP="00E4683D">
            <w:pPr>
              <w:keepLines/>
              <w:rPr>
                <w:b/>
                <w:szCs w:val="23"/>
              </w:rPr>
            </w:pPr>
          </w:p>
          <w:p w14:paraId="445557B1" w14:textId="77777777" w:rsidR="007461C9" w:rsidRDefault="007461C9" w:rsidP="00E4683D">
            <w:pPr>
              <w:keepLines/>
              <w:rPr>
                <w:b/>
                <w:szCs w:val="23"/>
              </w:rPr>
            </w:pPr>
          </w:p>
          <w:p w14:paraId="1911FB4B" w14:textId="77777777" w:rsidR="007461C9" w:rsidRDefault="007461C9" w:rsidP="00E4683D">
            <w:pPr>
              <w:keepLines/>
              <w:rPr>
                <w:b/>
                <w:szCs w:val="23"/>
              </w:rPr>
            </w:pPr>
          </w:p>
          <w:p w14:paraId="61E2257D" w14:textId="77777777" w:rsidR="007461C9" w:rsidRDefault="007461C9" w:rsidP="00E4683D">
            <w:pPr>
              <w:keepLines/>
              <w:rPr>
                <w:b/>
                <w:szCs w:val="23"/>
              </w:rPr>
            </w:pPr>
          </w:p>
          <w:p w14:paraId="3BC523EC" w14:textId="77777777" w:rsidR="007461C9" w:rsidRDefault="007461C9" w:rsidP="00E4683D">
            <w:pPr>
              <w:keepLines/>
              <w:rPr>
                <w:b/>
                <w:szCs w:val="23"/>
              </w:rPr>
            </w:pPr>
          </w:p>
          <w:p w14:paraId="14FFE3B6" w14:textId="77777777" w:rsidR="007461C9" w:rsidRDefault="007461C9" w:rsidP="00E4683D">
            <w:pPr>
              <w:keepLines/>
              <w:rPr>
                <w:b/>
                <w:szCs w:val="23"/>
              </w:rPr>
            </w:pPr>
          </w:p>
          <w:p w14:paraId="37CF81D4" w14:textId="77777777" w:rsidR="007461C9" w:rsidRDefault="007461C9" w:rsidP="00E4683D">
            <w:pPr>
              <w:keepLines/>
              <w:rPr>
                <w:b/>
                <w:szCs w:val="23"/>
              </w:rPr>
            </w:pPr>
          </w:p>
          <w:p w14:paraId="2EB46B26" w14:textId="77777777" w:rsidR="007461C9" w:rsidRDefault="007461C9" w:rsidP="00E4683D">
            <w:pPr>
              <w:keepLines/>
              <w:rPr>
                <w:b/>
                <w:szCs w:val="23"/>
              </w:rPr>
            </w:pPr>
          </w:p>
          <w:p w14:paraId="5A7F4F12" w14:textId="77777777" w:rsidR="007461C9" w:rsidRDefault="007461C9" w:rsidP="00E4683D">
            <w:pPr>
              <w:keepLines/>
              <w:rPr>
                <w:b/>
                <w:szCs w:val="23"/>
              </w:rPr>
            </w:pPr>
          </w:p>
          <w:p w14:paraId="61093D34" w14:textId="77777777" w:rsidR="007461C9" w:rsidRDefault="007461C9" w:rsidP="00E4683D">
            <w:pPr>
              <w:keepLines/>
              <w:rPr>
                <w:b/>
                <w:szCs w:val="23"/>
              </w:rPr>
            </w:pPr>
          </w:p>
          <w:p w14:paraId="3A7DE1A9" w14:textId="77777777" w:rsidR="007461C9" w:rsidRDefault="007461C9" w:rsidP="00E4683D">
            <w:pPr>
              <w:keepLines/>
              <w:rPr>
                <w:b/>
                <w:szCs w:val="23"/>
              </w:rPr>
            </w:pPr>
          </w:p>
          <w:p w14:paraId="5E2D2A9D" w14:textId="34E0F37F" w:rsidR="007461C9" w:rsidRDefault="007461C9" w:rsidP="00E4683D">
            <w:pPr>
              <w:keepLines/>
              <w:rPr>
                <w:b/>
                <w:szCs w:val="23"/>
              </w:rPr>
            </w:pPr>
          </w:p>
          <w:p w14:paraId="05C8AE31" w14:textId="77777777" w:rsidR="007461C9" w:rsidRDefault="007461C9" w:rsidP="00E4683D">
            <w:pPr>
              <w:keepLines/>
              <w:rPr>
                <w:b/>
                <w:szCs w:val="23"/>
              </w:rPr>
            </w:pPr>
          </w:p>
          <w:p w14:paraId="7144443C" w14:textId="77777777" w:rsidR="007461C9" w:rsidRDefault="007461C9" w:rsidP="00E4683D">
            <w:pPr>
              <w:keepLines/>
              <w:rPr>
                <w:b/>
                <w:szCs w:val="23"/>
              </w:rPr>
            </w:pPr>
          </w:p>
          <w:p w14:paraId="62FAB897" w14:textId="77777777" w:rsidR="007461C9" w:rsidRDefault="007461C9" w:rsidP="00E4683D">
            <w:pPr>
              <w:keepLines/>
              <w:rPr>
                <w:b/>
                <w:szCs w:val="23"/>
              </w:rPr>
            </w:pPr>
          </w:p>
          <w:p w14:paraId="670801A0" w14:textId="77777777" w:rsidR="007461C9" w:rsidRDefault="007461C9" w:rsidP="00E4683D">
            <w:pPr>
              <w:keepLines/>
              <w:rPr>
                <w:b/>
                <w:szCs w:val="23"/>
              </w:rPr>
            </w:pPr>
          </w:p>
          <w:p w14:paraId="62FFBE63" w14:textId="77777777" w:rsidR="00741976" w:rsidRDefault="00741976" w:rsidP="00E4683D">
            <w:pPr>
              <w:keepLines/>
              <w:rPr>
                <w:b/>
                <w:szCs w:val="23"/>
              </w:rPr>
            </w:pPr>
          </w:p>
          <w:p w14:paraId="6E319EB5" w14:textId="77777777" w:rsidR="00741976" w:rsidRDefault="00741976" w:rsidP="00E4683D">
            <w:pPr>
              <w:keepLines/>
              <w:rPr>
                <w:b/>
                <w:szCs w:val="23"/>
              </w:rPr>
            </w:pPr>
          </w:p>
          <w:p w14:paraId="2CCCD87D" w14:textId="77777777" w:rsidR="00741976" w:rsidRDefault="00741976" w:rsidP="00E4683D">
            <w:pPr>
              <w:keepLines/>
              <w:rPr>
                <w:b/>
                <w:szCs w:val="23"/>
              </w:rPr>
            </w:pPr>
          </w:p>
          <w:p w14:paraId="1103CFE8" w14:textId="77777777" w:rsidR="00741976" w:rsidRDefault="00741976" w:rsidP="00E4683D">
            <w:pPr>
              <w:keepLines/>
              <w:rPr>
                <w:b/>
                <w:szCs w:val="23"/>
              </w:rPr>
            </w:pPr>
          </w:p>
          <w:p w14:paraId="6A6AF451" w14:textId="77777777" w:rsidR="00741976" w:rsidRDefault="00741976" w:rsidP="00E4683D">
            <w:pPr>
              <w:keepLines/>
              <w:rPr>
                <w:b/>
                <w:szCs w:val="23"/>
              </w:rPr>
            </w:pPr>
          </w:p>
          <w:p w14:paraId="07F52748" w14:textId="025BBD89" w:rsidR="00741976" w:rsidRDefault="00741976" w:rsidP="00E4683D">
            <w:pPr>
              <w:keepLines/>
              <w:rPr>
                <w:b/>
                <w:szCs w:val="23"/>
              </w:rPr>
            </w:pPr>
          </w:p>
          <w:p w14:paraId="1482E60C" w14:textId="37307042" w:rsidR="00741976" w:rsidRDefault="00741976" w:rsidP="00E4683D">
            <w:pPr>
              <w:keepLines/>
              <w:rPr>
                <w:b/>
                <w:szCs w:val="23"/>
              </w:rPr>
            </w:pPr>
            <w:r>
              <w:rPr>
                <w:b/>
                <w:szCs w:val="23"/>
              </w:rPr>
              <w:t>Long Day Care</w:t>
            </w:r>
          </w:p>
          <w:p w14:paraId="66A4B155" w14:textId="424263A2" w:rsidR="00741976" w:rsidRPr="005D5922" w:rsidRDefault="00741976" w:rsidP="00E4683D">
            <w:pPr>
              <w:keepLines/>
              <w:rPr>
                <w:b/>
                <w:szCs w:val="23"/>
              </w:rPr>
            </w:pPr>
          </w:p>
        </w:tc>
        <w:tc>
          <w:tcPr>
            <w:tcW w:w="2011" w:type="pct"/>
          </w:tcPr>
          <w:p w14:paraId="5733F95F" w14:textId="77777777" w:rsidR="007461C9" w:rsidRDefault="007461C9" w:rsidP="00E4683D">
            <w:pPr>
              <w:keepLines/>
              <w:rPr>
                <w:rFonts w:cs="Corbel"/>
                <w:spacing w:val="1"/>
                <w:szCs w:val="23"/>
              </w:rPr>
            </w:pPr>
            <w:r>
              <w:rPr>
                <w:rFonts w:cs="Corbel"/>
                <w:b/>
                <w:spacing w:val="1"/>
                <w:szCs w:val="23"/>
              </w:rPr>
              <w:t>Start Strong</w:t>
            </w:r>
            <w:r w:rsidRPr="005D5922">
              <w:rPr>
                <w:rFonts w:cs="Corbel"/>
                <w:b/>
                <w:spacing w:val="1"/>
                <w:szCs w:val="23"/>
              </w:rPr>
              <w:t xml:space="preserve"> </w:t>
            </w:r>
            <w:r w:rsidRPr="005D5922">
              <w:rPr>
                <w:rFonts w:cs="Corbel"/>
                <w:spacing w:val="1"/>
                <w:szCs w:val="23"/>
              </w:rPr>
              <w:t>–</w:t>
            </w:r>
            <w:r>
              <w:rPr>
                <w:rFonts w:cs="Corbel"/>
                <w:spacing w:val="1"/>
                <w:szCs w:val="23"/>
              </w:rPr>
              <w:t xml:space="preserve"> </w:t>
            </w:r>
            <w:r w:rsidRPr="00FD4509">
              <w:rPr>
                <w:rFonts w:cs="Corbel"/>
                <w:spacing w:val="1"/>
                <w:szCs w:val="23"/>
              </w:rPr>
              <w:t>needs-based funding investment aimed at making 600 hours of preschool participation more affordable</w:t>
            </w:r>
            <w:r>
              <w:rPr>
                <w:rFonts w:cs="Corbel"/>
                <w:spacing w:val="1"/>
                <w:szCs w:val="23"/>
              </w:rPr>
              <w:t xml:space="preserve"> in centre-based preschool and long day care services</w:t>
            </w:r>
            <w:r w:rsidRPr="00FD4509">
              <w:rPr>
                <w:rFonts w:cs="Corbel"/>
                <w:spacing w:val="1"/>
                <w:szCs w:val="23"/>
              </w:rPr>
              <w:t>.</w:t>
            </w:r>
            <w:r>
              <w:t xml:space="preserve"> </w:t>
            </w:r>
            <w:r w:rsidRPr="005D46F0">
              <w:rPr>
                <w:rFonts w:cs="Corbel"/>
                <w:spacing w:val="1"/>
                <w:szCs w:val="23"/>
              </w:rPr>
              <w:t>Start Strong provides increased support to children who enrol for 600 hours in the y</w:t>
            </w:r>
            <w:r>
              <w:rPr>
                <w:rFonts w:cs="Corbel"/>
                <w:spacing w:val="1"/>
                <w:szCs w:val="23"/>
              </w:rPr>
              <w:t>ear before school, and to three-</w:t>
            </w:r>
            <w:r w:rsidRPr="005D46F0">
              <w:rPr>
                <w:rFonts w:cs="Corbel"/>
                <w:spacing w:val="1"/>
                <w:szCs w:val="23"/>
              </w:rPr>
              <w:t>year</w:t>
            </w:r>
            <w:r>
              <w:rPr>
                <w:rFonts w:cs="Corbel"/>
                <w:spacing w:val="1"/>
                <w:szCs w:val="23"/>
              </w:rPr>
              <w:t>-</w:t>
            </w:r>
            <w:r w:rsidRPr="005D46F0">
              <w:rPr>
                <w:rFonts w:cs="Corbel"/>
                <w:spacing w:val="1"/>
                <w:szCs w:val="23"/>
              </w:rPr>
              <w:t>old children from low</w:t>
            </w:r>
            <w:r>
              <w:rPr>
                <w:rFonts w:cs="Corbel"/>
                <w:spacing w:val="1"/>
                <w:szCs w:val="23"/>
              </w:rPr>
              <w:t xml:space="preserve"> </w:t>
            </w:r>
            <w:r w:rsidRPr="005D46F0">
              <w:rPr>
                <w:rFonts w:cs="Corbel"/>
                <w:spacing w:val="1"/>
                <w:szCs w:val="23"/>
              </w:rPr>
              <w:t>income and Aboriginal backgrounds</w:t>
            </w:r>
            <w:r>
              <w:rPr>
                <w:rFonts w:cs="Corbel"/>
                <w:spacing w:val="1"/>
                <w:szCs w:val="23"/>
              </w:rPr>
              <w:t xml:space="preserve"> and children with disability and/or additional needs</w:t>
            </w:r>
            <w:r w:rsidRPr="005D46F0">
              <w:rPr>
                <w:rFonts w:cs="Corbel"/>
                <w:spacing w:val="1"/>
                <w:szCs w:val="23"/>
              </w:rPr>
              <w:t>.</w:t>
            </w:r>
          </w:p>
          <w:p w14:paraId="7FF29623" w14:textId="77777777" w:rsidR="007461C9" w:rsidRDefault="007461C9" w:rsidP="003209FE">
            <w:pPr>
              <w:rPr>
                <w:rFonts w:cs="Arial"/>
                <w:szCs w:val="23"/>
              </w:rPr>
            </w:pPr>
          </w:p>
          <w:p w14:paraId="1876BABF" w14:textId="77777777" w:rsidR="007461C9" w:rsidRPr="00126A2E" w:rsidRDefault="007461C9" w:rsidP="003209FE">
            <w:pPr>
              <w:rPr>
                <w:rFonts w:cs="Arial"/>
                <w:szCs w:val="23"/>
              </w:rPr>
            </w:pPr>
            <w:r>
              <w:rPr>
                <w:rFonts w:cs="Arial"/>
                <w:szCs w:val="23"/>
              </w:rPr>
              <w:t xml:space="preserve">The 2018/19 NSW State Budget extended the Start Strong program to include </w:t>
            </w:r>
            <w:r w:rsidRPr="00126A2E">
              <w:rPr>
                <w:rFonts w:cs="Arial"/>
                <w:szCs w:val="23"/>
              </w:rPr>
              <w:t xml:space="preserve">funding </w:t>
            </w:r>
            <w:r>
              <w:rPr>
                <w:rFonts w:cs="Arial"/>
                <w:szCs w:val="23"/>
              </w:rPr>
              <w:t xml:space="preserve">for all </w:t>
            </w:r>
            <w:r w:rsidRPr="00126A2E">
              <w:rPr>
                <w:rFonts w:cs="Arial"/>
                <w:szCs w:val="23"/>
              </w:rPr>
              <w:t xml:space="preserve">three year old children in community preschools in accessing 600 hours of quality ECE in the two years before </w:t>
            </w:r>
            <w:r>
              <w:rPr>
                <w:rFonts w:cs="Arial"/>
                <w:szCs w:val="23"/>
              </w:rPr>
              <w:t>school, effective from 1 January 2019</w:t>
            </w:r>
            <w:r w:rsidRPr="00126A2E">
              <w:rPr>
                <w:rFonts w:cs="Arial"/>
                <w:szCs w:val="23"/>
              </w:rPr>
              <w:t xml:space="preserve">. </w:t>
            </w:r>
          </w:p>
          <w:p w14:paraId="1DE6F8F2" w14:textId="77777777" w:rsidR="007461C9" w:rsidRDefault="007461C9" w:rsidP="00E4683D">
            <w:pPr>
              <w:keepLines/>
              <w:rPr>
                <w:szCs w:val="23"/>
              </w:rPr>
            </w:pPr>
          </w:p>
          <w:p w14:paraId="4AAF4217" w14:textId="77777777" w:rsidR="007461C9" w:rsidRDefault="007461C9" w:rsidP="00E4683D">
            <w:pPr>
              <w:keepLines/>
              <w:rPr>
                <w:szCs w:val="23"/>
              </w:rPr>
            </w:pPr>
            <w:r w:rsidRPr="005D48B8">
              <w:rPr>
                <w:szCs w:val="23"/>
              </w:rPr>
              <w:t>Under Start Strong, per-child base funding rates have increased across all socio-economic bands. These rates start at $4,250 and increase to $6,600 for services in the most disadvantaged areas. Children aged three</w:t>
            </w:r>
            <w:r>
              <w:rPr>
                <w:szCs w:val="23"/>
              </w:rPr>
              <w:t xml:space="preserve"> and </w:t>
            </w:r>
            <w:r w:rsidRPr="005D48B8">
              <w:rPr>
                <w:szCs w:val="23"/>
              </w:rPr>
              <w:t xml:space="preserve">over from Aboriginal and low income families receive the maximum base funding </w:t>
            </w:r>
            <w:r>
              <w:rPr>
                <w:szCs w:val="23"/>
              </w:rPr>
              <w:t xml:space="preserve">equity </w:t>
            </w:r>
            <w:r w:rsidRPr="005D48B8">
              <w:rPr>
                <w:szCs w:val="23"/>
              </w:rPr>
              <w:t>rat</w:t>
            </w:r>
            <w:r>
              <w:rPr>
                <w:szCs w:val="23"/>
              </w:rPr>
              <w:t>e of $6,600 regardless of socio</w:t>
            </w:r>
            <w:r>
              <w:rPr>
                <w:szCs w:val="23"/>
              </w:rPr>
              <w:noBreakHyphen/>
            </w:r>
            <w:r w:rsidRPr="005D48B8">
              <w:rPr>
                <w:szCs w:val="23"/>
              </w:rPr>
              <w:t>economic band.</w:t>
            </w:r>
          </w:p>
          <w:p w14:paraId="4E2EAEC8" w14:textId="77777777" w:rsidR="007461C9" w:rsidRDefault="007461C9" w:rsidP="00E4683D">
            <w:pPr>
              <w:keepLines/>
              <w:rPr>
                <w:rFonts w:cs="Arial"/>
                <w:szCs w:val="23"/>
              </w:rPr>
            </w:pPr>
            <w:r w:rsidRPr="00460263">
              <w:rPr>
                <w:rFonts w:cs="Arial"/>
                <w:szCs w:val="23"/>
              </w:rPr>
              <w:t>From January 2019 non-equity three year olds will be funded at a proportion of their equivalent year before school rate. This proportion gradually increases from 25 per cent in 2019 to 50 per cent in 2022. Subsidies for non-equity 3 year olds will be</w:t>
            </w:r>
            <w:r w:rsidRPr="00126A2E">
              <w:rPr>
                <w:rFonts w:cs="Arial"/>
                <w:szCs w:val="23"/>
              </w:rPr>
              <w:t xml:space="preserve"> paid to community preschools based on enrolment data.</w:t>
            </w:r>
          </w:p>
          <w:p w14:paraId="165BB9F2" w14:textId="77777777" w:rsidR="00741976" w:rsidRDefault="00741976" w:rsidP="00E4683D">
            <w:pPr>
              <w:keepLines/>
              <w:rPr>
                <w:rFonts w:cs="Arial"/>
                <w:szCs w:val="23"/>
              </w:rPr>
            </w:pPr>
          </w:p>
          <w:p w14:paraId="766A2DEC" w14:textId="20E2D594" w:rsidR="00741976" w:rsidRPr="00613400" w:rsidRDefault="00741976" w:rsidP="00E4683D">
            <w:pPr>
              <w:keepLines/>
              <w:rPr>
                <w:rFonts w:cs="Corbel"/>
                <w:spacing w:val="1"/>
                <w:szCs w:val="23"/>
              </w:rPr>
            </w:pPr>
            <w:r w:rsidRPr="00064FDB">
              <w:rPr>
                <w:rFonts w:cs="Corbel"/>
                <w:spacing w:val="1"/>
                <w:szCs w:val="23"/>
              </w:rPr>
              <w:t>Under the St</w:t>
            </w:r>
            <w:r>
              <w:rPr>
                <w:rFonts w:cs="Corbel"/>
                <w:spacing w:val="1"/>
                <w:szCs w:val="23"/>
              </w:rPr>
              <w:t>art Strong Long Day Care (LDC) P</w:t>
            </w:r>
            <w:r w:rsidRPr="00064FDB">
              <w:rPr>
                <w:rFonts w:cs="Corbel"/>
                <w:spacing w:val="1"/>
                <w:szCs w:val="23"/>
              </w:rPr>
              <w:t>rogram, long day care services will receive</w:t>
            </w:r>
            <w:r>
              <w:rPr>
                <w:rFonts w:cs="Corbel"/>
                <w:spacing w:val="1"/>
                <w:szCs w:val="23"/>
              </w:rPr>
              <w:t xml:space="preserve"> </w:t>
            </w:r>
            <w:r w:rsidRPr="00064FDB">
              <w:rPr>
                <w:rFonts w:cs="Corbel"/>
                <w:spacing w:val="1"/>
                <w:szCs w:val="23"/>
              </w:rPr>
              <w:t>additional funding to support children aged four to five from low-income or Aboriginal families.</w:t>
            </w:r>
            <w:r>
              <w:rPr>
                <w:rFonts w:cs="Corbel"/>
                <w:spacing w:val="1"/>
                <w:szCs w:val="23"/>
              </w:rPr>
              <w:t xml:space="preserve"> </w:t>
            </w:r>
            <w:r w:rsidRPr="00064FDB">
              <w:rPr>
                <w:rFonts w:cs="Corbel"/>
                <w:spacing w:val="1"/>
                <w:szCs w:val="23"/>
              </w:rPr>
              <w:t>Long day care services that are listed on the Australian Government's Child Care Management System (CCMS) and regulated under the National Quality Framework are eligible to receive Start Strong LDC funding.</w:t>
            </w:r>
          </w:p>
        </w:tc>
        <w:tc>
          <w:tcPr>
            <w:tcW w:w="597" w:type="pct"/>
          </w:tcPr>
          <w:p w14:paraId="6270BD3B" w14:textId="77777777" w:rsidR="007461C9" w:rsidRDefault="007461C9" w:rsidP="00E4683D">
            <w:pPr>
              <w:keepLines/>
              <w:rPr>
                <w:szCs w:val="23"/>
              </w:rPr>
            </w:pPr>
            <w:r>
              <w:rPr>
                <w:szCs w:val="23"/>
              </w:rPr>
              <w:t>1 Jan 2017</w:t>
            </w:r>
          </w:p>
          <w:p w14:paraId="1A185C13" w14:textId="77777777" w:rsidR="007461C9" w:rsidRDefault="007461C9" w:rsidP="00E4683D">
            <w:pPr>
              <w:keepLines/>
              <w:rPr>
                <w:szCs w:val="23"/>
              </w:rPr>
            </w:pPr>
          </w:p>
          <w:p w14:paraId="3390FE00" w14:textId="77777777" w:rsidR="007461C9" w:rsidRDefault="007461C9" w:rsidP="00E4683D">
            <w:pPr>
              <w:keepLines/>
              <w:rPr>
                <w:szCs w:val="23"/>
              </w:rPr>
            </w:pPr>
          </w:p>
          <w:p w14:paraId="5C6D0936" w14:textId="77777777" w:rsidR="007461C9" w:rsidRDefault="007461C9" w:rsidP="00E4683D">
            <w:pPr>
              <w:keepLines/>
              <w:rPr>
                <w:szCs w:val="23"/>
              </w:rPr>
            </w:pPr>
          </w:p>
          <w:p w14:paraId="5E0733D5" w14:textId="77777777" w:rsidR="007461C9" w:rsidRDefault="007461C9" w:rsidP="00E4683D">
            <w:pPr>
              <w:keepLines/>
              <w:rPr>
                <w:szCs w:val="23"/>
              </w:rPr>
            </w:pPr>
          </w:p>
          <w:p w14:paraId="555C5CB4" w14:textId="77777777" w:rsidR="007461C9" w:rsidRDefault="007461C9" w:rsidP="00E4683D">
            <w:pPr>
              <w:keepLines/>
              <w:rPr>
                <w:szCs w:val="23"/>
              </w:rPr>
            </w:pPr>
          </w:p>
          <w:p w14:paraId="535D3590" w14:textId="77777777" w:rsidR="007461C9" w:rsidRDefault="007461C9" w:rsidP="00E4683D">
            <w:pPr>
              <w:keepLines/>
              <w:rPr>
                <w:szCs w:val="23"/>
              </w:rPr>
            </w:pPr>
          </w:p>
          <w:p w14:paraId="39DCBCCA" w14:textId="77777777" w:rsidR="007461C9" w:rsidRDefault="007461C9" w:rsidP="00E4683D">
            <w:pPr>
              <w:keepLines/>
              <w:rPr>
                <w:szCs w:val="23"/>
              </w:rPr>
            </w:pPr>
          </w:p>
          <w:p w14:paraId="6443654D" w14:textId="77777777" w:rsidR="007461C9" w:rsidRDefault="007461C9" w:rsidP="00E4683D">
            <w:pPr>
              <w:keepLines/>
              <w:rPr>
                <w:szCs w:val="23"/>
              </w:rPr>
            </w:pPr>
          </w:p>
          <w:p w14:paraId="08922599" w14:textId="77777777" w:rsidR="007461C9" w:rsidRDefault="007461C9" w:rsidP="00E4683D">
            <w:pPr>
              <w:keepLines/>
              <w:rPr>
                <w:szCs w:val="23"/>
              </w:rPr>
            </w:pPr>
          </w:p>
          <w:p w14:paraId="69B92443" w14:textId="77777777" w:rsidR="007461C9" w:rsidRDefault="007461C9" w:rsidP="00E4683D">
            <w:pPr>
              <w:keepLines/>
              <w:rPr>
                <w:szCs w:val="23"/>
              </w:rPr>
            </w:pPr>
          </w:p>
          <w:p w14:paraId="7EB11BB1" w14:textId="77777777" w:rsidR="007461C9" w:rsidRDefault="007461C9" w:rsidP="00E4683D">
            <w:pPr>
              <w:keepLines/>
              <w:rPr>
                <w:szCs w:val="23"/>
              </w:rPr>
            </w:pPr>
          </w:p>
          <w:p w14:paraId="6B805114" w14:textId="77777777" w:rsidR="007461C9" w:rsidRDefault="007461C9" w:rsidP="00E4683D">
            <w:pPr>
              <w:keepLines/>
              <w:rPr>
                <w:szCs w:val="23"/>
              </w:rPr>
            </w:pPr>
            <w:r>
              <w:rPr>
                <w:szCs w:val="23"/>
              </w:rPr>
              <w:t>1 Jan</w:t>
            </w:r>
          </w:p>
          <w:p w14:paraId="34B36F2B" w14:textId="77777777" w:rsidR="007461C9" w:rsidRDefault="007461C9" w:rsidP="00E4683D">
            <w:pPr>
              <w:keepLines/>
              <w:rPr>
                <w:szCs w:val="23"/>
              </w:rPr>
            </w:pPr>
            <w:r>
              <w:rPr>
                <w:szCs w:val="23"/>
              </w:rPr>
              <w:t>2019</w:t>
            </w:r>
          </w:p>
          <w:p w14:paraId="62BC84AF" w14:textId="77777777" w:rsidR="007461C9" w:rsidRDefault="007461C9" w:rsidP="00E4683D">
            <w:pPr>
              <w:keepLines/>
              <w:rPr>
                <w:szCs w:val="23"/>
              </w:rPr>
            </w:pPr>
          </w:p>
          <w:p w14:paraId="753B1306" w14:textId="77777777" w:rsidR="007461C9" w:rsidRDefault="007461C9" w:rsidP="00E4683D">
            <w:pPr>
              <w:keepLines/>
              <w:rPr>
                <w:szCs w:val="23"/>
              </w:rPr>
            </w:pPr>
          </w:p>
          <w:p w14:paraId="7655CB22" w14:textId="77777777" w:rsidR="007461C9" w:rsidRDefault="007461C9" w:rsidP="00E4683D">
            <w:pPr>
              <w:keepLines/>
              <w:rPr>
                <w:szCs w:val="23"/>
              </w:rPr>
            </w:pPr>
          </w:p>
          <w:p w14:paraId="545EBE3A" w14:textId="77777777" w:rsidR="007461C9" w:rsidRDefault="007461C9" w:rsidP="00E4683D">
            <w:pPr>
              <w:keepLines/>
              <w:rPr>
                <w:szCs w:val="23"/>
              </w:rPr>
            </w:pPr>
          </w:p>
          <w:p w14:paraId="51B4A00B" w14:textId="77777777" w:rsidR="007461C9" w:rsidRDefault="007461C9" w:rsidP="00E4683D">
            <w:pPr>
              <w:keepLines/>
              <w:rPr>
                <w:szCs w:val="23"/>
              </w:rPr>
            </w:pPr>
          </w:p>
          <w:p w14:paraId="196CB232" w14:textId="77777777" w:rsidR="007461C9" w:rsidRDefault="007461C9" w:rsidP="00E4683D">
            <w:pPr>
              <w:keepLines/>
              <w:rPr>
                <w:szCs w:val="23"/>
              </w:rPr>
            </w:pPr>
          </w:p>
          <w:p w14:paraId="79FCE6BA" w14:textId="77777777" w:rsidR="007461C9" w:rsidRDefault="007461C9" w:rsidP="00E4683D">
            <w:pPr>
              <w:keepLines/>
              <w:rPr>
                <w:szCs w:val="23"/>
              </w:rPr>
            </w:pPr>
            <w:r>
              <w:rPr>
                <w:szCs w:val="23"/>
              </w:rPr>
              <w:t>1 Jan 2017</w:t>
            </w:r>
          </w:p>
          <w:p w14:paraId="762C611B" w14:textId="77777777" w:rsidR="007461C9" w:rsidRDefault="007461C9" w:rsidP="00E4683D">
            <w:pPr>
              <w:keepLines/>
              <w:rPr>
                <w:szCs w:val="23"/>
              </w:rPr>
            </w:pPr>
          </w:p>
          <w:p w14:paraId="1F964C9C" w14:textId="77777777" w:rsidR="007461C9" w:rsidRDefault="007461C9" w:rsidP="00E4683D">
            <w:pPr>
              <w:keepLines/>
              <w:rPr>
                <w:szCs w:val="23"/>
              </w:rPr>
            </w:pPr>
          </w:p>
          <w:p w14:paraId="6405C3A1" w14:textId="77777777" w:rsidR="007461C9" w:rsidRDefault="007461C9" w:rsidP="00E4683D">
            <w:pPr>
              <w:keepLines/>
              <w:rPr>
                <w:szCs w:val="23"/>
              </w:rPr>
            </w:pPr>
          </w:p>
          <w:p w14:paraId="4C2ED1DA" w14:textId="77777777" w:rsidR="007461C9" w:rsidRDefault="007461C9" w:rsidP="00E4683D">
            <w:pPr>
              <w:keepLines/>
              <w:rPr>
                <w:szCs w:val="23"/>
              </w:rPr>
            </w:pPr>
          </w:p>
          <w:p w14:paraId="3B357448" w14:textId="77777777" w:rsidR="007461C9" w:rsidRDefault="007461C9" w:rsidP="00E4683D">
            <w:pPr>
              <w:keepLines/>
              <w:rPr>
                <w:szCs w:val="23"/>
              </w:rPr>
            </w:pPr>
          </w:p>
          <w:p w14:paraId="0CBAD111" w14:textId="77777777" w:rsidR="007461C9" w:rsidRDefault="007461C9" w:rsidP="00E4683D">
            <w:pPr>
              <w:keepLines/>
              <w:rPr>
                <w:szCs w:val="23"/>
              </w:rPr>
            </w:pPr>
          </w:p>
          <w:p w14:paraId="75F323A8" w14:textId="77777777" w:rsidR="007461C9" w:rsidRDefault="007461C9" w:rsidP="00E4683D">
            <w:pPr>
              <w:keepLines/>
              <w:rPr>
                <w:szCs w:val="23"/>
              </w:rPr>
            </w:pPr>
          </w:p>
          <w:p w14:paraId="0BABE3DD" w14:textId="77777777" w:rsidR="007461C9" w:rsidRDefault="007461C9" w:rsidP="00E4683D">
            <w:pPr>
              <w:keepLines/>
              <w:rPr>
                <w:szCs w:val="23"/>
              </w:rPr>
            </w:pPr>
          </w:p>
          <w:p w14:paraId="5C514444" w14:textId="77777777" w:rsidR="007461C9" w:rsidRDefault="007461C9" w:rsidP="00E4683D">
            <w:pPr>
              <w:keepLines/>
              <w:rPr>
                <w:szCs w:val="23"/>
              </w:rPr>
            </w:pPr>
          </w:p>
          <w:p w14:paraId="34B4BA46" w14:textId="1D5386C6" w:rsidR="007461C9" w:rsidRDefault="007461C9" w:rsidP="00E4683D">
            <w:pPr>
              <w:keepLines/>
              <w:rPr>
                <w:szCs w:val="23"/>
              </w:rPr>
            </w:pPr>
          </w:p>
          <w:p w14:paraId="28661D5E" w14:textId="5DB2B478" w:rsidR="00BF0BB7" w:rsidRDefault="00BF0BB7" w:rsidP="00E4683D">
            <w:pPr>
              <w:keepLines/>
              <w:rPr>
                <w:szCs w:val="23"/>
              </w:rPr>
            </w:pPr>
          </w:p>
          <w:p w14:paraId="2BC252D6" w14:textId="66DA646E" w:rsidR="00BF0BB7" w:rsidRDefault="00BF0BB7" w:rsidP="00E4683D">
            <w:pPr>
              <w:keepLines/>
              <w:rPr>
                <w:szCs w:val="23"/>
              </w:rPr>
            </w:pPr>
          </w:p>
          <w:p w14:paraId="634BBBA2" w14:textId="77777777" w:rsidR="00BF0BB7" w:rsidRDefault="00BF0BB7" w:rsidP="00E4683D">
            <w:pPr>
              <w:keepLines/>
              <w:rPr>
                <w:szCs w:val="23"/>
              </w:rPr>
            </w:pPr>
          </w:p>
          <w:p w14:paraId="145AD38B" w14:textId="77777777" w:rsidR="007461C9" w:rsidRDefault="007461C9" w:rsidP="00E4683D">
            <w:pPr>
              <w:keepLines/>
              <w:rPr>
                <w:szCs w:val="23"/>
              </w:rPr>
            </w:pPr>
            <w:r>
              <w:rPr>
                <w:szCs w:val="23"/>
              </w:rPr>
              <w:t>1 Jan</w:t>
            </w:r>
          </w:p>
          <w:p w14:paraId="7B72333D" w14:textId="77777777" w:rsidR="007461C9" w:rsidRDefault="007461C9" w:rsidP="00E4683D">
            <w:pPr>
              <w:keepLines/>
              <w:rPr>
                <w:szCs w:val="23"/>
              </w:rPr>
            </w:pPr>
            <w:r>
              <w:rPr>
                <w:szCs w:val="23"/>
              </w:rPr>
              <w:t>2019</w:t>
            </w:r>
          </w:p>
          <w:p w14:paraId="6724B0C1" w14:textId="77777777" w:rsidR="007461C9" w:rsidRDefault="007461C9" w:rsidP="00E4683D">
            <w:pPr>
              <w:keepLines/>
              <w:rPr>
                <w:szCs w:val="23"/>
              </w:rPr>
            </w:pPr>
          </w:p>
          <w:p w14:paraId="059DD739" w14:textId="77777777" w:rsidR="007461C9" w:rsidRDefault="007461C9" w:rsidP="00E4683D">
            <w:pPr>
              <w:keepLines/>
              <w:rPr>
                <w:szCs w:val="23"/>
              </w:rPr>
            </w:pPr>
          </w:p>
          <w:p w14:paraId="135669E5" w14:textId="77777777" w:rsidR="007461C9" w:rsidRDefault="007461C9" w:rsidP="00E4683D">
            <w:pPr>
              <w:keepLines/>
              <w:rPr>
                <w:szCs w:val="23"/>
              </w:rPr>
            </w:pPr>
          </w:p>
          <w:p w14:paraId="752934E7" w14:textId="77777777" w:rsidR="007461C9" w:rsidRDefault="007461C9" w:rsidP="00E4683D">
            <w:pPr>
              <w:keepLines/>
              <w:rPr>
                <w:szCs w:val="23"/>
              </w:rPr>
            </w:pPr>
          </w:p>
          <w:p w14:paraId="48DF8365" w14:textId="77777777" w:rsidR="007461C9" w:rsidRDefault="007461C9" w:rsidP="00E4683D">
            <w:pPr>
              <w:keepLines/>
              <w:rPr>
                <w:szCs w:val="23"/>
              </w:rPr>
            </w:pPr>
          </w:p>
          <w:p w14:paraId="41C08EBC" w14:textId="77777777" w:rsidR="007461C9" w:rsidRDefault="007461C9" w:rsidP="00E4683D">
            <w:pPr>
              <w:keepLines/>
              <w:rPr>
                <w:szCs w:val="23"/>
              </w:rPr>
            </w:pPr>
          </w:p>
          <w:p w14:paraId="2D4B1127" w14:textId="77777777" w:rsidR="007461C9" w:rsidRDefault="007461C9" w:rsidP="00E4683D">
            <w:pPr>
              <w:keepLines/>
              <w:rPr>
                <w:szCs w:val="23"/>
              </w:rPr>
            </w:pPr>
          </w:p>
          <w:p w14:paraId="4DAA2CD5" w14:textId="77777777" w:rsidR="00741976" w:rsidRDefault="00741976" w:rsidP="00E4683D">
            <w:pPr>
              <w:keepLines/>
              <w:rPr>
                <w:szCs w:val="23"/>
              </w:rPr>
            </w:pPr>
          </w:p>
          <w:p w14:paraId="16B2A11E" w14:textId="6675DD31" w:rsidR="00741976" w:rsidRPr="005D5922" w:rsidRDefault="00741976" w:rsidP="00E4683D">
            <w:pPr>
              <w:keepLines/>
              <w:rPr>
                <w:szCs w:val="23"/>
              </w:rPr>
            </w:pPr>
            <w:r>
              <w:rPr>
                <w:szCs w:val="23"/>
              </w:rPr>
              <w:t>1 Jan 2017</w:t>
            </w:r>
          </w:p>
        </w:tc>
        <w:tc>
          <w:tcPr>
            <w:tcW w:w="597" w:type="pct"/>
          </w:tcPr>
          <w:p w14:paraId="5DDBAFE6" w14:textId="77777777" w:rsidR="007461C9" w:rsidRPr="005D5922" w:rsidRDefault="007461C9" w:rsidP="00E4683D">
            <w:pPr>
              <w:keepLines/>
              <w:rPr>
                <w:szCs w:val="23"/>
              </w:rPr>
            </w:pPr>
            <w:r>
              <w:rPr>
                <w:szCs w:val="23"/>
              </w:rPr>
              <w:t>31 Dec 2019 (with a commit-ment to 2021 by NSW)</w:t>
            </w:r>
          </w:p>
        </w:tc>
        <w:tc>
          <w:tcPr>
            <w:tcW w:w="745" w:type="pct"/>
          </w:tcPr>
          <w:p w14:paraId="4FF7E6A4" w14:textId="77777777" w:rsidR="007461C9" w:rsidRPr="005D5922" w:rsidRDefault="007461C9" w:rsidP="00E4683D">
            <w:pPr>
              <w:keepLines/>
              <w:rPr>
                <w:szCs w:val="23"/>
              </w:rPr>
            </w:pPr>
            <w:r w:rsidRPr="005D5922">
              <w:rPr>
                <w:szCs w:val="23"/>
              </w:rPr>
              <w:t>N/A</w:t>
            </w:r>
          </w:p>
        </w:tc>
      </w:tr>
      <w:tr w:rsidR="007461C9" w:rsidRPr="005D5922" w14:paraId="3800775F" w14:textId="77777777" w:rsidTr="00741976">
        <w:trPr>
          <w:trHeight w:val="643"/>
        </w:trPr>
        <w:tc>
          <w:tcPr>
            <w:tcW w:w="301" w:type="pct"/>
          </w:tcPr>
          <w:p w14:paraId="00B9A2B0" w14:textId="77777777" w:rsidR="007461C9" w:rsidRPr="00621EA0" w:rsidRDefault="007461C9" w:rsidP="00E4683D">
            <w:pPr>
              <w:keepLines/>
            </w:pPr>
            <w:r w:rsidRPr="005D5922">
              <w:rPr>
                <w:szCs w:val="23"/>
              </w:rPr>
              <w:t>2</w:t>
            </w:r>
          </w:p>
        </w:tc>
        <w:tc>
          <w:tcPr>
            <w:tcW w:w="749" w:type="pct"/>
          </w:tcPr>
          <w:p w14:paraId="6CA2F56E" w14:textId="77777777" w:rsidR="007461C9" w:rsidRPr="005D5922" w:rsidRDefault="007461C9" w:rsidP="00E4683D">
            <w:pPr>
              <w:keepLines/>
              <w:rPr>
                <w:rFonts w:cs="Corbel"/>
                <w:b/>
                <w:spacing w:val="1"/>
                <w:szCs w:val="23"/>
              </w:rPr>
            </w:pPr>
            <w:r>
              <w:rPr>
                <w:rFonts w:cs="Corbel"/>
                <w:b/>
                <w:spacing w:val="1"/>
                <w:szCs w:val="23"/>
              </w:rPr>
              <w:t xml:space="preserve">Targeted </w:t>
            </w:r>
            <w:r w:rsidRPr="005D5922">
              <w:rPr>
                <w:rFonts w:cs="Corbel"/>
                <w:b/>
                <w:spacing w:val="1"/>
                <w:szCs w:val="23"/>
              </w:rPr>
              <w:t>Initiatives</w:t>
            </w:r>
          </w:p>
          <w:p w14:paraId="42AE5F58" w14:textId="77777777" w:rsidR="007461C9" w:rsidRPr="00621EA0" w:rsidRDefault="007461C9" w:rsidP="00E4683D">
            <w:pPr>
              <w:keepLines/>
              <w:rPr>
                <w:b/>
              </w:rPr>
            </w:pPr>
          </w:p>
        </w:tc>
        <w:tc>
          <w:tcPr>
            <w:tcW w:w="2011" w:type="pct"/>
          </w:tcPr>
          <w:p w14:paraId="368C8504" w14:textId="77777777" w:rsidR="007461C9" w:rsidRPr="00734C73" w:rsidRDefault="007461C9" w:rsidP="00E4683D">
            <w:pPr>
              <w:keepLines/>
              <w:rPr>
                <w:rFonts w:cs="Corbel"/>
                <w:b/>
                <w:spacing w:val="1"/>
                <w:szCs w:val="23"/>
              </w:rPr>
            </w:pPr>
            <w:r w:rsidRPr="00734C73">
              <w:rPr>
                <w:rFonts w:cs="Corbel"/>
                <w:b/>
                <w:spacing w:val="1"/>
                <w:szCs w:val="23"/>
              </w:rPr>
              <w:t>Sector Support Program</w:t>
            </w:r>
            <w:r w:rsidRPr="00621EA0">
              <w:rPr>
                <w:rFonts w:cs="Corbel"/>
                <w:spacing w:val="1"/>
                <w:szCs w:val="23"/>
              </w:rPr>
              <w:t xml:space="preserve"> –</w:t>
            </w:r>
            <w:r>
              <w:rPr>
                <w:rFonts w:cs="Arial"/>
                <w:sz w:val="24"/>
              </w:rPr>
              <w:t xml:space="preserve"> supports the sector via a number of channels aimed at integrating effective business practices in the early childhood education sector in alignment with NSW Government and departmental objectives</w:t>
            </w:r>
          </w:p>
          <w:p w14:paraId="47D7C052" w14:textId="77777777" w:rsidR="007461C9" w:rsidRDefault="007461C9" w:rsidP="00E4683D">
            <w:pPr>
              <w:keepLines/>
              <w:rPr>
                <w:szCs w:val="23"/>
              </w:rPr>
            </w:pPr>
          </w:p>
          <w:p w14:paraId="3AF9E9C6" w14:textId="77777777" w:rsidR="007461C9" w:rsidRDefault="007461C9" w:rsidP="00E4683D">
            <w:pPr>
              <w:keepLines/>
              <w:rPr>
                <w:rFonts w:cs="Arial"/>
                <w:szCs w:val="22"/>
              </w:rPr>
            </w:pPr>
            <w:r>
              <w:rPr>
                <w:rFonts w:cs="Arial"/>
                <w:b/>
                <w:szCs w:val="22"/>
              </w:rPr>
              <w:t>Rural and Remote Initiatives</w:t>
            </w:r>
            <w:r w:rsidRPr="00961E19">
              <w:rPr>
                <w:rFonts w:cs="Arial"/>
                <w:szCs w:val="22"/>
              </w:rPr>
              <w:t xml:space="preserve"> – </w:t>
            </w:r>
            <w:r>
              <w:rPr>
                <w:rFonts w:cs="Arial"/>
                <w:szCs w:val="22"/>
              </w:rPr>
              <w:t>support the delivery of universal access to early childhood education in rural and remote communities. Initiatives include Start Strong Community Safety Net and Mobile Preschool Contracts</w:t>
            </w:r>
            <w:r w:rsidRPr="00961E19">
              <w:rPr>
                <w:rFonts w:cs="Arial"/>
                <w:szCs w:val="22"/>
              </w:rPr>
              <w:t>.</w:t>
            </w:r>
          </w:p>
          <w:p w14:paraId="208A1E8F" w14:textId="77777777" w:rsidR="007461C9" w:rsidRDefault="007461C9" w:rsidP="003209FE">
            <w:pPr>
              <w:pStyle w:val="Normalnumbered"/>
              <w:numPr>
                <w:ilvl w:val="0"/>
                <w:numId w:val="0"/>
              </w:numPr>
            </w:pPr>
          </w:p>
          <w:p w14:paraId="6DC30E51" w14:textId="77777777" w:rsidR="007461C9" w:rsidRPr="005C1B7F" w:rsidRDefault="007461C9" w:rsidP="003209FE">
            <w:pPr>
              <w:pStyle w:val="Normalnumbered"/>
              <w:numPr>
                <w:ilvl w:val="0"/>
                <w:numId w:val="0"/>
              </w:numPr>
              <w:rPr>
                <w:szCs w:val="23"/>
              </w:rPr>
            </w:pPr>
            <w:r w:rsidRPr="00621EA0">
              <w:rPr>
                <w:rFonts w:cs="Corbel"/>
                <w:b/>
                <w:spacing w:val="1"/>
                <w:szCs w:val="23"/>
              </w:rPr>
              <w:t>Qualified early childhood workforce</w:t>
            </w:r>
            <w:r>
              <w:rPr>
                <w:b/>
                <w:szCs w:val="23"/>
              </w:rPr>
              <w:t xml:space="preserve"> </w:t>
            </w:r>
            <w:r w:rsidRPr="005C1B7F">
              <w:rPr>
                <w:szCs w:val="23"/>
              </w:rPr>
              <w:t>A range of scholarship programs are being funded to build a qualified early childhood workforce</w:t>
            </w:r>
            <w:r>
              <w:rPr>
                <w:szCs w:val="23"/>
              </w:rPr>
              <w:t>.</w:t>
            </w:r>
            <w:r w:rsidRPr="005C1B7F">
              <w:rPr>
                <w:szCs w:val="23"/>
              </w:rPr>
              <w:t xml:space="preserve"> </w:t>
            </w:r>
            <w:r>
              <w:rPr>
                <w:szCs w:val="23"/>
              </w:rPr>
              <w:t>Initiatives include, t</w:t>
            </w:r>
            <w:r w:rsidRPr="006D6CF5">
              <w:rPr>
                <w:szCs w:val="23"/>
              </w:rPr>
              <w:t>he 2018 In</w:t>
            </w:r>
            <w:r>
              <w:rPr>
                <w:szCs w:val="23"/>
              </w:rPr>
              <w:t xml:space="preserve">centive Scholarships program </w:t>
            </w:r>
            <w:r w:rsidRPr="006D6CF5">
              <w:rPr>
                <w:szCs w:val="23"/>
              </w:rPr>
              <w:t xml:space="preserve">designed to support educators who are working in rural and remote NSW to complete their </w:t>
            </w:r>
            <w:r>
              <w:rPr>
                <w:szCs w:val="23"/>
              </w:rPr>
              <w:t xml:space="preserve">four year equivalent </w:t>
            </w:r>
            <w:r w:rsidRPr="006D6CF5">
              <w:rPr>
                <w:szCs w:val="23"/>
              </w:rPr>
              <w:t>e</w:t>
            </w:r>
            <w:r>
              <w:rPr>
                <w:szCs w:val="23"/>
              </w:rPr>
              <w:t xml:space="preserve">arly childhood education degree, the 2019 </w:t>
            </w:r>
            <w:r w:rsidRPr="005D5922">
              <w:rPr>
                <w:szCs w:val="23"/>
              </w:rPr>
              <w:t xml:space="preserve">Rural and </w:t>
            </w:r>
            <w:r w:rsidRPr="00621EA0">
              <w:rPr>
                <w:rFonts w:cs="Corbel"/>
                <w:spacing w:val="1"/>
                <w:szCs w:val="23"/>
              </w:rPr>
              <w:t xml:space="preserve">Remote Early Childhood Teaching </w:t>
            </w:r>
            <w:r>
              <w:rPr>
                <w:rFonts w:cs="Corbel"/>
                <w:spacing w:val="1"/>
                <w:szCs w:val="23"/>
              </w:rPr>
              <w:t>Scholarship worth up to $10,000 and A</w:t>
            </w:r>
            <w:r w:rsidRPr="00E01FFF">
              <w:rPr>
                <w:rFonts w:cs="Corbel"/>
                <w:spacing w:val="1"/>
                <w:szCs w:val="23"/>
              </w:rPr>
              <w:t xml:space="preserve">boriginal Scholarships provide financial incentive alongside mentoring to increase the number of Aboriginal </w:t>
            </w:r>
            <w:r w:rsidRPr="00621EA0">
              <w:rPr>
                <w:szCs w:val="23"/>
              </w:rPr>
              <w:t>early childhood educators in NSW.</w:t>
            </w:r>
          </w:p>
          <w:p w14:paraId="6F09265E" w14:textId="77777777" w:rsidR="007461C9" w:rsidRDefault="007461C9" w:rsidP="00E4683D">
            <w:pPr>
              <w:pStyle w:val="Normalnumbered"/>
              <w:numPr>
                <w:ilvl w:val="0"/>
                <w:numId w:val="0"/>
              </w:numPr>
              <w:ind w:left="567"/>
            </w:pPr>
          </w:p>
          <w:p w14:paraId="4D11E88C" w14:textId="77777777" w:rsidR="007461C9" w:rsidRDefault="007461C9" w:rsidP="00E4683D">
            <w:pPr>
              <w:keepLines/>
              <w:rPr>
                <w:szCs w:val="23"/>
              </w:rPr>
            </w:pPr>
            <w:r w:rsidRPr="005D5922">
              <w:rPr>
                <w:rFonts w:cs="Corbel"/>
                <w:b/>
                <w:spacing w:val="1"/>
                <w:szCs w:val="23"/>
              </w:rPr>
              <w:t xml:space="preserve">Infrastructure </w:t>
            </w:r>
            <w:r>
              <w:rPr>
                <w:szCs w:val="23"/>
              </w:rPr>
              <w:t>– the 2017 $10 m</w:t>
            </w:r>
            <w:r w:rsidRPr="005D48B8">
              <w:rPr>
                <w:szCs w:val="23"/>
              </w:rPr>
              <w:t xml:space="preserve">illion Start Strong Capital Works Grants </w:t>
            </w:r>
            <w:r>
              <w:rPr>
                <w:szCs w:val="23"/>
              </w:rPr>
              <w:t xml:space="preserve">funding </w:t>
            </w:r>
            <w:r w:rsidRPr="005D48B8">
              <w:rPr>
                <w:szCs w:val="23"/>
              </w:rPr>
              <w:t xml:space="preserve">is designed to create up to </w:t>
            </w:r>
            <w:r>
              <w:rPr>
                <w:szCs w:val="23"/>
              </w:rPr>
              <w:t xml:space="preserve">700 </w:t>
            </w:r>
            <w:r w:rsidRPr="005D48B8">
              <w:rPr>
                <w:szCs w:val="23"/>
              </w:rPr>
              <w:t>new preschool places</w:t>
            </w:r>
            <w:r>
              <w:rPr>
                <w:szCs w:val="23"/>
              </w:rPr>
              <w:t>, with priority given to outer regional, remote and very remote, and Aboriginal communities.</w:t>
            </w:r>
          </w:p>
          <w:p w14:paraId="43131B33" w14:textId="77777777" w:rsidR="007461C9" w:rsidRDefault="007461C9" w:rsidP="00E4683D">
            <w:pPr>
              <w:keepLines/>
              <w:rPr>
                <w:rFonts w:cs="Corbel"/>
                <w:b/>
                <w:spacing w:val="1"/>
                <w:szCs w:val="23"/>
              </w:rPr>
            </w:pPr>
          </w:p>
          <w:p w14:paraId="4F075349" w14:textId="77777777" w:rsidR="007461C9" w:rsidRDefault="007461C9" w:rsidP="00E4683D">
            <w:pPr>
              <w:keepLines/>
              <w:rPr>
                <w:rFonts w:cs="Corbel"/>
                <w:spacing w:val="1"/>
                <w:szCs w:val="23"/>
              </w:rPr>
            </w:pPr>
            <w:r w:rsidRPr="00C841B7">
              <w:rPr>
                <w:rFonts w:cs="Corbel"/>
                <w:b/>
                <w:spacing w:val="1"/>
                <w:szCs w:val="23"/>
              </w:rPr>
              <w:t>Sector Development Program</w:t>
            </w:r>
            <w:r>
              <w:rPr>
                <w:rFonts w:cs="Corbel"/>
                <w:spacing w:val="1"/>
                <w:szCs w:val="23"/>
              </w:rPr>
              <w:t xml:space="preserve"> – </w:t>
            </w:r>
            <w:r w:rsidRPr="00C841B7">
              <w:rPr>
                <w:rFonts w:cs="Corbel"/>
                <w:spacing w:val="1"/>
                <w:szCs w:val="23"/>
              </w:rPr>
              <w:t xml:space="preserve">supports the early childhood education workforce through the provision of training, support and resources to build sector capacity in alignment with </w:t>
            </w:r>
            <w:r>
              <w:rPr>
                <w:rFonts w:cs="Corbel"/>
                <w:spacing w:val="1"/>
                <w:szCs w:val="23"/>
              </w:rPr>
              <w:t>NSW </w:t>
            </w:r>
            <w:r w:rsidRPr="00C841B7">
              <w:rPr>
                <w:rFonts w:cs="Corbel"/>
                <w:spacing w:val="1"/>
                <w:szCs w:val="23"/>
              </w:rPr>
              <w:t>Government priorities.</w:t>
            </w:r>
          </w:p>
          <w:p w14:paraId="6712F69A" w14:textId="77777777" w:rsidR="007461C9" w:rsidRDefault="007461C9" w:rsidP="00E4683D">
            <w:pPr>
              <w:keepLines/>
              <w:rPr>
                <w:rFonts w:cs="Corbel"/>
                <w:spacing w:val="1"/>
                <w:szCs w:val="23"/>
              </w:rPr>
            </w:pPr>
          </w:p>
          <w:p w14:paraId="46C9EE74" w14:textId="77777777" w:rsidR="007461C9" w:rsidRPr="00B45DEE" w:rsidRDefault="007461C9" w:rsidP="00E4683D">
            <w:pPr>
              <w:keepLines/>
              <w:rPr>
                <w:rFonts w:cs="Corbel"/>
                <w:b/>
                <w:spacing w:val="1"/>
                <w:szCs w:val="23"/>
              </w:rPr>
            </w:pPr>
            <w:r w:rsidRPr="00B45DEE">
              <w:rPr>
                <w:rFonts w:cs="Corbel"/>
                <w:b/>
                <w:spacing w:val="1"/>
                <w:szCs w:val="23"/>
              </w:rPr>
              <w:t>Disability and Inclusion Programs</w:t>
            </w:r>
          </w:p>
          <w:p w14:paraId="4BCDC097" w14:textId="77777777" w:rsidR="007461C9" w:rsidRPr="00B45DEE" w:rsidRDefault="007461C9" w:rsidP="00E4683D">
            <w:pPr>
              <w:keepLines/>
              <w:rPr>
                <w:rFonts w:cs="Corbel"/>
                <w:b/>
                <w:spacing w:val="1"/>
                <w:szCs w:val="23"/>
              </w:rPr>
            </w:pPr>
            <w:r w:rsidRPr="00B45DEE">
              <w:rPr>
                <w:rFonts w:cs="Arial"/>
                <w:szCs w:val="22"/>
                <w:lang w:val="en"/>
              </w:rPr>
              <w:t>The Disability and Inclusion Program provides</w:t>
            </w:r>
            <w:r w:rsidRPr="00306BBE">
              <w:rPr>
                <w:rFonts w:cs="Arial"/>
                <w:szCs w:val="22"/>
                <w:lang w:val="en"/>
              </w:rPr>
              <w:t xml:space="preserve"> funding and support to enable children with disability and additional needs in community preschools to participate in a quality early childhood education program on the same basis as their peers</w:t>
            </w:r>
            <w:r>
              <w:rPr>
                <w:rFonts w:cs="Arial"/>
                <w:szCs w:val="22"/>
                <w:lang w:val="en"/>
              </w:rPr>
              <w:t xml:space="preserve">. This program replaces the </w:t>
            </w:r>
            <w:r w:rsidRPr="007D1FB2">
              <w:rPr>
                <w:rFonts w:cs="Corbel"/>
                <w:b/>
                <w:spacing w:val="1"/>
                <w:szCs w:val="23"/>
              </w:rPr>
              <w:t>Preschool Disability Support Program</w:t>
            </w:r>
            <w:r>
              <w:rPr>
                <w:rFonts w:cs="Corbel"/>
                <w:spacing w:val="1"/>
                <w:szCs w:val="23"/>
              </w:rPr>
              <w:t xml:space="preserve"> which ceased on 31 December 2017 and the </w:t>
            </w:r>
            <w:r w:rsidRPr="007D1FB2">
              <w:rPr>
                <w:rFonts w:cs="Corbel"/>
                <w:b/>
                <w:spacing w:val="1"/>
                <w:szCs w:val="23"/>
              </w:rPr>
              <w:t>Intervention Support Program</w:t>
            </w:r>
            <w:r>
              <w:rPr>
                <w:rFonts w:cs="Corbel"/>
                <w:spacing w:val="1"/>
                <w:szCs w:val="23"/>
              </w:rPr>
              <w:t xml:space="preserve"> which ceased on 30 June 2018.</w:t>
            </w:r>
          </w:p>
          <w:p w14:paraId="2F6242A3" w14:textId="77777777" w:rsidR="007461C9" w:rsidRPr="00B45DEE" w:rsidRDefault="007461C9" w:rsidP="003209FE">
            <w:pPr>
              <w:pStyle w:val="ListParagraph"/>
              <w:ind w:left="0"/>
              <w:rPr>
                <w:rFonts w:cs="Arial"/>
                <w:szCs w:val="22"/>
                <w:lang w:val="en"/>
              </w:rPr>
            </w:pPr>
          </w:p>
          <w:p w14:paraId="5C1493DA" w14:textId="77777777" w:rsidR="00BF0BB7" w:rsidRDefault="007461C9" w:rsidP="00BF0BB7">
            <w:pPr>
              <w:rPr>
                <w:rFonts w:cs="Arial"/>
                <w:szCs w:val="23"/>
                <w:lang w:val="en"/>
              </w:rPr>
            </w:pPr>
            <w:r w:rsidRPr="009B5B28">
              <w:rPr>
                <w:rFonts w:cs="Arial"/>
                <w:b/>
                <w:szCs w:val="23"/>
                <w:lang w:val="en"/>
              </w:rPr>
              <w:t>Start Strong Pathways program</w:t>
            </w:r>
            <w:r w:rsidRPr="009B5B28">
              <w:rPr>
                <w:rFonts w:cs="Arial"/>
                <w:szCs w:val="23"/>
                <w:lang w:val="en"/>
              </w:rPr>
              <w:t xml:space="preserve"> - funds </w:t>
            </w:r>
            <w:r w:rsidRPr="009B5B28">
              <w:rPr>
                <w:rFonts w:cs="Arial"/>
                <w:szCs w:val="23"/>
              </w:rPr>
              <w:t>not-for-profit, community-based service</w:t>
            </w:r>
            <w:r w:rsidRPr="009B5B28">
              <w:rPr>
                <w:rFonts w:cs="Arial"/>
                <w:szCs w:val="23"/>
                <w:lang w:val="en"/>
              </w:rPr>
              <w:t>s to help support the early learning needs of young children by offering families a pathway into early childhood education. It aims to strengthen the engagement of children within these services, and help promote the importance of early childhood education to parents</w:t>
            </w:r>
            <w:r>
              <w:rPr>
                <w:rFonts w:cs="Arial"/>
                <w:szCs w:val="23"/>
                <w:lang w:val="en"/>
              </w:rPr>
              <w:t>.</w:t>
            </w:r>
          </w:p>
          <w:p w14:paraId="7D3FE50A" w14:textId="75626DA0" w:rsidR="007461C9" w:rsidRPr="00BF0BB7" w:rsidRDefault="007461C9" w:rsidP="00BF0BB7">
            <w:pPr>
              <w:rPr>
                <w:rFonts w:cs="Arial"/>
                <w:szCs w:val="23"/>
              </w:rPr>
            </w:pPr>
            <w:r>
              <w:rPr>
                <w:rFonts w:cs="Arial"/>
                <w:b/>
                <w:szCs w:val="23"/>
                <w:lang w:val="en"/>
              </w:rPr>
              <w:t xml:space="preserve">Aboriginal Programs </w:t>
            </w:r>
            <w:r w:rsidRPr="00137A24">
              <w:rPr>
                <w:rFonts w:cs="Arial"/>
                <w:szCs w:val="23"/>
                <w:lang w:val="en"/>
              </w:rPr>
              <w:t>– a range of programs to support Aboriginal children and families to actively participate in early childhood education and to support the learning of Aboriginal children within the Early Learning Years Framework</w:t>
            </w:r>
            <w:r>
              <w:rPr>
                <w:rFonts w:cs="Arial"/>
                <w:szCs w:val="23"/>
                <w:lang w:val="en"/>
              </w:rPr>
              <w:t xml:space="preserve"> are funded</w:t>
            </w:r>
            <w:r w:rsidRPr="00137A24">
              <w:rPr>
                <w:rFonts w:cs="Arial"/>
                <w:szCs w:val="23"/>
                <w:lang w:val="en"/>
              </w:rPr>
              <w:t>. Programs includ</w:t>
            </w:r>
            <w:r w:rsidRPr="00A52CFD">
              <w:rPr>
                <w:rFonts w:cs="Arial"/>
                <w:szCs w:val="23"/>
                <w:lang w:val="en"/>
              </w:rPr>
              <w:t>e,</w:t>
            </w:r>
            <w:r>
              <w:rPr>
                <w:rFonts w:cs="Arial"/>
                <w:b/>
                <w:szCs w:val="23"/>
                <w:lang w:val="en"/>
              </w:rPr>
              <w:t xml:space="preserve"> </w:t>
            </w:r>
            <w:r w:rsidRPr="009B5B28">
              <w:rPr>
                <w:rFonts w:cs="Arial"/>
                <w:b/>
                <w:szCs w:val="23"/>
                <w:lang w:val="en"/>
              </w:rPr>
              <w:t>Ninganah No More</w:t>
            </w:r>
            <w:r w:rsidRPr="009B5B28">
              <w:rPr>
                <w:rFonts w:cs="Arial"/>
                <w:szCs w:val="23"/>
                <w:lang w:val="en"/>
              </w:rPr>
              <w:t xml:space="preserve"> Abo</w:t>
            </w:r>
            <w:r>
              <w:rPr>
                <w:rFonts w:cs="Arial"/>
                <w:szCs w:val="23"/>
                <w:lang w:val="en"/>
              </w:rPr>
              <w:t>riginal language program to</w:t>
            </w:r>
            <w:r w:rsidRPr="009B5B28">
              <w:rPr>
                <w:rFonts w:cs="Arial"/>
                <w:szCs w:val="23"/>
                <w:lang w:val="en"/>
              </w:rPr>
              <w:t xml:space="preserve"> increase the level of Aboriginal languages being taught in earl</w:t>
            </w:r>
            <w:r>
              <w:rPr>
                <w:rFonts w:cs="Arial"/>
                <w:szCs w:val="23"/>
                <w:lang w:val="en"/>
              </w:rPr>
              <w:t>y childhood services across NSW</w:t>
            </w:r>
            <w:r w:rsidRPr="009B5B28">
              <w:rPr>
                <w:rFonts w:cs="Arial"/>
                <w:szCs w:val="23"/>
                <w:lang w:val="en"/>
              </w:rPr>
              <w:t>.</w:t>
            </w:r>
            <w:r>
              <w:rPr>
                <w:rFonts w:cs="Arial"/>
                <w:szCs w:val="23"/>
                <w:lang w:val="en"/>
              </w:rPr>
              <w:t xml:space="preserve"> </w:t>
            </w:r>
            <w:r w:rsidRPr="009B5B28">
              <w:rPr>
                <w:rFonts w:cs="Arial"/>
                <w:b/>
                <w:szCs w:val="23"/>
              </w:rPr>
              <w:t xml:space="preserve">Aboriginal Families as Teachers </w:t>
            </w:r>
            <w:r w:rsidRPr="009B5B28">
              <w:rPr>
                <w:rFonts w:cs="Arial"/>
                <w:szCs w:val="23"/>
                <w:lang w:val="en"/>
              </w:rPr>
              <w:t>to strengthen the ability of Aboriginal families to build a rich home learning environment. Th</w:t>
            </w:r>
            <w:r>
              <w:rPr>
                <w:rFonts w:cs="Arial"/>
                <w:szCs w:val="23"/>
                <w:lang w:val="en"/>
              </w:rPr>
              <w:t xml:space="preserve">e program also focuses on </w:t>
            </w:r>
            <w:r w:rsidRPr="009B5B28">
              <w:rPr>
                <w:rFonts w:cs="Arial"/>
                <w:szCs w:val="23"/>
                <w:lang w:val="en"/>
              </w:rPr>
              <w:t>support</w:t>
            </w:r>
            <w:r>
              <w:rPr>
                <w:rFonts w:cs="Arial"/>
                <w:szCs w:val="23"/>
                <w:lang w:val="en"/>
              </w:rPr>
              <w:t>ing</w:t>
            </w:r>
            <w:r w:rsidRPr="009B5B28">
              <w:rPr>
                <w:rFonts w:cs="Arial"/>
                <w:szCs w:val="23"/>
                <w:lang w:val="en"/>
              </w:rPr>
              <w:t xml:space="preserve"> active participati</w:t>
            </w:r>
            <w:r>
              <w:rPr>
                <w:rFonts w:cs="Arial"/>
                <w:szCs w:val="23"/>
                <w:lang w:val="en"/>
              </w:rPr>
              <w:t xml:space="preserve">on in early childhood education and </w:t>
            </w:r>
            <w:r w:rsidRPr="009B5B28">
              <w:rPr>
                <w:rFonts w:cs="Arial"/>
                <w:b/>
                <w:szCs w:val="23"/>
              </w:rPr>
              <w:t xml:space="preserve">Deadly Teachers Solid Jarjums program </w:t>
            </w:r>
            <w:r w:rsidRPr="009B5B28">
              <w:rPr>
                <w:rFonts w:cs="Arial"/>
                <w:szCs w:val="23"/>
              </w:rPr>
              <w:t>to increase the number of early education services embedding Aboriginal perspectives and pedagogies drawi</w:t>
            </w:r>
            <w:r>
              <w:rPr>
                <w:rFonts w:cs="Arial"/>
                <w:szCs w:val="23"/>
              </w:rPr>
              <w:t>ng on local Aboriginal culture.</w:t>
            </w:r>
          </w:p>
        </w:tc>
        <w:tc>
          <w:tcPr>
            <w:tcW w:w="597" w:type="pct"/>
          </w:tcPr>
          <w:p w14:paraId="1742A693" w14:textId="77777777" w:rsidR="007461C9" w:rsidRDefault="007461C9" w:rsidP="00E4683D">
            <w:pPr>
              <w:keepLines/>
              <w:rPr>
                <w:szCs w:val="23"/>
              </w:rPr>
            </w:pPr>
            <w:r>
              <w:rPr>
                <w:szCs w:val="23"/>
              </w:rPr>
              <w:t>1 Jan 2017</w:t>
            </w:r>
          </w:p>
          <w:p w14:paraId="72FD0547" w14:textId="77777777" w:rsidR="007461C9" w:rsidRDefault="007461C9" w:rsidP="00E4683D">
            <w:pPr>
              <w:keepLines/>
              <w:rPr>
                <w:szCs w:val="23"/>
              </w:rPr>
            </w:pPr>
          </w:p>
          <w:p w14:paraId="6FC0779D" w14:textId="77777777" w:rsidR="007461C9" w:rsidRDefault="007461C9" w:rsidP="00E4683D">
            <w:pPr>
              <w:keepLines/>
              <w:rPr>
                <w:szCs w:val="23"/>
              </w:rPr>
            </w:pPr>
          </w:p>
          <w:p w14:paraId="45B9C7EF" w14:textId="77777777" w:rsidR="007461C9" w:rsidRDefault="007461C9" w:rsidP="00E4683D">
            <w:pPr>
              <w:keepLines/>
              <w:rPr>
                <w:szCs w:val="23"/>
              </w:rPr>
            </w:pPr>
          </w:p>
          <w:p w14:paraId="0337E615" w14:textId="77777777" w:rsidR="007461C9" w:rsidRDefault="007461C9" w:rsidP="00E4683D">
            <w:pPr>
              <w:keepLines/>
              <w:rPr>
                <w:szCs w:val="23"/>
              </w:rPr>
            </w:pPr>
          </w:p>
          <w:p w14:paraId="12826755" w14:textId="77777777" w:rsidR="007461C9" w:rsidRDefault="007461C9" w:rsidP="00E4683D">
            <w:pPr>
              <w:keepLines/>
              <w:rPr>
                <w:szCs w:val="23"/>
              </w:rPr>
            </w:pPr>
          </w:p>
          <w:p w14:paraId="2FC2E819" w14:textId="77777777" w:rsidR="007461C9" w:rsidRDefault="007461C9" w:rsidP="00E4683D">
            <w:pPr>
              <w:keepLines/>
              <w:rPr>
                <w:szCs w:val="23"/>
              </w:rPr>
            </w:pPr>
          </w:p>
          <w:p w14:paraId="634EC4BF" w14:textId="77777777" w:rsidR="007461C9" w:rsidRDefault="007461C9" w:rsidP="00E4683D">
            <w:pPr>
              <w:keepLines/>
              <w:rPr>
                <w:szCs w:val="23"/>
              </w:rPr>
            </w:pPr>
          </w:p>
          <w:p w14:paraId="5FDEC008" w14:textId="77777777" w:rsidR="007461C9" w:rsidRDefault="007461C9" w:rsidP="00E4683D">
            <w:pPr>
              <w:keepLines/>
              <w:rPr>
                <w:szCs w:val="23"/>
              </w:rPr>
            </w:pPr>
          </w:p>
          <w:p w14:paraId="7F79DB47" w14:textId="77777777" w:rsidR="007461C9" w:rsidRDefault="007461C9" w:rsidP="00E4683D">
            <w:pPr>
              <w:keepLines/>
              <w:rPr>
                <w:szCs w:val="23"/>
              </w:rPr>
            </w:pPr>
          </w:p>
          <w:p w14:paraId="00DE33F9" w14:textId="77777777" w:rsidR="007461C9" w:rsidRDefault="007461C9" w:rsidP="00E4683D">
            <w:pPr>
              <w:keepLines/>
              <w:rPr>
                <w:szCs w:val="23"/>
              </w:rPr>
            </w:pPr>
          </w:p>
          <w:p w14:paraId="677C90A0" w14:textId="77777777" w:rsidR="007461C9" w:rsidRDefault="007461C9" w:rsidP="00E4683D">
            <w:pPr>
              <w:keepLines/>
              <w:rPr>
                <w:szCs w:val="23"/>
              </w:rPr>
            </w:pPr>
          </w:p>
          <w:p w14:paraId="30C53AAB" w14:textId="77777777" w:rsidR="007461C9" w:rsidRDefault="007461C9" w:rsidP="00E4683D">
            <w:pPr>
              <w:keepLines/>
              <w:rPr>
                <w:szCs w:val="23"/>
              </w:rPr>
            </w:pPr>
          </w:p>
          <w:p w14:paraId="196890AF" w14:textId="77777777" w:rsidR="007461C9" w:rsidRDefault="007461C9" w:rsidP="00E4683D">
            <w:pPr>
              <w:keepLines/>
              <w:rPr>
                <w:szCs w:val="23"/>
              </w:rPr>
            </w:pPr>
          </w:p>
          <w:p w14:paraId="5B8345E4" w14:textId="77777777" w:rsidR="007461C9" w:rsidRDefault="007461C9" w:rsidP="00E4683D">
            <w:pPr>
              <w:keepLines/>
              <w:rPr>
                <w:szCs w:val="23"/>
              </w:rPr>
            </w:pPr>
          </w:p>
          <w:p w14:paraId="561D1E22" w14:textId="77777777" w:rsidR="007461C9" w:rsidRDefault="007461C9" w:rsidP="00E4683D">
            <w:pPr>
              <w:keepLines/>
              <w:rPr>
                <w:szCs w:val="23"/>
              </w:rPr>
            </w:pPr>
            <w:r>
              <w:rPr>
                <w:szCs w:val="23"/>
              </w:rPr>
              <w:t>1 Jan 2019</w:t>
            </w:r>
          </w:p>
          <w:p w14:paraId="3619E42E" w14:textId="77777777" w:rsidR="007461C9" w:rsidRDefault="007461C9" w:rsidP="00E4683D">
            <w:pPr>
              <w:keepLines/>
              <w:rPr>
                <w:szCs w:val="23"/>
              </w:rPr>
            </w:pPr>
          </w:p>
          <w:p w14:paraId="1A538CC8" w14:textId="77777777" w:rsidR="007461C9" w:rsidRDefault="007461C9" w:rsidP="00E4683D">
            <w:pPr>
              <w:keepLines/>
              <w:rPr>
                <w:szCs w:val="23"/>
              </w:rPr>
            </w:pPr>
          </w:p>
          <w:p w14:paraId="124CA6DB" w14:textId="77777777" w:rsidR="007461C9" w:rsidRDefault="007461C9" w:rsidP="00E4683D">
            <w:pPr>
              <w:keepLines/>
              <w:rPr>
                <w:szCs w:val="23"/>
              </w:rPr>
            </w:pPr>
          </w:p>
          <w:p w14:paraId="21A9DD01" w14:textId="77777777" w:rsidR="007461C9" w:rsidRDefault="007461C9" w:rsidP="00E4683D">
            <w:pPr>
              <w:keepLines/>
              <w:rPr>
                <w:szCs w:val="23"/>
              </w:rPr>
            </w:pPr>
          </w:p>
          <w:p w14:paraId="0C9020BF" w14:textId="77777777" w:rsidR="007461C9" w:rsidRDefault="007461C9" w:rsidP="00E4683D">
            <w:pPr>
              <w:keepLines/>
              <w:rPr>
                <w:szCs w:val="23"/>
              </w:rPr>
            </w:pPr>
          </w:p>
          <w:p w14:paraId="1044E767" w14:textId="77777777" w:rsidR="007461C9" w:rsidRDefault="007461C9" w:rsidP="00E4683D">
            <w:pPr>
              <w:keepLines/>
              <w:rPr>
                <w:szCs w:val="23"/>
              </w:rPr>
            </w:pPr>
          </w:p>
          <w:p w14:paraId="3E6E0DBF" w14:textId="77777777" w:rsidR="007461C9" w:rsidRDefault="007461C9" w:rsidP="00E4683D">
            <w:pPr>
              <w:keepLines/>
              <w:rPr>
                <w:szCs w:val="23"/>
              </w:rPr>
            </w:pPr>
          </w:p>
          <w:p w14:paraId="1F121C20" w14:textId="77777777" w:rsidR="007461C9" w:rsidRDefault="007461C9" w:rsidP="00E4683D">
            <w:pPr>
              <w:keepLines/>
              <w:rPr>
                <w:szCs w:val="23"/>
              </w:rPr>
            </w:pPr>
          </w:p>
          <w:p w14:paraId="14CDB2E5" w14:textId="77777777" w:rsidR="007461C9" w:rsidRDefault="007461C9" w:rsidP="00E4683D">
            <w:pPr>
              <w:keepLines/>
              <w:rPr>
                <w:szCs w:val="23"/>
              </w:rPr>
            </w:pPr>
          </w:p>
          <w:p w14:paraId="3254C8AB" w14:textId="77777777" w:rsidR="007461C9" w:rsidRDefault="007461C9" w:rsidP="00E4683D">
            <w:pPr>
              <w:keepLines/>
              <w:rPr>
                <w:szCs w:val="23"/>
              </w:rPr>
            </w:pPr>
          </w:p>
          <w:p w14:paraId="79A31AEA" w14:textId="77777777" w:rsidR="007461C9" w:rsidRDefault="007461C9" w:rsidP="00E4683D">
            <w:pPr>
              <w:keepLines/>
              <w:rPr>
                <w:szCs w:val="23"/>
              </w:rPr>
            </w:pPr>
          </w:p>
          <w:p w14:paraId="014C7833" w14:textId="77777777" w:rsidR="007461C9" w:rsidRDefault="007461C9" w:rsidP="00E4683D">
            <w:pPr>
              <w:keepLines/>
              <w:rPr>
                <w:szCs w:val="23"/>
              </w:rPr>
            </w:pPr>
          </w:p>
          <w:p w14:paraId="6DABF34C" w14:textId="77777777" w:rsidR="007461C9" w:rsidRDefault="007461C9" w:rsidP="00E4683D">
            <w:pPr>
              <w:keepLines/>
              <w:rPr>
                <w:szCs w:val="23"/>
              </w:rPr>
            </w:pPr>
          </w:p>
          <w:p w14:paraId="78A1A258" w14:textId="77777777" w:rsidR="007461C9" w:rsidRDefault="007461C9" w:rsidP="00E4683D">
            <w:pPr>
              <w:keepLines/>
              <w:rPr>
                <w:szCs w:val="23"/>
              </w:rPr>
            </w:pPr>
          </w:p>
          <w:p w14:paraId="6BDDF963" w14:textId="77777777" w:rsidR="007461C9" w:rsidRDefault="007461C9" w:rsidP="00E4683D">
            <w:pPr>
              <w:keepLines/>
              <w:rPr>
                <w:szCs w:val="23"/>
              </w:rPr>
            </w:pPr>
          </w:p>
          <w:p w14:paraId="3DB528B3" w14:textId="77777777" w:rsidR="007461C9" w:rsidRDefault="007461C9" w:rsidP="00E4683D">
            <w:pPr>
              <w:keepLines/>
              <w:rPr>
                <w:szCs w:val="23"/>
              </w:rPr>
            </w:pPr>
          </w:p>
          <w:p w14:paraId="69E73DDB" w14:textId="77777777" w:rsidR="007461C9" w:rsidRDefault="007461C9" w:rsidP="00E4683D">
            <w:pPr>
              <w:keepLines/>
              <w:rPr>
                <w:szCs w:val="23"/>
              </w:rPr>
            </w:pPr>
          </w:p>
          <w:p w14:paraId="673CEACD" w14:textId="77777777" w:rsidR="007461C9" w:rsidRDefault="007461C9" w:rsidP="00E4683D">
            <w:pPr>
              <w:keepLines/>
              <w:rPr>
                <w:szCs w:val="23"/>
              </w:rPr>
            </w:pPr>
          </w:p>
          <w:p w14:paraId="2708980F" w14:textId="77777777" w:rsidR="007461C9" w:rsidRDefault="007461C9" w:rsidP="00E4683D">
            <w:pPr>
              <w:keepLines/>
              <w:rPr>
                <w:szCs w:val="23"/>
              </w:rPr>
            </w:pPr>
          </w:p>
          <w:p w14:paraId="0FBE4C45" w14:textId="77777777" w:rsidR="007461C9" w:rsidRDefault="007461C9" w:rsidP="00E4683D">
            <w:pPr>
              <w:keepLines/>
              <w:rPr>
                <w:szCs w:val="23"/>
              </w:rPr>
            </w:pPr>
          </w:p>
          <w:p w14:paraId="1280BE39" w14:textId="77777777" w:rsidR="007461C9" w:rsidRDefault="007461C9" w:rsidP="00E4683D">
            <w:pPr>
              <w:keepLines/>
              <w:rPr>
                <w:szCs w:val="23"/>
              </w:rPr>
            </w:pPr>
          </w:p>
          <w:p w14:paraId="700E4B4C" w14:textId="77777777" w:rsidR="007461C9" w:rsidRDefault="007461C9" w:rsidP="00E4683D">
            <w:pPr>
              <w:keepLines/>
              <w:rPr>
                <w:szCs w:val="23"/>
              </w:rPr>
            </w:pPr>
          </w:p>
          <w:p w14:paraId="6F6BA475" w14:textId="77777777" w:rsidR="007461C9" w:rsidRDefault="007461C9" w:rsidP="00E4683D">
            <w:pPr>
              <w:keepLines/>
              <w:rPr>
                <w:szCs w:val="23"/>
              </w:rPr>
            </w:pPr>
          </w:p>
          <w:p w14:paraId="0F911478" w14:textId="77777777" w:rsidR="007461C9" w:rsidRDefault="007461C9" w:rsidP="00E4683D">
            <w:pPr>
              <w:keepLines/>
              <w:rPr>
                <w:szCs w:val="23"/>
              </w:rPr>
            </w:pPr>
          </w:p>
          <w:p w14:paraId="4BCAEBBA" w14:textId="77777777" w:rsidR="007461C9" w:rsidRDefault="007461C9" w:rsidP="00E4683D">
            <w:pPr>
              <w:keepLines/>
              <w:rPr>
                <w:szCs w:val="23"/>
              </w:rPr>
            </w:pPr>
          </w:p>
          <w:p w14:paraId="42C217E3" w14:textId="77777777" w:rsidR="007461C9" w:rsidRDefault="007461C9" w:rsidP="00E4683D">
            <w:pPr>
              <w:keepLines/>
              <w:rPr>
                <w:szCs w:val="23"/>
              </w:rPr>
            </w:pPr>
          </w:p>
          <w:p w14:paraId="2B1B26B9" w14:textId="77777777" w:rsidR="007461C9" w:rsidRDefault="007461C9" w:rsidP="00E4683D">
            <w:pPr>
              <w:keepLines/>
              <w:rPr>
                <w:szCs w:val="23"/>
              </w:rPr>
            </w:pPr>
          </w:p>
          <w:p w14:paraId="4BA95715" w14:textId="77777777" w:rsidR="007461C9" w:rsidRDefault="007461C9" w:rsidP="00E4683D">
            <w:pPr>
              <w:keepLines/>
              <w:rPr>
                <w:szCs w:val="23"/>
              </w:rPr>
            </w:pPr>
          </w:p>
          <w:p w14:paraId="3A7E8C3B" w14:textId="77777777" w:rsidR="007461C9" w:rsidRDefault="007461C9" w:rsidP="00E4683D">
            <w:pPr>
              <w:keepLines/>
              <w:rPr>
                <w:szCs w:val="23"/>
              </w:rPr>
            </w:pPr>
          </w:p>
          <w:p w14:paraId="23D697D7" w14:textId="77777777" w:rsidR="007461C9" w:rsidRDefault="007461C9" w:rsidP="00E4683D">
            <w:pPr>
              <w:keepLines/>
              <w:rPr>
                <w:szCs w:val="23"/>
              </w:rPr>
            </w:pPr>
          </w:p>
          <w:p w14:paraId="7A8BD5DD" w14:textId="77777777" w:rsidR="007461C9" w:rsidRDefault="007461C9" w:rsidP="00E4683D">
            <w:pPr>
              <w:keepLines/>
              <w:rPr>
                <w:szCs w:val="23"/>
              </w:rPr>
            </w:pPr>
          </w:p>
          <w:p w14:paraId="6198796B" w14:textId="77777777" w:rsidR="007461C9" w:rsidRDefault="007461C9" w:rsidP="00E4683D">
            <w:pPr>
              <w:keepLines/>
              <w:rPr>
                <w:szCs w:val="23"/>
              </w:rPr>
            </w:pPr>
          </w:p>
          <w:p w14:paraId="37B12D9E" w14:textId="77777777" w:rsidR="007461C9" w:rsidRDefault="007461C9" w:rsidP="00E4683D">
            <w:pPr>
              <w:keepLines/>
              <w:rPr>
                <w:szCs w:val="23"/>
              </w:rPr>
            </w:pPr>
            <w:r>
              <w:rPr>
                <w:szCs w:val="23"/>
              </w:rPr>
              <w:t>1 Jan 2018</w:t>
            </w:r>
          </w:p>
          <w:p w14:paraId="232FD467" w14:textId="77777777" w:rsidR="007461C9" w:rsidRDefault="007461C9" w:rsidP="00E4683D">
            <w:pPr>
              <w:keepLines/>
              <w:rPr>
                <w:szCs w:val="23"/>
              </w:rPr>
            </w:pPr>
          </w:p>
          <w:p w14:paraId="7CF42A43" w14:textId="77777777" w:rsidR="007461C9" w:rsidRDefault="007461C9" w:rsidP="00E4683D">
            <w:pPr>
              <w:keepLines/>
              <w:rPr>
                <w:szCs w:val="23"/>
              </w:rPr>
            </w:pPr>
          </w:p>
          <w:p w14:paraId="3E064B0B" w14:textId="77777777" w:rsidR="007461C9" w:rsidRDefault="007461C9" w:rsidP="00E4683D">
            <w:pPr>
              <w:keepLines/>
              <w:rPr>
                <w:szCs w:val="23"/>
              </w:rPr>
            </w:pPr>
          </w:p>
          <w:p w14:paraId="1279C4D5" w14:textId="77777777" w:rsidR="007461C9" w:rsidRDefault="007461C9" w:rsidP="00E4683D">
            <w:pPr>
              <w:keepLines/>
              <w:rPr>
                <w:szCs w:val="23"/>
              </w:rPr>
            </w:pPr>
          </w:p>
          <w:p w14:paraId="6480DF11" w14:textId="77777777" w:rsidR="007461C9" w:rsidRDefault="007461C9" w:rsidP="00E4683D">
            <w:pPr>
              <w:keepLines/>
              <w:rPr>
                <w:szCs w:val="23"/>
              </w:rPr>
            </w:pPr>
          </w:p>
          <w:p w14:paraId="3EFA7827" w14:textId="77777777" w:rsidR="007461C9" w:rsidRDefault="007461C9" w:rsidP="00E4683D">
            <w:pPr>
              <w:keepLines/>
              <w:rPr>
                <w:szCs w:val="23"/>
              </w:rPr>
            </w:pPr>
          </w:p>
          <w:p w14:paraId="29E03601" w14:textId="77777777" w:rsidR="007461C9" w:rsidRDefault="007461C9" w:rsidP="00E4683D">
            <w:pPr>
              <w:keepLines/>
              <w:rPr>
                <w:szCs w:val="23"/>
              </w:rPr>
            </w:pPr>
          </w:p>
          <w:p w14:paraId="198482EE" w14:textId="77777777" w:rsidR="007461C9" w:rsidRDefault="007461C9" w:rsidP="00E4683D">
            <w:pPr>
              <w:keepLines/>
              <w:rPr>
                <w:szCs w:val="23"/>
              </w:rPr>
            </w:pPr>
          </w:p>
          <w:p w14:paraId="0B9FB1A4" w14:textId="77777777" w:rsidR="007461C9" w:rsidRDefault="007461C9" w:rsidP="00E4683D">
            <w:pPr>
              <w:keepLines/>
              <w:rPr>
                <w:szCs w:val="23"/>
              </w:rPr>
            </w:pPr>
          </w:p>
          <w:p w14:paraId="086E9781" w14:textId="77777777" w:rsidR="007461C9" w:rsidRDefault="007461C9" w:rsidP="00E4683D">
            <w:pPr>
              <w:keepLines/>
              <w:rPr>
                <w:szCs w:val="23"/>
              </w:rPr>
            </w:pPr>
          </w:p>
          <w:p w14:paraId="15B6E8D0" w14:textId="77777777" w:rsidR="007461C9" w:rsidRDefault="007461C9" w:rsidP="00E4683D">
            <w:pPr>
              <w:keepLines/>
              <w:rPr>
                <w:szCs w:val="23"/>
              </w:rPr>
            </w:pPr>
          </w:p>
          <w:p w14:paraId="250E28D7" w14:textId="77777777" w:rsidR="007461C9" w:rsidRDefault="007461C9" w:rsidP="00E4683D">
            <w:pPr>
              <w:keepLines/>
              <w:rPr>
                <w:szCs w:val="23"/>
              </w:rPr>
            </w:pPr>
          </w:p>
          <w:p w14:paraId="2B417934" w14:textId="77777777" w:rsidR="007461C9" w:rsidRDefault="007461C9" w:rsidP="00E4683D">
            <w:pPr>
              <w:keepLines/>
              <w:rPr>
                <w:szCs w:val="23"/>
              </w:rPr>
            </w:pPr>
            <w:r>
              <w:rPr>
                <w:szCs w:val="23"/>
              </w:rPr>
              <w:t>October 2018</w:t>
            </w:r>
          </w:p>
          <w:p w14:paraId="09D3831B" w14:textId="77777777" w:rsidR="007461C9" w:rsidRDefault="007461C9" w:rsidP="00E4683D">
            <w:pPr>
              <w:keepLines/>
              <w:rPr>
                <w:szCs w:val="23"/>
              </w:rPr>
            </w:pPr>
          </w:p>
          <w:p w14:paraId="125953AA" w14:textId="77777777" w:rsidR="007461C9" w:rsidRDefault="007461C9" w:rsidP="00E4683D">
            <w:pPr>
              <w:keepLines/>
              <w:rPr>
                <w:szCs w:val="23"/>
              </w:rPr>
            </w:pPr>
          </w:p>
          <w:p w14:paraId="07EB64B9" w14:textId="77777777" w:rsidR="007461C9" w:rsidRDefault="007461C9" w:rsidP="00E4683D">
            <w:pPr>
              <w:keepLines/>
              <w:rPr>
                <w:szCs w:val="23"/>
              </w:rPr>
            </w:pPr>
          </w:p>
          <w:p w14:paraId="6C83B704" w14:textId="77777777" w:rsidR="007461C9" w:rsidRDefault="007461C9" w:rsidP="00E4683D">
            <w:pPr>
              <w:keepLines/>
              <w:rPr>
                <w:szCs w:val="23"/>
              </w:rPr>
            </w:pPr>
          </w:p>
          <w:p w14:paraId="1410FBEF" w14:textId="77777777" w:rsidR="007461C9" w:rsidRDefault="007461C9" w:rsidP="00E4683D">
            <w:pPr>
              <w:keepLines/>
              <w:rPr>
                <w:szCs w:val="23"/>
              </w:rPr>
            </w:pPr>
          </w:p>
          <w:p w14:paraId="6A9DAD74" w14:textId="77777777" w:rsidR="007461C9" w:rsidRDefault="007461C9" w:rsidP="00E4683D">
            <w:pPr>
              <w:keepLines/>
              <w:rPr>
                <w:szCs w:val="23"/>
              </w:rPr>
            </w:pPr>
          </w:p>
          <w:p w14:paraId="3E142CBB" w14:textId="77777777" w:rsidR="007461C9" w:rsidRDefault="007461C9" w:rsidP="00E4683D">
            <w:pPr>
              <w:keepLines/>
              <w:rPr>
                <w:szCs w:val="23"/>
              </w:rPr>
            </w:pPr>
          </w:p>
          <w:p w14:paraId="2704E9DC" w14:textId="77777777" w:rsidR="007461C9" w:rsidRDefault="007461C9" w:rsidP="00E4683D">
            <w:pPr>
              <w:keepLines/>
              <w:rPr>
                <w:szCs w:val="23"/>
              </w:rPr>
            </w:pPr>
          </w:p>
          <w:p w14:paraId="028C744B" w14:textId="77777777" w:rsidR="007461C9" w:rsidRDefault="007461C9" w:rsidP="00E4683D">
            <w:pPr>
              <w:keepLines/>
              <w:rPr>
                <w:szCs w:val="23"/>
              </w:rPr>
            </w:pPr>
          </w:p>
          <w:p w14:paraId="61560CC7" w14:textId="77777777" w:rsidR="007461C9" w:rsidRDefault="007461C9" w:rsidP="00E4683D">
            <w:pPr>
              <w:keepLines/>
              <w:rPr>
                <w:szCs w:val="23"/>
              </w:rPr>
            </w:pPr>
          </w:p>
          <w:p w14:paraId="3D351C97" w14:textId="77777777" w:rsidR="007461C9" w:rsidRDefault="007461C9" w:rsidP="00E4683D">
            <w:pPr>
              <w:keepLines/>
              <w:rPr>
                <w:szCs w:val="23"/>
              </w:rPr>
            </w:pPr>
          </w:p>
          <w:p w14:paraId="3996A5B9" w14:textId="77777777" w:rsidR="007461C9" w:rsidRDefault="007461C9" w:rsidP="00E4683D">
            <w:pPr>
              <w:keepLines/>
              <w:rPr>
                <w:szCs w:val="23"/>
              </w:rPr>
            </w:pPr>
          </w:p>
          <w:p w14:paraId="63606E04" w14:textId="77777777" w:rsidR="007461C9" w:rsidRDefault="007461C9" w:rsidP="00E4683D">
            <w:pPr>
              <w:keepLines/>
              <w:rPr>
                <w:szCs w:val="23"/>
              </w:rPr>
            </w:pPr>
          </w:p>
          <w:p w14:paraId="0569780F" w14:textId="77777777" w:rsidR="007461C9" w:rsidRDefault="007461C9" w:rsidP="00E4683D">
            <w:pPr>
              <w:keepLines/>
              <w:rPr>
                <w:szCs w:val="23"/>
              </w:rPr>
            </w:pPr>
          </w:p>
          <w:p w14:paraId="4A791439" w14:textId="4AA7B252" w:rsidR="007461C9" w:rsidRDefault="007461C9" w:rsidP="00E4683D">
            <w:pPr>
              <w:keepLines/>
              <w:rPr>
                <w:szCs w:val="23"/>
              </w:rPr>
            </w:pPr>
          </w:p>
          <w:p w14:paraId="22099A03" w14:textId="77777777" w:rsidR="007461C9" w:rsidRDefault="007461C9" w:rsidP="00E4683D">
            <w:pPr>
              <w:keepLines/>
              <w:rPr>
                <w:szCs w:val="23"/>
              </w:rPr>
            </w:pPr>
            <w:r>
              <w:rPr>
                <w:szCs w:val="23"/>
              </w:rPr>
              <w:t>July 2018</w:t>
            </w:r>
          </w:p>
          <w:p w14:paraId="65662D9E" w14:textId="77777777" w:rsidR="007461C9" w:rsidRDefault="007461C9" w:rsidP="00E4683D">
            <w:pPr>
              <w:keepLines/>
              <w:rPr>
                <w:szCs w:val="23"/>
              </w:rPr>
            </w:pPr>
          </w:p>
          <w:p w14:paraId="1BF10002" w14:textId="77777777" w:rsidR="007461C9" w:rsidRDefault="007461C9" w:rsidP="00E4683D">
            <w:pPr>
              <w:keepLines/>
              <w:rPr>
                <w:szCs w:val="23"/>
              </w:rPr>
            </w:pPr>
          </w:p>
          <w:p w14:paraId="079A1F00" w14:textId="77777777" w:rsidR="007461C9" w:rsidRDefault="007461C9" w:rsidP="00E4683D">
            <w:pPr>
              <w:keepLines/>
              <w:rPr>
                <w:szCs w:val="23"/>
              </w:rPr>
            </w:pPr>
          </w:p>
          <w:p w14:paraId="3EA40769" w14:textId="77777777" w:rsidR="007461C9" w:rsidRDefault="007461C9" w:rsidP="00E4683D">
            <w:pPr>
              <w:keepLines/>
              <w:rPr>
                <w:szCs w:val="23"/>
              </w:rPr>
            </w:pPr>
          </w:p>
          <w:p w14:paraId="35BD1AC4" w14:textId="77777777" w:rsidR="007461C9" w:rsidRDefault="007461C9" w:rsidP="00E4683D">
            <w:pPr>
              <w:keepLines/>
              <w:rPr>
                <w:szCs w:val="23"/>
              </w:rPr>
            </w:pPr>
            <w:r>
              <w:rPr>
                <w:szCs w:val="23"/>
              </w:rPr>
              <w:t>July 2018</w:t>
            </w:r>
          </w:p>
          <w:p w14:paraId="32B89FF4" w14:textId="77777777" w:rsidR="007461C9" w:rsidRDefault="007461C9" w:rsidP="00E4683D">
            <w:pPr>
              <w:keepLines/>
              <w:rPr>
                <w:szCs w:val="23"/>
              </w:rPr>
            </w:pPr>
          </w:p>
          <w:p w14:paraId="6FDD29CE" w14:textId="77777777" w:rsidR="007461C9" w:rsidRDefault="007461C9" w:rsidP="00E4683D">
            <w:pPr>
              <w:keepLines/>
              <w:rPr>
                <w:szCs w:val="23"/>
              </w:rPr>
            </w:pPr>
          </w:p>
          <w:p w14:paraId="1299BFB2" w14:textId="77777777" w:rsidR="007461C9" w:rsidRDefault="007461C9" w:rsidP="00E4683D">
            <w:pPr>
              <w:keepLines/>
              <w:rPr>
                <w:szCs w:val="23"/>
              </w:rPr>
            </w:pPr>
          </w:p>
          <w:p w14:paraId="2F5BCCE2" w14:textId="77777777" w:rsidR="007461C9" w:rsidRDefault="007461C9" w:rsidP="00E4683D">
            <w:pPr>
              <w:keepLines/>
              <w:rPr>
                <w:szCs w:val="23"/>
              </w:rPr>
            </w:pPr>
          </w:p>
          <w:p w14:paraId="6FCFBCEF" w14:textId="77777777" w:rsidR="007461C9" w:rsidRDefault="007461C9" w:rsidP="00E4683D">
            <w:pPr>
              <w:keepLines/>
              <w:rPr>
                <w:szCs w:val="23"/>
              </w:rPr>
            </w:pPr>
          </w:p>
          <w:p w14:paraId="0F901DEE" w14:textId="77777777" w:rsidR="007461C9" w:rsidRDefault="007461C9" w:rsidP="00E4683D">
            <w:pPr>
              <w:keepLines/>
              <w:rPr>
                <w:szCs w:val="23"/>
              </w:rPr>
            </w:pPr>
            <w:r>
              <w:rPr>
                <w:szCs w:val="23"/>
              </w:rPr>
              <w:t>April 2019</w:t>
            </w:r>
          </w:p>
          <w:p w14:paraId="26D8E5BD" w14:textId="77777777" w:rsidR="007461C9" w:rsidRDefault="007461C9" w:rsidP="00E4683D">
            <w:pPr>
              <w:keepLines/>
              <w:rPr>
                <w:szCs w:val="23"/>
              </w:rPr>
            </w:pPr>
          </w:p>
          <w:p w14:paraId="69F258ED" w14:textId="77777777" w:rsidR="007461C9" w:rsidRPr="005D5922" w:rsidRDefault="007461C9" w:rsidP="00E4683D">
            <w:pPr>
              <w:keepLines/>
              <w:rPr>
                <w:szCs w:val="23"/>
              </w:rPr>
            </w:pPr>
          </w:p>
        </w:tc>
        <w:tc>
          <w:tcPr>
            <w:tcW w:w="597" w:type="pct"/>
          </w:tcPr>
          <w:p w14:paraId="114A7110" w14:textId="77777777" w:rsidR="007461C9" w:rsidRDefault="007461C9" w:rsidP="00E4683D">
            <w:pPr>
              <w:keepLines/>
              <w:rPr>
                <w:szCs w:val="23"/>
              </w:rPr>
            </w:pPr>
            <w:r w:rsidRPr="005D5922">
              <w:rPr>
                <w:szCs w:val="23"/>
              </w:rPr>
              <w:t xml:space="preserve"> </w:t>
            </w:r>
            <w:r>
              <w:rPr>
                <w:szCs w:val="23"/>
              </w:rPr>
              <w:t>31 Dec 2019 (with a commit-ment to 2020 by NSW)</w:t>
            </w:r>
          </w:p>
          <w:p w14:paraId="6FE03B0A" w14:textId="77777777" w:rsidR="007461C9" w:rsidRDefault="007461C9" w:rsidP="00E4683D">
            <w:pPr>
              <w:keepLines/>
              <w:rPr>
                <w:szCs w:val="23"/>
              </w:rPr>
            </w:pPr>
          </w:p>
          <w:p w14:paraId="0845F2BC" w14:textId="77777777" w:rsidR="007461C9" w:rsidRDefault="007461C9" w:rsidP="00E4683D">
            <w:pPr>
              <w:keepLines/>
              <w:rPr>
                <w:szCs w:val="23"/>
              </w:rPr>
            </w:pPr>
          </w:p>
          <w:p w14:paraId="7E7DD2C3" w14:textId="77777777" w:rsidR="007461C9" w:rsidRDefault="007461C9" w:rsidP="00E4683D">
            <w:pPr>
              <w:keepLines/>
              <w:rPr>
                <w:szCs w:val="23"/>
              </w:rPr>
            </w:pPr>
          </w:p>
          <w:p w14:paraId="3C0B7315" w14:textId="77777777" w:rsidR="007461C9" w:rsidRDefault="007461C9" w:rsidP="00E4683D">
            <w:pPr>
              <w:keepLines/>
              <w:rPr>
                <w:szCs w:val="23"/>
              </w:rPr>
            </w:pPr>
          </w:p>
          <w:p w14:paraId="1E4ACA5E" w14:textId="77777777" w:rsidR="007461C9" w:rsidRDefault="007461C9" w:rsidP="00E4683D">
            <w:pPr>
              <w:keepLines/>
              <w:rPr>
                <w:szCs w:val="23"/>
              </w:rPr>
            </w:pPr>
          </w:p>
          <w:p w14:paraId="3642348B" w14:textId="77777777" w:rsidR="007461C9" w:rsidRDefault="007461C9" w:rsidP="00E4683D">
            <w:pPr>
              <w:keepLines/>
              <w:rPr>
                <w:szCs w:val="23"/>
              </w:rPr>
            </w:pPr>
          </w:p>
          <w:p w14:paraId="24E67B69" w14:textId="77777777" w:rsidR="007461C9" w:rsidRDefault="007461C9" w:rsidP="00E4683D">
            <w:pPr>
              <w:keepLines/>
              <w:rPr>
                <w:szCs w:val="23"/>
              </w:rPr>
            </w:pPr>
          </w:p>
          <w:p w14:paraId="3919267D" w14:textId="77777777" w:rsidR="007461C9" w:rsidRDefault="007461C9" w:rsidP="00E4683D">
            <w:pPr>
              <w:keepLines/>
              <w:rPr>
                <w:szCs w:val="23"/>
              </w:rPr>
            </w:pPr>
          </w:p>
          <w:p w14:paraId="14E65DDB" w14:textId="77777777" w:rsidR="007461C9" w:rsidRDefault="007461C9" w:rsidP="00E4683D">
            <w:pPr>
              <w:keepLines/>
              <w:rPr>
                <w:szCs w:val="23"/>
              </w:rPr>
            </w:pPr>
          </w:p>
          <w:p w14:paraId="64AB693B" w14:textId="77777777" w:rsidR="007461C9" w:rsidRDefault="007461C9" w:rsidP="00E4683D">
            <w:pPr>
              <w:keepLines/>
              <w:rPr>
                <w:szCs w:val="23"/>
              </w:rPr>
            </w:pPr>
          </w:p>
          <w:p w14:paraId="1EF0F200" w14:textId="77777777" w:rsidR="007461C9" w:rsidRDefault="007461C9" w:rsidP="00E4683D">
            <w:pPr>
              <w:keepLines/>
              <w:rPr>
                <w:szCs w:val="23"/>
              </w:rPr>
            </w:pPr>
          </w:p>
          <w:p w14:paraId="1C809D41" w14:textId="77777777" w:rsidR="007461C9" w:rsidRDefault="007461C9" w:rsidP="00E4683D">
            <w:pPr>
              <w:keepLines/>
              <w:rPr>
                <w:szCs w:val="23"/>
              </w:rPr>
            </w:pPr>
          </w:p>
          <w:p w14:paraId="0D1D8362" w14:textId="77777777" w:rsidR="007461C9" w:rsidRDefault="007461C9" w:rsidP="00E4683D">
            <w:pPr>
              <w:keepLines/>
              <w:rPr>
                <w:szCs w:val="23"/>
              </w:rPr>
            </w:pPr>
          </w:p>
          <w:p w14:paraId="404605FE" w14:textId="77777777" w:rsidR="007461C9" w:rsidRDefault="007461C9" w:rsidP="00E4683D">
            <w:pPr>
              <w:keepLines/>
              <w:rPr>
                <w:szCs w:val="23"/>
              </w:rPr>
            </w:pPr>
          </w:p>
          <w:p w14:paraId="5960AE60" w14:textId="77777777" w:rsidR="007461C9" w:rsidRDefault="007461C9" w:rsidP="00E4683D">
            <w:pPr>
              <w:keepLines/>
              <w:rPr>
                <w:szCs w:val="23"/>
              </w:rPr>
            </w:pPr>
          </w:p>
          <w:p w14:paraId="6D0E6F31" w14:textId="77777777" w:rsidR="007461C9" w:rsidRDefault="007461C9" w:rsidP="00E4683D">
            <w:pPr>
              <w:keepLines/>
              <w:rPr>
                <w:szCs w:val="23"/>
              </w:rPr>
            </w:pPr>
          </w:p>
          <w:p w14:paraId="5DCC8E3B" w14:textId="77777777" w:rsidR="007461C9" w:rsidRDefault="007461C9" w:rsidP="00E4683D">
            <w:pPr>
              <w:keepLines/>
              <w:rPr>
                <w:szCs w:val="23"/>
              </w:rPr>
            </w:pPr>
          </w:p>
          <w:p w14:paraId="0B7948C6" w14:textId="77777777" w:rsidR="007461C9" w:rsidRDefault="007461C9" w:rsidP="00E4683D">
            <w:pPr>
              <w:keepLines/>
              <w:rPr>
                <w:szCs w:val="23"/>
              </w:rPr>
            </w:pPr>
          </w:p>
          <w:p w14:paraId="46E99784" w14:textId="77777777" w:rsidR="007461C9" w:rsidRDefault="007461C9" w:rsidP="00E4683D">
            <w:pPr>
              <w:keepLines/>
              <w:rPr>
                <w:szCs w:val="23"/>
              </w:rPr>
            </w:pPr>
          </w:p>
          <w:p w14:paraId="0A6676A7" w14:textId="77777777" w:rsidR="007461C9" w:rsidRDefault="007461C9" w:rsidP="00E4683D">
            <w:pPr>
              <w:keepLines/>
              <w:rPr>
                <w:szCs w:val="23"/>
              </w:rPr>
            </w:pPr>
          </w:p>
          <w:p w14:paraId="17E29407" w14:textId="77777777" w:rsidR="007461C9" w:rsidRDefault="007461C9" w:rsidP="00E4683D">
            <w:pPr>
              <w:keepLines/>
              <w:rPr>
                <w:szCs w:val="23"/>
              </w:rPr>
            </w:pPr>
          </w:p>
          <w:p w14:paraId="6A557C39" w14:textId="77777777" w:rsidR="007461C9" w:rsidRDefault="007461C9" w:rsidP="00E4683D">
            <w:pPr>
              <w:keepLines/>
              <w:rPr>
                <w:szCs w:val="23"/>
              </w:rPr>
            </w:pPr>
          </w:p>
          <w:p w14:paraId="6C8B92F0" w14:textId="77777777" w:rsidR="007461C9" w:rsidRDefault="007461C9" w:rsidP="00E4683D">
            <w:pPr>
              <w:keepLines/>
              <w:rPr>
                <w:szCs w:val="23"/>
              </w:rPr>
            </w:pPr>
          </w:p>
          <w:p w14:paraId="4190E12C" w14:textId="77777777" w:rsidR="007461C9" w:rsidRDefault="007461C9" w:rsidP="00E4683D">
            <w:pPr>
              <w:keepLines/>
              <w:rPr>
                <w:szCs w:val="23"/>
              </w:rPr>
            </w:pPr>
          </w:p>
          <w:p w14:paraId="6E1B22AF" w14:textId="77777777" w:rsidR="007461C9" w:rsidRDefault="007461C9" w:rsidP="00E4683D">
            <w:pPr>
              <w:keepLines/>
              <w:rPr>
                <w:szCs w:val="23"/>
              </w:rPr>
            </w:pPr>
          </w:p>
          <w:p w14:paraId="220E7B47" w14:textId="77777777" w:rsidR="007461C9" w:rsidRDefault="007461C9" w:rsidP="00E4683D">
            <w:pPr>
              <w:keepLines/>
              <w:rPr>
                <w:szCs w:val="23"/>
              </w:rPr>
            </w:pPr>
          </w:p>
          <w:p w14:paraId="209C1542" w14:textId="77777777" w:rsidR="007461C9" w:rsidRDefault="007461C9" w:rsidP="00E4683D">
            <w:pPr>
              <w:keepLines/>
              <w:rPr>
                <w:szCs w:val="23"/>
              </w:rPr>
            </w:pPr>
          </w:p>
          <w:p w14:paraId="1EE83CE0" w14:textId="77777777" w:rsidR="007461C9" w:rsidRDefault="007461C9" w:rsidP="00E4683D">
            <w:pPr>
              <w:keepLines/>
              <w:rPr>
                <w:szCs w:val="23"/>
              </w:rPr>
            </w:pPr>
          </w:p>
          <w:p w14:paraId="4E74242F" w14:textId="77777777" w:rsidR="007461C9" w:rsidRDefault="007461C9" w:rsidP="00E4683D">
            <w:pPr>
              <w:keepLines/>
              <w:rPr>
                <w:szCs w:val="23"/>
              </w:rPr>
            </w:pPr>
          </w:p>
          <w:p w14:paraId="589CEB80" w14:textId="77777777" w:rsidR="007461C9" w:rsidRDefault="007461C9" w:rsidP="00E4683D">
            <w:pPr>
              <w:keepLines/>
              <w:rPr>
                <w:szCs w:val="23"/>
              </w:rPr>
            </w:pPr>
          </w:p>
          <w:p w14:paraId="170371D5" w14:textId="77777777" w:rsidR="007461C9" w:rsidRDefault="007461C9" w:rsidP="00E4683D">
            <w:pPr>
              <w:keepLines/>
              <w:rPr>
                <w:szCs w:val="23"/>
              </w:rPr>
            </w:pPr>
          </w:p>
          <w:p w14:paraId="7A32B42B" w14:textId="77777777" w:rsidR="007461C9" w:rsidRDefault="007461C9" w:rsidP="00E4683D">
            <w:pPr>
              <w:keepLines/>
              <w:rPr>
                <w:szCs w:val="23"/>
              </w:rPr>
            </w:pPr>
          </w:p>
          <w:p w14:paraId="0636D3E1" w14:textId="77777777" w:rsidR="007461C9" w:rsidRDefault="007461C9" w:rsidP="00E4683D">
            <w:pPr>
              <w:keepLines/>
              <w:rPr>
                <w:szCs w:val="23"/>
              </w:rPr>
            </w:pPr>
          </w:p>
          <w:p w14:paraId="006B14C4" w14:textId="77777777" w:rsidR="007461C9" w:rsidRDefault="007461C9" w:rsidP="00E4683D">
            <w:pPr>
              <w:keepLines/>
              <w:rPr>
                <w:szCs w:val="23"/>
              </w:rPr>
            </w:pPr>
          </w:p>
          <w:p w14:paraId="27085542" w14:textId="77777777" w:rsidR="007461C9" w:rsidRDefault="007461C9" w:rsidP="00E4683D">
            <w:pPr>
              <w:keepLines/>
              <w:rPr>
                <w:szCs w:val="23"/>
              </w:rPr>
            </w:pPr>
          </w:p>
          <w:p w14:paraId="05BB8558" w14:textId="77777777" w:rsidR="007461C9" w:rsidRDefault="007461C9" w:rsidP="00E4683D">
            <w:pPr>
              <w:keepLines/>
              <w:rPr>
                <w:szCs w:val="23"/>
              </w:rPr>
            </w:pPr>
          </w:p>
          <w:p w14:paraId="05F74113" w14:textId="77777777" w:rsidR="007461C9" w:rsidRDefault="007461C9" w:rsidP="00E4683D">
            <w:pPr>
              <w:keepLines/>
              <w:rPr>
                <w:szCs w:val="23"/>
              </w:rPr>
            </w:pPr>
          </w:p>
          <w:p w14:paraId="7988254B" w14:textId="77777777" w:rsidR="007461C9" w:rsidRDefault="007461C9" w:rsidP="00E4683D">
            <w:pPr>
              <w:keepLines/>
              <w:rPr>
                <w:szCs w:val="23"/>
              </w:rPr>
            </w:pPr>
          </w:p>
          <w:p w14:paraId="770B96F5" w14:textId="77777777" w:rsidR="007461C9" w:rsidRDefault="007461C9" w:rsidP="00E4683D">
            <w:pPr>
              <w:keepLines/>
              <w:rPr>
                <w:szCs w:val="23"/>
              </w:rPr>
            </w:pPr>
          </w:p>
          <w:p w14:paraId="12AB1C09" w14:textId="77777777" w:rsidR="007461C9" w:rsidRDefault="007461C9" w:rsidP="00E4683D">
            <w:pPr>
              <w:keepLines/>
              <w:rPr>
                <w:szCs w:val="23"/>
              </w:rPr>
            </w:pPr>
          </w:p>
          <w:p w14:paraId="495F2F74" w14:textId="77777777" w:rsidR="007461C9" w:rsidRDefault="007461C9" w:rsidP="00E4683D">
            <w:pPr>
              <w:keepLines/>
              <w:rPr>
                <w:szCs w:val="23"/>
              </w:rPr>
            </w:pPr>
          </w:p>
          <w:p w14:paraId="63AC5918" w14:textId="77777777" w:rsidR="007461C9" w:rsidRDefault="007461C9" w:rsidP="00E4683D">
            <w:pPr>
              <w:keepLines/>
              <w:rPr>
                <w:szCs w:val="23"/>
              </w:rPr>
            </w:pPr>
          </w:p>
          <w:p w14:paraId="65E2D365" w14:textId="77777777" w:rsidR="007461C9" w:rsidRDefault="007461C9" w:rsidP="00E4683D">
            <w:pPr>
              <w:keepLines/>
              <w:rPr>
                <w:szCs w:val="23"/>
              </w:rPr>
            </w:pPr>
          </w:p>
          <w:p w14:paraId="3779596E" w14:textId="77777777" w:rsidR="007461C9" w:rsidRDefault="007461C9" w:rsidP="00E4683D">
            <w:pPr>
              <w:keepLines/>
              <w:rPr>
                <w:szCs w:val="23"/>
              </w:rPr>
            </w:pPr>
            <w:r>
              <w:rPr>
                <w:szCs w:val="23"/>
              </w:rPr>
              <w:t>31 Dec 2018</w:t>
            </w:r>
          </w:p>
          <w:p w14:paraId="4568AFBF" w14:textId="77777777" w:rsidR="007461C9" w:rsidRDefault="007461C9" w:rsidP="00E4683D">
            <w:pPr>
              <w:keepLines/>
              <w:rPr>
                <w:szCs w:val="23"/>
              </w:rPr>
            </w:pPr>
          </w:p>
          <w:p w14:paraId="5C2B11FE" w14:textId="77777777" w:rsidR="007461C9" w:rsidRDefault="007461C9" w:rsidP="00E4683D">
            <w:pPr>
              <w:keepLines/>
              <w:rPr>
                <w:szCs w:val="23"/>
              </w:rPr>
            </w:pPr>
          </w:p>
          <w:p w14:paraId="7B5E34C8" w14:textId="77777777" w:rsidR="007461C9" w:rsidRDefault="007461C9" w:rsidP="00E4683D">
            <w:pPr>
              <w:keepLines/>
              <w:rPr>
                <w:szCs w:val="23"/>
              </w:rPr>
            </w:pPr>
          </w:p>
          <w:p w14:paraId="681BD1FE" w14:textId="77777777" w:rsidR="007461C9" w:rsidRDefault="007461C9" w:rsidP="00E4683D">
            <w:pPr>
              <w:keepLines/>
              <w:rPr>
                <w:szCs w:val="23"/>
              </w:rPr>
            </w:pPr>
          </w:p>
          <w:p w14:paraId="0E53E880" w14:textId="77777777" w:rsidR="007461C9" w:rsidRDefault="007461C9" w:rsidP="00E4683D">
            <w:pPr>
              <w:keepLines/>
              <w:rPr>
                <w:szCs w:val="23"/>
              </w:rPr>
            </w:pPr>
          </w:p>
          <w:p w14:paraId="440B2734" w14:textId="77777777" w:rsidR="007461C9" w:rsidRDefault="007461C9" w:rsidP="00E4683D">
            <w:pPr>
              <w:keepLines/>
              <w:rPr>
                <w:szCs w:val="23"/>
              </w:rPr>
            </w:pPr>
          </w:p>
          <w:p w14:paraId="7AEBD246" w14:textId="77777777" w:rsidR="007461C9" w:rsidRDefault="007461C9" w:rsidP="00E4683D">
            <w:pPr>
              <w:keepLines/>
              <w:rPr>
                <w:szCs w:val="23"/>
              </w:rPr>
            </w:pPr>
          </w:p>
          <w:p w14:paraId="43EEC635" w14:textId="77777777" w:rsidR="007461C9" w:rsidRDefault="007461C9" w:rsidP="00E4683D">
            <w:pPr>
              <w:keepLines/>
              <w:rPr>
                <w:szCs w:val="23"/>
              </w:rPr>
            </w:pPr>
          </w:p>
          <w:p w14:paraId="3A36C5FB" w14:textId="77777777" w:rsidR="007461C9" w:rsidRDefault="007461C9" w:rsidP="00E4683D">
            <w:pPr>
              <w:keepLines/>
              <w:rPr>
                <w:szCs w:val="23"/>
              </w:rPr>
            </w:pPr>
          </w:p>
          <w:p w14:paraId="62560925" w14:textId="77777777" w:rsidR="007461C9" w:rsidRDefault="007461C9" w:rsidP="00E4683D">
            <w:pPr>
              <w:keepLines/>
              <w:rPr>
                <w:szCs w:val="23"/>
              </w:rPr>
            </w:pPr>
          </w:p>
          <w:p w14:paraId="19A9BDEA" w14:textId="77777777" w:rsidR="007461C9" w:rsidRDefault="007461C9" w:rsidP="00E4683D">
            <w:pPr>
              <w:keepLines/>
              <w:rPr>
                <w:szCs w:val="23"/>
              </w:rPr>
            </w:pPr>
          </w:p>
          <w:p w14:paraId="1FE77BF2" w14:textId="77777777" w:rsidR="007461C9" w:rsidRDefault="007461C9" w:rsidP="00E4683D">
            <w:pPr>
              <w:keepLines/>
              <w:rPr>
                <w:szCs w:val="23"/>
              </w:rPr>
            </w:pPr>
          </w:p>
          <w:p w14:paraId="0E8AC6C3" w14:textId="77777777" w:rsidR="007461C9" w:rsidRDefault="007461C9" w:rsidP="00E4683D">
            <w:pPr>
              <w:keepLines/>
              <w:rPr>
                <w:szCs w:val="23"/>
              </w:rPr>
            </w:pPr>
            <w:r>
              <w:rPr>
                <w:szCs w:val="23"/>
              </w:rPr>
              <w:t>30 June 2020</w:t>
            </w:r>
          </w:p>
          <w:p w14:paraId="7CF7E421" w14:textId="77777777" w:rsidR="007461C9" w:rsidRDefault="007461C9" w:rsidP="00E4683D">
            <w:pPr>
              <w:keepLines/>
              <w:rPr>
                <w:szCs w:val="23"/>
              </w:rPr>
            </w:pPr>
          </w:p>
          <w:p w14:paraId="4CF7B628" w14:textId="77777777" w:rsidR="007461C9" w:rsidRDefault="007461C9" w:rsidP="00E4683D">
            <w:pPr>
              <w:keepLines/>
              <w:rPr>
                <w:szCs w:val="23"/>
              </w:rPr>
            </w:pPr>
          </w:p>
          <w:p w14:paraId="5613F339" w14:textId="77777777" w:rsidR="007461C9" w:rsidRDefault="007461C9" w:rsidP="00E4683D">
            <w:pPr>
              <w:keepLines/>
              <w:rPr>
                <w:szCs w:val="23"/>
              </w:rPr>
            </w:pPr>
          </w:p>
          <w:p w14:paraId="5666B19D" w14:textId="77777777" w:rsidR="007461C9" w:rsidRDefault="007461C9" w:rsidP="00E4683D">
            <w:pPr>
              <w:keepLines/>
              <w:rPr>
                <w:szCs w:val="23"/>
              </w:rPr>
            </w:pPr>
          </w:p>
          <w:p w14:paraId="3CB8C10E" w14:textId="77777777" w:rsidR="007461C9" w:rsidRDefault="007461C9" w:rsidP="00E4683D">
            <w:pPr>
              <w:keepLines/>
              <w:rPr>
                <w:szCs w:val="23"/>
              </w:rPr>
            </w:pPr>
          </w:p>
          <w:p w14:paraId="16D31AF1" w14:textId="77777777" w:rsidR="007461C9" w:rsidRDefault="007461C9" w:rsidP="00E4683D">
            <w:pPr>
              <w:keepLines/>
              <w:rPr>
                <w:szCs w:val="23"/>
              </w:rPr>
            </w:pPr>
          </w:p>
          <w:p w14:paraId="3BBD55C2" w14:textId="77777777" w:rsidR="007461C9" w:rsidRDefault="007461C9" w:rsidP="00E4683D">
            <w:pPr>
              <w:keepLines/>
              <w:rPr>
                <w:szCs w:val="23"/>
              </w:rPr>
            </w:pPr>
          </w:p>
          <w:p w14:paraId="698FD4E2" w14:textId="77777777" w:rsidR="007461C9" w:rsidRDefault="007461C9" w:rsidP="00E4683D">
            <w:pPr>
              <w:keepLines/>
              <w:rPr>
                <w:szCs w:val="23"/>
              </w:rPr>
            </w:pPr>
          </w:p>
          <w:p w14:paraId="4DE6C109" w14:textId="77777777" w:rsidR="007461C9" w:rsidRDefault="007461C9" w:rsidP="00E4683D">
            <w:pPr>
              <w:keepLines/>
              <w:rPr>
                <w:szCs w:val="23"/>
              </w:rPr>
            </w:pPr>
          </w:p>
          <w:p w14:paraId="2888556E" w14:textId="77777777" w:rsidR="007461C9" w:rsidRDefault="007461C9" w:rsidP="00E4683D">
            <w:pPr>
              <w:keepLines/>
              <w:rPr>
                <w:szCs w:val="23"/>
              </w:rPr>
            </w:pPr>
          </w:p>
          <w:p w14:paraId="11422AAA" w14:textId="77777777" w:rsidR="007461C9" w:rsidRDefault="007461C9" w:rsidP="00E4683D">
            <w:pPr>
              <w:keepLines/>
              <w:rPr>
                <w:szCs w:val="23"/>
              </w:rPr>
            </w:pPr>
          </w:p>
          <w:p w14:paraId="326B7D19" w14:textId="77777777" w:rsidR="007461C9" w:rsidRDefault="007461C9" w:rsidP="00E4683D">
            <w:pPr>
              <w:keepLines/>
              <w:rPr>
                <w:szCs w:val="23"/>
              </w:rPr>
            </w:pPr>
          </w:p>
          <w:p w14:paraId="60AAEA8B" w14:textId="77777777" w:rsidR="007461C9" w:rsidRDefault="007461C9" w:rsidP="00E4683D">
            <w:pPr>
              <w:keepLines/>
              <w:rPr>
                <w:szCs w:val="23"/>
              </w:rPr>
            </w:pPr>
          </w:p>
          <w:p w14:paraId="17F4B4C2" w14:textId="77777777" w:rsidR="007461C9" w:rsidRDefault="007461C9" w:rsidP="00E4683D">
            <w:pPr>
              <w:keepLines/>
              <w:rPr>
                <w:szCs w:val="23"/>
              </w:rPr>
            </w:pPr>
          </w:p>
          <w:p w14:paraId="7386E5F2" w14:textId="23F01854" w:rsidR="007461C9" w:rsidRDefault="007461C9" w:rsidP="00E4683D">
            <w:pPr>
              <w:keepLines/>
              <w:rPr>
                <w:szCs w:val="23"/>
              </w:rPr>
            </w:pPr>
          </w:p>
          <w:p w14:paraId="1930593F" w14:textId="77777777" w:rsidR="007461C9" w:rsidRDefault="007461C9" w:rsidP="00E4683D">
            <w:pPr>
              <w:keepLines/>
              <w:rPr>
                <w:szCs w:val="23"/>
              </w:rPr>
            </w:pPr>
            <w:r>
              <w:rPr>
                <w:szCs w:val="23"/>
              </w:rPr>
              <w:t>31 Dec 2019</w:t>
            </w:r>
          </w:p>
          <w:p w14:paraId="6EDC81C0" w14:textId="77777777" w:rsidR="007461C9" w:rsidRDefault="007461C9" w:rsidP="00E4683D">
            <w:pPr>
              <w:keepLines/>
              <w:rPr>
                <w:szCs w:val="23"/>
              </w:rPr>
            </w:pPr>
          </w:p>
          <w:p w14:paraId="1C6AA7FA" w14:textId="77777777" w:rsidR="007461C9" w:rsidRDefault="007461C9" w:rsidP="00E4683D">
            <w:pPr>
              <w:keepLines/>
              <w:rPr>
                <w:szCs w:val="23"/>
              </w:rPr>
            </w:pPr>
          </w:p>
          <w:p w14:paraId="42BAD3CC" w14:textId="77777777" w:rsidR="007461C9" w:rsidRDefault="007461C9" w:rsidP="00E4683D">
            <w:pPr>
              <w:keepLines/>
              <w:rPr>
                <w:szCs w:val="23"/>
              </w:rPr>
            </w:pPr>
          </w:p>
          <w:p w14:paraId="145C18DF" w14:textId="77777777" w:rsidR="007461C9" w:rsidRDefault="007461C9" w:rsidP="00E4683D">
            <w:pPr>
              <w:keepLines/>
              <w:rPr>
                <w:szCs w:val="23"/>
              </w:rPr>
            </w:pPr>
            <w:r>
              <w:rPr>
                <w:szCs w:val="23"/>
              </w:rPr>
              <w:t>31 Dec 2019</w:t>
            </w:r>
          </w:p>
          <w:p w14:paraId="2C32DBBC" w14:textId="77777777" w:rsidR="007461C9" w:rsidRDefault="007461C9" w:rsidP="00E4683D">
            <w:pPr>
              <w:keepLines/>
              <w:rPr>
                <w:szCs w:val="23"/>
              </w:rPr>
            </w:pPr>
          </w:p>
          <w:p w14:paraId="36248208" w14:textId="77777777" w:rsidR="007461C9" w:rsidRDefault="007461C9" w:rsidP="00E4683D">
            <w:pPr>
              <w:keepLines/>
              <w:rPr>
                <w:szCs w:val="23"/>
              </w:rPr>
            </w:pPr>
          </w:p>
          <w:p w14:paraId="319D325E" w14:textId="77777777" w:rsidR="007461C9" w:rsidRDefault="007461C9" w:rsidP="00E4683D">
            <w:pPr>
              <w:keepLines/>
              <w:rPr>
                <w:szCs w:val="23"/>
              </w:rPr>
            </w:pPr>
          </w:p>
          <w:p w14:paraId="76A2023B" w14:textId="77777777" w:rsidR="007461C9" w:rsidRDefault="007461C9" w:rsidP="00E4683D">
            <w:pPr>
              <w:keepLines/>
              <w:rPr>
                <w:szCs w:val="23"/>
              </w:rPr>
            </w:pPr>
          </w:p>
          <w:p w14:paraId="403C9994" w14:textId="77777777" w:rsidR="007461C9" w:rsidRDefault="007461C9" w:rsidP="00E4683D">
            <w:pPr>
              <w:keepLines/>
              <w:rPr>
                <w:szCs w:val="23"/>
              </w:rPr>
            </w:pPr>
          </w:p>
          <w:p w14:paraId="6FDC9E40" w14:textId="77777777" w:rsidR="007461C9" w:rsidRDefault="007461C9" w:rsidP="00E4683D">
            <w:pPr>
              <w:keepLines/>
              <w:rPr>
                <w:szCs w:val="23"/>
              </w:rPr>
            </w:pPr>
          </w:p>
          <w:p w14:paraId="7DAFF522" w14:textId="77777777" w:rsidR="007461C9" w:rsidRDefault="007461C9" w:rsidP="00E4683D">
            <w:pPr>
              <w:keepLines/>
              <w:rPr>
                <w:szCs w:val="23"/>
              </w:rPr>
            </w:pPr>
          </w:p>
          <w:p w14:paraId="625C0B2A" w14:textId="77777777" w:rsidR="007461C9" w:rsidRDefault="007461C9" w:rsidP="00E4683D">
            <w:pPr>
              <w:keepLines/>
              <w:rPr>
                <w:szCs w:val="23"/>
              </w:rPr>
            </w:pPr>
          </w:p>
          <w:p w14:paraId="0025472B" w14:textId="77777777" w:rsidR="007461C9" w:rsidRDefault="007461C9" w:rsidP="00E4683D">
            <w:pPr>
              <w:keepLines/>
              <w:rPr>
                <w:szCs w:val="23"/>
              </w:rPr>
            </w:pPr>
          </w:p>
          <w:p w14:paraId="4F38255E" w14:textId="77777777" w:rsidR="007461C9" w:rsidRPr="005D5922" w:rsidRDefault="007461C9" w:rsidP="00F438C9">
            <w:pPr>
              <w:keepLines/>
              <w:rPr>
                <w:szCs w:val="23"/>
              </w:rPr>
            </w:pPr>
          </w:p>
        </w:tc>
        <w:tc>
          <w:tcPr>
            <w:tcW w:w="745" w:type="pct"/>
          </w:tcPr>
          <w:p w14:paraId="37FE75F8" w14:textId="77777777" w:rsidR="007461C9" w:rsidRPr="005D5922" w:rsidRDefault="007461C9" w:rsidP="00E4683D">
            <w:pPr>
              <w:keepLines/>
              <w:rPr>
                <w:szCs w:val="23"/>
              </w:rPr>
            </w:pPr>
            <w:r w:rsidRPr="005D5922">
              <w:rPr>
                <w:szCs w:val="23"/>
              </w:rPr>
              <w:t>N/A</w:t>
            </w:r>
          </w:p>
        </w:tc>
      </w:tr>
    </w:tbl>
    <w:p w14:paraId="5FE8B745" w14:textId="273D1008" w:rsidR="007461C9" w:rsidRDefault="007461C9" w:rsidP="007461C9"/>
    <w:p w14:paraId="13672FEC" w14:textId="3CF679D2" w:rsidR="00407A6B" w:rsidRPr="001E7293" w:rsidRDefault="00407A6B" w:rsidP="00746814">
      <w:pPr>
        <w:pStyle w:val="Normalnumbered"/>
        <w:spacing w:before="120" w:after="240"/>
      </w:pPr>
      <w:r w:rsidRPr="001E7293">
        <w:t>As required by clause 2</w:t>
      </w:r>
      <w:r w:rsidR="006D611A">
        <w:t>2</w:t>
      </w:r>
      <w:r w:rsidRPr="001E7293">
        <w:t xml:space="preserve"> (d) of the National Partnership, strategies are </w:t>
      </w:r>
      <w:r w:rsidR="00DD21A5">
        <w:t xml:space="preserve">in place </w:t>
      </w:r>
      <w:r w:rsidRPr="001E7293">
        <w:t xml:space="preserve">to ensure that funding is directed to support participation by all children in all </w:t>
      </w:r>
      <w:r w:rsidR="000B36D5" w:rsidRPr="001E7293">
        <w:t>quality e</w:t>
      </w:r>
      <w:r w:rsidR="003A24B9" w:rsidRPr="001E7293">
        <w:t>ar</w:t>
      </w:r>
      <w:r w:rsidR="000B36D5" w:rsidRPr="001E7293">
        <w:t xml:space="preserve">ly childhood education </w:t>
      </w:r>
      <w:r w:rsidR="007B4BA6" w:rsidRPr="001E7293">
        <w:t>program</w:t>
      </w:r>
      <w:r w:rsidR="000B36D5" w:rsidRPr="001E7293">
        <w:t>s</w:t>
      </w:r>
      <w:r w:rsidRPr="001E7293">
        <w:t xml:space="preserve">, regardless of whether </w:t>
      </w:r>
      <w:r w:rsidR="007B4BA6" w:rsidRPr="001E7293">
        <w:t>program</w:t>
      </w:r>
      <w:r w:rsidRPr="001E7293">
        <w:t>s are delivered through schools (government and non-government), standalone preschools or long day care centres.</w:t>
      </w:r>
      <w:r w:rsidR="00DD21A5">
        <w:t xml:space="preserve"> These strategies are included as project elements throughout this plan.</w:t>
      </w:r>
    </w:p>
    <w:p w14:paraId="78A63D4F" w14:textId="56AC3585" w:rsidR="00124D8E" w:rsidRDefault="00124D8E" w:rsidP="001B5382">
      <w:pPr>
        <w:pStyle w:val="Normalnumbered"/>
      </w:pPr>
      <w:r w:rsidRPr="001E7293">
        <w:t>As required by clause 2</w:t>
      </w:r>
      <w:r w:rsidR="006D611A">
        <w:t>2</w:t>
      </w:r>
      <w:r w:rsidRPr="001E7293">
        <w:t xml:space="preserve"> (e) of the National Partnership, </w:t>
      </w:r>
      <w:r w:rsidR="000B36D5" w:rsidRPr="001E7293">
        <w:t xml:space="preserve">state specific data and implementation issues </w:t>
      </w:r>
      <w:r w:rsidR="001B5382" w:rsidRPr="001E7293">
        <w:t>are identified</w:t>
      </w:r>
      <w:r w:rsidR="00153BCD" w:rsidRPr="001E7293">
        <w:t xml:space="preserve"> </w:t>
      </w:r>
      <w:r w:rsidR="00902EF3" w:rsidRPr="001E7293">
        <w:t xml:space="preserve">below. Each </w:t>
      </w:r>
      <w:r w:rsidR="003C0687" w:rsidRPr="001E7293">
        <w:t xml:space="preserve">of the </w:t>
      </w:r>
      <w:r w:rsidR="00902EF3" w:rsidRPr="001E7293">
        <w:t>identified issue</w:t>
      </w:r>
      <w:r w:rsidR="000B36D5" w:rsidRPr="001E7293">
        <w:t>s</w:t>
      </w:r>
      <w:r w:rsidR="00902EF3" w:rsidRPr="001E7293">
        <w:t xml:space="preserve"> includes </w:t>
      </w:r>
      <w:r w:rsidRPr="001E7293">
        <w:t xml:space="preserve">strategies </w:t>
      </w:r>
      <w:r w:rsidR="00902EF3" w:rsidRPr="001E7293">
        <w:t>to</w:t>
      </w:r>
      <w:r w:rsidRPr="001E7293">
        <w:t xml:space="preserve"> overcome</w:t>
      </w:r>
      <w:r w:rsidR="00041D4C" w:rsidRPr="001E7293">
        <w:t xml:space="preserve"> or address </w:t>
      </w:r>
      <w:r w:rsidR="003C0687" w:rsidRPr="001E7293">
        <w:t>them.</w:t>
      </w:r>
    </w:p>
    <w:p w14:paraId="1C8AF1F8" w14:textId="77777777" w:rsidR="00DD21A5" w:rsidRPr="001E7293" w:rsidRDefault="00DD21A5" w:rsidP="00DD21A5">
      <w:pPr>
        <w:pStyle w:val="Normalnumbered"/>
        <w:numPr>
          <w:ilvl w:val="0"/>
          <w:numId w:val="0"/>
        </w:numPr>
        <w:ind w:left="567"/>
      </w:pPr>
    </w:p>
    <w:p w14:paraId="2F17F474" w14:textId="5FC17397" w:rsidR="00DD21A5" w:rsidRDefault="00DD21A5" w:rsidP="009D76CD">
      <w:pPr>
        <w:pStyle w:val="Normalnumbered"/>
        <w:numPr>
          <w:ilvl w:val="0"/>
          <w:numId w:val="17"/>
        </w:numPr>
        <w:spacing w:after="120"/>
      </w:pPr>
      <w:r>
        <w:t>Data accuracy for Indigenous sub-indicators will require careful consideration, given the volatility of estimates of Indigenous cohort level population that are used to calculate performance against these indicators.</w:t>
      </w:r>
    </w:p>
    <w:p w14:paraId="259500DC" w14:textId="77777777" w:rsidR="008A1747" w:rsidRPr="00DD21A5" w:rsidRDefault="008A1747" w:rsidP="00DD21A5">
      <w:pPr>
        <w:pStyle w:val="Heading2"/>
        <w:spacing w:after="120"/>
      </w:pPr>
      <w:r w:rsidRPr="001E7293">
        <w:t>Estimated costs</w:t>
      </w:r>
    </w:p>
    <w:p w14:paraId="604EBCA1" w14:textId="278E0D0E" w:rsidR="008A1747" w:rsidRPr="001E7293" w:rsidRDefault="008A1747" w:rsidP="008A1747">
      <w:pPr>
        <w:pStyle w:val="Normalnumbered"/>
        <w:spacing w:after="240" w:line="260" w:lineRule="exact"/>
      </w:pPr>
      <w:r w:rsidRPr="001E7293">
        <w:t xml:space="preserve">The maximum financial contribution to be provided by the Commonwealth for the project to </w:t>
      </w:r>
      <w:r w:rsidR="00DD21A5">
        <w:t>NSW</w:t>
      </w:r>
      <w:r w:rsidRPr="001E7293">
        <w:t xml:space="preserve"> is </w:t>
      </w:r>
      <w:r w:rsidR="00AE1EC0" w:rsidRPr="005D4D0F">
        <w:rPr>
          <w:b/>
        </w:rPr>
        <w:t>$</w:t>
      </w:r>
      <w:r w:rsidR="005D4D0F">
        <w:rPr>
          <w:b/>
        </w:rPr>
        <w:t>252.1</w:t>
      </w:r>
      <w:r w:rsidR="00C94098">
        <w:rPr>
          <w:b/>
        </w:rPr>
        <w:t xml:space="preserve"> million</w:t>
      </w:r>
      <w:r w:rsidRPr="001E7293">
        <w:t xml:space="preserve"> payable in accordance with </w:t>
      </w:r>
      <w:r w:rsidR="00D15A57" w:rsidRPr="001E7293">
        <w:t xml:space="preserve">the </w:t>
      </w:r>
      <w:r w:rsidRPr="001E7293">
        <w:t>milestones</w:t>
      </w:r>
      <w:r w:rsidR="00D15A57" w:rsidRPr="001E7293">
        <w:t xml:space="preserve"> and</w:t>
      </w:r>
      <w:r w:rsidRPr="001E7293">
        <w:t xml:space="preserve"> performance benchmarks set out in the National Partnership.  All payments are exclusive of GST.</w:t>
      </w:r>
    </w:p>
    <w:p w14:paraId="47A75BFB" w14:textId="77777777" w:rsidR="00F37031" w:rsidRPr="001E7293" w:rsidRDefault="008A1747" w:rsidP="009D76CD">
      <w:pPr>
        <w:pStyle w:val="Normalnumbered"/>
        <w:spacing w:after="240" w:line="260" w:lineRule="exact"/>
      </w:pPr>
      <w:r w:rsidRPr="001E7293">
        <w:t xml:space="preserve">The estimated overall budget (exclusive of GST) is set out in Table 2. The budget is indicative only and </w:t>
      </w:r>
      <w:r w:rsidR="00DD21A5">
        <w:t>NSW</w:t>
      </w:r>
      <w:r w:rsidRPr="001E7293">
        <w:t xml:space="preserve"> retains the flexibility to move funds between components and/or years, as long as outcomes are not affected.  The Commonwealth contribution can only be moved between years with the agreement of the Commonwealth.</w:t>
      </w:r>
    </w:p>
    <w:p w14:paraId="7AC92F46" w14:textId="375135D1" w:rsidR="00B52FD8" w:rsidRDefault="00B52FD8" w:rsidP="00304260">
      <w:pPr>
        <w:pStyle w:val="Normalnumbered"/>
        <w:numPr>
          <w:ilvl w:val="0"/>
          <w:numId w:val="0"/>
        </w:numPr>
        <w:rPr>
          <w:sz w:val="18"/>
          <w:szCs w:val="18"/>
          <w:lang w:val="en-GB"/>
        </w:rPr>
      </w:pPr>
    </w:p>
    <w:p w14:paraId="42200FE7" w14:textId="77777777" w:rsidR="00B52FD8" w:rsidRPr="001E7293" w:rsidRDefault="00B52FD8" w:rsidP="00B52FD8">
      <w:pPr>
        <w:pStyle w:val="Heading3"/>
        <w:spacing w:before="0" w:after="120"/>
        <w:rPr>
          <w:i/>
        </w:rPr>
      </w:pPr>
      <w:r w:rsidRPr="001E7293">
        <w:t>Table 2: Estimated financial contributions</w:t>
      </w:r>
      <w:r>
        <w:t>*</w:t>
      </w:r>
    </w:p>
    <w:tbl>
      <w:tblPr>
        <w:tblW w:w="0" w:type="auto"/>
        <w:tblBorders>
          <w:top w:val="single" w:sz="4" w:space="0" w:color="000080"/>
          <w:bottom w:val="single" w:sz="4" w:space="0" w:color="000080"/>
        </w:tblBorders>
        <w:tblLook w:val="01E0" w:firstRow="1" w:lastRow="1" w:firstColumn="1" w:lastColumn="1" w:noHBand="0" w:noVBand="0"/>
      </w:tblPr>
      <w:tblGrid>
        <w:gridCol w:w="4388"/>
        <w:gridCol w:w="1178"/>
        <w:gridCol w:w="1188"/>
        <w:gridCol w:w="1127"/>
        <w:gridCol w:w="1127"/>
      </w:tblGrid>
      <w:tr w:rsidR="00B52FD8" w:rsidRPr="001E7293" w14:paraId="0A5F33C9" w14:textId="77777777" w:rsidTr="00F73A50">
        <w:tc>
          <w:tcPr>
            <w:tcW w:w="4388" w:type="dxa"/>
            <w:tcBorders>
              <w:top w:val="single" w:sz="4" w:space="0" w:color="000080"/>
            </w:tcBorders>
            <w:vAlign w:val="center"/>
          </w:tcPr>
          <w:p w14:paraId="630EF29F" w14:textId="77777777" w:rsidR="00B52FD8" w:rsidRPr="001E7293" w:rsidRDefault="00B52FD8" w:rsidP="00F73A50">
            <w:pPr>
              <w:keepNext/>
              <w:keepLines/>
              <w:spacing w:before="40" w:after="40"/>
              <w:jc w:val="center"/>
              <w:rPr>
                <w:b/>
                <w:bCs/>
              </w:rPr>
            </w:pPr>
            <w:r w:rsidRPr="001E7293">
              <w:rPr>
                <w:b/>
                <w:bCs/>
              </w:rPr>
              <w:t>($ million)</w:t>
            </w:r>
          </w:p>
        </w:tc>
        <w:tc>
          <w:tcPr>
            <w:tcW w:w="1178" w:type="dxa"/>
            <w:tcBorders>
              <w:top w:val="single" w:sz="4" w:space="0" w:color="000080"/>
              <w:bottom w:val="single" w:sz="4" w:space="0" w:color="000080"/>
            </w:tcBorders>
            <w:vAlign w:val="center"/>
          </w:tcPr>
          <w:p w14:paraId="4F7EB892" w14:textId="77777777" w:rsidR="00B52FD8" w:rsidRPr="001E7293" w:rsidRDefault="00B52FD8" w:rsidP="00F73A50">
            <w:pPr>
              <w:keepNext/>
              <w:keepLines/>
              <w:spacing w:before="40" w:after="40"/>
              <w:jc w:val="center"/>
              <w:rPr>
                <w:b/>
              </w:rPr>
            </w:pPr>
            <w:r w:rsidRPr="001E7293">
              <w:rPr>
                <w:b/>
              </w:rPr>
              <w:t>2017-18</w:t>
            </w:r>
          </w:p>
        </w:tc>
        <w:tc>
          <w:tcPr>
            <w:tcW w:w="1188" w:type="dxa"/>
            <w:tcBorders>
              <w:top w:val="single" w:sz="4" w:space="0" w:color="000080"/>
              <w:bottom w:val="single" w:sz="4" w:space="0" w:color="000080"/>
            </w:tcBorders>
            <w:vAlign w:val="center"/>
          </w:tcPr>
          <w:p w14:paraId="4B7B87B7" w14:textId="77777777" w:rsidR="00B52FD8" w:rsidRPr="001E7293" w:rsidRDefault="00B52FD8" w:rsidP="00F73A50">
            <w:pPr>
              <w:keepNext/>
              <w:keepLines/>
              <w:spacing w:before="40" w:after="40"/>
              <w:jc w:val="center"/>
              <w:rPr>
                <w:b/>
              </w:rPr>
            </w:pPr>
            <w:r w:rsidRPr="001E7293">
              <w:rPr>
                <w:b/>
              </w:rPr>
              <w:t>2018-19</w:t>
            </w:r>
          </w:p>
        </w:tc>
        <w:tc>
          <w:tcPr>
            <w:tcW w:w="1127" w:type="dxa"/>
            <w:tcBorders>
              <w:top w:val="single" w:sz="4" w:space="0" w:color="000080"/>
              <w:bottom w:val="single" w:sz="4" w:space="0" w:color="000080"/>
            </w:tcBorders>
          </w:tcPr>
          <w:p w14:paraId="5D1246AE" w14:textId="77777777" w:rsidR="00B52FD8" w:rsidRPr="001E7293" w:rsidRDefault="00B52FD8" w:rsidP="00F73A50">
            <w:pPr>
              <w:keepNext/>
              <w:keepLines/>
              <w:spacing w:before="40" w:after="40"/>
              <w:jc w:val="center"/>
              <w:rPr>
                <w:b/>
              </w:rPr>
            </w:pPr>
            <w:r>
              <w:rPr>
                <w:rFonts w:cs="Calibri"/>
                <w:b/>
                <w:szCs w:val="23"/>
              </w:rPr>
              <w:t>2019-20</w:t>
            </w:r>
          </w:p>
        </w:tc>
        <w:tc>
          <w:tcPr>
            <w:tcW w:w="1127" w:type="dxa"/>
            <w:tcBorders>
              <w:top w:val="single" w:sz="4" w:space="0" w:color="000080"/>
              <w:bottom w:val="single" w:sz="4" w:space="0" w:color="000080"/>
            </w:tcBorders>
            <w:vAlign w:val="center"/>
          </w:tcPr>
          <w:p w14:paraId="212E5AD4" w14:textId="77777777" w:rsidR="00B52FD8" w:rsidRPr="001E7293" w:rsidRDefault="00B52FD8" w:rsidP="00F73A50">
            <w:pPr>
              <w:keepNext/>
              <w:keepLines/>
              <w:spacing w:before="40" w:after="40"/>
              <w:jc w:val="center"/>
              <w:rPr>
                <w:b/>
              </w:rPr>
            </w:pPr>
            <w:r w:rsidRPr="001E7293">
              <w:rPr>
                <w:b/>
              </w:rPr>
              <w:t>Total</w:t>
            </w:r>
          </w:p>
        </w:tc>
      </w:tr>
      <w:tr w:rsidR="00B52FD8" w:rsidRPr="001E7293" w14:paraId="033CEB0E" w14:textId="77777777" w:rsidTr="00F73A50">
        <w:tc>
          <w:tcPr>
            <w:tcW w:w="4388" w:type="dxa"/>
          </w:tcPr>
          <w:p w14:paraId="0152656A" w14:textId="77777777" w:rsidR="00B52FD8" w:rsidRPr="001E7293" w:rsidRDefault="00B52FD8" w:rsidP="00F73A50">
            <w:pPr>
              <w:rPr>
                <w:sz w:val="24"/>
              </w:rPr>
            </w:pPr>
            <w:r w:rsidRPr="001E7293">
              <w:t>Element</w:t>
            </w:r>
            <w:r>
              <w:t>s</w:t>
            </w:r>
            <w:r w:rsidRPr="001E7293">
              <w:t xml:space="preserve"> 1</w:t>
            </w:r>
            <w:r>
              <w:t xml:space="preserve"> &amp; 2#</w:t>
            </w:r>
          </w:p>
        </w:tc>
        <w:tc>
          <w:tcPr>
            <w:tcW w:w="1178" w:type="dxa"/>
            <w:tcBorders>
              <w:top w:val="single" w:sz="4" w:space="0" w:color="000080"/>
            </w:tcBorders>
          </w:tcPr>
          <w:p w14:paraId="51093A3F" w14:textId="77777777" w:rsidR="00B52FD8" w:rsidRPr="001E7293" w:rsidRDefault="00B52FD8" w:rsidP="00F73A50">
            <w:pPr>
              <w:jc w:val="right"/>
            </w:pPr>
            <w:r>
              <w:t>37.0</w:t>
            </w:r>
          </w:p>
        </w:tc>
        <w:tc>
          <w:tcPr>
            <w:tcW w:w="1188" w:type="dxa"/>
            <w:tcBorders>
              <w:top w:val="single" w:sz="4" w:space="0" w:color="000080"/>
            </w:tcBorders>
          </w:tcPr>
          <w:p w14:paraId="6A0C5934" w14:textId="77777777" w:rsidR="00B52FD8" w:rsidRPr="00C40DBF" w:rsidRDefault="00B52FD8" w:rsidP="00F73A50">
            <w:pPr>
              <w:jc w:val="right"/>
            </w:pPr>
            <w:r w:rsidRPr="00C40DBF">
              <w:rPr>
                <w:rFonts w:cs="Calibri"/>
                <w:szCs w:val="23"/>
              </w:rPr>
              <w:t>124.9</w:t>
            </w:r>
          </w:p>
        </w:tc>
        <w:tc>
          <w:tcPr>
            <w:tcW w:w="1127" w:type="dxa"/>
            <w:tcBorders>
              <w:top w:val="single" w:sz="4" w:space="0" w:color="000080"/>
            </w:tcBorders>
          </w:tcPr>
          <w:p w14:paraId="76C70EC8" w14:textId="77777777" w:rsidR="00B52FD8" w:rsidRPr="00C40DBF" w:rsidRDefault="00B52FD8" w:rsidP="00F73A50">
            <w:pPr>
              <w:jc w:val="right"/>
            </w:pPr>
            <w:r w:rsidRPr="00C40DBF">
              <w:rPr>
                <w:rFonts w:cs="Calibri"/>
                <w:szCs w:val="23"/>
              </w:rPr>
              <w:t>90.2</w:t>
            </w:r>
          </w:p>
        </w:tc>
        <w:tc>
          <w:tcPr>
            <w:tcW w:w="1127" w:type="dxa"/>
            <w:tcBorders>
              <w:top w:val="single" w:sz="4" w:space="0" w:color="000080"/>
            </w:tcBorders>
          </w:tcPr>
          <w:p w14:paraId="4D8F0844" w14:textId="77777777" w:rsidR="00B52FD8" w:rsidRPr="001E7293" w:rsidRDefault="00B52FD8" w:rsidP="00F73A50">
            <w:pPr>
              <w:jc w:val="right"/>
            </w:pPr>
            <w:r w:rsidRPr="00C40DBF">
              <w:rPr>
                <w:rFonts w:cs="Calibri"/>
                <w:szCs w:val="23"/>
              </w:rPr>
              <w:t>252.1</w:t>
            </w:r>
          </w:p>
        </w:tc>
      </w:tr>
      <w:tr w:rsidR="00B52FD8" w:rsidRPr="001E7293" w14:paraId="16BE3084" w14:textId="77777777" w:rsidTr="00F73A50">
        <w:tc>
          <w:tcPr>
            <w:tcW w:w="4388" w:type="dxa"/>
          </w:tcPr>
          <w:p w14:paraId="53121D1A" w14:textId="77777777" w:rsidR="00B52FD8" w:rsidRPr="001E7293" w:rsidRDefault="00B52FD8" w:rsidP="00F73A50">
            <w:r>
              <w:t>*</w:t>
            </w:r>
            <w:r w:rsidRPr="001E7293">
              <w:t>Total estimated budget</w:t>
            </w:r>
          </w:p>
        </w:tc>
        <w:tc>
          <w:tcPr>
            <w:tcW w:w="1178" w:type="dxa"/>
            <w:tcBorders>
              <w:top w:val="single" w:sz="4" w:space="0" w:color="000080"/>
            </w:tcBorders>
          </w:tcPr>
          <w:p w14:paraId="78F33DF2" w14:textId="77777777" w:rsidR="00B52FD8" w:rsidRPr="001E7293" w:rsidRDefault="00B52FD8" w:rsidP="00F73A50">
            <w:pPr>
              <w:jc w:val="right"/>
            </w:pPr>
            <w:r>
              <w:t>37.0</w:t>
            </w:r>
          </w:p>
        </w:tc>
        <w:tc>
          <w:tcPr>
            <w:tcW w:w="1188" w:type="dxa"/>
            <w:tcBorders>
              <w:top w:val="single" w:sz="4" w:space="0" w:color="000080"/>
            </w:tcBorders>
          </w:tcPr>
          <w:p w14:paraId="269C530B" w14:textId="77777777" w:rsidR="00B52FD8" w:rsidRPr="00C40DBF" w:rsidRDefault="00B52FD8" w:rsidP="00F73A50">
            <w:pPr>
              <w:jc w:val="right"/>
            </w:pPr>
            <w:r w:rsidRPr="00C40DBF">
              <w:rPr>
                <w:rFonts w:cs="Calibri"/>
                <w:szCs w:val="23"/>
              </w:rPr>
              <w:t>124.9</w:t>
            </w:r>
          </w:p>
        </w:tc>
        <w:tc>
          <w:tcPr>
            <w:tcW w:w="1127" w:type="dxa"/>
            <w:tcBorders>
              <w:top w:val="single" w:sz="4" w:space="0" w:color="000080"/>
            </w:tcBorders>
          </w:tcPr>
          <w:p w14:paraId="562A96A6" w14:textId="77777777" w:rsidR="00B52FD8" w:rsidRPr="00C40DBF" w:rsidRDefault="00B52FD8" w:rsidP="00F73A50">
            <w:pPr>
              <w:jc w:val="right"/>
            </w:pPr>
            <w:r w:rsidRPr="00C40DBF">
              <w:rPr>
                <w:rFonts w:cs="Calibri"/>
                <w:szCs w:val="23"/>
              </w:rPr>
              <w:t>90.2</w:t>
            </w:r>
          </w:p>
        </w:tc>
        <w:tc>
          <w:tcPr>
            <w:tcW w:w="1127" w:type="dxa"/>
            <w:tcBorders>
              <w:top w:val="single" w:sz="4" w:space="0" w:color="000080"/>
            </w:tcBorders>
          </w:tcPr>
          <w:p w14:paraId="3AE24D59" w14:textId="77777777" w:rsidR="00B52FD8" w:rsidRPr="001E7293" w:rsidRDefault="00B52FD8" w:rsidP="00F73A50">
            <w:pPr>
              <w:jc w:val="right"/>
            </w:pPr>
            <w:r w:rsidRPr="00C40DBF">
              <w:rPr>
                <w:rFonts w:cs="Calibri"/>
                <w:szCs w:val="23"/>
              </w:rPr>
              <w:t>252.1</w:t>
            </w:r>
          </w:p>
        </w:tc>
      </w:tr>
      <w:tr w:rsidR="00B52FD8" w:rsidRPr="001E7293" w14:paraId="77A65CAD" w14:textId="77777777" w:rsidTr="00F73A50">
        <w:tc>
          <w:tcPr>
            <w:tcW w:w="4388" w:type="dxa"/>
          </w:tcPr>
          <w:p w14:paraId="195801FC" w14:textId="77777777" w:rsidR="00B52FD8" w:rsidRPr="001E7293" w:rsidRDefault="00B52FD8" w:rsidP="00F73A50">
            <w:r w:rsidRPr="001E7293">
              <w:rPr>
                <w:i/>
                <w:iCs/>
              </w:rPr>
              <w:t>less</w:t>
            </w:r>
            <w:r w:rsidRPr="001E7293">
              <w:t xml:space="preserve"> estimated Commonwealth contribution</w:t>
            </w:r>
          </w:p>
        </w:tc>
        <w:tc>
          <w:tcPr>
            <w:tcW w:w="1178" w:type="dxa"/>
            <w:tcBorders>
              <w:bottom w:val="single" w:sz="4" w:space="0" w:color="000080"/>
            </w:tcBorders>
          </w:tcPr>
          <w:p w14:paraId="6050E5B4" w14:textId="77777777" w:rsidR="00B52FD8" w:rsidRPr="001E7293" w:rsidRDefault="00B52FD8" w:rsidP="00F73A50">
            <w:pPr>
              <w:jc w:val="right"/>
            </w:pPr>
            <w:r>
              <w:t>37.0</w:t>
            </w:r>
          </w:p>
        </w:tc>
        <w:tc>
          <w:tcPr>
            <w:tcW w:w="1188" w:type="dxa"/>
            <w:tcBorders>
              <w:bottom w:val="single" w:sz="4" w:space="0" w:color="000080"/>
            </w:tcBorders>
          </w:tcPr>
          <w:p w14:paraId="1A891D55" w14:textId="77777777" w:rsidR="00B52FD8" w:rsidRPr="00C40DBF" w:rsidRDefault="00B52FD8" w:rsidP="00F73A50">
            <w:pPr>
              <w:jc w:val="right"/>
            </w:pPr>
            <w:r w:rsidRPr="00C40DBF">
              <w:rPr>
                <w:rFonts w:cs="Calibri"/>
                <w:szCs w:val="23"/>
              </w:rPr>
              <w:t>124.9</w:t>
            </w:r>
          </w:p>
        </w:tc>
        <w:tc>
          <w:tcPr>
            <w:tcW w:w="1127" w:type="dxa"/>
            <w:tcBorders>
              <w:bottom w:val="single" w:sz="4" w:space="0" w:color="000080"/>
            </w:tcBorders>
          </w:tcPr>
          <w:p w14:paraId="193711C9" w14:textId="77777777" w:rsidR="00B52FD8" w:rsidRPr="00C40DBF" w:rsidRDefault="00B52FD8" w:rsidP="00F73A50">
            <w:pPr>
              <w:jc w:val="right"/>
            </w:pPr>
            <w:r w:rsidRPr="00C40DBF">
              <w:rPr>
                <w:rFonts w:cs="Calibri"/>
                <w:szCs w:val="23"/>
              </w:rPr>
              <w:t>90.2</w:t>
            </w:r>
          </w:p>
        </w:tc>
        <w:tc>
          <w:tcPr>
            <w:tcW w:w="1127" w:type="dxa"/>
            <w:tcBorders>
              <w:bottom w:val="single" w:sz="4" w:space="0" w:color="000080"/>
            </w:tcBorders>
          </w:tcPr>
          <w:p w14:paraId="70B1FF91" w14:textId="77777777" w:rsidR="00B52FD8" w:rsidRPr="001E7293" w:rsidRDefault="00B52FD8" w:rsidP="00F73A50">
            <w:pPr>
              <w:jc w:val="right"/>
            </w:pPr>
            <w:r w:rsidRPr="00C40DBF">
              <w:rPr>
                <w:rFonts w:cs="Calibri"/>
                <w:szCs w:val="23"/>
              </w:rPr>
              <w:t>252.1</w:t>
            </w:r>
          </w:p>
        </w:tc>
      </w:tr>
      <w:tr w:rsidR="00B52FD8" w:rsidRPr="001E7293" w14:paraId="36F91B06" w14:textId="77777777" w:rsidTr="00F73A50">
        <w:trPr>
          <w:cantSplit/>
        </w:trPr>
        <w:tc>
          <w:tcPr>
            <w:tcW w:w="4388" w:type="dxa"/>
          </w:tcPr>
          <w:p w14:paraId="443E548E" w14:textId="77777777" w:rsidR="00B52FD8" w:rsidRPr="001E7293" w:rsidRDefault="00B52FD8" w:rsidP="00F73A50">
            <w:r w:rsidRPr="001E7293">
              <w:t>equals estimated balance of non</w:t>
            </w:r>
            <w:r w:rsidRPr="001E7293">
              <w:noBreakHyphen/>
              <w:t>Commonwealth contributions</w:t>
            </w:r>
          </w:p>
        </w:tc>
        <w:tc>
          <w:tcPr>
            <w:tcW w:w="1178" w:type="dxa"/>
            <w:tcBorders>
              <w:top w:val="single" w:sz="4" w:space="0" w:color="000080"/>
              <w:bottom w:val="single" w:sz="4" w:space="0" w:color="000080"/>
            </w:tcBorders>
          </w:tcPr>
          <w:p w14:paraId="263EA13B" w14:textId="77777777" w:rsidR="00B52FD8" w:rsidRPr="001E7293" w:rsidRDefault="00B52FD8" w:rsidP="00F73A50">
            <w:pPr>
              <w:jc w:val="right"/>
            </w:pPr>
            <w:r>
              <w:t>*</w:t>
            </w:r>
          </w:p>
        </w:tc>
        <w:tc>
          <w:tcPr>
            <w:tcW w:w="1188" w:type="dxa"/>
            <w:tcBorders>
              <w:top w:val="single" w:sz="4" w:space="0" w:color="000080"/>
              <w:bottom w:val="single" w:sz="4" w:space="0" w:color="000080"/>
            </w:tcBorders>
          </w:tcPr>
          <w:p w14:paraId="4BBC1F83" w14:textId="77777777" w:rsidR="00B52FD8" w:rsidRPr="00C40DBF" w:rsidRDefault="00B52FD8" w:rsidP="00F73A50">
            <w:pPr>
              <w:jc w:val="right"/>
            </w:pPr>
            <w:r w:rsidRPr="00C40DBF">
              <w:t>*</w:t>
            </w:r>
          </w:p>
        </w:tc>
        <w:tc>
          <w:tcPr>
            <w:tcW w:w="1127" w:type="dxa"/>
            <w:tcBorders>
              <w:top w:val="single" w:sz="4" w:space="0" w:color="000080"/>
              <w:bottom w:val="single" w:sz="4" w:space="0" w:color="000080"/>
            </w:tcBorders>
          </w:tcPr>
          <w:p w14:paraId="0B11BE95" w14:textId="77777777" w:rsidR="00B52FD8" w:rsidRPr="00C40DBF" w:rsidRDefault="00B52FD8" w:rsidP="00F73A50">
            <w:pPr>
              <w:jc w:val="right"/>
            </w:pPr>
          </w:p>
        </w:tc>
        <w:tc>
          <w:tcPr>
            <w:tcW w:w="1127" w:type="dxa"/>
            <w:tcBorders>
              <w:top w:val="single" w:sz="4" w:space="0" w:color="000080"/>
              <w:bottom w:val="single" w:sz="4" w:space="0" w:color="000080"/>
            </w:tcBorders>
          </w:tcPr>
          <w:p w14:paraId="42C91360" w14:textId="77777777" w:rsidR="00B52FD8" w:rsidRPr="001E7293" w:rsidRDefault="00B52FD8" w:rsidP="00F73A50">
            <w:pPr>
              <w:jc w:val="right"/>
            </w:pPr>
            <w:r>
              <w:t>*</w:t>
            </w:r>
          </w:p>
        </w:tc>
      </w:tr>
      <w:tr w:rsidR="00B52FD8" w:rsidRPr="001E7293" w14:paraId="13D82334" w14:textId="77777777" w:rsidTr="00F73A50">
        <w:trPr>
          <w:cantSplit/>
        </w:trPr>
        <w:tc>
          <w:tcPr>
            <w:tcW w:w="4388" w:type="dxa"/>
            <w:tcBorders>
              <w:bottom w:val="single" w:sz="4" w:space="0" w:color="000080"/>
            </w:tcBorders>
          </w:tcPr>
          <w:p w14:paraId="0D8E8428" w14:textId="77777777" w:rsidR="00B52FD8" w:rsidRPr="001E7293" w:rsidRDefault="00B52FD8" w:rsidP="00F73A50">
            <w:r w:rsidRPr="00F37031">
              <w:rPr>
                <w:b/>
              </w:rPr>
              <w:t xml:space="preserve">Total </w:t>
            </w:r>
            <w:r w:rsidRPr="001E7293">
              <w:rPr>
                <w:b/>
              </w:rPr>
              <w:t>Commonwealth contribution</w:t>
            </w:r>
          </w:p>
        </w:tc>
        <w:tc>
          <w:tcPr>
            <w:tcW w:w="1178" w:type="dxa"/>
            <w:tcBorders>
              <w:top w:val="single" w:sz="4" w:space="0" w:color="000080"/>
              <w:bottom w:val="single" w:sz="4" w:space="0" w:color="000080"/>
            </w:tcBorders>
          </w:tcPr>
          <w:p w14:paraId="2F70B73E" w14:textId="77777777" w:rsidR="00B52FD8" w:rsidRPr="00C40DBF" w:rsidRDefault="00B52FD8" w:rsidP="00F73A50">
            <w:pPr>
              <w:jc w:val="right"/>
              <w:rPr>
                <w:b/>
              </w:rPr>
            </w:pPr>
            <w:r w:rsidRPr="00C40DBF">
              <w:rPr>
                <w:b/>
              </w:rPr>
              <w:t>37.0</w:t>
            </w:r>
          </w:p>
        </w:tc>
        <w:tc>
          <w:tcPr>
            <w:tcW w:w="1188" w:type="dxa"/>
            <w:tcBorders>
              <w:top w:val="single" w:sz="4" w:space="0" w:color="000080"/>
              <w:bottom w:val="single" w:sz="4" w:space="0" w:color="000080"/>
            </w:tcBorders>
          </w:tcPr>
          <w:p w14:paraId="12328EA8" w14:textId="77777777" w:rsidR="00B52FD8" w:rsidRPr="00C40DBF" w:rsidRDefault="00B52FD8" w:rsidP="00F73A50">
            <w:pPr>
              <w:jc w:val="right"/>
              <w:rPr>
                <w:b/>
              </w:rPr>
            </w:pPr>
            <w:r w:rsidRPr="00C40DBF">
              <w:rPr>
                <w:rFonts w:cs="Calibri"/>
                <w:b/>
                <w:szCs w:val="23"/>
              </w:rPr>
              <w:t>124.9</w:t>
            </w:r>
          </w:p>
        </w:tc>
        <w:tc>
          <w:tcPr>
            <w:tcW w:w="1127" w:type="dxa"/>
            <w:tcBorders>
              <w:top w:val="single" w:sz="4" w:space="0" w:color="000080"/>
              <w:bottom w:val="single" w:sz="4" w:space="0" w:color="000080"/>
            </w:tcBorders>
          </w:tcPr>
          <w:p w14:paraId="3897814C" w14:textId="77777777" w:rsidR="00B52FD8" w:rsidRPr="00C40DBF" w:rsidRDefault="00B52FD8" w:rsidP="00F73A50">
            <w:pPr>
              <w:jc w:val="right"/>
              <w:rPr>
                <w:b/>
              </w:rPr>
            </w:pPr>
            <w:r w:rsidRPr="00C40DBF">
              <w:rPr>
                <w:rFonts w:cs="Calibri"/>
                <w:b/>
                <w:szCs w:val="23"/>
              </w:rPr>
              <w:t>90.2</w:t>
            </w:r>
          </w:p>
        </w:tc>
        <w:tc>
          <w:tcPr>
            <w:tcW w:w="1127" w:type="dxa"/>
            <w:tcBorders>
              <w:top w:val="single" w:sz="4" w:space="0" w:color="000080"/>
              <w:bottom w:val="single" w:sz="4" w:space="0" w:color="000080"/>
            </w:tcBorders>
          </w:tcPr>
          <w:p w14:paraId="27481847" w14:textId="77777777" w:rsidR="00B52FD8" w:rsidRPr="00C40DBF" w:rsidRDefault="00B52FD8" w:rsidP="00F73A50">
            <w:pPr>
              <w:jc w:val="right"/>
              <w:rPr>
                <w:b/>
              </w:rPr>
            </w:pPr>
            <w:r w:rsidRPr="00C40DBF">
              <w:rPr>
                <w:rFonts w:cs="Calibri"/>
                <w:b/>
                <w:szCs w:val="23"/>
              </w:rPr>
              <w:t>252.1</w:t>
            </w:r>
          </w:p>
        </w:tc>
      </w:tr>
    </w:tbl>
    <w:p w14:paraId="65CB3956" w14:textId="78E04DFD" w:rsidR="00B52FD8" w:rsidRDefault="00B52FD8" w:rsidP="00B52FD8">
      <w:pPr>
        <w:pStyle w:val="Normalnumbered"/>
        <w:numPr>
          <w:ilvl w:val="0"/>
          <w:numId w:val="0"/>
        </w:numPr>
        <w:rPr>
          <w:sz w:val="18"/>
          <w:szCs w:val="18"/>
          <w:lang w:val="en-GB"/>
        </w:rPr>
      </w:pPr>
      <w:r w:rsidRPr="00DE21FE">
        <w:rPr>
          <w:sz w:val="18"/>
          <w:szCs w:val="18"/>
          <w:lang w:val="en-GB"/>
        </w:rPr>
        <w:t xml:space="preserve">* States and </w:t>
      </w:r>
      <w:r>
        <w:rPr>
          <w:sz w:val="18"/>
          <w:szCs w:val="18"/>
          <w:lang w:val="en-GB"/>
        </w:rPr>
        <w:t>t</w:t>
      </w:r>
      <w:r w:rsidRPr="00DE21FE">
        <w:rPr>
          <w:sz w:val="18"/>
          <w:szCs w:val="18"/>
          <w:lang w:val="en-GB"/>
        </w:rPr>
        <w:t xml:space="preserve">erritories are responsible for the provision of early childhood education and </w:t>
      </w:r>
      <w:r>
        <w:rPr>
          <w:sz w:val="18"/>
          <w:szCs w:val="18"/>
          <w:lang w:val="en-GB"/>
        </w:rPr>
        <w:t>NSW</w:t>
      </w:r>
      <w:r w:rsidRPr="00DE21FE">
        <w:rPr>
          <w:sz w:val="18"/>
          <w:szCs w:val="18"/>
          <w:lang w:val="en-GB"/>
        </w:rPr>
        <w:t xml:space="preserve"> allocates its own source funding accordingly.</w:t>
      </w:r>
      <w:r w:rsidRPr="00561BF5">
        <w:rPr>
          <w:sz w:val="16"/>
          <w:szCs w:val="16"/>
        </w:rPr>
        <w:t xml:space="preserve"> </w:t>
      </w:r>
      <w:r>
        <w:rPr>
          <w:sz w:val="18"/>
          <w:szCs w:val="18"/>
          <w:lang w:val="en-GB"/>
        </w:rPr>
        <w:t>Table 2</w:t>
      </w:r>
      <w:r w:rsidRPr="004C17E9">
        <w:rPr>
          <w:sz w:val="18"/>
          <w:szCs w:val="18"/>
          <w:lang w:val="en-GB"/>
        </w:rPr>
        <w:t xml:space="preserve"> only includes funding under the National Partnership</w:t>
      </w:r>
      <w:r>
        <w:rPr>
          <w:sz w:val="18"/>
          <w:szCs w:val="18"/>
          <w:lang w:val="en-GB"/>
        </w:rPr>
        <w:t>. Funding is based on enrolment growth projected for 2018</w:t>
      </w:r>
      <w:r w:rsidR="005D4D0F">
        <w:rPr>
          <w:sz w:val="18"/>
          <w:szCs w:val="18"/>
          <w:lang w:val="en-GB"/>
        </w:rPr>
        <w:t xml:space="preserve"> and 2019</w:t>
      </w:r>
      <w:r>
        <w:rPr>
          <w:sz w:val="18"/>
          <w:szCs w:val="18"/>
          <w:lang w:val="en-GB"/>
        </w:rPr>
        <w:t xml:space="preserve">, based on enrolment data from the ABS’ </w:t>
      </w:r>
      <w:r>
        <w:rPr>
          <w:i/>
          <w:sz w:val="18"/>
          <w:szCs w:val="18"/>
          <w:lang w:val="en-GB"/>
        </w:rPr>
        <w:t xml:space="preserve">Preschool Education, Australia, </w:t>
      </w:r>
      <w:r w:rsidRPr="00822BCB">
        <w:rPr>
          <w:sz w:val="18"/>
          <w:szCs w:val="18"/>
          <w:lang w:val="en-GB"/>
        </w:rPr>
        <w:t>2016.</w:t>
      </w:r>
      <w:r>
        <w:rPr>
          <w:i/>
          <w:sz w:val="18"/>
          <w:szCs w:val="18"/>
          <w:lang w:val="en-GB"/>
        </w:rPr>
        <w:t xml:space="preserve"> </w:t>
      </w:r>
      <w:r>
        <w:rPr>
          <w:sz w:val="18"/>
          <w:szCs w:val="18"/>
          <w:lang w:val="en-GB"/>
        </w:rPr>
        <w:t>Amounts do not add up due to rounding.</w:t>
      </w:r>
    </w:p>
    <w:p w14:paraId="406381F7" w14:textId="77777777" w:rsidR="00B52FD8" w:rsidRPr="00822BCB" w:rsidRDefault="00B52FD8" w:rsidP="00B52FD8">
      <w:pPr>
        <w:pStyle w:val="Normalnumbered"/>
        <w:numPr>
          <w:ilvl w:val="0"/>
          <w:numId w:val="0"/>
        </w:numPr>
        <w:rPr>
          <w:sz w:val="18"/>
          <w:szCs w:val="18"/>
          <w:lang w:val="en-GB"/>
        </w:rPr>
      </w:pPr>
    </w:p>
    <w:p w14:paraId="447DC5E2" w14:textId="77777777" w:rsidR="00B52FD8" w:rsidRDefault="00B52FD8" w:rsidP="00B52FD8">
      <w:r w:rsidRPr="005D5922">
        <w:rPr>
          <w:sz w:val="18"/>
          <w:szCs w:val="18"/>
          <w:lang w:val="en-GB"/>
        </w:rPr>
        <w:t>#</w:t>
      </w:r>
      <w:r>
        <w:rPr>
          <w:sz w:val="18"/>
          <w:szCs w:val="18"/>
          <w:lang w:val="en-GB"/>
        </w:rPr>
        <w:t xml:space="preserve"> </w:t>
      </w:r>
      <w:r w:rsidRPr="005D5922">
        <w:rPr>
          <w:sz w:val="18"/>
          <w:szCs w:val="18"/>
          <w:lang w:val="en-GB"/>
        </w:rPr>
        <w:t>The maximum Commonwealth financial contributions have been allocated to each pro</w:t>
      </w:r>
      <w:r>
        <w:rPr>
          <w:sz w:val="18"/>
          <w:szCs w:val="18"/>
          <w:lang w:val="en-GB"/>
        </w:rPr>
        <w:t>ject</w:t>
      </w:r>
      <w:r w:rsidRPr="005D5922">
        <w:rPr>
          <w:sz w:val="18"/>
          <w:szCs w:val="18"/>
          <w:lang w:val="en-GB"/>
        </w:rPr>
        <w:t xml:space="preserve"> element on a pro-rata basis and are indicative only</w:t>
      </w:r>
    </w:p>
    <w:p w14:paraId="232EE624" w14:textId="77777777" w:rsidR="00DD1CE5" w:rsidRDefault="00DD1CE5" w:rsidP="00DD1CE5"/>
    <w:p w14:paraId="46F3BE6C" w14:textId="77777777" w:rsidR="0036688B" w:rsidRPr="001E7293" w:rsidRDefault="007B4BA6" w:rsidP="002D5120">
      <w:pPr>
        <w:pStyle w:val="Heading2"/>
        <w:spacing w:after="120"/>
      </w:pPr>
      <w:r w:rsidRPr="001E7293">
        <w:t>Program</w:t>
      </w:r>
      <w:r w:rsidR="0036688B" w:rsidRPr="001E7293">
        <w:t xml:space="preserve"> logic</w:t>
      </w:r>
    </w:p>
    <w:p w14:paraId="6D98AAF9" w14:textId="77777777" w:rsidR="0036688B" w:rsidRPr="001E7293" w:rsidRDefault="0036688B" w:rsidP="0036688B">
      <w:pPr>
        <w:pStyle w:val="Normalnumbered"/>
        <w:spacing w:after="240" w:line="260" w:lineRule="exact"/>
        <w:jc w:val="both"/>
      </w:pPr>
      <w:r w:rsidRPr="001E7293">
        <w:t xml:space="preserve">The </w:t>
      </w:r>
      <w:r w:rsidR="00334C02" w:rsidRPr="001E7293">
        <w:t>project</w:t>
      </w:r>
      <w:r w:rsidR="00432B5D" w:rsidRPr="001E7293">
        <w:t xml:space="preserve"> element</w:t>
      </w:r>
      <w:r w:rsidR="00334C02" w:rsidRPr="001E7293">
        <w:t xml:space="preserve">s </w:t>
      </w:r>
      <w:r w:rsidRPr="001E7293">
        <w:t xml:space="preserve">detailed in this Implementation Plan will achieve the outcomes and objectives stated in the </w:t>
      </w:r>
      <w:r w:rsidR="002E328E" w:rsidRPr="001E7293">
        <w:t>National Partnership</w:t>
      </w:r>
      <w:r w:rsidR="005C7691" w:rsidRPr="001E7293">
        <w:t>,</w:t>
      </w:r>
      <w:r w:rsidRPr="001E7293">
        <w:t xml:space="preserve"> </w:t>
      </w:r>
      <w:r w:rsidR="005C7691" w:rsidRPr="001E7293">
        <w:t>including for vulnerable and disadvantaged children and Indigenous children</w:t>
      </w:r>
      <w:r w:rsidRPr="001E7293">
        <w:t>.</w:t>
      </w:r>
    </w:p>
    <w:p w14:paraId="14E40DF1" w14:textId="0971EFA5" w:rsidR="0036688B" w:rsidRDefault="0036688B" w:rsidP="00E96DA4">
      <w:pPr>
        <w:pStyle w:val="Normalnumbered"/>
        <w:spacing w:after="240" w:line="260" w:lineRule="exact"/>
        <w:jc w:val="both"/>
      </w:pPr>
      <w:r w:rsidRPr="001E7293">
        <w:t xml:space="preserve">The </w:t>
      </w:r>
      <w:r w:rsidR="00815479">
        <w:t>manner</w:t>
      </w:r>
      <w:r w:rsidR="008A1046">
        <w:t xml:space="preserve"> </w:t>
      </w:r>
      <w:r w:rsidRPr="001E7293">
        <w:t xml:space="preserve">in which these </w:t>
      </w:r>
      <w:r w:rsidR="00334C02" w:rsidRPr="001E7293">
        <w:t>project</w:t>
      </w:r>
      <w:r w:rsidR="00432B5D" w:rsidRPr="001E7293">
        <w:t xml:space="preserve"> element</w:t>
      </w:r>
      <w:r w:rsidR="00334C02" w:rsidRPr="001E7293">
        <w:t xml:space="preserve">s </w:t>
      </w:r>
      <w:r w:rsidRPr="001E7293">
        <w:t xml:space="preserve">will achieve the outcomes and objectives set out in the </w:t>
      </w:r>
      <w:r w:rsidR="002E328E" w:rsidRPr="001E7293">
        <w:t>National Partnership</w:t>
      </w:r>
      <w:r w:rsidRPr="001E7293">
        <w:t xml:space="preserve"> is detailed in</w:t>
      </w:r>
      <w:r w:rsidR="00141ACB" w:rsidRPr="001E7293">
        <w:t xml:space="preserve"> Table 3 below.</w:t>
      </w:r>
      <w:r w:rsidRPr="001E7293">
        <w:t xml:space="preserve"> </w:t>
      </w:r>
    </w:p>
    <w:p w14:paraId="0BF79738" w14:textId="1CEEA91E" w:rsidR="003E230C" w:rsidRPr="001E7293" w:rsidRDefault="0036688B" w:rsidP="00612BDE">
      <w:pPr>
        <w:keepNext/>
        <w:spacing w:after="120"/>
        <w:outlineLvl w:val="2"/>
        <w:rPr>
          <w:color w:val="3D4B67"/>
          <w:szCs w:val="23"/>
        </w:rPr>
      </w:pPr>
      <w:r w:rsidRPr="001E7293">
        <w:rPr>
          <w:rFonts w:ascii="Consolas" w:hAnsi="Consolas"/>
          <w:b/>
          <w:color w:val="3D4B67"/>
          <w:szCs w:val="20"/>
        </w:rPr>
        <w:t xml:space="preserve">Table </w:t>
      </w:r>
      <w:r w:rsidR="008A1747" w:rsidRPr="001E7293">
        <w:rPr>
          <w:rFonts w:ascii="Consolas" w:hAnsi="Consolas"/>
          <w:b/>
          <w:color w:val="3D4B67"/>
          <w:szCs w:val="20"/>
        </w:rPr>
        <w:t>3</w:t>
      </w:r>
      <w:r w:rsidRPr="001E7293">
        <w:rPr>
          <w:rFonts w:ascii="Consolas" w:hAnsi="Consolas"/>
          <w:b/>
          <w:color w:val="3D4B67"/>
          <w:szCs w:val="20"/>
        </w:rPr>
        <w:t xml:space="preserve">: </w:t>
      </w:r>
      <w:r w:rsidR="007B4BA6" w:rsidRPr="001E7293">
        <w:rPr>
          <w:rFonts w:ascii="Consolas" w:hAnsi="Consolas"/>
          <w:b/>
          <w:color w:val="3D4B67"/>
          <w:szCs w:val="20"/>
        </w:rPr>
        <w:t>Program</w:t>
      </w:r>
      <w:r w:rsidRPr="001E7293">
        <w:rPr>
          <w:rFonts w:ascii="Consolas" w:hAnsi="Consolas"/>
          <w:b/>
          <w:color w:val="3D4B67"/>
          <w:szCs w:val="20"/>
        </w:rPr>
        <w:t xml:space="preserve"> logic</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13"/>
        <w:gridCol w:w="2551"/>
        <w:gridCol w:w="1560"/>
        <w:gridCol w:w="1842"/>
        <w:gridCol w:w="1692"/>
      </w:tblGrid>
      <w:tr w:rsidR="00F2493A" w:rsidRPr="001E7293" w14:paraId="76234B2F" w14:textId="77777777" w:rsidTr="00E4683D">
        <w:trPr>
          <w:tblHeader/>
        </w:trPr>
        <w:tc>
          <w:tcPr>
            <w:tcW w:w="780" w:type="pct"/>
            <w:shd w:val="clear" w:color="auto" w:fill="E6E6E6"/>
          </w:tcPr>
          <w:p w14:paraId="3470E974" w14:textId="77777777" w:rsidR="00F2493A" w:rsidRPr="001E7293" w:rsidRDefault="00737A4C" w:rsidP="004C6F59">
            <w:pPr>
              <w:jc w:val="center"/>
              <w:rPr>
                <w:rFonts w:ascii="Times New Roman" w:hAnsi="Times New Roman"/>
                <w:b/>
              </w:rPr>
            </w:pPr>
            <w:r w:rsidRPr="001E7293">
              <w:rPr>
                <w:b/>
                <w:lang w:eastAsia="en-US"/>
              </w:rPr>
              <w:t>Project</w:t>
            </w:r>
            <w:r w:rsidR="00432B5D" w:rsidRPr="001E7293">
              <w:rPr>
                <w:b/>
                <w:lang w:eastAsia="en-US"/>
              </w:rPr>
              <w:t xml:space="preserve"> element</w:t>
            </w:r>
            <w:r w:rsidR="00F2493A" w:rsidRPr="001E7293">
              <w:rPr>
                <w:b/>
                <w:lang w:eastAsia="en-US"/>
              </w:rPr>
              <w:t>s</w:t>
            </w:r>
          </w:p>
        </w:tc>
        <w:tc>
          <w:tcPr>
            <w:tcW w:w="1408" w:type="pct"/>
            <w:shd w:val="clear" w:color="auto" w:fill="E6E6E6"/>
          </w:tcPr>
          <w:p w14:paraId="6AB8E420" w14:textId="77777777" w:rsidR="00F2493A" w:rsidRPr="001E7293" w:rsidRDefault="00F2493A" w:rsidP="004C6F59">
            <w:pPr>
              <w:jc w:val="center"/>
              <w:rPr>
                <w:b/>
              </w:rPr>
            </w:pPr>
            <w:r w:rsidRPr="001E7293">
              <w:rPr>
                <w:b/>
              </w:rPr>
              <w:t>Outputs</w:t>
            </w:r>
          </w:p>
          <w:p w14:paraId="5214896C" w14:textId="77777777" w:rsidR="00F2493A" w:rsidRPr="001E7293" w:rsidRDefault="00F2493A" w:rsidP="00FB6032">
            <w:pPr>
              <w:jc w:val="center"/>
              <w:rPr>
                <w:b/>
              </w:rPr>
            </w:pPr>
          </w:p>
        </w:tc>
        <w:tc>
          <w:tcPr>
            <w:tcW w:w="861" w:type="pct"/>
            <w:shd w:val="clear" w:color="auto" w:fill="E6E6E6"/>
          </w:tcPr>
          <w:p w14:paraId="78E8E05A" w14:textId="77777777" w:rsidR="00F2493A" w:rsidRPr="001E7293" w:rsidRDefault="00F2493A" w:rsidP="004C6F59">
            <w:pPr>
              <w:jc w:val="center"/>
              <w:rPr>
                <w:b/>
              </w:rPr>
            </w:pPr>
            <w:r w:rsidRPr="001E7293">
              <w:rPr>
                <w:b/>
              </w:rPr>
              <w:t>Outcomes</w:t>
            </w:r>
          </w:p>
        </w:tc>
        <w:tc>
          <w:tcPr>
            <w:tcW w:w="1017" w:type="pct"/>
            <w:shd w:val="clear" w:color="auto" w:fill="E6E6E6"/>
          </w:tcPr>
          <w:p w14:paraId="18F3E105" w14:textId="77777777" w:rsidR="00F2493A" w:rsidRPr="001E7293" w:rsidRDefault="00F2493A" w:rsidP="004C6F59">
            <w:pPr>
              <w:jc w:val="center"/>
              <w:rPr>
                <w:b/>
              </w:rPr>
            </w:pPr>
            <w:r w:rsidRPr="001E7293">
              <w:rPr>
                <w:b/>
              </w:rPr>
              <w:t>Reform</w:t>
            </w:r>
            <w:r w:rsidR="004C6F59" w:rsidRPr="001E7293">
              <w:rPr>
                <w:b/>
              </w:rPr>
              <w:t xml:space="preserve"> </w:t>
            </w:r>
            <w:r w:rsidRPr="001E7293">
              <w:rPr>
                <w:b/>
              </w:rPr>
              <w:t>/ Project Objectives</w:t>
            </w:r>
          </w:p>
        </w:tc>
        <w:tc>
          <w:tcPr>
            <w:tcW w:w="934" w:type="pct"/>
            <w:shd w:val="clear" w:color="auto" w:fill="E6E6E6"/>
          </w:tcPr>
          <w:p w14:paraId="5F0C4E43" w14:textId="77777777" w:rsidR="00F2493A" w:rsidRPr="001E7293" w:rsidRDefault="00F2493A" w:rsidP="004C6F59">
            <w:pPr>
              <w:jc w:val="center"/>
              <w:rPr>
                <w:b/>
              </w:rPr>
            </w:pPr>
            <w:r w:rsidRPr="001E7293">
              <w:rPr>
                <w:b/>
              </w:rPr>
              <w:t>Responsibilities</w:t>
            </w:r>
          </w:p>
        </w:tc>
      </w:tr>
      <w:tr w:rsidR="00F2493A" w:rsidRPr="001E7293" w14:paraId="539EB66D" w14:textId="77777777" w:rsidTr="007461C9">
        <w:tc>
          <w:tcPr>
            <w:tcW w:w="780" w:type="pct"/>
          </w:tcPr>
          <w:p w14:paraId="43084B07" w14:textId="77777777" w:rsidR="005F4754" w:rsidRPr="00E84848" w:rsidRDefault="005F4754" w:rsidP="007461C9">
            <w:pPr>
              <w:keepLines/>
              <w:rPr>
                <w:szCs w:val="23"/>
              </w:rPr>
            </w:pPr>
            <w:r w:rsidRPr="00E84848">
              <w:rPr>
                <w:szCs w:val="23"/>
              </w:rPr>
              <w:t xml:space="preserve">Elements 1 &amp; 2 – Start Strong Model and Targeted Initiatives </w:t>
            </w:r>
          </w:p>
          <w:p w14:paraId="3033163F" w14:textId="77777777" w:rsidR="00F2493A" w:rsidRPr="001E7293" w:rsidRDefault="00F2493A" w:rsidP="007461C9"/>
        </w:tc>
        <w:tc>
          <w:tcPr>
            <w:tcW w:w="1408" w:type="pct"/>
          </w:tcPr>
          <w:p w14:paraId="32E94C66" w14:textId="77777777" w:rsidR="005F4754" w:rsidRPr="00B635FD" w:rsidRDefault="005F4754" w:rsidP="007461C9">
            <w:pPr>
              <w:spacing w:after="240" w:line="260" w:lineRule="exact"/>
              <w:rPr>
                <w:color w:val="000000"/>
                <w:szCs w:val="23"/>
              </w:rPr>
            </w:pPr>
            <w:r>
              <w:rPr>
                <w:color w:val="000000"/>
                <w:szCs w:val="23"/>
              </w:rPr>
              <w:t>I</w:t>
            </w:r>
            <w:r w:rsidRPr="00B635FD">
              <w:rPr>
                <w:color w:val="000000"/>
                <w:szCs w:val="23"/>
              </w:rPr>
              <w:t xml:space="preserve">mplementing accessible quality early childhood education programs </w:t>
            </w:r>
            <w:r>
              <w:rPr>
                <w:color w:val="000000"/>
                <w:szCs w:val="23"/>
              </w:rPr>
              <w:t>that</w:t>
            </w:r>
            <w:r w:rsidRPr="00B635FD">
              <w:rPr>
                <w:color w:val="000000"/>
                <w:szCs w:val="23"/>
              </w:rPr>
              <w:t xml:space="preserve"> meet the needs of parents and communities at a cost which does not present a barrier to participation, particularly for vulner</w:t>
            </w:r>
            <w:r>
              <w:rPr>
                <w:color w:val="000000"/>
                <w:szCs w:val="23"/>
              </w:rPr>
              <w:t>able and disadvantaged children.</w:t>
            </w:r>
          </w:p>
          <w:p w14:paraId="01EFF38C" w14:textId="77777777" w:rsidR="008953B3" w:rsidRDefault="008953B3" w:rsidP="007461C9">
            <w:pPr>
              <w:spacing w:after="240" w:line="260" w:lineRule="exact"/>
              <w:rPr>
                <w:color w:val="000000"/>
                <w:szCs w:val="23"/>
              </w:rPr>
            </w:pPr>
          </w:p>
          <w:p w14:paraId="3B24B2E8" w14:textId="58A30B28" w:rsidR="005F4754" w:rsidRPr="00B635FD" w:rsidRDefault="005F4754" w:rsidP="007461C9">
            <w:pPr>
              <w:spacing w:after="240" w:line="260" w:lineRule="exact"/>
              <w:rPr>
                <w:color w:val="000000"/>
                <w:szCs w:val="23"/>
              </w:rPr>
            </w:pPr>
            <w:r>
              <w:rPr>
                <w:color w:val="000000"/>
                <w:szCs w:val="23"/>
              </w:rPr>
              <w:t>D</w:t>
            </w:r>
            <w:r w:rsidRPr="00B635FD">
              <w:rPr>
                <w:color w:val="000000"/>
                <w:szCs w:val="23"/>
              </w:rPr>
              <w:t>elivering strategies and actions targeting the participation of Indigenous children, including in remote areas</w:t>
            </w:r>
            <w:r>
              <w:rPr>
                <w:color w:val="000000"/>
                <w:szCs w:val="23"/>
              </w:rPr>
              <w:t>.</w:t>
            </w:r>
          </w:p>
          <w:p w14:paraId="09F03D8F" w14:textId="77777777" w:rsidR="005F4754" w:rsidRPr="00B635FD" w:rsidRDefault="005F4754" w:rsidP="007461C9">
            <w:pPr>
              <w:spacing w:after="240" w:line="260" w:lineRule="exact"/>
              <w:rPr>
                <w:color w:val="000000"/>
                <w:szCs w:val="23"/>
              </w:rPr>
            </w:pPr>
            <w:r>
              <w:rPr>
                <w:color w:val="000000"/>
                <w:szCs w:val="23"/>
              </w:rPr>
              <w:t>D</w:t>
            </w:r>
            <w:r w:rsidRPr="00B635FD">
              <w:rPr>
                <w:color w:val="000000"/>
                <w:szCs w:val="23"/>
              </w:rPr>
              <w:t>elivering strategies and actions targeting the participation of vulnera</w:t>
            </w:r>
            <w:r>
              <w:rPr>
                <w:color w:val="000000"/>
                <w:szCs w:val="23"/>
              </w:rPr>
              <w:t>ble and disadvantaged children.</w:t>
            </w:r>
          </w:p>
          <w:p w14:paraId="6076512B" w14:textId="77777777" w:rsidR="00F2493A" w:rsidRPr="001E7293" w:rsidRDefault="005F4754" w:rsidP="007461C9">
            <w:r>
              <w:rPr>
                <w:color w:val="000000"/>
                <w:szCs w:val="23"/>
              </w:rPr>
              <w:t>S</w:t>
            </w:r>
            <w:r w:rsidRPr="00DE6495">
              <w:rPr>
                <w:color w:val="000000"/>
                <w:szCs w:val="23"/>
              </w:rPr>
              <w:t xml:space="preserve">upporting all </w:t>
            </w:r>
            <w:r>
              <w:rPr>
                <w:color w:val="000000"/>
                <w:szCs w:val="23"/>
              </w:rPr>
              <w:t>children’s quality early childhood education participation</w:t>
            </w:r>
            <w:r w:rsidRPr="00DE6495">
              <w:rPr>
                <w:color w:val="000000"/>
                <w:szCs w:val="23"/>
              </w:rPr>
              <w:t xml:space="preserve">, regardless of whether </w:t>
            </w:r>
            <w:r>
              <w:rPr>
                <w:color w:val="000000"/>
                <w:szCs w:val="23"/>
              </w:rPr>
              <w:t>quality early childhood education programs</w:t>
            </w:r>
            <w:r w:rsidRPr="00DE6495">
              <w:rPr>
                <w:color w:val="000000"/>
                <w:szCs w:val="23"/>
              </w:rPr>
              <w:t xml:space="preserve"> are delivered through schools </w:t>
            </w:r>
            <w:r>
              <w:rPr>
                <w:color w:val="000000"/>
                <w:szCs w:val="23"/>
              </w:rPr>
              <w:br/>
            </w:r>
            <w:r w:rsidRPr="00DE6495">
              <w:rPr>
                <w:color w:val="000000"/>
                <w:szCs w:val="23"/>
              </w:rPr>
              <w:t>(non-government and government), standalone preschools</w:t>
            </w:r>
            <w:r>
              <w:rPr>
                <w:color w:val="000000"/>
                <w:szCs w:val="23"/>
              </w:rPr>
              <w:t>,</w:t>
            </w:r>
            <w:r w:rsidRPr="00DE6495">
              <w:rPr>
                <w:color w:val="000000"/>
                <w:szCs w:val="23"/>
              </w:rPr>
              <w:t xml:space="preserve"> or </w:t>
            </w:r>
            <w:r>
              <w:rPr>
                <w:color w:val="000000"/>
                <w:szCs w:val="23"/>
              </w:rPr>
              <w:t>l</w:t>
            </w:r>
            <w:r w:rsidRPr="00DE6495">
              <w:rPr>
                <w:color w:val="000000"/>
                <w:szCs w:val="23"/>
              </w:rPr>
              <w:t xml:space="preserve">ong </w:t>
            </w:r>
            <w:r>
              <w:rPr>
                <w:color w:val="000000"/>
                <w:szCs w:val="23"/>
              </w:rPr>
              <w:t>d</w:t>
            </w:r>
            <w:r w:rsidRPr="00DE6495">
              <w:rPr>
                <w:color w:val="000000"/>
                <w:szCs w:val="23"/>
              </w:rPr>
              <w:t xml:space="preserve">ay </w:t>
            </w:r>
            <w:r>
              <w:rPr>
                <w:color w:val="000000"/>
                <w:szCs w:val="23"/>
              </w:rPr>
              <w:t>c</w:t>
            </w:r>
            <w:r w:rsidRPr="00DE6495">
              <w:rPr>
                <w:color w:val="000000"/>
                <w:szCs w:val="23"/>
              </w:rPr>
              <w:t>are centres</w:t>
            </w:r>
            <w:r>
              <w:rPr>
                <w:color w:val="000000"/>
                <w:szCs w:val="23"/>
              </w:rPr>
              <w:t>.</w:t>
            </w:r>
          </w:p>
        </w:tc>
        <w:tc>
          <w:tcPr>
            <w:tcW w:w="861" w:type="pct"/>
          </w:tcPr>
          <w:p w14:paraId="3614BDA2" w14:textId="77777777" w:rsidR="005F4754" w:rsidRPr="00EF2458" w:rsidRDefault="005F4754" w:rsidP="007461C9">
            <w:pPr>
              <w:spacing w:after="240" w:line="260" w:lineRule="exact"/>
              <w:rPr>
                <w:color w:val="000000"/>
                <w:szCs w:val="23"/>
              </w:rPr>
            </w:pPr>
            <w:r>
              <w:rPr>
                <w:color w:val="000000"/>
                <w:szCs w:val="23"/>
              </w:rPr>
              <w:t xml:space="preserve">All children, including </w:t>
            </w:r>
            <w:r w:rsidRPr="00B635FD">
              <w:rPr>
                <w:color w:val="000000"/>
                <w:szCs w:val="23"/>
              </w:rPr>
              <w:t>vulnerable and disadvantaged children</w:t>
            </w:r>
            <w:r>
              <w:rPr>
                <w:color w:val="000000"/>
                <w:szCs w:val="23"/>
              </w:rPr>
              <w:t>,</w:t>
            </w:r>
            <w:r w:rsidRPr="00B635FD">
              <w:rPr>
                <w:color w:val="000000"/>
                <w:szCs w:val="23"/>
              </w:rPr>
              <w:t xml:space="preserve"> have access to</w:t>
            </w:r>
            <w:r>
              <w:rPr>
                <w:color w:val="000000"/>
                <w:szCs w:val="23"/>
              </w:rPr>
              <w:t>,</w:t>
            </w:r>
            <w:r w:rsidRPr="00B635FD">
              <w:rPr>
                <w:color w:val="000000"/>
                <w:szCs w:val="23"/>
              </w:rPr>
              <w:t xml:space="preserve"> and participate in</w:t>
            </w:r>
            <w:r>
              <w:rPr>
                <w:color w:val="000000"/>
                <w:szCs w:val="23"/>
              </w:rPr>
              <w:t>,</w:t>
            </w:r>
            <w:r w:rsidRPr="00B635FD">
              <w:rPr>
                <w:color w:val="000000"/>
                <w:szCs w:val="23"/>
              </w:rPr>
              <w:t xml:space="preserve"> an </w:t>
            </w:r>
            <w:r w:rsidRPr="00EF2458">
              <w:rPr>
                <w:color w:val="000000"/>
                <w:szCs w:val="23"/>
              </w:rPr>
              <w:t>affordable, quality earl</w:t>
            </w:r>
            <w:r>
              <w:rPr>
                <w:color w:val="000000"/>
                <w:szCs w:val="23"/>
              </w:rPr>
              <w:t>y childhood education program.</w:t>
            </w:r>
          </w:p>
          <w:p w14:paraId="54BBAF9D" w14:textId="77777777" w:rsidR="005F4754" w:rsidRDefault="005F4754" w:rsidP="007461C9">
            <w:pPr>
              <w:spacing w:after="240" w:line="260" w:lineRule="exact"/>
              <w:rPr>
                <w:color w:val="000000"/>
                <w:szCs w:val="23"/>
              </w:rPr>
            </w:pPr>
            <w:r>
              <w:rPr>
                <w:color w:val="000000"/>
                <w:szCs w:val="23"/>
              </w:rPr>
              <w:t>A</w:t>
            </w:r>
            <w:r w:rsidRPr="00EF2458">
              <w:rPr>
                <w:color w:val="000000"/>
                <w:szCs w:val="23"/>
              </w:rPr>
              <w:t>ll Indigenous children have access to, and participate in, an affordable, quality early childhood education</w:t>
            </w:r>
            <w:r>
              <w:rPr>
                <w:color w:val="000000"/>
                <w:szCs w:val="23"/>
              </w:rPr>
              <w:t xml:space="preserve"> program.</w:t>
            </w:r>
          </w:p>
          <w:p w14:paraId="3F4D09FA" w14:textId="4B33C91C" w:rsidR="00F2493A" w:rsidRPr="001E7293" w:rsidRDefault="00F2493A" w:rsidP="007461C9"/>
        </w:tc>
        <w:tc>
          <w:tcPr>
            <w:tcW w:w="1017" w:type="pct"/>
          </w:tcPr>
          <w:p w14:paraId="0984A3E6" w14:textId="77777777" w:rsidR="004C6F59" w:rsidRPr="001E7293" w:rsidRDefault="005F4754" w:rsidP="007461C9">
            <w:r>
              <w:rPr>
                <w:color w:val="000000"/>
                <w:szCs w:val="23"/>
              </w:rPr>
              <w:t>T</w:t>
            </w:r>
            <w:r w:rsidRPr="00B635FD">
              <w:rPr>
                <w:color w:val="000000"/>
                <w:szCs w:val="23"/>
              </w:rPr>
              <w:t>o facilitate children’s early learning and development and transition to school</w:t>
            </w:r>
            <w:r>
              <w:rPr>
                <w:color w:val="000000"/>
                <w:szCs w:val="23"/>
              </w:rPr>
              <w:t>,</w:t>
            </w:r>
            <w:r w:rsidRPr="00B635FD">
              <w:rPr>
                <w:color w:val="000000"/>
                <w:szCs w:val="23"/>
              </w:rPr>
              <w:t xml:space="preserve"> </w:t>
            </w:r>
            <w:r>
              <w:rPr>
                <w:color w:val="000000"/>
                <w:szCs w:val="23"/>
              </w:rPr>
              <w:t>by</w:t>
            </w:r>
            <w:r w:rsidRPr="00B635FD">
              <w:rPr>
                <w:color w:val="000000"/>
                <w:szCs w:val="23"/>
              </w:rPr>
              <w:t xml:space="preserve"> maintaining </w:t>
            </w:r>
            <w:r>
              <w:rPr>
                <w:color w:val="000000"/>
                <w:szCs w:val="23"/>
              </w:rPr>
              <w:t>u</w:t>
            </w:r>
            <w:r w:rsidRPr="00B635FD">
              <w:rPr>
                <w:color w:val="000000"/>
                <w:szCs w:val="23"/>
              </w:rPr>
              <w:t xml:space="preserve">niversal </w:t>
            </w:r>
            <w:r>
              <w:rPr>
                <w:color w:val="000000"/>
                <w:szCs w:val="23"/>
              </w:rPr>
              <w:t>a</w:t>
            </w:r>
            <w:r w:rsidRPr="00B635FD">
              <w:rPr>
                <w:color w:val="000000"/>
                <w:szCs w:val="23"/>
              </w:rPr>
              <w:t>ccess</w:t>
            </w:r>
            <w:r w:rsidRPr="00B635FD" w:rsidDel="00DC012C">
              <w:rPr>
                <w:color w:val="000000"/>
                <w:szCs w:val="23"/>
              </w:rPr>
              <w:t xml:space="preserve"> </w:t>
            </w:r>
            <w:r w:rsidRPr="00B635FD">
              <w:rPr>
                <w:color w:val="000000"/>
                <w:szCs w:val="23"/>
              </w:rPr>
              <w:t>to</w:t>
            </w:r>
            <w:r>
              <w:rPr>
                <w:color w:val="000000"/>
                <w:szCs w:val="23"/>
              </w:rPr>
              <w:t>,</w:t>
            </w:r>
            <w:r w:rsidRPr="00B635FD">
              <w:rPr>
                <w:color w:val="000000"/>
                <w:szCs w:val="23"/>
              </w:rPr>
              <w:t xml:space="preserve"> and improving participation in</w:t>
            </w:r>
            <w:r>
              <w:rPr>
                <w:color w:val="000000"/>
                <w:szCs w:val="23"/>
              </w:rPr>
              <w:t>,</w:t>
            </w:r>
            <w:r w:rsidRPr="00B635FD">
              <w:rPr>
                <w:color w:val="000000"/>
                <w:szCs w:val="23"/>
              </w:rPr>
              <w:t xml:space="preserve"> affordable, quality early childhood education programs</w:t>
            </w:r>
            <w:r>
              <w:rPr>
                <w:color w:val="000000"/>
                <w:szCs w:val="23"/>
              </w:rPr>
              <w:t xml:space="preserve"> </w:t>
            </w:r>
            <w:r w:rsidRPr="00C65C09">
              <w:rPr>
                <w:color w:val="000000"/>
                <w:szCs w:val="23"/>
              </w:rPr>
              <w:t>for all children</w:t>
            </w:r>
            <w:r>
              <w:rPr>
                <w:color w:val="000000"/>
                <w:szCs w:val="23"/>
              </w:rPr>
              <w:t>.</w:t>
            </w:r>
          </w:p>
        </w:tc>
        <w:tc>
          <w:tcPr>
            <w:tcW w:w="934" w:type="pct"/>
          </w:tcPr>
          <w:p w14:paraId="40906D7F" w14:textId="77777777" w:rsidR="005F4754" w:rsidRPr="0032305F" w:rsidRDefault="005F4754" w:rsidP="007461C9">
            <w:pPr>
              <w:rPr>
                <w:szCs w:val="23"/>
              </w:rPr>
            </w:pPr>
            <w:r w:rsidRPr="0032305F">
              <w:rPr>
                <w:szCs w:val="23"/>
              </w:rPr>
              <w:t>NSW</w:t>
            </w:r>
          </w:p>
          <w:p w14:paraId="7FC56ACA" w14:textId="77777777" w:rsidR="00F2493A" w:rsidRPr="001E7293" w:rsidRDefault="00F2493A" w:rsidP="007461C9"/>
        </w:tc>
      </w:tr>
    </w:tbl>
    <w:p w14:paraId="761F66E0" w14:textId="77777777" w:rsidR="0036688B" w:rsidRPr="001E7293" w:rsidRDefault="0036688B" w:rsidP="002D5120">
      <w:pPr>
        <w:pStyle w:val="Heading2"/>
        <w:spacing w:after="120"/>
      </w:pPr>
      <w:r w:rsidRPr="001E7293">
        <w:t>Risk management</w:t>
      </w:r>
    </w:p>
    <w:p w14:paraId="2DBA9311" w14:textId="77777777" w:rsidR="007374A0" w:rsidRPr="001E7293" w:rsidRDefault="00187966" w:rsidP="009E010D">
      <w:pPr>
        <w:pStyle w:val="Normalnumbered"/>
        <w:spacing w:after="240"/>
      </w:pPr>
      <w:r w:rsidRPr="001E7293">
        <w:t xml:space="preserve">The </w:t>
      </w:r>
      <w:r w:rsidR="005F4754">
        <w:t>NSW Department of Education</w:t>
      </w:r>
      <w:r w:rsidRPr="001E7293">
        <w:t xml:space="preserve"> has a</w:t>
      </w:r>
      <w:r w:rsidR="0047362F">
        <w:t xml:space="preserve"> risk management plan </w:t>
      </w:r>
      <w:r w:rsidR="007374A0" w:rsidRPr="001E7293">
        <w:t xml:space="preserve">in place.  Risks have been actively identified, entered into a risk log and categorised in terms of impact and </w:t>
      </w:r>
      <w:r w:rsidR="001C56EC" w:rsidRPr="001E7293">
        <w:t>likelihood</w:t>
      </w:r>
      <w:r w:rsidR="007374A0" w:rsidRPr="001E7293">
        <w:t>.</w:t>
      </w:r>
    </w:p>
    <w:p w14:paraId="69A8B808" w14:textId="77777777" w:rsidR="0036688B" w:rsidRPr="001E7293" w:rsidRDefault="003B7B15" w:rsidP="00A47B62">
      <w:pPr>
        <w:pStyle w:val="Heading2"/>
        <w:spacing w:after="120"/>
      </w:pPr>
      <w:r>
        <w:t>New South Wales</w:t>
      </w:r>
      <w:r w:rsidR="00347F6D" w:rsidRPr="001E7293">
        <w:t xml:space="preserve"> Context</w:t>
      </w:r>
    </w:p>
    <w:p w14:paraId="08A90857" w14:textId="77777777" w:rsidR="00314D9E" w:rsidRDefault="00314D9E" w:rsidP="00F95127">
      <w:pPr>
        <w:pStyle w:val="Normalnumbered"/>
        <w:spacing w:after="120"/>
      </w:pPr>
      <w:r w:rsidRPr="001E7293">
        <w:t xml:space="preserve">In developing this </w:t>
      </w:r>
      <w:r w:rsidR="00E47C62" w:rsidRPr="001E7293">
        <w:t>Implementation Plan</w:t>
      </w:r>
      <w:r w:rsidRPr="001E7293">
        <w:t xml:space="preserve"> consideration has been given to </w:t>
      </w:r>
      <w:r w:rsidR="00A47B62">
        <w:t>the NSW c</w:t>
      </w:r>
      <w:r w:rsidR="00347F6D" w:rsidRPr="001E7293">
        <w:t>ontext.  Key factors that have influenced the proposed direction are</w:t>
      </w:r>
      <w:r w:rsidRPr="001E7293">
        <w:t xml:space="preserve"> </w:t>
      </w:r>
      <w:r w:rsidR="00A47B62">
        <w:t>below:</w:t>
      </w:r>
    </w:p>
    <w:p w14:paraId="57B1A7A1" w14:textId="77777777" w:rsidR="00A47B62" w:rsidRPr="00017690" w:rsidRDefault="00A47B62" w:rsidP="009D76CD">
      <w:pPr>
        <w:pStyle w:val="AlphaParagraph"/>
        <w:numPr>
          <w:ilvl w:val="0"/>
          <w:numId w:val="18"/>
        </w:numPr>
        <w:tabs>
          <w:tab w:val="num" w:pos="1134"/>
        </w:tabs>
        <w:spacing w:after="120"/>
        <w:ind w:left="1134" w:hanging="567"/>
        <w:jc w:val="left"/>
      </w:pPr>
      <w:r>
        <w:t>C</w:t>
      </w:r>
      <w:r w:rsidRPr="00017690">
        <w:t>hanges to the funding system</w:t>
      </w:r>
      <w:r>
        <w:t xml:space="preserve"> and the resultant Start Strong funding model build on the achievements of the Preschool Funding Model (PFM). The PFM stemmed</w:t>
      </w:r>
      <w:r w:rsidRPr="00017690">
        <w:t xml:space="preserve"> from a review by Professor Deborah Brennan</w:t>
      </w:r>
      <w:r>
        <w:t>,</w:t>
      </w:r>
      <w:r w:rsidRPr="00017690">
        <w:t xml:space="preserve"> </w:t>
      </w:r>
      <w:r>
        <w:t>which made recommendations to ensure that funding for early childhood education was simpler, better targeted, and easier to understand to support preschool access, including for three-year-old children from disadvantaged backgrounds.</w:t>
      </w:r>
      <w:r w:rsidRPr="00017690">
        <w:t xml:space="preserve"> </w:t>
      </w:r>
      <w:r>
        <w:t xml:space="preserve"> </w:t>
      </w:r>
    </w:p>
    <w:p w14:paraId="5578A3E7" w14:textId="6BC07BC8" w:rsidR="00A47B62" w:rsidRDefault="00A47B62" w:rsidP="009D76CD">
      <w:pPr>
        <w:pStyle w:val="AlphaParagraph"/>
        <w:numPr>
          <w:ilvl w:val="0"/>
          <w:numId w:val="18"/>
        </w:numPr>
        <w:tabs>
          <w:tab w:val="num" w:pos="1134"/>
        </w:tabs>
        <w:spacing w:after="120"/>
        <w:ind w:left="1134" w:hanging="567"/>
        <w:jc w:val="left"/>
      </w:pPr>
      <w:r>
        <w:t>C</w:t>
      </w:r>
      <w:r w:rsidRPr="00017690">
        <w:t xml:space="preserve">ommunity preschools make up approximately </w:t>
      </w:r>
      <w:r>
        <w:t>20</w:t>
      </w:r>
      <w:r w:rsidRPr="00017690">
        <w:t xml:space="preserve"> per cent of preschool </w:t>
      </w:r>
      <w:r>
        <w:t>program</w:t>
      </w:r>
      <w:r w:rsidRPr="00017690">
        <w:t xml:space="preserve"> provision in</w:t>
      </w:r>
      <w:r>
        <w:t xml:space="preserve"> NSW</w:t>
      </w:r>
      <w:r w:rsidRPr="00017690">
        <w:t xml:space="preserve">, with a further </w:t>
      </w:r>
      <w:r>
        <w:t>3</w:t>
      </w:r>
      <w:r w:rsidRPr="00017690">
        <w:t xml:space="preserve"> per cent located in schools, and the remaining </w:t>
      </w:r>
      <w:r w:rsidR="005147E0">
        <w:br/>
      </w:r>
      <w:r>
        <w:t>78</w:t>
      </w:r>
      <w:r w:rsidRPr="00017690">
        <w:t xml:space="preserve"> per cent in</w:t>
      </w:r>
      <w:r>
        <w:t xml:space="preserve"> long day care.</w:t>
      </w:r>
      <w:r>
        <w:rPr>
          <w:rStyle w:val="FootnoteReference"/>
        </w:rPr>
        <w:footnoteReference w:id="1"/>
      </w:r>
      <w:r w:rsidRPr="00017690">
        <w:t xml:space="preserve"> This is in contrast to other jurisdictions with smaller </w:t>
      </w:r>
      <w:r>
        <w:t xml:space="preserve">long day care </w:t>
      </w:r>
      <w:r w:rsidRPr="00017690">
        <w:t xml:space="preserve">sectors. </w:t>
      </w:r>
      <w:r>
        <w:t xml:space="preserve"> </w:t>
      </w:r>
    </w:p>
    <w:p w14:paraId="1034BBA6" w14:textId="52CD898F" w:rsidR="00A47B62" w:rsidRDefault="00A47B62" w:rsidP="009D76CD">
      <w:pPr>
        <w:pStyle w:val="AlphaParagraph"/>
        <w:numPr>
          <w:ilvl w:val="0"/>
          <w:numId w:val="18"/>
        </w:numPr>
        <w:tabs>
          <w:tab w:val="num" w:pos="1134"/>
        </w:tabs>
        <w:spacing w:after="120"/>
        <w:ind w:left="1134" w:hanging="567"/>
        <w:jc w:val="left"/>
      </w:pPr>
      <w:r>
        <w:t>The profile of preschool services NSW currently funds using both Commonwealth and NSW government funding includes:</w:t>
      </w:r>
    </w:p>
    <w:p w14:paraId="520F83E7" w14:textId="32231D0D" w:rsidR="00A47B62" w:rsidRDefault="00A47B62" w:rsidP="009D76CD">
      <w:pPr>
        <w:pStyle w:val="AlphaParagraph"/>
        <w:numPr>
          <w:ilvl w:val="2"/>
          <w:numId w:val="18"/>
        </w:numPr>
        <w:spacing w:after="120"/>
        <w:ind w:left="1701" w:hanging="567"/>
        <w:jc w:val="left"/>
      </w:pPr>
      <w:r>
        <w:t>100 government</w:t>
      </w:r>
      <w:r w:rsidR="00F704B7">
        <w:t>-</w:t>
      </w:r>
      <w:r>
        <w:t>run preschools</w:t>
      </w:r>
    </w:p>
    <w:p w14:paraId="38442264" w14:textId="77777777" w:rsidR="00A47B62" w:rsidRDefault="00A47B62" w:rsidP="009D76CD">
      <w:pPr>
        <w:pStyle w:val="AlphaParagraph"/>
        <w:numPr>
          <w:ilvl w:val="2"/>
          <w:numId w:val="18"/>
        </w:numPr>
        <w:spacing w:after="120"/>
        <w:ind w:left="1701" w:hanging="567"/>
        <w:jc w:val="left"/>
      </w:pPr>
      <w:r>
        <w:t>around 740 community preschools</w:t>
      </w:r>
    </w:p>
    <w:p w14:paraId="28E81844" w14:textId="77777777" w:rsidR="00A47B62" w:rsidRDefault="00A47B62" w:rsidP="009D76CD">
      <w:pPr>
        <w:pStyle w:val="AlphaParagraph"/>
        <w:numPr>
          <w:ilvl w:val="2"/>
          <w:numId w:val="18"/>
        </w:numPr>
        <w:spacing w:after="120"/>
        <w:ind w:left="1701" w:hanging="567"/>
        <w:jc w:val="left"/>
      </w:pPr>
      <w:r>
        <w:t>over 2600 long day care providers.</w:t>
      </w:r>
    </w:p>
    <w:p w14:paraId="6AF7BC8C" w14:textId="77777777" w:rsidR="00A47B62" w:rsidRPr="002B5D8E" w:rsidRDefault="00A47B62" w:rsidP="009D76CD">
      <w:pPr>
        <w:pStyle w:val="AlphaParagraph"/>
        <w:numPr>
          <w:ilvl w:val="0"/>
          <w:numId w:val="18"/>
        </w:numPr>
        <w:tabs>
          <w:tab w:val="num" w:pos="1134"/>
        </w:tabs>
        <w:spacing w:after="120"/>
        <w:ind w:left="1134" w:hanging="567"/>
        <w:jc w:val="left"/>
      </w:pPr>
      <w:r w:rsidRPr="002B5D8E">
        <w:t xml:space="preserve">The NSW </w:t>
      </w:r>
      <w:r>
        <w:t>Start Strong Preschool Program</w:t>
      </w:r>
      <w:r w:rsidRPr="002B5D8E">
        <w:t xml:space="preserve"> made $85 million available for community preschools, targeted at increasing 600 hour enrolments and reducing fees. NSW has committed an additional $217 million under the 201</w:t>
      </w:r>
      <w:r>
        <w:t>7-18 NSW Budget to extend Start </w:t>
      </w:r>
      <w:r w:rsidRPr="002B5D8E">
        <w:t>Strong to 2021.</w:t>
      </w:r>
    </w:p>
    <w:p w14:paraId="3D092A84" w14:textId="012FF990" w:rsidR="00A47B62" w:rsidRPr="004474C1" w:rsidRDefault="00A47B62" w:rsidP="009D76CD">
      <w:pPr>
        <w:pStyle w:val="AlphaParagraph"/>
        <w:numPr>
          <w:ilvl w:val="0"/>
          <w:numId w:val="18"/>
        </w:numPr>
        <w:tabs>
          <w:tab w:val="num" w:pos="1134"/>
        </w:tabs>
        <w:spacing w:after="120"/>
        <w:ind w:left="1134" w:hanging="567"/>
        <w:jc w:val="left"/>
      </w:pPr>
      <w:r w:rsidRPr="00B52205">
        <w:t xml:space="preserve">The </w:t>
      </w:r>
      <w:r>
        <w:t xml:space="preserve">NSW </w:t>
      </w:r>
      <w:r w:rsidRPr="008C46C0">
        <w:t xml:space="preserve">Start Strong </w:t>
      </w:r>
      <w:r>
        <w:t>LDC</w:t>
      </w:r>
      <w:r w:rsidRPr="00B52205">
        <w:t xml:space="preserve"> </w:t>
      </w:r>
      <w:r>
        <w:t>Program</w:t>
      </w:r>
      <w:r w:rsidRPr="00B52205">
        <w:t xml:space="preserve"> made $</w:t>
      </w:r>
      <w:r>
        <w:t>3</w:t>
      </w:r>
      <w:r w:rsidRPr="00B52205">
        <w:t xml:space="preserve">0 million in funding </w:t>
      </w:r>
      <w:r>
        <w:t xml:space="preserve">available </w:t>
      </w:r>
      <w:r w:rsidRPr="00B52205">
        <w:t xml:space="preserve">to </w:t>
      </w:r>
      <w:r>
        <w:t xml:space="preserve">long day care centres </w:t>
      </w:r>
      <w:r w:rsidRPr="00B52205">
        <w:t>in 201</w:t>
      </w:r>
      <w:r>
        <w:t>7-</w:t>
      </w:r>
      <w:r w:rsidRPr="00B52205">
        <w:t>1</w:t>
      </w:r>
      <w:r>
        <w:t>8</w:t>
      </w:r>
      <w:r w:rsidR="001177EF">
        <w:t xml:space="preserve"> and $34 million in 2018-19</w:t>
      </w:r>
      <w:r w:rsidRPr="00B52205">
        <w:t xml:space="preserve">. The objective </w:t>
      </w:r>
      <w:r>
        <w:t>i</w:t>
      </w:r>
      <w:r w:rsidRPr="00B52205">
        <w:t>s to increase</w:t>
      </w:r>
      <w:r>
        <w:t xml:space="preserve"> </w:t>
      </w:r>
      <w:r w:rsidRPr="00B52205">
        <w:t xml:space="preserve">participation of </w:t>
      </w:r>
      <w:r>
        <w:t>four</w:t>
      </w:r>
      <w:r w:rsidRPr="00B52205">
        <w:t xml:space="preserve"> and </w:t>
      </w:r>
      <w:r>
        <w:t>five-</w:t>
      </w:r>
      <w:r w:rsidRPr="00B52205">
        <w:t>year</w:t>
      </w:r>
      <w:r>
        <w:t>-</w:t>
      </w:r>
      <w:r w:rsidRPr="00B52205">
        <w:t>old</w:t>
      </w:r>
      <w:r>
        <w:t xml:space="preserve"> </w:t>
      </w:r>
      <w:r w:rsidRPr="00B52205">
        <w:t>children in</w:t>
      </w:r>
      <w:r>
        <w:t xml:space="preserve"> quality preschool programs</w:t>
      </w:r>
      <w:r w:rsidRPr="00B52205">
        <w:t xml:space="preserve"> the year before full-time school</w:t>
      </w:r>
      <w:r>
        <w:t>.</w:t>
      </w:r>
      <w:r w:rsidRPr="00B52205">
        <w:t xml:space="preserve"> </w:t>
      </w:r>
      <w:r w:rsidRPr="00130B78">
        <w:t>The</w:t>
      </w:r>
      <w:r>
        <w:t xml:space="preserve"> Start Strong LDC</w:t>
      </w:r>
      <w:r w:rsidRPr="00130B78">
        <w:t xml:space="preserve"> Program will be assessed, and future options will be developed to support access and enrolment targets irrespective of setting.</w:t>
      </w:r>
    </w:p>
    <w:p w14:paraId="51BE4FD6" w14:textId="77777777" w:rsidR="0036688B" w:rsidRPr="001E7293" w:rsidRDefault="0036688B" w:rsidP="00D55611">
      <w:pPr>
        <w:pStyle w:val="Heading1"/>
        <w:spacing w:after="120"/>
      </w:pPr>
      <w:r w:rsidRPr="001E7293">
        <w:t xml:space="preserve">Part </w:t>
      </w:r>
      <w:r w:rsidR="00B62772" w:rsidRPr="001E7293">
        <w:t>4</w:t>
      </w:r>
      <w:r w:rsidRPr="001E7293">
        <w:t>:</w:t>
      </w:r>
      <w:r w:rsidR="00497DC1" w:rsidRPr="001E7293">
        <w:t xml:space="preserve"> </w:t>
      </w:r>
      <w:r w:rsidR="0071515C" w:rsidRPr="001E7293">
        <w:t>P</w:t>
      </w:r>
      <w:r w:rsidRPr="001E7293">
        <w:t>erformance and reporting arrangements</w:t>
      </w:r>
    </w:p>
    <w:p w14:paraId="0D099572" w14:textId="77777777" w:rsidR="00186FF4" w:rsidRPr="001E7293" w:rsidRDefault="00186FF4" w:rsidP="00EC159E">
      <w:pPr>
        <w:pStyle w:val="Heading2"/>
        <w:spacing w:after="120"/>
      </w:pPr>
      <w:r w:rsidRPr="001E7293">
        <w:t>Performance indicators, benchmarks and targets</w:t>
      </w:r>
    </w:p>
    <w:p w14:paraId="43B6DB94" w14:textId="77777777" w:rsidR="00186FF4" w:rsidRPr="001E7293" w:rsidRDefault="00186FF4" w:rsidP="004B4464">
      <w:pPr>
        <w:pStyle w:val="Normalnumbered"/>
        <w:spacing w:after="240"/>
      </w:pPr>
      <w:r w:rsidRPr="001E7293">
        <w:t>Key indicators, data sources and benchmarks for assessing and monitoring performance are set out in Part 4 and Schedule A of the National Partnership.</w:t>
      </w:r>
    </w:p>
    <w:p w14:paraId="59129A33" w14:textId="77777777" w:rsidR="00C11196" w:rsidRPr="001E7293" w:rsidRDefault="00C11196" w:rsidP="004B4464">
      <w:pPr>
        <w:pStyle w:val="Normalnumbered"/>
        <w:spacing w:after="240"/>
      </w:pPr>
      <w:r w:rsidRPr="001E7293">
        <w:t xml:space="preserve">With regard to reporting on attendance, </w:t>
      </w:r>
      <w:r w:rsidR="00936DE8">
        <w:t>NSW</w:t>
      </w:r>
      <w:r w:rsidRPr="001E7293">
        <w:t xml:space="preserve"> has agreed a target for </w:t>
      </w:r>
      <w:r w:rsidR="000D6F25" w:rsidRPr="001E7293">
        <w:t>2018</w:t>
      </w:r>
      <w:r w:rsidRPr="001E7293">
        <w:t xml:space="preserve"> with the Commonwealth, as set out in Table </w:t>
      </w:r>
      <w:r w:rsidR="00936DE8">
        <w:t>4</w:t>
      </w:r>
      <w:r w:rsidRPr="001E7293">
        <w:t xml:space="preserve"> below, and will report on progress towards this target as part of the National Early Childhood Education and Care Collection.</w:t>
      </w:r>
    </w:p>
    <w:p w14:paraId="39B283C6" w14:textId="5E5FAAC3" w:rsidR="00835F07" w:rsidRPr="001E7293" w:rsidRDefault="00835F07" w:rsidP="009E47B4">
      <w:pPr>
        <w:keepNext/>
        <w:keepLines/>
        <w:spacing w:before="240" w:after="120"/>
        <w:outlineLvl w:val="2"/>
        <w:rPr>
          <w:rFonts w:ascii="Consolas" w:hAnsi="Consolas"/>
          <w:b/>
          <w:color w:val="3D4B67"/>
          <w:szCs w:val="20"/>
        </w:rPr>
      </w:pPr>
      <w:r w:rsidRPr="001E7293">
        <w:rPr>
          <w:rFonts w:ascii="Consolas" w:hAnsi="Consolas"/>
          <w:b/>
          <w:color w:val="3D4B67"/>
          <w:szCs w:val="20"/>
        </w:rPr>
        <w:t xml:space="preserve">Table </w:t>
      </w:r>
      <w:r w:rsidR="00936DE8">
        <w:rPr>
          <w:rFonts w:ascii="Consolas" w:hAnsi="Consolas"/>
          <w:b/>
          <w:color w:val="3D4B67"/>
          <w:szCs w:val="20"/>
        </w:rPr>
        <w:t>4</w:t>
      </w:r>
      <w:r w:rsidRPr="001E7293">
        <w:rPr>
          <w:rFonts w:ascii="Consolas" w:hAnsi="Consolas"/>
          <w:b/>
          <w:color w:val="3D4B67"/>
          <w:szCs w:val="20"/>
        </w:rPr>
        <w:t>: Bilat</w:t>
      </w:r>
      <w:r w:rsidR="00936DE8">
        <w:rPr>
          <w:rFonts w:ascii="Consolas" w:hAnsi="Consolas"/>
          <w:b/>
          <w:color w:val="3D4B67"/>
          <w:szCs w:val="20"/>
        </w:rPr>
        <w:t>erally agreed attendance target</w:t>
      </w:r>
    </w:p>
    <w:tbl>
      <w:tblPr>
        <w:tblStyle w:val="TableGrid"/>
        <w:tblW w:w="7613" w:type="dxa"/>
        <w:tblLook w:val="04A0" w:firstRow="1" w:lastRow="0" w:firstColumn="1" w:lastColumn="0" w:noHBand="0" w:noVBand="1"/>
      </w:tblPr>
      <w:tblGrid>
        <w:gridCol w:w="1475"/>
        <w:gridCol w:w="1421"/>
        <w:gridCol w:w="1322"/>
        <w:gridCol w:w="3395"/>
      </w:tblGrid>
      <w:tr w:rsidR="001849A9" w:rsidRPr="001E7293" w:rsidDel="00DA15BC" w14:paraId="47624B75" w14:textId="77777777" w:rsidTr="001849A9">
        <w:trPr>
          <w:trHeight w:val="568"/>
        </w:trPr>
        <w:tc>
          <w:tcPr>
            <w:tcW w:w="1475" w:type="dxa"/>
            <w:shd w:val="pct5" w:color="auto" w:fill="auto"/>
            <w:tcMar>
              <w:top w:w="57" w:type="dxa"/>
              <w:left w:w="57" w:type="dxa"/>
              <w:right w:w="57" w:type="dxa"/>
            </w:tcMar>
            <w:vAlign w:val="center"/>
          </w:tcPr>
          <w:p w14:paraId="4B470DFA" w14:textId="3EF439E0" w:rsidR="001849A9" w:rsidRPr="001E7293" w:rsidRDefault="001849A9" w:rsidP="00C94098">
            <w:pPr>
              <w:keepNext/>
              <w:keepLines/>
              <w:jc w:val="center"/>
              <w:rPr>
                <w:b/>
                <w:szCs w:val="23"/>
              </w:rPr>
            </w:pPr>
            <w:r w:rsidRPr="001E7293">
              <w:rPr>
                <w:b/>
                <w:szCs w:val="23"/>
              </w:rPr>
              <w:t>20</w:t>
            </w:r>
            <w:r>
              <w:rPr>
                <w:b/>
                <w:szCs w:val="23"/>
              </w:rPr>
              <w:t>17</w:t>
            </w:r>
            <w:r w:rsidRPr="001E7293">
              <w:rPr>
                <w:b/>
                <w:szCs w:val="23"/>
              </w:rPr>
              <w:t xml:space="preserve"> performance</w:t>
            </w:r>
          </w:p>
        </w:tc>
        <w:tc>
          <w:tcPr>
            <w:tcW w:w="1421" w:type="dxa"/>
            <w:shd w:val="pct5" w:color="auto" w:fill="auto"/>
            <w:tcMar>
              <w:left w:w="57" w:type="dxa"/>
              <w:right w:w="57" w:type="dxa"/>
            </w:tcMar>
            <w:vAlign w:val="center"/>
          </w:tcPr>
          <w:p w14:paraId="39C306A2" w14:textId="77777777" w:rsidR="001849A9" w:rsidRPr="001E7293" w:rsidRDefault="001849A9" w:rsidP="00324809">
            <w:pPr>
              <w:keepNext/>
              <w:keepLines/>
              <w:jc w:val="center"/>
              <w:rPr>
                <w:b/>
                <w:szCs w:val="23"/>
              </w:rPr>
            </w:pPr>
            <w:r w:rsidRPr="001E7293">
              <w:rPr>
                <w:b/>
                <w:szCs w:val="23"/>
              </w:rPr>
              <w:t>2018 Target</w:t>
            </w:r>
          </w:p>
        </w:tc>
        <w:tc>
          <w:tcPr>
            <w:tcW w:w="1322" w:type="dxa"/>
            <w:shd w:val="pct5" w:color="auto" w:fill="auto"/>
          </w:tcPr>
          <w:p w14:paraId="4A01C71D" w14:textId="708A1F67" w:rsidR="001849A9" w:rsidRPr="001E7293" w:rsidRDefault="001849A9" w:rsidP="00324809">
            <w:pPr>
              <w:keepNext/>
              <w:keepLines/>
              <w:jc w:val="center"/>
              <w:rPr>
                <w:b/>
                <w:szCs w:val="23"/>
              </w:rPr>
            </w:pPr>
            <w:r>
              <w:rPr>
                <w:b/>
                <w:szCs w:val="23"/>
              </w:rPr>
              <w:t>2019 Target</w:t>
            </w:r>
          </w:p>
        </w:tc>
        <w:tc>
          <w:tcPr>
            <w:tcW w:w="3395" w:type="dxa"/>
            <w:shd w:val="pct5" w:color="auto" w:fill="auto"/>
            <w:tcMar>
              <w:top w:w="57" w:type="dxa"/>
              <w:left w:w="57" w:type="dxa"/>
              <w:right w:w="57" w:type="dxa"/>
            </w:tcMar>
            <w:vAlign w:val="center"/>
          </w:tcPr>
          <w:p w14:paraId="09E23D9C" w14:textId="43A27225" w:rsidR="001849A9" w:rsidRPr="001E7293" w:rsidDel="00DA15BC" w:rsidRDefault="001849A9" w:rsidP="00324809">
            <w:pPr>
              <w:keepNext/>
              <w:keepLines/>
              <w:jc w:val="center"/>
              <w:rPr>
                <w:b/>
                <w:szCs w:val="23"/>
              </w:rPr>
            </w:pPr>
            <w:r w:rsidRPr="001E7293">
              <w:rPr>
                <w:b/>
                <w:szCs w:val="23"/>
              </w:rPr>
              <w:t>Performance Benchmark/Target</w:t>
            </w:r>
          </w:p>
        </w:tc>
      </w:tr>
      <w:tr w:rsidR="001849A9" w:rsidRPr="001E7293" w14:paraId="52566450" w14:textId="77777777" w:rsidTr="001849A9">
        <w:trPr>
          <w:trHeight w:val="861"/>
        </w:trPr>
        <w:tc>
          <w:tcPr>
            <w:tcW w:w="1475" w:type="dxa"/>
            <w:tcMar>
              <w:left w:w="57" w:type="dxa"/>
              <w:right w:w="57" w:type="dxa"/>
            </w:tcMar>
          </w:tcPr>
          <w:p w14:paraId="20F5B3C7" w14:textId="207EBD1B" w:rsidR="001849A9" w:rsidRPr="001E7293" w:rsidRDefault="001849A9" w:rsidP="00C94098">
            <w:r w:rsidRPr="001E7293">
              <w:t xml:space="preserve">  </w:t>
            </w:r>
            <w:r>
              <w:t>96%</w:t>
            </w:r>
          </w:p>
        </w:tc>
        <w:tc>
          <w:tcPr>
            <w:tcW w:w="1421" w:type="dxa"/>
            <w:tcMar>
              <w:left w:w="57" w:type="dxa"/>
              <w:right w:w="57" w:type="dxa"/>
            </w:tcMar>
          </w:tcPr>
          <w:p w14:paraId="1F1FF413" w14:textId="77777777" w:rsidR="001849A9" w:rsidRPr="001E7293" w:rsidRDefault="001849A9" w:rsidP="00324809">
            <w:r w:rsidRPr="001E7293">
              <w:t xml:space="preserve">90%  </w:t>
            </w:r>
          </w:p>
        </w:tc>
        <w:tc>
          <w:tcPr>
            <w:tcW w:w="1322" w:type="dxa"/>
          </w:tcPr>
          <w:p w14:paraId="62055E52" w14:textId="1ED4B2F5" w:rsidR="001849A9" w:rsidRPr="001E7293" w:rsidRDefault="001849A9" w:rsidP="00324809">
            <w:r>
              <w:t>90%</w:t>
            </w:r>
          </w:p>
        </w:tc>
        <w:tc>
          <w:tcPr>
            <w:tcW w:w="3395" w:type="dxa"/>
          </w:tcPr>
          <w:p w14:paraId="27E33434" w14:textId="41407CED" w:rsidR="001849A9" w:rsidRPr="001E7293" w:rsidRDefault="001849A9" w:rsidP="00324809">
            <w:r w:rsidRPr="001E7293">
              <w:t xml:space="preserve">Annual targets agreed in Implementation Plans taking into account a jurisdiction’s starting point and moving to 90 per cent over time. </w:t>
            </w:r>
          </w:p>
        </w:tc>
      </w:tr>
    </w:tbl>
    <w:p w14:paraId="57533E75" w14:textId="77777777" w:rsidR="00F704B7" w:rsidRDefault="00F704B7" w:rsidP="00F704B7">
      <w:pPr>
        <w:rPr>
          <w:sz w:val="16"/>
          <w:szCs w:val="16"/>
        </w:rPr>
      </w:pPr>
      <w:r>
        <w:rPr>
          <w:sz w:val="16"/>
          <w:szCs w:val="16"/>
        </w:rPr>
        <w:t xml:space="preserve">Payments under this agreement are not tied to achievement of attendance targets. </w:t>
      </w:r>
    </w:p>
    <w:p w14:paraId="2F8FEFD6" w14:textId="77777777" w:rsidR="00F704B7" w:rsidRDefault="00F704B7" w:rsidP="00F704B7">
      <w:pPr>
        <w:rPr>
          <w:sz w:val="16"/>
          <w:szCs w:val="16"/>
        </w:rPr>
      </w:pPr>
      <w:r>
        <w:rPr>
          <w:sz w:val="16"/>
          <w:szCs w:val="16"/>
        </w:rPr>
        <w:t>As per previous agreements, the methodology for calculation of performance related to attendance targets will be where a child has participated in a quality preschool program for a minimum of one hour during the collection period.</w:t>
      </w:r>
    </w:p>
    <w:p w14:paraId="0F6E799E" w14:textId="2278F59F" w:rsidR="00835F07" w:rsidRDefault="00835F07" w:rsidP="00835F07"/>
    <w:p w14:paraId="1C3C54FA" w14:textId="77777777" w:rsidR="004B4464" w:rsidRPr="001E7293" w:rsidRDefault="004B4464" w:rsidP="00243F4E">
      <w:pPr>
        <w:pStyle w:val="Heading2"/>
        <w:spacing w:before="120" w:after="120"/>
      </w:pPr>
      <w:r w:rsidRPr="001E7293">
        <w:t>Monitoring and reporting</w:t>
      </w:r>
    </w:p>
    <w:p w14:paraId="5194C599" w14:textId="76B00B54" w:rsidR="004B4464" w:rsidRPr="001E7293" w:rsidRDefault="004B4464" w:rsidP="004B4464">
      <w:pPr>
        <w:pStyle w:val="Normalnumbered"/>
        <w:spacing w:after="240"/>
      </w:pPr>
      <w:r w:rsidRPr="001E7293">
        <w:t xml:space="preserve">Commonwealth and State based collections or data sources and methodologies, agreed by both the Parties to this Plan, to measure progress against the performance milestones and benchmarks and targets in the </w:t>
      </w:r>
      <w:r w:rsidR="00E931BE" w:rsidRPr="001E7293">
        <w:t>National Partnership</w:t>
      </w:r>
      <w:r w:rsidRPr="001E7293">
        <w:t>, are set out in</w:t>
      </w:r>
      <w:r w:rsidR="00CC19A9" w:rsidRPr="001E7293">
        <w:t xml:space="preserve"> Part 4 and</w:t>
      </w:r>
      <w:r w:rsidR="00DE23EB" w:rsidRPr="001E7293">
        <w:t xml:space="preserve"> </w:t>
      </w:r>
      <w:r w:rsidRPr="001E7293">
        <w:t xml:space="preserve">Schedule A of the </w:t>
      </w:r>
      <w:r w:rsidR="00E931BE" w:rsidRPr="001E7293">
        <w:t>National Partnership</w:t>
      </w:r>
      <w:r w:rsidRPr="001E7293">
        <w:t>.</w:t>
      </w:r>
    </w:p>
    <w:p w14:paraId="536D630F" w14:textId="77777777" w:rsidR="004B4464" w:rsidRPr="001E7293" w:rsidRDefault="004B4464" w:rsidP="004B4464">
      <w:pPr>
        <w:pStyle w:val="Normalnumbered"/>
        <w:spacing w:after="240"/>
      </w:pPr>
      <w:r w:rsidRPr="001E7293">
        <w:t xml:space="preserve">These data and performance specifications will be used to report </w:t>
      </w:r>
      <w:r w:rsidR="003365EC">
        <w:t>NSW’s</w:t>
      </w:r>
      <w:r w:rsidRPr="001E7293">
        <w:t xml:space="preserve"> performance, except for the supplementary data agreed by the Parties to this </w:t>
      </w:r>
      <w:r w:rsidR="007926CC" w:rsidRPr="001E7293">
        <w:t xml:space="preserve">Implementation </w:t>
      </w:r>
      <w:r w:rsidRPr="001E7293">
        <w:t>Plan</w:t>
      </w:r>
      <w:r w:rsidR="003365EC">
        <w:t>.</w:t>
      </w:r>
    </w:p>
    <w:p w14:paraId="267E268B" w14:textId="77777777" w:rsidR="004B4464" w:rsidRPr="001E7293" w:rsidRDefault="004B4464" w:rsidP="00832261">
      <w:pPr>
        <w:pStyle w:val="Normalnumbered"/>
        <w:spacing w:after="120"/>
      </w:pPr>
      <w:r w:rsidRPr="001E7293">
        <w:t>Supplementary data reports must contain the following details for each Performance Indi</w:t>
      </w:r>
      <w:r w:rsidR="00B42237" w:rsidRPr="001E7293">
        <w:t xml:space="preserve">cator where the method is not </w:t>
      </w:r>
      <w:r w:rsidRPr="001E7293">
        <w:t>consistent with the Early Childhood Education a</w:t>
      </w:r>
      <w:r w:rsidR="00EB0B69" w:rsidRPr="001E7293">
        <w:t>nd Care Minimal Data Set (NMDS):</w:t>
      </w:r>
    </w:p>
    <w:p w14:paraId="50997225" w14:textId="77777777" w:rsidR="00EB0B69" w:rsidRPr="001E7293" w:rsidRDefault="00765AA1" w:rsidP="009D76CD">
      <w:pPr>
        <w:pStyle w:val="Normalnumbered"/>
        <w:numPr>
          <w:ilvl w:val="0"/>
          <w:numId w:val="16"/>
        </w:numPr>
        <w:ind w:left="1040"/>
      </w:pPr>
      <w:r w:rsidRPr="001E7293">
        <w:t>p</w:t>
      </w:r>
      <w:r w:rsidR="00EB0B69" w:rsidRPr="001E7293">
        <w:t>erformance Indicator calculation description (numerator, denominator, computation and presentation)</w:t>
      </w:r>
    </w:p>
    <w:p w14:paraId="29BCD281" w14:textId="77777777" w:rsidR="00EB0B69" w:rsidRPr="001E7293" w:rsidRDefault="00765AA1" w:rsidP="009D76CD">
      <w:pPr>
        <w:pStyle w:val="Normalnumbered"/>
        <w:numPr>
          <w:ilvl w:val="0"/>
          <w:numId w:val="16"/>
        </w:numPr>
        <w:ind w:left="1040"/>
      </w:pPr>
      <w:r w:rsidRPr="001E7293">
        <w:t>n</w:t>
      </w:r>
      <w:r w:rsidR="00EB0B69" w:rsidRPr="001E7293">
        <w:t xml:space="preserve">umerator Information (collection name and population description) </w:t>
      </w:r>
    </w:p>
    <w:p w14:paraId="4BE46944" w14:textId="77777777" w:rsidR="00EB0B69" w:rsidRPr="001E7293" w:rsidRDefault="00765AA1" w:rsidP="009D76CD">
      <w:pPr>
        <w:pStyle w:val="Normalnumbered"/>
        <w:numPr>
          <w:ilvl w:val="0"/>
          <w:numId w:val="16"/>
        </w:numPr>
        <w:ind w:left="1040"/>
      </w:pPr>
      <w:r w:rsidRPr="001E7293">
        <w:t>d</w:t>
      </w:r>
      <w:r w:rsidR="00EB0B69" w:rsidRPr="001E7293">
        <w:t xml:space="preserve">enominator Information (collection name and population description) </w:t>
      </w:r>
    </w:p>
    <w:p w14:paraId="14A73DB5" w14:textId="608FD26D" w:rsidR="00EB0B69" w:rsidRPr="001E7293" w:rsidRDefault="00765AA1" w:rsidP="009D76CD">
      <w:pPr>
        <w:pStyle w:val="Normalnumbered"/>
        <w:numPr>
          <w:ilvl w:val="0"/>
          <w:numId w:val="16"/>
        </w:numPr>
        <w:ind w:left="1040"/>
      </w:pPr>
      <w:r w:rsidRPr="001E7293">
        <w:t>c</w:t>
      </w:r>
      <w:r w:rsidR="00EB0B69" w:rsidRPr="001E7293">
        <w:t xml:space="preserve">alculation </w:t>
      </w:r>
      <w:r w:rsidR="00A64BE3">
        <w:t>n</w:t>
      </w:r>
      <w:r w:rsidR="00EB0B69" w:rsidRPr="001E7293">
        <w:t>otes (including any information about how the PI is calculated)</w:t>
      </w:r>
    </w:p>
    <w:p w14:paraId="6EF700B9" w14:textId="77777777" w:rsidR="00EB0B69" w:rsidRPr="001E7293" w:rsidRDefault="00765AA1" w:rsidP="009D76CD">
      <w:pPr>
        <w:pStyle w:val="Normalnumbered"/>
        <w:numPr>
          <w:ilvl w:val="0"/>
          <w:numId w:val="16"/>
        </w:numPr>
        <w:ind w:left="1040"/>
      </w:pPr>
      <w:r w:rsidRPr="001E7293">
        <w:t>m</w:t>
      </w:r>
      <w:r w:rsidR="00EB0B69" w:rsidRPr="001E7293">
        <w:t>ethodology</w:t>
      </w:r>
    </w:p>
    <w:p w14:paraId="14E3AD59" w14:textId="77777777" w:rsidR="00EB0B69" w:rsidRPr="001E7293" w:rsidRDefault="00765AA1" w:rsidP="009D76CD">
      <w:pPr>
        <w:pStyle w:val="Normalnumbered"/>
        <w:numPr>
          <w:ilvl w:val="0"/>
          <w:numId w:val="16"/>
        </w:numPr>
        <w:ind w:left="1040"/>
      </w:pPr>
      <w:r w:rsidRPr="001E7293">
        <w:t>r</w:t>
      </w:r>
      <w:r w:rsidR="00EB0B69" w:rsidRPr="001E7293">
        <w:t>ationale for supplementary data and reporting (including any additional information to explain how and why the specifications for the supplementary data differ from the specifications in the NMDS).</w:t>
      </w:r>
    </w:p>
    <w:p w14:paraId="6497CCA8" w14:textId="77777777" w:rsidR="0036688B" w:rsidRPr="001E7293" w:rsidRDefault="0036688B" w:rsidP="005D4CB2">
      <w:pPr>
        <w:pStyle w:val="Heading2"/>
        <w:pageBreakBefore/>
      </w:pPr>
      <w:r w:rsidRPr="001E7293">
        <w:t>Sign off</w:t>
      </w:r>
    </w:p>
    <w:p w14:paraId="2E9345F0" w14:textId="77777777" w:rsidR="0036688B" w:rsidRPr="001E7293" w:rsidRDefault="0036688B" w:rsidP="00926726">
      <w:pPr>
        <w:keepNext/>
        <w:keepLines/>
        <w:spacing w:after="240" w:line="260" w:lineRule="exact"/>
        <w:jc w:val="both"/>
        <w:rPr>
          <w:color w:val="000000"/>
          <w:szCs w:val="20"/>
        </w:rPr>
      </w:pPr>
      <w:r w:rsidRPr="001E7293">
        <w:rPr>
          <w:color w:val="000000"/>
          <w:szCs w:val="20"/>
        </w:rPr>
        <w:t>The Parties have confirmed their commitment to this agreement as follows:</w:t>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D46D6A" w:rsidRPr="000F32EB" w14:paraId="003425CC" w14:textId="77777777" w:rsidTr="007D786E">
        <w:trPr>
          <w:trHeight w:val="1247"/>
        </w:trPr>
        <w:tc>
          <w:tcPr>
            <w:tcW w:w="9464" w:type="dxa"/>
            <w:gridSpan w:val="3"/>
            <w:tcBorders>
              <w:top w:val="nil"/>
            </w:tcBorders>
            <w:vAlign w:val="center"/>
          </w:tcPr>
          <w:p w14:paraId="62EEDA28" w14:textId="77777777" w:rsidR="00D46D6A" w:rsidRPr="000F32EB" w:rsidRDefault="00D46D6A" w:rsidP="007D786E">
            <w:pPr>
              <w:keepNext/>
              <w:keepLines/>
              <w:spacing w:before="120" w:after="120" w:line="280" w:lineRule="exact"/>
              <w:rPr>
                <w:b/>
                <w:bCs/>
                <w:color w:val="C00000"/>
              </w:rPr>
            </w:pPr>
          </w:p>
        </w:tc>
      </w:tr>
      <w:tr w:rsidR="00D46D6A" w:rsidRPr="000F32EB" w14:paraId="1A7BAF5A" w14:textId="77777777" w:rsidTr="007D786E">
        <w:tc>
          <w:tcPr>
            <w:tcW w:w="5192" w:type="dxa"/>
            <w:tcBorders>
              <w:bottom w:val="single" w:sz="4" w:space="0" w:color="A6A6A6"/>
              <w:right w:val="nil"/>
            </w:tcBorders>
            <w:vAlign w:val="center"/>
          </w:tcPr>
          <w:p w14:paraId="6B9AC0D9" w14:textId="77777777" w:rsidR="00D46D6A" w:rsidRPr="000F32EB" w:rsidRDefault="00D46D6A" w:rsidP="007D786E">
            <w:pPr>
              <w:keepNext/>
              <w:keepLines/>
              <w:spacing w:before="120" w:after="120" w:line="280" w:lineRule="exact"/>
            </w:pPr>
            <w:r w:rsidRPr="000F32EB">
              <w:rPr>
                <w:b/>
                <w:bCs/>
                <w:color w:val="C00000"/>
              </w:rPr>
              <w:t>Signature</w:t>
            </w:r>
          </w:p>
        </w:tc>
        <w:tc>
          <w:tcPr>
            <w:tcW w:w="290" w:type="dxa"/>
            <w:tcBorders>
              <w:left w:val="nil"/>
              <w:bottom w:val="single" w:sz="4" w:space="0" w:color="A6A6A6"/>
              <w:right w:val="nil"/>
            </w:tcBorders>
          </w:tcPr>
          <w:p w14:paraId="2AE53873" w14:textId="77777777" w:rsidR="00D46D6A" w:rsidRPr="000F32EB" w:rsidRDefault="00D46D6A" w:rsidP="007D786E">
            <w:pPr>
              <w:keepNext/>
              <w:keepLines/>
              <w:spacing w:before="120" w:after="120" w:line="280" w:lineRule="exact"/>
              <w:rPr>
                <w:b/>
                <w:bCs/>
                <w:color w:val="C00000"/>
              </w:rPr>
            </w:pPr>
          </w:p>
        </w:tc>
        <w:tc>
          <w:tcPr>
            <w:tcW w:w="3982" w:type="dxa"/>
            <w:tcBorders>
              <w:left w:val="nil"/>
              <w:bottom w:val="single" w:sz="4" w:space="0" w:color="A6A6A6"/>
            </w:tcBorders>
            <w:vAlign w:val="center"/>
          </w:tcPr>
          <w:p w14:paraId="36B36021" w14:textId="77777777" w:rsidR="00D46D6A" w:rsidRPr="000F32EB" w:rsidRDefault="00D46D6A" w:rsidP="007D786E">
            <w:pPr>
              <w:keepNext/>
              <w:keepLines/>
              <w:spacing w:before="120" w:after="120" w:line="280" w:lineRule="exact"/>
            </w:pPr>
            <w:r w:rsidRPr="000F32EB">
              <w:rPr>
                <w:b/>
                <w:bCs/>
                <w:color w:val="C00000"/>
              </w:rPr>
              <w:t>Date</w:t>
            </w:r>
          </w:p>
        </w:tc>
      </w:tr>
      <w:tr w:rsidR="00D46D6A" w:rsidRPr="000F32EB" w14:paraId="0B765749" w14:textId="77777777" w:rsidTr="007D786E">
        <w:tc>
          <w:tcPr>
            <w:tcW w:w="9464" w:type="dxa"/>
            <w:gridSpan w:val="3"/>
            <w:tcBorders>
              <w:top w:val="single" w:sz="4" w:space="0" w:color="A6A6A6"/>
            </w:tcBorders>
          </w:tcPr>
          <w:p w14:paraId="1602CF9D" w14:textId="39DEBF27" w:rsidR="00D46D6A" w:rsidRDefault="00490C5A" w:rsidP="007D786E">
            <w:pPr>
              <w:keepNext/>
              <w:keepLines/>
              <w:spacing w:after="120" w:line="280" w:lineRule="exact"/>
              <w:rPr>
                <w:b/>
                <w:bCs/>
                <w:color w:val="365F91"/>
              </w:rPr>
            </w:pPr>
            <w:r>
              <w:rPr>
                <w:b/>
                <w:bCs/>
                <w:color w:val="365F91"/>
              </w:rPr>
              <w:t>The Hon Sarah Mitchell MLC</w:t>
            </w:r>
          </w:p>
          <w:p w14:paraId="04E36B31" w14:textId="77777777" w:rsidR="00D46D6A" w:rsidRDefault="00D46D6A" w:rsidP="007D786E">
            <w:pPr>
              <w:keepNext/>
              <w:keepLines/>
              <w:spacing w:after="120" w:line="280" w:lineRule="exact"/>
              <w:rPr>
                <w:b/>
                <w:bCs/>
                <w:color w:val="365F91"/>
              </w:rPr>
            </w:pPr>
            <w:r>
              <w:rPr>
                <w:b/>
                <w:bCs/>
                <w:color w:val="365F91"/>
              </w:rPr>
              <w:t>Minister for Early Childhood Education</w:t>
            </w:r>
          </w:p>
          <w:p w14:paraId="2393F046" w14:textId="77777777" w:rsidR="00D46D6A" w:rsidRDefault="00D46D6A" w:rsidP="007D786E">
            <w:pPr>
              <w:keepNext/>
              <w:keepLines/>
              <w:spacing w:after="120" w:line="280" w:lineRule="exact"/>
              <w:rPr>
                <w:b/>
                <w:bCs/>
                <w:color w:val="365F91"/>
              </w:rPr>
            </w:pPr>
          </w:p>
          <w:p w14:paraId="7D756D1E" w14:textId="77777777" w:rsidR="00D46D6A" w:rsidRDefault="00D46D6A" w:rsidP="007D786E">
            <w:pPr>
              <w:keepNext/>
              <w:keepLines/>
              <w:spacing w:after="120" w:line="280" w:lineRule="exact"/>
              <w:rPr>
                <w:b/>
                <w:bCs/>
                <w:color w:val="365F91"/>
              </w:rPr>
            </w:pPr>
          </w:p>
          <w:p w14:paraId="1CE800E0" w14:textId="7A616BB4" w:rsidR="00D46D6A" w:rsidRPr="000F32EB" w:rsidRDefault="00B6503A" w:rsidP="00B6503A">
            <w:pPr>
              <w:keepNext/>
              <w:keepLines/>
              <w:tabs>
                <w:tab w:val="left" w:pos="4095"/>
              </w:tabs>
              <w:spacing w:after="120" w:line="280" w:lineRule="exact"/>
            </w:pPr>
            <w:r>
              <w:tab/>
            </w:r>
          </w:p>
        </w:tc>
      </w:tr>
      <w:tr w:rsidR="00D46D6A" w:rsidRPr="000F32EB" w14:paraId="68652F72" w14:textId="77777777" w:rsidTr="007D786E">
        <w:tc>
          <w:tcPr>
            <w:tcW w:w="5192" w:type="dxa"/>
            <w:tcBorders>
              <w:top w:val="nil"/>
              <w:bottom w:val="single" w:sz="4" w:space="0" w:color="A6A6A6"/>
              <w:right w:val="nil"/>
            </w:tcBorders>
            <w:vAlign w:val="center"/>
          </w:tcPr>
          <w:p w14:paraId="55FF510D" w14:textId="77777777" w:rsidR="00D46D6A" w:rsidRPr="000F32EB" w:rsidRDefault="00D46D6A" w:rsidP="007D786E">
            <w:pPr>
              <w:keepNext/>
              <w:keepLines/>
              <w:spacing w:before="120" w:after="120" w:line="280" w:lineRule="exact"/>
            </w:pPr>
            <w:r w:rsidRPr="000F32EB">
              <w:rPr>
                <w:b/>
                <w:bCs/>
                <w:color w:val="C00000"/>
              </w:rPr>
              <w:t>Signature</w:t>
            </w:r>
          </w:p>
        </w:tc>
        <w:tc>
          <w:tcPr>
            <w:tcW w:w="290" w:type="dxa"/>
            <w:tcBorders>
              <w:top w:val="nil"/>
              <w:left w:val="nil"/>
              <w:bottom w:val="single" w:sz="4" w:space="0" w:color="A6A6A6"/>
              <w:right w:val="nil"/>
            </w:tcBorders>
          </w:tcPr>
          <w:p w14:paraId="3ED54F24" w14:textId="77777777" w:rsidR="00D46D6A" w:rsidRPr="000F32EB" w:rsidRDefault="00D46D6A" w:rsidP="007D786E">
            <w:pPr>
              <w:keepNext/>
              <w:keepLines/>
              <w:spacing w:before="120" w:after="120" w:line="280" w:lineRule="exact"/>
              <w:rPr>
                <w:b/>
                <w:bCs/>
                <w:color w:val="C00000"/>
              </w:rPr>
            </w:pPr>
          </w:p>
        </w:tc>
        <w:tc>
          <w:tcPr>
            <w:tcW w:w="3982" w:type="dxa"/>
            <w:tcBorders>
              <w:top w:val="nil"/>
              <w:left w:val="nil"/>
              <w:bottom w:val="single" w:sz="4" w:space="0" w:color="A6A6A6"/>
            </w:tcBorders>
            <w:vAlign w:val="center"/>
          </w:tcPr>
          <w:p w14:paraId="1849F5BE" w14:textId="77777777" w:rsidR="00D46D6A" w:rsidRPr="000F32EB" w:rsidRDefault="00D46D6A" w:rsidP="007D786E">
            <w:pPr>
              <w:keepNext/>
              <w:keepLines/>
              <w:spacing w:before="120" w:after="120" w:line="280" w:lineRule="exact"/>
            </w:pPr>
            <w:r w:rsidRPr="000F32EB">
              <w:rPr>
                <w:b/>
                <w:bCs/>
                <w:color w:val="C00000"/>
              </w:rPr>
              <w:t>Date</w:t>
            </w:r>
          </w:p>
        </w:tc>
      </w:tr>
      <w:tr w:rsidR="00D46D6A" w:rsidRPr="000F32EB" w14:paraId="41F3445F" w14:textId="77777777" w:rsidTr="007D786E">
        <w:trPr>
          <w:trHeight w:val="822"/>
        </w:trPr>
        <w:tc>
          <w:tcPr>
            <w:tcW w:w="9464" w:type="dxa"/>
            <w:gridSpan w:val="3"/>
          </w:tcPr>
          <w:p w14:paraId="0CDA15D0" w14:textId="193CCD8E" w:rsidR="00D46D6A" w:rsidRPr="000F32EB" w:rsidRDefault="00DC7D20" w:rsidP="007D786E">
            <w:pPr>
              <w:spacing w:after="120"/>
              <w:rPr>
                <w:b/>
                <w:bCs/>
                <w:color w:val="365F91"/>
              </w:rPr>
            </w:pPr>
            <w:r>
              <w:rPr>
                <w:b/>
                <w:bCs/>
                <w:color w:val="365F91"/>
              </w:rPr>
              <w:t>T</w:t>
            </w:r>
            <w:r w:rsidR="00D46D6A" w:rsidRPr="000F32EB">
              <w:rPr>
                <w:b/>
                <w:bCs/>
                <w:color w:val="365F91"/>
              </w:rPr>
              <w:t>he Hon</w:t>
            </w:r>
            <w:r>
              <w:rPr>
                <w:b/>
                <w:bCs/>
                <w:color w:val="365F91"/>
              </w:rPr>
              <w:t xml:space="preserve"> Dan Tehan MP</w:t>
            </w:r>
          </w:p>
          <w:p w14:paraId="25838788" w14:textId="67D51681" w:rsidR="00D46D6A" w:rsidRPr="000F32EB" w:rsidRDefault="00D46D6A" w:rsidP="00DC7D20">
            <w:pPr>
              <w:spacing w:after="120" w:line="280" w:lineRule="exact"/>
              <w:rPr>
                <w:b/>
                <w:bCs/>
                <w:color w:val="365F91"/>
              </w:rPr>
            </w:pPr>
            <w:r w:rsidRPr="000F32EB">
              <w:rPr>
                <w:b/>
                <w:bCs/>
                <w:color w:val="365F91"/>
              </w:rPr>
              <w:t xml:space="preserve">Minister for Education </w:t>
            </w:r>
          </w:p>
        </w:tc>
      </w:tr>
    </w:tbl>
    <w:p w14:paraId="2C92D3CB" w14:textId="77777777" w:rsidR="0036688B" w:rsidRDefault="0036688B" w:rsidP="00695DE1"/>
    <w:p w14:paraId="17D3E013" w14:textId="77777777" w:rsidR="00F55711" w:rsidRDefault="00F55711" w:rsidP="00695DE1"/>
    <w:p w14:paraId="3647FDC3" w14:textId="77777777" w:rsidR="00F55711" w:rsidRDefault="00F55711" w:rsidP="00695DE1"/>
    <w:p w14:paraId="02DEF8E9" w14:textId="2235F416" w:rsidR="00B6503A" w:rsidRDefault="00B6503A" w:rsidP="00695DE1"/>
    <w:p w14:paraId="52A4D7A5" w14:textId="77777777" w:rsidR="00B6503A" w:rsidRPr="00B6503A" w:rsidRDefault="00B6503A" w:rsidP="00B6503A"/>
    <w:p w14:paraId="0DCD5DAC" w14:textId="77777777" w:rsidR="00B6503A" w:rsidRPr="00B6503A" w:rsidRDefault="00B6503A" w:rsidP="00B6503A"/>
    <w:p w14:paraId="062DDBDA" w14:textId="77777777" w:rsidR="00B6503A" w:rsidRPr="00B6503A" w:rsidRDefault="00B6503A" w:rsidP="00B6503A"/>
    <w:p w14:paraId="0AE1B17C" w14:textId="77AF49CA" w:rsidR="00F55711" w:rsidRPr="00B6503A" w:rsidRDefault="00B6503A" w:rsidP="00B6503A">
      <w:pPr>
        <w:tabs>
          <w:tab w:val="left" w:pos="5535"/>
        </w:tabs>
      </w:pPr>
      <w:r>
        <w:tab/>
      </w:r>
    </w:p>
    <w:sectPr w:rsidR="00F55711" w:rsidRPr="00B6503A" w:rsidSect="00FB7D31">
      <w:headerReference w:type="even" r:id="rId14"/>
      <w:headerReference w:type="default" r:id="rId15"/>
      <w:footerReference w:type="even" r:id="rId16"/>
      <w:footerReference w:type="default" r:id="rId17"/>
      <w:headerReference w:type="first" r:id="rId18"/>
      <w:footerReference w:type="first" r:id="rId19"/>
      <w:pgSz w:w="11906" w:h="16838" w:code="9"/>
      <w:pgMar w:top="851" w:right="1418" w:bottom="102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1E54F" w14:textId="77777777" w:rsidR="002E4EC7" w:rsidRDefault="002E4EC7" w:rsidP="00520331">
      <w:r>
        <w:separator/>
      </w:r>
    </w:p>
  </w:endnote>
  <w:endnote w:type="continuationSeparator" w:id="0">
    <w:p w14:paraId="0733686E" w14:textId="77777777" w:rsidR="002E4EC7" w:rsidRDefault="002E4EC7" w:rsidP="005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05540" w14:textId="77777777" w:rsidR="00A361C4" w:rsidRDefault="00A36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E52EA" w14:textId="6C2004F5" w:rsidR="00E37B4C" w:rsidRPr="00413980" w:rsidRDefault="00E37B4C">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812CC2">
      <w:rPr>
        <w:noProof/>
        <w:sz w:val="20"/>
        <w:szCs w:val="20"/>
      </w:rPr>
      <w:t>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E30D0" w14:textId="77777777" w:rsidR="00A361C4" w:rsidRDefault="00A36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C208C" w14:textId="77777777" w:rsidR="002E4EC7" w:rsidRDefault="002E4EC7" w:rsidP="00520331">
      <w:r>
        <w:separator/>
      </w:r>
    </w:p>
  </w:footnote>
  <w:footnote w:type="continuationSeparator" w:id="0">
    <w:p w14:paraId="67E0931B" w14:textId="77777777" w:rsidR="002E4EC7" w:rsidRDefault="002E4EC7" w:rsidP="00520331">
      <w:r>
        <w:continuationSeparator/>
      </w:r>
    </w:p>
  </w:footnote>
  <w:footnote w:id="1">
    <w:p w14:paraId="0396C50C" w14:textId="77777777" w:rsidR="00A47B62" w:rsidRPr="001B6CA5" w:rsidRDefault="00A47B62" w:rsidP="00A47B62">
      <w:pPr>
        <w:pStyle w:val="FootnoteText"/>
      </w:pPr>
      <w:r w:rsidRPr="001B6CA5">
        <w:rPr>
          <w:rStyle w:val="FootnoteReference"/>
        </w:rPr>
        <w:footnoteRef/>
      </w:r>
      <w:r w:rsidRPr="001B6CA5">
        <w:t xml:space="preserve"> Rounding means these numbers add to 101 per cent.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FA7C" w14:textId="77777777" w:rsidR="00A361C4" w:rsidRDefault="00A36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3C85" w14:textId="77777777" w:rsidR="0047083A" w:rsidRDefault="0047083A" w:rsidP="00B8716F">
    <w:pPr>
      <w:pStyle w:val="Header"/>
      <w:jc w:val="cent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CF515" w14:textId="77777777" w:rsidR="00A361C4" w:rsidRDefault="00A36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1" w15:restartNumberingAfterBreak="0">
    <w:nsid w:val="0FAA2E48"/>
    <w:multiLevelType w:val="multilevel"/>
    <w:tmpl w:val="C91A860A"/>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bullet"/>
      <w:lvlText w:val=""/>
      <w:lvlJc w:val="left"/>
      <w:pPr>
        <w:tabs>
          <w:tab w:val="num" w:pos="2268"/>
        </w:tabs>
        <w:ind w:left="2268" w:hanging="567"/>
      </w:pPr>
      <w:rPr>
        <w:rFonts w:ascii="Symbol" w:hAnsi="Symbol"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bullet"/>
      <w:lvlText w:val=""/>
      <w:lvlJc w:val="left"/>
      <w:pPr>
        <w:tabs>
          <w:tab w:val="num" w:pos="3969"/>
        </w:tabs>
        <w:ind w:left="3969" w:hanging="567"/>
      </w:pPr>
      <w:rPr>
        <w:rFonts w:ascii="Symbol" w:hAnsi="Symbol"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3"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5"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7"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8" w15:restartNumberingAfterBreak="0">
    <w:nsid w:val="4F11060C"/>
    <w:multiLevelType w:val="multilevel"/>
    <w:tmpl w:val="32009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BC4475"/>
    <w:multiLevelType w:val="hybridMultilevel"/>
    <w:tmpl w:val="E148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2"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13"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14"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15"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16" w15:restartNumberingAfterBreak="0">
    <w:nsid w:val="78854AAC"/>
    <w:multiLevelType w:val="hybridMultilevel"/>
    <w:tmpl w:val="451E0452"/>
    <w:lvl w:ilvl="0" w:tplc="A76EBCC0">
      <w:start w:val="1"/>
      <w:numFmt w:val="decimal"/>
      <w:pStyle w:val="Normalnumbered"/>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7"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2A5384"/>
    <w:multiLevelType w:val="hybridMultilevel"/>
    <w:tmpl w:val="50BE1678"/>
    <w:lvl w:ilvl="0" w:tplc="A78C0F04">
      <w:start w:val="1"/>
      <w:numFmt w:val="lowerLetter"/>
      <w:lvlText w:val="(%1)"/>
      <w:lvlJc w:val="left"/>
      <w:pPr>
        <w:ind w:left="720" w:hanging="360"/>
      </w:pPr>
      <w:rPr>
        <w:rFonts w:cs="Times New Roman" w:hint="default"/>
        <w:i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10"/>
  </w:num>
  <w:num w:numId="4">
    <w:abstractNumId w:val="2"/>
  </w:num>
  <w:num w:numId="5">
    <w:abstractNumId w:val="11"/>
  </w:num>
  <w:num w:numId="6">
    <w:abstractNumId w:val="0"/>
  </w:num>
  <w:num w:numId="7">
    <w:abstractNumId w:val="12"/>
  </w:num>
  <w:num w:numId="8">
    <w:abstractNumId w:val="5"/>
  </w:num>
  <w:num w:numId="9">
    <w:abstractNumId w:val="16"/>
  </w:num>
  <w:num w:numId="10">
    <w:abstractNumId w:val="14"/>
  </w:num>
  <w:num w:numId="11">
    <w:abstractNumId w:val="15"/>
  </w:num>
  <w:num w:numId="12">
    <w:abstractNumId w:val="17"/>
  </w:num>
  <w:num w:numId="13">
    <w:abstractNumId w:val="13"/>
  </w:num>
  <w:num w:numId="14">
    <w:abstractNumId w:val="4"/>
  </w:num>
  <w:num w:numId="15">
    <w:abstractNumId w:val="7"/>
  </w:num>
  <w:num w:numId="16">
    <w:abstractNumId w:val="9"/>
  </w:num>
  <w:num w:numId="17">
    <w:abstractNumId w:val="1"/>
  </w:num>
  <w:num w:numId="18">
    <w:abstractNumId w:val="18"/>
  </w:num>
  <w:num w:numId="19">
    <w:abstractNumId w:val="16"/>
  </w:num>
  <w:num w:numId="2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316534d-1794-4c2d-86c6-2db73c87ae10"/>
  </w:docVars>
  <w:rsids>
    <w:rsidRoot w:val="00B21E7E"/>
    <w:rsid w:val="000014B1"/>
    <w:rsid w:val="00003A92"/>
    <w:rsid w:val="00003EAE"/>
    <w:rsid w:val="00011DA2"/>
    <w:rsid w:val="00012372"/>
    <w:rsid w:val="00012AAE"/>
    <w:rsid w:val="00013A91"/>
    <w:rsid w:val="000151D1"/>
    <w:rsid w:val="00016BA3"/>
    <w:rsid w:val="0002099E"/>
    <w:rsid w:val="00023C24"/>
    <w:rsid w:val="000240B5"/>
    <w:rsid w:val="00024B99"/>
    <w:rsid w:val="0002586A"/>
    <w:rsid w:val="00025F50"/>
    <w:rsid w:val="00030C19"/>
    <w:rsid w:val="00030F67"/>
    <w:rsid w:val="00034877"/>
    <w:rsid w:val="000375F8"/>
    <w:rsid w:val="00040405"/>
    <w:rsid w:val="00041625"/>
    <w:rsid w:val="00041D4C"/>
    <w:rsid w:val="00041D8A"/>
    <w:rsid w:val="0004432A"/>
    <w:rsid w:val="00044E74"/>
    <w:rsid w:val="00045778"/>
    <w:rsid w:val="00045AD7"/>
    <w:rsid w:val="00047FE7"/>
    <w:rsid w:val="00054A8D"/>
    <w:rsid w:val="0005527C"/>
    <w:rsid w:val="00055E03"/>
    <w:rsid w:val="00056C4B"/>
    <w:rsid w:val="00057D17"/>
    <w:rsid w:val="00062172"/>
    <w:rsid w:val="00062FD7"/>
    <w:rsid w:val="000636A4"/>
    <w:rsid w:val="000713FA"/>
    <w:rsid w:val="000758BF"/>
    <w:rsid w:val="000804E9"/>
    <w:rsid w:val="00084B29"/>
    <w:rsid w:val="00085E99"/>
    <w:rsid w:val="00086B8C"/>
    <w:rsid w:val="000873E5"/>
    <w:rsid w:val="00091BA8"/>
    <w:rsid w:val="00092090"/>
    <w:rsid w:val="000925CD"/>
    <w:rsid w:val="000930CB"/>
    <w:rsid w:val="00093235"/>
    <w:rsid w:val="0009739F"/>
    <w:rsid w:val="00097950"/>
    <w:rsid w:val="000A1323"/>
    <w:rsid w:val="000A2E01"/>
    <w:rsid w:val="000A3DEC"/>
    <w:rsid w:val="000A72D2"/>
    <w:rsid w:val="000B09BC"/>
    <w:rsid w:val="000B1E47"/>
    <w:rsid w:val="000B36D5"/>
    <w:rsid w:val="000B3A6C"/>
    <w:rsid w:val="000B66A4"/>
    <w:rsid w:val="000C017B"/>
    <w:rsid w:val="000C1698"/>
    <w:rsid w:val="000C7379"/>
    <w:rsid w:val="000D4B5B"/>
    <w:rsid w:val="000D5B7F"/>
    <w:rsid w:val="000D5C4C"/>
    <w:rsid w:val="000D6F25"/>
    <w:rsid w:val="000D7C4C"/>
    <w:rsid w:val="000E08CB"/>
    <w:rsid w:val="000E3092"/>
    <w:rsid w:val="000E4614"/>
    <w:rsid w:val="000E78C0"/>
    <w:rsid w:val="000F0EAF"/>
    <w:rsid w:val="000F354C"/>
    <w:rsid w:val="000F42B3"/>
    <w:rsid w:val="000F5EB9"/>
    <w:rsid w:val="00102898"/>
    <w:rsid w:val="00102DDE"/>
    <w:rsid w:val="00105402"/>
    <w:rsid w:val="00105FB1"/>
    <w:rsid w:val="001108F3"/>
    <w:rsid w:val="0011223F"/>
    <w:rsid w:val="00113524"/>
    <w:rsid w:val="00113BAA"/>
    <w:rsid w:val="0011673E"/>
    <w:rsid w:val="001168E4"/>
    <w:rsid w:val="001177EF"/>
    <w:rsid w:val="00120218"/>
    <w:rsid w:val="0012049E"/>
    <w:rsid w:val="00120B80"/>
    <w:rsid w:val="00123BA4"/>
    <w:rsid w:val="00124D8E"/>
    <w:rsid w:val="00126A2E"/>
    <w:rsid w:val="001273B5"/>
    <w:rsid w:val="001331EC"/>
    <w:rsid w:val="00136F02"/>
    <w:rsid w:val="00137155"/>
    <w:rsid w:val="00137A24"/>
    <w:rsid w:val="00141ACB"/>
    <w:rsid w:val="001445F3"/>
    <w:rsid w:val="00146B46"/>
    <w:rsid w:val="00150526"/>
    <w:rsid w:val="001539F3"/>
    <w:rsid w:val="00153BCD"/>
    <w:rsid w:val="00155B7D"/>
    <w:rsid w:val="00157368"/>
    <w:rsid w:val="001637AC"/>
    <w:rsid w:val="00164CEE"/>
    <w:rsid w:val="00164D13"/>
    <w:rsid w:val="00166312"/>
    <w:rsid w:val="00170639"/>
    <w:rsid w:val="00170688"/>
    <w:rsid w:val="00170B1A"/>
    <w:rsid w:val="00171B14"/>
    <w:rsid w:val="00172229"/>
    <w:rsid w:val="001728BD"/>
    <w:rsid w:val="00172B12"/>
    <w:rsid w:val="00173BEB"/>
    <w:rsid w:val="00174BD4"/>
    <w:rsid w:val="001755D1"/>
    <w:rsid w:val="001849A9"/>
    <w:rsid w:val="00186FF4"/>
    <w:rsid w:val="00187966"/>
    <w:rsid w:val="00187A15"/>
    <w:rsid w:val="00191251"/>
    <w:rsid w:val="00191684"/>
    <w:rsid w:val="001918B1"/>
    <w:rsid w:val="00192CDE"/>
    <w:rsid w:val="00196A06"/>
    <w:rsid w:val="001A4374"/>
    <w:rsid w:val="001A652E"/>
    <w:rsid w:val="001B5382"/>
    <w:rsid w:val="001B5415"/>
    <w:rsid w:val="001C1144"/>
    <w:rsid w:val="001C56EC"/>
    <w:rsid w:val="001C6B67"/>
    <w:rsid w:val="001D14B8"/>
    <w:rsid w:val="001D47EA"/>
    <w:rsid w:val="001D5134"/>
    <w:rsid w:val="001E4E1F"/>
    <w:rsid w:val="001E67A2"/>
    <w:rsid w:val="001E7293"/>
    <w:rsid w:val="001E74D0"/>
    <w:rsid w:val="001F2C5E"/>
    <w:rsid w:val="001F45C6"/>
    <w:rsid w:val="001F5305"/>
    <w:rsid w:val="001F68F6"/>
    <w:rsid w:val="001F7A0E"/>
    <w:rsid w:val="001F7CB8"/>
    <w:rsid w:val="002010E0"/>
    <w:rsid w:val="00201BE3"/>
    <w:rsid w:val="002029B8"/>
    <w:rsid w:val="0020663B"/>
    <w:rsid w:val="00206671"/>
    <w:rsid w:val="002155C8"/>
    <w:rsid w:val="00221363"/>
    <w:rsid w:val="002220ED"/>
    <w:rsid w:val="002268B0"/>
    <w:rsid w:val="00227BC0"/>
    <w:rsid w:val="002311B1"/>
    <w:rsid w:val="002330D9"/>
    <w:rsid w:val="00241B51"/>
    <w:rsid w:val="00243E8B"/>
    <w:rsid w:val="00243F4E"/>
    <w:rsid w:val="002514DE"/>
    <w:rsid w:val="00253731"/>
    <w:rsid w:val="00254BF5"/>
    <w:rsid w:val="0025586C"/>
    <w:rsid w:val="00256AB0"/>
    <w:rsid w:val="00257088"/>
    <w:rsid w:val="00261564"/>
    <w:rsid w:val="002616A0"/>
    <w:rsid w:val="002648E8"/>
    <w:rsid w:val="0026503A"/>
    <w:rsid w:val="00267848"/>
    <w:rsid w:val="002678DE"/>
    <w:rsid w:val="00267B81"/>
    <w:rsid w:val="00270D9D"/>
    <w:rsid w:val="0027653C"/>
    <w:rsid w:val="00281AE3"/>
    <w:rsid w:val="00282641"/>
    <w:rsid w:val="00285609"/>
    <w:rsid w:val="00286FA2"/>
    <w:rsid w:val="00292CB8"/>
    <w:rsid w:val="00292F4F"/>
    <w:rsid w:val="00296268"/>
    <w:rsid w:val="002A0B94"/>
    <w:rsid w:val="002A53DD"/>
    <w:rsid w:val="002A7553"/>
    <w:rsid w:val="002B35EF"/>
    <w:rsid w:val="002B5BE3"/>
    <w:rsid w:val="002C39DE"/>
    <w:rsid w:val="002C5FEA"/>
    <w:rsid w:val="002D0CB9"/>
    <w:rsid w:val="002D3ACC"/>
    <w:rsid w:val="002D46C5"/>
    <w:rsid w:val="002D5120"/>
    <w:rsid w:val="002D76C5"/>
    <w:rsid w:val="002D786A"/>
    <w:rsid w:val="002E061E"/>
    <w:rsid w:val="002E328E"/>
    <w:rsid w:val="002E4EC7"/>
    <w:rsid w:val="002F05DA"/>
    <w:rsid w:val="002F5890"/>
    <w:rsid w:val="002F6F43"/>
    <w:rsid w:val="003020F6"/>
    <w:rsid w:val="00304260"/>
    <w:rsid w:val="00305B5A"/>
    <w:rsid w:val="00306502"/>
    <w:rsid w:val="00306791"/>
    <w:rsid w:val="00307C5E"/>
    <w:rsid w:val="0031129A"/>
    <w:rsid w:val="00312179"/>
    <w:rsid w:val="00314D9E"/>
    <w:rsid w:val="0031550E"/>
    <w:rsid w:val="00315A6F"/>
    <w:rsid w:val="003173BF"/>
    <w:rsid w:val="00317899"/>
    <w:rsid w:val="003258BF"/>
    <w:rsid w:val="003259CC"/>
    <w:rsid w:val="00326AD1"/>
    <w:rsid w:val="00326B13"/>
    <w:rsid w:val="003310F1"/>
    <w:rsid w:val="00331108"/>
    <w:rsid w:val="00334C02"/>
    <w:rsid w:val="00336199"/>
    <w:rsid w:val="003365EC"/>
    <w:rsid w:val="00341330"/>
    <w:rsid w:val="003419A8"/>
    <w:rsid w:val="003422D5"/>
    <w:rsid w:val="003478BB"/>
    <w:rsid w:val="00347F6D"/>
    <w:rsid w:val="0035368A"/>
    <w:rsid w:val="00353735"/>
    <w:rsid w:val="00354A85"/>
    <w:rsid w:val="003550EF"/>
    <w:rsid w:val="00357F8E"/>
    <w:rsid w:val="0036301F"/>
    <w:rsid w:val="0036688B"/>
    <w:rsid w:val="00370E31"/>
    <w:rsid w:val="0037461F"/>
    <w:rsid w:val="00376922"/>
    <w:rsid w:val="00377F3C"/>
    <w:rsid w:val="003815E5"/>
    <w:rsid w:val="003820C9"/>
    <w:rsid w:val="00382998"/>
    <w:rsid w:val="00384D6E"/>
    <w:rsid w:val="00391D0E"/>
    <w:rsid w:val="0039214A"/>
    <w:rsid w:val="00394698"/>
    <w:rsid w:val="003976F6"/>
    <w:rsid w:val="003A1A3E"/>
    <w:rsid w:val="003A24B9"/>
    <w:rsid w:val="003A2957"/>
    <w:rsid w:val="003A2E07"/>
    <w:rsid w:val="003A6B67"/>
    <w:rsid w:val="003B1409"/>
    <w:rsid w:val="003B149C"/>
    <w:rsid w:val="003B1B7B"/>
    <w:rsid w:val="003B21D1"/>
    <w:rsid w:val="003B6C45"/>
    <w:rsid w:val="003B7B15"/>
    <w:rsid w:val="003B7DE3"/>
    <w:rsid w:val="003C0687"/>
    <w:rsid w:val="003C4482"/>
    <w:rsid w:val="003C4F3C"/>
    <w:rsid w:val="003C590D"/>
    <w:rsid w:val="003C6FEC"/>
    <w:rsid w:val="003C7037"/>
    <w:rsid w:val="003D0FF5"/>
    <w:rsid w:val="003E14C4"/>
    <w:rsid w:val="003E21B2"/>
    <w:rsid w:val="003E230C"/>
    <w:rsid w:val="003E2CD7"/>
    <w:rsid w:val="003E3308"/>
    <w:rsid w:val="003E59CF"/>
    <w:rsid w:val="003F5357"/>
    <w:rsid w:val="00403BD6"/>
    <w:rsid w:val="004058AB"/>
    <w:rsid w:val="00406094"/>
    <w:rsid w:val="00407A6B"/>
    <w:rsid w:val="00411A8F"/>
    <w:rsid w:val="00411AEC"/>
    <w:rsid w:val="00411F49"/>
    <w:rsid w:val="0041257A"/>
    <w:rsid w:val="00413763"/>
    <w:rsid w:val="00413980"/>
    <w:rsid w:val="00413EC6"/>
    <w:rsid w:val="00416F87"/>
    <w:rsid w:val="00423987"/>
    <w:rsid w:val="00424699"/>
    <w:rsid w:val="00426754"/>
    <w:rsid w:val="00432B5D"/>
    <w:rsid w:val="00435169"/>
    <w:rsid w:val="00435B33"/>
    <w:rsid w:val="004425F7"/>
    <w:rsid w:val="004433EA"/>
    <w:rsid w:val="00450CC7"/>
    <w:rsid w:val="0045119E"/>
    <w:rsid w:val="004529C7"/>
    <w:rsid w:val="00454D37"/>
    <w:rsid w:val="004554D1"/>
    <w:rsid w:val="00455FF8"/>
    <w:rsid w:val="0045685E"/>
    <w:rsid w:val="00456FE1"/>
    <w:rsid w:val="0045732B"/>
    <w:rsid w:val="00460263"/>
    <w:rsid w:val="00460368"/>
    <w:rsid w:val="00464B1D"/>
    <w:rsid w:val="00466411"/>
    <w:rsid w:val="00466976"/>
    <w:rsid w:val="0046735E"/>
    <w:rsid w:val="0047083A"/>
    <w:rsid w:val="00470E82"/>
    <w:rsid w:val="00473439"/>
    <w:rsid w:val="0047362F"/>
    <w:rsid w:val="00477E9A"/>
    <w:rsid w:val="004813D2"/>
    <w:rsid w:val="00481B0B"/>
    <w:rsid w:val="004864A4"/>
    <w:rsid w:val="004901D3"/>
    <w:rsid w:val="0049046E"/>
    <w:rsid w:val="00490C5A"/>
    <w:rsid w:val="00493F4F"/>
    <w:rsid w:val="00497DC1"/>
    <w:rsid w:val="004A1138"/>
    <w:rsid w:val="004A23CE"/>
    <w:rsid w:val="004A3502"/>
    <w:rsid w:val="004A53E0"/>
    <w:rsid w:val="004A7354"/>
    <w:rsid w:val="004B1483"/>
    <w:rsid w:val="004B2FF6"/>
    <w:rsid w:val="004B4105"/>
    <w:rsid w:val="004B4464"/>
    <w:rsid w:val="004B69BF"/>
    <w:rsid w:val="004B764C"/>
    <w:rsid w:val="004C2BF9"/>
    <w:rsid w:val="004C6399"/>
    <w:rsid w:val="004C6F59"/>
    <w:rsid w:val="004D44DF"/>
    <w:rsid w:val="004D4FD7"/>
    <w:rsid w:val="004D78CB"/>
    <w:rsid w:val="004E0A56"/>
    <w:rsid w:val="004E1366"/>
    <w:rsid w:val="004E4069"/>
    <w:rsid w:val="004E452C"/>
    <w:rsid w:val="004E5C62"/>
    <w:rsid w:val="004F1824"/>
    <w:rsid w:val="004F2466"/>
    <w:rsid w:val="004F45D8"/>
    <w:rsid w:val="004F6F15"/>
    <w:rsid w:val="00500237"/>
    <w:rsid w:val="00503044"/>
    <w:rsid w:val="005052EB"/>
    <w:rsid w:val="005062D5"/>
    <w:rsid w:val="00507553"/>
    <w:rsid w:val="00511EAA"/>
    <w:rsid w:val="005147E0"/>
    <w:rsid w:val="0051547D"/>
    <w:rsid w:val="005160EA"/>
    <w:rsid w:val="00516681"/>
    <w:rsid w:val="00520331"/>
    <w:rsid w:val="005215AD"/>
    <w:rsid w:val="0052412D"/>
    <w:rsid w:val="0052492E"/>
    <w:rsid w:val="00524DF0"/>
    <w:rsid w:val="005252BB"/>
    <w:rsid w:val="0052720F"/>
    <w:rsid w:val="00527ED4"/>
    <w:rsid w:val="005304E0"/>
    <w:rsid w:val="00532D46"/>
    <w:rsid w:val="005338A8"/>
    <w:rsid w:val="00534699"/>
    <w:rsid w:val="0053594B"/>
    <w:rsid w:val="00536679"/>
    <w:rsid w:val="005371C5"/>
    <w:rsid w:val="0053794F"/>
    <w:rsid w:val="00543CF2"/>
    <w:rsid w:val="005521CE"/>
    <w:rsid w:val="00554ECC"/>
    <w:rsid w:val="00557E9F"/>
    <w:rsid w:val="00557EAB"/>
    <w:rsid w:val="0056324C"/>
    <w:rsid w:val="00564642"/>
    <w:rsid w:val="00576D34"/>
    <w:rsid w:val="0058036E"/>
    <w:rsid w:val="00582B9D"/>
    <w:rsid w:val="005852BF"/>
    <w:rsid w:val="005944CD"/>
    <w:rsid w:val="005971F4"/>
    <w:rsid w:val="005A0BC4"/>
    <w:rsid w:val="005A1081"/>
    <w:rsid w:val="005A2826"/>
    <w:rsid w:val="005A37B8"/>
    <w:rsid w:val="005A409C"/>
    <w:rsid w:val="005A4C03"/>
    <w:rsid w:val="005A5C86"/>
    <w:rsid w:val="005A71F5"/>
    <w:rsid w:val="005A785C"/>
    <w:rsid w:val="005B1C43"/>
    <w:rsid w:val="005B43AC"/>
    <w:rsid w:val="005B6897"/>
    <w:rsid w:val="005B7422"/>
    <w:rsid w:val="005C1B7F"/>
    <w:rsid w:val="005C5BE0"/>
    <w:rsid w:val="005C5F3F"/>
    <w:rsid w:val="005C7691"/>
    <w:rsid w:val="005D34CF"/>
    <w:rsid w:val="005D354B"/>
    <w:rsid w:val="005D4CB2"/>
    <w:rsid w:val="005D4D0F"/>
    <w:rsid w:val="005D6AAA"/>
    <w:rsid w:val="005E0B1E"/>
    <w:rsid w:val="005E1FD7"/>
    <w:rsid w:val="005E2808"/>
    <w:rsid w:val="005E36CD"/>
    <w:rsid w:val="005F4754"/>
    <w:rsid w:val="005F5787"/>
    <w:rsid w:val="006016C6"/>
    <w:rsid w:val="00602A90"/>
    <w:rsid w:val="006051B7"/>
    <w:rsid w:val="00610DE0"/>
    <w:rsid w:val="00612BDE"/>
    <w:rsid w:val="006131E0"/>
    <w:rsid w:val="0061450D"/>
    <w:rsid w:val="00614C99"/>
    <w:rsid w:val="00615F14"/>
    <w:rsid w:val="00621AC0"/>
    <w:rsid w:val="00623A09"/>
    <w:rsid w:val="0062417D"/>
    <w:rsid w:val="006260DA"/>
    <w:rsid w:val="0062623F"/>
    <w:rsid w:val="00626E51"/>
    <w:rsid w:val="006274BB"/>
    <w:rsid w:val="00634EA2"/>
    <w:rsid w:val="006353DA"/>
    <w:rsid w:val="00637911"/>
    <w:rsid w:val="00641088"/>
    <w:rsid w:val="00642796"/>
    <w:rsid w:val="00645CF3"/>
    <w:rsid w:val="00646513"/>
    <w:rsid w:val="00646724"/>
    <w:rsid w:val="00651117"/>
    <w:rsid w:val="00653179"/>
    <w:rsid w:val="006557F7"/>
    <w:rsid w:val="00657AC0"/>
    <w:rsid w:val="0066045D"/>
    <w:rsid w:val="00664B5C"/>
    <w:rsid w:val="00664BCD"/>
    <w:rsid w:val="006663CA"/>
    <w:rsid w:val="00670C93"/>
    <w:rsid w:val="00672EF8"/>
    <w:rsid w:val="00672FCC"/>
    <w:rsid w:val="00673A7C"/>
    <w:rsid w:val="006744F3"/>
    <w:rsid w:val="00674BD1"/>
    <w:rsid w:val="006835A1"/>
    <w:rsid w:val="0069039D"/>
    <w:rsid w:val="006932B9"/>
    <w:rsid w:val="00693514"/>
    <w:rsid w:val="00695736"/>
    <w:rsid w:val="00695DE1"/>
    <w:rsid w:val="00697B63"/>
    <w:rsid w:val="00697EFC"/>
    <w:rsid w:val="006A21F2"/>
    <w:rsid w:val="006A2577"/>
    <w:rsid w:val="006A5AC7"/>
    <w:rsid w:val="006A700D"/>
    <w:rsid w:val="006B1FEC"/>
    <w:rsid w:val="006B2276"/>
    <w:rsid w:val="006B38A5"/>
    <w:rsid w:val="006B73B2"/>
    <w:rsid w:val="006C1872"/>
    <w:rsid w:val="006C4526"/>
    <w:rsid w:val="006C5FD6"/>
    <w:rsid w:val="006C674D"/>
    <w:rsid w:val="006D2308"/>
    <w:rsid w:val="006D279B"/>
    <w:rsid w:val="006D2E7E"/>
    <w:rsid w:val="006D611A"/>
    <w:rsid w:val="006E0EAD"/>
    <w:rsid w:val="006E0FB3"/>
    <w:rsid w:val="006E26BF"/>
    <w:rsid w:val="006E3E61"/>
    <w:rsid w:val="006F28E7"/>
    <w:rsid w:val="006F39E8"/>
    <w:rsid w:val="00701076"/>
    <w:rsid w:val="00702027"/>
    <w:rsid w:val="007045EF"/>
    <w:rsid w:val="0070504A"/>
    <w:rsid w:val="007066D0"/>
    <w:rsid w:val="00706DFB"/>
    <w:rsid w:val="007102AF"/>
    <w:rsid w:val="00710578"/>
    <w:rsid w:val="00710A58"/>
    <w:rsid w:val="00711D54"/>
    <w:rsid w:val="00712152"/>
    <w:rsid w:val="00712CD4"/>
    <w:rsid w:val="0071515C"/>
    <w:rsid w:val="00716EB8"/>
    <w:rsid w:val="00720900"/>
    <w:rsid w:val="00724B5D"/>
    <w:rsid w:val="00725D61"/>
    <w:rsid w:val="00726ECC"/>
    <w:rsid w:val="00730ACE"/>
    <w:rsid w:val="007322F4"/>
    <w:rsid w:val="007374A0"/>
    <w:rsid w:val="00737A4C"/>
    <w:rsid w:val="00737BBB"/>
    <w:rsid w:val="00740B95"/>
    <w:rsid w:val="00740C7B"/>
    <w:rsid w:val="00741883"/>
    <w:rsid w:val="00741976"/>
    <w:rsid w:val="00741BC1"/>
    <w:rsid w:val="00742F33"/>
    <w:rsid w:val="00743919"/>
    <w:rsid w:val="00743A3B"/>
    <w:rsid w:val="007445C9"/>
    <w:rsid w:val="007461C9"/>
    <w:rsid w:val="00746814"/>
    <w:rsid w:val="007538EC"/>
    <w:rsid w:val="00753B56"/>
    <w:rsid w:val="007563F9"/>
    <w:rsid w:val="00756F0C"/>
    <w:rsid w:val="0076189D"/>
    <w:rsid w:val="00761ECE"/>
    <w:rsid w:val="00762C10"/>
    <w:rsid w:val="00762C15"/>
    <w:rsid w:val="0076354F"/>
    <w:rsid w:val="00765AA1"/>
    <w:rsid w:val="007732AB"/>
    <w:rsid w:val="0077559C"/>
    <w:rsid w:val="00775FCE"/>
    <w:rsid w:val="0078054D"/>
    <w:rsid w:val="0078156F"/>
    <w:rsid w:val="00782444"/>
    <w:rsid w:val="00782495"/>
    <w:rsid w:val="00785C43"/>
    <w:rsid w:val="0079107C"/>
    <w:rsid w:val="00792303"/>
    <w:rsid w:val="007926CC"/>
    <w:rsid w:val="00793ABA"/>
    <w:rsid w:val="00794FAA"/>
    <w:rsid w:val="00795BE6"/>
    <w:rsid w:val="00795BF2"/>
    <w:rsid w:val="007A0844"/>
    <w:rsid w:val="007A0B18"/>
    <w:rsid w:val="007A1B28"/>
    <w:rsid w:val="007A2885"/>
    <w:rsid w:val="007A36B5"/>
    <w:rsid w:val="007A7B10"/>
    <w:rsid w:val="007B0CDF"/>
    <w:rsid w:val="007B1E44"/>
    <w:rsid w:val="007B42D6"/>
    <w:rsid w:val="007B464C"/>
    <w:rsid w:val="007B4BA6"/>
    <w:rsid w:val="007B69EC"/>
    <w:rsid w:val="007B7FDC"/>
    <w:rsid w:val="007C0559"/>
    <w:rsid w:val="007C664E"/>
    <w:rsid w:val="007D1FB2"/>
    <w:rsid w:val="007D43A7"/>
    <w:rsid w:val="007D55E2"/>
    <w:rsid w:val="007D600E"/>
    <w:rsid w:val="007E2B8D"/>
    <w:rsid w:val="007E37B4"/>
    <w:rsid w:val="007E46E3"/>
    <w:rsid w:val="007E7F84"/>
    <w:rsid w:val="007F0686"/>
    <w:rsid w:val="007F231E"/>
    <w:rsid w:val="007F481F"/>
    <w:rsid w:val="007F6CF7"/>
    <w:rsid w:val="008031E3"/>
    <w:rsid w:val="00805249"/>
    <w:rsid w:val="00811C8E"/>
    <w:rsid w:val="00812CC2"/>
    <w:rsid w:val="0081390E"/>
    <w:rsid w:val="00815479"/>
    <w:rsid w:val="008201C5"/>
    <w:rsid w:val="00820A67"/>
    <w:rsid w:val="00820AA3"/>
    <w:rsid w:val="00821A01"/>
    <w:rsid w:val="00827EEE"/>
    <w:rsid w:val="00831661"/>
    <w:rsid w:val="00832261"/>
    <w:rsid w:val="00835047"/>
    <w:rsid w:val="00835F07"/>
    <w:rsid w:val="00846C3D"/>
    <w:rsid w:val="008479DE"/>
    <w:rsid w:val="0085048C"/>
    <w:rsid w:val="00851070"/>
    <w:rsid w:val="00853DC4"/>
    <w:rsid w:val="00856320"/>
    <w:rsid w:val="00862E8C"/>
    <w:rsid w:val="008630BC"/>
    <w:rsid w:val="00865E18"/>
    <w:rsid w:val="00866C07"/>
    <w:rsid w:val="00874371"/>
    <w:rsid w:val="00874A48"/>
    <w:rsid w:val="00880A5C"/>
    <w:rsid w:val="0088309A"/>
    <w:rsid w:val="00883B42"/>
    <w:rsid w:val="00884E25"/>
    <w:rsid w:val="008858EC"/>
    <w:rsid w:val="00887AB6"/>
    <w:rsid w:val="00890A09"/>
    <w:rsid w:val="00892AB4"/>
    <w:rsid w:val="008949AC"/>
    <w:rsid w:val="008953B3"/>
    <w:rsid w:val="00895C19"/>
    <w:rsid w:val="008A02DF"/>
    <w:rsid w:val="008A1046"/>
    <w:rsid w:val="008A1747"/>
    <w:rsid w:val="008A1ADB"/>
    <w:rsid w:val="008A2566"/>
    <w:rsid w:val="008B355A"/>
    <w:rsid w:val="008C11FF"/>
    <w:rsid w:val="008C23FF"/>
    <w:rsid w:val="008C4ED2"/>
    <w:rsid w:val="008C6205"/>
    <w:rsid w:val="008C7CDD"/>
    <w:rsid w:val="008D12CD"/>
    <w:rsid w:val="008D2EFE"/>
    <w:rsid w:val="008D2F05"/>
    <w:rsid w:val="008D36C0"/>
    <w:rsid w:val="008E5657"/>
    <w:rsid w:val="008E6D97"/>
    <w:rsid w:val="008F1F0E"/>
    <w:rsid w:val="008F5323"/>
    <w:rsid w:val="008F6747"/>
    <w:rsid w:val="008F6FAE"/>
    <w:rsid w:val="00902C70"/>
    <w:rsid w:val="00902EF3"/>
    <w:rsid w:val="00903748"/>
    <w:rsid w:val="00903874"/>
    <w:rsid w:val="00904DE4"/>
    <w:rsid w:val="0090702D"/>
    <w:rsid w:val="00912B42"/>
    <w:rsid w:val="00913044"/>
    <w:rsid w:val="00913166"/>
    <w:rsid w:val="00914274"/>
    <w:rsid w:val="0091451C"/>
    <w:rsid w:val="00916F5D"/>
    <w:rsid w:val="00920FC6"/>
    <w:rsid w:val="00921651"/>
    <w:rsid w:val="00924EF4"/>
    <w:rsid w:val="00926726"/>
    <w:rsid w:val="00931EB7"/>
    <w:rsid w:val="00934F9B"/>
    <w:rsid w:val="0093628D"/>
    <w:rsid w:val="00936DE8"/>
    <w:rsid w:val="00936FD4"/>
    <w:rsid w:val="0093776A"/>
    <w:rsid w:val="00943502"/>
    <w:rsid w:val="00943512"/>
    <w:rsid w:val="00945F24"/>
    <w:rsid w:val="00950AF2"/>
    <w:rsid w:val="00950DCC"/>
    <w:rsid w:val="009523F6"/>
    <w:rsid w:val="0095265D"/>
    <w:rsid w:val="009564F8"/>
    <w:rsid w:val="00956E74"/>
    <w:rsid w:val="009604D5"/>
    <w:rsid w:val="009615E7"/>
    <w:rsid w:val="00961C19"/>
    <w:rsid w:val="00961E19"/>
    <w:rsid w:val="009629ED"/>
    <w:rsid w:val="009629F2"/>
    <w:rsid w:val="00967793"/>
    <w:rsid w:val="00970600"/>
    <w:rsid w:val="00971E73"/>
    <w:rsid w:val="00975B77"/>
    <w:rsid w:val="00977256"/>
    <w:rsid w:val="00981929"/>
    <w:rsid w:val="00990792"/>
    <w:rsid w:val="00991B97"/>
    <w:rsid w:val="009956D5"/>
    <w:rsid w:val="00997CA0"/>
    <w:rsid w:val="009A3E60"/>
    <w:rsid w:val="009A489E"/>
    <w:rsid w:val="009A5FF9"/>
    <w:rsid w:val="009A67F3"/>
    <w:rsid w:val="009A6ADF"/>
    <w:rsid w:val="009B0906"/>
    <w:rsid w:val="009B0F83"/>
    <w:rsid w:val="009B1EA4"/>
    <w:rsid w:val="009B2905"/>
    <w:rsid w:val="009B2DE1"/>
    <w:rsid w:val="009B538E"/>
    <w:rsid w:val="009B7028"/>
    <w:rsid w:val="009C38C1"/>
    <w:rsid w:val="009C48DE"/>
    <w:rsid w:val="009C68EB"/>
    <w:rsid w:val="009D76CD"/>
    <w:rsid w:val="009E010D"/>
    <w:rsid w:val="009E17B0"/>
    <w:rsid w:val="009E2880"/>
    <w:rsid w:val="009E2929"/>
    <w:rsid w:val="009E47B4"/>
    <w:rsid w:val="009E4D9F"/>
    <w:rsid w:val="009E7480"/>
    <w:rsid w:val="009F0C28"/>
    <w:rsid w:val="009F4008"/>
    <w:rsid w:val="009F4238"/>
    <w:rsid w:val="00A00980"/>
    <w:rsid w:val="00A03BDE"/>
    <w:rsid w:val="00A04D45"/>
    <w:rsid w:val="00A113A9"/>
    <w:rsid w:val="00A11622"/>
    <w:rsid w:val="00A134DE"/>
    <w:rsid w:val="00A17D70"/>
    <w:rsid w:val="00A21407"/>
    <w:rsid w:val="00A21A05"/>
    <w:rsid w:val="00A22683"/>
    <w:rsid w:val="00A304B9"/>
    <w:rsid w:val="00A30520"/>
    <w:rsid w:val="00A342D3"/>
    <w:rsid w:val="00A361C4"/>
    <w:rsid w:val="00A36A37"/>
    <w:rsid w:val="00A374F1"/>
    <w:rsid w:val="00A40C62"/>
    <w:rsid w:val="00A4144A"/>
    <w:rsid w:val="00A43902"/>
    <w:rsid w:val="00A453E6"/>
    <w:rsid w:val="00A459E0"/>
    <w:rsid w:val="00A47B62"/>
    <w:rsid w:val="00A512C0"/>
    <w:rsid w:val="00A52CFD"/>
    <w:rsid w:val="00A54DD4"/>
    <w:rsid w:val="00A567F0"/>
    <w:rsid w:val="00A64BE3"/>
    <w:rsid w:val="00A65579"/>
    <w:rsid w:val="00A6718F"/>
    <w:rsid w:val="00A74588"/>
    <w:rsid w:val="00A75DF2"/>
    <w:rsid w:val="00A7767B"/>
    <w:rsid w:val="00A86184"/>
    <w:rsid w:val="00A9057F"/>
    <w:rsid w:val="00A94024"/>
    <w:rsid w:val="00A9664A"/>
    <w:rsid w:val="00AA0E00"/>
    <w:rsid w:val="00AA2174"/>
    <w:rsid w:val="00AA45EF"/>
    <w:rsid w:val="00AA64AF"/>
    <w:rsid w:val="00AB1B9F"/>
    <w:rsid w:val="00AC0B68"/>
    <w:rsid w:val="00AC5296"/>
    <w:rsid w:val="00AC530A"/>
    <w:rsid w:val="00AC6A39"/>
    <w:rsid w:val="00AD0639"/>
    <w:rsid w:val="00AD2E8B"/>
    <w:rsid w:val="00AD3518"/>
    <w:rsid w:val="00AD381B"/>
    <w:rsid w:val="00AD483C"/>
    <w:rsid w:val="00AE0E32"/>
    <w:rsid w:val="00AE1EC0"/>
    <w:rsid w:val="00AF1E6A"/>
    <w:rsid w:val="00AF2007"/>
    <w:rsid w:val="00AF2429"/>
    <w:rsid w:val="00AF6782"/>
    <w:rsid w:val="00AF6AFA"/>
    <w:rsid w:val="00AF7042"/>
    <w:rsid w:val="00AF77ED"/>
    <w:rsid w:val="00B06563"/>
    <w:rsid w:val="00B07788"/>
    <w:rsid w:val="00B1428F"/>
    <w:rsid w:val="00B16941"/>
    <w:rsid w:val="00B172DA"/>
    <w:rsid w:val="00B21219"/>
    <w:rsid w:val="00B21E7E"/>
    <w:rsid w:val="00B24B34"/>
    <w:rsid w:val="00B26DAC"/>
    <w:rsid w:val="00B2724A"/>
    <w:rsid w:val="00B276EB"/>
    <w:rsid w:val="00B314DA"/>
    <w:rsid w:val="00B32717"/>
    <w:rsid w:val="00B33F8E"/>
    <w:rsid w:val="00B36CBE"/>
    <w:rsid w:val="00B37AF0"/>
    <w:rsid w:val="00B37EA8"/>
    <w:rsid w:val="00B42237"/>
    <w:rsid w:val="00B42587"/>
    <w:rsid w:val="00B42FC9"/>
    <w:rsid w:val="00B45DEE"/>
    <w:rsid w:val="00B52FD8"/>
    <w:rsid w:val="00B5581B"/>
    <w:rsid w:val="00B55C78"/>
    <w:rsid w:val="00B62772"/>
    <w:rsid w:val="00B64B72"/>
    <w:rsid w:val="00B6503A"/>
    <w:rsid w:val="00B65D44"/>
    <w:rsid w:val="00B65FDC"/>
    <w:rsid w:val="00B66DFD"/>
    <w:rsid w:val="00B6768A"/>
    <w:rsid w:val="00B704A8"/>
    <w:rsid w:val="00B71936"/>
    <w:rsid w:val="00B804E8"/>
    <w:rsid w:val="00B83A11"/>
    <w:rsid w:val="00B842BD"/>
    <w:rsid w:val="00B8716F"/>
    <w:rsid w:val="00B906E2"/>
    <w:rsid w:val="00B934F5"/>
    <w:rsid w:val="00B960B9"/>
    <w:rsid w:val="00B972CC"/>
    <w:rsid w:val="00BA2E35"/>
    <w:rsid w:val="00BA56A2"/>
    <w:rsid w:val="00BA67A7"/>
    <w:rsid w:val="00BB0F3B"/>
    <w:rsid w:val="00BB5A3F"/>
    <w:rsid w:val="00BB5AE1"/>
    <w:rsid w:val="00BC0F74"/>
    <w:rsid w:val="00BC3EE5"/>
    <w:rsid w:val="00BC5FA5"/>
    <w:rsid w:val="00BC7407"/>
    <w:rsid w:val="00BD0733"/>
    <w:rsid w:val="00BD1061"/>
    <w:rsid w:val="00BD10DF"/>
    <w:rsid w:val="00BD44D2"/>
    <w:rsid w:val="00BD6CB7"/>
    <w:rsid w:val="00BE048B"/>
    <w:rsid w:val="00BE1840"/>
    <w:rsid w:val="00BE19EA"/>
    <w:rsid w:val="00BE25FC"/>
    <w:rsid w:val="00BE4B5C"/>
    <w:rsid w:val="00BE6FD1"/>
    <w:rsid w:val="00BE73AE"/>
    <w:rsid w:val="00BE765F"/>
    <w:rsid w:val="00BF0182"/>
    <w:rsid w:val="00BF0BB7"/>
    <w:rsid w:val="00BF4E6A"/>
    <w:rsid w:val="00BF5863"/>
    <w:rsid w:val="00BF7C9F"/>
    <w:rsid w:val="00BF7CA1"/>
    <w:rsid w:val="00C0629B"/>
    <w:rsid w:val="00C11196"/>
    <w:rsid w:val="00C2134A"/>
    <w:rsid w:val="00C22701"/>
    <w:rsid w:val="00C26A29"/>
    <w:rsid w:val="00C27187"/>
    <w:rsid w:val="00C27447"/>
    <w:rsid w:val="00C31746"/>
    <w:rsid w:val="00C41CC9"/>
    <w:rsid w:val="00C438F0"/>
    <w:rsid w:val="00C44D75"/>
    <w:rsid w:val="00C450B4"/>
    <w:rsid w:val="00C50000"/>
    <w:rsid w:val="00C51281"/>
    <w:rsid w:val="00C5363A"/>
    <w:rsid w:val="00C60217"/>
    <w:rsid w:val="00C61EB5"/>
    <w:rsid w:val="00C65B2D"/>
    <w:rsid w:val="00C75F10"/>
    <w:rsid w:val="00C84398"/>
    <w:rsid w:val="00C846AE"/>
    <w:rsid w:val="00C84806"/>
    <w:rsid w:val="00C85701"/>
    <w:rsid w:val="00C85D70"/>
    <w:rsid w:val="00C9144D"/>
    <w:rsid w:val="00C92A30"/>
    <w:rsid w:val="00C94098"/>
    <w:rsid w:val="00CA34B2"/>
    <w:rsid w:val="00CA4D0B"/>
    <w:rsid w:val="00CA4F7A"/>
    <w:rsid w:val="00CB59CE"/>
    <w:rsid w:val="00CB5B74"/>
    <w:rsid w:val="00CC19A9"/>
    <w:rsid w:val="00CC2C29"/>
    <w:rsid w:val="00CC44ED"/>
    <w:rsid w:val="00CC540A"/>
    <w:rsid w:val="00CC55EB"/>
    <w:rsid w:val="00CC7566"/>
    <w:rsid w:val="00CD147C"/>
    <w:rsid w:val="00CD2927"/>
    <w:rsid w:val="00CD3DC7"/>
    <w:rsid w:val="00CD5739"/>
    <w:rsid w:val="00CE11F9"/>
    <w:rsid w:val="00CE34D7"/>
    <w:rsid w:val="00CE5578"/>
    <w:rsid w:val="00CF1DBC"/>
    <w:rsid w:val="00CF5CD5"/>
    <w:rsid w:val="00CF6596"/>
    <w:rsid w:val="00D027F7"/>
    <w:rsid w:val="00D02D5E"/>
    <w:rsid w:val="00D03F9B"/>
    <w:rsid w:val="00D12A60"/>
    <w:rsid w:val="00D136B3"/>
    <w:rsid w:val="00D15A57"/>
    <w:rsid w:val="00D1681D"/>
    <w:rsid w:val="00D179BE"/>
    <w:rsid w:val="00D23AF6"/>
    <w:rsid w:val="00D24267"/>
    <w:rsid w:val="00D25B98"/>
    <w:rsid w:val="00D2629A"/>
    <w:rsid w:val="00D26F53"/>
    <w:rsid w:val="00D30837"/>
    <w:rsid w:val="00D3241C"/>
    <w:rsid w:val="00D33952"/>
    <w:rsid w:val="00D42064"/>
    <w:rsid w:val="00D42934"/>
    <w:rsid w:val="00D430F7"/>
    <w:rsid w:val="00D43E61"/>
    <w:rsid w:val="00D45B7E"/>
    <w:rsid w:val="00D45D49"/>
    <w:rsid w:val="00D46D6A"/>
    <w:rsid w:val="00D517E6"/>
    <w:rsid w:val="00D52EC8"/>
    <w:rsid w:val="00D5437C"/>
    <w:rsid w:val="00D55611"/>
    <w:rsid w:val="00D579C1"/>
    <w:rsid w:val="00D57B16"/>
    <w:rsid w:val="00D60677"/>
    <w:rsid w:val="00D6155D"/>
    <w:rsid w:val="00D633A7"/>
    <w:rsid w:val="00D63779"/>
    <w:rsid w:val="00D67F9A"/>
    <w:rsid w:val="00D70214"/>
    <w:rsid w:val="00D703F6"/>
    <w:rsid w:val="00D70F2B"/>
    <w:rsid w:val="00D76867"/>
    <w:rsid w:val="00D77C3A"/>
    <w:rsid w:val="00D81D66"/>
    <w:rsid w:val="00D83DE1"/>
    <w:rsid w:val="00D86FB4"/>
    <w:rsid w:val="00D91D8E"/>
    <w:rsid w:val="00D9217A"/>
    <w:rsid w:val="00D92955"/>
    <w:rsid w:val="00D92998"/>
    <w:rsid w:val="00D92C97"/>
    <w:rsid w:val="00DA058B"/>
    <w:rsid w:val="00DA10B3"/>
    <w:rsid w:val="00DA137B"/>
    <w:rsid w:val="00DA37DD"/>
    <w:rsid w:val="00DA3B2B"/>
    <w:rsid w:val="00DA5878"/>
    <w:rsid w:val="00DA68EA"/>
    <w:rsid w:val="00DA69C4"/>
    <w:rsid w:val="00DA7F54"/>
    <w:rsid w:val="00DB3260"/>
    <w:rsid w:val="00DB3377"/>
    <w:rsid w:val="00DB59F5"/>
    <w:rsid w:val="00DB5DD6"/>
    <w:rsid w:val="00DB681D"/>
    <w:rsid w:val="00DB6AE7"/>
    <w:rsid w:val="00DB7FCA"/>
    <w:rsid w:val="00DC0703"/>
    <w:rsid w:val="00DC188E"/>
    <w:rsid w:val="00DC3487"/>
    <w:rsid w:val="00DC789F"/>
    <w:rsid w:val="00DC7D20"/>
    <w:rsid w:val="00DD1CE5"/>
    <w:rsid w:val="00DD21A5"/>
    <w:rsid w:val="00DD2E0A"/>
    <w:rsid w:val="00DD68A3"/>
    <w:rsid w:val="00DE0B15"/>
    <w:rsid w:val="00DE0FC3"/>
    <w:rsid w:val="00DE1984"/>
    <w:rsid w:val="00DE23EB"/>
    <w:rsid w:val="00DE28F3"/>
    <w:rsid w:val="00DE34B4"/>
    <w:rsid w:val="00DE36F2"/>
    <w:rsid w:val="00DE39E4"/>
    <w:rsid w:val="00DE4056"/>
    <w:rsid w:val="00DE59EB"/>
    <w:rsid w:val="00DE692E"/>
    <w:rsid w:val="00DE6BDB"/>
    <w:rsid w:val="00DF0CC5"/>
    <w:rsid w:val="00DF1C9B"/>
    <w:rsid w:val="00DF1D09"/>
    <w:rsid w:val="00DF2B7E"/>
    <w:rsid w:val="00DF2E47"/>
    <w:rsid w:val="00DF33A8"/>
    <w:rsid w:val="00DF351A"/>
    <w:rsid w:val="00DF41AC"/>
    <w:rsid w:val="00DF6464"/>
    <w:rsid w:val="00E00D48"/>
    <w:rsid w:val="00E02F7A"/>
    <w:rsid w:val="00E03DA1"/>
    <w:rsid w:val="00E10974"/>
    <w:rsid w:val="00E12F01"/>
    <w:rsid w:val="00E13456"/>
    <w:rsid w:val="00E141A1"/>
    <w:rsid w:val="00E142EE"/>
    <w:rsid w:val="00E151E6"/>
    <w:rsid w:val="00E153AF"/>
    <w:rsid w:val="00E22229"/>
    <w:rsid w:val="00E27404"/>
    <w:rsid w:val="00E364C6"/>
    <w:rsid w:val="00E37B4C"/>
    <w:rsid w:val="00E4007F"/>
    <w:rsid w:val="00E40125"/>
    <w:rsid w:val="00E41DFF"/>
    <w:rsid w:val="00E4275D"/>
    <w:rsid w:val="00E43636"/>
    <w:rsid w:val="00E43CEF"/>
    <w:rsid w:val="00E4415B"/>
    <w:rsid w:val="00E447D2"/>
    <w:rsid w:val="00E4683D"/>
    <w:rsid w:val="00E47C62"/>
    <w:rsid w:val="00E50082"/>
    <w:rsid w:val="00E503CB"/>
    <w:rsid w:val="00E51046"/>
    <w:rsid w:val="00E520B3"/>
    <w:rsid w:val="00E60585"/>
    <w:rsid w:val="00E61E47"/>
    <w:rsid w:val="00E61FE1"/>
    <w:rsid w:val="00E6219E"/>
    <w:rsid w:val="00E65248"/>
    <w:rsid w:val="00E652EB"/>
    <w:rsid w:val="00E66A12"/>
    <w:rsid w:val="00E714BD"/>
    <w:rsid w:val="00E73924"/>
    <w:rsid w:val="00E75BBD"/>
    <w:rsid w:val="00E766C0"/>
    <w:rsid w:val="00E76E07"/>
    <w:rsid w:val="00E77CDD"/>
    <w:rsid w:val="00E83297"/>
    <w:rsid w:val="00E842A5"/>
    <w:rsid w:val="00E8431B"/>
    <w:rsid w:val="00E84848"/>
    <w:rsid w:val="00E84CEE"/>
    <w:rsid w:val="00E86662"/>
    <w:rsid w:val="00E931BE"/>
    <w:rsid w:val="00E93A68"/>
    <w:rsid w:val="00E9608A"/>
    <w:rsid w:val="00E96DA4"/>
    <w:rsid w:val="00EA201E"/>
    <w:rsid w:val="00EA76D3"/>
    <w:rsid w:val="00EB0830"/>
    <w:rsid w:val="00EB0B69"/>
    <w:rsid w:val="00EB1689"/>
    <w:rsid w:val="00EC159E"/>
    <w:rsid w:val="00EC468B"/>
    <w:rsid w:val="00EC7B84"/>
    <w:rsid w:val="00ED4CC0"/>
    <w:rsid w:val="00ED513E"/>
    <w:rsid w:val="00ED6DD0"/>
    <w:rsid w:val="00ED76DB"/>
    <w:rsid w:val="00EE22BB"/>
    <w:rsid w:val="00EF12E8"/>
    <w:rsid w:val="00F00003"/>
    <w:rsid w:val="00F00938"/>
    <w:rsid w:val="00F01533"/>
    <w:rsid w:val="00F0314A"/>
    <w:rsid w:val="00F05A8B"/>
    <w:rsid w:val="00F06F33"/>
    <w:rsid w:val="00F073B0"/>
    <w:rsid w:val="00F10C35"/>
    <w:rsid w:val="00F12AA8"/>
    <w:rsid w:val="00F14AB9"/>
    <w:rsid w:val="00F16280"/>
    <w:rsid w:val="00F20501"/>
    <w:rsid w:val="00F2328A"/>
    <w:rsid w:val="00F23805"/>
    <w:rsid w:val="00F2493A"/>
    <w:rsid w:val="00F2796D"/>
    <w:rsid w:val="00F30A59"/>
    <w:rsid w:val="00F321BD"/>
    <w:rsid w:val="00F35008"/>
    <w:rsid w:val="00F368C9"/>
    <w:rsid w:val="00F37031"/>
    <w:rsid w:val="00F40FF4"/>
    <w:rsid w:val="00F41FC9"/>
    <w:rsid w:val="00F437C8"/>
    <w:rsid w:val="00F438C9"/>
    <w:rsid w:val="00F43C6E"/>
    <w:rsid w:val="00F43E64"/>
    <w:rsid w:val="00F461D5"/>
    <w:rsid w:val="00F52240"/>
    <w:rsid w:val="00F53028"/>
    <w:rsid w:val="00F55711"/>
    <w:rsid w:val="00F5770A"/>
    <w:rsid w:val="00F60E07"/>
    <w:rsid w:val="00F627AB"/>
    <w:rsid w:val="00F6354B"/>
    <w:rsid w:val="00F64102"/>
    <w:rsid w:val="00F654E0"/>
    <w:rsid w:val="00F704B7"/>
    <w:rsid w:val="00F713A5"/>
    <w:rsid w:val="00F759CC"/>
    <w:rsid w:val="00F9039F"/>
    <w:rsid w:val="00F91C6A"/>
    <w:rsid w:val="00F939E2"/>
    <w:rsid w:val="00F9452B"/>
    <w:rsid w:val="00F95127"/>
    <w:rsid w:val="00F961DF"/>
    <w:rsid w:val="00FA2DAE"/>
    <w:rsid w:val="00FA486F"/>
    <w:rsid w:val="00FB0F1F"/>
    <w:rsid w:val="00FB6032"/>
    <w:rsid w:val="00FB68DB"/>
    <w:rsid w:val="00FB7404"/>
    <w:rsid w:val="00FB7D31"/>
    <w:rsid w:val="00FC0A11"/>
    <w:rsid w:val="00FC0C06"/>
    <w:rsid w:val="00FC248E"/>
    <w:rsid w:val="00FC3672"/>
    <w:rsid w:val="00FC55E9"/>
    <w:rsid w:val="00FC5B8A"/>
    <w:rsid w:val="00FC616F"/>
    <w:rsid w:val="00FD296D"/>
    <w:rsid w:val="00FD4D69"/>
    <w:rsid w:val="00FD569D"/>
    <w:rsid w:val="00FD5801"/>
    <w:rsid w:val="00FD652B"/>
    <w:rsid w:val="00FD78BF"/>
    <w:rsid w:val="00FE0271"/>
    <w:rsid w:val="00FE089D"/>
    <w:rsid w:val="00FE421E"/>
    <w:rsid w:val="00FE6014"/>
    <w:rsid w:val="00FE7F17"/>
    <w:rsid w:val="00FF1CA4"/>
    <w:rsid w:val="00FF2147"/>
    <w:rsid w:val="00FF678D"/>
    <w:rsid w:val="00FF7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810D05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locked="1" w:uiPriority="0"/>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A17D70"/>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0"/>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70"/>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9Char">
    <w:name w:val="Heading 9 Char"/>
    <w:basedOn w:val="DefaultParagraphFont"/>
    <w:link w:val="Heading9"/>
    <w:uiPriority w:val="99"/>
    <w:locked/>
    <w:rPr>
      <w:rFonts w:ascii="Corbel" w:hAnsi="Corbel" w:cs="Corbel"/>
      <w:color w:val="3D4B67"/>
      <w:sz w:val="36"/>
      <w:szCs w:val="36"/>
    </w:rPr>
  </w:style>
  <w:style w:type="paragraph" w:styleId="ListParagraph">
    <w:name w:val="List Paragraph"/>
    <w:aliases w:val="Bullet point,List Paragraph1,List Paragraph11,Recommendation,List Bullet 1,L"/>
    <w:basedOn w:val="Normal"/>
    <w:link w:val="ListParagraphChar"/>
    <w:uiPriority w:val="34"/>
    <w:qFormat/>
    <w:rsid w:val="00B21E7E"/>
    <w:pPr>
      <w:ind w:left="720"/>
    </w:pPr>
  </w:style>
  <w:style w:type="character" w:styleId="CommentReference">
    <w:name w:val="annotation reference"/>
    <w:basedOn w:val="DefaultParagraphFont"/>
    <w:rsid w:val="00B21E7E"/>
    <w:rPr>
      <w:rFonts w:cs="Times New Roman"/>
      <w:sz w:val="16"/>
      <w:szCs w:val="16"/>
    </w:rPr>
  </w:style>
  <w:style w:type="paragraph" w:styleId="CommentText">
    <w:name w:val="annotation text"/>
    <w:basedOn w:val="Normal"/>
    <w:link w:val="CommentTextChar"/>
    <w:uiPriority w:val="99"/>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ascii="Corbel" w:hAnsi="Corbel"/>
      <w:color w:val="000000" w:themeColor="text1"/>
      <w:sz w:val="23"/>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uiPriority w:val="99"/>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2"/>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3"/>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4"/>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4"/>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4"/>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7"/>
      </w:numPr>
      <w:spacing w:after="240" w:line="260" w:lineRule="exact"/>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5"/>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5"/>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5"/>
      </w:numPr>
      <w:spacing w:after="240" w:line="260" w:lineRule="exact"/>
      <w:jc w:val="both"/>
    </w:pPr>
    <w:rPr>
      <w:rFonts w:cs="Corbel"/>
      <w:color w:val="000000"/>
      <w:szCs w:val="23"/>
    </w:rPr>
  </w:style>
  <w:style w:type="paragraph" w:customStyle="1" w:styleId="Romannumeral">
    <w:name w:val="Roman numeral"/>
    <w:basedOn w:val="Normal"/>
    <w:uiPriority w:val="99"/>
    <w:pPr>
      <w:numPr>
        <w:numId w:val="6"/>
      </w:numPr>
      <w:spacing w:after="240" w:line="260" w:lineRule="exact"/>
      <w:jc w:val="both"/>
    </w:pPr>
    <w:rPr>
      <w:rFonts w:cs="Corbel"/>
      <w:color w:val="000000"/>
      <w:szCs w:val="23"/>
    </w:rPr>
  </w:style>
  <w:style w:type="paragraph" w:customStyle="1" w:styleId="ScheduleStartNnumber">
    <w:name w:val="ScheduleStartNnumber"/>
    <w:uiPriority w:val="99"/>
    <w:pPr>
      <w:numPr>
        <w:numId w:val="8"/>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8"/>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9"/>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1"/>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2"/>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3"/>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4"/>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15"/>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ascii="Corbel" w:hAnsi="Corbel"/>
      <w:color w:val="000000" w:themeColor="text1"/>
      <w:sz w:val="23"/>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 w:type="character" w:customStyle="1" w:styleId="ListParagraphChar">
    <w:name w:val="List Paragraph Char"/>
    <w:aliases w:val="Bullet point Char,List Paragraph1 Char,List Paragraph11 Char,Recommendation Char,List Bullet 1 Char,L Char"/>
    <w:link w:val="ListParagraph"/>
    <w:uiPriority w:val="34"/>
    <w:locked/>
    <w:rsid w:val="009B0906"/>
    <w:rPr>
      <w:rFonts w:ascii="Corbel" w:hAnsi="Corbel"/>
      <w:color w:val="000000" w:themeColor="text1"/>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22300">
      <w:marLeft w:val="0"/>
      <w:marRight w:val="0"/>
      <w:marTop w:val="0"/>
      <w:marBottom w:val="0"/>
      <w:divBdr>
        <w:top w:val="none" w:sz="0" w:space="0" w:color="auto"/>
        <w:left w:val="none" w:sz="0" w:space="0" w:color="auto"/>
        <w:bottom w:val="none" w:sz="0" w:space="0" w:color="auto"/>
        <w:right w:val="none" w:sz="0" w:space="0" w:color="auto"/>
      </w:divBdr>
    </w:div>
    <w:div w:id="903877159">
      <w:bodyDiv w:val="1"/>
      <w:marLeft w:val="0"/>
      <w:marRight w:val="0"/>
      <w:marTop w:val="0"/>
      <w:marBottom w:val="0"/>
      <w:divBdr>
        <w:top w:val="none" w:sz="0" w:space="0" w:color="auto"/>
        <w:left w:val="none" w:sz="0" w:space="0" w:color="auto"/>
        <w:bottom w:val="none" w:sz="0" w:space="0" w:color="auto"/>
        <w:right w:val="none" w:sz="0" w:space="0" w:color="auto"/>
      </w:divBdr>
    </w:div>
    <w:div w:id="1298486535">
      <w:bodyDiv w:val="1"/>
      <w:marLeft w:val="0"/>
      <w:marRight w:val="0"/>
      <w:marTop w:val="0"/>
      <w:marBottom w:val="0"/>
      <w:divBdr>
        <w:top w:val="none" w:sz="0" w:space="0" w:color="auto"/>
        <w:left w:val="none" w:sz="0" w:space="0" w:color="auto"/>
        <w:bottom w:val="none" w:sz="0" w:space="0" w:color="auto"/>
        <w:right w:val="none" w:sz="0" w:space="0" w:color="auto"/>
      </w:divBdr>
    </w:div>
    <w:div w:id="15517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281" ma:contentTypeDescription=" " ma:contentTypeScope="" ma:versionID="c548b12221df6193b92e317e9c35250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IconOverlay xmlns="http://schemas.microsoft.com/sharepoint/v4" xsi:nil="true"/>
    <_dlc_DocId xmlns="0f563589-9cf9-4143-b1eb-fb0534803d38">2019FG-64-58392</_dlc_DocId>
    <TaxCatchAll xmlns="0f563589-9cf9-4143-b1eb-fb0534803d38">
      <Value>2</Value>
    </TaxCatchAll>
    <_dlc_DocIdUrl xmlns="0f563589-9cf9-4143-b1eb-fb0534803d38">
      <Url>http://tweb/sites/fg/csrd/_layouts/15/DocIdRedir.aspx?ID=2019FG-64-58392</Url>
      <Description>2019FG-64-58392</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D862-8328-4B33-8B5D-984A0C1682CF}">
  <ds:schemaRefs>
    <ds:schemaRef ds:uri="http://schemas.microsoft.com/sharepoint/events"/>
  </ds:schemaRefs>
</ds:datastoreItem>
</file>

<file path=customXml/itemProps2.xml><?xml version="1.0" encoding="utf-8"?>
<ds:datastoreItem xmlns:ds="http://schemas.openxmlformats.org/officeDocument/2006/customXml" ds:itemID="{3B0FA614-BFD7-47BC-820C-E3C5E9D35CA7}">
  <ds:schemaRefs>
    <ds:schemaRef ds:uri="office.server.policy"/>
  </ds:schemaRefs>
</ds:datastoreItem>
</file>

<file path=customXml/itemProps3.xml><?xml version="1.0" encoding="utf-8"?>
<ds:datastoreItem xmlns:ds="http://schemas.openxmlformats.org/officeDocument/2006/customXml" ds:itemID="{81A3855C-537A-4A7F-ABBF-D84725D305FA}"/>
</file>

<file path=customXml/itemProps4.xml><?xml version="1.0" encoding="utf-8"?>
<ds:datastoreItem xmlns:ds="http://schemas.openxmlformats.org/officeDocument/2006/customXml" ds:itemID="{BE475156-FEA6-4E84-AA9F-22D63F8F3F6F}">
  <ds:schemaRefs>
    <ds:schemaRef ds:uri="http://schemas.microsoft.com/sharepoint/v3/contenttype/forms"/>
  </ds:schemaRefs>
</ds:datastoreItem>
</file>

<file path=customXml/itemProps5.xml><?xml version="1.0" encoding="utf-8"?>
<ds:datastoreItem xmlns:ds="http://schemas.openxmlformats.org/officeDocument/2006/customXml" ds:itemID="{C7547108-866B-4AF3-B004-909684EDD138}">
  <ds:schemaRefs>
    <ds:schemaRef ds:uri="Microsoft.SharePoint.Taxonomy.ContentTypeSync"/>
  </ds:schemaRefs>
</ds:datastoreItem>
</file>

<file path=customXml/itemProps6.xml><?xml version="1.0" encoding="utf-8"?>
<ds:datastoreItem xmlns:ds="http://schemas.openxmlformats.org/officeDocument/2006/customXml" ds:itemID="{EE8709D0-D2FE-4DBD-9BC8-81C8647DEDB5}">
  <ds:schemaRefs>
    <ds:schemaRef ds:uri="http://purl.org/dc/elements/1.1/"/>
    <ds:schemaRef ds:uri="http://schemas.microsoft.com/office/2006/metadata/properties"/>
    <ds:schemaRef ds:uri="e544e5cc-ab70-42e1-849e-1a0f8bb1f4ef"/>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0f563589-9cf9-4143-b1eb-fb0534803d38"/>
  </ds:schemaRefs>
</ds:datastoreItem>
</file>

<file path=customXml/itemProps7.xml><?xml version="1.0" encoding="utf-8"?>
<ds:datastoreItem xmlns:ds="http://schemas.openxmlformats.org/officeDocument/2006/customXml" ds:itemID="{A1D90FC2-568A-4BCB-8486-91D515A9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2463</Words>
  <Characters>14094</Characters>
  <Application>Microsoft Office Word</Application>
  <DocSecurity>0</DocSecurity>
  <Lines>770</Lines>
  <Paragraphs>169</Paragraphs>
  <ScaleCrop>false</ScaleCrop>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South Wales - Universal Access to Early Childhood Education - 2018 and 2019</dc:title>
  <dc:creator/>
  <cp:lastModifiedBy/>
  <cp:revision>1</cp:revision>
  <dcterms:created xsi:type="dcterms:W3CDTF">2019-04-26T03:59:00Z</dcterms:created>
  <dcterms:modified xsi:type="dcterms:W3CDTF">2019-04-26T03:59:00Z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39599fa6-d1bc-4e39-9743-0b37434db6db</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{39599fa6-d1bc-4e39-9743-0b37434db6db}</vt:lpwstr>
  </property>
  <property fmtid="{D5CDD505-2E9C-101B-9397-08002B2CF9AE}" pid="9" name="RecordPoint_ActiveItemWebId">
    <vt:lpwstr>{a4589788-615f-4b8b-8296-7f9f6dfbab44}</vt:lpwstr>
  </property>
  <property fmtid="{D5CDD505-2E9C-101B-9397-08002B2CF9AE}" pid="10" name="RecordPoint_RecordNumberSubmitted">
    <vt:lpwstr>R0002256756</vt:lpwstr>
  </property>
  <property fmtid="{D5CDD505-2E9C-101B-9397-08002B2CF9AE}" pid="11" name="RecordPoint_SubmissionCompleted">
    <vt:lpwstr>2020-04-24T15:06:03.8933402+10:00</vt:lpwstr>
  </property>
</Properties>
</file>