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817A" w14:textId="77777777" w:rsidR="0036688B" w:rsidRPr="001E7293" w:rsidRDefault="009576A0" w:rsidP="00A17D70">
      <w:pPr>
        <w:pStyle w:val="Title"/>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1FD06BF2" wp14:editId="19C9EC46">
                <wp:simplePos x="0" y="0"/>
                <wp:positionH relativeFrom="column">
                  <wp:posOffset>4898390</wp:posOffset>
                </wp:positionH>
                <wp:positionV relativeFrom="paragraph">
                  <wp:posOffset>-288925</wp:posOffset>
                </wp:positionV>
                <wp:extent cx="14554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554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1F48E" w14:textId="77777777" w:rsidR="009576A0" w:rsidRPr="009576A0" w:rsidRDefault="009576A0">
                            <w:pPr>
                              <w:rPr>
                                <w:rFonts w:ascii="Arial" w:hAnsi="Arial" w:cs="Arial"/>
                                <w:sz w:val="24"/>
                              </w:rPr>
                            </w:pPr>
                            <w:r w:rsidRPr="009576A0">
                              <w:rPr>
                                <w:rFonts w:ascii="Arial" w:hAnsi="Arial" w:cs="Arial"/>
                                <w:sz w:val="24"/>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06BF2" id="_x0000_t202" coordsize="21600,21600" o:spt="202" path="m,l,21600r21600,l21600,xe">
                <v:stroke joinstyle="miter"/>
                <v:path gradientshapeok="t" o:connecttype="rect"/>
              </v:shapetype>
              <v:shape id="Text Box 1" o:spid="_x0000_s1026" type="#_x0000_t202" style="position:absolute;margin-left:385.7pt;margin-top:-22.75pt;width:114.6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" fillcolor="white [3201]" stroked="f" strokeweight=".5pt">
                <v:textbox>
                  <w:txbxContent>
                    <w:p w14:paraId="7D01F48E" w14:textId="77777777" w:rsidR="009576A0" w:rsidRPr="009576A0" w:rsidRDefault="009576A0">
                      <w:pPr>
                        <w:rPr>
                          <w:rFonts w:ascii="Arial" w:hAnsi="Arial" w:cs="Arial"/>
                          <w:sz w:val="24"/>
                        </w:rPr>
                      </w:pPr>
                      <w:r w:rsidRPr="009576A0">
                        <w:rPr>
                          <w:rFonts w:ascii="Arial" w:hAnsi="Arial" w:cs="Arial"/>
                          <w:sz w:val="24"/>
                        </w:rPr>
                        <w:t>ATTACHMENT A</w:t>
                      </w:r>
                    </w:p>
                  </w:txbxContent>
                </v:textbox>
              </v:shape>
            </w:pict>
          </mc:Fallback>
        </mc:AlternateContent>
      </w:r>
      <w:r w:rsidR="000B2FCE">
        <w:t>Northern Territory</w:t>
      </w:r>
      <w:r w:rsidR="00921651" w:rsidRPr="001E7293">
        <w:t xml:space="preserve"> Implementation Plan</w:t>
      </w:r>
    </w:p>
    <w:p w14:paraId="032DEF94" w14:textId="77777777" w:rsidR="0036688B" w:rsidRPr="001E7293" w:rsidRDefault="00B934F5" w:rsidP="00E96DA4">
      <w:pPr>
        <w:pStyle w:val="Subtitle"/>
        <w:spacing w:after="120"/>
      </w:pPr>
      <w:r w:rsidRPr="001E7293">
        <w:t xml:space="preserve">National Partnership </w:t>
      </w:r>
      <w:r w:rsidR="0036688B" w:rsidRPr="001E7293">
        <w:t>on</w:t>
      </w:r>
      <w:r w:rsidR="00D26F53" w:rsidRPr="001E7293">
        <w:t xml:space="preserve"> UNIVERSAL ACCESS TO EARLY CHILDHOOD EDUCATION </w:t>
      </w:r>
      <w:r w:rsidR="007B4BA6" w:rsidRPr="00EF2899">
        <w:t>2018</w:t>
      </w:r>
      <w:r w:rsidR="00EF2899">
        <w:t xml:space="preserve"> and 2019</w:t>
      </w:r>
    </w:p>
    <w:p w14:paraId="144CB478" w14:textId="77777777" w:rsidR="0036688B" w:rsidRPr="001E7293" w:rsidRDefault="0036688B" w:rsidP="00354A85">
      <w:pPr>
        <w:pStyle w:val="Heading1"/>
      </w:pPr>
      <w:r w:rsidRPr="001E7293">
        <w:t>Part 1: Preliminaries</w:t>
      </w:r>
    </w:p>
    <w:p w14:paraId="5DB41FCF" w14:textId="77777777" w:rsidR="00354A85" w:rsidRPr="001E7293" w:rsidRDefault="00354A85" w:rsidP="00354A85">
      <w:pPr>
        <w:keepNext/>
        <w:keepLines/>
      </w:pPr>
    </w:p>
    <w:p w14:paraId="62352C3A" w14:textId="77777777" w:rsidR="001918B1" w:rsidRPr="001E7293" w:rsidRDefault="001918B1" w:rsidP="00354A85">
      <w:pPr>
        <w:pStyle w:val="Normalnumbered"/>
        <w:keepNext/>
        <w:keepLines/>
        <w:spacing w:after="240"/>
      </w:pPr>
      <w:r w:rsidRPr="001E7293">
        <w:t xml:space="preserve">This </w:t>
      </w:r>
      <w:r w:rsidR="00E47C62" w:rsidRPr="001E7293">
        <w:t>Implementation Plan</w:t>
      </w:r>
      <w:r w:rsidRPr="001E7293">
        <w:t xml:space="preserve"> is </w:t>
      </w:r>
      <w:r w:rsidR="00C22701" w:rsidRPr="001E7293">
        <w:t>a schedule to</w:t>
      </w:r>
      <w:r w:rsidRPr="001E7293">
        <w:t xml:space="preserve"> the National Partnership on </w:t>
      </w:r>
      <w:r w:rsidR="003C4F3C" w:rsidRPr="001E7293">
        <w:t>Universal Acces</w:t>
      </w:r>
      <w:r w:rsidR="00C7680E">
        <w:t>s to Early Childhood Education</w:t>
      </w:r>
      <w:r w:rsidR="003C4F3C" w:rsidRPr="001E7293">
        <w:t xml:space="preserve"> </w:t>
      </w:r>
      <w:r w:rsidR="007B4BA6" w:rsidRPr="00EF2899">
        <w:t>2018</w:t>
      </w:r>
      <w:r w:rsidR="009C2144" w:rsidRPr="00EF2899">
        <w:t xml:space="preserve"> and 2019</w:t>
      </w:r>
      <w:r w:rsidR="003C4F3C" w:rsidRPr="001E7293">
        <w:t xml:space="preserve"> </w:t>
      </w:r>
      <w:r w:rsidR="00E86662" w:rsidRPr="001E7293">
        <w:t xml:space="preserve">(the National Partnership) </w:t>
      </w:r>
      <w:r w:rsidRPr="001E7293">
        <w:t>and should be read in conjunction with that Agreement.</w:t>
      </w:r>
    </w:p>
    <w:p w14:paraId="2CEE99B8" w14:textId="77777777" w:rsidR="00E652EB" w:rsidRPr="001E7293" w:rsidRDefault="00E652EB" w:rsidP="00354A85">
      <w:pPr>
        <w:pStyle w:val="Normalnumbered"/>
        <w:keepNext/>
        <w:keepLines/>
        <w:spacing w:after="240"/>
      </w:pPr>
      <w:r w:rsidRPr="001E7293">
        <w:rPr>
          <w:rFonts w:eastAsia="Calibri"/>
          <w:color w:val="000000"/>
          <w:szCs w:val="23"/>
        </w:rPr>
        <w:t>The objective of the National Partnership is to facilitate children’s early learning and development and transition to school by maintaining universal access</w:t>
      </w:r>
      <w:r w:rsidRPr="001E7293" w:rsidDel="00DC012C">
        <w:rPr>
          <w:rFonts w:eastAsia="Calibri"/>
          <w:color w:val="000000"/>
          <w:szCs w:val="23"/>
        </w:rPr>
        <w:t xml:space="preserve"> </w:t>
      </w:r>
      <w:r w:rsidRPr="001E7293">
        <w:rPr>
          <w:rFonts w:eastAsia="Calibri"/>
          <w:color w:val="000000"/>
          <w:szCs w:val="23"/>
        </w:rPr>
        <w:t xml:space="preserve">to, and improving participation in, affordable, quality early childhood education </w:t>
      </w:r>
      <w:r w:rsidR="007B4BA6" w:rsidRPr="001E7293">
        <w:rPr>
          <w:rFonts w:eastAsia="Calibri"/>
          <w:color w:val="000000"/>
          <w:szCs w:val="23"/>
        </w:rPr>
        <w:t>program</w:t>
      </w:r>
      <w:r w:rsidRPr="001E7293">
        <w:rPr>
          <w:rFonts w:eastAsia="Calibri"/>
          <w:color w:val="000000"/>
          <w:szCs w:val="23"/>
        </w:rPr>
        <w:t>s for all children.</w:t>
      </w:r>
    </w:p>
    <w:p w14:paraId="588BE9DB" w14:textId="77777777" w:rsidR="00924EF4" w:rsidRPr="001E7293" w:rsidRDefault="003C4F3C" w:rsidP="00924EF4">
      <w:pPr>
        <w:pStyle w:val="Normalnumbered"/>
        <w:spacing w:after="240"/>
        <w:rPr>
          <w:szCs w:val="23"/>
        </w:rPr>
      </w:pPr>
      <w:r w:rsidRPr="001E7293">
        <w:t>Th</w:t>
      </w:r>
      <w:r w:rsidR="00E652EB" w:rsidRPr="001E7293">
        <w:t>is</w:t>
      </w:r>
      <w:r w:rsidRPr="001E7293">
        <w:t xml:space="preserve"> objective</w:t>
      </w:r>
      <w:r w:rsidR="00E652EB" w:rsidRPr="001E7293">
        <w:rPr>
          <w:szCs w:val="23"/>
        </w:rPr>
        <w:t xml:space="preserve"> is to be achieved through </w:t>
      </w:r>
      <w:r w:rsidRPr="001E7293">
        <w:rPr>
          <w:szCs w:val="23"/>
        </w:rPr>
        <w:t xml:space="preserve">universal access to quality early childhood education </w:t>
      </w:r>
      <w:r w:rsidR="007B4BA6" w:rsidRPr="001E7293">
        <w:rPr>
          <w:szCs w:val="23"/>
        </w:rPr>
        <w:t>program</w:t>
      </w:r>
      <w:r w:rsidRPr="001E7293">
        <w:rPr>
          <w:szCs w:val="23"/>
        </w:rPr>
        <w:t>(s)</w:t>
      </w:r>
      <w:r w:rsidR="00C149F7">
        <w:rPr>
          <w:szCs w:val="23"/>
        </w:rPr>
        <w:t xml:space="preserve"> for all children enrolled in the year before full-time school</w:t>
      </w:r>
      <w:r w:rsidRPr="001E7293">
        <w:rPr>
          <w:szCs w:val="23"/>
        </w:rPr>
        <w:t xml:space="preserve"> </w:t>
      </w:r>
      <w:r w:rsidR="009C38C1" w:rsidRPr="001E7293">
        <w:rPr>
          <w:szCs w:val="23"/>
        </w:rPr>
        <w:t xml:space="preserve">for 600 hours per year, delivered by a qualified early childhood teacher who meets </w:t>
      </w:r>
      <w:r w:rsidR="00CF5CD5" w:rsidRPr="001E7293">
        <w:rPr>
          <w:szCs w:val="23"/>
        </w:rPr>
        <w:t xml:space="preserve">National Quality Framework </w:t>
      </w:r>
      <w:r w:rsidR="009C38C1" w:rsidRPr="001E7293">
        <w:rPr>
          <w:szCs w:val="23"/>
        </w:rPr>
        <w:t xml:space="preserve">requirements, and with a focus on participation by </w:t>
      </w:r>
      <w:r w:rsidR="00FF101E">
        <w:rPr>
          <w:szCs w:val="23"/>
        </w:rPr>
        <w:t>Indigenous</w:t>
      </w:r>
      <w:r w:rsidR="009C38C1" w:rsidRPr="001E7293">
        <w:rPr>
          <w:szCs w:val="23"/>
        </w:rPr>
        <w:t xml:space="preserve">, vulnerable and disadvantaged children, regardless of the setting in which </w:t>
      </w:r>
      <w:r w:rsidR="007B4BA6" w:rsidRPr="001E7293">
        <w:rPr>
          <w:szCs w:val="23"/>
        </w:rPr>
        <w:t>program</w:t>
      </w:r>
      <w:r w:rsidR="009C38C1" w:rsidRPr="001E7293">
        <w:rPr>
          <w:szCs w:val="23"/>
        </w:rPr>
        <w:t>s are delivered</w:t>
      </w:r>
      <w:r w:rsidR="00924EF4" w:rsidRPr="001E7293">
        <w:rPr>
          <w:szCs w:val="23"/>
        </w:rPr>
        <w:t>.</w:t>
      </w:r>
    </w:p>
    <w:p w14:paraId="0A975160" w14:textId="77777777" w:rsidR="00E652EB" w:rsidRPr="001E7293" w:rsidRDefault="00E652EB" w:rsidP="00E652EB">
      <w:pPr>
        <w:pStyle w:val="Normalnumbered"/>
        <w:keepNext/>
        <w:keepLines/>
        <w:spacing w:after="240"/>
        <w:rPr>
          <w:rFonts w:eastAsia="Calibri"/>
          <w:color w:val="000000"/>
          <w:szCs w:val="23"/>
        </w:rPr>
      </w:pPr>
      <w:r w:rsidRPr="001E7293">
        <w:rPr>
          <w:rFonts w:eastAsia="Calibri"/>
          <w:color w:val="000000"/>
          <w:szCs w:val="23"/>
        </w:rPr>
        <w:t xml:space="preserve">Children living in remote </w:t>
      </w:r>
      <w:r w:rsidR="005B1927">
        <w:rPr>
          <w:rFonts w:eastAsia="Calibri"/>
          <w:color w:val="000000"/>
          <w:szCs w:val="23"/>
        </w:rPr>
        <w:t>Indigenous</w:t>
      </w:r>
      <w:r w:rsidR="005B1927" w:rsidRPr="001E7293">
        <w:rPr>
          <w:rFonts w:eastAsia="Calibri"/>
          <w:color w:val="000000"/>
          <w:szCs w:val="23"/>
        </w:rPr>
        <w:t xml:space="preserve"> </w:t>
      </w:r>
      <w:r w:rsidRPr="001E7293">
        <w:rPr>
          <w:rFonts w:eastAsia="Calibri"/>
          <w:color w:val="000000"/>
          <w:szCs w:val="23"/>
        </w:rPr>
        <w:t>communities remain a focus for universal access.</w:t>
      </w:r>
    </w:p>
    <w:p w14:paraId="6A19890B" w14:textId="77777777" w:rsidR="003E230C" w:rsidRPr="001E7293" w:rsidRDefault="003E230C" w:rsidP="00A17D70">
      <w:pPr>
        <w:pStyle w:val="Heading1"/>
      </w:pPr>
      <w:r w:rsidRPr="001E7293">
        <w:t xml:space="preserve">Part 2: Terms of this </w:t>
      </w:r>
      <w:r w:rsidR="00E47C62" w:rsidRPr="001E7293">
        <w:t>Implementation Plan</w:t>
      </w:r>
    </w:p>
    <w:p w14:paraId="70AB5B89" w14:textId="77777777" w:rsidR="003E230C" w:rsidRPr="001E7293" w:rsidRDefault="003E230C" w:rsidP="003E230C"/>
    <w:p w14:paraId="78E3903A"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commence as soon as </w:t>
      </w:r>
      <w:r w:rsidR="006923B2">
        <w:rPr>
          <w:szCs w:val="23"/>
        </w:rPr>
        <w:t>an agreement to its content is reached</w:t>
      </w:r>
      <w:r w:rsidRPr="001E7293">
        <w:rPr>
          <w:szCs w:val="23"/>
        </w:rPr>
        <w:t xml:space="preserve"> between the Commonwealth of Australia, represented by the Minister for </w:t>
      </w:r>
      <w:r w:rsidR="0093776A" w:rsidRPr="001E7293">
        <w:rPr>
          <w:szCs w:val="23"/>
        </w:rPr>
        <w:t>Education</w:t>
      </w:r>
      <w:r w:rsidR="00DD3CB3">
        <w:rPr>
          <w:szCs w:val="23"/>
        </w:rPr>
        <w:t>, and the</w:t>
      </w:r>
      <w:r w:rsidRPr="001E7293">
        <w:rPr>
          <w:szCs w:val="23"/>
        </w:rPr>
        <w:t xml:space="preserve"> </w:t>
      </w:r>
      <w:r w:rsidR="00DD3CB3">
        <w:rPr>
          <w:szCs w:val="23"/>
        </w:rPr>
        <w:t>Northern Territory</w:t>
      </w:r>
      <w:r w:rsidRPr="001E7293">
        <w:rPr>
          <w:szCs w:val="23"/>
        </w:rPr>
        <w:t>, represented by the Minister</w:t>
      </w:r>
      <w:r w:rsidR="00E9075E">
        <w:rPr>
          <w:szCs w:val="23"/>
        </w:rPr>
        <w:t xml:space="preserve"> </w:t>
      </w:r>
      <w:r w:rsidRPr="001E7293">
        <w:rPr>
          <w:szCs w:val="23"/>
        </w:rPr>
        <w:t>for</w:t>
      </w:r>
      <w:r w:rsidR="005F5787" w:rsidRPr="001E7293">
        <w:rPr>
          <w:szCs w:val="23"/>
        </w:rPr>
        <w:t xml:space="preserve"> </w:t>
      </w:r>
      <w:r w:rsidR="00DD3CB3">
        <w:rPr>
          <w:szCs w:val="23"/>
        </w:rPr>
        <w:t>Education</w:t>
      </w:r>
      <w:r w:rsidRPr="001E7293">
        <w:rPr>
          <w:szCs w:val="23"/>
        </w:rPr>
        <w:t>.</w:t>
      </w:r>
    </w:p>
    <w:p w14:paraId="4D20EBD8" w14:textId="77777777" w:rsidR="0036688B" w:rsidRDefault="0036688B" w:rsidP="007A1B28">
      <w:pPr>
        <w:pStyle w:val="Normalnumbered"/>
        <w:spacing w:after="240"/>
      </w:pPr>
      <w:r w:rsidRPr="001E7293">
        <w:t xml:space="preserve">As a schedule to the National Partnership, the purpose of this </w:t>
      </w:r>
      <w:r w:rsidR="00E47C62" w:rsidRPr="001E7293">
        <w:t>Implementation Plan</w:t>
      </w:r>
      <w:r w:rsidRPr="001E7293">
        <w:t xml:space="preserve"> is to provide the public with </w:t>
      </w:r>
      <w:r w:rsidR="007B7FDC" w:rsidRPr="001E7293">
        <w:t>an indication of</w:t>
      </w:r>
      <w:r w:rsidRPr="001E7293">
        <w:t xml:space="preserve"> </w:t>
      </w:r>
      <w:r w:rsidR="00855BF2">
        <w:t>the manner in which</w:t>
      </w:r>
      <w:r w:rsidR="00855BF2" w:rsidRPr="001E7293">
        <w:t xml:space="preserve"> </w:t>
      </w:r>
      <w:r w:rsidR="007A1B28" w:rsidRPr="001E7293">
        <w:t>universal access</w:t>
      </w:r>
      <w:r w:rsidRPr="001E7293">
        <w:t xml:space="preserve"> </w:t>
      </w:r>
      <w:r w:rsidR="00855BF2">
        <w:t>will</w:t>
      </w:r>
      <w:r w:rsidR="00903874" w:rsidRPr="001E7293">
        <w:t xml:space="preserve"> be</w:t>
      </w:r>
      <w:r w:rsidRPr="001E7293">
        <w:t xml:space="preserve"> delivered</w:t>
      </w:r>
      <w:r w:rsidR="007B7FDC" w:rsidRPr="001E7293">
        <w:t xml:space="preserve"> and demonstrate </w:t>
      </w:r>
      <w:r w:rsidR="00E92150">
        <w:t xml:space="preserve">the </w:t>
      </w:r>
      <w:r w:rsidR="00DD3CB3">
        <w:t>Northern Territory</w:t>
      </w:r>
      <w:r w:rsidR="007B7FDC" w:rsidRPr="001E7293">
        <w:t xml:space="preserve">’s capacity to achieve the outcomes of the </w:t>
      </w:r>
      <w:r w:rsidR="002E328E" w:rsidRPr="001E7293">
        <w:t>National Partnership</w:t>
      </w:r>
      <w:r w:rsidRPr="001E7293">
        <w:t>.</w:t>
      </w:r>
    </w:p>
    <w:p w14:paraId="0304912B" w14:textId="77777777" w:rsidR="00241444" w:rsidRPr="001E7293" w:rsidRDefault="00241444" w:rsidP="007A1B28">
      <w:pPr>
        <w:pStyle w:val="Normalnumbered"/>
        <w:spacing w:after="240"/>
      </w:pPr>
      <w:r>
        <w:t xml:space="preserve">This Implementation Plan </w:t>
      </w:r>
      <w:r w:rsidR="00BA054D">
        <w:t>s</w:t>
      </w:r>
      <w:r>
        <w:t xml:space="preserve">upports the national approach to regulation and quality assessment of education and care services consistent with the </w:t>
      </w:r>
      <w:r w:rsidR="00BA054D">
        <w:t>National Quality Framework</w:t>
      </w:r>
      <w:r>
        <w:t>.</w:t>
      </w:r>
    </w:p>
    <w:p w14:paraId="6141CDF9"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will cease </w:t>
      </w:r>
      <w:r w:rsidR="006923B2">
        <w:rPr>
          <w:szCs w:val="23"/>
        </w:rPr>
        <w:t>up</w:t>
      </w:r>
      <w:r w:rsidRPr="001E7293">
        <w:rPr>
          <w:szCs w:val="23"/>
        </w:rPr>
        <w:t xml:space="preserve">on completion </w:t>
      </w:r>
      <w:r w:rsidR="00F9039F" w:rsidRPr="001E7293">
        <w:rPr>
          <w:szCs w:val="23"/>
        </w:rPr>
        <w:t xml:space="preserve">or termination </w:t>
      </w:r>
      <w:r w:rsidRPr="001E7293">
        <w:rPr>
          <w:szCs w:val="23"/>
        </w:rPr>
        <w:t xml:space="preserve">of </w:t>
      </w:r>
      <w:r w:rsidR="00AC5296" w:rsidRPr="001E7293">
        <w:rPr>
          <w:szCs w:val="23"/>
        </w:rPr>
        <w:t>the National</w:t>
      </w:r>
      <w:r w:rsidR="00E92150">
        <w:rPr>
          <w:szCs w:val="23"/>
        </w:rPr>
        <w:t xml:space="preserve"> </w:t>
      </w:r>
      <w:r w:rsidR="00AC5296" w:rsidRPr="001E7293">
        <w:rPr>
          <w:szCs w:val="23"/>
        </w:rPr>
        <w:t>Partnership</w:t>
      </w:r>
      <w:r w:rsidR="00BC5FA5" w:rsidRPr="001E7293">
        <w:rPr>
          <w:szCs w:val="23"/>
        </w:rPr>
        <w:t>, including final performance reporting and processing of final payments against performance benchmarks or milestones.</w:t>
      </w:r>
    </w:p>
    <w:p w14:paraId="3487C1DF" w14:textId="77777777" w:rsidR="0036688B" w:rsidRPr="001E7293" w:rsidRDefault="0036688B" w:rsidP="0036688B">
      <w:pPr>
        <w:pStyle w:val="Normalnumbered"/>
        <w:spacing w:after="240" w:line="260" w:lineRule="exact"/>
        <w:rPr>
          <w:szCs w:val="23"/>
        </w:rPr>
      </w:pPr>
      <w:r w:rsidRPr="001E7293">
        <w:rPr>
          <w:szCs w:val="23"/>
        </w:rPr>
        <w:t xml:space="preserve">This </w:t>
      </w:r>
      <w:r w:rsidR="00E47C62" w:rsidRPr="001E7293">
        <w:rPr>
          <w:szCs w:val="23"/>
        </w:rPr>
        <w:t>Implementation Plan</w:t>
      </w:r>
      <w:r w:rsidRPr="001E7293">
        <w:rPr>
          <w:szCs w:val="23"/>
        </w:rPr>
        <w:t xml:space="preserve"> may be varied by written agreement between the </w:t>
      </w:r>
      <w:r w:rsidR="006923B2">
        <w:rPr>
          <w:szCs w:val="23"/>
        </w:rPr>
        <w:t xml:space="preserve">responsible </w:t>
      </w:r>
      <w:r w:rsidR="00D3241C" w:rsidRPr="001E7293">
        <w:rPr>
          <w:szCs w:val="23"/>
        </w:rPr>
        <w:t xml:space="preserve">Commonwealth and </w:t>
      </w:r>
      <w:r w:rsidR="007A6992">
        <w:rPr>
          <w:szCs w:val="23"/>
        </w:rPr>
        <w:t>s</w:t>
      </w:r>
      <w:r w:rsidR="007A6992" w:rsidRPr="001E7293">
        <w:rPr>
          <w:szCs w:val="23"/>
        </w:rPr>
        <w:t>tate</w:t>
      </w:r>
      <w:r w:rsidR="007A6992">
        <w:rPr>
          <w:szCs w:val="23"/>
        </w:rPr>
        <w:t>/territory</w:t>
      </w:r>
      <w:r w:rsidR="007A6992" w:rsidRPr="001E7293">
        <w:rPr>
          <w:szCs w:val="23"/>
        </w:rPr>
        <w:t xml:space="preserve"> </w:t>
      </w:r>
      <w:r w:rsidR="007A6992">
        <w:rPr>
          <w:szCs w:val="23"/>
        </w:rPr>
        <w:t>m</w:t>
      </w:r>
      <w:r w:rsidR="007A6992" w:rsidRPr="001E7293">
        <w:rPr>
          <w:szCs w:val="23"/>
        </w:rPr>
        <w:t xml:space="preserve">inister </w:t>
      </w:r>
      <w:r w:rsidR="00D3241C" w:rsidRPr="001E7293">
        <w:rPr>
          <w:szCs w:val="23"/>
        </w:rPr>
        <w:t>under the overarching National</w:t>
      </w:r>
      <w:r w:rsidR="00E92150">
        <w:t xml:space="preserve"> </w:t>
      </w:r>
      <w:r w:rsidR="00D3241C" w:rsidRPr="001E7293">
        <w:rPr>
          <w:szCs w:val="23"/>
        </w:rPr>
        <w:t>Partnership</w:t>
      </w:r>
      <w:r w:rsidRPr="001E7293">
        <w:rPr>
          <w:szCs w:val="23"/>
        </w:rPr>
        <w:t>.</w:t>
      </w:r>
    </w:p>
    <w:p w14:paraId="57254E85" w14:textId="77777777" w:rsidR="0036688B" w:rsidRPr="001E7293" w:rsidRDefault="0036688B" w:rsidP="0036688B">
      <w:pPr>
        <w:pStyle w:val="Normalnumbered"/>
        <w:spacing w:after="240" w:line="260" w:lineRule="exact"/>
        <w:rPr>
          <w:szCs w:val="23"/>
        </w:rPr>
      </w:pPr>
      <w:r w:rsidRPr="001E7293">
        <w:rPr>
          <w:szCs w:val="23"/>
        </w:rPr>
        <w:t xml:space="preserve">The Parties to this </w:t>
      </w:r>
      <w:r w:rsidR="00E47C62" w:rsidRPr="001E7293">
        <w:rPr>
          <w:szCs w:val="23"/>
        </w:rPr>
        <w:t>Implementation Plan</w:t>
      </w:r>
      <w:r w:rsidRPr="001E7293">
        <w:rPr>
          <w:szCs w:val="23"/>
        </w:rPr>
        <w:t xml:space="preserve"> do not intend any of the provisions to be legally enforceable. However, </w:t>
      </w:r>
      <w:r w:rsidR="00C16BEA">
        <w:rPr>
          <w:szCs w:val="23"/>
        </w:rPr>
        <w:t>this</w:t>
      </w:r>
      <w:r w:rsidR="00C16BEA" w:rsidRPr="001E7293">
        <w:rPr>
          <w:szCs w:val="23"/>
        </w:rPr>
        <w:t xml:space="preserve"> </w:t>
      </w:r>
      <w:r w:rsidRPr="001E7293">
        <w:rPr>
          <w:szCs w:val="23"/>
        </w:rPr>
        <w:t xml:space="preserve">does not lessen the Parties’ commitment to </w:t>
      </w:r>
      <w:r w:rsidR="00CD5739" w:rsidRPr="001E7293">
        <w:rPr>
          <w:szCs w:val="23"/>
        </w:rPr>
        <w:t xml:space="preserve">the plan and its full </w:t>
      </w:r>
      <w:r w:rsidRPr="001E7293">
        <w:rPr>
          <w:szCs w:val="23"/>
        </w:rPr>
        <w:t>implementation.</w:t>
      </w:r>
    </w:p>
    <w:p w14:paraId="4D421B3C" w14:textId="77777777" w:rsidR="0036688B" w:rsidRPr="001E7293" w:rsidRDefault="0036688B" w:rsidP="005F2AA4">
      <w:pPr>
        <w:pStyle w:val="Heading1"/>
        <w:ind w:right="-569"/>
      </w:pPr>
      <w:r w:rsidRPr="001E7293">
        <w:lastRenderedPageBreak/>
        <w:t xml:space="preserve">Part </w:t>
      </w:r>
      <w:r w:rsidR="00C26A29" w:rsidRPr="001E7293">
        <w:t>3</w:t>
      </w:r>
      <w:r w:rsidRPr="001E7293">
        <w:t xml:space="preserve">: Strategy for </w:t>
      </w:r>
      <w:r w:rsidR="000B2FCE">
        <w:t>Northern Territory</w:t>
      </w:r>
      <w:r w:rsidRPr="001E7293">
        <w:t xml:space="preserve"> implementation</w:t>
      </w:r>
    </w:p>
    <w:p w14:paraId="7C1B9B3E" w14:textId="77777777" w:rsidR="00354A85" w:rsidRPr="001E7293" w:rsidRDefault="00354A85" w:rsidP="00354A85"/>
    <w:p w14:paraId="4A1FA08B" w14:textId="77777777" w:rsidR="0036688B" w:rsidRPr="001E7293" w:rsidRDefault="0036688B" w:rsidP="00354A85">
      <w:pPr>
        <w:pStyle w:val="Heading2"/>
        <w:spacing w:before="0"/>
      </w:pPr>
      <w:r w:rsidRPr="001E7293">
        <w:t>Project information</w:t>
      </w:r>
    </w:p>
    <w:p w14:paraId="3A5EDAA0" w14:textId="77777777" w:rsidR="001A4374" w:rsidRDefault="001A4374" w:rsidP="001A4374">
      <w:pPr>
        <w:pStyle w:val="Normalnumbered"/>
        <w:spacing w:after="240" w:line="260" w:lineRule="exact"/>
      </w:pPr>
      <w:r w:rsidRPr="001E7293">
        <w:t xml:space="preserve">The National Partnership reaffirms the commitment to provide universal access to, and improved participation by, children in quality early childhood education </w:t>
      </w:r>
      <w:r w:rsidR="007B4BA6" w:rsidRPr="001E7293">
        <w:t>program</w:t>
      </w:r>
      <w:r w:rsidRPr="001E7293">
        <w:t>s in the year before</w:t>
      </w:r>
      <w:r w:rsidR="00C72D3D">
        <w:t xml:space="preserve"> commencing</w:t>
      </w:r>
      <w:r w:rsidRPr="001E7293">
        <w:t xml:space="preserve"> full-time school</w:t>
      </w:r>
      <w:r w:rsidR="00C72D3D">
        <w:t>ing</w:t>
      </w:r>
      <w:r w:rsidRPr="001E7293">
        <w:t xml:space="preserve">, with a focus on </w:t>
      </w:r>
      <w:r w:rsidR="006E7CAA">
        <w:t>Indigenous</w:t>
      </w:r>
      <w:r w:rsidR="006E7CAA" w:rsidRPr="001E7293">
        <w:t xml:space="preserve"> </w:t>
      </w:r>
      <w:r w:rsidR="00DF2E47" w:rsidRPr="001E7293">
        <w:t xml:space="preserve">and </w:t>
      </w:r>
      <w:r w:rsidRPr="001E7293">
        <w:t xml:space="preserve">vulnerable and disadvantaged children and in a manner that meets the needs of children, parents and communities </w:t>
      </w:r>
      <w:r w:rsidR="00DF2E47" w:rsidRPr="001E7293">
        <w:t xml:space="preserve">at a cost which does not present a </w:t>
      </w:r>
      <w:r w:rsidRPr="001E7293">
        <w:t>barrier to participation.</w:t>
      </w:r>
    </w:p>
    <w:p w14:paraId="63F5F5B4" w14:textId="77777777" w:rsidR="00241444" w:rsidRPr="001E7293" w:rsidRDefault="00241444" w:rsidP="001A4374">
      <w:pPr>
        <w:pStyle w:val="Normalnumbered"/>
        <w:spacing w:after="240" w:line="260" w:lineRule="exact"/>
      </w:pPr>
      <w:r>
        <w:t>Commonwealth, state and territory governments will collaborate to develop a nationally agreed definition of vulnerable and disadvantaged children over time. In the Northern Territory, vulnerable and disadvantaged children are provisionally defined as children who reside in communities identified in the 2015 Australian Early Development Census as having above the national average rates of vulnerability in two or more domains.</w:t>
      </w:r>
    </w:p>
    <w:p w14:paraId="6DDFE277" w14:textId="77777777" w:rsidR="00D03F9B" w:rsidRPr="001E7293" w:rsidRDefault="0036688B" w:rsidP="00B94B66">
      <w:pPr>
        <w:pStyle w:val="Normalnumbered"/>
      </w:pPr>
      <w:r w:rsidRPr="001E7293">
        <w:t>The project</w:t>
      </w:r>
      <w:r w:rsidR="00432B5D" w:rsidRPr="001E7293">
        <w:t xml:space="preserve"> element</w:t>
      </w:r>
      <w:r w:rsidRPr="001E7293">
        <w:t>s planned are</w:t>
      </w:r>
      <w:r w:rsidR="00DD3CB3">
        <w:t xml:space="preserve"> detailed in Table 1</w:t>
      </w:r>
      <w:r w:rsidR="0052412D" w:rsidRPr="001E7293">
        <w:t>:</w:t>
      </w:r>
      <w:r w:rsidR="00DD3CB3">
        <w:t xml:space="preserve"> Project elements</w:t>
      </w:r>
      <w:r w:rsidR="00C72D3D">
        <w:t>.</w:t>
      </w:r>
    </w:p>
    <w:p w14:paraId="40FFD489" w14:textId="77777777" w:rsidR="0036688B" w:rsidRPr="001E7293" w:rsidRDefault="0036688B" w:rsidP="00435B33">
      <w:pPr>
        <w:pStyle w:val="Heading3"/>
        <w:keepLines/>
        <w:spacing w:after="120"/>
      </w:pPr>
      <w:r w:rsidRPr="001E7293">
        <w:t xml:space="preserve">Table 1: Project </w:t>
      </w:r>
      <w:r w:rsidR="00432B5D" w:rsidRPr="001E7293">
        <w:t>elements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126"/>
        <w:gridCol w:w="2973"/>
        <w:gridCol w:w="1275"/>
        <w:gridCol w:w="1132"/>
        <w:gridCol w:w="1419"/>
      </w:tblGrid>
      <w:tr w:rsidR="009C2144" w:rsidRPr="001E7293" w14:paraId="56EC2D15" w14:textId="77777777" w:rsidTr="00D84607">
        <w:trPr>
          <w:cantSplit/>
        </w:trPr>
        <w:tc>
          <w:tcPr>
            <w:tcW w:w="302" w:type="pct"/>
            <w:shd w:val="clear" w:color="auto" w:fill="E6E6E6"/>
            <w:vAlign w:val="center"/>
          </w:tcPr>
          <w:p w14:paraId="3189556D" w14:textId="77777777" w:rsidR="00432B5D" w:rsidRPr="001E7293" w:rsidRDefault="00432B5D" w:rsidP="0049391C">
            <w:pPr>
              <w:keepNext/>
              <w:keepLines/>
              <w:jc w:val="center"/>
              <w:rPr>
                <w:b/>
              </w:rPr>
            </w:pPr>
            <w:r w:rsidRPr="001E7293">
              <w:rPr>
                <w:b/>
              </w:rPr>
              <w:t>N</w:t>
            </w:r>
            <w:r w:rsidR="00B6114B">
              <w:rPr>
                <w:b/>
              </w:rPr>
              <w:t>o</w:t>
            </w:r>
          </w:p>
        </w:tc>
        <w:tc>
          <w:tcPr>
            <w:tcW w:w="1119" w:type="pct"/>
            <w:shd w:val="clear" w:color="auto" w:fill="E6E6E6"/>
            <w:vAlign w:val="center"/>
          </w:tcPr>
          <w:p w14:paraId="7C9EFF46" w14:textId="77777777" w:rsidR="00432B5D" w:rsidRPr="001E7293" w:rsidRDefault="00432B5D" w:rsidP="0049391C">
            <w:pPr>
              <w:keepNext/>
              <w:keepLines/>
              <w:jc w:val="center"/>
              <w:rPr>
                <w:b/>
              </w:rPr>
            </w:pPr>
            <w:r w:rsidRPr="001E7293">
              <w:rPr>
                <w:b/>
              </w:rPr>
              <w:t>Title</w:t>
            </w:r>
          </w:p>
        </w:tc>
        <w:tc>
          <w:tcPr>
            <w:tcW w:w="1565" w:type="pct"/>
            <w:shd w:val="clear" w:color="auto" w:fill="E6E6E6"/>
            <w:vAlign w:val="center"/>
          </w:tcPr>
          <w:p w14:paraId="7AB427F9" w14:textId="77777777" w:rsidR="00432B5D" w:rsidRPr="001E7293" w:rsidRDefault="00432B5D" w:rsidP="0049391C">
            <w:pPr>
              <w:keepNext/>
              <w:keepLines/>
              <w:jc w:val="center"/>
              <w:rPr>
                <w:b/>
              </w:rPr>
            </w:pPr>
            <w:r w:rsidRPr="001E7293">
              <w:rPr>
                <w:b/>
              </w:rPr>
              <w:t>Short description</w:t>
            </w:r>
          </w:p>
        </w:tc>
        <w:tc>
          <w:tcPr>
            <w:tcW w:w="671" w:type="pct"/>
            <w:shd w:val="clear" w:color="auto" w:fill="E6E6E6"/>
            <w:vAlign w:val="center"/>
          </w:tcPr>
          <w:p w14:paraId="6C6E6BEC" w14:textId="77777777" w:rsidR="00432B5D" w:rsidRPr="001E7293" w:rsidRDefault="00432B5D" w:rsidP="0049391C">
            <w:pPr>
              <w:keepNext/>
              <w:keepLines/>
              <w:jc w:val="center"/>
              <w:rPr>
                <w:b/>
              </w:rPr>
            </w:pPr>
            <w:r w:rsidRPr="001E7293">
              <w:rPr>
                <w:b/>
              </w:rPr>
              <w:t>Planned start date</w:t>
            </w:r>
          </w:p>
        </w:tc>
        <w:tc>
          <w:tcPr>
            <w:tcW w:w="596" w:type="pct"/>
            <w:shd w:val="clear" w:color="auto" w:fill="E6E6E6"/>
            <w:vAlign w:val="center"/>
          </w:tcPr>
          <w:p w14:paraId="632F2F4C" w14:textId="77777777" w:rsidR="00432B5D" w:rsidRPr="001E7293" w:rsidRDefault="00432B5D" w:rsidP="0049391C">
            <w:pPr>
              <w:keepNext/>
              <w:keepLines/>
              <w:jc w:val="center"/>
              <w:rPr>
                <w:b/>
              </w:rPr>
            </w:pPr>
            <w:r w:rsidRPr="001E7293">
              <w:rPr>
                <w:b/>
              </w:rPr>
              <w:t>Planned end date</w:t>
            </w:r>
          </w:p>
        </w:tc>
        <w:tc>
          <w:tcPr>
            <w:tcW w:w="747" w:type="pct"/>
            <w:shd w:val="clear" w:color="auto" w:fill="E6E6E6"/>
            <w:vAlign w:val="center"/>
          </w:tcPr>
          <w:p w14:paraId="24366C79" w14:textId="77777777" w:rsidR="00432B5D" w:rsidRPr="001E7293" w:rsidRDefault="00432B5D" w:rsidP="0049391C">
            <w:pPr>
              <w:keepNext/>
              <w:keepLines/>
              <w:jc w:val="center"/>
              <w:rPr>
                <w:b/>
              </w:rPr>
            </w:pPr>
            <w:r w:rsidRPr="001E7293">
              <w:rPr>
                <w:b/>
                <w:bCs/>
                <w:spacing w:val="4"/>
                <w:lang w:eastAsia="en-US"/>
              </w:rPr>
              <w:t>Dependent on projects</w:t>
            </w:r>
          </w:p>
        </w:tc>
      </w:tr>
      <w:tr w:rsidR="009C2144" w:rsidRPr="001E7293" w14:paraId="4BF9BE35" w14:textId="77777777" w:rsidTr="00D84607">
        <w:trPr>
          <w:cantSplit/>
        </w:trPr>
        <w:tc>
          <w:tcPr>
            <w:tcW w:w="302" w:type="pct"/>
          </w:tcPr>
          <w:p w14:paraId="3D8A5146" w14:textId="77777777" w:rsidR="00432B5D" w:rsidRPr="001E7293" w:rsidRDefault="00432B5D" w:rsidP="00DF1E1A">
            <w:pPr>
              <w:keepNext/>
              <w:keepLines/>
              <w:jc w:val="center"/>
            </w:pPr>
            <w:r w:rsidRPr="001E7293">
              <w:t>1</w:t>
            </w:r>
          </w:p>
        </w:tc>
        <w:tc>
          <w:tcPr>
            <w:tcW w:w="1119" w:type="pct"/>
          </w:tcPr>
          <w:p w14:paraId="7E5CD1AD" w14:textId="77777777" w:rsidR="00432B5D" w:rsidRPr="001E7293" w:rsidRDefault="00DD3CB3" w:rsidP="0062280C">
            <w:pPr>
              <w:keepNext/>
              <w:keepLines/>
            </w:pPr>
            <w:r>
              <w:t>Maintain universal access to 600 hours of quality preschool for all children in the year before full-time school</w:t>
            </w:r>
          </w:p>
        </w:tc>
        <w:tc>
          <w:tcPr>
            <w:tcW w:w="1565" w:type="pct"/>
          </w:tcPr>
          <w:p w14:paraId="49E4E597" w14:textId="77777777" w:rsidR="00DD3CB3" w:rsidRDefault="00DD3CB3" w:rsidP="00DD3CB3">
            <w:pPr>
              <w:keepNext/>
              <w:keepLines/>
            </w:pPr>
            <w:r>
              <w:t>Provision of 600 hours per year of free preschool for children in the year before</w:t>
            </w:r>
            <w:r w:rsidR="00C72D3D">
              <w:t xml:space="preserve"> </w:t>
            </w:r>
            <w:r>
              <w:t>full-time school</w:t>
            </w:r>
            <w:r w:rsidR="00C72D3D">
              <w:t>.</w:t>
            </w:r>
          </w:p>
          <w:p w14:paraId="6D48A28D" w14:textId="77777777" w:rsidR="00DD3CB3" w:rsidRDefault="00DD3CB3" w:rsidP="00DD3CB3">
            <w:pPr>
              <w:keepNext/>
              <w:keepLines/>
            </w:pPr>
          </w:p>
          <w:p w14:paraId="1690ED1E" w14:textId="77777777" w:rsidR="00432B5D" w:rsidRPr="001E7293" w:rsidRDefault="00DD3CB3" w:rsidP="00DD3CB3">
            <w:pPr>
              <w:keepNext/>
              <w:keepLines/>
            </w:pPr>
            <w:r>
              <w:t xml:space="preserve">Funding for the delivery </w:t>
            </w:r>
            <w:r w:rsidR="00C72D3D">
              <w:t>of a quality preschool program</w:t>
            </w:r>
            <w:r>
              <w:t xml:space="preserve"> is also distributed to non-government and long day care service providers.</w:t>
            </w:r>
          </w:p>
        </w:tc>
        <w:tc>
          <w:tcPr>
            <w:tcW w:w="671" w:type="pct"/>
            <w:shd w:val="clear" w:color="auto" w:fill="auto"/>
          </w:tcPr>
          <w:p w14:paraId="50E54EF8" w14:textId="77777777" w:rsidR="00432B5D" w:rsidRPr="001E7293" w:rsidRDefault="00DD3CB3" w:rsidP="007563F9">
            <w:pPr>
              <w:keepNext/>
              <w:keepLines/>
            </w:pPr>
            <w:r w:rsidRPr="00DD3CB3">
              <w:t xml:space="preserve">1 Jan </w:t>
            </w:r>
            <w:r w:rsidRPr="00C059A3">
              <w:t>2018</w:t>
            </w:r>
          </w:p>
        </w:tc>
        <w:tc>
          <w:tcPr>
            <w:tcW w:w="596" w:type="pct"/>
          </w:tcPr>
          <w:p w14:paraId="08136D58" w14:textId="77777777" w:rsidR="00432B5D" w:rsidRPr="00627C51" w:rsidRDefault="00DD3CB3" w:rsidP="007563F9">
            <w:pPr>
              <w:keepNext/>
              <w:keepLines/>
              <w:rPr>
                <w:highlight w:val="yellow"/>
              </w:rPr>
            </w:pPr>
            <w:r w:rsidRPr="00D84607">
              <w:t>31 Dec 201</w:t>
            </w:r>
            <w:r w:rsidR="009C2144">
              <w:t>9</w:t>
            </w:r>
          </w:p>
        </w:tc>
        <w:tc>
          <w:tcPr>
            <w:tcW w:w="747" w:type="pct"/>
          </w:tcPr>
          <w:p w14:paraId="6C567600" w14:textId="77777777" w:rsidR="00432B5D" w:rsidRPr="001E7293" w:rsidRDefault="00DD3CB3" w:rsidP="00DF1E1A">
            <w:pPr>
              <w:keepNext/>
              <w:keepLines/>
              <w:jc w:val="center"/>
            </w:pPr>
            <w:r>
              <w:t>N/A</w:t>
            </w:r>
          </w:p>
        </w:tc>
      </w:tr>
      <w:tr w:rsidR="009C2144" w:rsidRPr="001E7293" w14:paraId="6BDC0581" w14:textId="77777777" w:rsidTr="00D84607">
        <w:trPr>
          <w:cantSplit/>
        </w:trPr>
        <w:tc>
          <w:tcPr>
            <w:tcW w:w="302" w:type="pct"/>
          </w:tcPr>
          <w:p w14:paraId="4702D9C9" w14:textId="77777777" w:rsidR="00DD3CB3" w:rsidRPr="001E7293" w:rsidRDefault="00DD3CB3" w:rsidP="00DF1E1A">
            <w:pPr>
              <w:keepNext/>
              <w:keepLines/>
              <w:jc w:val="center"/>
            </w:pPr>
            <w:r w:rsidRPr="001E7293">
              <w:t>2</w:t>
            </w:r>
          </w:p>
        </w:tc>
        <w:tc>
          <w:tcPr>
            <w:tcW w:w="1119" w:type="pct"/>
          </w:tcPr>
          <w:p w14:paraId="5369C863" w14:textId="77777777" w:rsidR="00DD3CB3" w:rsidRPr="001E7293" w:rsidRDefault="00DD3CB3" w:rsidP="00726E89">
            <w:pPr>
              <w:keepNext/>
              <w:keepLines/>
            </w:pPr>
            <w:r>
              <w:t xml:space="preserve">Increase preschool participation </w:t>
            </w:r>
            <w:r w:rsidR="00C72D3D">
              <w:t xml:space="preserve">of </w:t>
            </w:r>
            <w:r w:rsidR="003337B7">
              <w:t>Aboriginal</w:t>
            </w:r>
            <w:r>
              <w:t xml:space="preserve"> and vulnerable and disadvantaged children</w:t>
            </w:r>
          </w:p>
        </w:tc>
        <w:tc>
          <w:tcPr>
            <w:tcW w:w="1565" w:type="pct"/>
          </w:tcPr>
          <w:p w14:paraId="1C396C09" w14:textId="77777777" w:rsidR="00DD3CB3" w:rsidRPr="001E7293" w:rsidRDefault="00DD3CB3" w:rsidP="00726E89">
            <w:pPr>
              <w:keepNext/>
              <w:keepLines/>
            </w:pPr>
            <w:r>
              <w:t xml:space="preserve">Through the equity loadings within the current Northern Territory student needs based funding model, provide additional funding to preschools to support participation </w:t>
            </w:r>
            <w:r w:rsidR="00C72D3D">
              <w:t xml:space="preserve">of </w:t>
            </w:r>
            <w:r w:rsidR="003337B7">
              <w:t>Aboriginal</w:t>
            </w:r>
            <w:r>
              <w:t xml:space="preserve"> and vulnerable and disadvantaged children.</w:t>
            </w:r>
          </w:p>
        </w:tc>
        <w:tc>
          <w:tcPr>
            <w:tcW w:w="671" w:type="pct"/>
          </w:tcPr>
          <w:p w14:paraId="61F26897" w14:textId="77777777" w:rsidR="00DD3CB3" w:rsidRPr="001E7293" w:rsidRDefault="00DD3CB3" w:rsidP="00DD3CB3">
            <w:pPr>
              <w:keepNext/>
              <w:keepLines/>
            </w:pPr>
            <w:r w:rsidRPr="00DD3CB3">
              <w:t xml:space="preserve">1 Jan </w:t>
            </w:r>
            <w:r w:rsidRPr="00C059A3">
              <w:t>2018</w:t>
            </w:r>
          </w:p>
        </w:tc>
        <w:tc>
          <w:tcPr>
            <w:tcW w:w="596" w:type="pct"/>
          </w:tcPr>
          <w:p w14:paraId="2BA34219" w14:textId="77777777" w:rsidR="00DD3CB3" w:rsidRPr="00D84607" w:rsidRDefault="00DD3CB3" w:rsidP="00DD3CB3">
            <w:pPr>
              <w:keepNext/>
              <w:keepLines/>
            </w:pPr>
            <w:r w:rsidRPr="00D84607">
              <w:t>31 Dec 201</w:t>
            </w:r>
            <w:r w:rsidR="009C2144" w:rsidRPr="00D84607">
              <w:t>9</w:t>
            </w:r>
          </w:p>
        </w:tc>
        <w:tc>
          <w:tcPr>
            <w:tcW w:w="747" w:type="pct"/>
          </w:tcPr>
          <w:p w14:paraId="312B795F" w14:textId="77777777" w:rsidR="00DD3CB3" w:rsidRPr="001E7293" w:rsidRDefault="00DD3CB3" w:rsidP="00DF1E1A">
            <w:pPr>
              <w:keepNext/>
              <w:keepLines/>
              <w:jc w:val="center"/>
            </w:pPr>
            <w:r>
              <w:t>N/A</w:t>
            </w:r>
          </w:p>
        </w:tc>
      </w:tr>
    </w:tbl>
    <w:p w14:paraId="72CC1774" w14:textId="1068B03D" w:rsidR="00407A6B" w:rsidRPr="00B250D6" w:rsidRDefault="00407A6B" w:rsidP="00746814">
      <w:pPr>
        <w:pStyle w:val="Normalnumbered"/>
        <w:spacing w:before="120" w:after="240"/>
      </w:pPr>
      <w:r w:rsidRPr="00B250D6">
        <w:t>As required by clause 2</w:t>
      </w:r>
      <w:r w:rsidR="00E36AD7">
        <w:t>2</w:t>
      </w:r>
      <w:r w:rsidRPr="00B250D6">
        <w:t xml:space="preserve">(d) of the National Partnership, the following strategies </w:t>
      </w:r>
      <w:r w:rsidR="00D45DD8">
        <w:t>will</w:t>
      </w:r>
      <w:r w:rsidRPr="00B250D6">
        <w:t xml:space="preserve"> ensure that funding is directed </w:t>
      </w:r>
      <w:r w:rsidR="00C72D3D">
        <w:t xml:space="preserve">appropriately </w:t>
      </w:r>
      <w:r w:rsidRPr="00B250D6">
        <w:t xml:space="preserve">to support participation </w:t>
      </w:r>
      <w:r w:rsidR="00C72D3D">
        <w:t>of</w:t>
      </w:r>
      <w:r w:rsidR="00C72D3D" w:rsidRPr="00B250D6">
        <w:t xml:space="preserve"> </w:t>
      </w:r>
      <w:r w:rsidRPr="00B250D6">
        <w:t xml:space="preserve">all children in all </w:t>
      </w:r>
      <w:r w:rsidR="000B36D5" w:rsidRPr="00B250D6">
        <w:t>quality e</w:t>
      </w:r>
      <w:r w:rsidR="003A24B9" w:rsidRPr="00B250D6">
        <w:t>ar</w:t>
      </w:r>
      <w:r w:rsidR="000B36D5" w:rsidRPr="00B250D6">
        <w:t xml:space="preserve">ly childhood education </w:t>
      </w:r>
      <w:r w:rsidR="007B4BA6" w:rsidRPr="00B250D6">
        <w:t>program</w:t>
      </w:r>
      <w:r w:rsidR="000B36D5" w:rsidRPr="00B250D6">
        <w:t>s</w:t>
      </w:r>
      <w:r w:rsidRPr="00B250D6">
        <w:t xml:space="preserve">, regardless of whether </w:t>
      </w:r>
      <w:r w:rsidR="007B4BA6" w:rsidRPr="00B250D6">
        <w:t>program</w:t>
      </w:r>
      <w:r w:rsidRPr="00B250D6">
        <w:t>s are delivered through schools (government and non-government), standalone preschools or long day care centres.</w:t>
      </w:r>
      <w:r w:rsidR="00B250D6" w:rsidRPr="00B250D6">
        <w:t xml:space="preserve"> These strategies are included as </w:t>
      </w:r>
      <w:r w:rsidR="00C72D3D">
        <w:t>p</w:t>
      </w:r>
      <w:r w:rsidR="00C72D3D" w:rsidRPr="00B250D6">
        <w:t xml:space="preserve">roject </w:t>
      </w:r>
      <w:r w:rsidR="00C72D3D">
        <w:t>e</w:t>
      </w:r>
      <w:r w:rsidR="00C72D3D" w:rsidRPr="00B250D6">
        <w:t xml:space="preserve">lements </w:t>
      </w:r>
      <w:r w:rsidR="00B250D6" w:rsidRPr="00B250D6">
        <w:t>throughout this plan.</w:t>
      </w:r>
    </w:p>
    <w:p w14:paraId="1AACA512" w14:textId="753514B7" w:rsidR="00124D8E" w:rsidRPr="001E7293" w:rsidRDefault="00124D8E" w:rsidP="001B5382">
      <w:pPr>
        <w:pStyle w:val="Normalnumbered"/>
      </w:pPr>
      <w:r w:rsidRPr="001E7293">
        <w:t>As required by clause 2</w:t>
      </w:r>
      <w:r w:rsidR="00E36AD7">
        <w:t>2</w:t>
      </w:r>
      <w:r w:rsidRPr="001E7293">
        <w:t xml:space="preserve">(e) of the National Partnership, </w:t>
      </w:r>
      <w:r w:rsidR="00C72D3D">
        <w:t>jurisdiction</w:t>
      </w:r>
      <w:r w:rsidR="00C72D3D" w:rsidRPr="001E7293">
        <w:t xml:space="preserve"> </w:t>
      </w:r>
      <w:r w:rsidR="000B36D5" w:rsidRPr="001E7293">
        <w:t xml:space="preserve">specific data and implementation issues </w:t>
      </w:r>
      <w:r w:rsidR="001B5382" w:rsidRPr="001E7293">
        <w:t>are identified</w:t>
      </w:r>
      <w:r w:rsidR="00153BCD" w:rsidRPr="001E7293">
        <w:t xml:space="preserve"> </w:t>
      </w:r>
      <w:r w:rsidR="00902EF3" w:rsidRPr="001E7293">
        <w:t xml:space="preserve">below. </w:t>
      </w:r>
      <w:r w:rsidR="00BB3B23">
        <w:t>The description</w:t>
      </w:r>
      <w:r w:rsidR="0012386D">
        <w:t>s</w:t>
      </w:r>
      <w:r w:rsidR="00BB3B23">
        <w:t xml:space="preserve"> </w:t>
      </w:r>
      <w:r w:rsidR="0012386D">
        <w:t xml:space="preserve">include </w:t>
      </w:r>
      <w:r w:rsidRPr="001E7293">
        <w:t xml:space="preserve">strategies </w:t>
      </w:r>
      <w:r w:rsidR="00902EF3" w:rsidRPr="001E7293">
        <w:t>to</w:t>
      </w:r>
      <w:r w:rsidRPr="001E7293">
        <w:t xml:space="preserve"> overcome</w:t>
      </w:r>
      <w:r w:rsidR="00041D4C" w:rsidRPr="001E7293">
        <w:t xml:space="preserve"> or address </w:t>
      </w:r>
      <w:r w:rsidR="00746B1B">
        <w:t>each issue</w:t>
      </w:r>
      <w:r w:rsidR="003C0687" w:rsidRPr="001E7293">
        <w:t>.</w:t>
      </w:r>
    </w:p>
    <w:p w14:paraId="6C45549D" w14:textId="77777777" w:rsidR="003E21B2" w:rsidRPr="001E7293" w:rsidRDefault="003E21B2" w:rsidP="003E21B2">
      <w:pPr>
        <w:pStyle w:val="Normalnumbered"/>
        <w:numPr>
          <w:ilvl w:val="0"/>
          <w:numId w:val="0"/>
        </w:numPr>
        <w:ind w:left="567" w:hanging="567"/>
      </w:pPr>
    </w:p>
    <w:p w14:paraId="3ACC0A44" w14:textId="77777777" w:rsidR="00E142EE" w:rsidRPr="001E7293" w:rsidRDefault="00851B4E" w:rsidP="00BB3B23">
      <w:pPr>
        <w:pStyle w:val="AlphaParagraph"/>
        <w:numPr>
          <w:ilvl w:val="0"/>
          <w:numId w:val="17"/>
        </w:numPr>
        <w:tabs>
          <w:tab w:val="clear" w:pos="1134"/>
        </w:tabs>
        <w:ind w:left="1134" w:hanging="567"/>
        <w:jc w:val="left"/>
      </w:pPr>
      <w:r>
        <w:t>Issues have been identified relating to</w:t>
      </w:r>
      <w:r w:rsidR="00DD3CB3">
        <w:t xml:space="preserve"> the timing of the Age Grade Census data collection for the Northern Territory. The collection period includes a public holiday and </w:t>
      </w:r>
      <w:r w:rsidR="00F9591B">
        <w:t>one</w:t>
      </w:r>
      <w:r w:rsidR="00DD3CB3">
        <w:t xml:space="preserve"> remote school </w:t>
      </w:r>
      <w:r>
        <w:t xml:space="preserve">operates on </w:t>
      </w:r>
      <w:r w:rsidR="00DD3CB3">
        <w:t xml:space="preserve">negotiated flexible attendance times that suit the community. In addition, attendance patterns for the Northern Territory </w:t>
      </w:r>
      <w:r w:rsidR="00F9591B">
        <w:t>consistently show</w:t>
      </w:r>
      <w:r w:rsidR="00DD3CB3">
        <w:t xml:space="preserve"> low school attendance during August. This is partially due to sporting and community events and transience of remote and very remote populations at this time of year. </w:t>
      </w:r>
      <w:r w:rsidR="000B2FCE">
        <w:t xml:space="preserve">To address this, it is necessary for the Northern Territory to use other sources </w:t>
      </w:r>
      <w:r>
        <w:t xml:space="preserve">of </w:t>
      </w:r>
      <w:r w:rsidR="000B2FCE">
        <w:t>data such as internal data collections and data drawn from different weeks.</w:t>
      </w:r>
    </w:p>
    <w:p w14:paraId="40B296AA" w14:textId="77777777" w:rsidR="00E142EE" w:rsidRPr="001E7293" w:rsidRDefault="000B2FCE" w:rsidP="00421605">
      <w:pPr>
        <w:pStyle w:val="AlphaParagraph"/>
        <w:numPr>
          <w:ilvl w:val="0"/>
          <w:numId w:val="17"/>
        </w:numPr>
        <w:ind w:left="1134" w:hanging="567"/>
        <w:jc w:val="left"/>
      </w:pPr>
      <w:r>
        <w:t>The Northern Territory only has access to data from school-based preschool services</w:t>
      </w:r>
      <w:r w:rsidR="00421605">
        <w:t xml:space="preserve">. Data for preschool services run in a long day care setting </w:t>
      </w:r>
      <w:r w:rsidR="00622707">
        <w:t>are</w:t>
      </w:r>
      <w:r w:rsidR="00421605">
        <w:t xml:space="preserve"> captured in the </w:t>
      </w:r>
      <w:r w:rsidR="00C217B6">
        <w:t xml:space="preserve">child care </w:t>
      </w:r>
      <w:r w:rsidR="008F6DA1">
        <w:t xml:space="preserve">information technology </w:t>
      </w:r>
      <w:r w:rsidR="00C217B6">
        <w:t>system</w:t>
      </w:r>
      <w:r w:rsidR="00052E00">
        <w:t xml:space="preserve"> (currently Child Care Management System)</w:t>
      </w:r>
      <w:r w:rsidR="00421605">
        <w:t xml:space="preserve">, which </w:t>
      </w:r>
      <w:r w:rsidR="00C217B6">
        <w:t xml:space="preserve">is included in the National </w:t>
      </w:r>
      <w:r w:rsidR="00516ACD">
        <w:t xml:space="preserve">Early Childhood Education and Care </w:t>
      </w:r>
      <w:r w:rsidR="00C217B6">
        <w:t>Collection</w:t>
      </w:r>
      <w:r w:rsidR="00516ACD">
        <w:t xml:space="preserve"> (National Collection), held by the Australian Bureau of Statistics</w:t>
      </w:r>
      <w:r w:rsidR="00BB3B23">
        <w:t>.</w:t>
      </w:r>
      <w:r w:rsidR="00421605">
        <w:t xml:space="preserve"> </w:t>
      </w:r>
      <w:r w:rsidR="00421605" w:rsidRPr="00241444">
        <w:t xml:space="preserve">The Northern Territory will </w:t>
      </w:r>
      <w:r w:rsidR="00516ACD">
        <w:t xml:space="preserve">continue to </w:t>
      </w:r>
      <w:r w:rsidR="00421605" w:rsidRPr="00241444">
        <w:t xml:space="preserve">work with Commonwealth </w:t>
      </w:r>
      <w:r w:rsidR="00421605">
        <w:t xml:space="preserve">officials to access </w:t>
      </w:r>
      <w:r w:rsidR="00516ACD">
        <w:t xml:space="preserve">all National Collection </w:t>
      </w:r>
      <w:r w:rsidR="00421605">
        <w:t>data on a regular basis</w:t>
      </w:r>
      <w:r w:rsidR="00052E00">
        <w:t>.</w:t>
      </w:r>
    </w:p>
    <w:p w14:paraId="35E4DCF0" w14:textId="77777777" w:rsidR="008A1747" w:rsidRPr="001E7293" w:rsidRDefault="008A1747" w:rsidP="00A17D70">
      <w:pPr>
        <w:pStyle w:val="Heading2"/>
      </w:pPr>
      <w:r w:rsidRPr="001E7293">
        <w:t>Estimated costs</w:t>
      </w:r>
    </w:p>
    <w:p w14:paraId="27FCB71C" w14:textId="77777777" w:rsidR="008A1747" w:rsidRPr="001E7293" w:rsidRDefault="008A1747" w:rsidP="008A1747">
      <w:pPr>
        <w:pStyle w:val="Normalnumbered"/>
        <w:spacing w:after="240" w:line="260" w:lineRule="exact"/>
      </w:pPr>
      <w:r w:rsidRPr="001E7293">
        <w:t xml:space="preserve">The maximum financial contribution to be provided by the Commonwealth for the project to the jurisdiction </w:t>
      </w:r>
      <w:r w:rsidRPr="004B0753">
        <w:t xml:space="preserve">is </w:t>
      </w:r>
      <w:r w:rsidR="00E54381" w:rsidRPr="004B0753">
        <w:rPr>
          <w:b/>
        </w:rPr>
        <w:t>$</w:t>
      </w:r>
      <w:r w:rsidR="00A65DF8" w:rsidRPr="00D84607">
        <w:rPr>
          <w:b/>
        </w:rPr>
        <w:t>9</w:t>
      </w:r>
      <w:r w:rsidR="00E54381" w:rsidRPr="004B0753">
        <w:rPr>
          <w:b/>
        </w:rPr>
        <w:t>.</w:t>
      </w:r>
      <w:r w:rsidR="00A65DF8" w:rsidRPr="00D84607">
        <w:rPr>
          <w:b/>
        </w:rPr>
        <w:t>6</w:t>
      </w:r>
      <w:r w:rsidR="00E54381" w:rsidRPr="004B0753">
        <w:rPr>
          <w:b/>
        </w:rPr>
        <w:t xml:space="preserve"> million</w:t>
      </w:r>
      <w:r w:rsidR="00153CBE">
        <w:t>,</w:t>
      </w:r>
      <w:r w:rsidRPr="00153CBE">
        <w:t xml:space="preserve"> </w:t>
      </w:r>
      <w:r w:rsidRPr="001E7293">
        <w:t xml:space="preserve">payable in accordance with </w:t>
      </w:r>
      <w:r w:rsidR="00D15A57" w:rsidRPr="001E7293">
        <w:t xml:space="preserve">the </w:t>
      </w:r>
      <w:r w:rsidRPr="001E7293">
        <w:t>milestones</w:t>
      </w:r>
      <w:r w:rsidR="00D15A57" w:rsidRPr="001E7293">
        <w:t xml:space="preserve"> and</w:t>
      </w:r>
      <w:r w:rsidRPr="001E7293">
        <w:t xml:space="preserve"> performance benchmarks set ou</w:t>
      </w:r>
      <w:r w:rsidR="00851B4E">
        <w:t xml:space="preserve">t in the National Partnership. </w:t>
      </w:r>
      <w:r w:rsidRPr="001E7293">
        <w:t>All payments are exclusive of GST.</w:t>
      </w:r>
    </w:p>
    <w:p w14:paraId="2509716F" w14:textId="77777777" w:rsidR="008A1747" w:rsidRPr="001E7293" w:rsidRDefault="008A1747" w:rsidP="008A1747">
      <w:pPr>
        <w:pStyle w:val="Normalnumbered"/>
        <w:spacing w:after="240" w:line="260" w:lineRule="exact"/>
      </w:pPr>
      <w:r w:rsidRPr="001E7293">
        <w:t>The estimated overall budget (exclusive of GST) is set out in Table 2. The budget is indicative only and</w:t>
      </w:r>
      <w:r w:rsidR="00D56721">
        <w:t xml:space="preserve"> the Northern Territory</w:t>
      </w:r>
      <w:r w:rsidRPr="001E7293">
        <w:t xml:space="preserve"> retains the flexibility to </w:t>
      </w:r>
      <w:r w:rsidR="0062280C">
        <w:t xml:space="preserve">allocate </w:t>
      </w:r>
      <w:r w:rsidRPr="001E7293">
        <w:t>funds between components and/or years, as long</w:t>
      </w:r>
      <w:r w:rsidR="0012386D">
        <w:t xml:space="preserve"> as outcomes are not affected. </w:t>
      </w:r>
      <w:r w:rsidRPr="001E7293">
        <w:t xml:space="preserve">The Commonwealth contribution can only </w:t>
      </w:r>
      <w:r w:rsidR="00656E4B">
        <w:t>be moved</w:t>
      </w:r>
      <w:r w:rsidR="00851B4E" w:rsidRPr="001E7293">
        <w:t xml:space="preserve"> </w:t>
      </w:r>
      <w:r w:rsidRPr="001E7293">
        <w:t>between years with the agreement of the Commonwealth.</w:t>
      </w:r>
    </w:p>
    <w:p w14:paraId="76517501" w14:textId="77777777" w:rsidR="008A1747" w:rsidRPr="001E7293" w:rsidRDefault="008A1747" w:rsidP="0093776A">
      <w:pPr>
        <w:pStyle w:val="Heading3"/>
        <w:spacing w:before="0" w:after="120"/>
        <w:rPr>
          <w:i/>
        </w:rPr>
      </w:pPr>
      <w:r w:rsidRPr="001E7293">
        <w:t>Table 2: Estimated financial contributions</w:t>
      </w:r>
      <w:r w:rsidR="00D56721" w:rsidRPr="00B40B72">
        <w:rPr>
          <w:vertAlign w:val="superscript"/>
        </w:rPr>
        <w:t>*</w:t>
      </w:r>
    </w:p>
    <w:tbl>
      <w:tblPr>
        <w:tblW w:w="5000" w:type="pct"/>
        <w:tblBorders>
          <w:top w:val="single" w:sz="4" w:space="0" w:color="000080"/>
          <w:bottom w:val="single" w:sz="4" w:space="0" w:color="000080"/>
        </w:tblBorders>
        <w:tblLook w:val="01E0" w:firstRow="1" w:lastRow="1" w:firstColumn="1" w:lastColumn="1" w:noHBand="0" w:noVBand="0"/>
      </w:tblPr>
      <w:tblGrid>
        <w:gridCol w:w="4419"/>
        <w:gridCol w:w="1186"/>
        <w:gridCol w:w="1197"/>
        <w:gridCol w:w="1136"/>
        <w:gridCol w:w="1132"/>
      </w:tblGrid>
      <w:tr w:rsidR="00627C51" w:rsidRPr="001E7293" w14:paraId="65E07B2A" w14:textId="77777777" w:rsidTr="00627C51">
        <w:tc>
          <w:tcPr>
            <w:tcW w:w="2436" w:type="pct"/>
            <w:tcBorders>
              <w:top w:val="single" w:sz="4" w:space="0" w:color="000080"/>
            </w:tcBorders>
            <w:vAlign w:val="center"/>
          </w:tcPr>
          <w:p w14:paraId="2E02A4B8" w14:textId="77777777" w:rsidR="00627C51" w:rsidRPr="001E7293" w:rsidRDefault="00627C51" w:rsidP="0093776A">
            <w:pPr>
              <w:keepNext/>
              <w:keepLines/>
              <w:spacing w:before="40" w:after="40"/>
              <w:jc w:val="center"/>
              <w:rPr>
                <w:b/>
                <w:bCs/>
              </w:rPr>
            </w:pPr>
            <w:r w:rsidRPr="001E7293">
              <w:rPr>
                <w:b/>
                <w:bCs/>
              </w:rPr>
              <w:t>($ million)</w:t>
            </w:r>
          </w:p>
        </w:tc>
        <w:tc>
          <w:tcPr>
            <w:tcW w:w="654" w:type="pct"/>
            <w:tcBorders>
              <w:top w:val="single" w:sz="4" w:space="0" w:color="000080"/>
              <w:bottom w:val="single" w:sz="4" w:space="0" w:color="000080"/>
            </w:tcBorders>
            <w:vAlign w:val="center"/>
          </w:tcPr>
          <w:p w14:paraId="3675FC56" w14:textId="77777777" w:rsidR="00627C51" w:rsidRPr="00D84607" w:rsidRDefault="00627C51" w:rsidP="007B4BA6">
            <w:pPr>
              <w:keepNext/>
              <w:keepLines/>
              <w:spacing w:before="40" w:after="40"/>
              <w:jc w:val="center"/>
              <w:rPr>
                <w:b/>
              </w:rPr>
            </w:pPr>
            <w:r w:rsidRPr="00D84607">
              <w:rPr>
                <w:b/>
              </w:rPr>
              <w:t>2017-18</w:t>
            </w:r>
          </w:p>
        </w:tc>
        <w:tc>
          <w:tcPr>
            <w:tcW w:w="660" w:type="pct"/>
            <w:tcBorders>
              <w:top w:val="single" w:sz="4" w:space="0" w:color="000080"/>
              <w:bottom w:val="single" w:sz="4" w:space="0" w:color="000080"/>
            </w:tcBorders>
            <w:vAlign w:val="center"/>
          </w:tcPr>
          <w:p w14:paraId="675E52BF" w14:textId="77777777" w:rsidR="00627C51" w:rsidRPr="00D84607" w:rsidRDefault="00627C51" w:rsidP="007B4BA6">
            <w:pPr>
              <w:keepNext/>
              <w:keepLines/>
              <w:spacing w:before="40" w:after="40"/>
              <w:jc w:val="center"/>
              <w:rPr>
                <w:b/>
              </w:rPr>
            </w:pPr>
            <w:r w:rsidRPr="00D84607">
              <w:rPr>
                <w:b/>
              </w:rPr>
              <w:t>2018-19</w:t>
            </w:r>
          </w:p>
        </w:tc>
        <w:tc>
          <w:tcPr>
            <w:tcW w:w="626" w:type="pct"/>
            <w:tcBorders>
              <w:top w:val="single" w:sz="4" w:space="0" w:color="000080"/>
              <w:bottom w:val="single" w:sz="4" w:space="0" w:color="000080"/>
            </w:tcBorders>
          </w:tcPr>
          <w:p w14:paraId="28994B9F" w14:textId="77777777" w:rsidR="00627C51" w:rsidRPr="00D84607" w:rsidRDefault="00627C51" w:rsidP="005A2826">
            <w:pPr>
              <w:keepNext/>
              <w:keepLines/>
              <w:spacing w:before="40" w:after="40"/>
              <w:jc w:val="center"/>
              <w:rPr>
                <w:b/>
              </w:rPr>
            </w:pPr>
            <w:r w:rsidRPr="00D84607">
              <w:rPr>
                <w:b/>
              </w:rPr>
              <w:t>2019-20</w:t>
            </w:r>
          </w:p>
        </w:tc>
        <w:tc>
          <w:tcPr>
            <w:tcW w:w="624" w:type="pct"/>
            <w:tcBorders>
              <w:top w:val="single" w:sz="4" w:space="0" w:color="000080"/>
              <w:bottom w:val="single" w:sz="4" w:space="0" w:color="000080"/>
            </w:tcBorders>
            <w:vAlign w:val="center"/>
          </w:tcPr>
          <w:p w14:paraId="1BF6CB43" w14:textId="77777777" w:rsidR="00627C51" w:rsidRPr="00D84607" w:rsidRDefault="00627C51" w:rsidP="005A2826">
            <w:pPr>
              <w:keepNext/>
              <w:keepLines/>
              <w:spacing w:before="40" w:after="40"/>
              <w:jc w:val="center"/>
              <w:rPr>
                <w:b/>
              </w:rPr>
            </w:pPr>
            <w:r w:rsidRPr="00D84607">
              <w:rPr>
                <w:b/>
              </w:rPr>
              <w:t>Total</w:t>
            </w:r>
          </w:p>
        </w:tc>
      </w:tr>
      <w:tr w:rsidR="00627C51" w:rsidRPr="001E7293" w14:paraId="5841D576" w14:textId="77777777" w:rsidTr="00627C51">
        <w:tc>
          <w:tcPr>
            <w:tcW w:w="2436" w:type="pct"/>
          </w:tcPr>
          <w:p w14:paraId="6FE1F271" w14:textId="77777777" w:rsidR="00627C51" w:rsidRPr="001E7293" w:rsidRDefault="00627C51" w:rsidP="00627C51">
            <w:pPr>
              <w:rPr>
                <w:sz w:val="24"/>
              </w:rPr>
            </w:pPr>
            <w:r w:rsidRPr="001E7293">
              <w:t>Element 1</w:t>
            </w:r>
          </w:p>
        </w:tc>
        <w:tc>
          <w:tcPr>
            <w:tcW w:w="654" w:type="pct"/>
            <w:tcBorders>
              <w:top w:val="single" w:sz="4" w:space="0" w:color="000080"/>
            </w:tcBorders>
          </w:tcPr>
          <w:p w14:paraId="4A1EC060" w14:textId="77777777" w:rsidR="00627C51" w:rsidRPr="001E7293" w:rsidRDefault="00627C51" w:rsidP="00627C51">
            <w:pPr>
              <w:ind w:left="-527" w:right="355"/>
              <w:jc w:val="right"/>
            </w:pPr>
            <w:r>
              <w:t>1.1</w:t>
            </w:r>
          </w:p>
        </w:tc>
        <w:tc>
          <w:tcPr>
            <w:tcW w:w="660" w:type="pct"/>
            <w:tcBorders>
              <w:top w:val="single" w:sz="4" w:space="0" w:color="000080"/>
            </w:tcBorders>
          </w:tcPr>
          <w:p w14:paraId="18C70F4D" w14:textId="77777777" w:rsidR="00627C51" w:rsidRPr="001E7293" w:rsidRDefault="00627C51" w:rsidP="00627C51">
            <w:pPr>
              <w:ind w:left="-429" w:right="409"/>
              <w:jc w:val="right"/>
            </w:pPr>
            <w:r>
              <w:t>3.6</w:t>
            </w:r>
          </w:p>
        </w:tc>
        <w:tc>
          <w:tcPr>
            <w:tcW w:w="626" w:type="pct"/>
            <w:tcBorders>
              <w:top w:val="single" w:sz="4" w:space="0" w:color="000080"/>
            </w:tcBorders>
          </w:tcPr>
          <w:p w14:paraId="27A2AA15" w14:textId="77777777" w:rsidR="00627C51" w:rsidRDefault="00627C51" w:rsidP="00627C51">
            <w:pPr>
              <w:ind w:left="-625" w:right="260"/>
              <w:jc w:val="right"/>
            </w:pPr>
            <w:r>
              <w:t>2.5</w:t>
            </w:r>
          </w:p>
        </w:tc>
        <w:tc>
          <w:tcPr>
            <w:tcW w:w="624" w:type="pct"/>
            <w:tcBorders>
              <w:top w:val="single" w:sz="4" w:space="0" w:color="000080"/>
            </w:tcBorders>
          </w:tcPr>
          <w:p w14:paraId="2663A872" w14:textId="77777777" w:rsidR="00627C51" w:rsidRPr="001E7293" w:rsidRDefault="00FA20E8" w:rsidP="00627C51">
            <w:pPr>
              <w:ind w:left="-625" w:right="260"/>
              <w:jc w:val="right"/>
            </w:pPr>
            <w:r>
              <w:t>7.2</w:t>
            </w:r>
          </w:p>
        </w:tc>
      </w:tr>
      <w:tr w:rsidR="00627C51" w:rsidRPr="001E7293" w14:paraId="54F81856" w14:textId="77777777" w:rsidTr="00627C51">
        <w:tc>
          <w:tcPr>
            <w:tcW w:w="2436" w:type="pct"/>
          </w:tcPr>
          <w:p w14:paraId="70A6E49C" w14:textId="77777777" w:rsidR="00627C51" w:rsidRPr="001E7293" w:rsidRDefault="00627C51" w:rsidP="00627C51">
            <w:pPr>
              <w:rPr>
                <w:sz w:val="24"/>
              </w:rPr>
            </w:pPr>
            <w:r w:rsidRPr="001E7293">
              <w:t>Element 2</w:t>
            </w:r>
          </w:p>
        </w:tc>
        <w:tc>
          <w:tcPr>
            <w:tcW w:w="654" w:type="pct"/>
          </w:tcPr>
          <w:p w14:paraId="4D9D1F38" w14:textId="77777777" w:rsidR="00627C51" w:rsidRPr="001E7293" w:rsidRDefault="00627C51" w:rsidP="00627C51">
            <w:pPr>
              <w:ind w:left="-527" w:right="355"/>
              <w:jc w:val="right"/>
            </w:pPr>
            <w:r>
              <w:t>0.4</w:t>
            </w:r>
          </w:p>
        </w:tc>
        <w:tc>
          <w:tcPr>
            <w:tcW w:w="660" w:type="pct"/>
          </w:tcPr>
          <w:p w14:paraId="1FC38C93" w14:textId="77777777" w:rsidR="00627C51" w:rsidRPr="001E7293" w:rsidRDefault="00627C51" w:rsidP="00627C51">
            <w:pPr>
              <w:ind w:left="-429" w:right="409"/>
              <w:jc w:val="right"/>
            </w:pPr>
            <w:r>
              <w:t>1.2</w:t>
            </w:r>
          </w:p>
        </w:tc>
        <w:tc>
          <w:tcPr>
            <w:tcW w:w="626" w:type="pct"/>
          </w:tcPr>
          <w:p w14:paraId="2BF4A617" w14:textId="77777777" w:rsidR="00627C51" w:rsidRDefault="00627C51" w:rsidP="00627C51">
            <w:pPr>
              <w:ind w:left="-625" w:right="260"/>
              <w:jc w:val="right"/>
            </w:pPr>
            <w:r>
              <w:t>0.8</w:t>
            </w:r>
          </w:p>
        </w:tc>
        <w:tc>
          <w:tcPr>
            <w:tcW w:w="624" w:type="pct"/>
          </w:tcPr>
          <w:p w14:paraId="63948D28" w14:textId="77777777" w:rsidR="00627C51" w:rsidRPr="001E7293" w:rsidRDefault="00FA20E8" w:rsidP="00627C51">
            <w:pPr>
              <w:ind w:left="-625" w:right="260"/>
              <w:jc w:val="right"/>
            </w:pPr>
            <w:r>
              <w:t>2.4</w:t>
            </w:r>
          </w:p>
        </w:tc>
      </w:tr>
      <w:tr w:rsidR="00627C51" w:rsidRPr="001E7293" w14:paraId="770EB8F6" w14:textId="77777777" w:rsidTr="00627C51">
        <w:tc>
          <w:tcPr>
            <w:tcW w:w="2436" w:type="pct"/>
          </w:tcPr>
          <w:p w14:paraId="4CCA8F28" w14:textId="77777777" w:rsidR="00627C51" w:rsidRPr="001E7293" w:rsidRDefault="00627C51" w:rsidP="00627C51">
            <w:pPr>
              <w:rPr>
                <w:sz w:val="24"/>
              </w:rPr>
            </w:pPr>
            <w:r w:rsidRPr="001E7293">
              <w:t>Total estimated budget</w:t>
            </w:r>
          </w:p>
        </w:tc>
        <w:tc>
          <w:tcPr>
            <w:tcW w:w="654" w:type="pct"/>
            <w:tcBorders>
              <w:top w:val="single" w:sz="4" w:space="0" w:color="000080"/>
            </w:tcBorders>
          </w:tcPr>
          <w:p w14:paraId="11E2CB4C" w14:textId="77777777" w:rsidR="00627C51" w:rsidRPr="001E7293" w:rsidRDefault="00627C51" w:rsidP="00627C51">
            <w:pPr>
              <w:ind w:left="-527" w:right="355"/>
              <w:jc w:val="right"/>
            </w:pPr>
            <w:r>
              <w:t>1.4</w:t>
            </w:r>
          </w:p>
        </w:tc>
        <w:tc>
          <w:tcPr>
            <w:tcW w:w="660" w:type="pct"/>
            <w:tcBorders>
              <w:top w:val="single" w:sz="4" w:space="0" w:color="000080"/>
            </w:tcBorders>
          </w:tcPr>
          <w:p w14:paraId="449DED50" w14:textId="77777777" w:rsidR="00627C51" w:rsidRPr="001E7293" w:rsidRDefault="00627C51" w:rsidP="00627C51">
            <w:pPr>
              <w:ind w:left="-429" w:right="409"/>
              <w:jc w:val="right"/>
            </w:pPr>
            <w:r>
              <w:t>4.8</w:t>
            </w:r>
          </w:p>
        </w:tc>
        <w:tc>
          <w:tcPr>
            <w:tcW w:w="626" w:type="pct"/>
            <w:tcBorders>
              <w:top w:val="single" w:sz="4" w:space="0" w:color="000080"/>
            </w:tcBorders>
          </w:tcPr>
          <w:p w14:paraId="79A5F392" w14:textId="77777777" w:rsidR="00627C51" w:rsidRDefault="00FA20E8" w:rsidP="00627C51">
            <w:pPr>
              <w:ind w:left="-625" w:right="260"/>
              <w:jc w:val="right"/>
            </w:pPr>
            <w:r>
              <w:t>3.4</w:t>
            </w:r>
          </w:p>
        </w:tc>
        <w:tc>
          <w:tcPr>
            <w:tcW w:w="624" w:type="pct"/>
            <w:tcBorders>
              <w:top w:val="single" w:sz="4" w:space="0" w:color="000080"/>
            </w:tcBorders>
          </w:tcPr>
          <w:p w14:paraId="6E7E1C40" w14:textId="77777777" w:rsidR="00627C51" w:rsidRPr="001E7293" w:rsidRDefault="00FA20E8" w:rsidP="00627C51">
            <w:pPr>
              <w:ind w:left="-625" w:right="260"/>
              <w:jc w:val="right"/>
            </w:pPr>
            <w:r>
              <w:t>9.6</w:t>
            </w:r>
          </w:p>
        </w:tc>
      </w:tr>
      <w:tr w:rsidR="00627C51" w:rsidRPr="001E7293" w14:paraId="22913702" w14:textId="77777777" w:rsidTr="00627C51">
        <w:tc>
          <w:tcPr>
            <w:tcW w:w="2436" w:type="pct"/>
          </w:tcPr>
          <w:p w14:paraId="0ADA9CFF" w14:textId="77777777" w:rsidR="00627C51" w:rsidRPr="001E7293" w:rsidRDefault="00627C51" w:rsidP="00627C51">
            <w:r w:rsidRPr="001E7293">
              <w:rPr>
                <w:i/>
                <w:iCs/>
              </w:rPr>
              <w:t>less</w:t>
            </w:r>
            <w:r w:rsidRPr="001E7293">
              <w:t xml:space="preserve"> estimated Commonwealth contribution</w:t>
            </w:r>
          </w:p>
        </w:tc>
        <w:tc>
          <w:tcPr>
            <w:tcW w:w="654" w:type="pct"/>
            <w:tcBorders>
              <w:bottom w:val="single" w:sz="4" w:space="0" w:color="000080"/>
            </w:tcBorders>
          </w:tcPr>
          <w:p w14:paraId="7FC59E33" w14:textId="77777777" w:rsidR="00627C51" w:rsidRPr="001E7293" w:rsidRDefault="00627C51" w:rsidP="00627C51">
            <w:pPr>
              <w:ind w:left="-527" w:right="355"/>
              <w:jc w:val="right"/>
            </w:pPr>
            <w:r>
              <w:t>1.4</w:t>
            </w:r>
          </w:p>
        </w:tc>
        <w:tc>
          <w:tcPr>
            <w:tcW w:w="660" w:type="pct"/>
            <w:tcBorders>
              <w:bottom w:val="single" w:sz="4" w:space="0" w:color="000080"/>
            </w:tcBorders>
          </w:tcPr>
          <w:p w14:paraId="5B531A3D" w14:textId="77777777" w:rsidR="00627C51" w:rsidRPr="001E7293" w:rsidRDefault="00627C51" w:rsidP="00627C51">
            <w:pPr>
              <w:ind w:left="-429" w:right="409"/>
              <w:jc w:val="right"/>
            </w:pPr>
            <w:r>
              <w:t>4.8</w:t>
            </w:r>
          </w:p>
        </w:tc>
        <w:tc>
          <w:tcPr>
            <w:tcW w:w="626" w:type="pct"/>
            <w:tcBorders>
              <w:bottom w:val="single" w:sz="4" w:space="0" w:color="000080"/>
            </w:tcBorders>
          </w:tcPr>
          <w:p w14:paraId="1E227EFD" w14:textId="77777777" w:rsidR="00627C51" w:rsidRDefault="00FA20E8" w:rsidP="00627C51">
            <w:pPr>
              <w:ind w:left="-625" w:right="260"/>
              <w:jc w:val="right"/>
            </w:pPr>
            <w:r>
              <w:t>3.4</w:t>
            </w:r>
          </w:p>
        </w:tc>
        <w:tc>
          <w:tcPr>
            <w:tcW w:w="624" w:type="pct"/>
            <w:tcBorders>
              <w:bottom w:val="single" w:sz="4" w:space="0" w:color="000080"/>
            </w:tcBorders>
          </w:tcPr>
          <w:p w14:paraId="2C6E67CF" w14:textId="77777777" w:rsidR="00627C51" w:rsidRPr="001E7293" w:rsidRDefault="00FA20E8" w:rsidP="00627C51">
            <w:pPr>
              <w:ind w:left="-625" w:right="260"/>
              <w:jc w:val="right"/>
            </w:pPr>
            <w:r>
              <w:t>9.6</w:t>
            </w:r>
          </w:p>
        </w:tc>
      </w:tr>
      <w:tr w:rsidR="00627C51" w:rsidRPr="001E7293" w14:paraId="68C6BBFD" w14:textId="77777777" w:rsidTr="00627C51">
        <w:tc>
          <w:tcPr>
            <w:tcW w:w="2436" w:type="pct"/>
          </w:tcPr>
          <w:p w14:paraId="37F81427" w14:textId="77777777" w:rsidR="00627C51" w:rsidRPr="001E7293" w:rsidRDefault="00627C51" w:rsidP="00627C51">
            <w:r w:rsidRPr="001E7293">
              <w:t>equals estimated balance of non</w:t>
            </w:r>
            <w:r w:rsidRPr="001E7293">
              <w:noBreakHyphen/>
              <w:t>Commonwealth contributions</w:t>
            </w:r>
          </w:p>
        </w:tc>
        <w:tc>
          <w:tcPr>
            <w:tcW w:w="654" w:type="pct"/>
            <w:tcBorders>
              <w:top w:val="single" w:sz="4" w:space="0" w:color="000080"/>
              <w:bottom w:val="single" w:sz="4" w:space="0" w:color="000080"/>
            </w:tcBorders>
          </w:tcPr>
          <w:p w14:paraId="432A007F" w14:textId="77777777" w:rsidR="00627C51" w:rsidRPr="00B40B72" w:rsidRDefault="00627C51" w:rsidP="00627C51">
            <w:pPr>
              <w:ind w:left="-527" w:right="355"/>
              <w:jc w:val="right"/>
              <w:rPr>
                <w:vertAlign w:val="superscript"/>
              </w:rPr>
            </w:pPr>
            <w:r w:rsidRPr="00B40B72">
              <w:rPr>
                <w:vertAlign w:val="superscript"/>
              </w:rPr>
              <w:t>**</w:t>
            </w:r>
          </w:p>
        </w:tc>
        <w:tc>
          <w:tcPr>
            <w:tcW w:w="660" w:type="pct"/>
            <w:tcBorders>
              <w:top w:val="single" w:sz="4" w:space="0" w:color="000080"/>
              <w:bottom w:val="single" w:sz="4" w:space="0" w:color="000080"/>
            </w:tcBorders>
          </w:tcPr>
          <w:p w14:paraId="3D61EA4B" w14:textId="77777777" w:rsidR="00627C51" w:rsidRPr="00B40B72" w:rsidRDefault="00627C51" w:rsidP="00627C51">
            <w:pPr>
              <w:ind w:left="-429" w:right="409"/>
              <w:jc w:val="right"/>
              <w:rPr>
                <w:vertAlign w:val="superscript"/>
              </w:rPr>
            </w:pPr>
            <w:r w:rsidRPr="00B40B72">
              <w:rPr>
                <w:vertAlign w:val="superscript"/>
              </w:rPr>
              <w:t>**</w:t>
            </w:r>
          </w:p>
        </w:tc>
        <w:tc>
          <w:tcPr>
            <w:tcW w:w="626" w:type="pct"/>
            <w:tcBorders>
              <w:top w:val="single" w:sz="4" w:space="0" w:color="000080"/>
              <w:bottom w:val="single" w:sz="4" w:space="0" w:color="000080"/>
            </w:tcBorders>
          </w:tcPr>
          <w:p w14:paraId="70661722" w14:textId="77777777" w:rsidR="00627C51" w:rsidRPr="00B40B72" w:rsidRDefault="00627C51" w:rsidP="00627C51">
            <w:pPr>
              <w:ind w:left="-625" w:right="260"/>
              <w:jc w:val="right"/>
              <w:rPr>
                <w:vertAlign w:val="superscript"/>
              </w:rPr>
            </w:pPr>
            <w:r w:rsidRPr="00B40B72">
              <w:rPr>
                <w:vertAlign w:val="superscript"/>
              </w:rPr>
              <w:t>**</w:t>
            </w:r>
          </w:p>
        </w:tc>
        <w:tc>
          <w:tcPr>
            <w:tcW w:w="624" w:type="pct"/>
            <w:tcBorders>
              <w:top w:val="single" w:sz="4" w:space="0" w:color="000080"/>
              <w:bottom w:val="single" w:sz="4" w:space="0" w:color="000080"/>
            </w:tcBorders>
          </w:tcPr>
          <w:p w14:paraId="17927607" w14:textId="77777777" w:rsidR="00627C51" w:rsidRPr="00B40B72" w:rsidRDefault="00627C51" w:rsidP="00627C51">
            <w:pPr>
              <w:ind w:left="-625" w:right="260"/>
              <w:jc w:val="right"/>
              <w:rPr>
                <w:vertAlign w:val="superscript"/>
              </w:rPr>
            </w:pPr>
            <w:r w:rsidRPr="00B40B72">
              <w:rPr>
                <w:vertAlign w:val="superscript"/>
              </w:rPr>
              <w:t>**</w:t>
            </w:r>
          </w:p>
        </w:tc>
      </w:tr>
      <w:tr w:rsidR="00627C51" w:rsidRPr="001E7293" w14:paraId="2CA1C485" w14:textId="77777777" w:rsidTr="00627C51">
        <w:trPr>
          <w:cantSplit/>
        </w:trPr>
        <w:tc>
          <w:tcPr>
            <w:tcW w:w="2436" w:type="pct"/>
            <w:tcBorders>
              <w:bottom w:val="single" w:sz="4" w:space="0" w:color="000080"/>
            </w:tcBorders>
          </w:tcPr>
          <w:p w14:paraId="2B26C3C2" w14:textId="77777777" w:rsidR="00627C51" w:rsidRPr="001E7293" w:rsidRDefault="00627C51" w:rsidP="00627C51">
            <w:r w:rsidRPr="001E7293">
              <w:t xml:space="preserve">Total </w:t>
            </w:r>
            <w:r w:rsidRPr="001E7293">
              <w:rPr>
                <w:b/>
              </w:rPr>
              <w:t>Commonwealth contribution</w:t>
            </w:r>
          </w:p>
        </w:tc>
        <w:tc>
          <w:tcPr>
            <w:tcW w:w="654" w:type="pct"/>
            <w:tcBorders>
              <w:top w:val="single" w:sz="4" w:space="0" w:color="000080"/>
              <w:bottom w:val="single" w:sz="4" w:space="0" w:color="000080"/>
            </w:tcBorders>
          </w:tcPr>
          <w:p w14:paraId="0930C412" w14:textId="77777777" w:rsidR="00627C51" w:rsidRPr="001E7293" w:rsidRDefault="00627C51" w:rsidP="00627C51">
            <w:pPr>
              <w:ind w:left="-527" w:right="355"/>
              <w:jc w:val="right"/>
            </w:pPr>
            <w:r>
              <w:t>1.4</w:t>
            </w:r>
          </w:p>
        </w:tc>
        <w:tc>
          <w:tcPr>
            <w:tcW w:w="660" w:type="pct"/>
            <w:tcBorders>
              <w:top w:val="single" w:sz="4" w:space="0" w:color="000080"/>
              <w:bottom w:val="single" w:sz="4" w:space="0" w:color="000080"/>
            </w:tcBorders>
          </w:tcPr>
          <w:p w14:paraId="2EDE8ACE" w14:textId="77777777" w:rsidR="00627C51" w:rsidRPr="001E7293" w:rsidRDefault="00627C51" w:rsidP="00627C51">
            <w:pPr>
              <w:ind w:left="-429" w:right="409"/>
              <w:jc w:val="right"/>
            </w:pPr>
            <w:r>
              <w:t>4.8</w:t>
            </w:r>
          </w:p>
        </w:tc>
        <w:tc>
          <w:tcPr>
            <w:tcW w:w="626" w:type="pct"/>
            <w:tcBorders>
              <w:top w:val="single" w:sz="4" w:space="0" w:color="000080"/>
              <w:bottom w:val="single" w:sz="4" w:space="0" w:color="000080"/>
            </w:tcBorders>
          </w:tcPr>
          <w:p w14:paraId="2A7FD761" w14:textId="77777777" w:rsidR="00627C51" w:rsidRDefault="00FA20E8" w:rsidP="00627C51">
            <w:pPr>
              <w:ind w:left="-625" w:right="260"/>
              <w:jc w:val="right"/>
            </w:pPr>
            <w:r>
              <w:t>3.4</w:t>
            </w:r>
          </w:p>
        </w:tc>
        <w:tc>
          <w:tcPr>
            <w:tcW w:w="624" w:type="pct"/>
            <w:tcBorders>
              <w:top w:val="single" w:sz="4" w:space="0" w:color="000080"/>
              <w:bottom w:val="single" w:sz="4" w:space="0" w:color="000080"/>
            </w:tcBorders>
          </w:tcPr>
          <w:p w14:paraId="05767637" w14:textId="77777777" w:rsidR="00627C51" w:rsidRPr="001E7293" w:rsidRDefault="00FA20E8" w:rsidP="00627C51">
            <w:pPr>
              <w:ind w:left="-625" w:right="260"/>
              <w:jc w:val="right"/>
            </w:pPr>
            <w:r>
              <w:t>9.6</w:t>
            </w:r>
          </w:p>
        </w:tc>
      </w:tr>
      <w:tr w:rsidR="00627C51" w:rsidRPr="001E7293" w14:paraId="5222C41F" w14:textId="77777777" w:rsidTr="00627C51">
        <w:trPr>
          <w:cantSplit/>
        </w:trPr>
        <w:tc>
          <w:tcPr>
            <w:tcW w:w="2436" w:type="pct"/>
            <w:tcBorders>
              <w:bottom w:val="single" w:sz="4" w:space="0" w:color="000080"/>
            </w:tcBorders>
          </w:tcPr>
          <w:p w14:paraId="54FCE00E" w14:textId="77777777" w:rsidR="00627C51" w:rsidRPr="001E7293" w:rsidRDefault="00627C51" w:rsidP="00627C51"/>
        </w:tc>
        <w:tc>
          <w:tcPr>
            <w:tcW w:w="654" w:type="pct"/>
            <w:tcBorders>
              <w:top w:val="single" w:sz="4" w:space="0" w:color="000080"/>
              <w:bottom w:val="single" w:sz="4" w:space="0" w:color="000080"/>
            </w:tcBorders>
          </w:tcPr>
          <w:p w14:paraId="042C6CB4" w14:textId="77777777" w:rsidR="00627C51" w:rsidRPr="001E7293" w:rsidRDefault="00627C51" w:rsidP="00627C51">
            <w:pPr>
              <w:jc w:val="right"/>
            </w:pPr>
          </w:p>
        </w:tc>
        <w:tc>
          <w:tcPr>
            <w:tcW w:w="660" w:type="pct"/>
            <w:tcBorders>
              <w:top w:val="single" w:sz="4" w:space="0" w:color="000080"/>
              <w:bottom w:val="single" w:sz="4" w:space="0" w:color="000080"/>
            </w:tcBorders>
          </w:tcPr>
          <w:p w14:paraId="3752F348" w14:textId="77777777" w:rsidR="00627C51" w:rsidRPr="001E7293" w:rsidRDefault="00627C51" w:rsidP="00627C51">
            <w:pPr>
              <w:jc w:val="right"/>
            </w:pPr>
          </w:p>
        </w:tc>
        <w:tc>
          <w:tcPr>
            <w:tcW w:w="626" w:type="pct"/>
            <w:tcBorders>
              <w:top w:val="single" w:sz="4" w:space="0" w:color="000080"/>
              <w:bottom w:val="single" w:sz="4" w:space="0" w:color="000080"/>
            </w:tcBorders>
          </w:tcPr>
          <w:p w14:paraId="044BEC59" w14:textId="77777777" w:rsidR="00627C51" w:rsidRPr="001E7293" w:rsidRDefault="00627C51" w:rsidP="00627C51">
            <w:pPr>
              <w:jc w:val="right"/>
            </w:pPr>
          </w:p>
        </w:tc>
        <w:tc>
          <w:tcPr>
            <w:tcW w:w="624" w:type="pct"/>
            <w:tcBorders>
              <w:top w:val="single" w:sz="4" w:space="0" w:color="000080"/>
              <w:bottom w:val="single" w:sz="4" w:space="0" w:color="000080"/>
            </w:tcBorders>
          </w:tcPr>
          <w:p w14:paraId="6FB6C7FA" w14:textId="77777777" w:rsidR="00627C51" w:rsidRPr="001E7293" w:rsidRDefault="00627C51" w:rsidP="00627C51">
            <w:pPr>
              <w:jc w:val="right"/>
            </w:pPr>
          </w:p>
        </w:tc>
      </w:tr>
    </w:tbl>
    <w:p w14:paraId="1ACAAE4F" w14:textId="77777777" w:rsidR="00DD1CE5" w:rsidRPr="008E7D30" w:rsidRDefault="00B40B72" w:rsidP="00DD1CE5">
      <w:pPr>
        <w:rPr>
          <w:sz w:val="16"/>
          <w:szCs w:val="16"/>
        </w:rPr>
      </w:pPr>
      <w:r w:rsidRPr="008E7D30">
        <w:rPr>
          <w:sz w:val="16"/>
          <w:szCs w:val="16"/>
        </w:rPr>
        <w:t xml:space="preserve">*Figures </w:t>
      </w:r>
      <w:r w:rsidR="00FA5459" w:rsidRPr="008E7D30">
        <w:rPr>
          <w:sz w:val="16"/>
          <w:szCs w:val="16"/>
        </w:rPr>
        <w:t>may not add up due to rounding</w:t>
      </w:r>
      <w:r w:rsidRPr="008E7D30">
        <w:rPr>
          <w:sz w:val="16"/>
          <w:szCs w:val="16"/>
        </w:rPr>
        <w:t>. All figures are estimates, including estimated allocations by element.</w:t>
      </w:r>
    </w:p>
    <w:p w14:paraId="6C8DC664" w14:textId="77777777" w:rsidR="00B40B72" w:rsidRPr="008E7D30" w:rsidRDefault="00B40B72" w:rsidP="00DD1CE5">
      <w:pPr>
        <w:rPr>
          <w:sz w:val="16"/>
          <w:szCs w:val="16"/>
        </w:rPr>
      </w:pPr>
      <w:r w:rsidRPr="008E7D30">
        <w:rPr>
          <w:sz w:val="16"/>
          <w:szCs w:val="16"/>
        </w:rPr>
        <w:t>**States and territories are responsible for the provision of early childhood education and the N</w:t>
      </w:r>
      <w:r w:rsidR="001A773D">
        <w:rPr>
          <w:sz w:val="16"/>
          <w:szCs w:val="16"/>
        </w:rPr>
        <w:t xml:space="preserve">orthern </w:t>
      </w:r>
      <w:r w:rsidRPr="008E7D30">
        <w:rPr>
          <w:sz w:val="16"/>
          <w:szCs w:val="16"/>
        </w:rPr>
        <w:t>T</w:t>
      </w:r>
      <w:r w:rsidR="001A773D">
        <w:rPr>
          <w:sz w:val="16"/>
          <w:szCs w:val="16"/>
        </w:rPr>
        <w:t>erritory</w:t>
      </w:r>
      <w:r w:rsidRPr="008E7D30">
        <w:rPr>
          <w:sz w:val="16"/>
          <w:szCs w:val="16"/>
        </w:rPr>
        <w:t xml:space="preserve"> allocates its own source funding accordingly.</w:t>
      </w:r>
    </w:p>
    <w:p w14:paraId="1600E54A" w14:textId="77777777" w:rsidR="00B40B72" w:rsidRPr="008E7D30" w:rsidRDefault="00B40B72" w:rsidP="00B40B72">
      <w:pPr>
        <w:rPr>
          <w:b/>
          <w:sz w:val="16"/>
          <w:szCs w:val="16"/>
        </w:rPr>
      </w:pPr>
      <w:r w:rsidRPr="008E7D30">
        <w:rPr>
          <w:b/>
          <w:sz w:val="16"/>
          <w:szCs w:val="16"/>
        </w:rPr>
        <w:t>Note:</w:t>
      </w:r>
    </w:p>
    <w:p w14:paraId="3B68FE35" w14:textId="77777777" w:rsidR="00B40B72" w:rsidRPr="008E7D30" w:rsidRDefault="00B40B72" w:rsidP="00B40B72">
      <w:pPr>
        <w:rPr>
          <w:sz w:val="16"/>
          <w:szCs w:val="16"/>
        </w:rPr>
      </w:pPr>
      <w:r w:rsidRPr="008E7D30">
        <w:rPr>
          <w:sz w:val="16"/>
          <w:szCs w:val="16"/>
        </w:rPr>
        <w:t>1. Funding has been notionally allocated based on enrolment and student characteristics for 2017.</w:t>
      </w:r>
    </w:p>
    <w:p w14:paraId="45ED052E" w14:textId="77777777" w:rsidR="00B40B72" w:rsidRPr="008E7D30" w:rsidRDefault="00B40B72" w:rsidP="00B40B72">
      <w:pPr>
        <w:rPr>
          <w:sz w:val="16"/>
          <w:szCs w:val="16"/>
        </w:rPr>
      </w:pPr>
      <w:r w:rsidRPr="008E7D30">
        <w:rPr>
          <w:sz w:val="16"/>
          <w:szCs w:val="16"/>
        </w:rPr>
        <w:t>2. Funding is provided to service providers on a calendar year basis.</w:t>
      </w:r>
    </w:p>
    <w:p w14:paraId="30EC8BF4" w14:textId="77777777" w:rsidR="0036688B" w:rsidRPr="001E7293" w:rsidRDefault="00B40B72" w:rsidP="00BA054D">
      <w:r>
        <w:rPr>
          <w:vertAlign w:val="subscript"/>
        </w:rPr>
        <w:br w:type="page"/>
      </w:r>
      <w:r w:rsidR="007B4BA6" w:rsidRPr="001E7293">
        <w:t>Program</w:t>
      </w:r>
      <w:r w:rsidR="0036688B" w:rsidRPr="001E7293">
        <w:t xml:space="preserve"> logic</w:t>
      </w:r>
    </w:p>
    <w:p w14:paraId="7DC1EC19" w14:textId="77777777" w:rsidR="0036688B" w:rsidRPr="001E7293" w:rsidRDefault="0036688B" w:rsidP="00BB3B23">
      <w:pPr>
        <w:pStyle w:val="Normalnumbered"/>
        <w:spacing w:after="240" w:line="260" w:lineRule="exact"/>
      </w:pPr>
      <w:r w:rsidRPr="001E7293">
        <w:t xml:space="preserve">The </w:t>
      </w:r>
      <w:r w:rsidR="00334C02" w:rsidRPr="001E7293">
        <w:t>project</w:t>
      </w:r>
      <w:r w:rsidR="00432B5D" w:rsidRPr="001E7293">
        <w:t xml:space="preserve"> element</w:t>
      </w:r>
      <w:r w:rsidR="00334C02" w:rsidRPr="001E7293">
        <w:t xml:space="preserve">s </w:t>
      </w:r>
      <w:r w:rsidRPr="001E7293">
        <w:t xml:space="preserve">detailed in this Implementation Plan will achieve the outcomes and objectives </w:t>
      </w:r>
      <w:r w:rsidR="003C4EFA">
        <w:t>outlined</w:t>
      </w:r>
      <w:r w:rsidR="003C4EFA" w:rsidRPr="001E7293">
        <w:t xml:space="preserve"> </w:t>
      </w:r>
      <w:r w:rsidRPr="001E7293">
        <w:t xml:space="preserve">in the </w:t>
      </w:r>
      <w:r w:rsidR="002E328E" w:rsidRPr="001E7293">
        <w:t>National Partnership</w:t>
      </w:r>
      <w:r w:rsidR="005C7691" w:rsidRPr="001E7293">
        <w:t>,</w:t>
      </w:r>
      <w:r w:rsidRPr="001E7293">
        <w:t xml:space="preserve"> </w:t>
      </w:r>
      <w:r w:rsidR="005C7691" w:rsidRPr="001E7293">
        <w:t xml:space="preserve">including for vulnerable and disadvantaged children and </w:t>
      </w:r>
      <w:r w:rsidR="00FF101E">
        <w:t>Indigenous</w:t>
      </w:r>
      <w:r w:rsidR="00FF101E" w:rsidRPr="001E7293">
        <w:t xml:space="preserve"> </w:t>
      </w:r>
      <w:r w:rsidR="005C7691" w:rsidRPr="001E7293">
        <w:t>children</w:t>
      </w:r>
      <w:r w:rsidRPr="001E7293">
        <w:t>.</w:t>
      </w:r>
    </w:p>
    <w:p w14:paraId="138B80D5" w14:textId="77777777" w:rsidR="0036688B" w:rsidRPr="001E7293" w:rsidRDefault="0036688B" w:rsidP="00BB3B23">
      <w:pPr>
        <w:pStyle w:val="Normalnumbered"/>
        <w:spacing w:after="240" w:line="260" w:lineRule="exact"/>
      </w:pPr>
      <w:r w:rsidRPr="001E7293">
        <w:t xml:space="preserve">The </w:t>
      </w:r>
      <w:r w:rsidR="00266792">
        <w:t>manner</w:t>
      </w:r>
      <w:r w:rsidR="00266792" w:rsidRPr="001E7293">
        <w:t xml:space="preserve"> </w:t>
      </w:r>
      <w:r w:rsidRPr="001E7293">
        <w:t xml:space="preserve">in which these </w:t>
      </w:r>
      <w:r w:rsidR="00334C02" w:rsidRPr="001E7293">
        <w:t>project</w:t>
      </w:r>
      <w:r w:rsidR="00432B5D" w:rsidRPr="001E7293">
        <w:t xml:space="preserve"> element</w:t>
      </w:r>
      <w:r w:rsidR="00334C02" w:rsidRPr="001E7293">
        <w:t xml:space="preserve">s </w:t>
      </w:r>
      <w:r w:rsidRPr="001E7293">
        <w:t xml:space="preserve">will achieve the outcomes and objectives set out in the </w:t>
      </w:r>
      <w:r w:rsidR="002E328E" w:rsidRPr="001E7293">
        <w:t>National Partnership</w:t>
      </w:r>
      <w:r w:rsidRPr="001E7293">
        <w:t xml:space="preserve"> is detailed in</w:t>
      </w:r>
      <w:r w:rsidR="00141ACB" w:rsidRPr="001E7293">
        <w:t xml:space="preserve"> Table 3 below.</w:t>
      </w:r>
    </w:p>
    <w:p w14:paraId="69DA27B2" w14:textId="77777777" w:rsidR="003E230C" w:rsidRPr="001E7293" w:rsidRDefault="0036688B" w:rsidP="00612BDE">
      <w:pPr>
        <w:keepNext/>
        <w:spacing w:after="120"/>
        <w:outlineLvl w:val="2"/>
        <w:rPr>
          <w:color w:val="3D4B67"/>
          <w:szCs w:val="23"/>
        </w:rPr>
      </w:pPr>
      <w:r w:rsidRPr="001E7293">
        <w:rPr>
          <w:rFonts w:ascii="Consolas" w:hAnsi="Consolas"/>
          <w:b/>
          <w:color w:val="3D4B67"/>
          <w:szCs w:val="20"/>
        </w:rPr>
        <w:t xml:space="preserve">Table </w:t>
      </w:r>
      <w:r w:rsidR="008A1747" w:rsidRPr="001E7293">
        <w:rPr>
          <w:rFonts w:ascii="Consolas" w:hAnsi="Consolas"/>
          <w:b/>
          <w:color w:val="3D4B67"/>
          <w:szCs w:val="20"/>
        </w:rPr>
        <w:t>3</w:t>
      </w:r>
      <w:r w:rsidRPr="001E7293">
        <w:rPr>
          <w:rFonts w:ascii="Consolas" w:hAnsi="Consolas"/>
          <w:b/>
          <w:color w:val="3D4B67"/>
          <w:szCs w:val="20"/>
        </w:rPr>
        <w:t xml:space="preserve">: </w:t>
      </w:r>
      <w:r w:rsidR="007B4BA6" w:rsidRPr="001E7293">
        <w:rPr>
          <w:rFonts w:ascii="Consolas" w:hAnsi="Consolas"/>
          <w:b/>
          <w:color w:val="3D4B67"/>
          <w:szCs w:val="20"/>
        </w:rPr>
        <w:t>Program</w:t>
      </w:r>
      <w:r w:rsidRPr="001E7293">
        <w:rPr>
          <w:rFonts w:ascii="Consolas" w:hAnsi="Consolas"/>
          <w:b/>
          <w:color w:val="3D4B67"/>
          <w:szCs w:val="20"/>
        </w:rPr>
        <w:t xml:space="preserve"> logic</w:t>
      </w: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94"/>
        <w:gridCol w:w="2555"/>
        <w:gridCol w:w="1559"/>
        <w:gridCol w:w="2125"/>
        <w:gridCol w:w="1701"/>
      </w:tblGrid>
      <w:tr w:rsidR="00802495" w:rsidRPr="00E3560B" w14:paraId="05D5DE11" w14:textId="77777777" w:rsidTr="0049391C">
        <w:trPr>
          <w:cantSplit/>
        </w:trPr>
        <w:tc>
          <w:tcPr>
            <w:tcW w:w="879" w:type="pct"/>
            <w:shd w:val="clear" w:color="auto" w:fill="E6E6E6"/>
            <w:vAlign w:val="center"/>
          </w:tcPr>
          <w:p w14:paraId="7131B9F8" w14:textId="77777777" w:rsidR="00F2493A" w:rsidRPr="00E3560B" w:rsidRDefault="00737A4C" w:rsidP="0049391C">
            <w:pPr>
              <w:jc w:val="center"/>
              <w:rPr>
                <w:rFonts w:ascii="Times New Roman" w:hAnsi="Times New Roman"/>
                <w:b/>
                <w:sz w:val="22"/>
                <w:szCs w:val="22"/>
              </w:rPr>
            </w:pPr>
            <w:r w:rsidRPr="00E3560B">
              <w:rPr>
                <w:b/>
                <w:sz w:val="22"/>
                <w:szCs w:val="22"/>
                <w:lang w:eastAsia="en-US"/>
              </w:rPr>
              <w:t>Project</w:t>
            </w:r>
            <w:r w:rsidR="00432B5D" w:rsidRPr="00E3560B">
              <w:rPr>
                <w:b/>
                <w:sz w:val="22"/>
                <w:szCs w:val="22"/>
                <w:lang w:eastAsia="en-US"/>
              </w:rPr>
              <w:t xml:space="preserve"> element</w:t>
            </w:r>
            <w:r w:rsidR="00F2493A" w:rsidRPr="00E3560B">
              <w:rPr>
                <w:b/>
                <w:sz w:val="22"/>
                <w:szCs w:val="22"/>
                <w:lang w:eastAsia="en-US"/>
              </w:rPr>
              <w:t>s</w:t>
            </w:r>
          </w:p>
        </w:tc>
        <w:tc>
          <w:tcPr>
            <w:tcW w:w="1326" w:type="pct"/>
            <w:shd w:val="clear" w:color="auto" w:fill="E6E6E6"/>
            <w:vAlign w:val="center"/>
          </w:tcPr>
          <w:p w14:paraId="1BB844ED" w14:textId="77777777" w:rsidR="00F2493A" w:rsidRPr="00E3560B" w:rsidRDefault="00F2493A" w:rsidP="0049391C">
            <w:pPr>
              <w:jc w:val="center"/>
              <w:rPr>
                <w:b/>
                <w:sz w:val="22"/>
                <w:szCs w:val="22"/>
              </w:rPr>
            </w:pPr>
            <w:r w:rsidRPr="00E3560B">
              <w:rPr>
                <w:b/>
                <w:sz w:val="22"/>
                <w:szCs w:val="22"/>
              </w:rPr>
              <w:t>Outputs</w:t>
            </w:r>
          </w:p>
        </w:tc>
        <w:tc>
          <w:tcPr>
            <w:tcW w:w="809" w:type="pct"/>
            <w:shd w:val="clear" w:color="auto" w:fill="E6E6E6"/>
            <w:vAlign w:val="center"/>
          </w:tcPr>
          <w:p w14:paraId="0738E5E2" w14:textId="77777777" w:rsidR="00F2493A" w:rsidRPr="00E3560B" w:rsidRDefault="00F2493A" w:rsidP="0049391C">
            <w:pPr>
              <w:jc w:val="center"/>
              <w:rPr>
                <w:b/>
                <w:sz w:val="22"/>
                <w:szCs w:val="22"/>
              </w:rPr>
            </w:pPr>
            <w:r w:rsidRPr="00E3560B">
              <w:rPr>
                <w:b/>
                <w:sz w:val="22"/>
                <w:szCs w:val="22"/>
              </w:rPr>
              <w:t>Outcomes</w:t>
            </w:r>
          </w:p>
        </w:tc>
        <w:tc>
          <w:tcPr>
            <w:tcW w:w="1103" w:type="pct"/>
            <w:shd w:val="clear" w:color="auto" w:fill="E6E6E6"/>
            <w:vAlign w:val="center"/>
          </w:tcPr>
          <w:p w14:paraId="2CD7C1E8" w14:textId="77777777" w:rsidR="00F2493A" w:rsidRPr="00E3560B" w:rsidRDefault="00F2493A" w:rsidP="0049391C">
            <w:pPr>
              <w:jc w:val="center"/>
              <w:rPr>
                <w:b/>
                <w:sz w:val="22"/>
                <w:szCs w:val="22"/>
              </w:rPr>
            </w:pPr>
            <w:r w:rsidRPr="00E3560B">
              <w:rPr>
                <w:b/>
                <w:sz w:val="22"/>
                <w:szCs w:val="22"/>
              </w:rPr>
              <w:t>Reform</w:t>
            </w:r>
            <w:r w:rsidR="004C6F59" w:rsidRPr="00E3560B">
              <w:rPr>
                <w:b/>
                <w:sz w:val="22"/>
                <w:szCs w:val="22"/>
              </w:rPr>
              <w:t xml:space="preserve"> </w:t>
            </w:r>
            <w:r w:rsidRPr="00E3560B">
              <w:rPr>
                <w:b/>
                <w:sz w:val="22"/>
                <w:szCs w:val="22"/>
              </w:rPr>
              <w:t>/ Project Objectives</w:t>
            </w:r>
          </w:p>
        </w:tc>
        <w:tc>
          <w:tcPr>
            <w:tcW w:w="883" w:type="pct"/>
            <w:shd w:val="clear" w:color="auto" w:fill="E6E6E6"/>
            <w:vAlign w:val="center"/>
          </w:tcPr>
          <w:p w14:paraId="6C369A99" w14:textId="77777777" w:rsidR="00F2493A" w:rsidRPr="00E3560B" w:rsidRDefault="00F2493A" w:rsidP="0049391C">
            <w:pPr>
              <w:jc w:val="center"/>
              <w:rPr>
                <w:b/>
                <w:sz w:val="22"/>
                <w:szCs w:val="22"/>
              </w:rPr>
            </w:pPr>
            <w:r w:rsidRPr="00E3560B">
              <w:rPr>
                <w:b/>
                <w:sz w:val="22"/>
                <w:szCs w:val="22"/>
              </w:rPr>
              <w:t>Responsibilities</w:t>
            </w:r>
          </w:p>
        </w:tc>
      </w:tr>
      <w:tr w:rsidR="00802495" w:rsidRPr="00E3560B" w14:paraId="38E3B567" w14:textId="77777777" w:rsidTr="00802495">
        <w:trPr>
          <w:cantSplit/>
        </w:trPr>
        <w:tc>
          <w:tcPr>
            <w:tcW w:w="879" w:type="pct"/>
          </w:tcPr>
          <w:p w14:paraId="78B4D6AA" w14:textId="77777777" w:rsidR="00F2493A" w:rsidRPr="00E3560B" w:rsidRDefault="00432B5D" w:rsidP="00F431C9">
            <w:pPr>
              <w:rPr>
                <w:sz w:val="22"/>
                <w:szCs w:val="22"/>
              </w:rPr>
            </w:pPr>
            <w:r w:rsidRPr="00E3560B">
              <w:rPr>
                <w:sz w:val="22"/>
                <w:szCs w:val="22"/>
              </w:rPr>
              <w:t xml:space="preserve">Element </w:t>
            </w:r>
            <w:r w:rsidR="00F2493A" w:rsidRPr="00E3560B">
              <w:rPr>
                <w:sz w:val="22"/>
                <w:szCs w:val="22"/>
              </w:rPr>
              <w:t>1</w:t>
            </w:r>
            <w:r w:rsidR="00B40B72" w:rsidRPr="00E3560B">
              <w:rPr>
                <w:sz w:val="22"/>
                <w:szCs w:val="22"/>
              </w:rPr>
              <w:t xml:space="preserve"> - </w:t>
            </w:r>
            <w:r w:rsidR="00F431C9" w:rsidRPr="00E3560B">
              <w:rPr>
                <w:sz w:val="22"/>
                <w:szCs w:val="22"/>
              </w:rPr>
              <w:t>m</w:t>
            </w:r>
            <w:r w:rsidR="00B40B72" w:rsidRPr="00E3560B">
              <w:rPr>
                <w:sz w:val="22"/>
                <w:szCs w:val="22"/>
              </w:rPr>
              <w:t>aintain universal access to 600 hours of quality preschool for all children in the year before full</w:t>
            </w:r>
            <w:r w:rsidR="00802495" w:rsidRPr="00E3560B">
              <w:rPr>
                <w:sz w:val="22"/>
                <w:szCs w:val="22"/>
              </w:rPr>
              <w:t>-</w:t>
            </w:r>
            <w:r w:rsidR="00B40B72" w:rsidRPr="00E3560B">
              <w:rPr>
                <w:sz w:val="22"/>
                <w:szCs w:val="22"/>
              </w:rPr>
              <w:t>time school</w:t>
            </w:r>
            <w:r w:rsidR="00FA5459" w:rsidRPr="00E3560B">
              <w:rPr>
                <w:sz w:val="22"/>
                <w:szCs w:val="22"/>
              </w:rPr>
              <w:t>.</w:t>
            </w:r>
          </w:p>
        </w:tc>
        <w:tc>
          <w:tcPr>
            <w:tcW w:w="1326" w:type="pct"/>
          </w:tcPr>
          <w:p w14:paraId="4C9C2334" w14:textId="77777777" w:rsidR="00802495" w:rsidRPr="00E3560B" w:rsidRDefault="00B40B72" w:rsidP="00A134AB">
            <w:pPr>
              <w:spacing w:after="120"/>
              <w:rPr>
                <w:sz w:val="22"/>
                <w:szCs w:val="22"/>
              </w:rPr>
            </w:pPr>
            <w:r w:rsidRPr="00E3560B">
              <w:rPr>
                <w:sz w:val="22"/>
                <w:szCs w:val="22"/>
              </w:rPr>
              <w:t>Implementing accessible quality ear</w:t>
            </w:r>
            <w:r w:rsidR="00F431C9" w:rsidRPr="00E3560B">
              <w:rPr>
                <w:sz w:val="22"/>
                <w:szCs w:val="22"/>
              </w:rPr>
              <w:t>ly childhood education program</w:t>
            </w:r>
            <w:r w:rsidRPr="00E3560B">
              <w:rPr>
                <w:sz w:val="22"/>
                <w:szCs w:val="22"/>
              </w:rPr>
              <w:t>s which meet the needs of parents and communities at a cost which does not present a barrier to participation, particularly for vulnera</w:t>
            </w:r>
            <w:r w:rsidR="00266792" w:rsidRPr="00E3560B">
              <w:rPr>
                <w:sz w:val="22"/>
                <w:szCs w:val="22"/>
              </w:rPr>
              <w:t>ble and disadvantaged children.</w:t>
            </w:r>
          </w:p>
          <w:p w14:paraId="1CFF6E04" w14:textId="77777777" w:rsidR="00F2493A" w:rsidRPr="00E3560B" w:rsidRDefault="00B40B72" w:rsidP="00191251">
            <w:pPr>
              <w:rPr>
                <w:sz w:val="22"/>
                <w:szCs w:val="22"/>
              </w:rPr>
            </w:pPr>
            <w:r w:rsidRPr="00E3560B">
              <w:rPr>
                <w:sz w:val="22"/>
                <w:szCs w:val="22"/>
              </w:rPr>
              <w:t>Supporting all children’s quality early childhood education participation, regardless of whether quality ear</w:t>
            </w:r>
            <w:r w:rsidR="00F431C9" w:rsidRPr="00E3560B">
              <w:rPr>
                <w:sz w:val="22"/>
                <w:szCs w:val="22"/>
              </w:rPr>
              <w:t>ly childhood education program</w:t>
            </w:r>
            <w:r w:rsidRPr="00E3560B">
              <w:rPr>
                <w:sz w:val="22"/>
                <w:szCs w:val="22"/>
              </w:rPr>
              <w:t xml:space="preserve">s are delivered through schools </w:t>
            </w:r>
            <w:r w:rsidR="00DE078B" w:rsidRPr="00E3560B">
              <w:rPr>
                <w:sz w:val="22"/>
                <w:szCs w:val="22"/>
              </w:rPr>
              <w:t>(non-government and government)</w:t>
            </w:r>
            <w:r w:rsidRPr="00E3560B">
              <w:rPr>
                <w:sz w:val="22"/>
                <w:szCs w:val="22"/>
              </w:rPr>
              <w:t xml:space="preserve"> or long day care centres.</w:t>
            </w:r>
          </w:p>
        </w:tc>
        <w:tc>
          <w:tcPr>
            <w:tcW w:w="809" w:type="pct"/>
          </w:tcPr>
          <w:p w14:paraId="0E2C470E" w14:textId="77777777" w:rsidR="00F2493A" w:rsidRPr="00E3560B" w:rsidRDefault="00B40B72" w:rsidP="00F431C9">
            <w:pPr>
              <w:rPr>
                <w:sz w:val="22"/>
                <w:szCs w:val="22"/>
              </w:rPr>
            </w:pPr>
            <w:r w:rsidRPr="00E3560B">
              <w:rPr>
                <w:sz w:val="22"/>
                <w:szCs w:val="22"/>
              </w:rPr>
              <w:t>All children, including vulnerable and disadvantaged children, have access to, and participate in, an affordable, quality ea</w:t>
            </w:r>
            <w:r w:rsidR="00F431C9" w:rsidRPr="00E3560B">
              <w:rPr>
                <w:sz w:val="22"/>
                <w:szCs w:val="22"/>
              </w:rPr>
              <w:t>rly childhood education program</w:t>
            </w:r>
            <w:r w:rsidRPr="00E3560B">
              <w:rPr>
                <w:sz w:val="22"/>
                <w:szCs w:val="22"/>
              </w:rPr>
              <w:t>.</w:t>
            </w:r>
          </w:p>
        </w:tc>
        <w:tc>
          <w:tcPr>
            <w:tcW w:w="1103" w:type="pct"/>
          </w:tcPr>
          <w:p w14:paraId="53AE8F05" w14:textId="77777777" w:rsidR="004C6F59" w:rsidRPr="00E3560B" w:rsidRDefault="00B40B72" w:rsidP="000F58F0">
            <w:pPr>
              <w:rPr>
                <w:sz w:val="22"/>
                <w:szCs w:val="22"/>
              </w:rPr>
            </w:pPr>
            <w:r w:rsidRPr="00E3560B">
              <w:rPr>
                <w:sz w:val="22"/>
                <w:szCs w:val="22"/>
              </w:rPr>
              <w:t>To facilitate children’s early learning and development and transition to school by maintaining universal access to, and improving participation in, affordable, quality early childhood educati</w:t>
            </w:r>
            <w:r w:rsidR="000F58F0" w:rsidRPr="00E3560B">
              <w:rPr>
                <w:sz w:val="22"/>
                <w:szCs w:val="22"/>
              </w:rPr>
              <w:t>on program</w:t>
            </w:r>
            <w:r w:rsidR="00266792" w:rsidRPr="00E3560B">
              <w:rPr>
                <w:sz w:val="22"/>
                <w:szCs w:val="22"/>
              </w:rPr>
              <w:t>s for all children.</w:t>
            </w:r>
          </w:p>
        </w:tc>
        <w:tc>
          <w:tcPr>
            <w:tcW w:w="883" w:type="pct"/>
          </w:tcPr>
          <w:p w14:paraId="6AB18FBA" w14:textId="77777777" w:rsidR="00F2493A" w:rsidRPr="00E3560B" w:rsidRDefault="00B40B72" w:rsidP="00191251">
            <w:pPr>
              <w:rPr>
                <w:sz w:val="22"/>
                <w:szCs w:val="22"/>
              </w:rPr>
            </w:pPr>
            <w:r w:rsidRPr="00E3560B">
              <w:rPr>
                <w:sz w:val="22"/>
                <w:szCs w:val="22"/>
              </w:rPr>
              <w:t>Northern</w:t>
            </w:r>
            <w:r w:rsidR="00F2493A" w:rsidRPr="00E3560B">
              <w:rPr>
                <w:sz w:val="22"/>
                <w:szCs w:val="22"/>
              </w:rPr>
              <w:t xml:space="preserve"> </w:t>
            </w:r>
            <w:r w:rsidR="005A409C" w:rsidRPr="00E3560B">
              <w:rPr>
                <w:sz w:val="22"/>
                <w:szCs w:val="22"/>
              </w:rPr>
              <w:t>Territory</w:t>
            </w:r>
          </w:p>
        </w:tc>
      </w:tr>
      <w:tr w:rsidR="00B250D6" w:rsidRPr="00E3560B" w14:paraId="0E652D72" w14:textId="77777777" w:rsidTr="00802495">
        <w:trPr>
          <w:cantSplit/>
        </w:trPr>
        <w:tc>
          <w:tcPr>
            <w:tcW w:w="879" w:type="pct"/>
          </w:tcPr>
          <w:p w14:paraId="12B2FA4D" w14:textId="77777777" w:rsidR="00B250D6" w:rsidRPr="00E3560B" w:rsidRDefault="00B250D6" w:rsidP="003B5CB4">
            <w:pPr>
              <w:rPr>
                <w:sz w:val="22"/>
                <w:szCs w:val="22"/>
              </w:rPr>
            </w:pPr>
            <w:r w:rsidRPr="00E3560B">
              <w:rPr>
                <w:sz w:val="22"/>
                <w:szCs w:val="22"/>
              </w:rPr>
              <w:t>Element</w:t>
            </w:r>
            <w:r w:rsidRPr="00E3560B" w:rsidDel="00432B5D">
              <w:rPr>
                <w:sz w:val="22"/>
                <w:szCs w:val="22"/>
              </w:rPr>
              <w:t xml:space="preserve"> </w:t>
            </w:r>
            <w:r w:rsidRPr="00E3560B">
              <w:rPr>
                <w:sz w:val="22"/>
                <w:szCs w:val="22"/>
              </w:rPr>
              <w:t xml:space="preserve">2 - </w:t>
            </w:r>
            <w:r w:rsidR="003B5CB4" w:rsidRPr="00E3560B">
              <w:rPr>
                <w:sz w:val="22"/>
                <w:szCs w:val="22"/>
              </w:rPr>
              <w:t>i</w:t>
            </w:r>
            <w:r w:rsidRPr="00E3560B">
              <w:rPr>
                <w:sz w:val="22"/>
                <w:szCs w:val="22"/>
              </w:rPr>
              <w:t>ncrease preschool participation by Aboriginal and vulnerable and disadvantaged children</w:t>
            </w:r>
            <w:r w:rsidR="00FA5459" w:rsidRPr="00E3560B">
              <w:rPr>
                <w:sz w:val="22"/>
                <w:szCs w:val="22"/>
              </w:rPr>
              <w:t>.</w:t>
            </w:r>
          </w:p>
        </w:tc>
        <w:tc>
          <w:tcPr>
            <w:tcW w:w="1326" w:type="pct"/>
          </w:tcPr>
          <w:p w14:paraId="77391331" w14:textId="77777777" w:rsidR="00B250D6" w:rsidRPr="00E3560B" w:rsidRDefault="00B250D6" w:rsidP="006C7CDD">
            <w:pPr>
              <w:spacing w:after="120"/>
              <w:rPr>
                <w:sz w:val="22"/>
                <w:szCs w:val="22"/>
              </w:rPr>
            </w:pPr>
            <w:r w:rsidRPr="00E3560B">
              <w:rPr>
                <w:sz w:val="22"/>
                <w:szCs w:val="22"/>
              </w:rPr>
              <w:t>Implementing accessible quality ear</w:t>
            </w:r>
            <w:r w:rsidR="003B5CB4" w:rsidRPr="00E3560B">
              <w:rPr>
                <w:sz w:val="22"/>
                <w:szCs w:val="22"/>
              </w:rPr>
              <w:t>ly childhood education program</w:t>
            </w:r>
            <w:r w:rsidRPr="00E3560B">
              <w:rPr>
                <w:sz w:val="22"/>
                <w:szCs w:val="22"/>
              </w:rPr>
              <w:t>s which meet the needs of parents and communities at a cost which does not present a barrier to participation, particularly for vulnerable and disadvantaged children.</w:t>
            </w:r>
          </w:p>
          <w:p w14:paraId="63A239FB" w14:textId="77777777" w:rsidR="00B250D6" w:rsidRPr="00E3560B" w:rsidRDefault="00B250D6" w:rsidP="006C7CDD">
            <w:pPr>
              <w:spacing w:after="120"/>
              <w:rPr>
                <w:sz w:val="22"/>
                <w:szCs w:val="22"/>
              </w:rPr>
            </w:pPr>
            <w:r w:rsidRPr="00E3560B">
              <w:rPr>
                <w:sz w:val="22"/>
                <w:szCs w:val="22"/>
              </w:rPr>
              <w:t xml:space="preserve">Delivery of strategies and actions targeting the participation of </w:t>
            </w:r>
            <w:r w:rsidR="006E7CAA" w:rsidRPr="00E3560B">
              <w:rPr>
                <w:sz w:val="22"/>
                <w:szCs w:val="22"/>
              </w:rPr>
              <w:t xml:space="preserve">Indigenous </w:t>
            </w:r>
            <w:r w:rsidRPr="00E3560B">
              <w:rPr>
                <w:sz w:val="22"/>
                <w:szCs w:val="22"/>
              </w:rPr>
              <w:t>children, including in r</w:t>
            </w:r>
            <w:r w:rsidR="003B5CB4" w:rsidRPr="00E3560B">
              <w:rPr>
                <w:sz w:val="22"/>
                <w:szCs w:val="22"/>
              </w:rPr>
              <w:t>emote areas.</w:t>
            </w:r>
          </w:p>
          <w:p w14:paraId="619743B3" w14:textId="77777777" w:rsidR="00B250D6" w:rsidRPr="00E3560B" w:rsidRDefault="00B250D6" w:rsidP="00B250D6">
            <w:pPr>
              <w:rPr>
                <w:sz w:val="22"/>
                <w:szCs w:val="22"/>
              </w:rPr>
            </w:pPr>
            <w:r w:rsidRPr="00E3560B">
              <w:rPr>
                <w:sz w:val="22"/>
                <w:szCs w:val="22"/>
              </w:rPr>
              <w:t>Delivery of strategies and actions targeting the participation of vulnerable and disadvantaged children.</w:t>
            </w:r>
          </w:p>
        </w:tc>
        <w:tc>
          <w:tcPr>
            <w:tcW w:w="809" w:type="pct"/>
          </w:tcPr>
          <w:p w14:paraId="030D0AFD" w14:textId="77777777" w:rsidR="00B250D6" w:rsidRPr="00E3560B" w:rsidRDefault="00B250D6" w:rsidP="006C7CDD">
            <w:pPr>
              <w:spacing w:after="120"/>
              <w:rPr>
                <w:sz w:val="22"/>
                <w:szCs w:val="22"/>
              </w:rPr>
            </w:pPr>
            <w:r w:rsidRPr="00E3560B">
              <w:rPr>
                <w:sz w:val="22"/>
                <w:szCs w:val="22"/>
              </w:rPr>
              <w:t>All children, including vulnerable and disadvantaged children, have access to, and participate in, an affordable, quality early childhoo</w:t>
            </w:r>
            <w:r w:rsidR="00AC2224" w:rsidRPr="00E3560B">
              <w:rPr>
                <w:sz w:val="22"/>
                <w:szCs w:val="22"/>
              </w:rPr>
              <w:t>d education program.</w:t>
            </w:r>
          </w:p>
          <w:p w14:paraId="266B4109" w14:textId="77777777" w:rsidR="00B250D6" w:rsidRPr="00E3560B" w:rsidRDefault="00B250D6" w:rsidP="00E528BF">
            <w:pPr>
              <w:rPr>
                <w:sz w:val="22"/>
                <w:szCs w:val="22"/>
              </w:rPr>
            </w:pPr>
            <w:r w:rsidRPr="00E3560B">
              <w:rPr>
                <w:sz w:val="22"/>
                <w:szCs w:val="22"/>
              </w:rPr>
              <w:t>All Aboriginal children in remote and very remote areas have access to free preschool from</w:t>
            </w:r>
            <w:r w:rsidR="00FA5459" w:rsidRPr="00E3560B">
              <w:rPr>
                <w:sz w:val="22"/>
                <w:szCs w:val="22"/>
              </w:rPr>
              <w:t xml:space="preserve"> </w:t>
            </w:r>
            <w:r w:rsidR="00E528BF">
              <w:rPr>
                <w:sz w:val="22"/>
                <w:szCs w:val="22"/>
              </w:rPr>
              <w:t>three</w:t>
            </w:r>
            <w:r w:rsidR="00FA5459" w:rsidRPr="00E3560B">
              <w:rPr>
                <w:sz w:val="22"/>
                <w:szCs w:val="22"/>
              </w:rPr>
              <w:t xml:space="preserve"> years of age.</w:t>
            </w:r>
          </w:p>
        </w:tc>
        <w:tc>
          <w:tcPr>
            <w:tcW w:w="1103" w:type="pct"/>
          </w:tcPr>
          <w:p w14:paraId="7BAAC7CA" w14:textId="77777777" w:rsidR="00B250D6" w:rsidRPr="00E3560B" w:rsidRDefault="00B250D6" w:rsidP="00B250D6">
            <w:pPr>
              <w:rPr>
                <w:sz w:val="22"/>
                <w:szCs w:val="22"/>
              </w:rPr>
            </w:pPr>
            <w:r w:rsidRPr="00E3560B">
              <w:rPr>
                <w:sz w:val="22"/>
                <w:szCs w:val="22"/>
              </w:rPr>
              <w:t>To facilitate children’s early learning and devel</w:t>
            </w:r>
            <w:r w:rsidR="00AC2224" w:rsidRPr="00E3560B">
              <w:rPr>
                <w:sz w:val="22"/>
                <w:szCs w:val="22"/>
              </w:rPr>
              <w:t>opment and transition to school</w:t>
            </w:r>
            <w:r w:rsidRPr="00E3560B">
              <w:rPr>
                <w:sz w:val="22"/>
                <w:szCs w:val="22"/>
              </w:rPr>
              <w:t xml:space="preserve"> by maintaining universal access to, and improving participation in, affordable, quality early childhood educati</w:t>
            </w:r>
            <w:r w:rsidR="00AC2224" w:rsidRPr="00E3560B">
              <w:rPr>
                <w:sz w:val="22"/>
                <w:szCs w:val="22"/>
              </w:rPr>
              <w:t>on programs for all children.</w:t>
            </w:r>
          </w:p>
        </w:tc>
        <w:tc>
          <w:tcPr>
            <w:tcW w:w="883" w:type="pct"/>
          </w:tcPr>
          <w:p w14:paraId="61BF9933" w14:textId="77777777" w:rsidR="00B250D6" w:rsidRPr="00E3560B" w:rsidRDefault="00B250D6" w:rsidP="00B250D6">
            <w:pPr>
              <w:rPr>
                <w:sz w:val="22"/>
                <w:szCs w:val="22"/>
              </w:rPr>
            </w:pPr>
            <w:r w:rsidRPr="00E3560B">
              <w:rPr>
                <w:sz w:val="22"/>
                <w:szCs w:val="22"/>
              </w:rPr>
              <w:t>Northern Territory</w:t>
            </w:r>
          </w:p>
        </w:tc>
      </w:tr>
    </w:tbl>
    <w:p w14:paraId="5A8D21D0" w14:textId="77777777" w:rsidR="0036688B" w:rsidRPr="001E7293" w:rsidRDefault="0036688B" w:rsidP="002D5120">
      <w:pPr>
        <w:pStyle w:val="Heading2"/>
        <w:spacing w:after="120"/>
      </w:pPr>
      <w:r w:rsidRPr="001E7293">
        <w:t>Risk management</w:t>
      </w:r>
    </w:p>
    <w:p w14:paraId="735719A0" w14:textId="1D0BEF3A" w:rsidR="007374A0" w:rsidRPr="001E7293" w:rsidRDefault="00B40B72" w:rsidP="00F17531">
      <w:pPr>
        <w:pStyle w:val="Normalnumbered"/>
        <w:spacing w:after="240"/>
        <w:ind w:right="-144"/>
      </w:pPr>
      <w:r>
        <w:t xml:space="preserve">The </w:t>
      </w:r>
      <w:r w:rsidR="00DA66C5">
        <w:t xml:space="preserve">Northern Territory </w:t>
      </w:r>
      <w:r>
        <w:t xml:space="preserve">Department of Education </w:t>
      </w:r>
      <w:r w:rsidR="00187966" w:rsidRPr="001E7293">
        <w:t>has a</w:t>
      </w:r>
      <w:r w:rsidR="007374A0" w:rsidRPr="001E7293">
        <w:t xml:space="preserve"> ris</w:t>
      </w:r>
      <w:r w:rsidR="00BB3B23">
        <w:t xml:space="preserve">k management plan in place. </w:t>
      </w:r>
      <w:r w:rsidR="007374A0" w:rsidRPr="001E7293">
        <w:t xml:space="preserve">Risks have been actively identified, entered into a risk log and categorised in terms of impact and </w:t>
      </w:r>
      <w:r w:rsidR="001C56EC" w:rsidRPr="001E7293">
        <w:t>likelihood</w:t>
      </w:r>
      <w:r w:rsidR="007374A0" w:rsidRPr="001E7293">
        <w:t>.</w:t>
      </w:r>
    </w:p>
    <w:p w14:paraId="6F7F12FF" w14:textId="77777777" w:rsidR="0036688B" w:rsidRPr="001E7293" w:rsidRDefault="00B40B72" w:rsidP="00A17D70">
      <w:pPr>
        <w:pStyle w:val="Heading2"/>
      </w:pPr>
      <w:r>
        <w:t>Northern Territory</w:t>
      </w:r>
      <w:r w:rsidR="00347F6D" w:rsidRPr="001E7293">
        <w:t xml:space="preserve"> </w:t>
      </w:r>
      <w:r w:rsidR="004D3249">
        <w:t>c</w:t>
      </w:r>
      <w:r w:rsidR="00347F6D" w:rsidRPr="001E7293">
        <w:t>ontext</w:t>
      </w:r>
    </w:p>
    <w:p w14:paraId="7908B4D9" w14:textId="77777777" w:rsidR="00314D9E" w:rsidRPr="001E7293" w:rsidRDefault="00314D9E" w:rsidP="00F95127">
      <w:pPr>
        <w:pStyle w:val="Normalnumbered"/>
        <w:spacing w:after="120"/>
      </w:pPr>
      <w:r w:rsidRPr="001E7293">
        <w:t xml:space="preserve">In developing this </w:t>
      </w:r>
      <w:r w:rsidR="00E47C62" w:rsidRPr="001E7293">
        <w:t>Implementation Plan</w:t>
      </w:r>
      <w:r w:rsidR="004D3249">
        <w:t>,</w:t>
      </w:r>
      <w:r w:rsidR="00B40B72">
        <w:t xml:space="preserve"> consideration has been given to the unique demographic, </w:t>
      </w:r>
      <w:r w:rsidR="00E4745E">
        <w:t xml:space="preserve">geographic, economic and historic characteristics which differentiate the Northern Territory from other jurisdictions </w:t>
      </w:r>
      <w:r w:rsidR="007E4826">
        <w:t>that</w:t>
      </w:r>
      <w:r w:rsidR="00E4745E">
        <w:t xml:space="preserve"> impact the delivery of services and achievement of outcomes.</w:t>
      </w:r>
    </w:p>
    <w:p w14:paraId="5E0EDE8B" w14:textId="648A0FB9" w:rsidR="00BD10DF" w:rsidRPr="00B6114B" w:rsidRDefault="00E4745E" w:rsidP="00B94B66">
      <w:pPr>
        <w:pStyle w:val="Normalnumbered"/>
        <w:numPr>
          <w:ilvl w:val="0"/>
          <w:numId w:val="18"/>
        </w:numPr>
        <w:spacing w:after="120"/>
      </w:pPr>
      <w:r w:rsidRPr="00B6114B">
        <w:t xml:space="preserve">The Northern Territory has the lowest population of all states and territories with a population of </w:t>
      </w:r>
      <w:r w:rsidR="00B9607A" w:rsidRPr="00B6114B">
        <w:t xml:space="preserve">approximately </w:t>
      </w:r>
      <w:r w:rsidR="00B10912">
        <w:t>228</w:t>
      </w:r>
      <w:r w:rsidR="004D3249">
        <w:t> </w:t>
      </w:r>
      <w:r w:rsidR="00B10912">
        <w:t>833</w:t>
      </w:r>
      <w:r w:rsidRPr="00B6114B">
        <w:t xml:space="preserve"> people</w:t>
      </w:r>
      <w:r w:rsidR="006F7496">
        <w:rPr>
          <w:rStyle w:val="FootnoteReference"/>
        </w:rPr>
        <w:footnoteReference w:id="1"/>
      </w:r>
      <w:r w:rsidRPr="00B6114B">
        <w:rPr>
          <w:vertAlign w:val="superscript"/>
        </w:rPr>
        <w:t xml:space="preserve"> </w:t>
      </w:r>
      <w:r w:rsidRPr="00B6114B">
        <w:t xml:space="preserve">representing approximately </w:t>
      </w:r>
      <w:r w:rsidR="004D3249">
        <w:t>one</w:t>
      </w:r>
      <w:r w:rsidRPr="00B6114B">
        <w:t xml:space="preserve"> per cent of the total Australian population, spread over an area of 1</w:t>
      </w:r>
      <w:r w:rsidR="004D3249">
        <w:t> </w:t>
      </w:r>
      <w:r w:rsidRPr="00B6114B">
        <w:t>349</w:t>
      </w:r>
      <w:r w:rsidR="004D3249">
        <w:t> </w:t>
      </w:r>
      <w:r w:rsidRPr="00B6114B">
        <w:t>129 sq.km.</w:t>
      </w:r>
      <w:r w:rsidR="006F7496">
        <w:rPr>
          <w:rStyle w:val="FootnoteReference"/>
        </w:rPr>
        <w:footnoteReference w:id="2"/>
      </w:r>
    </w:p>
    <w:p w14:paraId="7B7C621E" w14:textId="1F8A19CB" w:rsidR="00BD10DF" w:rsidRPr="0099564C" w:rsidRDefault="00E4745E" w:rsidP="00B94B66">
      <w:pPr>
        <w:pStyle w:val="Normalnumbered"/>
        <w:numPr>
          <w:ilvl w:val="0"/>
          <w:numId w:val="18"/>
        </w:numPr>
        <w:spacing w:after="120"/>
      </w:pPr>
      <w:r w:rsidRPr="0099564C">
        <w:t xml:space="preserve">The Northern Territory has the highest proportion of </w:t>
      </w:r>
      <w:r w:rsidR="003337B7" w:rsidRPr="0099564C">
        <w:t>Aboriginal</w:t>
      </w:r>
      <w:r w:rsidRPr="0099564C">
        <w:t xml:space="preserve"> people of all states and territories</w:t>
      </w:r>
      <w:r w:rsidR="004D3249">
        <w:t>,</w:t>
      </w:r>
      <w:r w:rsidR="00555B5C" w:rsidRPr="0099564C">
        <w:t xml:space="preserve"> </w:t>
      </w:r>
      <w:r w:rsidRPr="0099564C">
        <w:t xml:space="preserve">with </w:t>
      </w:r>
      <w:r w:rsidR="00555B5C" w:rsidRPr="0099564C">
        <w:t>58</w:t>
      </w:r>
      <w:r w:rsidR="004D3249">
        <w:t> </w:t>
      </w:r>
      <w:r w:rsidR="00555B5C" w:rsidRPr="0099564C">
        <w:t>248</w:t>
      </w:r>
      <w:r w:rsidRPr="0099564C">
        <w:t xml:space="preserve"> people</w:t>
      </w:r>
      <w:r w:rsidR="004D3249">
        <w:t>,</w:t>
      </w:r>
      <w:r w:rsidRPr="0099564C">
        <w:t xml:space="preserve"> or </w:t>
      </w:r>
      <w:r w:rsidR="00555B5C" w:rsidRPr="0099564C">
        <w:t>25.5</w:t>
      </w:r>
      <w:r w:rsidRPr="0099564C">
        <w:t xml:space="preserve"> per cent (2016 ABS Census)</w:t>
      </w:r>
      <w:r w:rsidR="006F7496" w:rsidRPr="0099564C">
        <w:rPr>
          <w:rStyle w:val="FootnoteReference"/>
        </w:rPr>
        <w:footnoteReference w:id="3"/>
      </w:r>
      <w:r w:rsidRPr="0099564C">
        <w:rPr>
          <w:vertAlign w:val="superscript"/>
        </w:rPr>
        <w:t xml:space="preserve"> </w:t>
      </w:r>
      <w:r w:rsidRPr="0099564C">
        <w:t xml:space="preserve">of the total population identifying as </w:t>
      </w:r>
      <w:r w:rsidR="003337B7" w:rsidRPr="0099564C">
        <w:t>Aboriginal</w:t>
      </w:r>
      <w:r w:rsidRPr="0099564C">
        <w:t>.</w:t>
      </w:r>
    </w:p>
    <w:p w14:paraId="6DCD211E" w14:textId="77777777" w:rsidR="00BD10DF" w:rsidRPr="0099564C" w:rsidRDefault="00E24619" w:rsidP="00B94B66">
      <w:pPr>
        <w:pStyle w:val="Normalnumbered"/>
        <w:numPr>
          <w:ilvl w:val="0"/>
          <w:numId w:val="18"/>
        </w:numPr>
      </w:pPr>
      <w:r>
        <w:t xml:space="preserve">80 </w:t>
      </w:r>
      <w:r w:rsidR="00E4745E" w:rsidRPr="0099564C">
        <w:t xml:space="preserve">per cent of the </w:t>
      </w:r>
      <w:r w:rsidR="003337B7" w:rsidRPr="0099564C">
        <w:t>Aboriginal</w:t>
      </w:r>
      <w:r w:rsidR="00E4745E" w:rsidRPr="0099564C">
        <w:t xml:space="preserve"> population live in either remote or very remote localities.</w:t>
      </w:r>
      <w:r w:rsidR="00555B5C" w:rsidRPr="0099564C">
        <w:rPr>
          <w:rStyle w:val="FootnoteReference"/>
        </w:rPr>
        <w:footnoteReference w:id="4"/>
      </w:r>
    </w:p>
    <w:p w14:paraId="717C5E6D" w14:textId="100C39FF" w:rsidR="00BD10DF" w:rsidRPr="0099564C" w:rsidRDefault="00E4745E" w:rsidP="00B94B66">
      <w:pPr>
        <w:pStyle w:val="Normalnumbered"/>
        <w:numPr>
          <w:ilvl w:val="0"/>
          <w:numId w:val="18"/>
        </w:numPr>
      </w:pPr>
      <w:r w:rsidRPr="0099564C">
        <w:t>The</w:t>
      </w:r>
      <w:r w:rsidR="009B01B3">
        <w:t>re are</w:t>
      </w:r>
      <w:r w:rsidRPr="0099564C">
        <w:t xml:space="preserve"> </w:t>
      </w:r>
      <w:r w:rsidR="005402C3" w:rsidRPr="0099564C">
        <w:t>17</w:t>
      </w:r>
      <w:r w:rsidR="00C12707">
        <w:t> </w:t>
      </w:r>
      <w:r w:rsidR="005402C3" w:rsidRPr="0099564C">
        <w:t>630</w:t>
      </w:r>
      <w:r w:rsidRPr="0099564C">
        <w:t xml:space="preserve"> children aged birth to four years</w:t>
      </w:r>
      <w:r w:rsidR="009B01B3">
        <w:t xml:space="preserve"> in the Northern Territory</w:t>
      </w:r>
      <w:r w:rsidRPr="0099564C">
        <w:t xml:space="preserve"> of whom approximately </w:t>
      </w:r>
      <w:r w:rsidR="00B10912">
        <w:t>31</w:t>
      </w:r>
      <w:r w:rsidR="005402C3" w:rsidRPr="0099564C">
        <w:t xml:space="preserve"> per cent (5</w:t>
      </w:r>
      <w:r w:rsidR="005B18B0" w:rsidRPr="0099564C">
        <w:t>596</w:t>
      </w:r>
      <w:r w:rsidRPr="0099564C">
        <w:t xml:space="preserve"> children) are </w:t>
      </w:r>
      <w:r w:rsidR="003337B7" w:rsidRPr="0099564C">
        <w:t>Aboriginal</w:t>
      </w:r>
      <w:r w:rsidR="005B18B0" w:rsidRPr="0099564C">
        <w:t>.</w:t>
      </w:r>
      <w:r w:rsidR="005B18B0" w:rsidRPr="0099564C">
        <w:rPr>
          <w:rStyle w:val="FootnoteReference"/>
        </w:rPr>
        <w:t xml:space="preserve"> </w:t>
      </w:r>
      <w:r w:rsidR="005B18B0" w:rsidRPr="0099564C">
        <w:rPr>
          <w:rStyle w:val="FootnoteReference"/>
        </w:rPr>
        <w:footnoteReference w:id="5"/>
      </w:r>
    </w:p>
    <w:p w14:paraId="4B3F7668" w14:textId="77777777" w:rsidR="00E4745E" w:rsidRPr="0099564C" w:rsidRDefault="00E4745E" w:rsidP="00B94B66">
      <w:pPr>
        <w:pStyle w:val="Normalnumbered"/>
        <w:numPr>
          <w:ilvl w:val="0"/>
          <w:numId w:val="18"/>
        </w:numPr>
      </w:pPr>
      <w:r w:rsidRPr="0099564C">
        <w:t>Northern Territory children have high levels of developmental vulnerability across all five domains of the Australian Early Development Census</w:t>
      </w:r>
      <w:r w:rsidR="00626C03" w:rsidRPr="0099564C">
        <w:t>: physical health and wellbeing</w:t>
      </w:r>
      <w:r w:rsidR="00E24619">
        <w:t>;</w:t>
      </w:r>
      <w:r w:rsidR="00626C03" w:rsidRPr="0099564C">
        <w:t xml:space="preserve"> social competence</w:t>
      </w:r>
      <w:r w:rsidR="00E24619">
        <w:t>;</w:t>
      </w:r>
      <w:r w:rsidR="00626C03" w:rsidRPr="0099564C">
        <w:t xml:space="preserve"> emotional maturity</w:t>
      </w:r>
      <w:r w:rsidR="00E24619">
        <w:t>;</w:t>
      </w:r>
      <w:r w:rsidR="00626C03" w:rsidRPr="0099564C">
        <w:t xml:space="preserve"> language and cognitive skills</w:t>
      </w:r>
      <w:r w:rsidR="00E24619">
        <w:t>;</w:t>
      </w:r>
      <w:r w:rsidR="00626C03" w:rsidRPr="0099564C">
        <w:t xml:space="preserve"> and communication skills and general knowledge.</w:t>
      </w:r>
      <w:r w:rsidR="00626C03" w:rsidRPr="0099564C">
        <w:rPr>
          <w:vertAlign w:val="superscript"/>
        </w:rPr>
        <w:t xml:space="preserve"> </w:t>
      </w:r>
      <w:r w:rsidR="00555B5C" w:rsidRPr="0099564C">
        <w:rPr>
          <w:rStyle w:val="FootnoteReference"/>
        </w:rPr>
        <w:footnoteReference w:id="6"/>
      </w:r>
    </w:p>
    <w:p w14:paraId="5CAE4288" w14:textId="77777777" w:rsidR="00B6114B" w:rsidRPr="0099564C" w:rsidRDefault="00B6114B" w:rsidP="00B94B66">
      <w:pPr>
        <w:pStyle w:val="Normalnumbered"/>
        <w:numPr>
          <w:ilvl w:val="0"/>
          <w:numId w:val="18"/>
        </w:numPr>
        <w:spacing w:after="120"/>
      </w:pPr>
      <w:r w:rsidRPr="0099564C">
        <w:t>23.1 per cent of Northern Territory children are vulnerable on</w:t>
      </w:r>
      <w:r w:rsidRPr="0099564C">
        <w:rPr>
          <w:vertAlign w:val="superscript"/>
        </w:rPr>
        <w:t xml:space="preserve"> </w:t>
      </w:r>
      <w:r w:rsidRPr="0099564C">
        <w:t>two or more domains of the Australian Early Dev</w:t>
      </w:r>
      <w:r w:rsidR="00004D40" w:rsidRPr="0099564C">
        <w:t>elopment Census compared with 11.1</w:t>
      </w:r>
      <w:r w:rsidR="00555B5C" w:rsidRPr="0099564C">
        <w:t xml:space="preserve"> per cent nationally.</w:t>
      </w:r>
      <w:r w:rsidR="00555B5C" w:rsidRPr="0099564C">
        <w:rPr>
          <w:rStyle w:val="FootnoteReference"/>
        </w:rPr>
        <w:footnoteReference w:id="7"/>
      </w:r>
    </w:p>
    <w:p w14:paraId="243B3193" w14:textId="77777777" w:rsidR="00626C03" w:rsidRPr="00B6114B" w:rsidRDefault="00626C03" w:rsidP="00B94B66">
      <w:pPr>
        <w:pStyle w:val="Normalnumbered"/>
        <w:spacing w:after="120"/>
      </w:pPr>
      <w:r w:rsidRPr="00B6114B">
        <w:t>The vastness of the Northern Territory, the small population and limited available skilled workforce add to the complexity of delivering educational services in the Northern Territory, particularly preschool which is a non-compulsory stage of schooling. The Northern Territory provides Universal Access funding to all government and non-government preschools offering a preschool pr</w:t>
      </w:r>
      <w:r w:rsidR="00E24619">
        <w:t>ogram</w:t>
      </w:r>
      <w:r w:rsidRPr="00B6114B">
        <w:t xml:space="preserve">. Universal Access funding to all long day care </w:t>
      </w:r>
      <w:r w:rsidR="00DA7D0C">
        <w:t>centres with preschool program</w:t>
      </w:r>
      <w:r w:rsidRPr="00B6114B">
        <w:t xml:space="preserve">s will be determined by an annual grant assessment of long day care centres in May </w:t>
      </w:r>
      <w:r w:rsidRPr="004B0753">
        <w:t>2018</w:t>
      </w:r>
      <w:r w:rsidR="006666D8" w:rsidRPr="004B0753">
        <w:t xml:space="preserve"> and 2019</w:t>
      </w:r>
      <w:r w:rsidRPr="00B6114B">
        <w:t>.</w:t>
      </w:r>
    </w:p>
    <w:p w14:paraId="0DE9A9E6" w14:textId="77777777" w:rsidR="00626C03" w:rsidRPr="00B6114B" w:rsidRDefault="00626C03" w:rsidP="00B94B66">
      <w:pPr>
        <w:pStyle w:val="Normalnumbered"/>
        <w:spacing w:after="120"/>
      </w:pPr>
      <w:r w:rsidRPr="00B6114B">
        <w:t xml:space="preserve">Government schools represent approximately </w:t>
      </w:r>
      <w:r w:rsidR="00EF4798">
        <w:t>75</w:t>
      </w:r>
      <w:r w:rsidRPr="00B6114B">
        <w:t xml:space="preserve"> per cent of all services that provi</w:t>
      </w:r>
      <w:r w:rsidR="00C14306">
        <w:t>de a quality preschool program</w:t>
      </w:r>
      <w:r w:rsidRPr="00B6114B">
        <w:t xml:space="preserve"> in the Northern Territory, and provide preschool for the majority of the </w:t>
      </w:r>
      <w:r w:rsidR="003337B7" w:rsidRPr="00B6114B">
        <w:t>Aboriginal</w:t>
      </w:r>
      <w:r w:rsidRPr="00B6114B">
        <w:t xml:space="preserve"> and vulnerable and disadvantaged cohort.</w:t>
      </w:r>
    </w:p>
    <w:p w14:paraId="582799B2" w14:textId="69898219" w:rsidR="00626C03" w:rsidRPr="00B6114B" w:rsidRDefault="00626C03" w:rsidP="00B94B66">
      <w:pPr>
        <w:pStyle w:val="Normalnumbered"/>
        <w:spacing w:after="120"/>
      </w:pPr>
      <w:r w:rsidRPr="00B6114B">
        <w:t>Northern Territory Government schools provide 600 hours per year of free preschool for four year</w:t>
      </w:r>
      <w:r w:rsidR="00FF101E">
        <w:t>-</w:t>
      </w:r>
      <w:r w:rsidRPr="00B6114B">
        <w:t xml:space="preserve">old children. This National Partnership contributes to increasing the Northern Territory’s provision base of 480 hours of quality preschool to 600 hours. The Northern Territory has adopted a number of strategies to boost attendance and support the participation of </w:t>
      </w:r>
      <w:r w:rsidR="003337B7" w:rsidRPr="00B6114B">
        <w:t>Aboriginal</w:t>
      </w:r>
      <w:r w:rsidRPr="00B6114B">
        <w:t>, vulnerable and disadvantaged children, and to promote quality preschool service provision.</w:t>
      </w:r>
    </w:p>
    <w:p w14:paraId="024023E6" w14:textId="77777777" w:rsidR="003337B7" w:rsidRPr="00B6114B" w:rsidRDefault="003337B7" w:rsidP="00B94B66">
      <w:pPr>
        <w:pStyle w:val="Normalnumbered"/>
        <w:spacing w:after="120"/>
      </w:pPr>
      <w:r w:rsidRPr="00B6114B">
        <w:t>Complementary Northern Territory Department of Education activities include:</w:t>
      </w:r>
    </w:p>
    <w:p w14:paraId="71ADE70C" w14:textId="77777777" w:rsidR="003337B7" w:rsidRPr="00F9591B" w:rsidRDefault="00C14306" w:rsidP="00B94B66">
      <w:pPr>
        <w:pStyle w:val="Normalnumbered"/>
        <w:numPr>
          <w:ilvl w:val="0"/>
          <w:numId w:val="18"/>
        </w:numPr>
      </w:pPr>
      <w:r>
        <w:t xml:space="preserve">implementing initiatives under </w:t>
      </w:r>
      <w:r w:rsidR="003337B7" w:rsidRPr="00C14306">
        <w:rPr>
          <w:i/>
        </w:rPr>
        <w:t>A Share in the Future</w:t>
      </w:r>
      <w:r w:rsidR="00C85B23">
        <w:rPr>
          <w:i/>
        </w:rPr>
        <w:t xml:space="preserve"> –</w:t>
      </w:r>
      <w:r w:rsidR="003337B7" w:rsidRPr="00C14306">
        <w:rPr>
          <w:i/>
        </w:rPr>
        <w:t xml:space="preserve"> Indigenous Education Strategy 2015-2024</w:t>
      </w:r>
      <w:r w:rsidR="003337B7" w:rsidRPr="00F9591B">
        <w:t xml:space="preserve"> including evidence-based, quality ear</w:t>
      </w:r>
      <w:r w:rsidR="00DA7D0C">
        <w:t>ly childhood education program</w:t>
      </w:r>
      <w:r w:rsidR="003337B7" w:rsidRPr="00F9591B">
        <w:t>s and parental engagement in supporting their children’s learning and development;</w:t>
      </w:r>
    </w:p>
    <w:p w14:paraId="3785B5EB" w14:textId="77777777" w:rsidR="00902C2C" w:rsidRDefault="00C14306" w:rsidP="00B94B66">
      <w:pPr>
        <w:pStyle w:val="Normalnumbered"/>
        <w:numPr>
          <w:ilvl w:val="0"/>
          <w:numId w:val="18"/>
        </w:numPr>
      </w:pPr>
      <w:r>
        <w:t>c</w:t>
      </w:r>
      <w:r w:rsidR="00902C2C">
        <w:t>ontinuing</w:t>
      </w:r>
      <w:r w:rsidR="00F9591B">
        <w:t xml:space="preserve"> to</w:t>
      </w:r>
      <w:r w:rsidR="00902C2C">
        <w:t xml:space="preserve"> embed the</w:t>
      </w:r>
      <w:r w:rsidR="00F9591B">
        <w:t xml:space="preserve"> NT</w:t>
      </w:r>
      <w:r w:rsidR="00902C2C">
        <w:t xml:space="preserve"> Preschool Curriculum;</w:t>
      </w:r>
    </w:p>
    <w:p w14:paraId="1FA0BAD6" w14:textId="77777777" w:rsidR="003337B7" w:rsidRPr="00B6114B" w:rsidRDefault="00C14306" w:rsidP="00B94B66">
      <w:pPr>
        <w:pStyle w:val="Normalnumbered"/>
        <w:numPr>
          <w:ilvl w:val="0"/>
          <w:numId w:val="18"/>
        </w:numPr>
      </w:pPr>
      <w:r>
        <w:t>w</w:t>
      </w:r>
      <w:r w:rsidR="003337B7" w:rsidRPr="00B6114B">
        <w:t>orking with families, communities and agencies to deliver quality early childhood education services to improve child wellbeing and</w:t>
      </w:r>
      <w:r w:rsidR="00F9591B">
        <w:t xml:space="preserve"> ensure</w:t>
      </w:r>
      <w:r w:rsidR="003337B7" w:rsidRPr="00B6114B">
        <w:t xml:space="preserve"> a positive transition to school;</w:t>
      </w:r>
    </w:p>
    <w:p w14:paraId="742C5BA3" w14:textId="77777777" w:rsidR="003337B7" w:rsidRPr="00B6114B" w:rsidRDefault="00C14306" w:rsidP="00B94B66">
      <w:pPr>
        <w:pStyle w:val="Normalnumbered"/>
        <w:numPr>
          <w:ilvl w:val="0"/>
          <w:numId w:val="18"/>
        </w:numPr>
      </w:pPr>
      <w:r>
        <w:t>w</w:t>
      </w:r>
      <w:r w:rsidR="003337B7" w:rsidRPr="00B6114B">
        <w:t>orking closely with schools to implement school attendance strategies;</w:t>
      </w:r>
    </w:p>
    <w:p w14:paraId="64C46962" w14:textId="77777777" w:rsidR="003337B7" w:rsidRPr="00B6114B" w:rsidRDefault="00C14306" w:rsidP="00B94B66">
      <w:pPr>
        <w:pStyle w:val="Normalnumbered"/>
        <w:numPr>
          <w:ilvl w:val="0"/>
          <w:numId w:val="18"/>
        </w:numPr>
      </w:pPr>
      <w:r>
        <w:t>u</w:t>
      </w:r>
      <w:r w:rsidR="003337B7" w:rsidRPr="00B6114B">
        <w:t>sing the Department of Education’s student needs-based funding model to allocate funding to non-government preschools to support the delivery of a quality preschool;</w:t>
      </w:r>
    </w:p>
    <w:p w14:paraId="5E0BC777" w14:textId="77777777" w:rsidR="003337B7" w:rsidRPr="00B6114B" w:rsidRDefault="00C14306" w:rsidP="00B94B66">
      <w:pPr>
        <w:pStyle w:val="Normalnumbered"/>
        <w:numPr>
          <w:ilvl w:val="0"/>
          <w:numId w:val="18"/>
        </w:numPr>
      </w:pPr>
      <w:r>
        <w:t>c</w:t>
      </w:r>
      <w:r w:rsidR="003337B7" w:rsidRPr="00B6114B">
        <w:t>ontinuing to provide the Early Childhood Services Subsidy to all regulated long day care services in the Northern Territory to offset the cost for families and to encourage participation of children;</w:t>
      </w:r>
    </w:p>
    <w:p w14:paraId="04F00B88" w14:textId="77777777" w:rsidR="003337B7" w:rsidRPr="00B6114B" w:rsidRDefault="00C14306" w:rsidP="00B94B66">
      <w:pPr>
        <w:pStyle w:val="Normalnumbered"/>
        <w:numPr>
          <w:ilvl w:val="0"/>
          <w:numId w:val="18"/>
        </w:numPr>
      </w:pPr>
      <w:r>
        <w:t>a</w:t>
      </w:r>
      <w:r w:rsidR="003337B7" w:rsidRPr="00B6114B">
        <w:t>ssessment of long day care services</w:t>
      </w:r>
      <w:r w:rsidR="00F9591B">
        <w:t xml:space="preserve"> and preschools</w:t>
      </w:r>
      <w:r w:rsidR="003337B7" w:rsidRPr="00B6114B">
        <w:t xml:space="preserve"> to determine if they provi</w:t>
      </w:r>
      <w:r>
        <w:t>de a quality preschool program</w:t>
      </w:r>
      <w:r w:rsidR="003337B7" w:rsidRPr="00B6114B">
        <w:t xml:space="preserve"> to children in the year before full-time sc</w:t>
      </w:r>
      <w:r w:rsidR="00266B65" w:rsidRPr="00B6114B">
        <w:t xml:space="preserve">hool, delivered by a qualified early childhood teacher, for 600 hours per </w:t>
      </w:r>
      <w:r>
        <w:t>year</w:t>
      </w:r>
      <w:r w:rsidR="00266B65" w:rsidRPr="00B6114B">
        <w:t>, in accordance with the Early Years Learning Framework, in a manner that meets the needs of children and their families, and at a cost that does not present a barrier for children, families and the community to access;</w:t>
      </w:r>
      <w:r w:rsidR="00902C2C">
        <w:t xml:space="preserve"> </w:t>
      </w:r>
      <w:r w:rsidR="00EA4C84">
        <w:t>and</w:t>
      </w:r>
    </w:p>
    <w:p w14:paraId="07F71815" w14:textId="77777777" w:rsidR="00B250D6" w:rsidRPr="00B6114B" w:rsidRDefault="00C14306" w:rsidP="00B94B66">
      <w:pPr>
        <w:pStyle w:val="Normalnumbered"/>
        <w:numPr>
          <w:ilvl w:val="0"/>
          <w:numId w:val="18"/>
        </w:numPr>
      </w:pPr>
      <w:r>
        <w:t>p</w:t>
      </w:r>
      <w:r w:rsidR="00B250D6" w:rsidRPr="00B6114B">
        <w:t>roviding quality early c</w:t>
      </w:r>
      <w:r>
        <w:t>hildhood education program</w:t>
      </w:r>
      <w:r w:rsidR="00B250D6" w:rsidRPr="00B6114B">
        <w:t>s to engage vulnerable and disadvantaged children, Aboriginal children, parents and caregivers in remote and very remote communities including the Families as First Teachers program.</w:t>
      </w:r>
    </w:p>
    <w:p w14:paraId="2D638F88" w14:textId="77777777" w:rsidR="0036688B" w:rsidRPr="001E7293" w:rsidRDefault="0036688B" w:rsidP="00005D0C">
      <w:pPr>
        <w:pStyle w:val="Heading1"/>
        <w:spacing w:before="360" w:after="120"/>
      </w:pPr>
      <w:r w:rsidRPr="001E7293">
        <w:t xml:space="preserve">Part </w:t>
      </w:r>
      <w:r w:rsidR="00B62772" w:rsidRPr="001E7293">
        <w:t>4</w:t>
      </w:r>
      <w:r w:rsidRPr="001E7293">
        <w:t>:</w:t>
      </w:r>
      <w:r w:rsidR="00497DC1" w:rsidRPr="001E7293">
        <w:t xml:space="preserve"> </w:t>
      </w:r>
      <w:r w:rsidR="0071515C" w:rsidRPr="001E7293">
        <w:t>P</w:t>
      </w:r>
      <w:r w:rsidRPr="001E7293">
        <w:t>erformance and reporting arrangements</w:t>
      </w:r>
    </w:p>
    <w:p w14:paraId="5F862D32" w14:textId="77777777" w:rsidR="00186FF4" w:rsidRPr="001E7293" w:rsidRDefault="00186FF4" w:rsidP="00EC159E">
      <w:pPr>
        <w:pStyle w:val="Heading2"/>
        <w:spacing w:after="120"/>
      </w:pPr>
      <w:r w:rsidRPr="001E7293">
        <w:t>Performance indicators, benchmarks and targets</w:t>
      </w:r>
    </w:p>
    <w:p w14:paraId="3980BA5F" w14:textId="77777777" w:rsidR="00186FF4" w:rsidRPr="001E7293" w:rsidRDefault="00186FF4" w:rsidP="00005D0C">
      <w:pPr>
        <w:pStyle w:val="Normalnumbered"/>
        <w:spacing w:after="120"/>
      </w:pPr>
      <w:r w:rsidRPr="001E7293">
        <w:t>Key indicators, data sources and benchmarks for assessing and monitoring performance are set out in Part 4 and Schedule A of the National Partnership.</w:t>
      </w:r>
    </w:p>
    <w:p w14:paraId="1A7A94DF" w14:textId="77777777" w:rsidR="00C11196" w:rsidRPr="001E7293" w:rsidRDefault="00C11196" w:rsidP="00005D0C">
      <w:pPr>
        <w:pStyle w:val="Normalnumbered"/>
        <w:spacing w:after="120"/>
      </w:pPr>
      <w:r w:rsidRPr="001E7293">
        <w:t xml:space="preserve">With regard to reporting on attendance, the </w:t>
      </w:r>
      <w:r w:rsidR="00B250D6">
        <w:rPr>
          <w:color w:val="auto"/>
        </w:rPr>
        <w:t>Northern Territory</w:t>
      </w:r>
      <w:r w:rsidRPr="001E7293">
        <w:t xml:space="preserve"> has agreed </w:t>
      </w:r>
      <w:r w:rsidR="008D00C0">
        <w:t xml:space="preserve">to </w:t>
      </w:r>
      <w:r w:rsidRPr="001E7293">
        <w:t xml:space="preserve">a target for </w:t>
      </w:r>
      <w:r w:rsidR="000D6F25" w:rsidRPr="00005D0C">
        <w:t>2018</w:t>
      </w:r>
      <w:r w:rsidR="0037756B" w:rsidRPr="00005D0C">
        <w:t xml:space="preserve"> and 2019</w:t>
      </w:r>
      <w:r w:rsidRPr="001E7293">
        <w:t xml:space="preserve"> with the Com</w:t>
      </w:r>
      <w:r w:rsidR="00B250D6">
        <w:t>monwealth, as set out in Table 4</w:t>
      </w:r>
      <w:r w:rsidRPr="001E7293">
        <w:t xml:space="preserve"> below, and will report on progress towards this target as part of the National Early Childhood Education and Care Collection.</w:t>
      </w:r>
    </w:p>
    <w:p w14:paraId="6BADF7FD" w14:textId="77777777" w:rsidR="00835F07" w:rsidRDefault="00B250D6" w:rsidP="009E47B4">
      <w:pPr>
        <w:keepNext/>
        <w:keepLines/>
        <w:spacing w:before="240" w:after="120"/>
        <w:outlineLvl w:val="2"/>
        <w:rPr>
          <w:rFonts w:ascii="Consolas" w:hAnsi="Consolas"/>
          <w:b/>
          <w:color w:val="3D4B67"/>
          <w:szCs w:val="20"/>
        </w:rPr>
      </w:pPr>
      <w:r>
        <w:rPr>
          <w:rFonts w:ascii="Consolas" w:hAnsi="Consolas"/>
          <w:b/>
          <w:color w:val="3D4B67"/>
          <w:szCs w:val="20"/>
        </w:rPr>
        <w:t>Table 4</w:t>
      </w:r>
      <w:r w:rsidR="00835F07" w:rsidRPr="001E7293">
        <w:rPr>
          <w:rFonts w:ascii="Consolas" w:hAnsi="Consolas"/>
          <w:b/>
          <w:color w:val="3D4B67"/>
          <w:szCs w:val="20"/>
        </w:rPr>
        <w:t>: Bilaterally agreed attendance targets</w:t>
      </w:r>
    </w:p>
    <w:tbl>
      <w:tblPr>
        <w:tblStyle w:val="TableGrid"/>
        <w:tblW w:w="5000" w:type="pct"/>
        <w:tblLayout w:type="fixed"/>
        <w:tblLook w:val="04A0" w:firstRow="1" w:lastRow="0" w:firstColumn="1" w:lastColumn="0" w:noHBand="0" w:noVBand="1"/>
      </w:tblPr>
      <w:tblGrid>
        <w:gridCol w:w="1414"/>
        <w:gridCol w:w="708"/>
        <w:gridCol w:w="850"/>
        <w:gridCol w:w="6088"/>
      </w:tblGrid>
      <w:tr w:rsidR="00B32F2C" w:rsidRPr="00F00E82" w:rsidDel="00DA15BC" w14:paraId="22225E8B" w14:textId="77777777" w:rsidTr="00854DB7">
        <w:trPr>
          <w:trHeight w:val="386"/>
        </w:trPr>
        <w:tc>
          <w:tcPr>
            <w:tcW w:w="780" w:type="pct"/>
            <w:shd w:val="pct5" w:color="auto" w:fill="auto"/>
          </w:tcPr>
          <w:p w14:paraId="4F0E9EBA" w14:textId="398C6E5F" w:rsidR="00B32F2C" w:rsidRPr="00005D0C" w:rsidRDefault="00B32F2C" w:rsidP="00005D0C">
            <w:pPr>
              <w:keepNext/>
              <w:keepLines/>
              <w:jc w:val="center"/>
              <w:rPr>
                <w:b/>
                <w:sz w:val="20"/>
                <w:szCs w:val="20"/>
              </w:rPr>
            </w:pPr>
            <w:r>
              <w:rPr>
                <w:b/>
                <w:sz w:val="20"/>
                <w:szCs w:val="20"/>
              </w:rPr>
              <w:t>2017 performance</w:t>
            </w:r>
          </w:p>
        </w:tc>
        <w:tc>
          <w:tcPr>
            <w:tcW w:w="391" w:type="pct"/>
            <w:shd w:val="pct5" w:color="auto" w:fill="auto"/>
            <w:tcMar>
              <w:left w:w="57" w:type="dxa"/>
              <w:right w:w="57" w:type="dxa"/>
            </w:tcMar>
            <w:vAlign w:val="center"/>
          </w:tcPr>
          <w:p w14:paraId="0C0FA1F8" w14:textId="19F109B8" w:rsidR="00B32F2C" w:rsidRPr="00F00E82" w:rsidRDefault="00B32F2C" w:rsidP="00005D0C">
            <w:pPr>
              <w:keepNext/>
              <w:keepLines/>
              <w:jc w:val="center"/>
              <w:rPr>
                <w:b/>
                <w:sz w:val="20"/>
                <w:szCs w:val="20"/>
              </w:rPr>
            </w:pPr>
            <w:r w:rsidRPr="00005D0C">
              <w:rPr>
                <w:b/>
                <w:sz w:val="20"/>
                <w:szCs w:val="20"/>
              </w:rPr>
              <w:t>2018</w:t>
            </w:r>
            <w:r w:rsidRPr="00F00E82">
              <w:rPr>
                <w:b/>
                <w:sz w:val="20"/>
                <w:szCs w:val="20"/>
              </w:rPr>
              <w:t xml:space="preserve"> Target</w:t>
            </w:r>
          </w:p>
        </w:tc>
        <w:tc>
          <w:tcPr>
            <w:tcW w:w="469" w:type="pct"/>
            <w:shd w:val="pct5" w:color="auto" w:fill="auto"/>
          </w:tcPr>
          <w:p w14:paraId="4EC560B7" w14:textId="77777777" w:rsidR="00B32F2C" w:rsidRPr="00005D0C" w:rsidRDefault="00B32F2C" w:rsidP="00005D0C">
            <w:pPr>
              <w:keepNext/>
              <w:keepLines/>
              <w:jc w:val="center"/>
              <w:rPr>
                <w:b/>
                <w:sz w:val="20"/>
                <w:szCs w:val="20"/>
              </w:rPr>
            </w:pPr>
            <w:r w:rsidRPr="00005D0C">
              <w:rPr>
                <w:b/>
                <w:sz w:val="20"/>
                <w:szCs w:val="20"/>
              </w:rPr>
              <w:t>2019 Target</w:t>
            </w:r>
          </w:p>
        </w:tc>
        <w:tc>
          <w:tcPr>
            <w:tcW w:w="3360" w:type="pct"/>
            <w:shd w:val="pct5" w:color="auto" w:fill="auto"/>
            <w:tcMar>
              <w:top w:w="57" w:type="dxa"/>
              <w:left w:w="57" w:type="dxa"/>
              <w:right w:w="57" w:type="dxa"/>
            </w:tcMar>
            <w:vAlign w:val="center"/>
          </w:tcPr>
          <w:p w14:paraId="051C1A1C" w14:textId="77777777" w:rsidR="00B32F2C" w:rsidRPr="00F00E82" w:rsidDel="00DA15BC" w:rsidRDefault="00B32F2C" w:rsidP="00F00E82">
            <w:pPr>
              <w:keepNext/>
              <w:keepLines/>
              <w:jc w:val="center"/>
              <w:rPr>
                <w:b/>
                <w:sz w:val="20"/>
                <w:szCs w:val="20"/>
              </w:rPr>
            </w:pPr>
            <w:r w:rsidRPr="00F00E82">
              <w:rPr>
                <w:b/>
                <w:sz w:val="20"/>
                <w:szCs w:val="20"/>
              </w:rPr>
              <w:t>Performance Benchmark/Target</w:t>
            </w:r>
          </w:p>
        </w:tc>
      </w:tr>
      <w:tr w:rsidR="00B32F2C" w:rsidRPr="00F00E82" w14:paraId="092F0D2C" w14:textId="77777777" w:rsidTr="00854DB7">
        <w:trPr>
          <w:trHeight w:val="866"/>
        </w:trPr>
        <w:tc>
          <w:tcPr>
            <w:tcW w:w="780" w:type="pct"/>
          </w:tcPr>
          <w:p w14:paraId="42869BF0" w14:textId="02B884EA" w:rsidR="00B32F2C" w:rsidRPr="004B0753" w:rsidRDefault="00C2551A" w:rsidP="00F00E82">
            <w:pPr>
              <w:jc w:val="center"/>
              <w:rPr>
                <w:sz w:val="20"/>
                <w:szCs w:val="20"/>
              </w:rPr>
            </w:pPr>
            <w:r>
              <w:rPr>
                <w:sz w:val="20"/>
                <w:szCs w:val="20"/>
              </w:rPr>
              <w:t>87.5%</w:t>
            </w:r>
          </w:p>
        </w:tc>
        <w:tc>
          <w:tcPr>
            <w:tcW w:w="391" w:type="pct"/>
            <w:tcMar>
              <w:left w:w="57" w:type="dxa"/>
              <w:right w:w="57" w:type="dxa"/>
            </w:tcMar>
          </w:tcPr>
          <w:p w14:paraId="1B91C115" w14:textId="7EEC18F6" w:rsidR="00B32F2C" w:rsidRPr="004B0753" w:rsidRDefault="00B32F2C" w:rsidP="00F00E82">
            <w:pPr>
              <w:jc w:val="center"/>
              <w:rPr>
                <w:sz w:val="20"/>
                <w:szCs w:val="20"/>
              </w:rPr>
            </w:pPr>
            <w:r w:rsidRPr="004B0753">
              <w:rPr>
                <w:sz w:val="20"/>
                <w:szCs w:val="20"/>
              </w:rPr>
              <w:t>90%</w:t>
            </w:r>
          </w:p>
        </w:tc>
        <w:tc>
          <w:tcPr>
            <w:tcW w:w="469" w:type="pct"/>
          </w:tcPr>
          <w:p w14:paraId="41A8FA27" w14:textId="77777777" w:rsidR="00B32F2C" w:rsidRPr="004B0753" w:rsidRDefault="00B32F2C" w:rsidP="00D84607">
            <w:pPr>
              <w:jc w:val="center"/>
              <w:rPr>
                <w:sz w:val="20"/>
                <w:szCs w:val="20"/>
              </w:rPr>
            </w:pPr>
            <w:r w:rsidRPr="004B0753">
              <w:rPr>
                <w:sz w:val="20"/>
                <w:szCs w:val="20"/>
              </w:rPr>
              <w:t>90%</w:t>
            </w:r>
          </w:p>
        </w:tc>
        <w:tc>
          <w:tcPr>
            <w:tcW w:w="3360" w:type="pct"/>
          </w:tcPr>
          <w:p w14:paraId="0A917480" w14:textId="77777777" w:rsidR="00B32F2C" w:rsidRPr="00F00E82" w:rsidRDefault="00B32F2C" w:rsidP="00B90E90">
            <w:pPr>
              <w:rPr>
                <w:sz w:val="20"/>
                <w:szCs w:val="20"/>
              </w:rPr>
            </w:pPr>
            <w:r w:rsidRPr="00F00E82">
              <w:rPr>
                <w:sz w:val="20"/>
                <w:szCs w:val="20"/>
              </w:rPr>
              <w:t>Annual targets agreed in Implementation Plans taking into account a jurisdiction’s starting point and m</w:t>
            </w:r>
            <w:r>
              <w:rPr>
                <w:sz w:val="20"/>
                <w:szCs w:val="20"/>
              </w:rPr>
              <w:t>oving to 90 per cent over time.</w:t>
            </w:r>
          </w:p>
        </w:tc>
      </w:tr>
    </w:tbl>
    <w:p w14:paraId="6D190D13" w14:textId="77777777" w:rsidR="00726E89" w:rsidRDefault="00726E89" w:rsidP="00726E89">
      <w:pPr>
        <w:rPr>
          <w:sz w:val="16"/>
          <w:szCs w:val="16"/>
        </w:rPr>
      </w:pPr>
      <w:r>
        <w:rPr>
          <w:sz w:val="16"/>
          <w:szCs w:val="16"/>
        </w:rPr>
        <w:t>Payments under this agreement are not tied to ach</w:t>
      </w:r>
      <w:r w:rsidR="00C85B23">
        <w:rPr>
          <w:sz w:val="16"/>
          <w:szCs w:val="16"/>
        </w:rPr>
        <w:t>ievement of attendance targets.</w:t>
      </w:r>
    </w:p>
    <w:p w14:paraId="56163EE7" w14:textId="22E6D024" w:rsidR="005F5F38" w:rsidRDefault="00726E89" w:rsidP="00726E89">
      <w:pPr>
        <w:rPr>
          <w:sz w:val="16"/>
          <w:szCs w:val="16"/>
        </w:rPr>
      </w:pPr>
      <w:r>
        <w:rPr>
          <w:sz w:val="16"/>
          <w:szCs w:val="16"/>
        </w:rPr>
        <w:t>As per previous agreements, the methodology for calculation of performance related to attendance targets will be where a child has participated in a quality preschool program for a minimum of one hour during the collection period.</w:t>
      </w:r>
    </w:p>
    <w:p w14:paraId="226FBD07" w14:textId="77777777" w:rsidR="004B4464" w:rsidRPr="001E7293" w:rsidRDefault="004B4464" w:rsidP="00243F4E">
      <w:pPr>
        <w:pStyle w:val="Heading2"/>
        <w:spacing w:before="120" w:after="120"/>
      </w:pPr>
      <w:r w:rsidRPr="001E7293">
        <w:t>Monitoring and reporting</w:t>
      </w:r>
    </w:p>
    <w:p w14:paraId="33B3692B" w14:textId="77777777" w:rsidR="004B4464" w:rsidRPr="001E7293" w:rsidRDefault="004B4464" w:rsidP="004B4464">
      <w:pPr>
        <w:pStyle w:val="Normalnumbered"/>
        <w:spacing w:after="240"/>
      </w:pPr>
      <w:r w:rsidRPr="001E7293">
        <w:t xml:space="preserve">Commonwealth and </w:t>
      </w:r>
      <w:r w:rsidR="00971CE1">
        <w:t>s</w:t>
      </w:r>
      <w:r w:rsidRPr="001E7293">
        <w:t xml:space="preserve">tate based collections or data sources and methodologies, agreed by both the Parties to this Plan, to measure progress against the performance milestones and benchmarks and targets in the </w:t>
      </w:r>
      <w:r w:rsidR="00E931BE" w:rsidRPr="001E7293">
        <w:t>National Partnership</w:t>
      </w:r>
      <w:r w:rsidRPr="001E7293">
        <w:t>, are set out in</w:t>
      </w:r>
      <w:r w:rsidR="00CC19A9" w:rsidRPr="001E7293">
        <w:t xml:space="preserve"> Part 4 and</w:t>
      </w:r>
      <w:r w:rsidR="00DE23EB" w:rsidRPr="001E7293">
        <w:t xml:space="preserve"> </w:t>
      </w:r>
      <w:r w:rsidRPr="001E7293">
        <w:t xml:space="preserve">Schedule A of the </w:t>
      </w:r>
      <w:r w:rsidR="00E931BE" w:rsidRPr="001E7293">
        <w:t>National Partnership</w:t>
      </w:r>
      <w:r w:rsidRPr="001E7293">
        <w:t>.</w:t>
      </w:r>
    </w:p>
    <w:p w14:paraId="04D6763C" w14:textId="77777777" w:rsidR="004B4464" w:rsidRPr="001E7293" w:rsidRDefault="004B4464" w:rsidP="004B4464">
      <w:pPr>
        <w:pStyle w:val="Normalnumbered"/>
        <w:spacing w:after="240"/>
      </w:pPr>
      <w:r w:rsidRPr="001E7293">
        <w:t xml:space="preserve">These data and performance specifications will be used to report </w:t>
      </w:r>
      <w:r w:rsidR="00501D00">
        <w:t>the Northern Territory’s</w:t>
      </w:r>
      <w:r w:rsidRPr="001E7293">
        <w:t xml:space="preserve"> performance, except for the supplementary data agreed </w:t>
      </w:r>
      <w:r w:rsidR="0033009F">
        <w:t xml:space="preserve">to </w:t>
      </w:r>
      <w:r w:rsidRPr="001E7293">
        <w:t xml:space="preserve">by the Parties to this </w:t>
      </w:r>
      <w:r w:rsidR="007926CC" w:rsidRPr="001E7293">
        <w:t xml:space="preserve">Implementation </w:t>
      </w:r>
      <w:r w:rsidRPr="001E7293">
        <w:t>Plan</w:t>
      </w:r>
      <w:r w:rsidR="000A2E01" w:rsidRPr="001E7293">
        <w:t>,</w:t>
      </w:r>
      <w:r w:rsidR="00CC19A9" w:rsidRPr="001E7293">
        <w:t xml:space="preserve"> as identified below</w:t>
      </w:r>
      <w:r w:rsidRPr="001E7293">
        <w:t>.</w:t>
      </w:r>
    </w:p>
    <w:p w14:paraId="32828695" w14:textId="77777777" w:rsidR="004B4464" w:rsidRPr="001E7293" w:rsidRDefault="004B4464" w:rsidP="00832261">
      <w:pPr>
        <w:pStyle w:val="Normalnumbered"/>
        <w:spacing w:after="120"/>
      </w:pPr>
      <w:r w:rsidRPr="001E7293">
        <w:t>Supplementary data reports must contain the following details for each Performance Indi</w:t>
      </w:r>
      <w:r w:rsidR="00B42237" w:rsidRPr="001E7293">
        <w:t xml:space="preserve">cator where the method is not </w:t>
      </w:r>
      <w:r w:rsidRPr="001E7293">
        <w:t>consistent with the Early Childhood Education a</w:t>
      </w:r>
      <w:r w:rsidR="00EB0B69" w:rsidRPr="001E7293">
        <w:t>nd Care Minimal Data Set (NMDS):</w:t>
      </w:r>
    </w:p>
    <w:p w14:paraId="5471D11A" w14:textId="77777777" w:rsidR="00EB0B69" w:rsidRPr="001E7293" w:rsidRDefault="003433C0" w:rsidP="00B94B66">
      <w:pPr>
        <w:pStyle w:val="Normalnumbered"/>
        <w:numPr>
          <w:ilvl w:val="0"/>
          <w:numId w:val="16"/>
        </w:numPr>
        <w:ind w:left="1040"/>
      </w:pPr>
      <w:r>
        <w:t>P</w:t>
      </w:r>
      <w:r w:rsidR="00EB0B69" w:rsidRPr="001E7293">
        <w:t>erformance Indicator calculation description (numerator, denominator, computation and presentation)</w:t>
      </w:r>
    </w:p>
    <w:p w14:paraId="2D6FBD85" w14:textId="77777777" w:rsidR="00EB0B69" w:rsidRPr="001E7293" w:rsidRDefault="00765AA1" w:rsidP="00B94B66">
      <w:pPr>
        <w:pStyle w:val="Normalnumbered"/>
        <w:numPr>
          <w:ilvl w:val="0"/>
          <w:numId w:val="16"/>
        </w:numPr>
        <w:ind w:left="1040"/>
      </w:pPr>
      <w:r w:rsidRPr="001E7293">
        <w:t>n</w:t>
      </w:r>
      <w:r w:rsidR="00EB0B69" w:rsidRPr="001E7293">
        <w:t xml:space="preserve">umerator </w:t>
      </w:r>
      <w:r w:rsidR="003433C0">
        <w:t>i</w:t>
      </w:r>
      <w:r w:rsidR="00EB0B69" w:rsidRPr="001E7293">
        <w:t>nformation (collection n</w:t>
      </w:r>
      <w:r w:rsidR="00411405">
        <w:t>ame and population description)</w:t>
      </w:r>
    </w:p>
    <w:p w14:paraId="32C66073" w14:textId="77777777" w:rsidR="00EB0B69" w:rsidRPr="001E7293" w:rsidRDefault="00765AA1" w:rsidP="00B94B66">
      <w:pPr>
        <w:pStyle w:val="Normalnumbered"/>
        <w:numPr>
          <w:ilvl w:val="0"/>
          <w:numId w:val="16"/>
        </w:numPr>
        <w:ind w:left="1040"/>
      </w:pPr>
      <w:r w:rsidRPr="001E7293">
        <w:t>d</w:t>
      </w:r>
      <w:r w:rsidR="003433C0">
        <w:t>enominator i</w:t>
      </w:r>
      <w:r w:rsidR="00EB0B69" w:rsidRPr="001E7293">
        <w:t>nformation (collection n</w:t>
      </w:r>
      <w:r w:rsidR="00411405">
        <w:t>ame and population description)</w:t>
      </w:r>
    </w:p>
    <w:p w14:paraId="7F6EDA0A" w14:textId="77777777" w:rsidR="00EB0B69" w:rsidRPr="001E7293" w:rsidRDefault="00765AA1" w:rsidP="00B94B66">
      <w:pPr>
        <w:pStyle w:val="Normalnumbered"/>
        <w:numPr>
          <w:ilvl w:val="0"/>
          <w:numId w:val="16"/>
        </w:numPr>
        <w:ind w:left="1040"/>
      </w:pPr>
      <w:r w:rsidRPr="001E7293">
        <w:t>c</w:t>
      </w:r>
      <w:r w:rsidR="003433C0">
        <w:t>alculation n</w:t>
      </w:r>
      <w:r w:rsidR="00EB0B69" w:rsidRPr="001E7293">
        <w:t xml:space="preserve">otes (including any information about how the </w:t>
      </w:r>
      <w:r w:rsidR="00411405">
        <w:t>performance indicator</w:t>
      </w:r>
      <w:r w:rsidR="00411405" w:rsidRPr="001E7293">
        <w:t xml:space="preserve"> </w:t>
      </w:r>
      <w:r w:rsidR="00EB0B69" w:rsidRPr="001E7293">
        <w:t>is calculated)</w:t>
      </w:r>
    </w:p>
    <w:p w14:paraId="5AAFAFA9" w14:textId="77777777" w:rsidR="00EB0B69" w:rsidRPr="001E7293" w:rsidRDefault="00765AA1" w:rsidP="00B94B66">
      <w:pPr>
        <w:pStyle w:val="Normalnumbered"/>
        <w:numPr>
          <w:ilvl w:val="0"/>
          <w:numId w:val="16"/>
        </w:numPr>
        <w:ind w:left="1040"/>
      </w:pPr>
      <w:r w:rsidRPr="001E7293">
        <w:t>m</w:t>
      </w:r>
      <w:r w:rsidR="00EB0B69" w:rsidRPr="001E7293">
        <w:t>ethodology</w:t>
      </w:r>
    </w:p>
    <w:p w14:paraId="20F2D451" w14:textId="77777777" w:rsidR="00EB0B69" w:rsidRPr="001E7293" w:rsidRDefault="00765AA1" w:rsidP="00B94B66">
      <w:pPr>
        <w:pStyle w:val="Normalnumbered"/>
        <w:numPr>
          <w:ilvl w:val="0"/>
          <w:numId w:val="16"/>
        </w:numPr>
        <w:ind w:left="1040"/>
      </w:pPr>
      <w:r w:rsidRPr="001E7293">
        <w:t>r</w:t>
      </w:r>
      <w:r w:rsidR="00EB0B69" w:rsidRPr="001E7293">
        <w:t>ationale for supplementary data and reporting (including any additional information to explain how and why the specifications for the supplementary data differ from the specifications in the NMDS).</w:t>
      </w:r>
    </w:p>
    <w:p w14:paraId="1EC7ECD0" w14:textId="77777777" w:rsidR="0036688B" w:rsidRPr="001E7293" w:rsidRDefault="0036688B" w:rsidP="005D4CB2">
      <w:pPr>
        <w:pStyle w:val="Heading2"/>
        <w:pageBreakBefore/>
      </w:pPr>
      <w:r w:rsidRPr="001E7293">
        <w:t>Sign off</w:t>
      </w:r>
    </w:p>
    <w:p w14:paraId="76D4A2AE" w14:textId="77777777" w:rsidR="0036688B" w:rsidRPr="001E7293" w:rsidRDefault="0036688B" w:rsidP="00926726">
      <w:pPr>
        <w:keepNext/>
        <w:keepLines/>
        <w:spacing w:after="240" w:line="260" w:lineRule="exact"/>
        <w:jc w:val="both"/>
        <w:rPr>
          <w:color w:val="000000"/>
          <w:szCs w:val="20"/>
        </w:rPr>
      </w:pPr>
      <w:r w:rsidRPr="001E7293">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1E7293" w14:paraId="67BCDA92" w14:textId="77777777" w:rsidTr="00B32717">
        <w:trPr>
          <w:trHeight w:val="1247"/>
        </w:trPr>
        <w:tc>
          <w:tcPr>
            <w:tcW w:w="9464" w:type="dxa"/>
            <w:gridSpan w:val="3"/>
            <w:tcBorders>
              <w:top w:val="nil"/>
              <w:bottom w:val="dashed" w:sz="4" w:space="0" w:color="auto"/>
            </w:tcBorders>
            <w:vAlign w:val="center"/>
          </w:tcPr>
          <w:p w14:paraId="5671D31D" w14:textId="77777777" w:rsidR="00B32717" w:rsidRPr="001E7293" w:rsidRDefault="00B32717" w:rsidP="00B32717">
            <w:pPr>
              <w:keepNext/>
              <w:keepLines/>
              <w:spacing w:before="120" w:after="120" w:line="280" w:lineRule="exact"/>
              <w:rPr>
                <w:b/>
                <w:bCs/>
                <w:color w:val="C00000"/>
              </w:rPr>
            </w:pPr>
          </w:p>
        </w:tc>
      </w:tr>
      <w:tr w:rsidR="0036688B" w:rsidRPr="001E7293" w14:paraId="1304DBFB" w14:textId="77777777" w:rsidTr="001E7293">
        <w:tc>
          <w:tcPr>
            <w:tcW w:w="5192" w:type="dxa"/>
            <w:tcBorders>
              <w:top w:val="dashed" w:sz="4" w:space="0" w:color="auto"/>
              <w:bottom w:val="nil"/>
              <w:right w:val="nil"/>
            </w:tcBorders>
            <w:vAlign w:val="center"/>
          </w:tcPr>
          <w:p w14:paraId="531A077A"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dashed" w:sz="4" w:space="0" w:color="auto"/>
              <w:left w:val="nil"/>
              <w:bottom w:val="nil"/>
              <w:right w:val="nil"/>
            </w:tcBorders>
          </w:tcPr>
          <w:p w14:paraId="289DB780" w14:textId="77777777" w:rsidR="0036688B" w:rsidRPr="001E7293"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14:paraId="45957DB8" w14:textId="77777777" w:rsidR="0036688B" w:rsidRPr="001E7293" w:rsidRDefault="0036688B" w:rsidP="00B32717">
            <w:pPr>
              <w:keepNext/>
              <w:keepLines/>
              <w:spacing w:before="120" w:after="120" w:line="280" w:lineRule="exact"/>
            </w:pPr>
            <w:r w:rsidRPr="001E7293">
              <w:rPr>
                <w:b/>
                <w:bCs/>
                <w:color w:val="C00000"/>
              </w:rPr>
              <w:t>Date</w:t>
            </w:r>
          </w:p>
        </w:tc>
      </w:tr>
      <w:tr w:rsidR="001E7293" w:rsidRPr="001E7293" w14:paraId="3B66D691" w14:textId="77777777" w:rsidTr="001E7293">
        <w:tc>
          <w:tcPr>
            <w:tcW w:w="5192" w:type="dxa"/>
            <w:tcBorders>
              <w:top w:val="nil"/>
              <w:bottom w:val="nil"/>
              <w:right w:val="nil"/>
            </w:tcBorders>
            <w:vAlign w:val="center"/>
          </w:tcPr>
          <w:p w14:paraId="3C77E162" w14:textId="77777777" w:rsidR="001E7293" w:rsidRPr="001E7293"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14:paraId="5E0E4517" w14:textId="77777777" w:rsidR="001E7293" w:rsidRPr="001E7293"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14:paraId="647D710C" w14:textId="77777777" w:rsidR="001E7293" w:rsidRPr="001E7293" w:rsidRDefault="001E7293" w:rsidP="00B32717">
            <w:pPr>
              <w:keepNext/>
              <w:keepLines/>
              <w:spacing w:before="120" w:after="120" w:line="280" w:lineRule="exact"/>
              <w:rPr>
                <w:b/>
                <w:bCs/>
                <w:color w:val="C00000"/>
              </w:rPr>
            </w:pPr>
          </w:p>
        </w:tc>
      </w:tr>
      <w:tr w:rsidR="0036688B" w:rsidRPr="001E7293" w14:paraId="4FA4234F" w14:textId="77777777" w:rsidTr="001E7293">
        <w:tc>
          <w:tcPr>
            <w:tcW w:w="9464" w:type="dxa"/>
            <w:gridSpan w:val="3"/>
            <w:tcBorders>
              <w:top w:val="nil"/>
            </w:tcBorders>
          </w:tcPr>
          <w:p w14:paraId="73424028" w14:textId="77777777" w:rsidR="00D80D68" w:rsidRPr="00D80D68" w:rsidRDefault="00D80D68">
            <w:pPr>
              <w:keepNext/>
              <w:keepLines/>
              <w:spacing w:after="960" w:line="280" w:lineRule="exact"/>
              <w:rPr>
                <w:b/>
                <w:bCs/>
                <w:color w:val="365F91"/>
              </w:rPr>
            </w:pPr>
            <w:r>
              <w:rPr>
                <w:b/>
                <w:bCs/>
                <w:color w:val="365F91"/>
              </w:rPr>
              <w:t xml:space="preserve">Hon </w:t>
            </w:r>
            <w:r w:rsidR="00992520">
              <w:rPr>
                <w:b/>
                <w:bCs/>
                <w:color w:val="365F91"/>
              </w:rPr>
              <w:t>Selena Uibo</w:t>
            </w:r>
            <w:r>
              <w:rPr>
                <w:b/>
                <w:bCs/>
                <w:color w:val="365F91"/>
              </w:rPr>
              <w:t xml:space="preserve"> MLA</w:t>
            </w:r>
            <w:r>
              <w:rPr>
                <w:b/>
                <w:bCs/>
                <w:color w:val="365F91"/>
              </w:rPr>
              <w:br/>
              <w:t>Minister for Education</w:t>
            </w:r>
          </w:p>
        </w:tc>
      </w:tr>
      <w:tr w:rsidR="0036688B" w:rsidRPr="001E7293" w14:paraId="19819169" w14:textId="77777777" w:rsidTr="001E7293">
        <w:tc>
          <w:tcPr>
            <w:tcW w:w="5192" w:type="dxa"/>
            <w:tcBorders>
              <w:top w:val="nil"/>
              <w:bottom w:val="nil"/>
              <w:right w:val="nil"/>
            </w:tcBorders>
            <w:vAlign w:val="center"/>
          </w:tcPr>
          <w:p w14:paraId="66EB7360" w14:textId="77777777" w:rsidR="0036688B" w:rsidRPr="001E7293" w:rsidRDefault="0036688B" w:rsidP="00503044">
            <w:pPr>
              <w:keepNext/>
              <w:keepLines/>
              <w:spacing w:before="120" w:after="120" w:line="280" w:lineRule="exact"/>
            </w:pPr>
            <w:r w:rsidRPr="001E7293">
              <w:rPr>
                <w:b/>
                <w:bCs/>
                <w:color w:val="C00000"/>
              </w:rPr>
              <w:t>Signature</w:t>
            </w:r>
          </w:p>
        </w:tc>
        <w:tc>
          <w:tcPr>
            <w:tcW w:w="290" w:type="dxa"/>
            <w:tcBorders>
              <w:top w:val="nil"/>
              <w:left w:val="nil"/>
              <w:bottom w:val="nil"/>
              <w:right w:val="nil"/>
            </w:tcBorders>
          </w:tcPr>
          <w:p w14:paraId="71B6165E" w14:textId="77777777" w:rsidR="0036688B" w:rsidRPr="001E7293"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14:paraId="718514F3" w14:textId="77777777" w:rsidR="0036688B" w:rsidRPr="001E7293" w:rsidRDefault="0036688B" w:rsidP="00503044">
            <w:pPr>
              <w:keepNext/>
              <w:keepLines/>
              <w:spacing w:before="120" w:after="120" w:line="280" w:lineRule="exact"/>
            </w:pPr>
            <w:r w:rsidRPr="001E7293">
              <w:rPr>
                <w:b/>
                <w:bCs/>
                <w:color w:val="C00000"/>
              </w:rPr>
              <w:t>Date</w:t>
            </w:r>
          </w:p>
        </w:tc>
      </w:tr>
      <w:tr w:rsidR="001E7293" w:rsidRPr="001E7293" w14:paraId="0C86BCBF" w14:textId="77777777" w:rsidTr="001E7293">
        <w:trPr>
          <w:trHeight w:val="822"/>
        </w:trPr>
        <w:tc>
          <w:tcPr>
            <w:tcW w:w="9464" w:type="dxa"/>
            <w:gridSpan w:val="3"/>
            <w:tcBorders>
              <w:top w:val="nil"/>
              <w:bottom w:val="nil"/>
            </w:tcBorders>
          </w:tcPr>
          <w:p w14:paraId="1AB4289D" w14:textId="77777777" w:rsidR="001E7293" w:rsidRPr="001E7293" w:rsidRDefault="001E7293" w:rsidP="00503044">
            <w:pPr>
              <w:rPr>
                <w:b/>
                <w:bCs/>
                <w:color w:val="365F91"/>
              </w:rPr>
            </w:pPr>
          </w:p>
        </w:tc>
      </w:tr>
      <w:tr w:rsidR="001E7293" w:rsidRPr="001E7293" w14:paraId="2CCD2326" w14:textId="77777777" w:rsidTr="001E7293">
        <w:trPr>
          <w:trHeight w:val="822"/>
        </w:trPr>
        <w:tc>
          <w:tcPr>
            <w:tcW w:w="9464" w:type="dxa"/>
            <w:gridSpan w:val="3"/>
            <w:tcBorders>
              <w:top w:val="nil"/>
            </w:tcBorders>
          </w:tcPr>
          <w:p w14:paraId="28039739" w14:textId="77777777" w:rsidR="001E7293" w:rsidRPr="001E7293" w:rsidRDefault="001E7293" w:rsidP="00503044">
            <w:pPr>
              <w:rPr>
                <w:b/>
                <w:bCs/>
                <w:color w:val="365F91"/>
              </w:rPr>
            </w:pPr>
          </w:p>
        </w:tc>
      </w:tr>
      <w:tr w:rsidR="0036688B" w:rsidRPr="00317899" w14:paraId="1E3E1C7D" w14:textId="77777777" w:rsidTr="00B32717">
        <w:trPr>
          <w:trHeight w:val="822"/>
        </w:trPr>
        <w:tc>
          <w:tcPr>
            <w:tcW w:w="9464" w:type="dxa"/>
            <w:gridSpan w:val="3"/>
          </w:tcPr>
          <w:p w14:paraId="54CA408B" w14:textId="6A46B79C" w:rsidR="00503044" w:rsidRPr="001E7293" w:rsidRDefault="00992520" w:rsidP="00503044">
            <w:pPr>
              <w:rPr>
                <w:b/>
                <w:bCs/>
                <w:color w:val="365F91"/>
              </w:rPr>
            </w:pPr>
            <w:r>
              <w:rPr>
                <w:b/>
                <w:bCs/>
                <w:color w:val="365F91"/>
              </w:rPr>
              <w:t>T</w:t>
            </w:r>
            <w:r w:rsidR="00503044" w:rsidRPr="001E7293">
              <w:rPr>
                <w:b/>
                <w:bCs/>
                <w:color w:val="365F91"/>
              </w:rPr>
              <w:t xml:space="preserve">he Hon </w:t>
            </w:r>
            <w:r>
              <w:rPr>
                <w:b/>
                <w:bCs/>
                <w:color w:val="365F91"/>
              </w:rPr>
              <w:t>Dan</w:t>
            </w:r>
            <w:r w:rsidRPr="001E7293">
              <w:rPr>
                <w:b/>
                <w:bCs/>
                <w:color w:val="365F91"/>
              </w:rPr>
              <w:t xml:space="preserve"> </w:t>
            </w:r>
            <w:r>
              <w:rPr>
                <w:b/>
                <w:bCs/>
                <w:color w:val="365F91"/>
              </w:rPr>
              <w:t>Tehan MP</w:t>
            </w:r>
          </w:p>
          <w:p w14:paraId="6E1B093B" w14:textId="77777777" w:rsidR="0036688B" w:rsidRPr="00317899" w:rsidRDefault="00503044">
            <w:pPr>
              <w:spacing w:line="280" w:lineRule="exact"/>
              <w:rPr>
                <w:b/>
                <w:bCs/>
                <w:color w:val="365F91"/>
              </w:rPr>
            </w:pPr>
            <w:r w:rsidRPr="001E7293">
              <w:rPr>
                <w:b/>
                <w:bCs/>
                <w:color w:val="365F91"/>
              </w:rPr>
              <w:t>Minister for Education</w:t>
            </w:r>
          </w:p>
        </w:tc>
      </w:tr>
    </w:tbl>
    <w:p w14:paraId="4FD7AB38" w14:textId="77777777" w:rsidR="00F55711" w:rsidRPr="00317899" w:rsidRDefault="00F55711" w:rsidP="00695DE1"/>
    <w:sectPr w:rsidR="00F55711" w:rsidRPr="00317899" w:rsidSect="00FB7D31">
      <w:headerReference w:type="even" r:id="rId14"/>
      <w:headerReference w:type="default" r:id="rId15"/>
      <w:footerReference w:type="even" r:id="rId16"/>
      <w:footerReference w:type="default" r:id="rId17"/>
      <w:headerReference w:type="first" r:id="rId18"/>
      <w:footerReference w:type="first" r:id="rId19"/>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6AF9F" w14:textId="77777777" w:rsidR="009B3193" w:rsidRDefault="009B3193" w:rsidP="00520331">
      <w:r>
        <w:separator/>
      </w:r>
    </w:p>
  </w:endnote>
  <w:endnote w:type="continuationSeparator" w:id="0">
    <w:p w14:paraId="6480928D" w14:textId="77777777" w:rsidR="009B3193" w:rsidRDefault="009B3193"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FF"/>
    <w:family w:val="roman"/>
    <w:notTrueType/>
    <w:pitch w:val="variable"/>
    <w:sig w:usb0="00000003"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E792" w14:textId="77777777" w:rsidR="00E04498" w:rsidRDefault="00E0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48CF" w14:textId="3DCEA1B6"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6404E">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E7D1" w14:textId="77777777" w:rsidR="00E04498" w:rsidRDefault="00E04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E17B" w14:textId="77777777" w:rsidR="009B3193" w:rsidRDefault="009B3193" w:rsidP="00520331">
      <w:r>
        <w:separator/>
      </w:r>
    </w:p>
  </w:footnote>
  <w:footnote w:type="continuationSeparator" w:id="0">
    <w:p w14:paraId="0834EF39" w14:textId="77777777" w:rsidR="009B3193" w:rsidRDefault="009B3193" w:rsidP="00520331">
      <w:r>
        <w:continuationSeparator/>
      </w:r>
    </w:p>
  </w:footnote>
  <w:footnote w:id="1">
    <w:p w14:paraId="770D2FF7"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w:t>
      </w:r>
      <w:r w:rsidR="00B10912" w:rsidRPr="00D84607">
        <w:rPr>
          <w:sz w:val="16"/>
          <w:szCs w:val="16"/>
        </w:rPr>
        <w:t xml:space="preserve">Australian Bureau of Statistics, 2016 Census QuickStats, </w:t>
      </w:r>
      <w:hyperlink r:id="rId1" w:history="1">
        <w:r w:rsidR="00B10912" w:rsidRPr="00D84607">
          <w:rPr>
            <w:rStyle w:val="Hyperlink"/>
            <w:sz w:val="16"/>
            <w:szCs w:val="16"/>
          </w:rPr>
          <w:t>http://www.censusdata.abs.gov.au/census_services/getproduct/census/2016/quickstat/7?opendocument</w:t>
        </w:r>
      </w:hyperlink>
      <w:r w:rsidR="00B10912" w:rsidRPr="00D84607">
        <w:rPr>
          <w:sz w:val="16"/>
          <w:szCs w:val="16"/>
        </w:rPr>
        <w:t xml:space="preserve">  released 27 June 2017.</w:t>
      </w:r>
    </w:p>
  </w:footnote>
  <w:footnote w:id="2">
    <w:p w14:paraId="4FF5FE22"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Geoscience Australia, Area of Australia – States and Territories, </w:t>
      </w:r>
      <w:hyperlink r:id="rId2" w:history="1">
        <w:r w:rsidRPr="00D84607">
          <w:rPr>
            <w:rStyle w:val="Hyperlink"/>
            <w:sz w:val="16"/>
            <w:szCs w:val="16"/>
          </w:rPr>
          <w:t>http://www.ga.gov.au/scientific-topics/national-location-information/dimensions/area-of-australia-states-and-territories</w:t>
        </w:r>
      </w:hyperlink>
      <w:r w:rsidRPr="00D84607">
        <w:rPr>
          <w:sz w:val="16"/>
          <w:szCs w:val="16"/>
        </w:rPr>
        <w:t>, accessed 9 January 2018.</w:t>
      </w:r>
    </w:p>
  </w:footnote>
  <w:footnote w:id="3">
    <w:p w14:paraId="2B232B4E" w14:textId="77777777" w:rsidR="006F7496" w:rsidRPr="00D84607" w:rsidRDefault="006F7496" w:rsidP="006F7496">
      <w:pPr>
        <w:pStyle w:val="FootnoteText"/>
        <w:spacing w:after="0"/>
        <w:rPr>
          <w:sz w:val="16"/>
          <w:szCs w:val="16"/>
          <w:lang w:val="en-US"/>
        </w:rPr>
      </w:pPr>
      <w:r w:rsidRPr="00D84607">
        <w:rPr>
          <w:rStyle w:val="FootnoteReference"/>
          <w:sz w:val="16"/>
          <w:szCs w:val="16"/>
        </w:rPr>
        <w:footnoteRef/>
      </w:r>
      <w:r w:rsidRPr="00D84607">
        <w:rPr>
          <w:sz w:val="16"/>
          <w:szCs w:val="16"/>
        </w:rPr>
        <w:t xml:space="preserve"> </w:t>
      </w:r>
      <w:r w:rsidR="00555B5C" w:rsidRPr="00D84607">
        <w:rPr>
          <w:sz w:val="16"/>
          <w:szCs w:val="16"/>
        </w:rPr>
        <w:t xml:space="preserve">Australian Bureau of Statistics, Census: Aboriginal and Torres Strait Islander population, 2016 </w:t>
      </w:r>
      <w:hyperlink r:id="rId3" w:history="1">
        <w:r w:rsidR="00555B5C" w:rsidRPr="00D84607">
          <w:rPr>
            <w:rStyle w:val="Hyperlink"/>
            <w:sz w:val="16"/>
            <w:szCs w:val="16"/>
          </w:rPr>
          <w:t>http://www.abs.gov.au/ausstats/abs@.nsf/mediareleasesbyReleaseDate/02D50FAA9987D6B7CA25814800087E03?OpenDocument</w:t>
        </w:r>
      </w:hyperlink>
      <w:r w:rsidR="00555B5C" w:rsidRPr="00D84607">
        <w:rPr>
          <w:sz w:val="16"/>
          <w:szCs w:val="16"/>
        </w:rPr>
        <w:t xml:space="preserve"> , released </w:t>
      </w:r>
      <w:r w:rsidR="00555B5C" w:rsidRPr="00D84607">
        <w:rPr>
          <w:sz w:val="16"/>
          <w:szCs w:val="16"/>
          <w:lang w:val="en-US"/>
        </w:rPr>
        <w:t>27 June 2017.</w:t>
      </w:r>
    </w:p>
  </w:footnote>
  <w:footnote w:id="4">
    <w:p w14:paraId="7F4117B7" w14:textId="77777777" w:rsidR="00555B5C" w:rsidRPr="00AE58BD" w:rsidRDefault="00555B5C" w:rsidP="005B18B0">
      <w:pPr>
        <w:pStyle w:val="FootnoteText"/>
        <w:spacing w:after="0"/>
        <w:rPr>
          <w:sz w:val="16"/>
          <w:szCs w:val="16"/>
          <w:lang w:val="en-US"/>
        </w:rPr>
      </w:pPr>
      <w:r w:rsidRPr="00005D0C">
        <w:rPr>
          <w:rStyle w:val="FootnoteReference"/>
          <w:sz w:val="16"/>
          <w:szCs w:val="16"/>
        </w:rPr>
        <w:footnoteRef/>
      </w:r>
      <w:r w:rsidRPr="00005D0C">
        <w:rPr>
          <w:sz w:val="16"/>
          <w:szCs w:val="16"/>
        </w:rPr>
        <w:t xml:space="preserve"> </w:t>
      </w:r>
      <w:r w:rsidR="005402C3" w:rsidRPr="00005D0C">
        <w:rPr>
          <w:sz w:val="16"/>
          <w:szCs w:val="16"/>
        </w:rPr>
        <w:t xml:space="preserve">Australian Bureau of Statistics, Estimates of Aboriginal and Torres Strait Islander Australians, June 2011, </w:t>
      </w:r>
      <w:hyperlink r:id="rId4" w:history="1">
        <w:r w:rsidR="005402C3" w:rsidRPr="00AE58BD">
          <w:rPr>
            <w:rStyle w:val="Hyperlink"/>
            <w:sz w:val="16"/>
            <w:szCs w:val="16"/>
          </w:rPr>
          <w:t>http://www.abs.gov.au/AUSSTATS/abs@.nsf/DetailsPage/3238.0.55.001June%202011?OpenDocument</w:t>
        </w:r>
      </w:hyperlink>
      <w:r w:rsidR="005402C3" w:rsidRPr="00AE58BD">
        <w:rPr>
          <w:sz w:val="16"/>
          <w:szCs w:val="16"/>
        </w:rPr>
        <w:t xml:space="preserve">, </w:t>
      </w:r>
      <w:r w:rsidR="0099564C" w:rsidRPr="00AE58BD">
        <w:rPr>
          <w:sz w:val="16"/>
          <w:szCs w:val="16"/>
          <w:lang w:val="en-US"/>
        </w:rPr>
        <w:t>released 30 August 2013.</w:t>
      </w:r>
    </w:p>
  </w:footnote>
  <w:footnote w:id="5">
    <w:p w14:paraId="7F37B326" w14:textId="77777777" w:rsidR="005B18B0" w:rsidRPr="00AE58BD" w:rsidRDefault="005B18B0" w:rsidP="005B18B0">
      <w:pPr>
        <w:pStyle w:val="FootnoteText"/>
        <w:spacing w:after="0"/>
        <w:rPr>
          <w:sz w:val="16"/>
          <w:szCs w:val="16"/>
          <w:lang w:val="en-US"/>
        </w:rPr>
      </w:pPr>
      <w:r w:rsidRPr="00AE58BD">
        <w:rPr>
          <w:rStyle w:val="FootnoteReference"/>
          <w:sz w:val="16"/>
          <w:szCs w:val="16"/>
        </w:rPr>
        <w:footnoteRef/>
      </w:r>
      <w:r w:rsidRPr="00AE58BD">
        <w:rPr>
          <w:sz w:val="16"/>
          <w:szCs w:val="16"/>
        </w:rPr>
        <w:t xml:space="preserve"> Australian Bureau of Statistics, 2016 Census of Population and Housing General Community Profile Catalogue number 2001.0 </w:t>
      </w:r>
      <w:hyperlink r:id="rId5" w:history="1">
        <w:r w:rsidRPr="00AE58BD">
          <w:rPr>
            <w:rStyle w:val="Hyperlink"/>
            <w:sz w:val="16"/>
            <w:szCs w:val="16"/>
          </w:rPr>
          <w:t>http://www.censusdata.abs.gov.au/CensusOutput/copsub2016.NSF/All%20docs%20by%20catNo/2016~Community%20Profile~7/$File/GCP_7.zip?OpenElement</w:t>
        </w:r>
      </w:hyperlink>
      <w:r w:rsidR="0099564C" w:rsidRPr="00AE58BD">
        <w:rPr>
          <w:sz w:val="16"/>
          <w:szCs w:val="16"/>
        </w:rPr>
        <w:t>.</w:t>
      </w:r>
    </w:p>
  </w:footnote>
  <w:footnote w:id="6">
    <w:p w14:paraId="16E0B9C2" w14:textId="77777777" w:rsidR="00555B5C" w:rsidRPr="00AE58BD" w:rsidRDefault="00555B5C" w:rsidP="005B18B0">
      <w:pPr>
        <w:pStyle w:val="FootnoteText"/>
        <w:spacing w:after="0"/>
        <w:rPr>
          <w:sz w:val="16"/>
          <w:szCs w:val="16"/>
          <w:vertAlign w:val="superscript"/>
          <w:lang w:val="en-US"/>
        </w:rPr>
      </w:pPr>
      <w:r w:rsidRPr="00AE58BD">
        <w:rPr>
          <w:rStyle w:val="FootnoteReference"/>
          <w:sz w:val="16"/>
          <w:szCs w:val="16"/>
        </w:rPr>
        <w:footnoteRef/>
      </w:r>
      <w:r w:rsidRPr="00AE58BD">
        <w:rPr>
          <w:sz w:val="16"/>
          <w:szCs w:val="16"/>
        </w:rPr>
        <w:t xml:space="preserve"> </w:t>
      </w:r>
      <w:r w:rsidR="0099564C" w:rsidRPr="00AE58BD">
        <w:rPr>
          <w:sz w:val="16"/>
          <w:szCs w:val="16"/>
        </w:rPr>
        <w:t xml:space="preserve">Australian Early Development Census, Data Explorer </w:t>
      </w:r>
      <w:hyperlink r:id="rId6" w:history="1">
        <w:r w:rsidR="0099564C" w:rsidRPr="00AE58BD">
          <w:rPr>
            <w:rStyle w:val="Hyperlink"/>
            <w:sz w:val="16"/>
            <w:szCs w:val="16"/>
          </w:rPr>
          <w:t>https://www.aedc.gov.au/data/data-explorer</w:t>
        </w:r>
      </w:hyperlink>
      <w:r w:rsidR="0099564C" w:rsidRPr="00AE58BD">
        <w:rPr>
          <w:sz w:val="16"/>
          <w:szCs w:val="16"/>
        </w:rPr>
        <w:t xml:space="preserve">, </w:t>
      </w:r>
      <w:r w:rsidR="0099564C" w:rsidRPr="00AE58BD">
        <w:rPr>
          <w:sz w:val="16"/>
          <w:szCs w:val="16"/>
          <w:lang w:val="en-US"/>
        </w:rPr>
        <w:t>accessed 9 January 2018.</w:t>
      </w:r>
    </w:p>
  </w:footnote>
  <w:footnote w:id="7">
    <w:p w14:paraId="4643122E" w14:textId="77777777" w:rsidR="00555B5C" w:rsidRPr="00AE58BD" w:rsidRDefault="00555B5C" w:rsidP="005B18B0">
      <w:pPr>
        <w:pStyle w:val="FootnoteText"/>
        <w:spacing w:after="0"/>
        <w:rPr>
          <w:sz w:val="16"/>
          <w:szCs w:val="16"/>
          <w:lang w:val="en-US"/>
        </w:rPr>
      </w:pPr>
      <w:r w:rsidRPr="00AE58BD">
        <w:rPr>
          <w:rStyle w:val="FootnoteReference"/>
          <w:sz w:val="16"/>
          <w:szCs w:val="16"/>
        </w:rPr>
        <w:footnoteRef/>
      </w:r>
      <w:r w:rsidRPr="00AE58BD">
        <w:rPr>
          <w:sz w:val="16"/>
          <w:szCs w:val="16"/>
          <w:vertAlign w:val="superscript"/>
        </w:rPr>
        <w:t xml:space="preserve"> </w:t>
      </w:r>
      <w:r w:rsidR="0099564C" w:rsidRPr="00AE58BD">
        <w:rPr>
          <w:sz w:val="16"/>
          <w:szCs w:val="16"/>
        </w:rPr>
        <w:t xml:space="preserve">Australian Early Development Census, Data Explorer </w:t>
      </w:r>
      <w:hyperlink r:id="rId7" w:history="1">
        <w:r w:rsidR="0099564C" w:rsidRPr="00AE58BD">
          <w:rPr>
            <w:rStyle w:val="Hyperlink"/>
            <w:sz w:val="16"/>
            <w:szCs w:val="16"/>
          </w:rPr>
          <w:t>https://www.aedc.gov.au/data/data-explorer</w:t>
        </w:r>
      </w:hyperlink>
      <w:r w:rsidR="0099564C" w:rsidRPr="00AE58BD">
        <w:rPr>
          <w:sz w:val="16"/>
          <w:szCs w:val="16"/>
        </w:rPr>
        <w:t xml:space="preserve">, </w:t>
      </w:r>
      <w:r w:rsidR="0099564C" w:rsidRPr="00AE58BD">
        <w:rPr>
          <w:sz w:val="16"/>
          <w:szCs w:val="16"/>
          <w:lang w:val="en-US"/>
        </w:rPr>
        <w:t>accessed 9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AFCD" w14:textId="77777777" w:rsidR="00E04498" w:rsidRDefault="00E0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6CF0" w14:textId="44E8880A" w:rsidR="004D55DF" w:rsidRDefault="004D5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DEE1" w14:textId="77777777" w:rsidR="00E04498" w:rsidRDefault="00E04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BD0"/>
    <w:multiLevelType w:val="hybridMultilevel"/>
    <w:tmpl w:val="A74A6E82"/>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2007"/>
        </w:tabs>
        <w:ind w:left="2007" w:hanging="360"/>
      </w:pPr>
      <w:rPr>
        <w:rFonts w:ascii="Symbol" w:hAnsi="Symbol" w:hint="default"/>
        <w:i w:val="0"/>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185A7387"/>
    <w:multiLevelType w:val="hybridMultilevel"/>
    <w:tmpl w:val="AF1AF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8"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9"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2"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3"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1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16" w15:restartNumberingAfterBreak="0">
    <w:nsid w:val="700F3AD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11"/>
  </w:num>
  <w:num w:numId="6">
    <w:abstractNumId w:val="1"/>
  </w:num>
  <w:num w:numId="7">
    <w:abstractNumId w:val="12"/>
  </w:num>
  <w:num w:numId="8">
    <w:abstractNumId w:val="6"/>
  </w:num>
  <w:num w:numId="9">
    <w:abstractNumId w:val="17"/>
  </w:num>
  <w:num w:numId="10">
    <w:abstractNumId w:val="14"/>
  </w:num>
  <w:num w:numId="11">
    <w:abstractNumId w:val="15"/>
  </w:num>
  <w:num w:numId="12">
    <w:abstractNumId w:val="18"/>
  </w:num>
  <w:num w:numId="13">
    <w:abstractNumId w:val="13"/>
  </w:num>
  <w:num w:numId="14">
    <w:abstractNumId w:val="5"/>
  </w:num>
  <w:num w:numId="15">
    <w:abstractNumId w:val="8"/>
  </w:num>
  <w:num w:numId="16">
    <w:abstractNumId w:val="9"/>
  </w:num>
  <w:num w:numId="17">
    <w:abstractNumId w:val="16"/>
  </w:num>
  <w:num w:numId="18">
    <w:abstractNumId w:val="0"/>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04D40"/>
    <w:rsid w:val="00005093"/>
    <w:rsid w:val="00005D0C"/>
    <w:rsid w:val="00011DA2"/>
    <w:rsid w:val="00012AAE"/>
    <w:rsid w:val="00013A91"/>
    <w:rsid w:val="00014551"/>
    <w:rsid w:val="0002351E"/>
    <w:rsid w:val="00023C24"/>
    <w:rsid w:val="000240B5"/>
    <w:rsid w:val="00024B99"/>
    <w:rsid w:val="0002586A"/>
    <w:rsid w:val="00025F50"/>
    <w:rsid w:val="00030F67"/>
    <w:rsid w:val="00031D16"/>
    <w:rsid w:val="00034877"/>
    <w:rsid w:val="000375F8"/>
    <w:rsid w:val="00040405"/>
    <w:rsid w:val="00041625"/>
    <w:rsid w:val="00041D4C"/>
    <w:rsid w:val="0004432A"/>
    <w:rsid w:val="00044E74"/>
    <w:rsid w:val="00045778"/>
    <w:rsid w:val="00045AD7"/>
    <w:rsid w:val="00047FE7"/>
    <w:rsid w:val="00052E00"/>
    <w:rsid w:val="00054A8D"/>
    <w:rsid w:val="0005527C"/>
    <w:rsid w:val="00055E03"/>
    <w:rsid w:val="00056C4B"/>
    <w:rsid w:val="00062172"/>
    <w:rsid w:val="00062FD7"/>
    <w:rsid w:val="000713FA"/>
    <w:rsid w:val="000758BF"/>
    <w:rsid w:val="00086B8C"/>
    <w:rsid w:val="000873E5"/>
    <w:rsid w:val="00091BA8"/>
    <w:rsid w:val="000925CD"/>
    <w:rsid w:val="00093235"/>
    <w:rsid w:val="00097950"/>
    <w:rsid w:val="000A1323"/>
    <w:rsid w:val="000A2E01"/>
    <w:rsid w:val="000A72D2"/>
    <w:rsid w:val="000B09BC"/>
    <w:rsid w:val="000B2FCE"/>
    <w:rsid w:val="000B36D5"/>
    <w:rsid w:val="000C017B"/>
    <w:rsid w:val="000C1698"/>
    <w:rsid w:val="000D4B5B"/>
    <w:rsid w:val="000D5B7F"/>
    <w:rsid w:val="000D5C4C"/>
    <w:rsid w:val="000D6F25"/>
    <w:rsid w:val="000D7C4C"/>
    <w:rsid w:val="000E3092"/>
    <w:rsid w:val="000E78C0"/>
    <w:rsid w:val="000F354C"/>
    <w:rsid w:val="000F58F0"/>
    <w:rsid w:val="000F5EB9"/>
    <w:rsid w:val="00102898"/>
    <w:rsid w:val="00102DDE"/>
    <w:rsid w:val="00105402"/>
    <w:rsid w:val="00105FB1"/>
    <w:rsid w:val="001108F3"/>
    <w:rsid w:val="0011223F"/>
    <w:rsid w:val="00113524"/>
    <w:rsid w:val="00113BAA"/>
    <w:rsid w:val="0011673E"/>
    <w:rsid w:val="001168E4"/>
    <w:rsid w:val="00120218"/>
    <w:rsid w:val="0012049E"/>
    <w:rsid w:val="00120B80"/>
    <w:rsid w:val="0012386D"/>
    <w:rsid w:val="00124D8E"/>
    <w:rsid w:val="001273B5"/>
    <w:rsid w:val="001331EC"/>
    <w:rsid w:val="00136F02"/>
    <w:rsid w:val="00137155"/>
    <w:rsid w:val="00141ACB"/>
    <w:rsid w:val="001445F3"/>
    <w:rsid w:val="00146B46"/>
    <w:rsid w:val="00150526"/>
    <w:rsid w:val="00153BCD"/>
    <w:rsid w:val="00153CBE"/>
    <w:rsid w:val="00155B7D"/>
    <w:rsid w:val="001637AC"/>
    <w:rsid w:val="00164CEE"/>
    <w:rsid w:val="00166312"/>
    <w:rsid w:val="00170639"/>
    <w:rsid w:val="00170688"/>
    <w:rsid w:val="00170B1A"/>
    <w:rsid w:val="00171B14"/>
    <w:rsid w:val="00172229"/>
    <w:rsid w:val="00172B12"/>
    <w:rsid w:val="00173BEB"/>
    <w:rsid w:val="00174BD4"/>
    <w:rsid w:val="001755D1"/>
    <w:rsid w:val="00186FF4"/>
    <w:rsid w:val="00187966"/>
    <w:rsid w:val="00187A15"/>
    <w:rsid w:val="00190098"/>
    <w:rsid w:val="00191251"/>
    <w:rsid w:val="00191684"/>
    <w:rsid w:val="001918B1"/>
    <w:rsid w:val="00192CDE"/>
    <w:rsid w:val="00192FFB"/>
    <w:rsid w:val="00196A06"/>
    <w:rsid w:val="001A4374"/>
    <w:rsid w:val="001A652E"/>
    <w:rsid w:val="001A6E1E"/>
    <w:rsid w:val="001A773D"/>
    <w:rsid w:val="001B5382"/>
    <w:rsid w:val="001B5415"/>
    <w:rsid w:val="001C1144"/>
    <w:rsid w:val="001C56EC"/>
    <w:rsid w:val="001C6B67"/>
    <w:rsid w:val="001D14B8"/>
    <w:rsid w:val="001D47EA"/>
    <w:rsid w:val="001D5134"/>
    <w:rsid w:val="001E4E1F"/>
    <w:rsid w:val="001E67A2"/>
    <w:rsid w:val="001E7293"/>
    <w:rsid w:val="001E74D0"/>
    <w:rsid w:val="001F45C6"/>
    <w:rsid w:val="001F5305"/>
    <w:rsid w:val="001F68F6"/>
    <w:rsid w:val="001F6EAD"/>
    <w:rsid w:val="001F7A0E"/>
    <w:rsid w:val="001F7CB8"/>
    <w:rsid w:val="002010E0"/>
    <w:rsid w:val="00206671"/>
    <w:rsid w:val="00221363"/>
    <w:rsid w:val="002268B0"/>
    <w:rsid w:val="00227BC0"/>
    <w:rsid w:val="002311B1"/>
    <w:rsid w:val="002330D9"/>
    <w:rsid w:val="00241444"/>
    <w:rsid w:val="00241B51"/>
    <w:rsid w:val="00243E8B"/>
    <w:rsid w:val="00243F4E"/>
    <w:rsid w:val="002514DE"/>
    <w:rsid w:val="00253731"/>
    <w:rsid w:val="00254BF5"/>
    <w:rsid w:val="0025586C"/>
    <w:rsid w:val="00256AB0"/>
    <w:rsid w:val="00257088"/>
    <w:rsid w:val="00261564"/>
    <w:rsid w:val="002616A0"/>
    <w:rsid w:val="002648E8"/>
    <w:rsid w:val="0026503A"/>
    <w:rsid w:val="00266792"/>
    <w:rsid w:val="00266B65"/>
    <w:rsid w:val="002678DE"/>
    <w:rsid w:val="00267B81"/>
    <w:rsid w:val="00270D9D"/>
    <w:rsid w:val="00281AE3"/>
    <w:rsid w:val="00282641"/>
    <w:rsid w:val="00282BE1"/>
    <w:rsid w:val="00285609"/>
    <w:rsid w:val="0028603E"/>
    <w:rsid w:val="00286FA2"/>
    <w:rsid w:val="00292CB8"/>
    <w:rsid w:val="00292F4F"/>
    <w:rsid w:val="00296268"/>
    <w:rsid w:val="002A0B94"/>
    <w:rsid w:val="002A53DD"/>
    <w:rsid w:val="002A7553"/>
    <w:rsid w:val="002A7E15"/>
    <w:rsid w:val="002B5BE3"/>
    <w:rsid w:val="002C14F7"/>
    <w:rsid w:val="002C39DE"/>
    <w:rsid w:val="002C5D1F"/>
    <w:rsid w:val="002C5FEA"/>
    <w:rsid w:val="002D0CB9"/>
    <w:rsid w:val="002D3ACC"/>
    <w:rsid w:val="002D46C5"/>
    <w:rsid w:val="002D5120"/>
    <w:rsid w:val="002D76C5"/>
    <w:rsid w:val="002E061E"/>
    <w:rsid w:val="002E328E"/>
    <w:rsid w:val="002E32F9"/>
    <w:rsid w:val="002F5890"/>
    <w:rsid w:val="003020F6"/>
    <w:rsid w:val="00305B5A"/>
    <w:rsid w:val="00306502"/>
    <w:rsid w:val="00306791"/>
    <w:rsid w:val="00307C5E"/>
    <w:rsid w:val="0031129A"/>
    <w:rsid w:val="00312179"/>
    <w:rsid w:val="00314D9E"/>
    <w:rsid w:val="00315A6F"/>
    <w:rsid w:val="003173BF"/>
    <w:rsid w:val="00317899"/>
    <w:rsid w:val="003258BF"/>
    <w:rsid w:val="003259CC"/>
    <w:rsid w:val="00326AD1"/>
    <w:rsid w:val="00326B13"/>
    <w:rsid w:val="0033009F"/>
    <w:rsid w:val="003310F1"/>
    <w:rsid w:val="003337B7"/>
    <w:rsid w:val="00334C02"/>
    <w:rsid w:val="00336199"/>
    <w:rsid w:val="0034102F"/>
    <w:rsid w:val="003422D5"/>
    <w:rsid w:val="0034260E"/>
    <w:rsid w:val="00342C4A"/>
    <w:rsid w:val="003433C0"/>
    <w:rsid w:val="003478BB"/>
    <w:rsid w:val="00347F6D"/>
    <w:rsid w:val="00353735"/>
    <w:rsid w:val="00354A85"/>
    <w:rsid w:val="00357F8E"/>
    <w:rsid w:val="0036301F"/>
    <w:rsid w:val="0036688B"/>
    <w:rsid w:val="00370E31"/>
    <w:rsid w:val="0037461F"/>
    <w:rsid w:val="00376922"/>
    <w:rsid w:val="0037756B"/>
    <w:rsid w:val="00377F3C"/>
    <w:rsid w:val="003815E5"/>
    <w:rsid w:val="003820C9"/>
    <w:rsid w:val="003828D1"/>
    <w:rsid w:val="00384D6E"/>
    <w:rsid w:val="00386DD5"/>
    <w:rsid w:val="00391D0E"/>
    <w:rsid w:val="00394698"/>
    <w:rsid w:val="003976F6"/>
    <w:rsid w:val="003A1A3E"/>
    <w:rsid w:val="003A24B9"/>
    <w:rsid w:val="003A2957"/>
    <w:rsid w:val="003A2E07"/>
    <w:rsid w:val="003A56E6"/>
    <w:rsid w:val="003A6B67"/>
    <w:rsid w:val="003B1409"/>
    <w:rsid w:val="003B149C"/>
    <w:rsid w:val="003B1B7B"/>
    <w:rsid w:val="003B21D1"/>
    <w:rsid w:val="003B5CB4"/>
    <w:rsid w:val="003B6C45"/>
    <w:rsid w:val="003B7DE3"/>
    <w:rsid w:val="003C0687"/>
    <w:rsid w:val="003C4EFA"/>
    <w:rsid w:val="003C4F3C"/>
    <w:rsid w:val="003C590D"/>
    <w:rsid w:val="003C6FEC"/>
    <w:rsid w:val="003C7037"/>
    <w:rsid w:val="003D0FF5"/>
    <w:rsid w:val="003E0B06"/>
    <w:rsid w:val="003E14C4"/>
    <w:rsid w:val="003E21B2"/>
    <w:rsid w:val="003E230C"/>
    <w:rsid w:val="003E2CD7"/>
    <w:rsid w:val="003E3308"/>
    <w:rsid w:val="003E59CF"/>
    <w:rsid w:val="003F5357"/>
    <w:rsid w:val="00402520"/>
    <w:rsid w:val="00403BD6"/>
    <w:rsid w:val="004058AB"/>
    <w:rsid w:val="00406094"/>
    <w:rsid w:val="00407A6B"/>
    <w:rsid w:val="00411405"/>
    <w:rsid w:val="00411AEC"/>
    <w:rsid w:val="00411F49"/>
    <w:rsid w:val="0041257A"/>
    <w:rsid w:val="00413763"/>
    <w:rsid w:val="00413980"/>
    <w:rsid w:val="00413EC6"/>
    <w:rsid w:val="00416F87"/>
    <w:rsid w:val="00421605"/>
    <w:rsid w:val="00423987"/>
    <w:rsid w:val="00424699"/>
    <w:rsid w:val="00426754"/>
    <w:rsid w:val="00432B5D"/>
    <w:rsid w:val="00433BBD"/>
    <w:rsid w:val="00435169"/>
    <w:rsid w:val="00435B33"/>
    <w:rsid w:val="004425F7"/>
    <w:rsid w:val="00450CC7"/>
    <w:rsid w:val="0045119E"/>
    <w:rsid w:val="004529C7"/>
    <w:rsid w:val="00454D37"/>
    <w:rsid w:val="004554D1"/>
    <w:rsid w:val="0045565F"/>
    <w:rsid w:val="00455FF8"/>
    <w:rsid w:val="0045685E"/>
    <w:rsid w:val="00456FE1"/>
    <w:rsid w:val="0045732B"/>
    <w:rsid w:val="00457E35"/>
    <w:rsid w:val="00460368"/>
    <w:rsid w:val="00464B1D"/>
    <w:rsid w:val="00465302"/>
    <w:rsid w:val="00466411"/>
    <w:rsid w:val="00466976"/>
    <w:rsid w:val="0046735E"/>
    <w:rsid w:val="0047083A"/>
    <w:rsid w:val="00470E82"/>
    <w:rsid w:val="00473439"/>
    <w:rsid w:val="004739FB"/>
    <w:rsid w:val="00477E9A"/>
    <w:rsid w:val="00481B0B"/>
    <w:rsid w:val="004864A4"/>
    <w:rsid w:val="004901D3"/>
    <w:rsid w:val="0049391C"/>
    <w:rsid w:val="00497257"/>
    <w:rsid w:val="00497DC1"/>
    <w:rsid w:val="004A23CE"/>
    <w:rsid w:val="004A3502"/>
    <w:rsid w:val="004B0753"/>
    <w:rsid w:val="004B1483"/>
    <w:rsid w:val="004B2FF6"/>
    <w:rsid w:val="004B4105"/>
    <w:rsid w:val="004B4464"/>
    <w:rsid w:val="004B69BF"/>
    <w:rsid w:val="004B764C"/>
    <w:rsid w:val="004C2BF9"/>
    <w:rsid w:val="004C6399"/>
    <w:rsid w:val="004C6F59"/>
    <w:rsid w:val="004C77E5"/>
    <w:rsid w:val="004D3249"/>
    <w:rsid w:val="004D44DF"/>
    <w:rsid w:val="004D4FD7"/>
    <w:rsid w:val="004D55DF"/>
    <w:rsid w:val="004D78CB"/>
    <w:rsid w:val="004D7CA5"/>
    <w:rsid w:val="004E1366"/>
    <w:rsid w:val="004E4069"/>
    <w:rsid w:val="004E5C62"/>
    <w:rsid w:val="004F6F15"/>
    <w:rsid w:val="00500237"/>
    <w:rsid w:val="00501310"/>
    <w:rsid w:val="00501D00"/>
    <w:rsid w:val="00503044"/>
    <w:rsid w:val="005052EB"/>
    <w:rsid w:val="00506EBB"/>
    <w:rsid w:val="00507553"/>
    <w:rsid w:val="00511EAA"/>
    <w:rsid w:val="0051547D"/>
    <w:rsid w:val="005160EA"/>
    <w:rsid w:val="00516681"/>
    <w:rsid w:val="00516ACD"/>
    <w:rsid w:val="00520331"/>
    <w:rsid w:val="005215AD"/>
    <w:rsid w:val="0052412D"/>
    <w:rsid w:val="0052492E"/>
    <w:rsid w:val="00524DF0"/>
    <w:rsid w:val="005252BB"/>
    <w:rsid w:val="0052720F"/>
    <w:rsid w:val="00527ED4"/>
    <w:rsid w:val="005304E0"/>
    <w:rsid w:val="00532D46"/>
    <w:rsid w:val="00532FF2"/>
    <w:rsid w:val="00534699"/>
    <w:rsid w:val="0053594B"/>
    <w:rsid w:val="00536679"/>
    <w:rsid w:val="005371C5"/>
    <w:rsid w:val="0053794F"/>
    <w:rsid w:val="005402C3"/>
    <w:rsid w:val="00542290"/>
    <w:rsid w:val="0054349C"/>
    <w:rsid w:val="00543CF2"/>
    <w:rsid w:val="00554ECC"/>
    <w:rsid w:val="00555B5C"/>
    <w:rsid w:val="00555F62"/>
    <w:rsid w:val="00557E9F"/>
    <w:rsid w:val="00564642"/>
    <w:rsid w:val="00576D34"/>
    <w:rsid w:val="0058036E"/>
    <w:rsid w:val="00582B9D"/>
    <w:rsid w:val="005944CD"/>
    <w:rsid w:val="005971F4"/>
    <w:rsid w:val="005A0BC4"/>
    <w:rsid w:val="005A2826"/>
    <w:rsid w:val="005A409C"/>
    <w:rsid w:val="005A5C86"/>
    <w:rsid w:val="005A71F5"/>
    <w:rsid w:val="005A785C"/>
    <w:rsid w:val="005B18B0"/>
    <w:rsid w:val="005B1927"/>
    <w:rsid w:val="005B43AC"/>
    <w:rsid w:val="005B6897"/>
    <w:rsid w:val="005B7422"/>
    <w:rsid w:val="005C5BE0"/>
    <w:rsid w:val="005C5F3F"/>
    <w:rsid w:val="005C7691"/>
    <w:rsid w:val="005D1436"/>
    <w:rsid w:val="005D1D54"/>
    <w:rsid w:val="005D34CF"/>
    <w:rsid w:val="005D354B"/>
    <w:rsid w:val="005D4CB2"/>
    <w:rsid w:val="005D6AAA"/>
    <w:rsid w:val="005E0B1E"/>
    <w:rsid w:val="005E36CD"/>
    <w:rsid w:val="005F2AA4"/>
    <w:rsid w:val="005F5787"/>
    <w:rsid w:val="005F5F38"/>
    <w:rsid w:val="006016C6"/>
    <w:rsid w:val="006051B7"/>
    <w:rsid w:val="00610DE0"/>
    <w:rsid w:val="00612BDE"/>
    <w:rsid w:val="006131E0"/>
    <w:rsid w:val="0061450D"/>
    <w:rsid w:val="00614C99"/>
    <w:rsid w:val="00615F14"/>
    <w:rsid w:val="00621AC0"/>
    <w:rsid w:val="00622707"/>
    <w:rsid w:val="0062280C"/>
    <w:rsid w:val="00623A09"/>
    <w:rsid w:val="0062417D"/>
    <w:rsid w:val="006260DA"/>
    <w:rsid w:val="0062623F"/>
    <w:rsid w:val="00626C03"/>
    <w:rsid w:val="00626E51"/>
    <w:rsid w:val="00627C51"/>
    <w:rsid w:val="00634EA2"/>
    <w:rsid w:val="006353DA"/>
    <w:rsid w:val="00642796"/>
    <w:rsid w:val="00645CF3"/>
    <w:rsid w:val="00646513"/>
    <w:rsid w:val="00651117"/>
    <w:rsid w:val="00653179"/>
    <w:rsid w:val="006557F7"/>
    <w:rsid w:val="00656E4B"/>
    <w:rsid w:val="00657AC0"/>
    <w:rsid w:val="0066045D"/>
    <w:rsid w:val="00664B5C"/>
    <w:rsid w:val="00664BCD"/>
    <w:rsid w:val="006663CA"/>
    <w:rsid w:val="006666D8"/>
    <w:rsid w:val="00670C93"/>
    <w:rsid w:val="00672EF8"/>
    <w:rsid w:val="006744F3"/>
    <w:rsid w:val="006747DC"/>
    <w:rsid w:val="00674BD1"/>
    <w:rsid w:val="00681831"/>
    <w:rsid w:val="006835A1"/>
    <w:rsid w:val="0069039D"/>
    <w:rsid w:val="006923B2"/>
    <w:rsid w:val="0069274B"/>
    <w:rsid w:val="006932B9"/>
    <w:rsid w:val="00693514"/>
    <w:rsid w:val="00693E5C"/>
    <w:rsid w:val="00695736"/>
    <w:rsid w:val="00695DE1"/>
    <w:rsid w:val="00697B63"/>
    <w:rsid w:val="00697EFC"/>
    <w:rsid w:val="006A2577"/>
    <w:rsid w:val="006A4F02"/>
    <w:rsid w:val="006A5AC7"/>
    <w:rsid w:val="006A6DC3"/>
    <w:rsid w:val="006A700D"/>
    <w:rsid w:val="006B1FEC"/>
    <w:rsid w:val="006B2276"/>
    <w:rsid w:val="006B38A5"/>
    <w:rsid w:val="006B3C34"/>
    <w:rsid w:val="006B73B2"/>
    <w:rsid w:val="006B7DFC"/>
    <w:rsid w:val="006C4526"/>
    <w:rsid w:val="006C5FD6"/>
    <w:rsid w:val="006C674D"/>
    <w:rsid w:val="006C7CDD"/>
    <w:rsid w:val="006D2308"/>
    <w:rsid w:val="006D2E7E"/>
    <w:rsid w:val="006E26BF"/>
    <w:rsid w:val="006E3E61"/>
    <w:rsid w:val="006E7CAA"/>
    <w:rsid w:val="006F39E8"/>
    <w:rsid w:val="006F64C9"/>
    <w:rsid w:val="006F7496"/>
    <w:rsid w:val="00701076"/>
    <w:rsid w:val="00702027"/>
    <w:rsid w:val="007045EF"/>
    <w:rsid w:val="0070504A"/>
    <w:rsid w:val="007102AF"/>
    <w:rsid w:val="00710578"/>
    <w:rsid w:val="00710A58"/>
    <w:rsid w:val="00711D54"/>
    <w:rsid w:val="00712CD4"/>
    <w:rsid w:val="0071515C"/>
    <w:rsid w:val="00716A09"/>
    <w:rsid w:val="00720900"/>
    <w:rsid w:val="00724B5D"/>
    <w:rsid w:val="00725D61"/>
    <w:rsid w:val="00726E89"/>
    <w:rsid w:val="00726ECC"/>
    <w:rsid w:val="00730ACE"/>
    <w:rsid w:val="00731AF8"/>
    <w:rsid w:val="007322F4"/>
    <w:rsid w:val="00735EFB"/>
    <w:rsid w:val="007374A0"/>
    <w:rsid w:val="00737A4C"/>
    <w:rsid w:val="00737BBB"/>
    <w:rsid w:val="00740B95"/>
    <w:rsid w:val="00740C7B"/>
    <w:rsid w:val="00741883"/>
    <w:rsid w:val="00741BC1"/>
    <w:rsid w:val="00742F33"/>
    <w:rsid w:val="00743A3B"/>
    <w:rsid w:val="007445C9"/>
    <w:rsid w:val="00746814"/>
    <w:rsid w:val="00746B1B"/>
    <w:rsid w:val="007538EC"/>
    <w:rsid w:val="00753B56"/>
    <w:rsid w:val="007563F9"/>
    <w:rsid w:val="00756F0C"/>
    <w:rsid w:val="0076189D"/>
    <w:rsid w:val="00761ECE"/>
    <w:rsid w:val="00762C10"/>
    <w:rsid w:val="00762C15"/>
    <w:rsid w:val="0076354F"/>
    <w:rsid w:val="0076404E"/>
    <w:rsid w:val="00765AA1"/>
    <w:rsid w:val="007732AB"/>
    <w:rsid w:val="0077559C"/>
    <w:rsid w:val="00775FCE"/>
    <w:rsid w:val="0078054D"/>
    <w:rsid w:val="0078156F"/>
    <w:rsid w:val="00782444"/>
    <w:rsid w:val="00782495"/>
    <w:rsid w:val="00785C43"/>
    <w:rsid w:val="00790CDA"/>
    <w:rsid w:val="00792303"/>
    <w:rsid w:val="007926CC"/>
    <w:rsid w:val="00793ABA"/>
    <w:rsid w:val="00794FAA"/>
    <w:rsid w:val="00795BE6"/>
    <w:rsid w:val="00795BF2"/>
    <w:rsid w:val="007A0844"/>
    <w:rsid w:val="007A0B18"/>
    <w:rsid w:val="007A1B28"/>
    <w:rsid w:val="007A36B5"/>
    <w:rsid w:val="007A3764"/>
    <w:rsid w:val="007A6992"/>
    <w:rsid w:val="007B0CDF"/>
    <w:rsid w:val="007B1E44"/>
    <w:rsid w:val="007B4BA6"/>
    <w:rsid w:val="007B69EC"/>
    <w:rsid w:val="007B7FDC"/>
    <w:rsid w:val="007C0559"/>
    <w:rsid w:val="007C664E"/>
    <w:rsid w:val="007D43A7"/>
    <w:rsid w:val="007D4BBB"/>
    <w:rsid w:val="007D55E2"/>
    <w:rsid w:val="007D600E"/>
    <w:rsid w:val="007E310C"/>
    <w:rsid w:val="007E37B4"/>
    <w:rsid w:val="007E4826"/>
    <w:rsid w:val="007E7F84"/>
    <w:rsid w:val="007F0686"/>
    <w:rsid w:val="007F231E"/>
    <w:rsid w:val="007F481F"/>
    <w:rsid w:val="00802495"/>
    <w:rsid w:val="008031E3"/>
    <w:rsid w:val="00805249"/>
    <w:rsid w:val="00811C8E"/>
    <w:rsid w:val="0081390E"/>
    <w:rsid w:val="008201C5"/>
    <w:rsid w:val="00821A01"/>
    <w:rsid w:val="00832261"/>
    <w:rsid w:val="00835F07"/>
    <w:rsid w:val="00846C3D"/>
    <w:rsid w:val="008479DE"/>
    <w:rsid w:val="00851070"/>
    <w:rsid w:val="00851B4E"/>
    <w:rsid w:val="00853DC4"/>
    <w:rsid w:val="00854DB7"/>
    <w:rsid w:val="00855BF2"/>
    <w:rsid w:val="00856320"/>
    <w:rsid w:val="008616FC"/>
    <w:rsid w:val="00862E8C"/>
    <w:rsid w:val="008630BC"/>
    <w:rsid w:val="00866C07"/>
    <w:rsid w:val="00874371"/>
    <w:rsid w:val="00880A5C"/>
    <w:rsid w:val="0088309A"/>
    <w:rsid w:val="00883B42"/>
    <w:rsid w:val="008843FB"/>
    <w:rsid w:val="00884E25"/>
    <w:rsid w:val="008858EC"/>
    <w:rsid w:val="00887AB6"/>
    <w:rsid w:val="00890A09"/>
    <w:rsid w:val="00892AB4"/>
    <w:rsid w:val="008949AC"/>
    <w:rsid w:val="00895667"/>
    <w:rsid w:val="00895C19"/>
    <w:rsid w:val="008A02DF"/>
    <w:rsid w:val="008A1747"/>
    <w:rsid w:val="008A1ADB"/>
    <w:rsid w:val="008A2566"/>
    <w:rsid w:val="008C11FF"/>
    <w:rsid w:val="008C23FF"/>
    <w:rsid w:val="008C6205"/>
    <w:rsid w:val="008C7CDD"/>
    <w:rsid w:val="008D00C0"/>
    <w:rsid w:val="008D12CD"/>
    <w:rsid w:val="008D2EFE"/>
    <w:rsid w:val="008D36C0"/>
    <w:rsid w:val="008E2B34"/>
    <w:rsid w:val="008E5657"/>
    <w:rsid w:val="008E6D97"/>
    <w:rsid w:val="008E7D30"/>
    <w:rsid w:val="008F042B"/>
    <w:rsid w:val="008F1F0E"/>
    <w:rsid w:val="008F5323"/>
    <w:rsid w:val="008F6DA1"/>
    <w:rsid w:val="00902C2C"/>
    <w:rsid w:val="00902C70"/>
    <w:rsid w:val="00902EF3"/>
    <w:rsid w:val="00903748"/>
    <w:rsid w:val="00903874"/>
    <w:rsid w:val="00904DE4"/>
    <w:rsid w:val="0090581C"/>
    <w:rsid w:val="00912B42"/>
    <w:rsid w:val="00913044"/>
    <w:rsid w:val="00913166"/>
    <w:rsid w:val="0091451C"/>
    <w:rsid w:val="00916F5D"/>
    <w:rsid w:val="00920FC6"/>
    <w:rsid w:val="00921651"/>
    <w:rsid w:val="00924EF4"/>
    <w:rsid w:val="00926726"/>
    <w:rsid w:val="00934F9B"/>
    <w:rsid w:val="0093628D"/>
    <w:rsid w:val="00936FD4"/>
    <w:rsid w:val="0093776A"/>
    <w:rsid w:val="00943502"/>
    <w:rsid w:val="00943512"/>
    <w:rsid w:val="00943C9B"/>
    <w:rsid w:val="00950AF2"/>
    <w:rsid w:val="00950DCC"/>
    <w:rsid w:val="0095265D"/>
    <w:rsid w:val="009564F8"/>
    <w:rsid w:val="00956E74"/>
    <w:rsid w:val="009576A0"/>
    <w:rsid w:val="00961C19"/>
    <w:rsid w:val="009629ED"/>
    <w:rsid w:val="009629F2"/>
    <w:rsid w:val="00967793"/>
    <w:rsid w:val="00971CE1"/>
    <w:rsid w:val="00971E73"/>
    <w:rsid w:val="00975B77"/>
    <w:rsid w:val="00977256"/>
    <w:rsid w:val="00981929"/>
    <w:rsid w:val="00983261"/>
    <w:rsid w:val="00984701"/>
    <w:rsid w:val="00990792"/>
    <w:rsid w:val="00991B97"/>
    <w:rsid w:val="00992520"/>
    <w:rsid w:val="0099564C"/>
    <w:rsid w:val="009956D5"/>
    <w:rsid w:val="00997CA0"/>
    <w:rsid w:val="009A3E60"/>
    <w:rsid w:val="009A489E"/>
    <w:rsid w:val="009A5FF9"/>
    <w:rsid w:val="009A67F3"/>
    <w:rsid w:val="009A6ADF"/>
    <w:rsid w:val="009B01B3"/>
    <w:rsid w:val="009B0F83"/>
    <w:rsid w:val="009B1EA4"/>
    <w:rsid w:val="009B2905"/>
    <w:rsid w:val="009B2DE1"/>
    <w:rsid w:val="009B3193"/>
    <w:rsid w:val="009B538E"/>
    <w:rsid w:val="009B7028"/>
    <w:rsid w:val="009C2144"/>
    <w:rsid w:val="009C38C1"/>
    <w:rsid w:val="009C48DE"/>
    <w:rsid w:val="009C68EB"/>
    <w:rsid w:val="009E010D"/>
    <w:rsid w:val="009E17B0"/>
    <w:rsid w:val="009E2880"/>
    <w:rsid w:val="009E2929"/>
    <w:rsid w:val="009E47B4"/>
    <w:rsid w:val="009E4D9F"/>
    <w:rsid w:val="009E7480"/>
    <w:rsid w:val="009F235E"/>
    <w:rsid w:val="009F4008"/>
    <w:rsid w:val="009F4238"/>
    <w:rsid w:val="00A00980"/>
    <w:rsid w:val="00A113A9"/>
    <w:rsid w:val="00A11622"/>
    <w:rsid w:val="00A134AB"/>
    <w:rsid w:val="00A134DE"/>
    <w:rsid w:val="00A17D70"/>
    <w:rsid w:val="00A17FF9"/>
    <w:rsid w:val="00A21407"/>
    <w:rsid w:val="00A21A05"/>
    <w:rsid w:val="00A22683"/>
    <w:rsid w:val="00A304B9"/>
    <w:rsid w:val="00A30520"/>
    <w:rsid w:val="00A305A6"/>
    <w:rsid w:val="00A342D3"/>
    <w:rsid w:val="00A36A37"/>
    <w:rsid w:val="00A374F1"/>
    <w:rsid w:val="00A40C62"/>
    <w:rsid w:val="00A4144A"/>
    <w:rsid w:val="00A43902"/>
    <w:rsid w:val="00A459E0"/>
    <w:rsid w:val="00A512C0"/>
    <w:rsid w:val="00A54DD4"/>
    <w:rsid w:val="00A567F0"/>
    <w:rsid w:val="00A65DF8"/>
    <w:rsid w:val="00A6718F"/>
    <w:rsid w:val="00A74588"/>
    <w:rsid w:val="00A75DF2"/>
    <w:rsid w:val="00A7767B"/>
    <w:rsid w:val="00A86184"/>
    <w:rsid w:val="00A94024"/>
    <w:rsid w:val="00A9664A"/>
    <w:rsid w:val="00AA0E00"/>
    <w:rsid w:val="00AA45EF"/>
    <w:rsid w:val="00AA64AF"/>
    <w:rsid w:val="00AB1B9F"/>
    <w:rsid w:val="00AB3FB4"/>
    <w:rsid w:val="00AB67DE"/>
    <w:rsid w:val="00AC0B68"/>
    <w:rsid w:val="00AC2224"/>
    <w:rsid w:val="00AC5296"/>
    <w:rsid w:val="00AC530A"/>
    <w:rsid w:val="00AC6A39"/>
    <w:rsid w:val="00AD0639"/>
    <w:rsid w:val="00AD15EB"/>
    <w:rsid w:val="00AD2E8B"/>
    <w:rsid w:val="00AD3518"/>
    <w:rsid w:val="00AD381B"/>
    <w:rsid w:val="00AD483C"/>
    <w:rsid w:val="00AE58BD"/>
    <w:rsid w:val="00AF2007"/>
    <w:rsid w:val="00AF2429"/>
    <w:rsid w:val="00AF37DC"/>
    <w:rsid w:val="00AF6782"/>
    <w:rsid w:val="00AF6AFA"/>
    <w:rsid w:val="00AF77ED"/>
    <w:rsid w:val="00B06563"/>
    <w:rsid w:val="00B07788"/>
    <w:rsid w:val="00B07D97"/>
    <w:rsid w:val="00B106EB"/>
    <w:rsid w:val="00B10912"/>
    <w:rsid w:val="00B1320F"/>
    <w:rsid w:val="00B167FD"/>
    <w:rsid w:val="00B16941"/>
    <w:rsid w:val="00B172DA"/>
    <w:rsid w:val="00B21E7E"/>
    <w:rsid w:val="00B24B34"/>
    <w:rsid w:val="00B250D6"/>
    <w:rsid w:val="00B26DAC"/>
    <w:rsid w:val="00B2724A"/>
    <w:rsid w:val="00B276EB"/>
    <w:rsid w:val="00B314DA"/>
    <w:rsid w:val="00B32717"/>
    <w:rsid w:val="00B32F2C"/>
    <w:rsid w:val="00B33F8E"/>
    <w:rsid w:val="00B36CBE"/>
    <w:rsid w:val="00B37AF0"/>
    <w:rsid w:val="00B37EA8"/>
    <w:rsid w:val="00B40B72"/>
    <w:rsid w:val="00B42237"/>
    <w:rsid w:val="00B42587"/>
    <w:rsid w:val="00B528AB"/>
    <w:rsid w:val="00B5581B"/>
    <w:rsid w:val="00B55C78"/>
    <w:rsid w:val="00B6114B"/>
    <w:rsid w:val="00B62772"/>
    <w:rsid w:val="00B64B72"/>
    <w:rsid w:val="00B65FDC"/>
    <w:rsid w:val="00B669B6"/>
    <w:rsid w:val="00B66DFD"/>
    <w:rsid w:val="00B6768A"/>
    <w:rsid w:val="00B70375"/>
    <w:rsid w:val="00B704A8"/>
    <w:rsid w:val="00B71936"/>
    <w:rsid w:val="00B83A11"/>
    <w:rsid w:val="00B844F1"/>
    <w:rsid w:val="00B86CE7"/>
    <w:rsid w:val="00B8716F"/>
    <w:rsid w:val="00B906E2"/>
    <w:rsid w:val="00B9128D"/>
    <w:rsid w:val="00B934F5"/>
    <w:rsid w:val="00B94B66"/>
    <w:rsid w:val="00B9607A"/>
    <w:rsid w:val="00B960B9"/>
    <w:rsid w:val="00BA054D"/>
    <w:rsid w:val="00BA0F45"/>
    <w:rsid w:val="00BA2E35"/>
    <w:rsid w:val="00BA56A2"/>
    <w:rsid w:val="00BA67A7"/>
    <w:rsid w:val="00BB0F3B"/>
    <w:rsid w:val="00BB3B23"/>
    <w:rsid w:val="00BB5A3F"/>
    <w:rsid w:val="00BB5AE1"/>
    <w:rsid w:val="00BC0F74"/>
    <w:rsid w:val="00BC3EE5"/>
    <w:rsid w:val="00BC5FA5"/>
    <w:rsid w:val="00BD1061"/>
    <w:rsid w:val="00BD10DF"/>
    <w:rsid w:val="00BD2E7F"/>
    <w:rsid w:val="00BD44D2"/>
    <w:rsid w:val="00BD4A17"/>
    <w:rsid w:val="00BD6CB7"/>
    <w:rsid w:val="00BE1840"/>
    <w:rsid w:val="00BE19EA"/>
    <w:rsid w:val="00BE4B5C"/>
    <w:rsid w:val="00BE57FF"/>
    <w:rsid w:val="00BE6FD1"/>
    <w:rsid w:val="00BE73AE"/>
    <w:rsid w:val="00BE765F"/>
    <w:rsid w:val="00BF0182"/>
    <w:rsid w:val="00BF5863"/>
    <w:rsid w:val="00BF7C9F"/>
    <w:rsid w:val="00BF7CA1"/>
    <w:rsid w:val="00C059A3"/>
    <w:rsid w:val="00C0629B"/>
    <w:rsid w:val="00C11196"/>
    <w:rsid w:val="00C11DB7"/>
    <w:rsid w:val="00C12707"/>
    <w:rsid w:val="00C14306"/>
    <w:rsid w:val="00C149F7"/>
    <w:rsid w:val="00C16BEA"/>
    <w:rsid w:val="00C217B6"/>
    <w:rsid w:val="00C22701"/>
    <w:rsid w:val="00C23103"/>
    <w:rsid w:val="00C2551A"/>
    <w:rsid w:val="00C26A29"/>
    <w:rsid w:val="00C27447"/>
    <w:rsid w:val="00C31746"/>
    <w:rsid w:val="00C44D75"/>
    <w:rsid w:val="00C450B4"/>
    <w:rsid w:val="00C50000"/>
    <w:rsid w:val="00C51281"/>
    <w:rsid w:val="00C5363A"/>
    <w:rsid w:val="00C60217"/>
    <w:rsid w:val="00C61EB5"/>
    <w:rsid w:val="00C61F33"/>
    <w:rsid w:val="00C65B2D"/>
    <w:rsid w:val="00C72216"/>
    <w:rsid w:val="00C72D3D"/>
    <w:rsid w:val="00C75F10"/>
    <w:rsid w:val="00C7680E"/>
    <w:rsid w:val="00C84398"/>
    <w:rsid w:val="00C85701"/>
    <w:rsid w:val="00C85B23"/>
    <w:rsid w:val="00C85D70"/>
    <w:rsid w:val="00C9144D"/>
    <w:rsid w:val="00C92A30"/>
    <w:rsid w:val="00CA34B2"/>
    <w:rsid w:val="00CA4D0B"/>
    <w:rsid w:val="00CA4F7A"/>
    <w:rsid w:val="00CB5B74"/>
    <w:rsid w:val="00CC19A9"/>
    <w:rsid w:val="00CC2C29"/>
    <w:rsid w:val="00CC44ED"/>
    <w:rsid w:val="00CC55EB"/>
    <w:rsid w:val="00CC7566"/>
    <w:rsid w:val="00CD147C"/>
    <w:rsid w:val="00CD2927"/>
    <w:rsid w:val="00CD2B38"/>
    <w:rsid w:val="00CD3DC7"/>
    <w:rsid w:val="00CD5739"/>
    <w:rsid w:val="00CE11F9"/>
    <w:rsid w:val="00CE34D7"/>
    <w:rsid w:val="00CE5578"/>
    <w:rsid w:val="00CF5CD5"/>
    <w:rsid w:val="00CF6596"/>
    <w:rsid w:val="00D027F7"/>
    <w:rsid w:val="00D02D5E"/>
    <w:rsid w:val="00D03F9B"/>
    <w:rsid w:val="00D136B3"/>
    <w:rsid w:val="00D15A57"/>
    <w:rsid w:val="00D179BE"/>
    <w:rsid w:val="00D23AF6"/>
    <w:rsid w:val="00D24267"/>
    <w:rsid w:val="00D25B98"/>
    <w:rsid w:val="00D2629A"/>
    <w:rsid w:val="00D26F53"/>
    <w:rsid w:val="00D3241C"/>
    <w:rsid w:val="00D42064"/>
    <w:rsid w:val="00D42934"/>
    <w:rsid w:val="00D430F7"/>
    <w:rsid w:val="00D43E61"/>
    <w:rsid w:val="00D45789"/>
    <w:rsid w:val="00D45B7E"/>
    <w:rsid w:val="00D45D49"/>
    <w:rsid w:val="00D45DD8"/>
    <w:rsid w:val="00D517E6"/>
    <w:rsid w:val="00D52EC8"/>
    <w:rsid w:val="00D5437C"/>
    <w:rsid w:val="00D55611"/>
    <w:rsid w:val="00D56721"/>
    <w:rsid w:val="00D579C1"/>
    <w:rsid w:val="00D57B16"/>
    <w:rsid w:val="00D60677"/>
    <w:rsid w:val="00D633A7"/>
    <w:rsid w:val="00D63779"/>
    <w:rsid w:val="00D67F9A"/>
    <w:rsid w:val="00D70214"/>
    <w:rsid w:val="00D703F6"/>
    <w:rsid w:val="00D70F2B"/>
    <w:rsid w:val="00D77C3A"/>
    <w:rsid w:val="00D80D68"/>
    <w:rsid w:val="00D81D66"/>
    <w:rsid w:val="00D83DE1"/>
    <w:rsid w:val="00D84607"/>
    <w:rsid w:val="00D86FB4"/>
    <w:rsid w:val="00D92955"/>
    <w:rsid w:val="00D92998"/>
    <w:rsid w:val="00D92C97"/>
    <w:rsid w:val="00DA058B"/>
    <w:rsid w:val="00DA3B2B"/>
    <w:rsid w:val="00DA5878"/>
    <w:rsid w:val="00DA66C5"/>
    <w:rsid w:val="00DA68EA"/>
    <w:rsid w:val="00DA69C4"/>
    <w:rsid w:val="00DA7D0C"/>
    <w:rsid w:val="00DB3260"/>
    <w:rsid w:val="00DB3377"/>
    <w:rsid w:val="00DB4F83"/>
    <w:rsid w:val="00DB59F5"/>
    <w:rsid w:val="00DB5DD6"/>
    <w:rsid w:val="00DB6AE7"/>
    <w:rsid w:val="00DB7FCA"/>
    <w:rsid w:val="00DC0703"/>
    <w:rsid w:val="00DC188E"/>
    <w:rsid w:val="00DD08D0"/>
    <w:rsid w:val="00DD1CE5"/>
    <w:rsid w:val="00DD2E0A"/>
    <w:rsid w:val="00DD3CB3"/>
    <w:rsid w:val="00DD68A3"/>
    <w:rsid w:val="00DE078B"/>
    <w:rsid w:val="00DE0B15"/>
    <w:rsid w:val="00DE23EB"/>
    <w:rsid w:val="00DE28F3"/>
    <w:rsid w:val="00DE34B4"/>
    <w:rsid w:val="00DE36F2"/>
    <w:rsid w:val="00DE39E4"/>
    <w:rsid w:val="00DE4056"/>
    <w:rsid w:val="00DE692E"/>
    <w:rsid w:val="00DE6BDB"/>
    <w:rsid w:val="00DF0CC5"/>
    <w:rsid w:val="00DF1E1A"/>
    <w:rsid w:val="00DF2B7E"/>
    <w:rsid w:val="00DF2E47"/>
    <w:rsid w:val="00DF33A8"/>
    <w:rsid w:val="00DF351A"/>
    <w:rsid w:val="00DF41AC"/>
    <w:rsid w:val="00E00D48"/>
    <w:rsid w:val="00E04498"/>
    <w:rsid w:val="00E10974"/>
    <w:rsid w:val="00E12F01"/>
    <w:rsid w:val="00E13456"/>
    <w:rsid w:val="00E141A1"/>
    <w:rsid w:val="00E142EE"/>
    <w:rsid w:val="00E151E6"/>
    <w:rsid w:val="00E153AF"/>
    <w:rsid w:val="00E22229"/>
    <w:rsid w:val="00E22750"/>
    <w:rsid w:val="00E23BA6"/>
    <w:rsid w:val="00E24619"/>
    <w:rsid w:val="00E26F4B"/>
    <w:rsid w:val="00E27404"/>
    <w:rsid w:val="00E3560B"/>
    <w:rsid w:val="00E36AD7"/>
    <w:rsid w:val="00E37B4C"/>
    <w:rsid w:val="00E4007F"/>
    <w:rsid w:val="00E40125"/>
    <w:rsid w:val="00E419FD"/>
    <w:rsid w:val="00E41DFF"/>
    <w:rsid w:val="00E4275D"/>
    <w:rsid w:val="00E43636"/>
    <w:rsid w:val="00E43CEF"/>
    <w:rsid w:val="00E4415B"/>
    <w:rsid w:val="00E447D2"/>
    <w:rsid w:val="00E4745E"/>
    <w:rsid w:val="00E47C62"/>
    <w:rsid w:val="00E503CB"/>
    <w:rsid w:val="00E51046"/>
    <w:rsid w:val="00E520B3"/>
    <w:rsid w:val="00E528BF"/>
    <w:rsid w:val="00E54381"/>
    <w:rsid w:val="00E60585"/>
    <w:rsid w:val="00E61E47"/>
    <w:rsid w:val="00E61FE1"/>
    <w:rsid w:val="00E6219E"/>
    <w:rsid w:val="00E62ED1"/>
    <w:rsid w:val="00E65248"/>
    <w:rsid w:val="00E652EB"/>
    <w:rsid w:val="00E66A12"/>
    <w:rsid w:val="00E67DFE"/>
    <w:rsid w:val="00E714BD"/>
    <w:rsid w:val="00E73924"/>
    <w:rsid w:val="00E75BBD"/>
    <w:rsid w:val="00E766C0"/>
    <w:rsid w:val="00E76E07"/>
    <w:rsid w:val="00E77CDD"/>
    <w:rsid w:val="00E8431B"/>
    <w:rsid w:val="00E84CEE"/>
    <w:rsid w:val="00E86662"/>
    <w:rsid w:val="00E9075E"/>
    <w:rsid w:val="00E92150"/>
    <w:rsid w:val="00E931BE"/>
    <w:rsid w:val="00E9350D"/>
    <w:rsid w:val="00E93A68"/>
    <w:rsid w:val="00E950DC"/>
    <w:rsid w:val="00E96DA4"/>
    <w:rsid w:val="00EA201E"/>
    <w:rsid w:val="00EA33CF"/>
    <w:rsid w:val="00EA4C84"/>
    <w:rsid w:val="00EA76D3"/>
    <w:rsid w:val="00EB0830"/>
    <w:rsid w:val="00EB0B69"/>
    <w:rsid w:val="00EB193C"/>
    <w:rsid w:val="00EB51AA"/>
    <w:rsid w:val="00EC159E"/>
    <w:rsid w:val="00EC314F"/>
    <w:rsid w:val="00EC468B"/>
    <w:rsid w:val="00EC623B"/>
    <w:rsid w:val="00EC7B84"/>
    <w:rsid w:val="00ED6377"/>
    <w:rsid w:val="00ED76DB"/>
    <w:rsid w:val="00EF12E8"/>
    <w:rsid w:val="00EF2899"/>
    <w:rsid w:val="00EF4798"/>
    <w:rsid w:val="00F00003"/>
    <w:rsid w:val="00F00938"/>
    <w:rsid w:val="00F00E82"/>
    <w:rsid w:val="00F0314A"/>
    <w:rsid w:val="00F05A8B"/>
    <w:rsid w:val="00F06F33"/>
    <w:rsid w:val="00F073B0"/>
    <w:rsid w:val="00F10C35"/>
    <w:rsid w:val="00F12AA8"/>
    <w:rsid w:val="00F14AB9"/>
    <w:rsid w:val="00F16280"/>
    <w:rsid w:val="00F17531"/>
    <w:rsid w:val="00F20501"/>
    <w:rsid w:val="00F2328A"/>
    <w:rsid w:val="00F2493A"/>
    <w:rsid w:val="00F2796D"/>
    <w:rsid w:val="00F30A59"/>
    <w:rsid w:val="00F31F6A"/>
    <w:rsid w:val="00F32CCE"/>
    <w:rsid w:val="00F368C9"/>
    <w:rsid w:val="00F40FF4"/>
    <w:rsid w:val="00F41FC9"/>
    <w:rsid w:val="00F431C9"/>
    <w:rsid w:val="00F437C8"/>
    <w:rsid w:val="00F43C6E"/>
    <w:rsid w:val="00F43E64"/>
    <w:rsid w:val="00F461D5"/>
    <w:rsid w:val="00F52240"/>
    <w:rsid w:val="00F53028"/>
    <w:rsid w:val="00F55711"/>
    <w:rsid w:val="00F56358"/>
    <w:rsid w:val="00F569CA"/>
    <w:rsid w:val="00F627AB"/>
    <w:rsid w:val="00F6354B"/>
    <w:rsid w:val="00F64102"/>
    <w:rsid w:val="00F654E0"/>
    <w:rsid w:val="00F66037"/>
    <w:rsid w:val="00F713A5"/>
    <w:rsid w:val="00F759CC"/>
    <w:rsid w:val="00F9039F"/>
    <w:rsid w:val="00F91C6A"/>
    <w:rsid w:val="00F939E2"/>
    <w:rsid w:val="00F95127"/>
    <w:rsid w:val="00F9591B"/>
    <w:rsid w:val="00F961DF"/>
    <w:rsid w:val="00FA1C0C"/>
    <w:rsid w:val="00FA20E8"/>
    <w:rsid w:val="00FA2DAE"/>
    <w:rsid w:val="00FA486F"/>
    <w:rsid w:val="00FA5459"/>
    <w:rsid w:val="00FB0F1F"/>
    <w:rsid w:val="00FB6032"/>
    <w:rsid w:val="00FB7D31"/>
    <w:rsid w:val="00FC0A11"/>
    <w:rsid w:val="00FC0C06"/>
    <w:rsid w:val="00FC248E"/>
    <w:rsid w:val="00FC3672"/>
    <w:rsid w:val="00FC55E9"/>
    <w:rsid w:val="00FC5B54"/>
    <w:rsid w:val="00FC5BE9"/>
    <w:rsid w:val="00FD296D"/>
    <w:rsid w:val="00FD4D69"/>
    <w:rsid w:val="00FD569D"/>
    <w:rsid w:val="00FD5801"/>
    <w:rsid w:val="00FD652B"/>
    <w:rsid w:val="00FD78BF"/>
    <w:rsid w:val="00FE0271"/>
    <w:rsid w:val="00FE089D"/>
    <w:rsid w:val="00FE421E"/>
    <w:rsid w:val="00FE7F17"/>
    <w:rsid w:val="00FF101E"/>
    <w:rsid w:val="00FF1CA4"/>
    <w:rsid w:val="00FF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B54D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locked="1" w:uiPriority="0"/>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 w:id="1558737991">
      <w:bodyDiv w:val="1"/>
      <w:marLeft w:val="0"/>
      <w:marRight w:val="0"/>
      <w:marTop w:val="0"/>
      <w:marBottom w:val="0"/>
      <w:divBdr>
        <w:top w:val="none" w:sz="0" w:space="0" w:color="auto"/>
        <w:left w:val="none" w:sz="0" w:space="0" w:color="auto"/>
        <w:bottom w:val="none" w:sz="0" w:space="0" w:color="auto"/>
        <w:right w:val="none" w:sz="0" w:space="0" w:color="auto"/>
      </w:divBdr>
    </w:div>
    <w:div w:id="16713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mediareleasesbyReleaseDate/02D50FAA9987D6B7CA25814800087E03?OpenDocument" TargetMode="External"/><Relationship Id="rId7" Type="http://schemas.openxmlformats.org/officeDocument/2006/relationships/hyperlink" Target="https://www.aedc.gov.au/data/data-explorer" TargetMode="External"/><Relationship Id="rId2" Type="http://schemas.openxmlformats.org/officeDocument/2006/relationships/hyperlink" Target="http://www.ga.gov.au/scientific-topics/national-location-information/dimensions/area-of-australia-states-and-territories" TargetMode="External"/><Relationship Id="rId1" Type="http://schemas.openxmlformats.org/officeDocument/2006/relationships/hyperlink" Target="http://www.censusdata.abs.gov.au/census_services/getproduct/census/2016/quickstat/7?opendocument" TargetMode="External"/><Relationship Id="rId6" Type="http://schemas.openxmlformats.org/officeDocument/2006/relationships/hyperlink" Target="https://www.aedc.gov.au/data/data-explorer" TargetMode="External"/><Relationship Id="rId5" Type="http://schemas.openxmlformats.org/officeDocument/2006/relationships/hyperlink" Target="http://www.censusdata.abs.gov.au/CensusOutput/copsub2016.NSF/All%20docs%20by%20catNo/2016~Community%20Profile~7/$File/GCP_7.zip?OpenElement" TargetMode="External"/><Relationship Id="rId4" Type="http://schemas.openxmlformats.org/officeDocument/2006/relationships/hyperlink" Target="http://www.abs.gov.au/AUSSTATS/abs@.nsf/DetailsPage/3238.0.55.001June%20201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281" ma:contentTypeDescription=" " ma:contentTypeScope="" ma:versionID="c548b12221df6193b92e317e9c352509">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2019FG-64-58361</_dlc_DocId>
    <TaxCatchAll xmlns="0f563589-9cf9-4143-b1eb-fb0534803d38">
      <Value>2</Value>
    </TaxCatchAll>
    <_dlc_DocIdUrl xmlns="0f563589-9cf9-4143-b1eb-fb0534803d38">
      <Url>http://tweb/sites/fg/csrd/_layouts/15/DocIdRedir.aspx?ID=2019FG-64-58361</Url>
      <Description>2019FG-64-58361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C566-B27D-40B0-8F54-D58E8544E8A3}">
  <ds:schemaRefs>
    <ds:schemaRef ds:uri="office.server.policy"/>
  </ds:schemaRefs>
</ds:datastoreItem>
</file>

<file path=customXml/itemProps2.xml><?xml version="1.0" encoding="utf-8"?>
<ds:datastoreItem xmlns:ds="http://schemas.openxmlformats.org/officeDocument/2006/customXml" ds:itemID="{538566BA-B5E6-4865-851E-935F5237C722}"/>
</file>

<file path=customXml/itemProps3.xml><?xml version="1.0" encoding="utf-8"?>
<ds:datastoreItem xmlns:ds="http://schemas.openxmlformats.org/officeDocument/2006/customXml" ds:itemID="{EE8709D0-D2FE-4DBD-9BC8-81C8647DEDB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e544e5cc-ab70-42e1-849e-1a0f8bb1f4ef"/>
    <ds:schemaRef ds:uri="http://www.w3.org/XML/1998/namespace"/>
    <ds:schemaRef ds:uri="http://purl.org/dc/dcmitype/"/>
    <ds:schemaRef ds:uri="0f563589-9cf9-4143-b1eb-fb0534803d38"/>
  </ds:schemaRefs>
</ds:datastoreItem>
</file>

<file path=customXml/itemProps4.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5.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6.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7.xml><?xml version="1.0" encoding="utf-8"?>
<ds:datastoreItem xmlns:ds="http://schemas.openxmlformats.org/officeDocument/2006/customXml" ds:itemID="{320D4E07-BDE1-4F70-8D2E-8F00162C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2522</Words>
  <Characters>14879</Characters>
  <Application>Microsoft Office Word</Application>
  <DocSecurity>0</DocSecurity>
  <Lines>449</Lines>
  <Paragraphs>166</Paragraphs>
  <ScaleCrop>false</ScaleCrop>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 Universal Access to Early Childhood Education - 2018 and 2019</dc:title>
  <dc:creator/>
  <cp:lastModifiedBy/>
  <cp:revision>1</cp:revision>
  <dcterms:created xsi:type="dcterms:W3CDTF">2019-04-26T03:59:00Z</dcterms:created>
  <dcterms:modified xsi:type="dcterms:W3CDTF">2019-04-26T03:59:00Z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b7641ed0-eb95-480c-8a68-b09ef3a3133e</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{b7641ed0-eb95-480c-8a68-b09ef3a3133e}</vt:lpwstr>
  </property>
  <property fmtid="{D5CDD505-2E9C-101B-9397-08002B2CF9AE}" pid="9" name="RecordPoint_ActiveItemWebId">
    <vt:lpwstr>{a4589788-615f-4b8b-8296-7f9f6dfbab44}</vt:lpwstr>
  </property>
  <property fmtid="{D5CDD505-2E9C-101B-9397-08002B2CF9AE}" pid="10" name="RecordPoint_RecordNumberSubmitted">
    <vt:lpwstr>R0002256773</vt:lpwstr>
  </property>
  <property fmtid="{D5CDD505-2E9C-101B-9397-08002B2CF9AE}" pid="11" name="RecordPoint_SubmissionCompleted">
    <vt:lpwstr>2020-04-24T15:12:36.2818454+10:00</vt:lpwstr>
  </property>
</Properties>
</file>