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BA547" w14:textId="77777777" w:rsidR="0036688B" w:rsidRPr="001E7293" w:rsidRDefault="000C1E84" w:rsidP="00A17D70">
      <w:pPr>
        <w:pStyle w:val="Title"/>
      </w:pPr>
      <w:bookmarkStart w:id="0" w:name="_GoBack"/>
      <w:bookmarkEnd w:id="0"/>
      <w:r>
        <w:t>Tasmania</w:t>
      </w:r>
      <w:r w:rsidR="005A75AC">
        <w:t>’s</w:t>
      </w:r>
      <w:r w:rsidR="00921651" w:rsidRPr="001E7293">
        <w:t xml:space="preserve"> Implementation Plan</w:t>
      </w:r>
    </w:p>
    <w:p w14:paraId="7BB06410" w14:textId="0FF822B6"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 </w:t>
      </w:r>
      <w:r w:rsidR="0098402F">
        <w:t xml:space="preserve">2018 </w:t>
      </w:r>
      <w:r w:rsidR="003D3497">
        <w:t>AND</w:t>
      </w:r>
      <w:r w:rsidR="0098402F">
        <w:t xml:space="preserve"> </w:t>
      </w:r>
      <w:r w:rsidR="00EB6672">
        <w:t>2019</w:t>
      </w:r>
    </w:p>
    <w:p w14:paraId="38FBC0C2" w14:textId="77777777" w:rsidR="0036688B" w:rsidRPr="001E7293" w:rsidRDefault="0036688B" w:rsidP="00354A85">
      <w:pPr>
        <w:pStyle w:val="Heading1"/>
      </w:pPr>
      <w:r w:rsidRPr="001E7293">
        <w:t>Part 1: Preliminaries</w:t>
      </w:r>
    </w:p>
    <w:p w14:paraId="2D1EB190" w14:textId="77777777" w:rsidR="00354A85" w:rsidRPr="001E7293" w:rsidRDefault="00354A85" w:rsidP="00354A85">
      <w:pPr>
        <w:keepNext/>
        <w:keepLines/>
      </w:pPr>
    </w:p>
    <w:p w14:paraId="0D8EA80C" w14:textId="204B38B7"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 xml:space="preserve">Universal Access to Early Childhood Education – </w:t>
      </w:r>
      <w:r w:rsidR="00947D20">
        <w:t>2018</w:t>
      </w:r>
      <w:r w:rsidR="00FE27E5">
        <w:t xml:space="preserve"> and 20</w:t>
      </w:r>
      <w:r w:rsidR="004C1342">
        <w:t>19</w:t>
      </w:r>
      <w:r w:rsidR="003C4F3C" w:rsidRPr="001E7293">
        <w:t xml:space="preserve"> </w:t>
      </w:r>
      <w:r w:rsidR="00E86662" w:rsidRPr="001E7293">
        <w:t xml:space="preserve">(the National Partnership) </w:t>
      </w:r>
      <w:r w:rsidRPr="001E7293">
        <w:t>and should be read in conjunction with that Agreement.</w:t>
      </w:r>
    </w:p>
    <w:p w14:paraId="34D199D2"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6806CF60"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 xml:space="preserve">(s) </w:t>
      </w:r>
      <w:r w:rsidR="00623708">
        <w:rPr>
          <w:szCs w:val="23"/>
        </w:rPr>
        <w:t xml:space="preserve">for all children in the year before full-time school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Indigenous,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684E77A7"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Children living in remote Indigenous communities remain a focus for universal access.</w:t>
      </w:r>
    </w:p>
    <w:p w14:paraId="25514372" w14:textId="77777777" w:rsidR="003E230C" w:rsidRPr="001E7293" w:rsidRDefault="003E230C" w:rsidP="00A17D70">
      <w:pPr>
        <w:pStyle w:val="Heading1"/>
      </w:pPr>
      <w:r w:rsidRPr="001E7293">
        <w:t xml:space="preserve">Part 2: Terms of this </w:t>
      </w:r>
      <w:r w:rsidR="00E47C62" w:rsidRPr="001E7293">
        <w:t>Implementation Plan</w:t>
      </w:r>
    </w:p>
    <w:p w14:paraId="399536F8" w14:textId="77777777" w:rsidR="003E230C" w:rsidRPr="001E7293" w:rsidRDefault="003E230C" w:rsidP="003E230C"/>
    <w:p w14:paraId="2C6A97AB" w14:textId="00CB7D35"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it is agreed between the Commonwealth of Australia, represented by the Minister for </w:t>
      </w:r>
      <w:r w:rsidR="0093776A" w:rsidRPr="001E7293">
        <w:rPr>
          <w:szCs w:val="23"/>
        </w:rPr>
        <w:t>Education</w:t>
      </w:r>
      <w:r w:rsidR="005A75AC">
        <w:rPr>
          <w:szCs w:val="23"/>
        </w:rPr>
        <w:t>, and</w:t>
      </w:r>
      <w:r w:rsidRPr="001E7293">
        <w:rPr>
          <w:szCs w:val="23"/>
        </w:rPr>
        <w:t xml:space="preserve"> </w:t>
      </w:r>
      <w:r w:rsidR="005A75AC">
        <w:rPr>
          <w:szCs w:val="23"/>
        </w:rPr>
        <w:t>Tasmania</w:t>
      </w:r>
      <w:r w:rsidRPr="001E7293">
        <w:rPr>
          <w:szCs w:val="23"/>
        </w:rPr>
        <w:t>, represented by the Minister</w:t>
      </w:r>
      <w:r w:rsidR="0093776A" w:rsidRPr="001E7293">
        <w:rPr>
          <w:szCs w:val="23"/>
        </w:rPr>
        <w:t> </w:t>
      </w:r>
      <w:r w:rsidRPr="001E7293">
        <w:rPr>
          <w:szCs w:val="23"/>
        </w:rPr>
        <w:t>for</w:t>
      </w:r>
      <w:r w:rsidR="005A75AC">
        <w:rPr>
          <w:szCs w:val="23"/>
        </w:rPr>
        <w:t xml:space="preserve"> Education and Training</w:t>
      </w:r>
      <w:r w:rsidRPr="001E7293">
        <w:rPr>
          <w:szCs w:val="23"/>
        </w:rPr>
        <w:t>.</w:t>
      </w:r>
    </w:p>
    <w:p w14:paraId="10495138" w14:textId="77777777" w:rsidR="0036688B"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how </w:t>
      </w:r>
      <w:r w:rsidR="007A1B28" w:rsidRPr="001E7293">
        <w:t>universal access</w:t>
      </w:r>
      <w:r w:rsidRPr="001E7293">
        <w:t xml:space="preserve"> </w:t>
      </w:r>
      <w:r w:rsidR="00903874" w:rsidRPr="001E7293">
        <w:t>is intended to be</w:t>
      </w:r>
      <w:r w:rsidRPr="001E7293">
        <w:t xml:space="preserve"> delivered</w:t>
      </w:r>
      <w:r w:rsidR="007B7FDC" w:rsidRPr="001E7293">
        <w:t xml:space="preserve"> and demonstrate </w:t>
      </w:r>
      <w:r w:rsidR="005A75AC">
        <w:t>Tasmania</w:t>
      </w:r>
      <w:r w:rsidR="007B7FDC" w:rsidRPr="001E7293">
        <w:t xml:space="preserve">’s capacity to achieve the outcomes of the </w:t>
      </w:r>
      <w:r w:rsidR="002E328E" w:rsidRPr="001E7293">
        <w:t>National Partnership</w:t>
      </w:r>
      <w:r w:rsidRPr="001E7293">
        <w:t>.</w:t>
      </w:r>
    </w:p>
    <w:p w14:paraId="67BD7981" w14:textId="373C5685" w:rsidR="00574D6F" w:rsidRPr="001E7293" w:rsidRDefault="00574D6F" w:rsidP="007A1B28">
      <w:pPr>
        <w:pStyle w:val="Normalnumbered"/>
        <w:spacing w:after="240"/>
      </w:pPr>
      <w:r>
        <w:t xml:space="preserve">This Implementation Plan reflects Tasmania’s parallel approach to the regulation and quality assurance of early childhood education programs within schools to ensure </w:t>
      </w:r>
      <w:r w:rsidR="00FC3D93">
        <w:t xml:space="preserve">alignment </w:t>
      </w:r>
      <w:r>
        <w:t>with the National Quality Standard.</w:t>
      </w:r>
    </w:p>
    <w:p w14:paraId="6AEB317D"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on completion </w:t>
      </w:r>
      <w:r w:rsidR="00F9039F" w:rsidRPr="001E7293">
        <w:rPr>
          <w:szCs w:val="23"/>
        </w:rPr>
        <w:t xml:space="preserve">or termination </w:t>
      </w:r>
      <w:r w:rsidRPr="001E7293">
        <w:rPr>
          <w:szCs w:val="23"/>
        </w:rPr>
        <w:t xml:space="preserve">of </w:t>
      </w:r>
      <w:r w:rsidR="00AC5296" w:rsidRPr="001E7293">
        <w:rPr>
          <w:szCs w:val="23"/>
        </w:rPr>
        <w:t>the National</w:t>
      </w:r>
      <w:r w:rsidR="00305B5A" w:rsidRPr="001E7293">
        <w:rPr>
          <w:szCs w:val="23"/>
        </w:rPr>
        <w:t>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5BD66A44"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D3241C" w:rsidRPr="001E7293">
        <w:rPr>
          <w:szCs w:val="23"/>
        </w:rPr>
        <w:t xml:space="preserve">Commonwealth and State </w:t>
      </w:r>
      <w:r w:rsidRPr="001E7293">
        <w:rPr>
          <w:szCs w:val="23"/>
        </w:rPr>
        <w:t>Minister</w:t>
      </w:r>
      <w:r w:rsidR="0054655D">
        <w:rPr>
          <w:szCs w:val="23"/>
        </w:rPr>
        <w:t>s</w:t>
      </w:r>
      <w:r w:rsidR="00D3241C" w:rsidRPr="001E7293">
        <w:rPr>
          <w:szCs w:val="23"/>
        </w:rPr>
        <w:t xml:space="preserve"> responsible for it under the overarching National</w:t>
      </w:r>
      <w:r w:rsidR="007A1B28" w:rsidRPr="001E7293">
        <w:t> </w:t>
      </w:r>
      <w:r w:rsidR="00D3241C" w:rsidRPr="001E7293">
        <w:rPr>
          <w:szCs w:val="23"/>
        </w:rPr>
        <w:t>Partnership</w:t>
      </w:r>
      <w:r w:rsidRPr="001E7293">
        <w:rPr>
          <w:szCs w:val="23"/>
        </w:rPr>
        <w:t>.</w:t>
      </w:r>
    </w:p>
    <w:p w14:paraId="4BB7953C" w14:textId="77777777" w:rsidR="0036688B" w:rsidRPr="001E7293" w:rsidRDefault="0036688B" w:rsidP="001251F4">
      <w:pPr>
        <w:pStyle w:val="Normalnumbered"/>
        <w:spacing w:after="12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w:t>
      </w:r>
      <w:r w:rsidR="005A75AC">
        <w:rPr>
          <w:szCs w:val="23"/>
        </w:rPr>
        <w:t xml:space="preserve"> </w:t>
      </w:r>
      <w:r w:rsidRPr="001E7293">
        <w:rPr>
          <w:szCs w:val="23"/>
        </w:rPr>
        <w:t xml:space="preserve">However, that does not lessen the Parties’ commitment to </w:t>
      </w:r>
      <w:r w:rsidR="00CD5739" w:rsidRPr="001E7293">
        <w:rPr>
          <w:szCs w:val="23"/>
        </w:rPr>
        <w:t xml:space="preserve">the plan and its full </w:t>
      </w:r>
      <w:r w:rsidRPr="001E7293">
        <w:rPr>
          <w:szCs w:val="23"/>
        </w:rPr>
        <w:t>implementation.</w:t>
      </w:r>
    </w:p>
    <w:p w14:paraId="5CE4F32A" w14:textId="77777777" w:rsidR="0036688B" w:rsidRPr="001E7293" w:rsidRDefault="0036688B" w:rsidP="001251F4">
      <w:pPr>
        <w:pStyle w:val="Heading1"/>
        <w:spacing w:before="360"/>
      </w:pPr>
      <w:r w:rsidRPr="001E7293">
        <w:lastRenderedPageBreak/>
        <w:t xml:space="preserve">Part </w:t>
      </w:r>
      <w:r w:rsidR="00C26A29" w:rsidRPr="001E7293">
        <w:t>3</w:t>
      </w:r>
      <w:r w:rsidRPr="001E7293">
        <w:t>: Strategy for implementation</w:t>
      </w:r>
    </w:p>
    <w:p w14:paraId="56518054" w14:textId="77777777" w:rsidR="00354A85" w:rsidRPr="001E7293" w:rsidRDefault="00354A85" w:rsidP="00354A85"/>
    <w:p w14:paraId="0FB4E9D7" w14:textId="77777777" w:rsidR="0036688B" w:rsidRPr="001E7293" w:rsidRDefault="0036688B" w:rsidP="00574D6F">
      <w:pPr>
        <w:pStyle w:val="Heading2"/>
        <w:spacing w:before="0" w:after="140"/>
      </w:pPr>
      <w:r w:rsidRPr="001E7293">
        <w:t>Project information</w:t>
      </w:r>
    </w:p>
    <w:p w14:paraId="2A7B8FFC" w14:textId="77777777" w:rsidR="001A4374" w:rsidRPr="001E7293"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 xml:space="preserve">s in the year before full-time school, with a focus on </w:t>
      </w:r>
      <w:r w:rsidR="00DF2E47" w:rsidRPr="001E7293">
        <w:t xml:space="preserve">Indigenous 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614F76D5" w14:textId="77777777" w:rsidR="005A75AC" w:rsidRPr="00574D6F" w:rsidRDefault="005A75AC" w:rsidP="005A75AC">
      <w:pPr>
        <w:pStyle w:val="Normalnumbered"/>
        <w:autoSpaceDE w:val="0"/>
        <w:autoSpaceDN w:val="0"/>
        <w:adjustRightInd w:val="0"/>
        <w:spacing w:after="140"/>
        <w:rPr>
          <w:rFonts w:cs="Corbel"/>
          <w:color w:val="auto"/>
          <w:szCs w:val="23"/>
          <w:lang w:val="en-US"/>
        </w:rPr>
      </w:pPr>
      <w:r w:rsidRPr="00574D6F">
        <w:rPr>
          <w:lang w:val="en-US"/>
        </w:rPr>
        <w:t xml:space="preserve">In Tasmania, vulnerable and disadvantaged children are defined as students who reside in </w:t>
      </w:r>
      <w:r w:rsidRPr="00574D6F">
        <w:rPr>
          <w:rFonts w:cs="Corbel"/>
          <w:color w:val="auto"/>
          <w:szCs w:val="23"/>
          <w:lang w:val="en-US"/>
        </w:rPr>
        <w:t>areas with a SEIFA IRSD quintile 1 based on Statistical Area 1</w:t>
      </w:r>
      <w:r w:rsidR="00574D6F">
        <w:rPr>
          <w:rStyle w:val="FootnoteReference"/>
          <w:color w:val="auto"/>
          <w:szCs w:val="23"/>
          <w:lang w:val="en-US"/>
        </w:rPr>
        <w:footnoteReference w:id="2"/>
      </w:r>
      <w:r w:rsidRPr="00574D6F">
        <w:rPr>
          <w:rFonts w:cs="Corbel"/>
          <w:color w:val="auto"/>
          <w:szCs w:val="23"/>
          <w:lang w:val="en-US"/>
        </w:rPr>
        <w:t>.</w:t>
      </w:r>
    </w:p>
    <w:p w14:paraId="408EC3BD" w14:textId="77777777" w:rsidR="0036688B" w:rsidRPr="001E7293" w:rsidRDefault="0036688B" w:rsidP="001251F4">
      <w:pPr>
        <w:pStyle w:val="Normalnumbered"/>
        <w:spacing w:after="140"/>
      </w:pPr>
      <w:r w:rsidRPr="001E7293">
        <w:t>The project</w:t>
      </w:r>
      <w:r w:rsidR="00432B5D" w:rsidRPr="001E7293">
        <w:t xml:space="preserve"> element</w:t>
      </w:r>
      <w:r w:rsidRPr="001E7293">
        <w:t>s planned are</w:t>
      </w:r>
      <w:r w:rsidR="001251F4">
        <w:t xml:space="preserve"> detailed in Tab</w:t>
      </w:r>
      <w:r w:rsidR="003E7205">
        <w:t>l</w:t>
      </w:r>
      <w:r w:rsidR="001251F4">
        <w:t>e 1:  Project elements: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95"/>
        <w:gridCol w:w="2772"/>
        <w:gridCol w:w="1080"/>
        <w:gridCol w:w="1083"/>
        <w:gridCol w:w="1664"/>
      </w:tblGrid>
      <w:tr w:rsidR="009153F1" w:rsidRPr="001E7293" w14:paraId="7E95019F" w14:textId="77777777" w:rsidTr="00574D6F">
        <w:trPr>
          <w:cantSplit/>
        </w:trPr>
        <w:tc>
          <w:tcPr>
            <w:tcW w:w="377" w:type="pct"/>
            <w:shd w:val="clear" w:color="auto" w:fill="E6E6E6"/>
          </w:tcPr>
          <w:p w14:paraId="3FF7F4E3" w14:textId="77777777" w:rsidR="00432B5D" w:rsidRPr="001E7293" w:rsidRDefault="00432B5D" w:rsidP="007563F9">
            <w:pPr>
              <w:keepNext/>
              <w:keepLines/>
              <w:rPr>
                <w:b/>
              </w:rPr>
            </w:pPr>
            <w:r w:rsidRPr="001E7293">
              <w:rPr>
                <w:b/>
              </w:rPr>
              <w:t>No.</w:t>
            </w:r>
          </w:p>
        </w:tc>
        <w:tc>
          <w:tcPr>
            <w:tcW w:w="899" w:type="pct"/>
            <w:shd w:val="clear" w:color="auto" w:fill="E6E6E6"/>
          </w:tcPr>
          <w:p w14:paraId="267A9064" w14:textId="77777777" w:rsidR="00432B5D" w:rsidRPr="001E7293" w:rsidRDefault="00432B5D" w:rsidP="007563F9">
            <w:pPr>
              <w:keepNext/>
              <w:keepLines/>
              <w:rPr>
                <w:b/>
              </w:rPr>
            </w:pPr>
            <w:r w:rsidRPr="001E7293">
              <w:rPr>
                <w:b/>
              </w:rPr>
              <w:t>Title</w:t>
            </w:r>
          </w:p>
        </w:tc>
        <w:tc>
          <w:tcPr>
            <w:tcW w:w="1564" w:type="pct"/>
            <w:shd w:val="clear" w:color="auto" w:fill="E6E6E6"/>
          </w:tcPr>
          <w:p w14:paraId="470223B2" w14:textId="77777777" w:rsidR="00432B5D" w:rsidRPr="001E7293" w:rsidRDefault="00432B5D" w:rsidP="007563F9">
            <w:pPr>
              <w:keepNext/>
              <w:keepLines/>
              <w:rPr>
                <w:b/>
              </w:rPr>
            </w:pPr>
            <w:r w:rsidRPr="001E7293">
              <w:rPr>
                <w:b/>
              </w:rPr>
              <w:t>Short description</w:t>
            </w:r>
          </w:p>
        </w:tc>
        <w:tc>
          <w:tcPr>
            <w:tcW w:w="609" w:type="pct"/>
            <w:shd w:val="clear" w:color="auto" w:fill="E6E6E6"/>
          </w:tcPr>
          <w:p w14:paraId="38203590" w14:textId="77777777" w:rsidR="00432B5D" w:rsidRPr="001E7293" w:rsidRDefault="00432B5D" w:rsidP="007563F9">
            <w:pPr>
              <w:keepNext/>
              <w:keepLines/>
              <w:rPr>
                <w:b/>
              </w:rPr>
            </w:pPr>
            <w:r w:rsidRPr="001E7293">
              <w:rPr>
                <w:b/>
              </w:rPr>
              <w:t>Planned start date</w:t>
            </w:r>
          </w:p>
        </w:tc>
        <w:tc>
          <w:tcPr>
            <w:tcW w:w="611" w:type="pct"/>
            <w:shd w:val="clear" w:color="auto" w:fill="E6E6E6"/>
          </w:tcPr>
          <w:p w14:paraId="46B39D3E" w14:textId="77777777" w:rsidR="00432B5D" w:rsidRPr="001E7293" w:rsidRDefault="00432B5D" w:rsidP="007563F9">
            <w:pPr>
              <w:keepNext/>
              <w:keepLines/>
              <w:rPr>
                <w:b/>
              </w:rPr>
            </w:pPr>
            <w:r w:rsidRPr="001E7293">
              <w:rPr>
                <w:b/>
              </w:rPr>
              <w:t>Planned end date</w:t>
            </w:r>
          </w:p>
        </w:tc>
        <w:tc>
          <w:tcPr>
            <w:tcW w:w="939" w:type="pct"/>
            <w:shd w:val="clear" w:color="auto" w:fill="E6E6E6"/>
          </w:tcPr>
          <w:p w14:paraId="73A43BBF" w14:textId="77777777" w:rsidR="00432B5D" w:rsidRPr="001E7293" w:rsidRDefault="00432B5D" w:rsidP="007563F9">
            <w:pPr>
              <w:keepNext/>
              <w:keepLines/>
              <w:rPr>
                <w:b/>
              </w:rPr>
            </w:pPr>
            <w:r w:rsidRPr="001E7293">
              <w:rPr>
                <w:b/>
                <w:bCs/>
                <w:spacing w:val="4"/>
                <w:lang w:eastAsia="en-US"/>
              </w:rPr>
              <w:t>Dependent on projects</w:t>
            </w:r>
          </w:p>
        </w:tc>
      </w:tr>
      <w:tr w:rsidR="00432B5D" w:rsidRPr="001E7293" w14:paraId="29694A34" w14:textId="77777777" w:rsidTr="00574D6F">
        <w:trPr>
          <w:cantSplit/>
        </w:trPr>
        <w:tc>
          <w:tcPr>
            <w:tcW w:w="377" w:type="pct"/>
          </w:tcPr>
          <w:p w14:paraId="356C3F0D" w14:textId="77777777" w:rsidR="00432B5D" w:rsidRPr="001E7293" w:rsidRDefault="00432B5D" w:rsidP="007563F9">
            <w:pPr>
              <w:keepNext/>
              <w:keepLines/>
            </w:pPr>
            <w:r w:rsidRPr="001E7293">
              <w:t>1</w:t>
            </w:r>
          </w:p>
        </w:tc>
        <w:tc>
          <w:tcPr>
            <w:tcW w:w="899" w:type="pct"/>
          </w:tcPr>
          <w:p w14:paraId="14BBAD2B" w14:textId="77777777" w:rsidR="00432B5D" w:rsidRPr="00FF7D7D" w:rsidRDefault="00574D6F" w:rsidP="007563F9">
            <w:pPr>
              <w:keepNext/>
              <w:keepLines/>
              <w:rPr>
                <w:sz w:val="22"/>
                <w:szCs w:val="22"/>
              </w:rPr>
            </w:pPr>
            <w:r w:rsidRPr="00FF7D7D">
              <w:rPr>
                <w:sz w:val="22"/>
                <w:szCs w:val="22"/>
              </w:rPr>
              <w:t>Universal access to kindergarten</w:t>
            </w:r>
            <w:r w:rsidRPr="00FF7D7D">
              <w:rPr>
                <w:rStyle w:val="FootnoteReference"/>
                <w:sz w:val="22"/>
                <w:szCs w:val="22"/>
              </w:rPr>
              <w:footnoteReference w:id="3"/>
            </w:r>
          </w:p>
        </w:tc>
        <w:tc>
          <w:tcPr>
            <w:tcW w:w="1564" w:type="pct"/>
          </w:tcPr>
          <w:p w14:paraId="7EEEFD1F" w14:textId="77777777" w:rsidR="00432B5D" w:rsidRPr="00FF7D7D" w:rsidRDefault="001251F4" w:rsidP="001251F4">
            <w:pPr>
              <w:keepNext/>
              <w:keepLines/>
              <w:rPr>
                <w:sz w:val="22"/>
                <w:szCs w:val="22"/>
              </w:rPr>
            </w:pPr>
            <w:r w:rsidRPr="00FF7D7D">
              <w:rPr>
                <w:sz w:val="22"/>
                <w:szCs w:val="22"/>
              </w:rPr>
              <w:t xml:space="preserve">Provision of </w:t>
            </w:r>
            <w:r w:rsidR="005A75AC" w:rsidRPr="00FF7D7D">
              <w:rPr>
                <w:sz w:val="22"/>
                <w:szCs w:val="22"/>
              </w:rPr>
              <w:t>600 hours of free kindergarten in government schools</w:t>
            </w:r>
            <w:r w:rsidR="00574D6F" w:rsidRPr="00FF7D7D">
              <w:rPr>
                <w:rStyle w:val="FootnoteReference"/>
                <w:sz w:val="22"/>
                <w:szCs w:val="22"/>
              </w:rPr>
              <w:footnoteReference w:id="4"/>
            </w:r>
          </w:p>
        </w:tc>
        <w:tc>
          <w:tcPr>
            <w:tcW w:w="609" w:type="pct"/>
          </w:tcPr>
          <w:p w14:paraId="31717870" w14:textId="198EFAA0" w:rsidR="00432B5D" w:rsidRPr="00FF7D7D" w:rsidRDefault="0062712B" w:rsidP="007563F9">
            <w:pPr>
              <w:keepNext/>
              <w:keepLines/>
              <w:rPr>
                <w:sz w:val="22"/>
                <w:szCs w:val="22"/>
              </w:rPr>
            </w:pPr>
            <w:r w:rsidRPr="00FF7D7D">
              <w:rPr>
                <w:sz w:val="22"/>
                <w:szCs w:val="22"/>
              </w:rPr>
              <w:t>1/1/1</w:t>
            </w:r>
            <w:r w:rsidR="00FE27E5">
              <w:rPr>
                <w:sz w:val="22"/>
                <w:szCs w:val="22"/>
              </w:rPr>
              <w:t>8</w:t>
            </w:r>
          </w:p>
        </w:tc>
        <w:tc>
          <w:tcPr>
            <w:tcW w:w="611" w:type="pct"/>
          </w:tcPr>
          <w:p w14:paraId="692622FF" w14:textId="3B572DED" w:rsidR="00432B5D" w:rsidRPr="00FF7D7D" w:rsidRDefault="0062712B" w:rsidP="007563F9">
            <w:pPr>
              <w:keepNext/>
              <w:keepLines/>
              <w:rPr>
                <w:sz w:val="22"/>
                <w:szCs w:val="22"/>
              </w:rPr>
            </w:pPr>
            <w:r w:rsidRPr="00FF7D7D">
              <w:rPr>
                <w:sz w:val="22"/>
                <w:szCs w:val="22"/>
              </w:rPr>
              <w:t>31/12/19</w:t>
            </w:r>
          </w:p>
        </w:tc>
        <w:tc>
          <w:tcPr>
            <w:tcW w:w="939" w:type="pct"/>
          </w:tcPr>
          <w:p w14:paraId="77198752" w14:textId="77777777" w:rsidR="00432B5D" w:rsidRPr="00C864C5" w:rsidRDefault="001251F4" w:rsidP="007563F9">
            <w:pPr>
              <w:keepNext/>
              <w:keepLines/>
              <w:rPr>
                <w:sz w:val="22"/>
                <w:szCs w:val="22"/>
              </w:rPr>
            </w:pPr>
            <w:r w:rsidRPr="00C864C5">
              <w:rPr>
                <w:sz w:val="22"/>
                <w:szCs w:val="22"/>
              </w:rPr>
              <w:t>N/A</w:t>
            </w:r>
          </w:p>
        </w:tc>
      </w:tr>
      <w:tr w:rsidR="00432B5D" w:rsidRPr="001E7293" w14:paraId="21A4BD91" w14:textId="77777777" w:rsidTr="00574D6F">
        <w:trPr>
          <w:cantSplit/>
        </w:trPr>
        <w:tc>
          <w:tcPr>
            <w:tcW w:w="377" w:type="pct"/>
          </w:tcPr>
          <w:p w14:paraId="475078A5" w14:textId="77777777" w:rsidR="00432B5D" w:rsidRPr="001E7293" w:rsidRDefault="00432B5D" w:rsidP="007563F9">
            <w:pPr>
              <w:keepNext/>
              <w:keepLines/>
            </w:pPr>
            <w:r w:rsidRPr="001E7293">
              <w:t>2</w:t>
            </w:r>
          </w:p>
        </w:tc>
        <w:tc>
          <w:tcPr>
            <w:tcW w:w="899" w:type="pct"/>
          </w:tcPr>
          <w:p w14:paraId="75311DEA" w14:textId="77777777" w:rsidR="00432B5D" w:rsidRPr="00FF7D7D" w:rsidRDefault="001251F4" w:rsidP="001251F4">
            <w:pPr>
              <w:keepNext/>
              <w:keepLines/>
              <w:rPr>
                <w:sz w:val="22"/>
                <w:szCs w:val="22"/>
              </w:rPr>
            </w:pPr>
            <w:r w:rsidRPr="00FF7D7D">
              <w:rPr>
                <w:sz w:val="22"/>
                <w:szCs w:val="22"/>
              </w:rPr>
              <w:t>Maintain Indigenous children’s participation</w:t>
            </w:r>
          </w:p>
        </w:tc>
        <w:tc>
          <w:tcPr>
            <w:tcW w:w="1564" w:type="pct"/>
          </w:tcPr>
          <w:p w14:paraId="7855A140" w14:textId="77777777" w:rsidR="00432B5D" w:rsidRPr="00FF7D7D" w:rsidRDefault="005A75AC" w:rsidP="001251F4">
            <w:pPr>
              <w:keepNext/>
              <w:keepLines/>
              <w:rPr>
                <w:sz w:val="22"/>
                <w:szCs w:val="22"/>
              </w:rPr>
            </w:pPr>
            <w:r w:rsidRPr="00FF7D7D">
              <w:rPr>
                <w:sz w:val="22"/>
                <w:szCs w:val="22"/>
              </w:rPr>
              <w:t xml:space="preserve">Maintain existing service provision for </w:t>
            </w:r>
            <w:r w:rsidR="001251F4" w:rsidRPr="00FF7D7D">
              <w:rPr>
                <w:sz w:val="22"/>
                <w:szCs w:val="22"/>
              </w:rPr>
              <w:t>Indigenous</w:t>
            </w:r>
            <w:r w:rsidRPr="00FF7D7D">
              <w:rPr>
                <w:sz w:val="22"/>
                <w:szCs w:val="22"/>
              </w:rPr>
              <w:t xml:space="preserve"> children in all locations</w:t>
            </w:r>
          </w:p>
        </w:tc>
        <w:tc>
          <w:tcPr>
            <w:tcW w:w="609" w:type="pct"/>
          </w:tcPr>
          <w:p w14:paraId="08180F36" w14:textId="1D319196" w:rsidR="00432B5D" w:rsidRPr="00FF7D7D" w:rsidRDefault="00006AE0" w:rsidP="007563F9">
            <w:pPr>
              <w:keepNext/>
              <w:keepLines/>
              <w:rPr>
                <w:sz w:val="22"/>
                <w:szCs w:val="22"/>
              </w:rPr>
            </w:pPr>
            <w:r w:rsidRPr="00FF7D7D">
              <w:rPr>
                <w:sz w:val="22"/>
                <w:szCs w:val="22"/>
              </w:rPr>
              <w:t>1/1/1</w:t>
            </w:r>
            <w:r w:rsidR="00FE27E5">
              <w:rPr>
                <w:sz w:val="22"/>
                <w:szCs w:val="22"/>
              </w:rPr>
              <w:t>8</w:t>
            </w:r>
          </w:p>
        </w:tc>
        <w:tc>
          <w:tcPr>
            <w:tcW w:w="611" w:type="pct"/>
          </w:tcPr>
          <w:p w14:paraId="1E0C40F1" w14:textId="67289F32" w:rsidR="00432B5D" w:rsidRPr="00FF7D7D" w:rsidRDefault="00006AE0" w:rsidP="007563F9">
            <w:pPr>
              <w:keepNext/>
              <w:keepLines/>
              <w:rPr>
                <w:sz w:val="22"/>
                <w:szCs w:val="22"/>
              </w:rPr>
            </w:pPr>
            <w:r w:rsidRPr="00FF7D7D">
              <w:rPr>
                <w:sz w:val="22"/>
                <w:szCs w:val="22"/>
              </w:rPr>
              <w:t>31/12/19</w:t>
            </w:r>
          </w:p>
        </w:tc>
        <w:tc>
          <w:tcPr>
            <w:tcW w:w="939" w:type="pct"/>
          </w:tcPr>
          <w:p w14:paraId="57242B7A" w14:textId="77777777" w:rsidR="00432B5D" w:rsidRPr="00C864C5" w:rsidRDefault="001251F4" w:rsidP="007563F9">
            <w:pPr>
              <w:keepNext/>
              <w:keepLines/>
              <w:rPr>
                <w:sz w:val="22"/>
                <w:szCs w:val="22"/>
              </w:rPr>
            </w:pPr>
            <w:r w:rsidRPr="00C864C5">
              <w:rPr>
                <w:sz w:val="22"/>
                <w:szCs w:val="22"/>
              </w:rPr>
              <w:t>1</w:t>
            </w:r>
          </w:p>
        </w:tc>
      </w:tr>
      <w:tr w:rsidR="00432B5D" w:rsidRPr="001E7293" w14:paraId="069F4077" w14:textId="77777777" w:rsidTr="00574D6F">
        <w:trPr>
          <w:cantSplit/>
        </w:trPr>
        <w:tc>
          <w:tcPr>
            <w:tcW w:w="377" w:type="pct"/>
          </w:tcPr>
          <w:p w14:paraId="480919C6" w14:textId="77777777" w:rsidR="00432B5D" w:rsidRPr="001E7293" w:rsidRDefault="00432B5D" w:rsidP="007563F9">
            <w:pPr>
              <w:keepNext/>
              <w:keepLines/>
            </w:pPr>
            <w:r w:rsidRPr="001E7293">
              <w:t>3</w:t>
            </w:r>
          </w:p>
        </w:tc>
        <w:tc>
          <w:tcPr>
            <w:tcW w:w="899" w:type="pct"/>
          </w:tcPr>
          <w:p w14:paraId="202EA051" w14:textId="77777777" w:rsidR="00432B5D" w:rsidRPr="00FF7D7D" w:rsidRDefault="001251F4" w:rsidP="001251F4">
            <w:pPr>
              <w:keepNext/>
              <w:keepLines/>
              <w:rPr>
                <w:sz w:val="22"/>
                <w:szCs w:val="22"/>
              </w:rPr>
            </w:pPr>
            <w:r w:rsidRPr="00FF7D7D">
              <w:rPr>
                <w:sz w:val="22"/>
                <w:szCs w:val="22"/>
              </w:rPr>
              <w:t>Maintain participation by v</w:t>
            </w:r>
            <w:r w:rsidR="005A75AC" w:rsidRPr="00FF7D7D">
              <w:rPr>
                <w:sz w:val="22"/>
                <w:szCs w:val="22"/>
              </w:rPr>
              <w:t xml:space="preserve">ulnerable </w:t>
            </w:r>
            <w:r w:rsidRPr="00FF7D7D">
              <w:rPr>
                <w:sz w:val="22"/>
                <w:szCs w:val="22"/>
              </w:rPr>
              <w:t>and disadvantaged children</w:t>
            </w:r>
          </w:p>
        </w:tc>
        <w:tc>
          <w:tcPr>
            <w:tcW w:w="1564" w:type="pct"/>
          </w:tcPr>
          <w:p w14:paraId="37C8FFAB" w14:textId="77777777" w:rsidR="00432B5D" w:rsidRPr="00FF7D7D" w:rsidRDefault="009153F1" w:rsidP="001251F4">
            <w:pPr>
              <w:keepNext/>
              <w:keepLines/>
              <w:rPr>
                <w:sz w:val="22"/>
                <w:szCs w:val="22"/>
              </w:rPr>
            </w:pPr>
            <w:r w:rsidRPr="00FF7D7D">
              <w:rPr>
                <w:sz w:val="22"/>
                <w:szCs w:val="22"/>
              </w:rPr>
              <w:t xml:space="preserve">Maintain </w:t>
            </w:r>
            <w:r w:rsidR="001251F4" w:rsidRPr="00FF7D7D">
              <w:rPr>
                <w:sz w:val="22"/>
                <w:szCs w:val="22"/>
              </w:rPr>
              <w:t>existing service provision for vulnerable and disadvantaged children</w:t>
            </w:r>
          </w:p>
        </w:tc>
        <w:tc>
          <w:tcPr>
            <w:tcW w:w="609" w:type="pct"/>
          </w:tcPr>
          <w:p w14:paraId="35051E76" w14:textId="11AAF515" w:rsidR="00432B5D" w:rsidRPr="00FF7D7D" w:rsidRDefault="00006AE0" w:rsidP="007563F9">
            <w:pPr>
              <w:keepNext/>
              <w:keepLines/>
              <w:rPr>
                <w:sz w:val="22"/>
                <w:szCs w:val="22"/>
              </w:rPr>
            </w:pPr>
            <w:r w:rsidRPr="00FF7D7D">
              <w:rPr>
                <w:sz w:val="22"/>
                <w:szCs w:val="22"/>
              </w:rPr>
              <w:t>1/1/1</w:t>
            </w:r>
            <w:r w:rsidR="00FE27E5">
              <w:rPr>
                <w:sz w:val="22"/>
                <w:szCs w:val="22"/>
              </w:rPr>
              <w:t>8</w:t>
            </w:r>
          </w:p>
        </w:tc>
        <w:tc>
          <w:tcPr>
            <w:tcW w:w="611" w:type="pct"/>
          </w:tcPr>
          <w:p w14:paraId="206E5874" w14:textId="69DD8423" w:rsidR="00432B5D" w:rsidRPr="00FF7D7D" w:rsidRDefault="00006AE0" w:rsidP="007563F9">
            <w:pPr>
              <w:keepNext/>
              <w:keepLines/>
              <w:rPr>
                <w:sz w:val="22"/>
                <w:szCs w:val="22"/>
              </w:rPr>
            </w:pPr>
            <w:r w:rsidRPr="00FF7D7D">
              <w:rPr>
                <w:sz w:val="22"/>
                <w:szCs w:val="22"/>
              </w:rPr>
              <w:t>31/12/19</w:t>
            </w:r>
          </w:p>
        </w:tc>
        <w:tc>
          <w:tcPr>
            <w:tcW w:w="939" w:type="pct"/>
          </w:tcPr>
          <w:p w14:paraId="44442DD6" w14:textId="77777777" w:rsidR="00432B5D" w:rsidRPr="00C864C5" w:rsidRDefault="001251F4" w:rsidP="007563F9">
            <w:pPr>
              <w:keepNext/>
              <w:keepLines/>
              <w:rPr>
                <w:sz w:val="22"/>
                <w:szCs w:val="22"/>
              </w:rPr>
            </w:pPr>
            <w:r w:rsidRPr="00C864C5">
              <w:rPr>
                <w:sz w:val="22"/>
                <w:szCs w:val="22"/>
              </w:rPr>
              <w:t>1</w:t>
            </w:r>
          </w:p>
        </w:tc>
      </w:tr>
    </w:tbl>
    <w:p w14:paraId="2678C0EA" w14:textId="6688F0B2" w:rsidR="003E21B2" w:rsidRPr="001E7293" w:rsidRDefault="00407A6B" w:rsidP="004864ED">
      <w:pPr>
        <w:pStyle w:val="Normalnumbered"/>
        <w:spacing w:before="120" w:after="240"/>
      </w:pPr>
      <w:r w:rsidRPr="001E7293">
        <w:t xml:space="preserve">As required by </w:t>
      </w:r>
      <w:r w:rsidRPr="00FF7D7D">
        <w:t xml:space="preserve">clause </w:t>
      </w:r>
      <w:r w:rsidR="00FE27E5" w:rsidRPr="00FF7D7D">
        <w:t>2</w:t>
      </w:r>
      <w:r w:rsidR="00FE27E5">
        <w:t>2</w:t>
      </w:r>
      <w:r w:rsidR="00FE27E5" w:rsidRPr="00FF7D7D">
        <w:t xml:space="preserve"> </w:t>
      </w:r>
      <w:r w:rsidRPr="00FF7D7D">
        <w:t>(d)</w:t>
      </w:r>
      <w:r w:rsidRPr="001E7293">
        <w:t xml:space="preserve"> of the National Partnership, </w:t>
      </w:r>
      <w:r w:rsidR="004864ED">
        <w:t>strategies are in place to ensure funding is directed to support participation by all children in all quality early childhood education programs, regardless of whether programs are delivered through schools (government and non-government), standalone preschools or long day care (LDC) centres.  These strategies are included as Project Elements throughout this plan.</w:t>
      </w:r>
      <w:r w:rsidR="004864ED" w:rsidRPr="001E7293">
        <w:t xml:space="preserve"> </w:t>
      </w:r>
    </w:p>
    <w:p w14:paraId="018DA6E1" w14:textId="2E86B87D" w:rsidR="00124D8E" w:rsidRDefault="00124D8E" w:rsidP="001B5382">
      <w:pPr>
        <w:pStyle w:val="Normalnumbered"/>
      </w:pPr>
      <w:r w:rsidRPr="001E7293">
        <w:t xml:space="preserve">As required by </w:t>
      </w:r>
      <w:r w:rsidRPr="00FF7D7D">
        <w:t>clause 2</w:t>
      </w:r>
      <w:r w:rsidR="00FE27E5">
        <w:t>2</w:t>
      </w:r>
      <w:r w:rsidRPr="00FF7D7D">
        <w:t xml:space="preserve"> (e)</w:t>
      </w:r>
      <w:r w:rsidRPr="001E7293">
        <w:t xml:space="preserve"> of the National Partnership, </w:t>
      </w:r>
      <w:r w:rsidR="000B36D5" w:rsidRPr="001E7293">
        <w:t xml:space="preserve">state specific data and implementation issues </w:t>
      </w:r>
      <w:r w:rsidR="001B5382" w:rsidRPr="001E7293">
        <w:t>are identified</w:t>
      </w:r>
      <w:r w:rsidR="00153BCD" w:rsidRPr="001E7293">
        <w:t xml:space="preserve"> </w:t>
      </w:r>
      <w:r w:rsidR="00902EF3" w:rsidRPr="001E7293">
        <w:t xml:space="preserve">below. </w:t>
      </w:r>
      <w:r w:rsidR="004864ED">
        <w:t xml:space="preserve"> </w:t>
      </w:r>
      <w:r w:rsidR="00902EF3" w:rsidRPr="001E7293">
        <w:t xml:space="preserve">Each </w:t>
      </w:r>
      <w:r w:rsidR="003C0687" w:rsidRPr="001E7293">
        <w:t xml:space="preserve">of the </w:t>
      </w:r>
      <w:r w:rsidR="00902EF3" w:rsidRPr="001E7293">
        <w:t>identified issue</w:t>
      </w:r>
      <w:r w:rsidR="000B36D5" w:rsidRPr="001E7293">
        <w:t>s</w:t>
      </w:r>
      <w:r w:rsidR="00902EF3" w:rsidRPr="001E7293">
        <w:t xml:space="preserve"> includes </w:t>
      </w:r>
      <w:r w:rsidRPr="001E7293">
        <w:t xml:space="preserve">strategies </w:t>
      </w:r>
      <w:r w:rsidR="00902EF3" w:rsidRPr="001E7293">
        <w:t>to</w:t>
      </w:r>
      <w:r w:rsidRPr="001E7293">
        <w:t xml:space="preserve"> overcome</w:t>
      </w:r>
      <w:r w:rsidR="00041D4C" w:rsidRPr="001E7293">
        <w:t xml:space="preserve"> or address </w:t>
      </w:r>
      <w:r w:rsidR="003C0687" w:rsidRPr="001E7293">
        <w:t>them</w:t>
      </w:r>
      <w:r w:rsidR="002A084C">
        <w:t>:</w:t>
      </w:r>
    </w:p>
    <w:p w14:paraId="3247BF5C" w14:textId="77777777" w:rsidR="006B5DBB" w:rsidRDefault="006B5DBB" w:rsidP="006B5DBB">
      <w:pPr>
        <w:pStyle w:val="Normalnumbered"/>
        <w:numPr>
          <w:ilvl w:val="0"/>
          <w:numId w:val="0"/>
        </w:numPr>
        <w:ind w:left="567" w:hanging="567"/>
      </w:pPr>
    </w:p>
    <w:p w14:paraId="0584FA0D" w14:textId="77777777" w:rsidR="000C1E84" w:rsidRDefault="000C1E84" w:rsidP="004864ED">
      <w:pPr>
        <w:ind w:left="567"/>
        <w:jc w:val="both"/>
      </w:pPr>
    </w:p>
    <w:p w14:paraId="59798A98" w14:textId="77777777" w:rsidR="000C1E84" w:rsidRDefault="000C1E84" w:rsidP="0030501D">
      <w:pPr>
        <w:spacing w:after="140"/>
        <w:ind w:left="1260" w:hanging="540"/>
        <w:jc w:val="both"/>
      </w:pPr>
      <w:r>
        <w:t>(a)</w:t>
      </w:r>
      <w:r w:rsidR="004864ED">
        <w:tab/>
      </w:r>
      <w:r>
        <w:t>To calculate enrolments, Tasmania will use as its denominator an average of the 4 and 5 year</w:t>
      </w:r>
      <w:r w:rsidR="001A3256">
        <w:t>-</w:t>
      </w:r>
      <w:r>
        <w:t>old estimated residential population (ERP), rather than 4 year olds.</w:t>
      </w:r>
      <w:r w:rsidR="00403FD4">
        <w:t xml:space="preserve"> </w:t>
      </w:r>
      <w:r>
        <w:t xml:space="preserve"> The median age of Tasmania's kindergarten students is 4.5 years old as at 30 June, as Tasmania's students are required to be at least 4 years old on 1 January in the year in which they commence Kindergarten.</w:t>
      </w:r>
    </w:p>
    <w:p w14:paraId="26C6BE74" w14:textId="77777777" w:rsidR="000C1E84" w:rsidRDefault="000C1E84" w:rsidP="0030501D">
      <w:pPr>
        <w:spacing w:after="140"/>
        <w:ind w:left="1260" w:hanging="540"/>
        <w:jc w:val="both"/>
      </w:pPr>
      <w:r>
        <w:t xml:space="preserve">(b) </w:t>
      </w:r>
      <w:r w:rsidR="004864ED">
        <w:tab/>
      </w:r>
      <w:r>
        <w:t>In Tasmania, the year before full-time schooling (YBFS) is defined as children who are aged at least 4 years old or older as at 1 January of the National Early Childhood Education and Care Collection (National Collection) year.</w:t>
      </w:r>
      <w:r w:rsidR="00403FD4">
        <w:t xml:space="preserve"> </w:t>
      </w:r>
      <w:r>
        <w:t xml:space="preserve"> Any children who are 4 years old and born in the period after 1 January to 30 June (inclusive), as published by the ABS in Preschool Australia (ABS Cat. No. 4240.0), are not in the YBFS, and are not included in the denominator student counts when calculating the performance indicator results for Tasmania’s enrolments.</w:t>
      </w:r>
    </w:p>
    <w:p w14:paraId="3185200A" w14:textId="77777777" w:rsidR="000C1E84" w:rsidRDefault="000C1E84" w:rsidP="0030501D">
      <w:pPr>
        <w:spacing w:after="140"/>
        <w:ind w:left="1260" w:hanging="540"/>
        <w:jc w:val="both"/>
      </w:pPr>
      <w:r>
        <w:t xml:space="preserve">(c) </w:t>
      </w:r>
      <w:r w:rsidR="004864ED">
        <w:tab/>
      </w:r>
      <w:r>
        <w:t>The Indigenous student count includes the Tasmanian ECEC students identified as Indigenous (Aboriginal, Torres Strait islander, or both Aboriginal and Torres Strait islander) in Preschool Australia, and a proportion of students identified as 'Not Stated'.</w:t>
      </w:r>
      <w:r w:rsidR="00403FD4">
        <w:t xml:space="preserve"> </w:t>
      </w:r>
      <w:r>
        <w:t xml:space="preserve"> The proportion of 'Not Stated' students to be counted as Indigenous students is calculated by multiplying the Indigenous/Not Indigenous Tasmanian </w:t>
      </w:r>
      <w:r w:rsidR="0018356F">
        <w:br/>
      </w:r>
      <w:r>
        <w:t>0-4 year olds population ratio (ABS Cat No. 2002.0) by the number of 'Not Stated' Indigenous Tasmanian ECEC children published in Preschool Australia (ABS Cat. No. 4240.0).</w:t>
      </w:r>
    </w:p>
    <w:p w14:paraId="5B2AE670" w14:textId="77777777" w:rsidR="000C1E84" w:rsidRDefault="000C1E84" w:rsidP="0030501D">
      <w:pPr>
        <w:spacing w:after="140"/>
        <w:ind w:left="1260" w:hanging="540"/>
        <w:jc w:val="both"/>
      </w:pPr>
      <w:r>
        <w:t xml:space="preserve">(d) </w:t>
      </w:r>
      <w:r w:rsidR="004864ED">
        <w:tab/>
      </w:r>
      <w:r>
        <w:t xml:space="preserve">The Indigenous numerator used to calculate Indigenous enrolments is also subject to under-identification of the number of Indigenous students, as some Indigenous families do not identify themselves as Indigenous when they first enrol in the school system. </w:t>
      </w:r>
    </w:p>
    <w:p w14:paraId="48F81453" w14:textId="77777777" w:rsidR="0098402F" w:rsidRDefault="004864ED" w:rsidP="0098402F">
      <w:pPr>
        <w:spacing w:after="140"/>
        <w:ind w:left="1260" w:hanging="540"/>
        <w:jc w:val="both"/>
      </w:pPr>
      <w:r>
        <w:t>(e)</w:t>
      </w:r>
      <w:r>
        <w:tab/>
      </w:r>
      <w:r w:rsidR="000C1E84" w:rsidRPr="00854687">
        <w:t>Given these data volatility issues and under-reporting of Indigenous students in the Kindergarten year, Tasmania</w:t>
      </w:r>
      <w:r w:rsidR="00403FD4" w:rsidRPr="00854687">
        <w:t xml:space="preserve"> proposes to</w:t>
      </w:r>
      <w:r w:rsidR="000C1E84" w:rsidRPr="00854687">
        <w:t xml:space="preserve"> provide Prep enrolment data for the year after</w:t>
      </w:r>
      <w:r w:rsidR="000C1E84" w:rsidRPr="00C741AC">
        <w:t xml:space="preserve"> Kindergarten enrolment to support assertions that Tasmania's Kindergarten Indigenou</w:t>
      </w:r>
      <w:r w:rsidR="000C1E84" w:rsidRPr="00B3676A">
        <w:t>s participation rates are very high (greater than 95% performance benchmark). Tasmania proposes to further measure the Indigenous participation rates in Kindergarten by retrospectively determining Prep year Indigenous enrolments compared to Kindergarten enrolments.</w:t>
      </w:r>
      <w:r w:rsidR="000C1E84" w:rsidRPr="003A0877">
        <w:t xml:space="preserve"> </w:t>
      </w:r>
      <w:r w:rsidR="00403FD4" w:rsidRPr="003A0877">
        <w:t xml:space="preserve"> </w:t>
      </w:r>
      <w:r w:rsidR="000C1E84" w:rsidRPr="00C741AC">
        <w:t>This methodology will determine which students did not enrol in the previous year, but were eligible to, and hence determine an accurate participation rate.</w:t>
      </w:r>
      <w:r w:rsidR="00403FD4" w:rsidRPr="00C741AC">
        <w:t xml:space="preserve"> </w:t>
      </w:r>
      <w:r w:rsidR="000C1E84" w:rsidRPr="00C741AC">
        <w:t xml:space="preserve"> This is possible as Prep in Tasmania is the first compulsory year of school, and Tasmania has very accurate and detailed enrolment records in our schools enrolment administration system (EduPoint</w:t>
      </w:r>
      <w:r w:rsidR="000C1E84" w:rsidRPr="00854687">
        <w:t>).</w:t>
      </w:r>
    </w:p>
    <w:p w14:paraId="392AB1A6" w14:textId="079318C1" w:rsidR="000C1E84" w:rsidRDefault="000C1E84" w:rsidP="00FA47C6">
      <w:pPr>
        <w:spacing w:after="140"/>
        <w:ind w:left="1260" w:hanging="540"/>
        <w:jc w:val="both"/>
      </w:pPr>
      <w:r>
        <w:t xml:space="preserve">(f) </w:t>
      </w:r>
      <w:r w:rsidR="004864ED">
        <w:tab/>
      </w:r>
      <w:r>
        <w:t xml:space="preserve">Tasmania will provide </w:t>
      </w:r>
      <w:r w:rsidR="00403FD4">
        <w:t xml:space="preserve">a </w:t>
      </w:r>
      <w:r>
        <w:t xml:space="preserve">report </w:t>
      </w:r>
      <w:r w:rsidRPr="00FF7D7D">
        <w:t>as required by clause 25 of the Natio</w:t>
      </w:r>
      <w:r w:rsidR="00FF7D7D" w:rsidRPr="00FF7D7D">
        <w:t>nal Partnership by 31 March 202</w:t>
      </w:r>
      <w:r w:rsidR="00FF7D7D">
        <w:t>0</w:t>
      </w:r>
      <w:r>
        <w:t xml:space="preserve"> detailing the number of children enrolled in the first year of compulsory schooling (Prep) compared to the students enrolled in the YBFS (Kindergarten). </w:t>
      </w:r>
      <w:r w:rsidR="00403FD4">
        <w:t xml:space="preserve"> </w:t>
      </w:r>
      <w:r>
        <w:t xml:space="preserve">This would demonstrate the participation rate of the </w:t>
      </w:r>
      <w:r w:rsidRPr="00FA47C6">
        <w:t xml:space="preserve">Tasmanian </w:t>
      </w:r>
      <w:r w:rsidRPr="0098402F">
        <w:t>201</w:t>
      </w:r>
      <w:r w:rsidR="00FF7D7D" w:rsidRPr="0098402F">
        <w:t>9</w:t>
      </w:r>
      <w:r w:rsidRPr="00FA47C6">
        <w:t xml:space="preserve"> </w:t>
      </w:r>
      <w:r>
        <w:t>Kindergarten enrolments.</w:t>
      </w:r>
    </w:p>
    <w:p w14:paraId="35EE0F76" w14:textId="77777777" w:rsidR="003E21B2" w:rsidRPr="001E7293" w:rsidRDefault="003E21B2" w:rsidP="00403FD4">
      <w:pPr>
        <w:pStyle w:val="Normalnumbered"/>
        <w:numPr>
          <w:ilvl w:val="0"/>
          <w:numId w:val="0"/>
        </w:numPr>
        <w:ind w:left="567" w:hanging="567"/>
      </w:pPr>
    </w:p>
    <w:p w14:paraId="08D3F9C3" w14:textId="77777777" w:rsidR="008A1747" w:rsidRPr="001E7293" w:rsidRDefault="008A1747" w:rsidP="006B5DBB">
      <w:pPr>
        <w:pStyle w:val="Heading2"/>
        <w:spacing w:after="140"/>
      </w:pPr>
      <w:r w:rsidRPr="001E7293">
        <w:t>Estimated costs</w:t>
      </w:r>
    </w:p>
    <w:p w14:paraId="472163CA" w14:textId="6BDE9B53" w:rsidR="008A1747" w:rsidRPr="001E7293" w:rsidRDefault="008A1747" w:rsidP="008A1747">
      <w:pPr>
        <w:pStyle w:val="Normalnumbered"/>
        <w:spacing w:after="240" w:line="260" w:lineRule="exact"/>
      </w:pPr>
      <w:r w:rsidRPr="001E7293">
        <w:t xml:space="preserve">The maximum financial contribution to be provided by the Commonwealth for the project to the jurisdiction </w:t>
      </w:r>
      <w:r w:rsidRPr="00AC1A1A">
        <w:t xml:space="preserve">is </w:t>
      </w:r>
      <w:r w:rsidR="00195FE8" w:rsidRPr="00C741AC">
        <w:t>$</w:t>
      </w:r>
      <w:r w:rsidR="008E1740">
        <w:t>18.5</w:t>
      </w:r>
      <w:r w:rsidR="00FE27E5">
        <w:t xml:space="preserve"> million</w:t>
      </w:r>
      <w:r w:rsidR="00195FE8" w:rsidRPr="0030501D" w:rsidDel="00AC1A1A">
        <w:t xml:space="preserve"> </w:t>
      </w:r>
      <w:r w:rsidRPr="0030501D">
        <w:t>p</w:t>
      </w:r>
      <w:r w:rsidRPr="001E7293">
        <w:t xml:space="preserve">ayable in accordance with </w:t>
      </w:r>
      <w:r w:rsidR="00D15A57" w:rsidRPr="001E7293">
        <w:t xml:space="preserve">the </w:t>
      </w:r>
      <w:r w:rsidRPr="001E7293">
        <w:t>milestones</w:t>
      </w:r>
      <w:r w:rsidR="00D15A57" w:rsidRPr="001E7293">
        <w:t xml:space="preserve"> and</w:t>
      </w:r>
      <w:r w:rsidRPr="001E7293">
        <w:t xml:space="preserve"> performance benchmarks set out in the National Partnership.  All payments are exclusive of GST.</w:t>
      </w:r>
    </w:p>
    <w:p w14:paraId="66FE0DD4" w14:textId="77777777" w:rsidR="008A1747" w:rsidRPr="001E7293" w:rsidRDefault="008A1747" w:rsidP="008A1747">
      <w:pPr>
        <w:pStyle w:val="Normalnumbered"/>
        <w:spacing w:after="240" w:line="260" w:lineRule="exact"/>
      </w:pPr>
      <w:r w:rsidRPr="001E7293">
        <w:t xml:space="preserve">The estimated overall budget (exclusive of GST) is set out in Table 2. The budget is indicative only and </w:t>
      </w:r>
      <w:r w:rsidR="00780158">
        <w:t>Tasmania</w:t>
      </w:r>
      <w:r w:rsidRPr="001E7293">
        <w:t xml:space="preserve"> retains the flexibility to move funds between components and/or years, as long as outcomes are not affected.  The Commonwealth contribution can only be moved between years with the agreement of the Commonwealth.</w:t>
      </w:r>
    </w:p>
    <w:p w14:paraId="3B6568DD" w14:textId="77777777" w:rsidR="008A1747" w:rsidRPr="001E7293" w:rsidRDefault="008A1747" w:rsidP="0093776A">
      <w:pPr>
        <w:pStyle w:val="Heading3"/>
        <w:spacing w:before="0" w:after="120"/>
        <w:rPr>
          <w:i/>
        </w:rPr>
      </w:pPr>
      <w:r w:rsidRPr="001E7293">
        <w:t>Table 2: Estimated financial contributions</w:t>
      </w:r>
      <w:r w:rsidR="0030501D">
        <w:t>*</w:t>
      </w:r>
    </w:p>
    <w:tbl>
      <w:tblPr>
        <w:tblW w:w="0" w:type="auto"/>
        <w:tblBorders>
          <w:top w:val="single" w:sz="4" w:space="0" w:color="000080"/>
          <w:bottom w:val="single" w:sz="4" w:space="0" w:color="000080"/>
        </w:tblBorders>
        <w:tblLook w:val="01E0" w:firstRow="1" w:lastRow="1" w:firstColumn="1" w:lastColumn="1" w:noHBand="0" w:noVBand="0"/>
      </w:tblPr>
      <w:tblGrid>
        <w:gridCol w:w="4388"/>
        <w:gridCol w:w="1178"/>
        <w:gridCol w:w="1178"/>
        <w:gridCol w:w="1178"/>
        <w:gridCol w:w="1127"/>
      </w:tblGrid>
      <w:tr w:rsidR="00FC3D93" w:rsidRPr="001E7293" w14:paraId="4B3A7283" w14:textId="77777777" w:rsidTr="00FE27E5">
        <w:tc>
          <w:tcPr>
            <w:tcW w:w="4388" w:type="dxa"/>
            <w:tcBorders>
              <w:top w:val="single" w:sz="4" w:space="0" w:color="000080"/>
              <w:bottom w:val="single" w:sz="4" w:space="0" w:color="000080"/>
            </w:tcBorders>
            <w:vAlign w:val="center"/>
          </w:tcPr>
          <w:p w14:paraId="3C74C0E0" w14:textId="77777777" w:rsidR="00FC3D93" w:rsidRPr="001E7293" w:rsidRDefault="00FC3D93" w:rsidP="00006AE0">
            <w:pPr>
              <w:keepNext/>
              <w:keepLines/>
              <w:spacing w:before="40" w:after="40"/>
              <w:jc w:val="center"/>
              <w:rPr>
                <w:b/>
                <w:bCs/>
              </w:rPr>
            </w:pPr>
            <w:r w:rsidRPr="001E7293">
              <w:rPr>
                <w:b/>
                <w:bCs/>
              </w:rPr>
              <w:t>($ million)</w:t>
            </w:r>
          </w:p>
        </w:tc>
        <w:tc>
          <w:tcPr>
            <w:tcW w:w="1178" w:type="dxa"/>
            <w:tcBorders>
              <w:top w:val="single" w:sz="4" w:space="0" w:color="000080"/>
              <w:bottom w:val="single" w:sz="4" w:space="0" w:color="000080"/>
            </w:tcBorders>
          </w:tcPr>
          <w:p w14:paraId="7B4177C6" w14:textId="61A4BE9C" w:rsidR="00FC3D93" w:rsidRPr="001E7293" w:rsidRDefault="00FC3D93" w:rsidP="00006AE0">
            <w:pPr>
              <w:keepNext/>
              <w:keepLines/>
              <w:spacing w:before="40" w:after="40"/>
              <w:jc w:val="center"/>
              <w:rPr>
                <w:b/>
              </w:rPr>
            </w:pPr>
            <w:r w:rsidRPr="00FC3D93">
              <w:rPr>
                <w:b/>
              </w:rPr>
              <w:t>2017-18</w:t>
            </w:r>
          </w:p>
        </w:tc>
        <w:tc>
          <w:tcPr>
            <w:tcW w:w="1178" w:type="dxa"/>
            <w:tcBorders>
              <w:top w:val="single" w:sz="4" w:space="0" w:color="000080"/>
              <w:bottom w:val="single" w:sz="4" w:space="0" w:color="000080"/>
            </w:tcBorders>
            <w:vAlign w:val="center"/>
          </w:tcPr>
          <w:p w14:paraId="66181C00" w14:textId="53F864D7" w:rsidR="00FC3D93" w:rsidRPr="001E7293" w:rsidRDefault="00FC3D93" w:rsidP="00006AE0">
            <w:pPr>
              <w:keepNext/>
              <w:keepLines/>
              <w:spacing w:before="40" w:after="40"/>
              <w:jc w:val="center"/>
              <w:rPr>
                <w:b/>
              </w:rPr>
            </w:pPr>
            <w:r w:rsidRPr="001E7293">
              <w:rPr>
                <w:b/>
              </w:rPr>
              <w:t>2018-19</w:t>
            </w:r>
          </w:p>
        </w:tc>
        <w:tc>
          <w:tcPr>
            <w:tcW w:w="1178" w:type="dxa"/>
            <w:tcBorders>
              <w:top w:val="single" w:sz="4" w:space="0" w:color="000080"/>
              <w:bottom w:val="single" w:sz="4" w:space="0" w:color="000080"/>
            </w:tcBorders>
            <w:vAlign w:val="center"/>
          </w:tcPr>
          <w:p w14:paraId="45F728E8" w14:textId="77777777" w:rsidR="00FC3D93" w:rsidRPr="001E7293" w:rsidRDefault="00FC3D93" w:rsidP="00006AE0">
            <w:pPr>
              <w:keepNext/>
              <w:keepLines/>
              <w:spacing w:before="40" w:after="40"/>
              <w:jc w:val="center"/>
              <w:rPr>
                <w:b/>
              </w:rPr>
            </w:pPr>
            <w:r>
              <w:rPr>
                <w:b/>
              </w:rPr>
              <w:t>2019-20</w:t>
            </w:r>
          </w:p>
        </w:tc>
        <w:tc>
          <w:tcPr>
            <w:tcW w:w="1127" w:type="dxa"/>
            <w:tcBorders>
              <w:top w:val="single" w:sz="4" w:space="0" w:color="000080"/>
              <w:bottom w:val="single" w:sz="4" w:space="0" w:color="000080"/>
            </w:tcBorders>
            <w:vAlign w:val="center"/>
          </w:tcPr>
          <w:p w14:paraId="35E91E41" w14:textId="77777777" w:rsidR="00FC3D93" w:rsidRPr="001E7293" w:rsidRDefault="00FC3D93" w:rsidP="00006AE0">
            <w:pPr>
              <w:keepNext/>
              <w:keepLines/>
              <w:spacing w:before="40" w:after="40"/>
              <w:jc w:val="center"/>
              <w:rPr>
                <w:b/>
              </w:rPr>
            </w:pPr>
            <w:r w:rsidRPr="001E7293">
              <w:rPr>
                <w:b/>
              </w:rPr>
              <w:t>Total</w:t>
            </w:r>
          </w:p>
        </w:tc>
      </w:tr>
      <w:tr w:rsidR="00FC3D93" w:rsidRPr="001E7293" w14:paraId="65292121" w14:textId="77777777" w:rsidTr="00FE27E5">
        <w:tc>
          <w:tcPr>
            <w:tcW w:w="4388" w:type="dxa"/>
            <w:tcBorders>
              <w:top w:val="single" w:sz="4" w:space="0" w:color="000080"/>
              <w:bottom w:val="single" w:sz="4" w:space="0" w:color="000080"/>
            </w:tcBorders>
          </w:tcPr>
          <w:p w14:paraId="1C47EFB2" w14:textId="77777777" w:rsidR="00FC3D93" w:rsidRPr="00C741AC" w:rsidRDefault="00FC3D93" w:rsidP="00006AE0">
            <w:pPr>
              <w:rPr>
                <w:sz w:val="24"/>
              </w:rPr>
            </w:pPr>
            <w:r w:rsidRPr="00C741AC">
              <w:t>Element 1 and 3</w:t>
            </w:r>
          </w:p>
        </w:tc>
        <w:tc>
          <w:tcPr>
            <w:tcW w:w="1178" w:type="dxa"/>
            <w:tcBorders>
              <w:top w:val="single" w:sz="4" w:space="0" w:color="000080"/>
              <w:bottom w:val="single" w:sz="4" w:space="0" w:color="000080"/>
            </w:tcBorders>
          </w:tcPr>
          <w:p w14:paraId="3375B3DC" w14:textId="72A3C2CC" w:rsidR="00FC3D93" w:rsidRPr="00C741AC" w:rsidRDefault="00FC3D93" w:rsidP="00006AE0">
            <w:pPr>
              <w:jc w:val="right"/>
            </w:pPr>
            <w:r>
              <w:t>2.8</w:t>
            </w:r>
          </w:p>
        </w:tc>
        <w:tc>
          <w:tcPr>
            <w:tcW w:w="1178" w:type="dxa"/>
            <w:tcBorders>
              <w:top w:val="single" w:sz="4" w:space="0" w:color="000080"/>
              <w:bottom w:val="single" w:sz="4" w:space="0" w:color="000080"/>
            </w:tcBorders>
          </w:tcPr>
          <w:p w14:paraId="0EC34CEB" w14:textId="2D056AE0" w:rsidR="00FC3D93" w:rsidRPr="00C741AC" w:rsidRDefault="00FC3D93" w:rsidP="00006AE0">
            <w:pPr>
              <w:jc w:val="right"/>
            </w:pPr>
            <w:r>
              <w:t>8.0</w:t>
            </w:r>
          </w:p>
        </w:tc>
        <w:tc>
          <w:tcPr>
            <w:tcW w:w="1178" w:type="dxa"/>
            <w:tcBorders>
              <w:top w:val="single" w:sz="4" w:space="0" w:color="000080"/>
              <w:bottom w:val="single" w:sz="4" w:space="0" w:color="000080"/>
            </w:tcBorders>
          </w:tcPr>
          <w:p w14:paraId="756A9142" w14:textId="52F9A596" w:rsidR="00FC3D93" w:rsidRPr="00C741AC" w:rsidRDefault="00FC3D93" w:rsidP="00006AE0">
            <w:pPr>
              <w:jc w:val="right"/>
            </w:pPr>
            <w:r>
              <w:t>5.5</w:t>
            </w:r>
          </w:p>
        </w:tc>
        <w:tc>
          <w:tcPr>
            <w:tcW w:w="1127" w:type="dxa"/>
            <w:tcBorders>
              <w:top w:val="single" w:sz="4" w:space="0" w:color="000080"/>
              <w:bottom w:val="single" w:sz="4" w:space="0" w:color="000080"/>
            </w:tcBorders>
          </w:tcPr>
          <w:p w14:paraId="14539288" w14:textId="26A1E70E" w:rsidR="00FC3D93" w:rsidRPr="00AE0E3C" w:rsidRDefault="00FC3D93" w:rsidP="00006AE0">
            <w:pPr>
              <w:jc w:val="right"/>
            </w:pPr>
            <w:r w:rsidRPr="00AE0E3C">
              <w:t>16.3</w:t>
            </w:r>
          </w:p>
        </w:tc>
      </w:tr>
      <w:tr w:rsidR="00FC3D93" w:rsidRPr="001E7293" w14:paraId="00FCA531" w14:textId="77777777" w:rsidTr="00FE27E5">
        <w:tc>
          <w:tcPr>
            <w:tcW w:w="4388" w:type="dxa"/>
            <w:tcBorders>
              <w:top w:val="single" w:sz="4" w:space="0" w:color="000080"/>
              <w:bottom w:val="single" w:sz="4" w:space="0" w:color="000080"/>
            </w:tcBorders>
          </w:tcPr>
          <w:p w14:paraId="75E8D1E4" w14:textId="77777777" w:rsidR="00FC3D93" w:rsidRPr="00C741AC" w:rsidRDefault="00FC3D93" w:rsidP="00006AE0">
            <w:pPr>
              <w:rPr>
                <w:sz w:val="24"/>
              </w:rPr>
            </w:pPr>
            <w:r w:rsidRPr="00C741AC">
              <w:t>Element 2</w:t>
            </w:r>
          </w:p>
        </w:tc>
        <w:tc>
          <w:tcPr>
            <w:tcW w:w="1178" w:type="dxa"/>
            <w:tcBorders>
              <w:top w:val="single" w:sz="4" w:space="0" w:color="000080"/>
              <w:bottom w:val="single" w:sz="4" w:space="0" w:color="000080"/>
            </w:tcBorders>
          </w:tcPr>
          <w:p w14:paraId="21852117" w14:textId="77777777" w:rsidR="00FC3D93" w:rsidRPr="00C741AC" w:rsidRDefault="00FC3D93" w:rsidP="00006AE0">
            <w:pPr>
              <w:jc w:val="right"/>
            </w:pPr>
          </w:p>
        </w:tc>
        <w:tc>
          <w:tcPr>
            <w:tcW w:w="1178" w:type="dxa"/>
            <w:tcBorders>
              <w:top w:val="single" w:sz="4" w:space="0" w:color="000080"/>
              <w:bottom w:val="single" w:sz="4" w:space="0" w:color="000080"/>
            </w:tcBorders>
          </w:tcPr>
          <w:p w14:paraId="7FC90F09" w14:textId="4109F8B0" w:rsidR="00FC3D93" w:rsidRPr="00C741AC" w:rsidRDefault="00FC3D93" w:rsidP="00006AE0">
            <w:pPr>
              <w:jc w:val="right"/>
            </w:pPr>
            <w:r>
              <w:t>1.3</w:t>
            </w:r>
          </w:p>
        </w:tc>
        <w:tc>
          <w:tcPr>
            <w:tcW w:w="1178" w:type="dxa"/>
            <w:tcBorders>
              <w:top w:val="single" w:sz="4" w:space="0" w:color="000080"/>
              <w:bottom w:val="single" w:sz="4" w:space="0" w:color="000080"/>
            </w:tcBorders>
          </w:tcPr>
          <w:p w14:paraId="5F52CC2C" w14:textId="268CE8F3" w:rsidR="00FC3D93" w:rsidRPr="00C741AC" w:rsidRDefault="00FC3D93" w:rsidP="00006AE0">
            <w:pPr>
              <w:jc w:val="right"/>
            </w:pPr>
            <w:r>
              <w:t>0.9</w:t>
            </w:r>
          </w:p>
        </w:tc>
        <w:tc>
          <w:tcPr>
            <w:tcW w:w="1127" w:type="dxa"/>
            <w:tcBorders>
              <w:top w:val="single" w:sz="4" w:space="0" w:color="000080"/>
              <w:bottom w:val="single" w:sz="4" w:space="0" w:color="000080"/>
            </w:tcBorders>
          </w:tcPr>
          <w:p w14:paraId="066F903A" w14:textId="1447247F" w:rsidR="00FC3D93" w:rsidRPr="00AE0E3C" w:rsidRDefault="00FC3D93" w:rsidP="00006AE0">
            <w:pPr>
              <w:jc w:val="right"/>
            </w:pPr>
            <w:r w:rsidRPr="00AE0E3C">
              <w:t>2.2</w:t>
            </w:r>
          </w:p>
        </w:tc>
      </w:tr>
      <w:tr w:rsidR="00FE27E5" w:rsidRPr="001E7293" w14:paraId="08D3BA3E" w14:textId="77777777" w:rsidTr="00706EDA">
        <w:tc>
          <w:tcPr>
            <w:tcW w:w="4388" w:type="dxa"/>
            <w:tcBorders>
              <w:top w:val="single" w:sz="4" w:space="0" w:color="000080"/>
              <w:bottom w:val="single" w:sz="4" w:space="0" w:color="000080"/>
            </w:tcBorders>
          </w:tcPr>
          <w:p w14:paraId="5E9F5086" w14:textId="77777777" w:rsidR="00FE27E5" w:rsidRPr="00C741AC" w:rsidRDefault="00FE27E5" w:rsidP="00006AE0">
            <w:r w:rsidRPr="00C741AC">
              <w:t>Total estimated budget</w:t>
            </w:r>
          </w:p>
        </w:tc>
        <w:tc>
          <w:tcPr>
            <w:tcW w:w="1178" w:type="dxa"/>
            <w:tcBorders>
              <w:top w:val="single" w:sz="4" w:space="0" w:color="000080"/>
              <w:bottom w:val="single" w:sz="4" w:space="0" w:color="000080"/>
            </w:tcBorders>
          </w:tcPr>
          <w:p w14:paraId="20E10CFB" w14:textId="77777777" w:rsidR="00FE27E5" w:rsidRPr="00C741AC" w:rsidRDefault="00FE27E5" w:rsidP="00006AE0">
            <w:pPr>
              <w:jc w:val="right"/>
            </w:pPr>
            <w:r>
              <w:t>2.8</w:t>
            </w:r>
          </w:p>
        </w:tc>
        <w:tc>
          <w:tcPr>
            <w:tcW w:w="1178" w:type="dxa"/>
            <w:tcBorders>
              <w:top w:val="single" w:sz="4" w:space="0" w:color="000080"/>
              <w:bottom w:val="single" w:sz="4" w:space="0" w:color="000080"/>
            </w:tcBorders>
          </w:tcPr>
          <w:p w14:paraId="74BBCD07" w14:textId="77777777" w:rsidR="00FE27E5" w:rsidRPr="00C741AC" w:rsidRDefault="00FE27E5" w:rsidP="00006AE0">
            <w:pPr>
              <w:jc w:val="right"/>
            </w:pPr>
            <w:r>
              <w:t>9.3</w:t>
            </w:r>
          </w:p>
        </w:tc>
        <w:tc>
          <w:tcPr>
            <w:tcW w:w="1178" w:type="dxa"/>
            <w:tcBorders>
              <w:top w:val="single" w:sz="4" w:space="0" w:color="000080"/>
              <w:bottom w:val="single" w:sz="4" w:space="0" w:color="000080"/>
            </w:tcBorders>
          </w:tcPr>
          <w:p w14:paraId="63B56932" w14:textId="77777777" w:rsidR="00FE27E5" w:rsidRPr="00C741AC" w:rsidRDefault="00FE27E5" w:rsidP="00006AE0">
            <w:pPr>
              <w:jc w:val="right"/>
            </w:pPr>
            <w:r>
              <w:t>6.4</w:t>
            </w:r>
          </w:p>
        </w:tc>
        <w:tc>
          <w:tcPr>
            <w:tcW w:w="1127" w:type="dxa"/>
            <w:tcBorders>
              <w:top w:val="single" w:sz="4" w:space="0" w:color="000080"/>
              <w:bottom w:val="single" w:sz="4" w:space="0" w:color="000080"/>
            </w:tcBorders>
          </w:tcPr>
          <w:p w14:paraId="4191937B" w14:textId="77777777" w:rsidR="00FE27E5" w:rsidRPr="00AE0E3C" w:rsidRDefault="00FE27E5" w:rsidP="00006AE0">
            <w:pPr>
              <w:jc w:val="right"/>
            </w:pPr>
            <w:r w:rsidRPr="00AE0E3C">
              <w:t>18.5</w:t>
            </w:r>
          </w:p>
        </w:tc>
      </w:tr>
      <w:tr w:rsidR="00FE27E5" w:rsidRPr="001E7293" w14:paraId="0441AD5B" w14:textId="77777777" w:rsidTr="005C426E">
        <w:tc>
          <w:tcPr>
            <w:tcW w:w="4388" w:type="dxa"/>
            <w:tcBorders>
              <w:top w:val="single" w:sz="4" w:space="0" w:color="000080"/>
              <w:bottom w:val="single" w:sz="4" w:space="0" w:color="000080"/>
            </w:tcBorders>
          </w:tcPr>
          <w:p w14:paraId="0EC8D4DD" w14:textId="77777777" w:rsidR="00FE27E5" w:rsidRPr="00C741AC" w:rsidRDefault="00FE27E5" w:rsidP="00006AE0">
            <w:r w:rsidRPr="00C741AC">
              <w:rPr>
                <w:i/>
                <w:iCs/>
              </w:rPr>
              <w:t>less</w:t>
            </w:r>
            <w:r w:rsidRPr="00C741AC">
              <w:t xml:space="preserve"> estimated Commonwealth contribution</w:t>
            </w:r>
          </w:p>
        </w:tc>
        <w:tc>
          <w:tcPr>
            <w:tcW w:w="1178" w:type="dxa"/>
            <w:tcBorders>
              <w:top w:val="single" w:sz="4" w:space="0" w:color="000080"/>
              <w:bottom w:val="single" w:sz="4" w:space="0" w:color="000080"/>
            </w:tcBorders>
          </w:tcPr>
          <w:p w14:paraId="499AD337" w14:textId="77777777" w:rsidR="00FE27E5" w:rsidRPr="00C741AC" w:rsidRDefault="00FE27E5" w:rsidP="00006AE0">
            <w:pPr>
              <w:jc w:val="right"/>
            </w:pPr>
            <w:r>
              <w:t>2.8</w:t>
            </w:r>
          </w:p>
        </w:tc>
        <w:tc>
          <w:tcPr>
            <w:tcW w:w="1178" w:type="dxa"/>
            <w:tcBorders>
              <w:top w:val="single" w:sz="4" w:space="0" w:color="000080"/>
              <w:bottom w:val="single" w:sz="4" w:space="0" w:color="000080"/>
            </w:tcBorders>
          </w:tcPr>
          <w:p w14:paraId="53A5AFE8" w14:textId="77777777" w:rsidR="00FE27E5" w:rsidRPr="00C741AC" w:rsidRDefault="00FE27E5" w:rsidP="00006AE0">
            <w:pPr>
              <w:jc w:val="right"/>
            </w:pPr>
            <w:r>
              <w:t>9.3</w:t>
            </w:r>
          </w:p>
        </w:tc>
        <w:tc>
          <w:tcPr>
            <w:tcW w:w="1178" w:type="dxa"/>
            <w:tcBorders>
              <w:top w:val="single" w:sz="4" w:space="0" w:color="000080"/>
              <w:bottom w:val="single" w:sz="4" w:space="0" w:color="000080"/>
            </w:tcBorders>
          </w:tcPr>
          <w:p w14:paraId="165A49B3" w14:textId="77777777" w:rsidR="00FE27E5" w:rsidRPr="00C741AC" w:rsidRDefault="00FE27E5" w:rsidP="00006AE0">
            <w:pPr>
              <w:jc w:val="right"/>
            </w:pPr>
            <w:r>
              <w:t>6.4</w:t>
            </w:r>
          </w:p>
        </w:tc>
        <w:tc>
          <w:tcPr>
            <w:tcW w:w="1127" w:type="dxa"/>
            <w:tcBorders>
              <w:top w:val="single" w:sz="4" w:space="0" w:color="000080"/>
              <w:bottom w:val="single" w:sz="4" w:space="0" w:color="000080"/>
            </w:tcBorders>
          </w:tcPr>
          <w:p w14:paraId="20CA1984" w14:textId="77777777" w:rsidR="00FE27E5" w:rsidRPr="00AE0E3C" w:rsidRDefault="00FE27E5" w:rsidP="00006AE0">
            <w:pPr>
              <w:jc w:val="right"/>
            </w:pPr>
            <w:r w:rsidRPr="00AE0E3C">
              <w:t>18.5</w:t>
            </w:r>
          </w:p>
        </w:tc>
      </w:tr>
      <w:tr w:rsidR="00FC3D93" w:rsidRPr="001E7293" w14:paraId="1D5780C2" w14:textId="77777777" w:rsidTr="00FE27E5">
        <w:tc>
          <w:tcPr>
            <w:tcW w:w="4388" w:type="dxa"/>
            <w:tcBorders>
              <w:top w:val="single" w:sz="4" w:space="0" w:color="000080"/>
              <w:bottom w:val="single" w:sz="4" w:space="0" w:color="000080"/>
            </w:tcBorders>
          </w:tcPr>
          <w:p w14:paraId="1FB9F0EF" w14:textId="77777777" w:rsidR="00FC3D93" w:rsidRPr="00C741AC" w:rsidRDefault="00FC3D93" w:rsidP="00006AE0">
            <w:r w:rsidRPr="00C741AC">
              <w:t>equals estimated balance of non</w:t>
            </w:r>
            <w:r w:rsidRPr="00C741AC">
              <w:noBreakHyphen/>
              <w:t>Commonwealth contributions</w:t>
            </w:r>
          </w:p>
        </w:tc>
        <w:tc>
          <w:tcPr>
            <w:tcW w:w="1178" w:type="dxa"/>
            <w:tcBorders>
              <w:top w:val="single" w:sz="4" w:space="0" w:color="000080"/>
              <w:bottom w:val="single" w:sz="4" w:space="0" w:color="000080"/>
            </w:tcBorders>
          </w:tcPr>
          <w:p w14:paraId="75A7908E" w14:textId="1924176D" w:rsidR="00FC3D93" w:rsidRPr="00C741AC" w:rsidRDefault="004A3084" w:rsidP="00006AE0">
            <w:pPr>
              <w:jc w:val="right"/>
            </w:pPr>
            <w:r>
              <w:t>**</w:t>
            </w:r>
          </w:p>
        </w:tc>
        <w:tc>
          <w:tcPr>
            <w:tcW w:w="1178" w:type="dxa"/>
            <w:tcBorders>
              <w:top w:val="single" w:sz="4" w:space="0" w:color="000080"/>
              <w:bottom w:val="single" w:sz="4" w:space="0" w:color="000080"/>
            </w:tcBorders>
          </w:tcPr>
          <w:p w14:paraId="3B5CB713" w14:textId="40D2E4FD" w:rsidR="00FC3D93" w:rsidRPr="00C741AC" w:rsidRDefault="00FC3D93" w:rsidP="00006AE0">
            <w:pPr>
              <w:jc w:val="right"/>
            </w:pPr>
            <w:r w:rsidRPr="00C741AC">
              <w:t>**</w:t>
            </w:r>
          </w:p>
        </w:tc>
        <w:tc>
          <w:tcPr>
            <w:tcW w:w="1178" w:type="dxa"/>
            <w:tcBorders>
              <w:top w:val="single" w:sz="4" w:space="0" w:color="000080"/>
              <w:bottom w:val="single" w:sz="4" w:space="0" w:color="000080"/>
            </w:tcBorders>
          </w:tcPr>
          <w:p w14:paraId="6EE81ADB" w14:textId="011C1B7F" w:rsidR="00FC3D93" w:rsidRPr="00C741AC" w:rsidRDefault="004A3084" w:rsidP="00006AE0">
            <w:pPr>
              <w:jc w:val="right"/>
            </w:pPr>
            <w:r>
              <w:t>**</w:t>
            </w:r>
          </w:p>
        </w:tc>
        <w:tc>
          <w:tcPr>
            <w:tcW w:w="1127" w:type="dxa"/>
            <w:tcBorders>
              <w:top w:val="single" w:sz="4" w:space="0" w:color="000080"/>
              <w:bottom w:val="single" w:sz="4" w:space="0" w:color="000080"/>
            </w:tcBorders>
          </w:tcPr>
          <w:p w14:paraId="595B4449" w14:textId="29600BAD" w:rsidR="00FC3D93" w:rsidRPr="00AE0E3C" w:rsidRDefault="004A3084" w:rsidP="00006AE0">
            <w:pPr>
              <w:jc w:val="right"/>
            </w:pPr>
            <w:r w:rsidRPr="00AE0E3C">
              <w:t>**</w:t>
            </w:r>
          </w:p>
        </w:tc>
      </w:tr>
      <w:tr w:rsidR="00FE27E5" w:rsidRPr="001E7293" w14:paraId="7F7072D6" w14:textId="77777777" w:rsidTr="00D1738E">
        <w:tc>
          <w:tcPr>
            <w:tcW w:w="4388" w:type="dxa"/>
            <w:tcBorders>
              <w:top w:val="single" w:sz="4" w:space="0" w:color="000080"/>
              <w:bottom w:val="single" w:sz="4" w:space="0" w:color="000080"/>
            </w:tcBorders>
          </w:tcPr>
          <w:p w14:paraId="08CA8B88" w14:textId="77777777" w:rsidR="00FE27E5" w:rsidRPr="00C741AC" w:rsidRDefault="00FE27E5" w:rsidP="00006AE0">
            <w:r w:rsidRPr="00C741AC">
              <w:rPr>
                <w:b/>
              </w:rPr>
              <w:t>Total Commonwealth contribution</w:t>
            </w:r>
          </w:p>
        </w:tc>
        <w:tc>
          <w:tcPr>
            <w:tcW w:w="1178" w:type="dxa"/>
            <w:tcBorders>
              <w:top w:val="single" w:sz="4" w:space="0" w:color="000080"/>
              <w:bottom w:val="single" w:sz="4" w:space="0" w:color="000080"/>
            </w:tcBorders>
          </w:tcPr>
          <w:p w14:paraId="5D57A1D1" w14:textId="77777777" w:rsidR="00FE27E5" w:rsidRPr="00C741AC" w:rsidRDefault="00FE27E5" w:rsidP="00006AE0">
            <w:pPr>
              <w:jc w:val="right"/>
            </w:pPr>
            <w:r>
              <w:t>2.8</w:t>
            </w:r>
          </w:p>
        </w:tc>
        <w:tc>
          <w:tcPr>
            <w:tcW w:w="1178" w:type="dxa"/>
            <w:tcBorders>
              <w:top w:val="single" w:sz="4" w:space="0" w:color="000080"/>
              <w:bottom w:val="single" w:sz="4" w:space="0" w:color="000080"/>
            </w:tcBorders>
          </w:tcPr>
          <w:p w14:paraId="05E7BEB9" w14:textId="77777777" w:rsidR="00FE27E5" w:rsidRPr="00C741AC" w:rsidRDefault="00FE27E5" w:rsidP="00006AE0">
            <w:pPr>
              <w:jc w:val="right"/>
            </w:pPr>
            <w:r>
              <w:t>9.3</w:t>
            </w:r>
          </w:p>
        </w:tc>
        <w:tc>
          <w:tcPr>
            <w:tcW w:w="1178" w:type="dxa"/>
            <w:tcBorders>
              <w:top w:val="single" w:sz="4" w:space="0" w:color="000080"/>
              <w:bottom w:val="single" w:sz="4" w:space="0" w:color="000080"/>
            </w:tcBorders>
          </w:tcPr>
          <w:p w14:paraId="268C72FC" w14:textId="77777777" w:rsidR="00FE27E5" w:rsidRPr="00C741AC" w:rsidRDefault="00FE27E5" w:rsidP="00006AE0">
            <w:pPr>
              <w:jc w:val="right"/>
            </w:pPr>
            <w:r>
              <w:t>6.4</w:t>
            </w:r>
          </w:p>
        </w:tc>
        <w:tc>
          <w:tcPr>
            <w:tcW w:w="1127" w:type="dxa"/>
            <w:tcBorders>
              <w:top w:val="single" w:sz="4" w:space="0" w:color="000080"/>
              <w:bottom w:val="single" w:sz="4" w:space="0" w:color="000080"/>
            </w:tcBorders>
          </w:tcPr>
          <w:p w14:paraId="7523F4BA" w14:textId="77777777" w:rsidR="00FE27E5" w:rsidRPr="00AE0E3C" w:rsidRDefault="00FE27E5" w:rsidP="00006AE0">
            <w:pPr>
              <w:jc w:val="right"/>
            </w:pPr>
            <w:r w:rsidRPr="00AE0E3C">
              <w:t>18.5</w:t>
            </w:r>
          </w:p>
        </w:tc>
      </w:tr>
    </w:tbl>
    <w:p w14:paraId="786D242B" w14:textId="77777777" w:rsidR="0030501D" w:rsidRPr="0018356F" w:rsidRDefault="0018356F" w:rsidP="0018356F">
      <w:pPr>
        <w:ind w:left="142" w:hanging="142"/>
        <w:rPr>
          <w:sz w:val="20"/>
          <w:szCs w:val="20"/>
        </w:rPr>
      </w:pPr>
      <w:r>
        <w:rPr>
          <w:sz w:val="20"/>
          <w:szCs w:val="20"/>
        </w:rPr>
        <w:t>*</w:t>
      </w:r>
      <w:r w:rsidR="001A3256">
        <w:rPr>
          <w:sz w:val="20"/>
          <w:szCs w:val="20"/>
        </w:rPr>
        <w:t xml:space="preserve"> </w:t>
      </w:r>
      <w:r w:rsidR="0030501D" w:rsidRPr="0018356F">
        <w:rPr>
          <w:sz w:val="20"/>
          <w:szCs w:val="20"/>
        </w:rPr>
        <w:t>Figures may not add up due to rounding.  All figures are estimates including estimated allocations by element.</w:t>
      </w:r>
    </w:p>
    <w:p w14:paraId="524795D0" w14:textId="369D45D4" w:rsidR="00DD1CE5" w:rsidRPr="001E7293" w:rsidRDefault="00195FE8" w:rsidP="006A39F1">
      <w:r w:rsidRPr="00195FE8">
        <w:rPr>
          <w:sz w:val="20"/>
          <w:szCs w:val="20"/>
        </w:rPr>
        <w:t>** States/territorie</w:t>
      </w:r>
      <w:r w:rsidRPr="0054655D">
        <w:rPr>
          <w:sz w:val="20"/>
          <w:szCs w:val="20"/>
        </w:rPr>
        <w:t>s are responsible for the provision of early childhood education and Tasmania allocates its own source funding accordingly.</w:t>
      </w:r>
    </w:p>
    <w:p w14:paraId="1F4B36D0" w14:textId="77777777" w:rsidR="0036688B" w:rsidRPr="001E7293" w:rsidRDefault="007B4BA6" w:rsidP="002D5120">
      <w:pPr>
        <w:pStyle w:val="Heading2"/>
        <w:spacing w:after="120"/>
      </w:pPr>
      <w:r w:rsidRPr="001E7293">
        <w:t>Program</w:t>
      </w:r>
      <w:r w:rsidR="0036688B" w:rsidRPr="001E7293">
        <w:t xml:space="preserve"> logic</w:t>
      </w:r>
    </w:p>
    <w:p w14:paraId="238292C5" w14:textId="77777777" w:rsidR="0036688B" w:rsidRPr="001E7293" w:rsidRDefault="0036688B" w:rsidP="0036688B">
      <w:pPr>
        <w:pStyle w:val="Normalnumbered"/>
        <w:spacing w:after="240" w:line="260" w:lineRule="exact"/>
        <w:jc w:val="both"/>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stated in the </w:t>
      </w:r>
      <w:r w:rsidR="002E328E" w:rsidRPr="001E7293">
        <w:t>National Partnership</w:t>
      </w:r>
      <w:r w:rsidR="005C7691" w:rsidRPr="001E7293">
        <w:t>,</w:t>
      </w:r>
      <w:r w:rsidRPr="001E7293">
        <w:t xml:space="preserve"> </w:t>
      </w:r>
      <w:r w:rsidR="005C7691" w:rsidRPr="001E7293">
        <w:t>including for vulnerable and disadvantaged children and Indigenous children</w:t>
      </w:r>
      <w:r w:rsidRPr="001E7293">
        <w:t>.</w:t>
      </w:r>
    </w:p>
    <w:p w14:paraId="634554CC" w14:textId="77777777" w:rsidR="0036688B" w:rsidRPr="001E7293" w:rsidRDefault="0036688B" w:rsidP="00E96DA4">
      <w:pPr>
        <w:pStyle w:val="Normalnumbered"/>
        <w:spacing w:after="240" w:line="260" w:lineRule="exact"/>
        <w:jc w:val="both"/>
      </w:pPr>
      <w:r w:rsidRPr="001E7293">
        <w:t xml:space="preserve">The way 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r w:rsidRPr="001E7293">
        <w:t xml:space="preserve"> </w:t>
      </w:r>
    </w:p>
    <w:p w14:paraId="75D31004" w14:textId="77777777" w:rsidR="006B5DBB" w:rsidRDefault="006B5DBB">
      <w:pPr>
        <w:rPr>
          <w:rFonts w:ascii="Consolas" w:hAnsi="Consolas"/>
          <w:b/>
          <w:color w:val="3D4B67"/>
          <w:szCs w:val="20"/>
        </w:rPr>
      </w:pPr>
      <w:r>
        <w:rPr>
          <w:rFonts w:ascii="Consolas" w:hAnsi="Consolas"/>
          <w:b/>
          <w:color w:val="3D4B67"/>
          <w:szCs w:val="20"/>
        </w:rPr>
        <w:br w:type="page"/>
      </w:r>
    </w:p>
    <w:p w14:paraId="3D1A5799" w14:textId="77777777" w:rsidR="003E230C" w:rsidRPr="001E7293" w:rsidRDefault="0036688B" w:rsidP="00612BDE">
      <w:pPr>
        <w:keepNext/>
        <w:spacing w:after="120"/>
        <w:outlineLvl w:val="2"/>
        <w:rPr>
          <w:color w:val="3D4B67"/>
          <w:szCs w:val="23"/>
        </w:rPr>
      </w:pPr>
      <w:r w:rsidRPr="001E7293">
        <w:rPr>
          <w:rFonts w:ascii="Consolas" w:hAnsi="Consolas"/>
          <w:b/>
          <w:color w:val="3D4B67"/>
          <w:szCs w:val="20"/>
        </w:rPr>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25"/>
        <w:gridCol w:w="2439"/>
        <w:gridCol w:w="1524"/>
        <w:gridCol w:w="1890"/>
        <w:gridCol w:w="1682"/>
      </w:tblGrid>
      <w:tr w:rsidR="00F2493A" w:rsidRPr="001E7293" w14:paraId="0C1D6608" w14:textId="77777777" w:rsidTr="006B5DBB">
        <w:trPr>
          <w:cantSplit/>
        </w:trPr>
        <w:tc>
          <w:tcPr>
            <w:tcW w:w="842" w:type="pct"/>
            <w:shd w:val="clear" w:color="auto" w:fill="E6E6E6"/>
          </w:tcPr>
          <w:p w14:paraId="369F6305" w14:textId="77777777" w:rsidR="00F2493A" w:rsidRPr="001E7293" w:rsidRDefault="00737A4C" w:rsidP="004C6F59">
            <w:pPr>
              <w:jc w:val="center"/>
              <w:rPr>
                <w:rFonts w:ascii="Times New Roman" w:hAnsi="Times New Roman"/>
                <w:b/>
              </w:rPr>
            </w:pPr>
            <w:r w:rsidRPr="001E7293">
              <w:rPr>
                <w:b/>
                <w:lang w:eastAsia="en-US"/>
              </w:rPr>
              <w:t>Project</w:t>
            </w:r>
            <w:r w:rsidR="00432B5D" w:rsidRPr="001E7293">
              <w:rPr>
                <w:b/>
                <w:lang w:eastAsia="en-US"/>
              </w:rPr>
              <w:t xml:space="preserve"> element</w:t>
            </w:r>
            <w:r w:rsidR="00F2493A" w:rsidRPr="001E7293">
              <w:rPr>
                <w:b/>
                <w:lang w:eastAsia="en-US"/>
              </w:rPr>
              <w:t>s</w:t>
            </w:r>
          </w:p>
        </w:tc>
        <w:tc>
          <w:tcPr>
            <w:tcW w:w="1346" w:type="pct"/>
            <w:shd w:val="clear" w:color="auto" w:fill="E6E6E6"/>
          </w:tcPr>
          <w:p w14:paraId="1BA699E0" w14:textId="77777777" w:rsidR="00F2493A" w:rsidRPr="001E7293" w:rsidRDefault="00F2493A" w:rsidP="004C6F59">
            <w:pPr>
              <w:jc w:val="center"/>
              <w:rPr>
                <w:b/>
              </w:rPr>
            </w:pPr>
            <w:r w:rsidRPr="001E7293">
              <w:rPr>
                <w:b/>
              </w:rPr>
              <w:t>Outputs</w:t>
            </w:r>
          </w:p>
          <w:p w14:paraId="6169DECB" w14:textId="77777777" w:rsidR="00F2493A" w:rsidRPr="001E7293" w:rsidRDefault="00DC0703" w:rsidP="00EB3093">
            <w:pPr>
              <w:jc w:val="center"/>
              <w:rPr>
                <w:b/>
              </w:rPr>
            </w:pPr>
            <w:r w:rsidRPr="001E7293">
              <w:t>(</w:t>
            </w:r>
            <w:r w:rsidR="00F2493A" w:rsidRPr="001E7293">
              <w:t>services delivered)</w:t>
            </w:r>
          </w:p>
        </w:tc>
        <w:tc>
          <w:tcPr>
            <w:tcW w:w="841" w:type="pct"/>
            <w:shd w:val="clear" w:color="auto" w:fill="E6E6E6"/>
          </w:tcPr>
          <w:p w14:paraId="35950955" w14:textId="77777777" w:rsidR="00F2493A" w:rsidRPr="001E7293" w:rsidRDefault="00F2493A" w:rsidP="004C6F59">
            <w:pPr>
              <w:jc w:val="center"/>
              <w:rPr>
                <w:b/>
              </w:rPr>
            </w:pPr>
            <w:r w:rsidRPr="001E7293">
              <w:rPr>
                <w:b/>
              </w:rPr>
              <w:t>Outcomes</w:t>
            </w:r>
          </w:p>
        </w:tc>
        <w:tc>
          <w:tcPr>
            <w:tcW w:w="1043" w:type="pct"/>
            <w:shd w:val="clear" w:color="auto" w:fill="E6E6E6"/>
          </w:tcPr>
          <w:p w14:paraId="3193D7D3" w14:textId="77777777" w:rsidR="00F2493A" w:rsidRPr="001E7293" w:rsidRDefault="00F2493A" w:rsidP="004C6F59">
            <w:pPr>
              <w:jc w:val="center"/>
              <w:rPr>
                <w:b/>
              </w:rPr>
            </w:pPr>
            <w:r w:rsidRPr="001E7293">
              <w:rPr>
                <w:b/>
              </w:rPr>
              <w:t>Project Objectives</w:t>
            </w:r>
          </w:p>
        </w:tc>
        <w:tc>
          <w:tcPr>
            <w:tcW w:w="928" w:type="pct"/>
            <w:shd w:val="clear" w:color="auto" w:fill="E6E6E6"/>
          </w:tcPr>
          <w:p w14:paraId="0FCB7A3E" w14:textId="77777777" w:rsidR="00F2493A" w:rsidRPr="001E7293" w:rsidRDefault="00F2493A" w:rsidP="004C6F59">
            <w:pPr>
              <w:jc w:val="center"/>
              <w:rPr>
                <w:b/>
              </w:rPr>
            </w:pPr>
            <w:r w:rsidRPr="001E7293">
              <w:rPr>
                <w:b/>
              </w:rPr>
              <w:t>Responsibilities</w:t>
            </w:r>
          </w:p>
        </w:tc>
      </w:tr>
      <w:tr w:rsidR="00F2493A" w:rsidRPr="001E7293" w14:paraId="1E5B3873" w14:textId="77777777" w:rsidTr="006B5DBB">
        <w:trPr>
          <w:cantSplit/>
        </w:trPr>
        <w:tc>
          <w:tcPr>
            <w:tcW w:w="842" w:type="pct"/>
          </w:tcPr>
          <w:p w14:paraId="5EDFFBA6" w14:textId="77777777" w:rsidR="00F2493A" w:rsidRDefault="00432B5D" w:rsidP="00191251">
            <w:r w:rsidRPr="001E7293">
              <w:t xml:space="preserve">Element </w:t>
            </w:r>
            <w:r w:rsidR="00F2493A" w:rsidRPr="001E7293">
              <w:t>1</w:t>
            </w:r>
          </w:p>
          <w:p w14:paraId="51C5F8BA" w14:textId="77777777" w:rsidR="001B37C4" w:rsidRPr="001E7293" w:rsidRDefault="001B37C4" w:rsidP="00191251">
            <w:r>
              <w:t>Universal access to kindergarten</w:t>
            </w:r>
          </w:p>
        </w:tc>
        <w:tc>
          <w:tcPr>
            <w:tcW w:w="1346" w:type="pct"/>
          </w:tcPr>
          <w:p w14:paraId="32E3E737" w14:textId="77777777" w:rsidR="006B5DBB" w:rsidRDefault="0030501D" w:rsidP="001B37C4">
            <w:pPr>
              <w:autoSpaceDE w:val="0"/>
              <w:autoSpaceDN w:val="0"/>
              <w:adjustRightInd w:val="0"/>
              <w:rPr>
                <w:rFonts w:cs="Corbel"/>
                <w:color w:val="auto"/>
                <w:sz w:val="22"/>
                <w:szCs w:val="22"/>
                <w:lang w:val="en-US"/>
              </w:rPr>
            </w:pPr>
            <w:r>
              <w:rPr>
                <w:rFonts w:cs="Corbel"/>
                <w:color w:val="auto"/>
                <w:sz w:val="22"/>
                <w:szCs w:val="22"/>
                <w:lang w:val="en-US"/>
              </w:rPr>
              <w:t xml:space="preserve">Providing </w:t>
            </w:r>
            <w:r w:rsidR="001B37C4" w:rsidRPr="006B5DBB">
              <w:rPr>
                <w:rFonts w:cs="Corbel"/>
                <w:color w:val="auto"/>
                <w:sz w:val="22"/>
                <w:szCs w:val="22"/>
                <w:lang w:val="en-US"/>
              </w:rPr>
              <w:t>accessible, quality early childhood education programs which meet the needs of parents and communities at a cost which does not present a barrier to participation, particularly for vulnerable and disadvantaged children</w:t>
            </w:r>
            <w:r w:rsidR="006B5DBB">
              <w:rPr>
                <w:rFonts w:cs="Corbel"/>
                <w:color w:val="auto"/>
                <w:sz w:val="22"/>
                <w:szCs w:val="22"/>
                <w:lang w:val="en-US"/>
              </w:rPr>
              <w:t>.</w:t>
            </w:r>
          </w:p>
          <w:p w14:paraId="6C29F52E" w14:textId="77777777" w:rsidR="006B5DBB" w:rsidRDefault="006B5DBB" w:rsidP="001B37C4">
            <w:pPr>
              <w:autoSpaceDE w:val="0"/>
              <w:autoSpaceDN w:val="0"/>
              <w:adjustRightInd w:val="0"/>
              <w:rPr>
                <w:rFonts w:cs="Corbel"/>
                <w:color w:val="auto"/>
                <w:sz w:val="22"/>
                <w:szCs w:val="22"/>
                <w:lang w:val="en-US"/>
              </w:rPr>
            </w:pPr>
          </w:p>
          <w:p w14:paraId="20AFDB80" w14:textId="77777777" w:rsidR="00F2493A" w:rsidRPr="006B5DBB" w:rsidRDefault="001B37C4" w:rsidP="001B37C4">
            <w:pPr>
              <w:autoSpaceDE w:val="0"/>
              <w:autoSpaceDN w:val="0"/>
              <w:adjustRightInd w:val="0"/>
              <w:rPr>
                <w:sz w:val="22"/>
                <w:szCs w:val="22"/>
              </w:rPr>
            </w:pPr>
            <w:r w:rsidRPr="006B5DBB">
              <w:rPr>
                <w:rFonts w:cs="Corbel"/>
                <w:color w:val="auto"/>
                <w:sz w:val="22"/>
                <w:szCs w:val="22"/>
                <w:lang w:val="en-US"/>
              </w:rPr>
              <w:t>Supporting all children’s quality early childhood education participation, regardless of whether quality early childhood education programs are delivered through schools (non</w:t>
            </w:r>
            <w:r w:rsidR="006B5DBB">
              <w:rPr>
                <w:rFonts w:cs="Corbel"/>
                <w:color w:val="auto"/>
                <w:sz w:val="22"/>
                <w:szCs w:val="22"/>
                <w:lang w:val="en-US"/>
              </w:rPr>
              <w:noBreakHyphen/>
            </w:r>
            <w:r w:rsidRPr="006B5DBB">
              <w:rPr>
                <w:rFonts w:cs="Corbel"/>
                <w:color w:val="auto"/>
                <w:sz w:val="22"/>
                <w:szCs w:val="22"/>
                <w:lang w:val="en-US"/>
              </w:rPr>
              <w:t>government and government), standalone preschools or LDC centres</w:t>
            </w:r>
          </w:p>
        </w:tc>
        <w:tc>
          <w:tcPr>
            <w:tcW w:w="841" w:type="pct"/>
          </w:tcPr>
          <w:p w14:paraId="158485A9" w14:textId="77777777" w:rsidR="00F2493A" w:rsidRPr="006B5DBB" w:rsidRDefault="00B21E07" w:rsidP="00B21E07">
            <w:pPr>
              <w:autoSpaceDE w:val="0"/>
              <w:autoSpaceDN w:val="0"/>
              <w:adjustRightInd w:val="0"/>
              <w:rPr>
                <w:sz w:val="22"/>
                <w:szCs w:val="22"/>
              </w:rPr>
            </w:pPr>
            <w:r w:rsidRPr="006B5DBB">
              <w:rPr>
                <w:rFonts w:cs="Corbel"/>
                <w:color w:val="auto"/>
                <w:sz w:val="22"/>
                <w:szCs w:val="22"/>
                <w:lang w:val="en-US"/>
              </w:rPr>
              <w:t>All children, including vulnerable and disadvantaged children, have access to, and participate in, an affordable, quality early childhood education program</w:t>
            </w:r>
            <w:r w:rsidR="00755605">
              <w:rPr>
                <w:rFonts w:cs="Corbel"/>
                <w:color w:val="auto"/>
                <w:sz w:val="22"/>
                <w:szCs w:val="22"/>
                <w:lang w:val="en-US"/>
              </w:rPr>
              <w:t>.</w:t>
            </w:r>
          </w:p>
        </w:tc>
        <w:tc>
          <w:tcPr>
            <w:tcW w:w="1043" w:type="pct"/>
          </w:tcPr>
          <w:p w14:paraId="180854CD" w14:textId="77777777" w:rsidR="004C6F59" w:rsidRPr="006B5DBB" w:rsidRDefault="00B21E07" w:rsidP="00B21E07">
            <w:pPr>
              <w:autoSpaceDE w:val="0"/>
              <w:autoSpaceDN w:val="0"/>
              <w:adjustRightInd w:val="0"/>
              <w:rPr>
                <w:sz w:val="22"/>
                <w:szCs w:val="22"/>
              </w:rPr>
            </w:pPr>
            <w:r w:rsidRPr="006B5DBB">
              <w:rPr>
                <w:rFonts w:cs="Corbel"/>
                <w:color w:val="auto"/>
                <w:sz w:val="22"/>
                <w:szCs w:val="22"/>
                <w:lang w:val="en-US"/>
              </w:rPr>
              <w:t>To facilitate children’s early learning and development and transition to school, by maintaining universal access to, and improving participation in, affordable, quality early childhood education programs for all children</w:t>
            </w:r>
            <w:r w:rsidR="00755605">
              <w:rPr>
                <w:rFonts w:cs="Corbel"/>
                <w:color w:val="auto"/>
                <w:sz w:val="22"/>
                <w:szCs w:val="22"/>
                <w:lang w:val="en-US"/>
              </w:rPr>
              <w:t>.</w:t>
            </w:r>
          </w:p>
        </w:tc>
        <w:tc>
          <w:tcPr>
            <w:tcW w:w="928" w:type="pct"/>
          </w:tcPr>
          <w:p w14:paraId="12A9FCFD" w14:textId="77777777" w:rsidR="00F2493A" w:rsidRPr="006B5DBB" w:rsidRDefault="001B37C4" w:rsidP="00191251">
            <w:pPr>
              <w:rPr>
                <w:sz w:val="22"/>
                <w:szCs w:val="22"/>
              </w:rPr>
            </w:pPr>
            <w:r w:rsidRPr="006B5DBB">
              <w:rPr>
                <w:sz w:val="22"/>
                <w:szCs w:val="22"/>
              </w:rPr>
              <w:t>Tasmania</w:t>
            </w:r>
          </w:p>
        </w:tc>
      </w:tr>
      <w:tr w:rsidR="004C6F59" w:rsidRPr="001E7293" w14:paraId="28952DDA" w14:textId="77777777" w:rsidTr="006B5DBB">
        <w:trPr>
          <w:cantSplit/>
        </w:trPr>
        <w:tc>
          <w:tcPr>
            <w:tcW w:w="842" w:type="pct"/>
          </w:tcPr>
          <w:p w14:paraId="2C9152A5" w14:textId="77777777" w:rsidR="004C6F59" w:rsidRDefault="004C6F59" w:rsidP="00191251">
            <w:r w:rsidRPr="001E7293">
              <w:t>Element</w:t>
            </w:r>
            <w:r w:rsidRPr="001E7293" w:rsidDel="00432B5D">
              <w:t xml:space="preserve"> </w:t>
            </w:r>
            <w:r w:rsidRPr="001E7293">
              <w:t>2</w:t>
            </w:r>
          </w:p>
          <w:p w14:paraId="5E1C46A0" w14:textId="77777777" w:rsidR="001E3301" w:rsidRPr="001E7293" w:rsidRDefault="001E3301" w:rsidP="001E3301">
            <w:pPr>
              <w:autoSpaceDE w:val="0"/>
              <w:autoSpaceDN w:val="0"/>
              <w:adjustRightInd w:val="0"/>
            </w:pPr>
            <w:r>
              <w:rPr>
                <w:rFonts w:cs="Corbel"/>
                <w:color w:val="auto"/>
                <w:szCs w:val="23"/>
                <w:lang w:val="en-US"/>
              </w:rPr>
              <w:t>Maintain Indigenous children’s participation</w:t>
            </w:r>
          </w:p>
        </w:tc>
        <w:tc>
          <w:tcPr>
            <w:tcW w:w="1346" w:type="pct"/>
          </w:tcPr>
          <w:p w14:paraId="7DCE5B49" w14:textId="77777777" w:rsidR="004C6F59" w:rsidRPr="006B5DBB" w:rsidRDefault="001E3301" w:rsidP="001E3301">
            <w:pPr>
              <w:autoSpaceDE w:val="0"/>
              <w:autoSpaceDN w:val="0"/>
              <w:adjustRightInd w:val="0"/>
              <w:rPr>
                <w:sz w:val="22"/>
                <w:szCs w:val="22"/>
              </w:rPr>
            </w:pPr>
            <w:r w:rsidRPr="006B5DBB">
              <w:rPr>
                <w:rFonts w:cs="Corbel"/>
                <w:color w:val="auto"/>
                <w:sz w:val="22"/>
                <w:szCs w:val="22"/>
                <w:lang w:val="en-US"/>
              </w:rPr>
              <w:t>Delivering strategies and actions targeting the participation of Indigenous children, including in remote areas</w:t>
            </w:r>
          </w:p>
        </w:tc>
        <w:tc>
          <w:tcPr>
            <w:tcW w:w="841" w:type="pct"/>
          </w:tcPr>
          <w:p w14:paraId="709106B0" w14:textId="77777777" w:rsidR="001E3301" w:rsidRDefault="001E3301" w:rsidP="001E3301">
            <w:pPr>
              <w:autoSpaceDE w:val="0"/>
              <w:autoSpaceDN w:val="0"/>
              <w:adjustRightInd w:val="0"/>
              <w:rPr>
                <w:rFonts w:cs="Corbel"/>
                <w:color w:val="auto"/>
                <w:sz w:val="22"/>
                <w:szCs w:val="22"/>
                <w:lang w:val="en-US"/>
              </w:rPr>
            </w:pPr>
            <w:r w:rsidRPr="006B5DBB">
              <w:rPr>
                <w:rFonts w:cs="Corbel"/>
                <w:color w:val="auto"/>
                <w:sz w:val="22"/>
                <w:szCs w:val="22"/>
                <w:lang w:val="en-US"/>
              </w:rPr>
              <w:t>All Indigenous children have access to, and participate in, an affordable, quality early childhood education program.</w:t>
            </w:r>
          </w:p>
          <w:p w14:paraId="06BA81DB" w14:textId="77777777" w:rsidR="00755605" w:rsidRPr="006B5DBB" w:rsidRDefault="00755605" w:rsidP="001E3301">
            <w:pPr>
              <w:autoSpaceDE w:val="0"/>
              <w:autoSpaceDN w:val="0"/>
              <w:adjustRightInd w:val="0"/>
              <w:rPr>
                <w:rFonts w:cs="Corbel"/>
                <w:color w:val="auto"/>
                <w:sz w:val="22"/>
                <w:szCs w:val="22"/>
                <w:lang w:val="en-US"/>
              </w:rPr>
            </w:pPr>
          </w:p>
          <w:p w14:paraId="3C146209" w14:textId="77777777" w:rsidR="004C6F59" w:rsidRPr="006B5DBB" w:rsidRDefault="001E3301" w:rsidP="00755605">
            <w:pPr>
              <w:autoSpaceDE w:val="0"/>
              <w:autoSpaceDN w:val="0"/>
              <w:adjustRightInd w:val="0"/>
              <w:rPr>
                <w:sz w:val="22"/>
                <w:szCs w:val="22"/>
              </w:rPr>
            </w:pPr>
            <w:r w:rsidRPr="006B5DBB">
              <w:rPr>
                <w:rFonts w:cs="Corbel"/>
                <w:color w:val="auto"/>
                <w:sz w:val="22"/>
                <w:szCs w:val="22"/>
                <w:lang w:val="en-US"/>
              </w:rPr>
              <w:t>All Indigenous four year-olds in remote communities have access to early childhood education</w:t>
            </w:r>
            <w:r w:rsidR="00755605">
              <w:rPr>
                <w:rFonts w:cs="Corbel"/>
                <w:color w:val="auto"/>
                <w:sz w:val="22"/>
                <w:szCs w:val="22"/>
                <w:lang w:val="en-US"/>
              </w:rPr>
              <w:t>.</w:t>
            </w:r>
          </w:p>
        </w:tc>
        <w:tc>
          <w:tcPr>
            <w:tcW w:w="1043" w:type="pct"/>
          </w:tcPr>
          <w:p w14:paraId="7501C4F0" w14:textId="77777777" w:rsidR="004C6F59" w:rsidRPr="006B5DBB" w:rsidRDefault="0031132D" w:rsidP="0031132D">
            <w:pPr>
              <w:autoSpaceDE w:val="0"/>
              <w:autoSpaceDN w:val="0"/>
              <w:adjustRightInd w:val="0"/>
              <w:rPr>
                <w:sz w:val="22"/>
                <w:szCs w:val="22"/>
              </w:rPr>
            </w:pPr>
            <w:r w:rsidRPr="006B5DBB">
              <w:rPr>
                <w:rFonts w:cs="Corbel"/>
                <w:color w:val="auto"/>
                <w:sz w:val="22"/>
                <w:szCs w:val="22"/>
                <w:lang w:val="en-US"/>
              </w:rPr>
              <w:t>To facilitate children’s early learning and development and transition to school, by maintaining universal access to, and improving participation in, affordable, quality early childhood education programs</w:t>
            </w:r>
            <w:r w:rsidR="00591913">
              <w:rPr>
                <w:rFonts w:cs="Corbel"/>
                <w:color w:val="auto"/>
                <w:sz w:val="22"/>
                <w:szCs w:val="22"/>
                <w:lang w:val="en-US"/>
              </w:rPr>
              <w:t xml:space="preserve"> for all children</w:t>
            </w:r>
            <w:r w:rsidR="00755605">
              <w:rPr>
                <w:rFonts w:cs="Corbel"/>
                <w:color w:val="auto"/>
                <w:sz w:val="22"/>
                <w:szCs w:val="22"/>
                <w:lang w:val="en-US"/>
              </w:rPr>
              <w:t>.</w:t>
            </w:r>
          </w:p>
        </w:tc>
        <w:tc>
          <w:tcPr>
            <w:tcW w:w="928" w:type="pct"/>
          </w:tcPr>
          <w:p w14:paraId="5FED2AF0" w14:textId="77777777" w:rsidR="004C6F59" w:rsidRPr="006B5DBB" w:rsidRDefault="0031132D" w:rsidP="0093776A">
            <w:pPr>
              <w:rPr>
                <w:sz w:val="22"/>
                <w:szCs w:val="22"/>
              </w:rPr>
            </w:pPr>
            <w:r w:rsidRPr="006B5DBB">
              <w:rPr>
                <w:sz w:val="22"/>
                <w:szCs w:val="22"/>
              </w:rPr>
              <w:t>Tasmania</w:t>
            </w:r>
          </w:p>
        </w:tc>
      </w:tr>
      <w:tr w:rsidR="00F2493A" w:rsidRPr="001E7293" w14:paraId="50168FD2" w14:textId="77777777" w:rsidTr="006B5DBB">
        <w:trPr>
          <w:cantSplit/>
        </w:trPr>
        <w:tc>
          <w:tcPr>
            <w:tcW w:w="842" w:type="pct"/>
          </w:tcPr>
          <w:p w14:paraId="7E0CD6EA" w14:textId="77777777" w:rsidR="00432B5D" w:rsidRDefault="00432B5D" w:rsidP="00191251">
            <w:r w:rsidRPr="001E7293">
              <w:t>Element</w:t>
            </w:r>
            <w:r w:rsidRPr="001E7293" w:rsidDel="00432B5D">
              <w:t xml:space="preserve"> </w:t>
            </w:r>
            <w:r w:rsidR="00F2493A" w:rsidRPr="001E7293">
              <w:t>3</w:t>
            </w:r>
          </w:p>
          <w:p w14:paraId="4D9DBD3A" w14:textId="77777777" w:rsidR="00D034E8" w:rsidRPr="001E7293" w:rsidRDefault="00D034E8" w:rsidP="00D034E8">
            <w:pPr>
              <w:autoSpaceDE w:val="0"/>
              <w:autoSpaceDN w:val="0"/>
              <w:adjustRightInd w:val="0"/>
            </w:pPr>
            <w:r>
              <w:rPr>
                <w:rFonts w:cs="Corbel"/>
                <w:color w:val="auto"/>
                <w:szCs w:val="23"/>
                <w:lang w:val="en-US"/>
              </w:rPr>
              <w:t>Maintain participation by vulnerable and disadvantaged children</w:t>
            </w:r>
          </w:p>
        </w:tc>
        <w:tc>
          <w:tcPr>
            <w:tcW w:w="1346" w:type="pct"/>
          </w:tcPr>
          <w:p w14:paraId="37713B67" w14:textId="77777777" w:rsidR="00F2493A" w:rsidRPr="006B5DBB" w:rsidRDefault="00D034E8" w:rsidP="00D034E8">
            <w:pPr>
              <w:autoSpaceDE w:val="0"/>
              <w:autoSpaceDN w:val="0"/>
              <w:adjustRightInd w:val="0"/>
              <w:rPr>
                <w:sz w:val="22"/>
                <w:szCs w:val="22"/>
              </w:rPr>
            </w:pPr>
            <w:r w:rsidRPr="006B5DBB">
              <w:rPr>
                <w:rFonts w:cs="Corbel"/>
                <w:color w:val="auto"/>
                <w:sz w:val="22"/>
                <w:szCs w:val="22"/>
                <w:lang w:val="en-US"/>
              </w:rPr>
              <w:t>Delivering strategies and actions targeting the participation of vulnerable and disadvantaged children</w:t>
            </w:r>
            <w:r w:rsidR="00755605">
              <w:rPr>
                <w:rFonts w:cs="Corbel"/>
                <w:color w:val="auto"/>
                <w:sz w:val="22"/>
                <w:szCs w:val="22"/>
                <w:lang w:val="en-US"/>
              </w:rPr>
              <w:t>.</w:t>
            </w:r>
          </w:p>
        </w:tc>
        <w:tc>
          <w:tcPr>
            <w:tcW w:w="841" w:type="pct"/>
          </w:tcPr>
          <w:p w14:paraId="0E00B663" w14:textId="77777777" w:rsidR="00F2493A" w:rsidRPr="006B5DBB" w:rsidRDefault="00D034E8" w:rsidP="00D034E8">
            <w:pPr>
              <w:autoSpaceDE w:val="0"/>
              <w:autoSpaceDN w:val="0"/>
              <w:adjustRightInd w:val="0"/>
              <w:rPr>
                <w:sz w:val="22"/>
                <w:szCs w:val="22"/>
              </w:rPr>
            </w:pPr>
            <w:r w:rsidRPr="006B5DBB">
              <w:rPr>
                <w:rFonts w:cs="Corbel"/>
                <w:color w:val="auto"/>
                <w:sz w:val="22"/>
                <w:szCs w:val="22"/>
                <w:lang w:val="en-US"/>
              </w:rPr>
              <w:t>All children, including vulnerable and disadvantaged children, have access to, and participate in, an affordable, quality early childhood education program</w:t>
            </w:r>
            <w:r w:rsidR="00755605">
              <w:rPr>
                <w:rFonts w:cs="Corbel"/>
                <w:color w:val="auto"/>
                <w:sz w:val="22"/>
                <w:szCs w:val="22"/>
                <w:lang w:val="en-US"/>
              </w:rPr>
              <w:t>.</w:t>
            </w:r>
          </w:p>
        </w:tc>
        <w:tc>
          <w:tcPr>
            <w:tcW w:w="1043" w:type="pct"/>
          </w:tcPr>
          <w:p w14:paraId="4C61B0E2" w14:textId="77777777" w:rsidR="004C6F59" w:rsidRPr="006B5DBB" w:rsidRDefault="00D034E8" w:rsidP="00D034E8">
            <w:pPr>
              <w:autoSpaceDE w:val="0"/>
              <w:autoSpaceDN w:val="0"/>
              <w:adjustRightInd w:val="0"/>
              <w:rPr>
                <w:sz w:val="22"/>
                <w:szCs w:val="22"/>
              </w:rPr>
            </w:pPr>
            <w:r w:rsidRPr="006B5DBB">
              <w:rPr>
                <w:rFonts w:cs="Corbel"/>
                <w:color w:val="auto"/>
                <w:sz w:val="22"/>
                <w:szCs w:val="22"/>
                <w:lang w:val="en-US"/>
              </w:rPr>
              <w:t>To facilitate children’s early learning and development and transition to school, by maintaining universal access to, and improving participation in, affordable, quality early childhood education programs for all children</w:t>
            </w:r>
            <w:r w:rsidR="00755605">
              <w:rPr>
                <w:rFonts w:cs="Corbel"/>
                <w:color w:val="auto"/>
                <w:sz w:val="22"/>
                <w:szCs w:val="22"/>
                <w:lang w:val="en-US"/>
              </w:rPr>
              <w:t>.</w:t>
            </w:r>
          </w:p>
        </w:tc>
        <w:tc>
          <w:tcPr>
            <w:tcW w:w="928" w:type="pct"/>
          </w:tcPr>
          <w:p w14:paraId="5ACB9B6D" w14:textId="77777777" w:rsidR="00432B5D" w:rsidRPr="006B5DBB" w:rsidRDefault="0031132D" w:rsidP="00191251">
            <w:pPr>
              <w:rPr>
                <w:sz w:val="22"/>
                <w:szCs w:val="22"/>
              </w:rPr>
            </w:pPr>
            <w:r w:rsidRPr="006B5DBB">
              <w:rPr>
                <w:sz w:val="22"/>
                <w:szCs w:val="22"/>
              </w:rPr>
              <w:t>Tasmania</w:t>
            </w:r>
          </w:p>
        </w:tc>
      </w:tr>
    </w:tbl>
    <w:p w14:paraId="0C98425C" w14:textId="77777777" w:rsidR="0036688B" w:rsidRPr="001E7293" w:rsidRDefault="0036688B" w:rsidP="002D5120">
      <w:pPr>
        <w:pStyle w:val="Heading2"/>
        <w:spacing w:after="120"/>
      </w:pPr>
      <w:r w:rsidRPr="001E7293">
        <w:t>Risk management</w:t>
      </w:r>
    </w:p>
    <w:p w14:paraId="48367972" w14:textId="665D63BA" w:rsidR="007374A0" w:rsidRPr="001E7293" w:rsidRDefault="00A43FA4" w:rsidP="009E010D">
      <w:pPr>
        <w:pStyle w:val="Normalnumbered"/>
        <w:spacing w:after="240"/>
      </w:pPr>
      <w:r>
        <w:t xml:space="preserve">The </w:t>
      </w:r>
      <w:r w:rsidR="00777083">
        <w:t>Tasmania</w:t>
      </w:r>
      <w:r>
        <w:t>n Department of Education</w:t>
      </w:r>
      <w:r w:rsidR="00187966" w:rsidRPr="001E7293">
        <w:t xml:space="preserve"> has a</w:t>
      </w:r>
      <w:r w:rsidR="007374A0" w:rsidRPr="001E7293">
        <w:t xml:space="preserve"> risk management plan in place.  Risks have been actively identified, entered into a risk log and categorised in terms of impact and </w:t>
      </w:r>
      <w:r w:rsidR="001C56EC" w:rsidRPr="001E7293">
        <w:t>likelihood</w:t>
      </w:r>
      <w:r w:rsidR="007374A0" w:rsidRPr="001E7293">
        <w:t>.</w:t>
      </w:r>
    </w:p>
    <w:p w14:paraId="6CDDE2D4" w14:textId="77777777" w:rsidR="0036688B" w:rsidRPr="001E7293" w:rsidRDefault="00403FD4" w:rsidP="00755605">
      <w:pPr>
        <w:pStyle w:val="Heading2"/>
        <w:spacing w:after="140"/>
      </w:pPr>
      <w:r>
        <w:t xml:space="preserve">Tasmanian </w:t>
      </w:r>
      <w:r w:rsidR="00347F6D" w:rsidRPr="001E7293">
        <w:t>Context</w:t>
      </w:r>
    </w:p>
    <w:p w14:paraId="1753C5BF" w14:textId="77777777" w:rsidR="00314D9E" w:rsidRPr="001E7293" w:rsidRDefault="00314D9E" w:rsidP="00F95127">
      <w:pPr>
        <w:pStyle w:val="Normalnumbered"/>
        <w:spacing w:after="120"/>
      </w:pPr>
      <w:r w:rsidRPr="001E7293">
        <w:t xml:space="preserve">In developing this </w:t>
      </w:r>
      <w:r w:rsidR="00E47C62" w:rsidRPr="001E7293">
        <w:t>Implementation Plan</w:t>
      </w:r>
      <w:r w:rsidRPr="001E7293">
        <w:t xml:space="preserve"> consideration has been given to </w:t>
      </w:r>
      <w:r w:rsidR="00347F6D" w:rsidRPr="001E7293">
        <w:t>relevant state or territory context.  Key factors that have influenced the proposed direction are</w:t>
      </w:r>
      <w:r w:rsidR="00755605">
        <w:t xml:space="preserve"> listed below.</w:t>
      </w:r>
    </w:p>
    <w:p w14:paraId="03D5E511" w14:textId="70A19885" w:rsidR="000C1E84" w:rsidRDefault="00777083" w:rsidP="00777083">
      <w:pPr>
        <w:pStyle w:val="Default"/>
        <w:spacing w:after="140"/>
        <w:ind w:left="900" w:hanging="360"/>
        <w:jc w:val="both"/>
        <w:rPr>
          <w:sz w:val="23"/>
          <w:szCs w:val="23"/>
        </w:rPr>
      </w:pPr>
      <w:r>
        <w:rPr>
          <w:sz w:val="23"/>
          <w:szCs w:val="23"/>
        </w:rPr>
        <w:t>(a)</w:t>
      </w:r>
      <w:r>
        <w:rPr>
          <w:sz w:val="23"/>
          <w:szCs w:val="23"/>
        </w:rPr>
        <w:tab/>
      </w:r>
      <w:r w:rsidR="000C1E84" w:rsidRPr="00755605">
        <w:rPr>
          <w:sz w:val="23"/>
          <w:szCs w:val="23"/>
        </w:rPr>
        <w:t xml:space="preserve">In </w:t>
      </w:r>
      <w:r w:rsidR="00FF597E">
        <w:rPr>
          <w:sz w:val="23"/>
          <w:szCs w:val="23"/>
        </w:rPr>
        <w:t>2017</w:t>
      </w:r>
      <w:r w:rsidR="000C1E84" w:rsidRPr="00854687">
        <w:rPr>
          <w:sz w:val="23"/>
          <w:szCs w:val="23"/>
        </w:rPr>
        <w:t>,</w:t>
      </w:r>
      <w:r w:rsidR="000C1E84" w:rsidRPr="00755605">
        <w:rPr>
          <w:sz w:val="23"/>
          <w:szCs w:val="23"/>
        </w:rPr>
        <w:t xml:space="preserve"> Tasmania provided free kindergarten for 600 hours a y</w:t>
      </w:r>
      <w:r w:rsidR="00FF597E">
        <w:rPr>
          <w:sz w:val="23"/>
          <w:szCs w:val="23"/>
        </w:rPr>
        <w:t>ear at 153 public schools and 54</w:t>
      </w:r>
      <w:r w:rsidR="000C1E84" w:rsidRPr="00755605">
        <w:rPr>
          <w:sz w:val="23"/>
          <w:szCs w:val="23"/>
        </w:rPr>
        <w:t xml:space="preserve"> non-government schools. </w:t>
      </w:r>
      <w:r w:rsidR="00E76ACB" w:rsidRPr="00755605">
        <w:rPr>
          <w:sz w:val="23"/>
          <w:szCs w:val="23"/>
        </w:rPr>
        <w:t xml:space="preserve"> </w:t>
      </w:r>
      <w:r w:rsidR="000C1E84" w:rsidRPr="00755605">
        <w:rPr>
          <w:sz w:val="23"/>
          <w:szCs w:val="23"/>
        </w:rPr>
        <w:t xml:space="preserve">For registered kindergarten programs in government schools and not-for-profit non-government schools, ten hours per week are funded by the State, with the remaining five hours per week funded through this National Partnership. </w:t>
      </w:r>
      <w:r w:rsidR="00E76ACB" w:rsidRPr="00755605">
        <w:rPr>
          <w:sz w:val="23"/>
          <w:szCs w:val="23"/>
        </w:rPr>
        <w:t xml:space="preserve"> </w:t>
      </w:r>
      <w:r w:rsidR="000C1E84" w:rsidRPr="00755605">
        <w:rPr>
          <w:sz w:val="23"/>
          <w:szCs w:val="23"/>
        </w:rPr>
        <w:t>Funds for the extra five hours are allocated in accordance with enrolments.</w:t>
      </w:r>
      <w:r w:rsidR="00E76ACB" w:rsidRPr="00755605">
        <w:rPr>
          <w:sz w:val="23"/>
          <w:szCs w:val="23"/>
        </w:rPr>
        <w:t xml:space="preserve"> </w:t>
      </w:r>
      <w:r w:rsidR="000C1E84" w:rsidRPr="00755605">
        <w:rPr>
          <w:sz w:val="23"/>
          <w:szCs w:val="23"/>
        </w:rPr>
        <w:t xml:space="preserve"> In </w:t>
      </w:r>
      <w:r w:rsidR="00FF597E">
        <w:rPr>
          <w:sz w:val="23"/>
          <w:szCs w:val="23"/>
        </w:rPr>
        <w:t>2017</w:t>
      </w:r>
      <w:r w:rsidR="000C1E84" w:rsidRPr="00854687">
        <w:rPr>
          <w:sz w:val="23"/>
          <w:szCs w:val="23"/>
        </w:rPr>
        <w:t>,</w:t>
      </w:r>
      <w:r w:rsidR="000C1E84" w:rsidRPr="00755605">
        <w:rPr>
          <w:sz w:val="23"/>
          <w:szCs w:val="23"/>
        </w:rPr>
        <w:t xml:space="preserve"> quality</w:t>
      </w:r>
      <w:r w:rsidR="000C1E84">
        <w:rPr>
          <w:sz w:val="23"/>
          <w:szCs w:val="23"/>
        </w:rPr>
        <w:t xml:space="preserve"> early childhood educatio</w:t>
      </w:r>
      <w:r w:rsidR="00FF597E">
        <w:rPr>
          <w:sz w:val="23"/>
          <w:szCs w:val="23"/>
        </w:rPr>
        <w:t>n programs were delivered in 121</w:t>
      </w:r>
      <w:r w:rsidR="00E76ACB">
        <w:rPr>
          <w:sz w:val="23"/>
          <w:szCs w:val="23"/>
        </w:rPr>
        <w:t> </w:t>
      </w:r>
      <w:r w:rsidR="000C1E84">
        <w:rPr>
          <w:sz w:val="23"/>
          <w:szCs w:val="23"/>
        </w:rPr>
        <w:t xml:space="preserve">LDC centres; however, because these were not registered kindergarten programs they did not attract National Partnership funding (refer to paragraphs </w:t>
      </w:r>
      <w:r w:rsidR="00E76ACB">
        <w:rPr>
          <w:sz w:val="23"/>
          <w:szCs w:val="23"/>
        </w:rPr>
        <w:t>(</w:t>
      </w:r>
      <w:r w:rsidR="000C1E84">
        <w:rPr>
          <w:sz w:val="23"/>
          <w:szCs w:val="23"/>
        </w:rPr>
        <w:t>f</w:t>
      </w:r>
      <w:r w:rsidR="00E76ACB">
        <w:rPr>
          <w:sz w:val="23"/>
          <w:szCs w:val="23"/>
        </w:rPr>
        <w:t>)</w:t>
      </w:r>
      <w:r w:rsidR="000C1E84">
        <w:rPr>
          <w:sz w:val="23"/>
          <w:szCs w:val="23"/>
        </w:rPr>
        <w:t xml:space="preserve"> through to </w:t>
      </w:r>
      <w:r w:rsidR="00E76ACB">
        <w:rPr>
          <w:sz w:val="23"/>
          <w:szCs w:val="23"/>
        </w:rPr>
        <w:t>(</w:t>
      </w:r>
      <w:r w:rsidR="000C1E84">
        <w:rPr>
          <w:sz w:val="23"/>
          <w:szCs w:val="23"/>
        </w:rPr>
        <w:t>h</w:t>
      </w:r>
      <w:r w:rsidR="00E76ACB">
        <w:rPr>
          <w:sz w:val="23"/>
          <w:szCs w:val="23"/>
        </w:rPr>
        <w:t>)</w:t>
      </w:r>
      <w:r w:rsidR="000C1E84">
        <w:rPr>
          <w:sz w:val="23"/>
          <w:szCs w:val="23"/>
        </w:rPr>
        <w:t xml:space="preserve"> below for further information on the registration process). </w:t>
      </w:r>
    </w:p>
    <w:p w14:paraId="3FC164E3" w14:textId="22302FE2" w:rsidR="000C1E84" w:rsidRDefault="000C1E84" w:rsidP="00777083">
      <w:pPr>
        <w:pStyle w:val="Default"/>
        <w:spacing w:after="140"/>
        <w:ind w:left="900" w:hanging="360"/>
        <w:jc w:val="both"/>
        <w:rPr>
          <w:sz w:val="23"/>
          <w:szCs w:val="23"/>
        </w:rPr>
      </w:pPr>
      <w:r>
        <w:rPr>
          <w:sz w:val="23"/>
          <w:szCs w:val="23"/>
        </w:rPr>
        <w:t>(b)</w:t>
      </w:r>
      <w:r w:rsidR="00777083">
        <w:rPr>
          <w:sz w:val="23"/>
          <w:szCs w:val="23"/>
        </w:rPr>
        <w:tab/>
      </w:r>
      <w:r>
        <w:rPr>
          <w:sz w:val="23"/>
          <w:szCs w:val="23"/>
        </w:rPr>
        <w:t xml:space="preserve">The ERP of the average four and five -year-olds in Tasmania in </w:t>
      </w:r>
      <w:r w:rsidR="00FF597E">
        <w:rPr>
          <w:sz w:val="23"/>
          <w:szCs w:val="23"/>
        </w:rPr>
        <w:t>2017</w:t>
      </w:r>
      <w:r>
        <w:rPr>
          <w:sz w:val="23"/>
          <w:szCs w:val="23"/>
        </w:rPr>
        <w:t xml:space="preserve"> was </w:t>
      </w:r>
      <w:r w:rsidR="00FF597E">
        <w:rPr>
          <w:sz w:val="23"/>
          <w:szCs w:val="23"/>
        </w:rPr>
        <w:t>6,169</w:t>
      </w:r>
      <w:r w:rsidRPr="00D20480">
        <w:rPr>
          <w:sz w:val="23"/>
          <w:szCs w:val="23"/>
        </w:rPr>
        <w:t>, of</w:t>
      </w:r>
      <w:r w:rsidR="00FF597E">
        <w:rPr>
          <w:sz w:val="23"/>
          <w:szCs w:val="23"/>
        </w:rPr>
        <w:t xml:space="preserve"> whom it is estimated 619 were Indigenous and 1,993</w:t>
      </w:r>
      <w:r>
        <w:rPr>
          <w:sz w:val="23"/>
          <w:szCs w:val="23"/>
        </w:rPr>
        <w:t xml:space="preserve"> were of low socio-economic status. </w:t>
      </w:r>
      <w:r w:rsidR="00E76ACB">
        <w:rPr>
          <w:sz w:val="23"/>
          <w:szCs w:val="23"/>
        </w:rPr>
        <w:t xml:space="preserve"> </w:t>
      </w:r>
      <w:r>
        <w:rPr>
          <w:sz w:val="23"/>
          <w:szCs w:val="23"/>
        </w:rPr>
        <w:t xml:space="preserve">In </w:t>
      </w:r>
      <w:r w:rsidRPr="00755605">
        <w:rPr>
          <w:sz w:val="23"/>
          <w:szCs w:val="23"/>
        </w:rPr>
        <w:t>201</w:t>
      </w:r>
      <w:r w:rsidR="00FF597E">
        <w:rPr>
          <w:sz w:val="23"/>
          <w:szCs w:val="23"/>
        </w:rPr>
        <w:t>7</w:t>
      </w:r>
      <w:r w:rsidRPr="00755605">
        <w:rPr>
          <w:sz w:val="23"/>
          <w:szCs w:val="23"/>
        </w:rPr>
        <w:t>,</w:t>
      </w:r>
      <w:r w:rsidR="00FF597E">
        <w:rPr>
          <w:sz w:val="23"/>
          <w:szCs w:val="23"/>
        </w:rPr>
        <w:t xml:space="preserve"> 3,870</w:t>
      </w:r>
      <w:r>
        <w:rPr>
          <w:sz w:val="23"/>
          <w:szCs w:val="23"/>
        </w:rPr>
        <w:t xml:space="preserve"> four and five-year-olds attended a registered kindergarten program</w:t>
      </w:r>
      <w:r w:rsidR="00FF597E">
        <w:rPr>
          <w:sz w:val="23"/>
          <w:szCs w:val="23"/>
        </w:rPr>
        <w:t xml:space="preserve"> in a government school, and 1,068</w:t>
      </w:r>
      <w:r>
        <w:rPr>
          <w:sz w:val="23"/>
          <w:szCs w:val="23"/>
        </w:rPr>
        <w:t xml:space="preserve"> in a non-government school. </w:t>
      </w:r>
      <w:r w:rsidR="00E76ACB">
        <w:rPr>
          <w:sz w:val="23"/>
          <w:szCs w:val="23"/>
        </w:rPr>
        <w:t xml:space="preserve"> </w:t>
      </w:r>
      <w:r w:rsidR="00FF597E">
        <w:rPr>
          <w:sz w:val="23"/>
          <w:szCs w:val="23"/>
        </w:rPr>
        <w:t>858</w:t>
      </w:r>
      <w:r>
        <w:rPr>
          <w:sz w:val="23"/>
          <w:szCs w:val="23"/>
        </w:rPr>
        <w:t xml:space="preserve"> children were enrolled in both a registered kindergarten program and a LDC. (Data Sourc</w:t>
      </w:r>
      <w:r w:rsidR="00FF597E">
        <w:rPr>
          <w:sz w:val="23"/>
          <w:szCs w:val="23"/>
        </w:rPr>
        <w:t>e: ABS Preschool Australia, 2017, 9 March 2018</w:t>
      </w:r>
      <w:r>
        <w:rPr>
          <w:sz w:val="23"/>
          <w:szCs w:val="23"/>
        </w:rPr>
        <w:t xml:space="preserve">.) </w:t>
      </w:r>
    </w:p>
    <w:p w14:paraId="79483CA4" w14:textId="2466701B" w:rsidR="000C1E84" w:rsidRDefault="000C1E84" w:rsidP="001A3256">
      <w:pPr>
        <w:pStyle w:val="Default"/>
        <w:spacing w:after="140"/>
        <w:ind w:left="993" w:hanging="453"/>
        <w:jc w:val="both"/>
        <w:rPr>
          <w:sz w:val="23"/>
          <w:szCs w:val="23"/>
        </w:rPr>
      </w:pPr>
      <w:r>
        <w:rPr>
          <w:sz w:val="23"/>
          <w:szCs w:val="23"/>
        </w:rPr>
        <w:t>(c)</w:t>
      </w:r>
      <w:r w:rsidR="00777083">
        <w:rPr>
          <w:sz w:val="23"/>
          <w:szCs w:val="23"/>
        </w:rPr>
        <w:tab/>
      </w:r>
      <w:r>
        <w:rPr>
          <w:sz w:val="23"/>
          <w:szCs w:val="23"/>
        </w:rPr>
        <w:t>The Tasmanian D</w:t>
      </w:r>
      <w:r w:rsidR="008703FA">
        <w:rPr>
          <w:sz w:val="23"/>
          <w:szCs w:val="23"/>
        </w:rPr>
        <w:t xml:space="preserve">epartment </w:t>
      </w:r>
      <w:r>
        <w:rPr>
          <w:sz w:val="23"/>
          <w:szCs w:val="23"/>
        </w:rPr>
        <w:t>o</w:t>
      </w:r>
      <w:r w:rsidR="008703FA">
        <w:rPr>
          <w:sz w:val="23"/>
          <w:szCs w:val="23"/>
        </w:rPr>
        <w:t xml:space="preserve">f </w:t>
      </w:r>
      <w:r>
        <w:rPr>
          <w:sz w:val="23"/>
          <w:szCs w:val="23"/>
        </w:rPr>
        <w:t>E</w:t>
      </w:r>
      <w:r w:rsidR="008703FA">
        <w:rPr>
          <w:sz w:val="23"/>
          <w:szCs w:val="23"/>
        </w:rPr>
        <w:t>ducation</w:t>
      </w:r>
      <w:r>
        <w:rPr>
          <w:sz w:val="23"/>
          <w:szCs w:val="23"/>
        </w:rPr>
        <w:t xml:space="preserve"> has provided state-funded kindergartens linked to primary schools since 1911, along with other kindergarten programs provided by the Kindergarten Union and parents.</w:t>
      </w:r>
      <w:r w:rsidR="00E76ACB">
        <w:rPr>
          <w:sz w:val="23"/>
          <w:szCs w:val="23"/>
        </w:rPr>
        <w:t xml:space="preserve"> </w:t>
      </w:r>
      <w:r>
        <w:rPr>
          <w:sz w:val="23"/>
          <w:szCs w:val="23"/>
        </w:rPr>
        <w:t xml:space="preserve"> In 1968, a review recommended the provision of kindergarten as part of the school system, which led to a rapid expansion of places.</w:t>
      </w:r>
      <w:r w:rsidR="00E76ACB">
        <w:rPr>
          <w:sz w:val="23"/>
          <w:szCs w:val="23"/>
        </w:rPr>
        <w:t xml:space="preserve"> </w:t>
      </w:r>
      <w:r>
        <w:rPr>
          <w:sz w:val="23"/>
          <w:szCs w:val="23"/>
        </w:rPr>
        <w:t xml:space="preserve"> By 1980 the State was responsible for most kindergartens in Tasmania. </w:t>
      </w:r>
      <w:r w:rsidR="00E76ACB">
        <w:rPr>
          <w:sz w:val="23"/>
          <w:szCs w:val="23"/>
        </w:rPr>
        <w:t xml:space="preserve"> </w:t>
      </w:r>
      <w:r>
        <w:rPr>
          <w:sz w:val="23"/>
          <w:szCs w:val="23"/>
        </w:rPr>
        <w:t>Rates of participation were high, the minimum age of enrolment was set at 4 as of 1 January each year, and the universal entitlement to enrolment was legislated in 1994.</w:t>
      </w:r>
      <w:r w:rsidR="00E76ACB">
        <w:rPr>
          <w:sz w:val="23"/>
          <w:szCs w:val="23"/>
        </w:rPr>
        <w:t xml:space="preserve"> </w:t>
      </w:r>
      <w:r>
        <w:rPr>
          <w:sz w:val="23"/>
          <w:szCs w:val="23"/>
        </w:rPr>
        <w:t xml:space="preserve"> Non-government primary schools gradually established kindergartens during the 1980s and most now deliver a Kindergarten program. </w:t>
      </w:r>
      <w:r w:rsidR="00E76ACB">
        <w:rPr>
          <w:sz w:val="23"/>
          <w:szCs w:val="23"/>
        </w:rPr>
        <w:t xml:space="preserve"> </w:t>
      </w:r>
      <w:r>
        <w:rPr>
          <w:sz w:val="23"/>
          <w:szCs w:val="23"/>
        </w:rPr>
        <w:t xml:space="preserve">Child care providers have also delivered a kindergarten program (being registered by the </w:t>
      </w:r>
      <w:r w:rsidR="00E76ACB">
        <w:rPr>
          <w:sz w:val="23"/>
          <w:szCs w:val="23"/>
        </w:rPr>
        <w:t xml:space="preserve">Non-Government </w:t>
      </w:r>
      <w:r>
        <w:rPr>
          <w:sz w:val="23"/>
          <w:szCs w:val="23"/>
        </w:rPr>
        <w:t>Schools Registration Board (</w:t>
      </w:r>
      <w:r w:rsidR="00E76ACB">
        <w:rPr>
          <w:sz w:val="23"/>
          <w:szCs w:val="23"/>
        </w:rPr>
        <w:t>NG</w:t>
      </w:r>
      <w:r>
        <w:rPr>
          <w:sz w:val="23"/>
          <w:szCs w:val="23"/>
        </w:rPr>
        <w:t xml:space="preserve">SRB) to do so) with currently one in </w:t>
      </w:r>
      <w:r w:rsidR="00FF597E">
        <w:rPr>
          <w:sz w:val="23"/>
          <w:szCs w:val="23"/>
        </w:rPr>
        <w:t>2018</w:t>
      </w:r>
      <w:r>
        <w:rPr>
          <w:sz w:val="23"/>
          <w:szCs w:val="23"/>
        </w:rPr>
        <w:t xml:space="preserve"> doing s0</w:t>
      </w:r>
      <w:r w:rsidR="00755605">
        <w:rPr>
          <w:sz w:val="23"/>
          <w:szCs w:val="23"/>
        </w:rPr>
        <w:t>.  T</w:t>
      </w:r>
      <w:r>
        <w:rPr>
          <w:sz w:val="23"/>
          <w:szCs w:val="23"/>
        </w:rPr>
        <w:t>he main reason for lack of enrolments at LDC</w:t>
      </w:r>
      <w:r w:rsidR="00755605">
        <w:rPr>
          <w:sz w:val="23"/>
          <w:szCs w:val="23"/>
        </w:rPr>
        <w:t>s</w:t>
      </w:r>
      <w:r>
        <w:rPr>
          <w:sz w:val="23"/>
          <w:szCs w:val="23"/>
        </w:rPr>
        <w:t xml:space="preserve"> is the fact that, given the history above, parents see kindergarten as the first year of school. </w:t>
      </w:r>
    </w:p>
    <w:p w14:paraId="634B5A29" w14:textId="77777777" w:rsidR="000C1E84" w:rsidRDefault="00777083" w:rsidP="00777083">
      <w:pPr>
        <w:pStyle w:val="Default"/>
        <w:spacing w:after="140"/>
        <w:ind w:left="990" w:hanging="450"/>
        <w:jc w:val="both"/>
        <w:rPr>
          <w:sz w:val="23"/>
          <w:szCs w:val="23"/>
        </w:rPr>
      </w:pPr>
      <w:r>
        <w:rPr>
          <w:sz w:val="23"/>
          <w:szCs w:val="23"/>
        </w:rPr>
        <w:t>(d)</w:t>
      </w:r>
      <w:r>
        <w:rPr>
          <w:sz w:val="23"/>
          <w:szCs w:val="23"/>
        </w:rPr>
        <w:tab/>
      </w:r>
      <w:r w:rsidR="000C1E84">
        <w:rPr>
          <w:sz w:val="23"/>
          <w:szCs w:val="23"/>
        </w:rPr>
        <w:t xml:space="preserve">Tasmania’s high numbers of disadvantaged families who could not afford to participate in community kindergartens was a significant factor in the 1968 decision to embed kindergartens in the education system. </w:t>
      </w:r>
      <w:r w:rsidR="00E76ACB">
        <w:rPr>
          <w:sz w:val="23"/>
          <w:szCs w:val="23"/>
        </w:rPr>
        <w:t xml:space="preserve"> </w:t>
      </w:r>
      <w:r w:rsidR="000C1E84">
        <w:rPr>
          <w:sz w:val="23"/>
          <w:szCs w:val="23"/>
        </w:rPr>
        <w:t xml:space="preserve">There was evidence that the children who were most in need of a kindergarten education were those most likely not to be receiving it, and </w:t>
      </w:r>
      <w:r w:rsidR="00E76ACB">
        <w:rPr>
          <w:sz w:val="23"/>
          <w:szCs w:val="23"/>
        </w:rPr>
        <w:t>attaching</w:t>
      </w:r>
      <w:r w:rsidR="000C1E84">
        <w:rPr>
          <w:sz w:val="23"/>
          <w:szCs w:val="23"/>
        </w:rPr>
        <w:t xml:space="preserve"> kindergarten</w:t>
      </w:r>
      <w:r w:rsidR="00E76ACB">
        <w:rPr>
          <w:sz w:val="23"/>
          <w:szCs w:val="23"/>
        </w:rPr>
        <w:t xml:space="preserve"> to</w:t>
      </w:r>
      <w:r w:rsidR="000C1E84">
        <w:rPr>
          <w:sz w:val="23"/>
          <w:szCs w:val="23"/>
        </w:rPr>
        <w:t xml:space="preserve"> the school system was a successful strategy in alleviating this risk with almost all eligible children in Tasmania attending kindergarten since then. </w:t>
      </w:r>
      <w:r w:rsidR="00E76ACB">
        <w:rPr>
          <w:sz w:val="23"/>
          <w:szCs w:val="23"/>
        </w:rPr>
        <w:t xml:space="preserve"> </w:t>
      </w:r>
      <w:r w:rsidR="000C1E84">
        <w:rPr>
          <w:sz w:val="23"/>
          <w:szCs w:val="23"/>
        </w:rPr>
        <w:t xml:space="preserve">The effectiveness of this approach was illustrated in the 2014 Deloitte review of the National Partnership Agreement on Universal Access to Early Childhood Education where Tasmania met all the benchmarks that were able to be measured – the only jurisdiction to do so. </w:t>
      </w:r>
    </w:p>
    <w:p w14:paraId="5CCEB707" w14:textId="4A21B6D9" w:rsidR="000C1E84" w:rsidRDefault="000C1E84" w:rsidP="00777083">
      <w:pPr>
        <w:pStyle w:val="Default"/>
        <w:spacing w:after="140"/>
        <w:ind w:left="1080" w:hanging="540"/>
        <w:jc w:val="both"/>
        <w:rPr>
          <w:sz w:val="23"/>
          <w:szCs w:val="23"/>
        </w:rPr>
      </w:pPr>
      <w:r>
        <w:rPr>
          <w:sz w:val="23"/>
          <w:szCs w:val="23"/>
        </w:rPr>
        <w:t>(e)</w:t>
      </w:r>
      <w:r w:rsidR="00777083">
        <w:rPr>
          <w:sz w:val="23"/>
          <w:szCs w:val="23"/>
        </w:rPr>
        <w:tab/>
      </w:r>
      <w:r>
        <w:rPr>
          <w:sz w:val="23"/>
          <w:szCs w:val="23"/>
        </w:rPr>
        <w:t xml:space="preserve">Kindergartens in Tasmania historically are regulated as part of the school system rather than the education and care sector, thereby avoiding duplication of some regulatory and administrative processes. </w:t>
      </w:r>
      <w:r w:rsidR="00E76ACB">
        <w:rPr>
          <w:sz w:val="23"/>
          <w:szCs w:val="23"/>
        </w:rPr>
        <w:t xml:space="preserve"> </w:t>
      </w:r>
      <w:r>
        <w:rPr>
          <w:sz w:val="23"/>
          <w:szCs w:val="23"/>
        </w:rPr>
        <w:t xml:space="preserve">It is important that kindergartens deliver quality early childhood programs and in 2011 the then Tasmanian Government committed to ensure kindergartens substantially corresponded with </w:t>
      </w:r>
      <w:r w:rsidRPr="00755605">
        <w:rPr>
          <w:sz w:val="23"/>
          <w:szCs w:val="23"/>
        </w:rPr>
        <w:t xml:space="preserve">NQF National Law requirements, without being subject to them. </w:t>
      </w:r>
      <w:r w:rsidR="00E76ACB" w:rsidRPr="00755605">
        <w:rPr>
          <w:sz w:val="23"/>
          <w:szCs w:val="23"/>
        </w:rPr>
        <w:t xml:space="preserve"> In 2016, the Tasmanian Government determined that government kindergartens would be formally assessed against the National Quality Standard</w:t>
      </w:r>
      <w:r w:rsidR="004A3084">
        <w:rPr>
          <w:sz w:val="23"/>
          <w:szCs w:val="23"/>
        </w:rPr>
        <w:t>s</w:t>
      </w:r>
      <w:r w:rsidR="00E76ACB" w:rsidRPr="00755605">
        <w:rPr>
          <w:sz w:val="23"/>
          <w:szCs w:val="23"/>
        </w:rPr>
        <w:t xml:space="preserve"> from 2020</w:t>
      </w:r>
      <w:r w:rsidR="004A3084">
        <w:rPr>
          <w:sz w:val="23"/>
          <w:szCs w:val="23"/>
        </w:rPr>
        <w:t xml:space="preserve"> and work is underway to meet this commitment.</w:t>
      </w:r>
    </w:p>
    <w:p w14:paraId="0150631C" w14:textId="77777777" w:rsidR="000C1E84" w:rsidRPr="00246457" w:rsidRDefault="000C1E84" w:rsidP="00755605">
      <w:pPr>
        <w:spacing w:after="140"/>
        <w:ind w:left="1080" w:hanging="540"/>
        <w:jc w:val="both"/>
        <w:rPr>
          <w:rFonts w:ascii="Times New Roman" w:hAnsi="Times New Roman"/>
          <w:color w:val="000000"/>
          <w:sz w:val="29"/>
          <w:szCs w:val="29"/>
          <w:lang w:val="en" w:eastAsia="en-US"/>
        </w:rPr>
      </w:pPr>
      <w:r>
        <w:rPr>
          <w:szCs w:val="23"/>
        </w:rPr>
        <w:t>(f)</w:t>
      </w:r>
      <w:r w:rsidR="00777083">
        <w:rPr>
          <w:szCs w:val="23"/>
        </w:rPr>
        <w:tab/>
      </w:r>
      <w:r>
        <w:rPr>
          <w:szCs w:val="23"/>
        </w:rPr>
        <w:t xml:space="preserve">Education and care service providers, for example in LDC centres, have always been able to seek registration as a non-government school (through the </w:t>
      </w:r>
      <w:r w:rsidR="008D7552">
        <w:rPr>
          <w:szCs w:val="23"/>
        </w:rPr>
        <w:t>Non</w:t>
      </w:r>
      <w:r w:rsidR="008D7552">
        <w:rPr>
          <w:szCs w:val="23"/>
        </w:rPr>
        <w:noBreakHyphen/>
        <w:t>Government Schools Registration Board, which</w:t>
      </w:r>
      <w:r>
        <w:rPr>
          <w:szCs w:val="23"/>
        </w:rPr>
        <w:t xml:space="preserve"> registers non-government schools) in order to deliver Kindergarten. </w:t>
      </w:r>
      <w:r w:rsidR="008D7552">
        <w:rPr>
          <w:szCs w:val="23"/>
        </w:rPr>
        <w:t xml:space="preserve"> </w:t>
      </w:r>
      <w:r>
        <w:rPr>
          <w:szCs w:val="23"/>
        </w:rPr>
        <w:t xml:space="preserve">If an LDC registers as a school, regardless of its profit status, then it will receive National </w:t>
      </w:r>
      <w:r w:rsidRPr="00D20480">
        <w:rPr>
          <w:szCs w:val="23"/>
        </w:rPr>
        <w:t>Partnership funding which would be allocated according to the existing procedures and methodologies for distributing funding to independent and Catholic schools (N.B. LDCs not registered as a school are not officially recognised as a kindergarten by the State Government</w:t>
      </w:r>
      <w:r w:rsidR="008D7552">
        <w:rPr>
          <w:szCs w:val="23"/>
        </w:rPr>
        <w:t xml:space="preserve">.  The Tasmanian </w:t>
      </w:r>
      <w:r w:rsidR="008D7552">
        <w:rPr>
          <w:i/>
          <w:szCs w:val="23"/>
        </w:rPr>
        <w:t>Education Act 2016</w:t>
      </w:r>
      <w:r w:rsidR="008D7552">
        <w:rPr>
          <w:szCs w:val="23"/>
        </w:rPr>
        <w:t xml:space="preserve"> </w:t>
      </w:r>
      <w:r w:rsidR="008D7552" w:rsidRPr="00246457">
        <w:rPr>
          <w:szCs w:val="23"/>
        </w:rPr>
        <w:t>defines a kindergarten as the year of education immediately preceding the first year of compulsory education and delivered by a school).</w:t>
      </w:r>
    </w:p>
    <w:p w14:paraId="03F6DB4E" w14:textId="78B9EE32" w:rsidR="000C1E84" w:rsidRPr="00D20480" w:rsidRDefault="000C1E84" w:rsidP="00777083">
      <w:pPr>
        <w:autoSpaceDE w:val="0"/>
        <w:autoSpaceDN w:val="0"/>
        <w:adjustRightInd w:val="0"/>
        <w:spacing w:after="140"/>
        <w:ind w:left="1080" w:hanging="540"/>
        <w:jc w:val="both"/>
        <w:rPr>
          <w:rFonts w:cs="Corbel"/>
          <w:color w:val="000000"/>
          <w:szCs w:val="23"/>
        </w:rPr>
      </w:pPr>
      <w:r w:rsidRPr="00246457">
        <w:rPr>
          <w:rFonts w:cs="Corbel"/>
          <w:color w:val="000000"/>
          <w:szCs w:val="23"/>
        </w:rPr>
        <w:t>(g</w:t>
      </w:r>
      <w:r w:rsidR="00777083" w:rsidRPr="00246457">
        <w:rPr>
          <w:rFonts w:cs="Corbel"/>
          <w:color w:val="000000"/>
          <w:szCs w:val="23"/>
        </w:rPr>
        <w:t>)</w:t>
      </w:r>
      <w:r w:rsidR="00777083" w:rsidRPr="00246457">
        <w:rPr>
          <w:rFonts w:cs="Corbel"/>
          <w:color w:val="000000"/>
          <w:szCs w:val="23"/>
        </w:rPr>
        <w:tab/>
      </w:r>
      <w:r w:rsidRPr="00246457">
        <w:rPr>
          <w:rFonts w:cs="Corbel"/>
          <w:color w:val="000000"/>
          <w:szCs w:val="23"/>
        </w:rPr>
        <w:t xml:space="preserve">Registering as a school requires the LDC to </w:t>
      </w:r>
      <w:r w:rsidR="00DA5587" w:rsidRPr="00246457">
        <w:rPr>
          <w:rFonts w:cs="Corbel"/>
          <w:color w:val="000000"/>
          <w:szCs w:val="23"/>
        </w:rPr>
        <w:t>meet standards in areas such as</w:t>
      </w:r>
      <w:r w:rsidRPr="00246457">
        <w:rPr>
          <w:rFonts w:cs="Corbel"/>
          <w:color w:val="000000"/>
          <w:szCs w:val="23"/>
        </w:rPr>
        <w:t xml:space="preserve"> </w:t>
      </w:r>
      <w:r w:rsidR="00DA5587" w:rsidRPr="00246457">
        <w:rPr>
          <w:rFonts w:cs="Corbel"/>
          <w:color w:val="000000"/>
          <w:szCs w:val="23"/>
        </w:rPr>
        <w:t xml:space="preserve">governance, </w:t>
      </w:r>
      <w:r w:rsidRPr="00246457">
        <w:rPr>
          <w:rFonts w:cs="Corbel"/>
          <w:color w:val="000000"/>
          <w:szCs w:val="23"/>
        </w:rPr>
        <w:t xml:space="preserve">the curriculum, qualifications of teachers, </w:t>
      </w:r>
      <w:r w:rsidR="00DA5587" w:rsidRPr="00246457">
        <w:rPr>
          <w:rFonts w:cs="Corbel"/>
          <w:color w:val="000000"/>
          <w:szCs w:val="23"/>
        </w:rPr>
        <w:t xml:space="preserve">and </w:t>
      </w:r>
      <w:r w:rsidRPr="00246457">
        <w:rPr>
          <w:rFonts w:cs="Corbel"/>
          <w:color w:val="000000"/>
          <w:szCs w:val="23"/>
        </w:rPr>
        <w:t>facilities.</w:t>
      </w:r>
      <w:r w:rsidR="00DA5587" w:rsidRPr="00246457">
        <w:rPr>
          <w:rFonts w:cs="Corbel"/>
          <w:color w:val="000000"/>
          <w:szCs w:val="23"/>
        </w:rPr>
        <w:t xml:space="preserve">  </w:t>
      </w:r>
      <w:r w:rsidR="00B11A2C" w:rsidRPr="00246457">
        <w:rPr>
          <w:rFonts w:cs="Corbel"/>
          <w:color w:val="000000"/>
          <w:szCs w:val="23"/>
        </w:rPr>
        <w:t xml:space="preserve">As with previous practice, this is to take into account of </w:t>
      </w:r>
      <w:r w:rsidRPr="00246457">
        <w:rPr>
          <w:rFonts w:cs="Corbel"/>
          <w:color w:val="000000"/>
          <w:szCs w:val="23"/>
        </w:rPr>
        <w:t>the fact that education and care providers are already meeting a regulatory framework</w:t>
      </w:r>
      <w:r w:rsidR="00DA5587" w:rsidRPr="00246457">
        <w:rPr>
          <w:rFonts w:cs="Corbel"/>
          <w:color w:val="000000"/>
          <w:szCs w:val="23"/>
        </w:rPr>
        <w:t xml:space="preserve"> and </w:t>
      </w:r>
      <w:r w:rsidR="00B11A2C" w:rsidRPr="00246457">
        <w:rPr>
          <w:rFonts w:cs="Corbel"/>
          <w:color w:val="000000"/>
          <w:szCs w:val="23"/>
        </w:rPr>
        <w:t xml:space="preserve">to recognise, where possible, </w:t>
      </w:r>
      <w:r w:rsidR="00DA5587" w:rsidRPr="00246457">
        <w:rPr>
          <w:rFonts w:cs="Corbel"/>
          <w:color w:val="000000"/>
          <w:szCs w:val="23"/>
        </w:rPr>
        <w:t>that where there wa</w:t>
      </w:r>
      <w:r w:rsidRPr="00246457">
        <w:rPr>
          <w:rFonts w:cs="Corbel"/>
          <w:color w:val="000000"/>
          <w:szCs w:val="23"/>
        </w:rPr>
        <w:t>s consistency between the school registration standards and the education and care regulatory requirements, evidence of compliance with those requirements w</w:t>
      </w:r>
      <w:r w:rsidR="00B11A2C" w:rsidRPr="00246457">
        <w:rPr>
          <w:rFonts w:cs="Corbel"/>
          <w:color w:val="000000"/>
          <w:szCs w:val="23"/>
        </w:rPr>
        <w:t xml:space="preserve">ill </w:t>
      </w:r>
      <w:r w:rsidR="00DA5587" w:rsidRPr="00246457">
        <w:rPr>
          <w:rFonts w:cs="Corbel"/>
          <w:color w:val="000000"/>
          <w:szCs w:val="23"/>
        </w:rPr>
        <w:t xml:space="preserve">be </w:t>
      </w:r>
      <w:r w:rsidRPr="00246457">
        <w:rPr>
          <w:rFonts w:cs="Corbel"/>
          <w:color w:val="000000"/>
          <w:szCs w:val="23"/>
        </w:rPr>
        <w:t xml:space="preserve">accepted by the </w:t>
      </w:r>
      <w:r w:rsidR="008D7552" w:rsidRPr="00246457">
        <w:rPr>
          <w:rFonts w:cs="Corbel"/>
          <w:color w:val="000000"/>
          <w:szCs w:val="23"/>
        </w:rPr>
        <w:t>Board</w:t>
      </w:r>
      <w:r w:rsidRPr="00246457">
        <w:rPr>
          <w:rFonts w:cs="Corbel"/>
          <w:color w:val="000000"/>
          <w:szCs w:val="23"/>
        </w:rPr>
        <w:t xml:space="preserve"> as evidence of meeting the relevant school registration standard.</w:t>
      </w:r>
      <w:r w:rsidRPr="00D20480">
        <w:rPr>
          <w:rFonts w:cs="Corbel"/>
          <w:color w:val="000000"/>
          <w:szCs w:val="23"/>
        </w:rPr>
        <w:t xml:space="preserve"> </w:t>
      </w:r>
      <w:r w:rsidR="00DA5587">
        <w:rPr>
          <w:rFonts w:cs="Corbel"/>
          <w:color w:val="000000"/>
          <w:szCs w:val="23"/>
        </w:rPr>
        <w:t xml:space="preserve"> </w:t>
      </w:r>
    </w:p>
    <w:p w14:paraId="3047E04F" w14:textId="77777777" w:rsidR="000C1E84" w:rsidRDefault="000C1E84" w:rsidP="00777083">
      <w:pPr>
        <w:autoSpaceDE w:val="0"/>
        <w:autoSpaceDN w:val="0"/>
        <w:adjustRightInd w:val="0"/>
        <w:spacing w:after="140"/>
        <w:ind w:left="1080" w:hanging="540"/>
        <w:jc w:val="both"/>
        <w:rPr>
          <w:rFonts w:cs="Corbel"/>
          <w:color w:val="000000"/>
          <w:szCs w:val="23"/>
        </w:rPr>
      </w:pPr>
      <w:r>
        <w:rPr>
          <w:rFonts w:cs="Corbel"/>
          <w:color w:val="000000"/>
          <w:szCs w:val="23"/>
        </w:rPr>
        <w:t>(h</w:t>
      </w:r>
      <w:r w:rsidR="00777083">
        <w:rPr>
          <w:rFonts w:cs="Corbel"/>
          <w:color w:val="000000"/>
          <w:szCs w:val="23"/>
        </w:rPr>
        <w:t>)</w:t>
      </w:r>
      <w:r w:rsidR="00777083">
        <w:rPr>
          <w:rFonts w:cs="Corbel"/>
          <w:color w:val="000000"/>
          <w:szCs w:val="23"/>
        </w:rPr>
        <w:tab/>
      </w:r>
      <w:r w:rsidRPr="00D20480">
        <w:rPr>
          <w:rFonts w:cs="Corbel"/>
          <w:color w:val="000000"/>
          <w:szCs w:val="23"/>
        </w:rPr>
        <w:t xml:space="preserve">Other than the National Partnership funding, no Commonwealth child care subsidies/rebates are paid in respect of the Kindergarten year in government schools in Tasmania. </w:t>
      </w:r>
    </w:p>
    <w:p w14:paraId="5074F2AD" w14:textId="77777777" w:rsidR="000D3F97" w:rsidRDefault="000D3F97">
      <w:pPr>
        <w:rPr>
          <w:rFonts w:cs="Corbel"/>
          <w:color w:val="000000"/>
          <w:szCs w:val="23"/>
        </w:rPr>
      </w:pPr>
      <w:r>
        <w:rPr>
          <w:rFonts w:cs="Corbel"/>
          <w:color w:val="000000"/>
          <w:szCs w:val="23"/>
        </w:rPr>
        <w:br w:type="page"/>
      </w:r>
    </w:p>
    <w:p w14:paraId="318EA556" w14:textId="77777777" w:rsidR="000C1E84" w:rsidRPr="000D3F97" w:rsidRDefault="000C1E84" w:rsidP="00777083">
      <w:pPr>
        <w:autoSpaceDE w:val="0"/>
        <w:autoSpaceDN w:val="0"/>
        <w:adjustRightInd w:val="0"/>
        <w:spacing w:after="140"/>
        <w:ind w:left="1080" w:hanging="540"/>
        <w:jc w:val="both"/>
        <w:rPr>
          <w:rFonts w:cs="Corbel"/>
          <w:color w:val="000000"/>
          <w:szCs w:val="23"/>
        </w:rPr>
      </w:pPr>
      <w:r>
        <w:rPr>
          <w:rFonts w:cs="Corbel"/>
          <w:color w:val="000000"/>
          <w:szCs w:val="23"/>
        </w:rPr>
        <w:t>(i</w:t>
      </w:r>
      <w:r w:rsidRPr="00D20480">
        <w:rPr>
          <w:rFonts w:cs="Corbel"/>
          <w:color w:val="000000"/>
          <w:szCs w:val="23"/>
        </w:rPr>
        <w:t>)</w:t>
      </w:r>
      <w:r w:rsidR="000D3F97">
        <w:rPr>
          <w:rFonts w:cs="Corbel"/>
          <w:color w:val="000000"/>
          <w:szCs w:val="23"/>
        </w:rPr>
        <w:tab/>
      </w:r>
      <w:r w:rsidRPr="00D20480">
        <w:rPr>
          <w:rFonts w:cs="Corbel"/>
          <w:color w:val="000000"/>
          <w:szCs w:val="23"/>
        </w:rPr>
        <w:t xml:space="preserve">If a for-profit LDC service registers </w:t>
      </w:r>
      <w:r w:rsidR="0091726C">
        <w:rPr>
          <w:rFonts w:cs="Corbel"/>
          <w:color w:val="000000"/>
          <w:szCs w:val="23"/>
        </w:rPr>
        <w:t xml:space="preserve">as a school </w:t>
      </w:r>
      <w:r w:rsidRPr="00D20480">
        <w:rPr>
          <w:rFonts w:cs="Corbel"/>
          <w:color w:val="000000"/>
          <w:szCs w:val="23"/>
        </w:rPr>
        <w:t>with the</w:t>
      </w:r>
      <w:r w:rsidR="008D7552">
        <w:rPr>
          <w:rFonts w:cs="Corbel"/>
          <w:color w:val="000000"/>
          <w:szCs w:val="23"/>
        </w:rPr>
        <w:t xml:space="preserve"> NGSRB</w:t>
      </w:r>
      <w:r w:rsidRPr="00D20480">
        <w:rPr>
          <w:rFonts w:cs="Corbel"/>
          <w:color w:val="000000"/>
          <w:szCs w:val="23"/>
        </w:rPr>
        <w:t xml:space="preserve"> to run </w:t>
      </w:r>
      <w:r w:rsidR="00C762F8">
        <w:rPr>
          <w:rFonts w:cs="Corbel"/>
          <w:color w:val="000000"/>
          <w:szCs w:val="23"/>
        </w:rPr>
        <w:t>a K</w:t>
      </w:r>
      <w:r w:rsidRPr="00D20480">
        <w:rPr>
          <w:rFonts w:cs="Corbel"/>
          <w:color w:val="000000"/>
          <w:szCs w:val="23"/>
        </w:rPr>
        <w:t xml:space="preserve">indergarten, </w:t>
      </w:r>
      <w:r w:rsidR="008D7552">
        <w:rPr>
          <w:rFonts w:cs="Corbel"/>
          <w:color w:val="000000"/>
          <w:szCs w:val="23"/>
        </w:rPr>
        <w:t>it</w:t>
      </w:r>
      <w:r w:rsidRPr="00D20480">
        <w:rPr>
          <w:rFonts w:cs="Corbel"/>
          <w:color w:val="000000"/>
          <w:szCs w:val="23"/>
        </w:rPr>
        <w:t xml:space="preserve"> will be eligible for a share of the Commonwealth funding under the National Partnership. </w:t>
      </w:r>
      <w:r w:rsidR="008D7552">
        <w:rPr>
          <w:rFonts w:cs="Corbel"/>
          <w:color w:val="000000"/>
          <w:szCs w:val="23"/>
        </w:rPr>
        <w:t xml:space="preserve"> However, for-profit services will not be eligible for the State subsidy because the Tasmanian Education Act does not allow State funding to go to for-profit </w:t>
      </w:r>
      <w:r w:rsidR="008D7552" w:rsidRPr="000D3F97">
        <w:rPr>
          <w:rFonts w:cs="Corbel"/>
          <w:color w:val="000000"/>
          <w:szCs w:val="23"/>
        </w:rPr>
        <w:t>schools.</w:t>
      </w:r>
    </w:p>
    <w:p w14:paraId="4869A52A" w14:textId="09967B83" w:rsidR="000C1E84" w:rsidRPr="000D3F97" w:rsidRDefault="000C1E84" w:rsidP="00777083">
      <w:pPr>
        <w:autoSpaceDE w:val="0"/>
        <w:autoSpaceDN w:val="0"/>
        <w:adjustRightInd w:val="0"/>
        <w:spacing w:after="140"/>
        <w:ind w:left="1080" w:hanging="540"/>
        <w:jc w:val="both"/>
        <w:rPr>
          <w:rFonts w:cs="Corbel"/>
          <w:color w:val="000000"/>
          <w:szCs w:val="23"/>
        </w:rPr>
      </w:pPr>
      <w:r w:rsidRPr="000D3F97">
        <w:rPr>
          <w:rFonts w:cs="Corbel"/>
          <w:color w:val="000000"/>
          <w:szCs w:val="23"/>
        </w:rPr>
        <w:t>(j)</w:t>
      </w:r>
      <w:r w:rsidR="00777083" w:rsidRPr="000D3F97">
        <w:rPr>
          <w:rFonts w:cs="Corbel"/>
          <w:color w:val="000000"/>
          <w:szCs w:val="23"/>
        </w:rPr>
        <w:tab/>
      </w:r>
      <w:r w:rsidRPr="000D3F97">
        <w:rPr>
          <w:rFonts w:cs="Corbel"/>
          <w:color w:val="000000"/>
          <w:szCs w:val="23"/>
        </w:rPr>
        <w:t>If a not-for-profit LDC service registers with the</w:t>
      </w:r>
      <w:r w:rsidR="008D7552" w:rsidRPr="000D3F97">
        <w:rPr>
          <w:rFonts w:cs="Corbel"/>
          <w:color w:val="000000"/>
          <w:szCs w:val="23"/>
        </w:rPr>
        <w:t xml:space="preserve"> NGSRB</w:t>
      </w:r>
      <w:r w:rsidRPr="000D3F97">
        <w:rPr>
          <w:rFonts w:cs="Corbel"/>
          <w:color w:val="000000"/>
          <w:szCs w:val="23"/>
        </w:rPr>
        <w:t xml:space="preserve"> to run a Kindergarten, it will be entitled to the State funding subsidy for 10 hours (as for all non-government schools) and a share of the Commonwealth funding under the National Partnership. Currently in Tasmania, </w:t>
      </w:r>
      <w:r w:rsidRPr="00C741AC">
        <w:rPr>
          <w:rFonts w:cs="Corbel"/>
          <w:color w:val="000000"/>
          <w:szCs w:val="23"/>
        </w:rPr>
        <w:t xml:space="preserve">almost </w:t>
      </w:r>
      <w:r w:rsidR="000D3F97" w:rsidRPr="00C741AC">
        <w:rPr>
          <w:rFonts w:cs="Corbel"/>
          <w:color w:val="000000"/>
          <w:szCs w:val="23"/>
        </w:rPr>
        <w:t>6</w:t>
      </w:r>
      <w:r w:rsidR="004A3084">
        <w:rPr>
          <w:rFonts w:cs="Corbel"/>
          <w:color w:val="000000"/>
          <w:szCs w:val="23"/>
        </w:rPr>
        <w:t>3</w:t>
      </w:r>
      <w:r w:rsidRPr="00C741AC">
        <w:rPr>
          <w:rFonts w:cs="Corbel"/>
          <w:color w:val="000000"/>
          <w:szCs w:val="23"/>
        </w:rPr>
        <w:t xml:space="preserve"> per cent of long day care services are not-for profit.</w:t>
      </w:r>
      <w:r w:rsidRPr="000D3F97">
        <w:rPr>
          <w:rFonts w:cs="Corbel"/>
          <w:color w:val="000000"/>
          <w:szCs w:val="23"/>
        </w:rPr>
        <w:t xml:space="preserve"> </w:t>
      </w:r>
    </w:p>
    <w:p w14:paraId="17F21CB1" w14:textId="364C9EE7" w:rsidR="005A75AC" w:rsidRPr="005A75AC" w:rsidRDefault="000C1E84" w:rsidP="00B50461">
      <w:pPr>
        <w:pStyle w:val="Default"/>
        <w:spacing w:after="140"/>
        <w:ind w:left="1080" w:hanging="630"/>
        <w:rPr>
          <w:sz w:val="23"/>
          <w:szCs w:val="23"/>
        </w:rPr>
      </w:pPr>
      <w:r w:rsidRPr="000D3F97">
        <w:rPr>
          <w:sz w:val="23"/>
          <w:szCs w:val="23"/>
        </w:rPr>
        <w:t>(k)</w:t>
      </w:r>
      <w:r w:rsidR="00777083" w:rsidRPr="00A43FA4">
        <w:rPr>
          <w:i/>
          <w:sz w:val="23"/>
        </w:rPr>
        <w:tab/>
      </w:r>
      <w:r w:rsidR="005A75AC" w:rsidRPr="00854687">
        <w:rPr>
          <w:sz w:val="23"/>
          <w:szCs w:val="23"/>
        </w:rPr>
        <w:t>Currently</w:t>
      </w:r>
      <w:r w:rsidR="0089453D">
        <w:rPr>
          <w:sz w:val="23"/>
          <w:szCs w:val="23"/>
        </w:rPr>
        <w:t>,</w:t>
      </w:r>
      <w:r w:rsidR="005A75AC" w:rsidRPr="00854687">
        <w:rPr>
          <w:sz w:val="23"/>
          <w:szCs w:val="23"/>
        </w:rPr>
        <w:t xml:space="preserve"> there is one LDC registered to deliver kindergarten in Tasmania</w:t>
      </w:r>
      <w:r w:rsidR="00B11A2C" w:rsidRPr="00854687">
        <w:rPr>
          <w:sz w:val="23"/>
          <w:szCs w:val="23"/>
        </w:rPr>
        <w:t xml:space="preserve"> in </w:t>
      </w:r>
      <w:r w:rsidR="00A82E7F">
        <w:rPr>
          <w:sz w:val="23"/>
          <w:szCs w:val="23"/>
        </w:rPr>
        <w:t>2019.</w:t>
      </w:r>
    </w:p>
    <w:p w14:paraId="3E438360" w14:textId="7633D458" w:rsidR="00B50461" w:rsidRPr="00B50461" w:rsidRDefault="005A75AC" w:rsidP="00B50461">
      <w:pPr>
        <w:pStyle w:val="Default"/>
        <w:spacing w:after="140"/>
        <w:ind w:left="1080" w:hanging="630"/>
        <w:rPr>
          <w:sz w:val="23"/>
          <w:szCs w:val="23"/>
        </w:rPr>
      </w:pPr>
      <w:r>
        <w:rPr>
          <w:szCs w:val="23"/>
        </w:rPr>
        <w:t>(l)</w:t>
      </w:r>
      <w:r>
        <w:rPr>
          <w:szCs w:val="23"/>
        </w:rPr>
        <w:tab/>
      </w:r>
      <w:r w:rsidR="0062712B">
        <w:rPr>
          <w:sz w:val="23"/>
          <w:szCs w:val="23"/>
        </w:rPr>
        <w:t>Early Learning</w:t>
      </w:r>
      <w:r w:rsidR="00B50461">
        <w:rPr>
          <w:sz w:val="23"/>
          <w:szCs w:val="23"/>
        </w:rPr>
        <w:t xml:space="preserve"> is one of four priority areas</w:t>
      </w:r>
      <w:r w:rsidR="00B50461" w:rsidRPr="00B50461">
        <w:rPr>
          <w:sz w:val="23"/>
          <w:szCs w:val="23"/>
        </w:rPr>
        <w:t xml:space="preserve"> in the Department of Education strategic plan 2018-2021.  Tasmania’s Strategy for Children – Pregnancy to Eight Years 2018-2021 was launched in November 2017.  Th</w:t>
      </w:r>
      <w:r w:rsidR="00B50461">
        <w:rPr>
          <w:sz w:val="23"/>
          <w:szCs w:val="23"/>
        </w:rPr>
        <w:t>is</w:t>
      </w:r>
      <w:r w:rsidR="00B50461" w:rsidRPr="00B50461">
        <w:rPr>
          <w:sz w:val="23"/>
          <w:szCs w:val="23"/>
        </w:rPr>
        <w:t xml:space="preserve"> strategy outlines a shared purpose and practices for all Tasmanian service providers that focus on improving the education, health and wellbeing outcomes of children from pregnancy to eight years.</w:t>
      </w:r>
    </w:p>
    <w:p w14:paraId="3F13C1E2" w14:textId="77777777" w:rsidR="000C1E84" w:rsidRDefault="00B50461" w:rsidP="008D7552">
      <w:pPr>
        <w:autoSpaceDE w:val="0"/>
        <w:autoSpaceDN w:val="0"/>
        <w:adjustRightInd w:val="0"/>
        <w:spacing w:after="120"/>
        <w:ind w:left="1080" w:hanging="540"/>
        <w:jc w:val="both"/>
        <w:rPr>
          <w:rFonts w:cs="Corbel"/>
          <w:color w:val="000000"/>
          <w:szCs w:val="23"/>
        </w:rPr>
      </w:pPr>
      <w:r>
        <w:rPr>
          <w:rFonts w:cs="Corbel"/>
          <w:color w:val="000000"/>
          <w:szCs w:val="23"/>
        </w:rPr>
        <w:t>(</w:t>
      </w:r>
      <w:r w:rsidR="005A75AC">
        <w:rPr>
          <w:rFonts w:cs="Corbel"/>
          <w:color w:val="000000"/>
          <w:szCs w:val="23"/>
        </w:rPr>
        <w:t>m</w:t>
      </w:r>
      <w:r>
        <w:rPr>
          <w:rFonts w:cs="Corbel"/>
          <w:color w:val="000000"/>
          <w:szCs w:val="23"/>
        </w:rPr>
        <w:t>)</w:t>
      </w:r>
      <w:r>
        <w:rPr>
          <w:rFonts w:cs="Corbel"/>
          <w:color w:val="000000"/>
          <w:szCs w:val="23"/>
        </w:rPr>
        <w:tab/>
      </w:r>
      <w:r w:rsidR="000C1E84" w:rsidRPr="00D20480">
        <w:rPr>
          <w:rFonts w:cs="Corbel"/>
          <w:color w:val="000000"/>
          <w:szCs w:val="23"/>
        </w:rPr>
        <w:t xml:space="preserve">There are three existing state-funded projects which focus on education during the pre-kindergarten years (birth to four years). </w:t>
      </w:r>
      <w:r w:rsidR="008D7552">
        <w:rPr>
          <w:rFonts w:cs="Corbel"/>
          <w:color w:val="000000"/>
          <w:szCs w:val="23"/>
        </w:rPr>
        <w:t xml:space="preserve"> </w:t>
      </w:r>
      <w:r w:rsidR="000C1E84" w:rsidRPr="00D20480">
        <w:rPr>
          <w:rFonts w:cs="Corbel"/>
          <w:color w:val="000000"/>
          <w:szCs w:val="23"/>
        </w:rPr>
        <w:t xml:space="preserve">These programs are not funded under the National Partnership, but complement the National Partnership by supporting participation in learning by vulnerable and disadvantaged and Indigenous children. </w:t>
      </w:r>
      <w:r w:rsidR="008D7552">
        <w:rPr>
          <w:rFonts w:cs="Corbel"/>
          <w:color w:val="000000"/>
          <w:szCs w:val="23"/>
        </w:rPr>
        <w:t xml:space="preserve"> </w:t>
      </w:r>
      <w:r w:rsidR="000C1E84" w:rsidRPr="00D20480">
        <w:rPr>
          <w:rFonts w:cs="Corbel"/>
          <w:color w:val="000000"/>
          <w:szCs w:val="23"/>
        </w:rPr>
        <w:t xml:space="preserve">These projects are: </w:t>
      </w:r>
    </w:p>
    <w:p w14:paraId="7401C3EE" w14:textId="77777777" w:rsidR="000C1E84" w:rsidRPr="00D20480" w:rsidRDefault="000C1E84" w:rsidP="00DB68D4">
      <w:pPr>
        <w:pStyle w:val="ListParagraph"/>
        <w:numPr>
          <w:ilvl w:val="0"/>
          <w:numId w:val="17"/>
        </w:numPr>
        <w:autoSpaceDE w:val="0"/>
        <w:autoSpaceDN w:val="0"/>
        <w:adjustRightInd w:val="0"/>
        <w:spacing w:after="120"/>
        <w:contextualSpacing/>
        <w:jc w:val="both"/>
        <w:rPr>
          <w:rFonts w:cs="Corbel"/>
          <w:color w:val="000000"/>
          <w:sz w:val="24"/>
        </w:rPr>
      </w:pPr>
      <w:r w:rsidRPr="00D20480">
        <w:rPr>
          <w:rFonts w:cs="Corbel"/>
          <w:color w:val="000000"/>
          <w:sz w:val="24"/>
        </w:rPr>
        <w:t xml:space="preserve">Launching into Learning (in all government schools) </w:t>
      </w:r>
    </w:p>
    <w:p w14:paraId="02C67095" w14:textId="31530420" w:rsidR="000C1E84" w:rsidRPr="00D20480" w:rsidRDefault="000C1E84" w:rsidP="00DB68D4">
      <w:pPr>
        <w:pStyle w:val="ListParagraph"/>
        <w:numPr>
          <w:ilvl w:val="0"/>
          <w:numId w:val="17"/>
        </w:numPr>
        <w:autoSpaceDE w:val="0"/>
        <w:autoSpaceDN w:val="0"/>
        <w:adjustRightInd w:val="0"/>
        <w:spacing w:after="120"/>
        <w:contextualSpacing/>
        <w:jc w:val="both"/>
        <w:rPr>
          <w:rFonts w:cs="Corbel"/>
          <w:color w:val="000000"/>
          <w:sz w:val="24"/>
        </w:rPr>
      </w:pPr>
      <w:r w:rsidRPr="00D20480">
        <w:rPr>
          <w:rFonts w:cs="Corbel"/>
          <w:color w:val="000000"/>
          <w:sz w:val="24"/>
        </w:rPr>
        <w:t>Child and Family Centres in 12 communities</w:t>
      </w:r>
    </w:p>
    <w:p w14:paraId="11D9C5FE" w14:textId="77777777" w:rsidR="000C1E84" w:rsidRPr="00D20480" w:rsidRDefault="000C1E84" w:rsidP="00DB68D4">
      <w:pPr>
        <w:pStyle w:val="ListParagraph"/>
        <w:numPr>
          <w:ilvl w:val="0"/>
          <w:numId w:val="17"/>
        </w:numPr>
        <w:autoSpaceDE w:val="0"/>
        <w:autoSpaceDN w:val="0"/>
        <w:adjustRightInd w:val="0"/>
        <w:spacing w:after="140"/>
        <w:contextualSpacing/>
        <w:jc w:val="both"/>
        <w:rPr>
          <w:rFonts w:cs="Corbel"/>
          <w:color w:val="000000"/>
          <w:szCs w:val="23"/>
        </w:rPr>
      </w:pPr>
      <w:r w:rsidRPr="00D20480">
        <w:rPr>
          <w:rFonts w:cs="Corbel"/>
          <w:color w:val="000000"/>
          <w:sz w:val="24"/>
        </w:rPr>
        <w:t xml:space="preserve">Aboriginal </w:t>
      </w:r>
      <w:r w:rsidRPr="00D20480">
        <w:rPr>
          <w:rFonts w:cs="Corbel"/>
          <w:color w:val="000000"/>
          <w:szCs w:val="23"/>
        </w:rPr>
        <w:t xml:space="preserve">Early Years Education Workers. </w:t>
      </w:r>
    </w:p>
    <w:p w14:paraId="6A8D6E26" w14:textId="77777777" w:rsidR="000C1E84" w:rsidRPr="00D20480" w:rsidRDefault="000C1E84" w:rsidP="008D7552">
      <w:pPr>
        <w:autoSpaceDE w:val="0"/>
        <w:autoSpaceDN w:val="0"/>
        <w:adjustRightInd w:val="0"/>
        <w:spacing w:after="140"/>
        <w:ind w:left="1440" w:hanging="360"/>
        <w:jc w:val="both"/>
        <w:rPr>
          <w:rFonts w:cs="Corbel"/>
          <w:color w:val="000000"/>
          <w:szCs w:val="23"/>
        </w:rPr>
      </w:pPr>
      <w:r w:rsidRPr="00D20480">
        <w:rPr>
          <w:rFonts w:cs="Corbel"/>
          <w:color w:val="000000"/>
          <w:szCs w:val="23"/>
        </w:rPr>
        <w:t xml:space="preserve">(i) </w:t>
      </w:r>
      <w:r w:rsidR="008D7552">
        <w:rPr>
          <w:rFonts w:cs="Corbel"/>
          <w:color w:val="000000"/>
          <w:szCs w:val="23"/>
        </w:rPr>
        <w:tab/>
      </w:r>
      <w:r w:rsidRPr="00D20480">
        <w:rPr>
          <w:rFonts w:cs="Corbel"/>
          <w:color w:val="000000"/>
          <w:szCs w:val="23"/>
        </w:rPr>
        <w:t xml:space="preserve">Launching into Learning (LiL) is a program available in all government primary schools for children from birth through to age 4. LiL aims to give Tasmania’s youngest children the best possible start in life by: </w:t>
      </w:r>
    </w:p>
    <w:p w14:paraId="4EC7A695" w14:textId="77777777" w:rsidR="000C1E84" w:rsidRPr="007D0259" w:rsidRDefault="000C1E84" w:rsidP="00DB68D4">
      <w:pPr>
        <w:pStyle w:val="ListParagraph"/>
        <w:numPr>
          <w:ilvl w:val="0"/>
          <w:numId w:val="18"/>
        </w:numPr>
        <w:autoSpaceDE w:val="0"/>
        <w:autoSpaceDN w:val="0"/>
        <w:adjustRightInd w:val="0"/>
        <w:spacing w:after="140"/>
        <w:ind w:left="1800"/>
        <w:contextualSpacing/>
        <w:jc w:val="both"/>
        <w:rPr>
          <w:rFonts w:cs="Corbel"/>
          <w:color w:val="000000"/>
          <w:szCs w:val="23"/>
        </w:rPr>
      </w:pPr>
      <w:r w:rsidRPr="007D0259">
        <w:rPr>
          <w:rFonts w:cs="Corbel"/>
          <w:color w:val="000000"/>
          <w:szCs w:val="23"/>
        </w:rPr>
        <w:t xml:space="preserve">Supporting families as their child’s first and most influential teacher, </w:t>
      </w:r>
    </w:p>
    <w:p w14:paraId="5C4E88DB" w14:textId="77777777" w:rsidR="000C1E84" w:rsidRPr="007D0259" w:rsidRDefault="000C1E84" w:rsidP="00DB68D4">
      <w:pPr>
        <w:pStyle w:val="ListParagraph"/>
        <w:numPr>
          <w:ilvl w:val="0"/>
          <w:numId w:val="18"/>
        </w:numPr>
        <w:autoSpaceDE w:val="0"/>
        <w:autoSpaceDN w:val="0"/>
        <w:adjustRightInd w:val="0"/>
        <w:spacing w:after="140"/>
        <w:ind w:left="1800"/>
        <w:contextualSpacing/>
        <w:jc w:val="both"/>
        <w:rPr>
          <w:rFonts w:cs="Corbel"/>
          <w:color w:val="000000"/>
          <w:szCs w:val="23"/>
        </w:rPr>
      </w:pPr>
      <w:r w:rsidRPr="007D0259">
        <w:rPr>
          <w:rFonts w:cs="Corbel"/>
          <w:color w:val="000000"/>
          <w:szCs w:val="23"/>
        </w:rPr>
        <w:t xml:space="preserve">Reaching families with highest need, </w:t>
      </w:r>
    </w:p>
    <w:p w14:paraId="4BE51485" w14:textId="77777777" w:rsidR="000C1E84" w:rsidRPr="007D0259" w:rsidRDefault="000C1E84" w:rsidP="00DB68D4">
      <w:pPr>
        <w:pStyle w:val="ListParagraph"/>
        <w:numPr>
          <w:ilvl w:val="0"/>
          <w:numId w:val="18"/>
        </w:numPr>
        <w:autoSpaceDE w:val="0"/>
        <w:autoSpaceDN w:val="0"/>
        <w:adjustRightInd w:val="0"/>
        <w:spacing w:after="140"/>
        <w:ind w:left="1800"/>
        <w:contextualSpacing/>
        <w:jc w:val="both"/>
        <w:rPr>
          <w:rFonts w:cs="Corbel"/>
          <w:color w:val="000000"/>
          <w:szCs w:val="23"/>
        </w:rPr>
      </w:pPr>
      <w:r w:rsidRPr="007D0259">
        <w:rPr>
          <w:rFonts w:cs="Corbel"/>
          <w:color w:val="000000"/>
          <w:szCs w:val="23"/>
        </w:rPr>
        <w:t xml:space="preserve">Facilitating a positive transition into kindergarten. </w:t>
      </w:r>
    </w:p>
    <w:p w14:paraId="2E511FCA" w14:textId="00B4E4A4" w:rsidR="000C1E84" w:rsidRPr="00D20480" w:rsidRDefault="000C1E84" w:rsidP="008D7552">
      <w:pPr>
        <w:autoSpaceDE w:val="0"/>
        <w:autoSpaceDN w:val="0"/>
        <w:adjustRightInd w:val="0"/>
        <w:spacing w:after="140"/>
        <w:ind w:left="1440"/>
        <w:jc w:val="both"/>
        <w:rPr>
          <w:rFonts w:cs="Corbel"/>
          <w:color w:val="000000"/>
          <w:szCs w:val="23"/>
        </w:rPr>
      </w:pPr>
      <w:r w:rsidRPr="00D20480">
        <w:rPr>
          <w:rFonts w:cs="Corbel"/>
          <w:color w:val="000000"/>
          <w:szCs w:val="23"/>
        </w:rPr>
        <w:t xml:space="preserve">A state-wide Early </w:t>
      </w:r>
      <w:r w:rsidR="006B0E3E">
        <w:rPr>
          <w:rFonts w:cs="Corbel"/>
          <w:color w:val="000000"/>
          <w:szCs w:val="23"/>
        </w:rPr>
        <w:t xml:space="preserve">Learning </w:t>
      </w:r>
      <w:r w:rsidRPr="00D20480">
        <w:rPr>
          <w:rFonts w:cs="Corbel"/>
          <w:color w:val="000000"/>
          <w:szCs w:val="23"/>
        </w:rPr>
        <w:t xml:space="preserve">team supports consistent approaches to the ongoing implementation of the Early Years Learning Framework, which underpins the work of LiL teachers. </w:t>
      </w:r>
    </w:p>
    <w:p w14:paraId="793D4A51" w14:textId="77777777" w:rsidR="000C1E84" w:rsidRDefault="000C1E84" w:rsidP="008D7552">
      <w:pPr>
        <w:autoSpaceDE w:val="0"/>
        <w:autoSpaceDN w:val="0"/>
        <w:adjustRightInd w:val="0"/>
        <w:spacing w:after="140"/>
        <w:ind w:left="1440"/>
        <w:jc w:val="both"/>
        <w:rPr>
          <w:rFonts w:cs="Corbel"/>
          <w:color w:val="000000"/>
          <w:szCs w:val="23"/>
        </w:rPr>
      </w:pPr>
      <w:r w:rsidRPr="00D20480">
        <w:rPr>
          <w:rFonts w:cs="Corbel"/>
          <w:color w:val="000000"/>
          <w:szCs w:val="23"/>
        </w:rPr>
        <w:t xml:space="preserve">A longitudinal study of LiL shows that students from all socioeconomic backgrounds made significant gains in educational performance from regular participation in LiL. However, students from disadvantaged and low socioeconomic backgrounds benefited most. </w:t>
      </w:r>
    </w:p>
    <w:p w14:paraId="3F58FFA2" w14:textId="77777777" w:rsidR="000C1E84" w:rsidRPr="00D20480" w:rsidRDefault="000C1E84" w:rsidP="008D7552">
      <w:pPr>
        <w:autoSpaceDE w:val="0"/>
        <w:autoSpaceDN w:val="0"/>
        <w:adjustRightInd w:val="0"/>
        <w:spacing w:after="140"/>
        <w:ind w:left="1440" w:hanging="360"/>
        <w:jc w:val="both"/>
        <w:rPr>
          <w:rFonts w:cs="Corbel"/>
          <w:color w:val="000000"/>
          <w:szCs w:val="23"/>
        </w:rPr>
      </w:pPr>
      <w:r w:rsidRPr="00D20480">
        <w:rPr>
          <w:rFonts w:cs="Corbel"/>
          <w:color w:val="000000"/>
          <w:szCs w:val="23"/>
        </w:rPr>
        <w:t xml:space="preserve">(ii) Child and Family Centres (CFCs) focus on improving the learning and care, and health and wellbeing of Tasmania’s very young children by supporting parents and enhancing accessibility to services in the local community. </w:t>
      </w:r>
    </w:p>
    <w:p w14:paraId="5453CD95" w14:textId="77777777" w:rsidR="000C1E84" w:rsidRDefault="000C1E84" w:rsidP="008D7552">
      <w:pPr>
        <w:autoSpaceDE w:val="0"/>
        <w:autoSpaceDN w:val="0"/>
        <w:adjustRightInd w:val="0"/>
        <w:spacing w:after="140"/>
        <w:ind w:left="1440" w:hanging="360"/>
        <w:jc w:val="both"/>
        <w:rPr>
          <w:rFonts w:cs="Corbel"/>
          <w:color w:val="000000"/>
          <w:szCs w:val="23"/>
        </w:rPr>
      </w:pPr>
      <w:r w:rsidRPr="00D20480">
        <w:rPr>
          <w:rFonts w:ascii="Calibri" w:hAnsi="Calibri" w:cs="Calibri"/>
          <w:color w:val="000000"/>
        </w:rPr>
        <w:t xml:space="preserve">(iii) </w:t>
      </w:r>
      <w:r w:rsidR="00106F2A">
        <w:rPr>
          <w:rFonts w:ascii="Calibri" w:hAnsi="Calibri" w:cs="Calibri"/>
          <w:color w:val="000000"/>
        </w:rPr>
        <w:tab/>
      </w:r>
      <w:r w:rsidRPr="00D20480">
        <w:rPr>
          <w:rFonts w:cs="Corbel"/>
          <w:color w:val="000000"/>
          <w:szCs w:val="23"/>
        </w:rPr>
        <w:t xml:space="preserve">The Aboriginal Early Years Program emphasises early literacy, language development and school readiness. </w:t>
      </w:r>
      <w:r w:rsidR="008D7552">
        <w:rPr>
          <w:rFonts w:cs="Corbel"/>
          <w:color w:val="000000"/>
          <w:szCs w:val="23"/>
        </w:rPr>
        <w:t xml:space="preserve"> </w:t>
      </w:r>
      <w:r w:rsidRPr="00D20480">
        <w:rPr>
          <w:rFonts w:cs="Corbel"/>
          <w:color w:val="000000"/>
          <w:szCs w:val="23"/>
        </w:rPr>
        <w:t xml:space="preserve">The program has been running since 2005. </w:t>
      </w:r>
      <w:r w:rsidR="008D7552">
        <w:rPr>
          <w:rFonts w:cs="Corbel"/>
          <w:color w:val="000000"/>
          <w:szCs w:val="23"/>
        </w:rPr>
        <w:t xml:space="preserve"> </w:t>
      </w:r>
      <w:r w:rsidRPr="00D20480">
        <w:rPr>
          <w:rFonts w:cs="Corbel"/>
          <w:color w:val="000000"/>
          <w:szCs w:val="23"/>
        </w:rPr>
        <w:t xml:space="preserve">Aboriginal Early Years Education Workers </w:t>
      </w:r>
      <w:r w:rsidR="002747B1">
        <w:rPr>
          <w:rFonts w:cs="Corbel"/>
          <w:color w:val="000000"/>
          <w:szCs w:val="23"/>
        </w:rPr>
        <w:t xml:space="preserve">(AEYEWs) </w:t>
      </w:r>
      <w:r w:rsidRPr="00D20480">
        <w:rPr>
          <w:rFonts w:cs="Corbel"/>
          <w:color w:val="000000"/>
          <w:szCs w:val="23"/>
        </w:rPr>
        <w:t xml:space="preserve">provide professional learning and high level advice to early years’ staff and agencies to enable successful implementation </w:t>
      </w:r>
      <w:r>
        <w:rPr>
          <w:rFonts w:cs="Corbel"/>
          <w:color w:val="000000"/>
          <w:szCs w:val="23"/>
        </w:rPr>
        <w:t>of departmental and Closing the Gap strategies.</w:t>
      </w:r>
    </w:p>
    <w:p w14:paraId="2E029DE7" w14:textId="08191B61" w:rsidR="000C1E84" w:rsidRDefault="00777083" w:rsidP="00106F2A">
      <w:pPr>
        <w:autoSpaceDE w:val="0"/>
        <w:autoSpaceDN w:val="0"/>
        <w:adjustRightInd w:val="0"/>
        <w:ind w:left="1440"/>
        <w:jc w:val="both"/>
        <w:rPr>
          <w:rFonts w:cs="Corbel"/>
          <w:color w:val="000000"/>
          <w:szCs w:val="23"/>
        </w:rPr>
      </w:pPr>
      <w:r>
        <w:rPr>
          <w:rFonts w:cs="Corbel"/>
          <w:color w:val="000000"/>
          <w:szCs w:val="23"/>
        </w:rPr>
        <w:t>A</w:t>
      </w:r>
      <w:r w:rsidR="000C1E84" w:rsidRPr="00D20480">
        <w:rPr>
          <w:rFonts w:cs="Corbel"/>
          <w:color w:val="000000"/>
          <w:szCs w:val="23"/>
        </w:rPr>
        <w:t>EY</w:t>
      </w:r>
      <w:r w:rsidR="000C1E84">
        <w:rPr>
          <w:rFonts w:cs="Corbel"/>
          <w:color w:val="000000"/>
          <w:szCs w:val="23"/>
        </w:rPr>
        <w:t>EW</w:t>
      </w:r>
      <w:r w:rsidR="000C1E84" w:rsidRPr="00D20480">
        <w:rPr>
          <w:rFonts w:cs="Corbel"/>
          <w:color w:val="000000"/>
          <w:szCs w:val="23"/>
        </w:rPr>
        <w:t xml:space="preserve">s are situated around the State in CFCs. </w:t>
      </w:r>
      <w:r>
        <w:rPr>
          <w:rFonts w:cs="Corbel"/>
          <w:color w:val="000000"/>
          <w:szCs w:val="23"/>
        </w:rPr>
        <w:t xml:space="preserve"> </w:t>
      </w:r>
      <w:r w:rsidR="000C1E84" w:rsidRPr="00D20480">
        <w:rPr>
          <w:rFonts w:cs="Corbel"/>
          <w:color w:val="000000"/>
          <w:szCs w:val="23"/>
        </w:rPr>
        <w:t xml:space="preserve">They work closely with families of Aboriginal children from birth to four years of age to engage their children in a wide range of early years’ activities and programs that nurture and stimulate young children’s learning. </w:t>
      </w:r>
      <w:r w:rsidR="008D7552">
        <w:rPr>
          <w:rFonts w:cs="Corbel"/>
          <w:color w:val="000000"/>
          <w:szCs w:val="23"/>
        </w:rPr>
        <w:t xml:space="preserve"> </w:t>
      </w:r>
      <w:r w:rsidR="000C1E84" w:rsidRPr="00D20480">
        <w:rPr>
          <w:rFonts w:cs="Corbel"/>
          <w:color w:val="000000"/>
          <w:szCs w:val="23"/>
        </w:rPr>
        <w:t>AEY</w:t>
      </w:r>
      <w:r w:rsidR="000C1E84">
        <w:rPr>
          <w:rFonts w:cs="Corbel"/>
          <w:color w:val="000000"/>
          <w:szCs w:val="23"/>
        </w:rPr>
        <w:t>EWs</w:t>
      </w:r>
      <w:r w:rsidR="000C1E84" w:rsidRPr="00D20480">
        <w:rPr>
          <w:rFonts w:cs="Corbel"/>
          <w:color w:val="000000"/>
          <w:szCs w:val="23"/>
        </w:rPr>
        <w:t xml:space="preserve"> play a key role in building connections between schools and families with young children by supporting families to engage in CFCs and </w:t>
      </w:r>
      <w:r w:rsidR="00263A52">
        <w:rPr>
          <w:rFonts w:cs="Corbel"/>
          <w:color w:val="000000"/>
          <w:szCs w:val="23"/>
        </w:rPr>
        <w:t>other early years providers.</w:t>
      </w:r>
    </w:p>
    <w:p w14:paraId="3570796A" w14:textId="77777777" w:rsidR="00B50461" w:rsidRDefault="00B50461" w:rsidP="00106F2A">
      <w:pPr>
        <w:autoSpaceDE w:val="0"/>
        <w:autoSpaceDN w:val="0"/>
        <w:adjustRightInd w:val="0"/>
        <w:ind w:left="1440"/>
        <w:jc w:val="both"/>
        <w:rPr>
          <w:rFonts w:cs="Corbel"/>
          <w:color w:val="000000"/>
          <w:szCs w:val="23"/>
        </w:rPr>
      </w:pPr>
    </w:p>
    <w:p w14:paraId="36EEB0D3" w14:textId="526FCEE0" w:rsidR="00F2708D" w:rsidRDefault="008760E1" w:rsidP="008760E1">
      <w:pPr>
        <w:pStyle w:val="Default"/>
        <w:tabs>
          <w:tab w:val="left" w:pos="1170"/>
        </w:tabs>
        <w:ind w:left="1170" w:hanging="630"/>
        <w:rPr>
          <w:szCs w:val="23"/>
        </w:rPr>
      </w:pPr>
      <w:r>
        <w:rPr>
          <w:szCs w:val="23"/>
        </w:rPr>
        <w:t>(</w:t>
      </w:r>
      <w:r w:rsidR="005A75AC">
        <w:rPr>
          <w:szCs w:val="23"/>
        </w:rPr>
        <w:t>n</w:t>
      </w:r>
      <w:r>
        <w:rPr>
          <w:szCs w:val="23"/>
        </w:rPr>
        <w:t>)</w:t>
      </w:r>
      <w:r>
        <w:rPr>
          <w:szCs w:val="23"/>
        </w:rPr>
        <w:tab/>
      </w:r>
      <w:r w:rsidR="00F2708D">
        <w:rPr>
          <w:szCs w:val="23"/>
        </w:rPr>
        <w:t xml:space="preserve">There are also two new state government funded projects focused on providing early learning in the pre-kindergarten years with a focus on children and families experiencing vulnerability and disadvantage.  </w:t>
      </w:r>
    </w:p>
    <w:p w14:paraId="7E0255E8" w14:textId="77777777" w:rsidR="00F2708D" w:rsidRDefault="00F2708D" w:rsidP="008760E1">
      <w:pPr>
        <w:pStyle w:val="Default"/>
        <w:tabs>
          <w:tab w:val="left" w:pos="1170"/>
        </w:tabs>
        <w:ind w:left="1170" w:hanging="630"/>
        <w:rPr>
          <w:szCs w:val="23"/>
        </w:rPr>
      </w:pPr>
    </w:p>
    <w:p w14:paraId="3AA69B85" w14:textId="00273AD0" w:rsidR="00B50461" w:rsidRPr="00681C6A" w:rsidRDefault="00B50461" w:rsidP="00A43FA4">
      <w:pPr>
        <w:pStyle w:val="BoxDoubleDot"/>
        <w:numPr>
          <w:ilvl w:val="3"/>
          <w:numId w:val="20"/>
        </w:numPr>
        <w:ind w:hanging="164"/>
        <w:rPr>
          <w:rFonts w:ascii="GillSans Light" w:hAnsi="GillSans Light" w:cs="GillSans Light"/>
          <w:lang w:val="en-US"/>
        </w:rPr>
      </w:pPr>
      <w:r>
        <w:t xml:space="preserve">From 2020, the Tasmanian Government will also fund a new initiative, </w:t>
      </w:r>
      <w:r>
        <w:rPr>
          <w:i/>
        </w:rPr>
        <w:t>Working Together for Three Year Olds</w:t>
      </w:r>
      <w:r w:rsidRPr="00681C6A">
        <w:t xml:space="preserve">.  It will provide Tasmanian Government subsidised participation in </w:t>
      </w:r>
      <w:r w:rsidR="00C71E04" w:rsidRPr="00681C6A">
        <w:t>early learning</w:t>
      </w:r>
      <w:r w:rsidRPr="00681C6A">
        <w:t xml:space="preserve"> for eligible three year</w:t>
      </w:r>
      <w:r w:rsidR="001A3256" w:rsidRPr="00681C6A">
        <w:t>-</w:t>
      </w:r>
      <w:r w:rsidRPr="00681C6A">
        <w:t xml:space="preserve">old children for 400 hours a year.  </w:t>
      </w:r>
      <w:r w:rsidR="008760E1" w:rsidRPr="00681C6A">
        <w:t xml:space="preserve">It will be available for those children with the greatest need and eligibility will be guided by a set </w:t>
      </w:r>
      <w:r w:rsidR="008760E1" w:rsidRPr="00A43FA4">
        <w:rPr>
          <w:color w:val="auto"/>
        </w:rPr>
        <w:t xml:space="preserve">of criteria. </w:t>
      </w:r>
      <w:r w:rsidRPr="00A43FA4">
        <w:rPr>
          <w:color w:val="auto"/>
        </w:rPr>
        <w:t>The initiative is currently being developed</w:t>
      </w:r>
      <w:r w:rsidR="00E45990" w:rsidRPr="00681C6A">
        <w:rPr>
          <w:color w:val="auto"/>
        </w:rPr>
        <w:t xml:space="preserve"> through a co-design process with service users, service providers and other key stakeholders with a pilot across five locations to take place in 2019</w:t>
      </w:r>
      <w:r w:rsidR="00E45990" w:rsidRPr="00A43FA4">
        <w:rPr>
          <w:color w:val="auto"/>
        </w:rPr>
        <w:t>.</w:t>
      </w:r>
    </w:p>
    <w:p w14:paraId="03CDC385" w14:textId="2B2D7BE8" w:rsidR="00F2708D" w:rsidRPr="0089453D" w:rsidRDefault="00E45990" w:rsidP="0089453D">
      <w:pPr>
        <w:pStyle w:val="BoxDoubleDot"/>
        <w:numPr>
          <w:ilvl w:val="3"/>
          <w:numId w:val="20"/>
        </w:numPr>
        <w:ind w:hanging="164"/>
        <w:rPr>
          <w:rFonts w:ascii="GillSans Light" w:hAnsi="GillSans Light" w:cs="GillSans Light"/>
          <w:lang w:val="en-US"/>
        </w:rPr>
      </w:pPr>
      <w:r w:rsidRPr="00681C6A">
        <w:rPr>
          <w:rFonts w:cs="GillSans Light"/>
          <w:lang w:val="en-US"/>
        </w:rPr>
        <w:t xml:space="preserve">In the 2018 State election, the Tasmanian Government committed to build six new Early Learning Hubs across Tasmania. </w:t>
      </w:r>
      <w:r w:rsidR="006B0E3E">
        <w:rPr>
          <w:rFonts w:cs="GillSans Light"/>
          <w:lang w:val="en-US"/>
        </w:rPr>
        <w:t>Over a six year period from 2019, work is being progressed to establish Hubs in areas of highest need and community readiness.</w:t>
      </w:r>
      <w:r w:rsidRPr="00681C6A">
        <w:rPr>
          <w:rFonts w:cs="GillSans Light"/>
          <w:lang w:val="en-US"/>
        </w:rPr>
        <w:t xml:space="preserve"> </w:t>
      </w:r>
      <w:r w:rsidRPr="00681C6A">
        <w:rPr>
          <w:rFonts w:cs="GillSans Light"/>
        </w:rPr>
        <w:t>The Hubs will provide greater access for families to relevant early years’ services, with a strong focus on improving place-based service delivery to communities around Tasmania. The Hubs will form part of the existing continuum of Department of Education services and support available to young children and their families</w:t>
      </w:r>
      <w:r>
        <w:rPr>
          <w:rFonts w:cs="GillSans Light"/>
        </w:rPr>
        <w:t>.</w:t>
      </w:r>
    </w:p>
    <w:p w14:paraId="07D27FD7" w14:textId="77777777" w:rsidR="0036688B" w:rsidRPr="001E7293" w:rsidRDefault="0036688B" w:rsidP="00D55611">
      <w:pPr>
        <w:pStyle w:val="Heading1"/>
        <w:spacing w:after="120"/>
      </w:pPr>
      <w:r w:rsidRPr="001E7293">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317F0943" w14:textId="77777777" w:rsidR="00186FF4" w:rsidRPr="001E7293" w:rsidRDefault="00186FF4" w:rsidP="00EC159E">
      <w:pPr>
        <w:pStyle w:val="Heading2"/>
        <w:spacing w:after="120"/>
      </w:pPr>
      <w:r w:rsidRPr="001E7293">
        <w:t>Performance indicators, benchmarks and targets</w:t>
      </w:r>
    </w:p>
    <w:p w14:paraId="719324FB" w14:textId="77777777" w:rsidR="00186FF4" w:rsidRPr="001E7293" w:rsidRDefault="00186FF4" w:rsidP="004B4464">
      <w:pPr>
        <w:pStyle w:val="Normalnumbered"/>
        <w:spacing w:after="240"/>
      </w:pPr>
      <w:r w:rsidRPr="001E7293">
        <w:t>Key indicators, data sources and benchmarks for assessing and monitoring performance are set out in Part 4 and Schedule A of the National Partnership.</w:t>
      </w:r>
    </w:p>
    <w:p w14:paraId="34FEA2A0" w14:textId="27C7D3DA" w:rsidR="00C11196" w:rsidRPr="0091726C" w:rsidRDefault="00C11196" w:rsidP="004B4464">
      <w:pPr>
        <w:pStyle w:val="Normalnumbered"/>
        <w:spacing w:after="240"/>
      </w:pPr>
      <w:r w:rsidRPr="001E7293">
        <w:t>With regard to reporting on attendance,</w:t>
      </w:r>
      <w:r w:rsidR="00537C59">
        <w:t xml:space="preserve"> Tasmania</w:t>
      </w:r>
      <w:r w:rsidRPr="001E7293">
        <w:t xml:space="preserve"> has agreed target</w:t>
      </w:r>
      <w:r w:rsidR="00722E4A">
        <w:t>s</w:t>
      </w:r>
      <w:r w:rsidRPr="001E7293">
        <w:t xml:space="preserve"> for </w:t>
      </w:r>
      <w:r w:rsidR="00A43FA4">
        <w:t xml:space="preserve">2018 and </w:t>
      </w:r>
      <w:r w:rsidR="003928A6">
        <w:t>2019</w:t>
      </w:r>
      <w:r w:rsidRPr="001E7293">
        <w:t xml:space="preserve"> with the Commonwealth, as set out in Table </w:t>
      </w:r>
      <w:r w:rsidR="00913016">
        <w:t>4</w:t>
      </w:r>
      <w:r w:rsidRPr="001E7293">
        <w:t xml:space="preserve"> below, and will report on progress towards this target as part of </w:t>
      </w:r>
      <w:r w:rsidRPr="0091726C">
        <w:t>the National Early Childhood Education and Care Collection.</w:t>
      </w:r>
    </w:p>
    <w:p w14:paraId="66772DE2" w14:textId="77777777" w:rsidR="00835F07" w:rsidRPr="001E7293" w:rsidRDefault="00835F07" w:rsidP="009E47B4">
      <w:pPr>
        <w:keepNext/>
        <w:keepLines/>
        <w:spacing w:before="240" w:after="120"/>
        <w:outlineLvl w:val="2"/>
        <w:rPr>
          <w:rFonts w:ascii="Consolas" w:hAnsi="Consolas"/>
          <w:b/>
          <w:color w:val="3D4B67"/>
          <w:szCs w:val="20"/>
        </w:rPr>
      </w:pPr>
      <w:r w:rsidRPr="001E7293">
        <w:rPr>
          <w:rFonts w:ascii="Consolas" w:hAnsi="Consolas"/>
          <w:b/>
          <w:color w:val="3D4B67"/>
          <w:szCs w:val="20"/>
        </w:rPr>
        <w:t xml:space="preserve">Table </w:t>
      </w:r>
      <w:r w:rsidR="00913016">
        <w:rPr>
          <w:rFonts w:ascii="Consolas" w:hAnsi="Consolas"/>
          <w:b/>
          <w:color w:val="3D4B67"/>
          <w:szCs w:val="20"/>
        </w:rPr>
        <w:t>4</w:t>
      </w:r>
      <w:r w:rsidRPr="001E7293">
        <w:rPr>
          <w:rFonts w:ascii="Consolas" w:hAnsi="Consolas"/>
          <w:b/>
          <w:color w:val="3D4B67"/>
          <w:szCs w:val="20"/>
        </w:rPr>
        <w:t>: Bilaterally agreed attendance targets</w:t>
      </w:r>
    </w:p>
    <w:p w14:paraId="05282660" w14:textId="77777777" w:rsidR="00835F07" w:rsidRPr="001E7293" w:rsidRDefault="00835F07" w:rsidP="00835F07">
      <w:pPr>
        <w:rPr>
          <w:i/>
          <w:sz w:val="22"/>
        </w:rPr>
      </w:pPr>
    </w:p>
    <w:tbl>
      <w:tblPr>
        <w:tblStyle w:val="TableGrid"/>
        <w:tblW w:w="7455" w:type="dxa"/>
        <w:tblLook w:val="04A0" w:firstRow="1" w:lastRow="0" w:firstColumn="1" w:lastColumn="0" w:noHBand="0" w:noVBand="1"/>
      </w:tblPr>
      <w:tblGrid>
        <w:gridCol w:w="1501"/>
        <w:gridCol w:w="2045"/>
        <w:gridCol w:w="1371"/>
        <w:gridCol w:w="2538"/>
      </w:tblGrid>
      <w:tr w:rsidR="00AC1A1A" w:rsidRPr="001E7293" w:rsidDel="00DA15BC" w14:paraId="1537E042" w14:textId="77777777" w:rsidTr="00F60EB3">
        <w:trPr>
          <w:trHeight w:val="568"/>
        </w:trPr>
        <w:tc>
          <w:tcPr>
            <w:tcW w:w="1501" w:type="dxa"/>
            <w:shd w:val="pct5" w:color="auto" w:fill="auto"/>
          </w:tcPr>
          <w:p w14:paraId="7054DA3C" w14:textId="014933A3" w:rsidR="00AC1A1A" w:rsidRPr="001E7293" w:rsidRDefault="0098402F" w:rsidP="007B4BA6">
            <w:pPr>
              <w:keepNext/>
              <w:keepLines/>
              <w:jc w:val="center"/>
              <w:rPr>
                <w:b/>
                <w:szCs w:val="23"/>
              </w:rPr>
            </w:pPr>
            <w:r w:rsidRPr="0098402F">
              <w:rPr>
                <w:b/>
                <w:szCs w:val="23"/>
              </w:rPr>
              <w:t>2017</w:t>
            </w:r>
            <w:r w:rsidR="005B0894">
              <w:rPr>
                <w:b/>
                <w:szCs w:val="23"/>
              </w:rPr>
              <w:t xml:space="preserve"> P</w:t>
            </w:r>
            <w:r w:rsidR="00365CAE" w:rsidRPr="00365CAE">
              <w:rPr>
                <w:b/>
                <w:szCs w:val="23"/>
              </w:rPr>
              <w:t>erformance</w:t>
            </w:r>
          </w:p>
        </w:tc>
        <w:tc>
          <w:tcPr>
            <w:tcW w:w="2045" w:type="dxa"/>
            <w:shd w:val="pct5" w:color="auto" w:fill="auto"/>
            <w:tcMar>
              <w:top w:w="57" w:type="dxa"/>
              <w:left w:w="57" w:type="dxa"/>
              <w:right w:w="57" w:type="dxa"/>
            </w:tcMar>
            <w:vAlign w:val="center"/>
          </w:tcPr>
          <w:p w14:paraId="024513D5" w14:textId="2F0B0E28" w:rsidR="00AC1A1A" w:rsidRPr="001E7293" w:rsidRDefault="00FF7D7D" w:rsidP="00365CAE">
            <w:pPr>
              <w:keepNext/>
              <w:keepLines/>
              <w:jc w:val="center"/>
              <w:rPr>
                <w:b/>
                <w:szCs w:val="23"/>
              </w:rPr>
            </w:pPr>
            <w:r>
              <w:rPr>
                <w:b/>
                <w:szCs w:val="23"/>
              </w:rPr>
              <w:t>2018</w:t>
            </w:r>
            <w:r w:rsidR="00AC1A1A" w:rsidRPr="001E7293">
              <w:rPr>
                <w:b/>
                <w:szCs w:val="23"/>
              </w:rPr>
              <w:t xml:space="preserve"> </w:t>
            </w:r>
            <w:r w:rsidR="00365CAE">
              <w:rPr>
                <w:b/>
                <w:szCs w:val="23"/>
              </w:rPr>
              <w:t>Target</w:t>
            </w:r>
          </w:p>
        </w:tc>
        <w:tc>
          <w:tcPr>
            <w:tcW w:w="1371" w:type="dxa"/>
            <w:shd w:val="pct5" w:color="auto" w:fill="auto"/>
            <w:tcMar>
              <w:left w:w="57" w:type="dxa"/>
              <w:right w:w="57" w:type="dxa"/>
            </w:tcMar>
            <w:vAlign w:val="center"/>
          </w:tcPr>
          <w:p w14:paraId="2F167260" w14:textId="2831BDB3" w:rsidR="00AC1A1A" w:rsidRPr="00FF7D7D" w:rsidRDefault="00FF7D7D" w:rsidP="007B4BA6">
            <w:pPr>
              <w:keepNext/>
              <w:keepLines/>
              <w:jc w:val="center"/>
              <w:rPr>
                <w:b/>
                <w:szCs w:val="23"/>
              </w:rPr>
            </w:pPr>
            <w:r w:rsidRPr="00FF7D7D">
              <w:rPr>
                <w:b/>
                <w:szCs w:val="23"/>
              </w:rPr>
              <w:t>2019</w:t>
            </w:r>
            <w:r w:rsidR="00AC1A1A" w:rsidRPr="00FF7D7D">
              <w:rPr>
                <w:b/>
                <w:szCs w:val="23"/>
              </w:rPr>
              <w:t xml:space="preserve"> Target</w:t>
            </w:r>
          </w:p>
        </w:tc>
        <w:tc>
          <w:tcPr>
            <w:tcW w:w="2538" w:type="dxa"/>
            <w:shd w:val="pct5" w:color="auto" w:fill="auto"/>
            <w:tcMar>
              <w:top w:w="57" w:type="dxa"/>
              <w:left w:w="57" w:type="dxa"/>
              <w:right w:w="57" w:type="dxa"/>
            </w:tcMar>
            <w:vAlign w:val="center"/>
          </w:tcPr>
          <w:p w14:paraId="0B2E95DC" w14:textId="77777777" w:rsidR="00AC1A1A" w:rsidRPr="00FF7D7D" w:rsidDel="00DA15BC" w:rsidRDefault="00AC1A1A" w:rsidP="00574D6F">
            <w:pPr>
              <w:keepNext/>
              <w:keepLines/>
              <w:jc w:val="center"/>
              <w:rPr>
                <w:b/>
                <w:szCs w:val="23"/>
              </w:rPr>
            </w:pPr>
            <w:r w:rsidRPr="00FF7D7D">
              <w:rPr>
                <w:b/>
                <w:szCs w:val="23"/>
              </w:rPr>
              <w:t>Performance Benchmark/Target</w:t>
            </w:r>
          </w:p>
        </w:tc>
      </w:tr>
      <w:tr w:rsidR="00AC1A1A" w:rsidRPr="001E7293" w14:paraId="414E59A5" w14:textId="77777777" w:rsidTr="00F60EB3">
        <w:trPr>
          <w:trHeight w:val="861"/>
        </w:trPr>
        <w:tc>
          <w:tcPr>
            <w:tcW w:w="1501" w:type="dxa"/>
          </w:tcPr>
          <w:p w14:paraId="1BA2F475" w14:textId="77777777" w:rsidR="00AC1A1A" w:rsidRPr="001E7293" w:rsidRDefault="00365CAE" w:rsidP="00191684">
            <w:r>
              <w:t>98%</w:t>
            </w:r>
          </w:p>
        </w:tc>
        <w:tc>
          <w:tcPr>
            <w:tcW w:w="2045" w:type="dxa"/>
            <w:tcMar>
              <w:left w:w="57" w:type="dxa"/>
              <w:right w:w="57" w:type="dxa"/>
            </w:tcMar>
          </w:tcPr>
          <w:p w14:paraId="5588F3FC" w14:textId="77777777" w:rsidR="00AC1A1A" w:rsidRPr="001E7293" w:rsidRDefault="00365CAE" w:rsidP="00191684">
            <w:r>
              <w:t>90%</w:t>
            </w:r>
          </w:p>
        </w:tc>
        <w:tc>
          <w:tcPr>
            <w:tcW w:w="1371" w:type="dxa"/>
            <w:tcMar>
              <w:left w:w="57" w:type="dxa"/>
              <w:right w:w="57" w:type="dxa"/>
            </w:tcMar>
          </w:tcPr>
          <w:p w14:paraId="0204EF54" w14:textId="77777777" w:rsidR="00AC1A1A" w:rsidRPr="00FF7D7D" w:rsidRDefault="00AC1A1A" w:rsidP="00191684">
            <w:r w:rsidRPr="00FF7D7D">
              <w:t xml:space="preserve">90%  </w:t>
            </w:r>
          </w:p>
        </w:tc>
        <w:tc>
          <w:tcPr>
            <w:tcW w:w="2538" w:type="dxa"/>
          </w:tcPr>
          <w:p w14:paraId="125E28C2" w14:textId="77777777" w:rsidR="00AC1A1A" w:rsidRPr="00FF7D7D" w:rsidRDefault="00AC1A1A" w:rsidP="00191684">
            <w:r w:rsidRPr="00FF7D7D">
              <w:t xml:space="preserve">Annual targets agreed in Implementation Plans taking into account a jurisdiction’s starting point and moving to 90 per cent over time. </w:t>
            </w:r>
          </w:p>
        </w:tc>
      </w:tr>
    </w:tbl>
    <w:p w14:paraId="75D1DE23" w14:textId="77777777" w:rsidR="00F60EB3" w:rsidRDefault="00F60EB3" w:rsidP="00F60EB3">
      <w:pPr>
        <w:rPr>
          <w:sz w:val="16"/>
          <w:szCs w:val="16"/>
        </w:rPr>
      </w:pPr>
      <w:r>
        <w:rPr>
          <w:sz w:val="16"/>
          <w:szCs w:val="16"/>
        </w:rPr>
        <w:t xml:space="preserve">Payments under this agreement are not tied to achievement of attendance targets. </w:t>
      </w:r>
    </w:p>
    <w:p w14:paraId="3AA93D6E" w14:textId="77777777" w:rsidR="00F60EB3" w:rsidRPr="00EF1B17" w:rsidRDefault="00F60EB3" w:rsidP="00F60EB3">
      <w:pPr>
        <w:rPr>
          <w:sz w:val="16"/>
          <w:szCs w:val="16"/>
        </w:rPr>
      </w:pPr>
      <w:r>
        <w:rPr>
          <w:sz w:val="16"/>
          <w:szCs w:val="16"/>
        </w:rPr>
        <w:t>As per previous agreements, t</w:t>
      </w:r>
      <w:r w:rsidRPr="00487AD1">
        <w:rPr>
          <w:sz w:val="16"/>
          <w:szCs w:val="16"/>
        </w:rPr>
        <w:t xml:space="preserve">he methodology for calculation of performance related to attendance targets will be where a child has participated in a quality preschool </w:t>
      </w:r>
      <w:r>
        <w:rPr>
          <w:sz w:val="16"/>
          <w:szCs w:val="16"/>
        </w:rPr>
        <w:t>program</w:t>
      </w:r>
      <w:r w:rsidRPr="00487AD1">
        <w:rPr>
          <w:sz w:val="16"/>
          <w:szCs w:val="16"/>
        </w:rPr>
        <w:t xml:space="preserve"> for a minimum of one hour during the collection period.</w:t>
      </w:r>
    </w:p>
    <w:p w14:paraId="55245B95" w14:textId="77777777" w:rsidR="004B4464" w:rsidRPr="001E7293" w:rsidRDefault="004B4464" w:rsidP="00243F4E">
      <w:pPr>
        <w:pStyle w:val="Heading2"/>
        <w:spacing w:before="120" w:after="120"/>
      </w:pPr>
      <w:r w:rsidRPr="001E7293">
        <w:t>Monitoring and reporting</w:t>
      </w:r>
    </w:p>
    <w:p w14:paraId="6EDA3972" w14:textId="77777777" w:rsidR="004B4464" w:rsidRPr="001E7293" w:rsidRDefault="004B4464" w:rsidP="004B4464">
      <w:pPr>
        <w:pStyle w:val="Normalnumbered"/>
        <w:spacing w:after="240"/>
      </w:pPr>
      <w:r w:rsidRPr="001E7293">
        <w:t xml:space="preserve">Commonwealth and State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44DAADD8" w14:textId="77777777" w:rsidR="004B4464" w:rsidRPr="001E7293" w:rsidRDefault="004B4464" w:rsidP="004B4464">
      <w:pPr>
        <w:pStyle w:val="Normalnumbered"/>
        <w:spacing w:after="240"/>
      </w:pPr>
      <w:r w:rsidRPr="001E7293">
        <w:t xml:space="preserve">These data and performance specifications will be used to report </w:t>
      </w:r>
      <w:r w:rsidR="00537C59">
        <w:t>Tasmania’s</w:t>
      </w:r>
      <w:r w:rsidRPr="001E7293">
        <w:t xml:space="preserve"> performance, except for the supplementary data agreed by the Parties to this </w:t>
      </w:r>
      <w:r w:rsidR="007926CC" w:rsidRPr="001E7293">
        <w:t xml:space="preserve">Implementation </w:t>
      </w:r>
      <w:r w:rsidRPr="001E7293">
        <w:t>Plan</w:t>
      </w:r>
      <w:r w:rsidR="000A2E01" w:rsidRPr="001E7293">
        <w:t>,</w:t>
      </w:r>
      <w:r w:rsidR="00CC19A9" w:rsidRPr="001E7293">
        <w:t xml:space="preserve"> as identified below</w:t>
      </w:r>
      <w:r w:rsidRPr="001E7293">
        <w:t>.</w:t>
      </w:r>
    </w:p>
    <w:p w14:paraId="144C12CF"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 xml:space="preserve">cator where the method is not </w:t>
      </w:r>
      <w:r w:rsidRPr="001E7293">
        <w:t>consistent with the Early Childhood Education a</w:t>
      </w:r>
      <w:r w:rsidR="00EB0B69" w:rsidRPr="001E7293">
        <w:t>nd Care Minimal Data Set (NMDS):</w:t>
      </w:r>
    </w:p>
    <w:p w14:paraId="457A52C9" w14:textId="77777777" w:rsidR="00EB0B69" w:rsidRPr="001E7293" w:rsidRDefault="00765AA1" w:rsidP="00DB68D4">
      <w:pPr>
        <w:pStyle w:val="Normalnumbered"/>
        <w:numPr>
          <w:ilvl w:val="0"/>
          <w:numId w:val="16"/>
        </w:numPr>
        <w:ind w:left="1040"/>
      </w:pPr>
      <w:r w:rsidRPr="001E7293">
        <w:t>p</w:t>
      </w:r>
      <w:r w:rsidR="00EB0B69" w:rsidRPr="001E7293">
        <w:t>erformance Indicator calculation description (numerator, denominator, computation and presentation)</w:t>
      </w:r>
    </w:p>
    <w:p w14:paraId="00C6BCB8" w14:textId="77777777" w:rsidR="00EB0B69" w:rsidRPr="001E7293" w:rsidRDefault="00765AA1" w:rsidP="00DB68D4">
      <w:pPr>
        <w:pStyle w:val="Normalnumbered"/>
        <w:numPr>
          <w:ilvl w:val="0"/>
          <w:numId w:val="16"/>
        </w:numPr>
        <w:ind w:left="1040"/>
      </w:pPr>
      <w:r w:rsidRPr="001E7293">
        <w:t>n</w:t>
      </w:r>
      <w:r w:rsidR="00EB0B69" w:rsidRPr="001E7293">
        <w:t xml:space="preserve">umerator Information (collection name and population description) </w:t>
      </w:r>
    </w:p>
    <w:p w14:paraId="63428E32" w14:textId="77777777" w:rsidR="00EB0B69" w:rsidRPr="001E7293" w:rsidRDefault="00765AA1" w:rsidP="00DB68D4">
      <w:pPr>
        <w:pStyle w:val="Normalnumbered"/>
        <w:numPr>
          <w:ilvl w:val="0"/>
          <w:numId w:val="16"/>
        </w:numPr>
        <w:ind w:left="1040"/>
      </w:pPr>
      <w:r w:rsidRPr="001E7293">
        <w:t>d</w:t>
      </w:r>
      <w:r w:rsidR="00EB0B69" w:rsidRPr="001E7293">
        <w:t xml:space="preserve">enominator Information (collection name and population description) </w:t>
      </w:r>
    </w:p>
    <w:p w14:paraId="0B560C94" w14:textId="77777777" w:rsidR="00EB0B69" w:rsidRPr="001E7293" w:rsidRDefault="00765AA1" w:rsidP="00DB68D4">
      <w:pPr>
        <w:pStyle w:val="Normalnumbered"/>
        <w:numPr>
          <w:ilvl w:val="0"/>
          <w:numId w:val="16"/>
        </w:numPr>
        <w:ind w:left="1040"/>
      </w:pPr>
      <w:r w:rsidRPr="001E7293">
        <w:t>c</w:t>
      </w:r>
      <w:r w:rsidR="00EB0B69" w:rsidRPr="001E7293">
        <w:t>alculation</w:t>
      </w:r>
      <w:r w:rsidR="000E7AC7">
        <w:t xml:space="preserve"> note</w:t>
      </w:r>
      <w:r w:rsidR="00EB0B69" w:rsidRPr="001E7293">
        <w:t>s (including any information about how the PI is calculated)</w:t>
      </w:r>
    </w:p>
    <w:p w14:paraId="7F2D44BB" w14:textId="77777777" w:rsidR="00EB0B69" w:rsidRPr="001E7293" w:rsidRDefault="00765AA1" w:rsidP="00DB68D4">
      <w:pPr>
        <w:pStyle w:val="Normalnumbered"/>
        <w:numPr>
          <w:ilvl w:val="0"/>
          <w:numId w:val="16"/>
        </w:numPr>
        <w:ind w:left="1040"/>
      </w:pPr>
      <w:r w:rsidRPr="001E7293">
        <w:t>m</w:t>
      </w:r>
      <w:r w:rsidR="00EB0B69" w:rsidRPr="001E7293">
        <w:t>ethodology</w:t>
      </w:r>
    </w:p>
    <w:p w14:paraId="06B2B844" w14:textId="77777777" w:rsidR="00EB0B69" w:rsidRPr="001E7293" w:rsidRDefault="00765AA1" w:rsidP="00DB68D4">
      <w:pPr>
        <w:pStyle w:val="Normalnumbered"/>
        <w:numPr>
          <w:ilvl w:val="0"/>
          <w:numId w:val="16"/>
        </w:numPr>
        <w:ind w:left="1040"/>
      </w:pPr>
      <w:r w:rsidRPr="001E7293">
        <w:t>r</w:t>
      </w:r>
      <w:r w:rsidR="00EB0B69" w:rsidRPr="001E7293">
        <w:t>ationale for supplementary data and reporting (including any additional information to explain how and why the specifications for the supplementary data differ from the specifications in the NMDS).</w:t>
      </w:r>
    </w:p>
    <w:p w14:paraId="1153C5C6" w14:textId="77777777" w:rsidR="0036688B" w:rsidRPr="001E7293" w:rsidRDefault="0036688B" w:rsidP="005D4CB2">
      <w:pPr>
        <w:pStyle w:val="Heading2"/>
        <w:pageBreakBefore/>
      </w:pPr>
      <w:r w:rsidRPr="001E7293">
        <w:t>Sign off</w:t>
      </w:r>
    </w:p>
    <w:p w14:paraId="55D6F1D4"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7FE5F273" w14:textId="77777777" w:rsidTr="00B32717">
        <w:trPr>
          <w:trHeight w:val="1247"/>
        </w:trPr>
        <w:tc>
          <w:tcPr>
            <w:tcW w:w="9464" w:type="dxa"/>
            <w:gridSpan w:val="3"/>
            <w:tcBorders>
              <w:top w:val="nil"/>
              <w:bottom w:val="dashed" w:sz="4" w:space="0" w:color="auto"/>
            </w:tcBorders>
            <w:vAlign w:val="center"/>
          </w:tcPr>
          <w:p w14:paraId="320834FF" w14:textId="77777777" w:rsidR="00B32717" w:rsidRPr="001E7293" w:rsidRDefault="00B32717" w:rsidP="00B32717">
            <w:pPr>
              <w:keepNext/>
              <w:keepLines/>
              <w:spacing w:before="120" w:after="120" w:line="280" w:lineRule="exact"/>
              <w:rPr>
                <w:b/>
                <w:bCs/>
                <w:color w:val="C00000"/>
              </w:rPr>
            </w:pPr>
          </w:p>
        </w:tc>
      </w:tr>
      <w:tr w:rsidR="0036688B" w:rsidRPr="001E7293" w14:paraId="07FDAF3B" w14:textId="77777777" w:rsidTr="001E7293">
        <w:tc>
          <w:tcPr>
            <w:tcW w:w="5192" w:type="dxa"/>
            <w:tcBorders>
              <w:top w:val="dashed" w:sz="4" w:space="0" w:color="auto"/>
              <w:bottom w:val="nil"/>
              <w:right w:val="nil"/>
            </w:tcBorders>
            <w:vAlign w:val="center"/>
          </w:tcPr>
          <w:p w14:paraId="3393217C"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2E7867B1"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5C2EBC61"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11A2F8C4" w14:textId="77777777" w:rsidTr="001E7293">
        <w:tc>
          <w:tcPr>
            <w:tcW w:w="5192" w:type="dxa"/>
            <w:tcBorders>
              <w:top w:val="nil"/>
              <w:bottom w:val="nil"/>
              <w:right w:val="nil"/>
            </w:tcBorders>
            <w:vAlign w:val="center"/>
          </w:tcPr>
          <w:p w14:paraId="2A3823AE" w14:textId="77777777" w:rsidR="001E7293" w:rsidRPr="001E7293"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14:paraId="46BD9B5C"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72FDE765" w14:textId="77777777" w:rsidR="001E7293" w:rsidRPr="001E7293" w:rsidRDefault="001E7293" w:rsidP="00B32717">
            <w:pPr>
              <w:keepNext/>
              <w:keepLines/>
              <w:spacing w:before="120" w:after="120" w:line="280" w:lineRule="exact"/>
              <w:rPr>
                <w:b/>
                <w:bCs/>
                <w:color w:val="C00000"/>
              </w:rPr>
            </w:pPr>
          </w:p>
        </w:tc>
      </w:tr>
      <w:tr w:rsidR="0036688B" w:rsidRPr="001E7293" w14:paraId="4C2801A2" w14:textId="77777777" w:rsidTr="001E7293">
        <w:tc>
          <w:tcPr>
            <w:tcW w:w="9464" w:type="dxa"/>
            <w:gridSpan w:val="3"/>
            <w:tcBorders>
              <w:top w:val="nil"/>
            </w:tcBorders>
          </w:tcPr>
          <w:p w14:paraId="342E4069" w14:textId="7C3586ED" w:rsidR="00537C59" w:rsidRPr="00FF7D7D" w:rsidRDefault="00616159" w:rsidP="00537C59">
            <w:pPr>
              <w:keepNext/>
              <w:keepLines/>
              <w:spacing w:line="280" w:lineRule="exact"/>
              <w:rPr>
                <w:b/>
                <w:bCs/>
                <w:color w:val="365F91"/>
              </w:rPr>
            </w:pPr>
            <w:r>
              <w:rPr>
                <w:b/>
                <w:bCs/>
                <w:color w:val="365F91"/>
              </w:rPr>
              <w:t xml:space="preserve">The </w:t>
            </w:r>
            <w:r w:rsidR="00537C59" w:rsidRPr="00FF7D7D">
              <w:rPr>
                <w:b/>
                <w:bCs/>
                <w:color w:val="365F91"/>
              </w:rPr>
              <w:t>Hon Jeremy Rockliff MP</w:t>
            </w:r>
          </w:p>
          <w:p w14:paraId="6D69C160" w14:textId="77777777" w:rsidR="00537C59" w:rsidRPr="00FF7D7D" w:rsidRDefault="00537C59" w:rsidP="00537C59">
            <w:pPr>
              <w:keepNext/>
              <w:keepLines/>
              <w:spacing w:line="280" w:lineRule="exact"/>
              <w:rPr>
                <w:b/>
                <w:bCs/>
                <w:color w:val="365F91"/>
              </w:rPr>
            </w:pPr>
            <w:r w:rsidRPr="00FF7D7D">
              <w:rPr>
                <w:b/>
                <w:bCs/>
                <w:color w:val="365F91"/>
              </w:rPr>
              <w:t>Minister for Education and Training</w:t>
            </w:r>
          </w:p>
          <w:p w14:paraId="0D2C79C9" w14:textId="77777777" w:rsidR="00537C59" w:rsidRPr="00FF7D7D" w:rsidRDefault="00537C59" w:rsidP="00537C59">
            <w:pPr>
              <w:keepNext/>
              <w:keepLines/>
              <w:spacing w:after="960" w:line="280" w:lineRule="exact"/>
              <w:rPr>
                <w:b/>
                <w:bCs/>
                <w:color w:val="365F91"/>
              </w:rPr>
            </w:pPr>
          </w:p>
          <w:p w14:paraId="7E48DBDF" w14:textId="77777777" w:rsidR="00537C59" w:rsidRPr="00FF7D7D" w:rsidRDefault="00537C59" w:rsidP="00537C59">
            <w:pPr>
              <w:keepNext/>
              <w:keepLines/>
              <w:spacing w:line="280" w:lineRule="exact"/>
              <w:rPr>
                <w:b/>
                <w:bCs/>
                <w:color w:val="365F91"/>
              </w:rPr>
            </w:pPr>
          </w:p>
        </w:tc>
      </w:tr>
      <w:tr w:rsidR="0036688B" w:rsidRPr="001E7293" w14:paraId="03CFA08A" w14:textId="77777777" w:rsidTr="00FF7D7D">
        <w:tc>
          <w:tcPr>
            <w:tcW w:w="5192" w:type="dxa"/>
            <w:tcBorders>
              <w:top w:val="nil"/>
              <w:bottom w:val="nil"/>
              <w:right w:val="nil"/>
            </w:tcBorders>
            <w:vAlign w:val="center"/>
          </w:tcPr>
          <w:p w14:paraId="35D37500"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0C3C4FFA"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00D4EE89" w14:textId="77777777" w:rsidR="0036688B" w:rsidRPr="001E7293" w:rsidRDefault="0036688B" w:rsidP="00503044">
            <w:pPr>
              <w:keepNext/>
              <w:keepLines/>
              <w:spacing w:before="120" w:after="120" w:line="280" w:lineRule="exact"/>
            </w:pPr>
            <w:r w:rsidRPr="001E7293">
              <w:rPr>
                <w:b/>
                <w:bCs/>
                <w:color w:val="C00000"/>
              </w:rPr>
              <w:t>Date</w:t>
            </w:r>
          </w:p>
        </w:tc>
      </w:tr>
      <w:tr w:rsidR="0036688B" w:rsidRPr="00317899" w14:paraId="4ECDBE67" w14:textId="77777777" w:rsidTr="00A43FA4">
        <w:trPr>
          <w:trHeight w:val="822"/>
        </w:trPr>
        <w:tc>
          <w:tcPr>
            <w:tcW w:w="9464" w:type="dxa"/>
            <w:gridSpan w:val="3"/>
            <w:tcBorders>
              <w:top w:val="nil"/>
              <w:bottom w:val="nil"/>
            </w:tcBorders>
          </w:tcPr>
          <w:p w14:paraId="4F4E8C66" w14:textId="77777777" w:rsidR="00FF7D7D" w:rsidRDefault="00FF7D7D" w:rsidP="00503044">
            <w:pPr>
              <w:rPr>
                <w:b/>
                <w:bCs/>
                <w:color w:val="365F91"/>
              </w:rPr>
            </w:pPr>
          </w:p>
          <w:p w14:paraId="136D0838" w14:textId="4787B5CF" w:rsidR="00503044" w:rsidRPr="00FF7D7D" w:rsidRDefault="00C90A7A" w:rsidP="00503044">
            <w:pPr>
              <w:rPr>
                <w:b/>
                <w:bCs/>
                <w:color w:val="365F91"/>
              </w:rPr>
            </w:pPr>
            <w:r>
              <w:rPr>
                <w:b/>
                <w:bCs/>
                <w:color w:val="365F91"/>
              </w:rPr>
              <w:t>T</w:t>
            </w:r>
            <w:r w:rsidR="00503044" w:rsidRPr="00FF7D7D">
              <w:rPr>
                <w:b/>
                <w:bCs/>
                <w:color w:val="365F91"/>
              </w:rPr>
              <w:t xml:space="preserve">he Hon </w:t>
            </w:r>
            <w:r w:rsidR="00FF7D7D" w:rsidRPr="00FF7D7D">
              <w:rPr>
                <w:b/>
                <w:bCs/>
                <w:color w:val="365F91"/>
              </w:rPr>
              <w:t>Dan Tehan</w:t>
            </w:r>
            <w:r>
              <w:rPr>
                <w:b/>
                <w:bCs/>
                <w:color w:val="365F91"/>
              </w:rPr>
              <w:t xml:space="preserve"> MP</w:t>
            </w:r>
          </w:p>
          <w:p w14:paraId="58E11ACB" w14:textId="093C1F32" w:rsidR="0036688B" w:rsidRPr="00317899" w:rsidRDefault="00503044" w:rsidP="00C90A7A">
            <w:pPr>
              <w:spacing w:line="280" w:lineRule="exact"/>
              <w:rPr>
                <w:b/>
                <w:bCs/>
                <w:color w:val="365F91"/>
              </w:rPr>
            </w:pPr>
            <w:r w:rsidRPr="00FF7D7D">
              <w:rPr>
                <w:b/>
                <w:bCs/>
                <w:color w:val="365F91"/>
              </w:rPr>
              <w:t>Minister for Education</w:t>
            </w:r>
          </w:p>
        </w:tc>
      </w:tr>
    </w:tbl>
    <w:p w14:paraId="460E5B65" w14:textId="77777777" w:rsidR="0036688B" w:rsidRDefault="0036688B" w:rsidP="00695DE1"/>
    <w:p w14:paraId="2FD513B3" w14:textId="77777777" w:rsidR="00F55711" w:rsidRDefault="00F55711" w:rsidP="00695DE1"/>
    <w:p w14:paraId="1C6183FC" w14:textId="77777777" w:rsidR="00F55711" w:rsidRDefault="00F55711" w:rsidP="00695DE1"/>
    <w:p w14:paraId="641118BC" w14:textId="77777777" w:rsidR="00F55711" w:rsidRPr="00317899" w:rsidRDefault="00F55711" w:rsidP="00695DE1"/>
    <w:sectPr w:rsidR="00F55711" w:rsidRPr="00317899" w:rsidSect="0018356F">
      <w:headerReference w:type="default" r:id="rId14"/>
      <w:footerReference w:type="default" r:id="rId15"/>
      <w:pgSz w:w="11906" w:h="16838" w:code="9"/>
      <w:pgMar w:top="851" w:right="1416"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44EC" w14:textId="77777777" w:rsidR="004E5E0F" w:rsidRDefault="004E5E0F" w:rsidP="00520331">
      <w:r>
        <w:separator/>
      </w:r>
    </w:p>
  </w:endnote>
  <w:endnote w:type="continuationSeparator" w:id="0">
    <w:p w14:paraId="1BC8DACB" w14:textId="77777777" w:rsidR="004E5E0F" w:rsidRDefault="004E5E0F" w:rsidP="00520331">
      <w:r>
        <w:continuationSeparator/>
      </w:r>
    </w:p>
  </w:endnote>
  <w:endnote w:type="continuationNotice" w:id="1">
    <w:p w14:paraId="21661937" w14:textId="77777777" w:rsidR="004E5E0F" w:rsidRDefault="004E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 Light">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7251" w14:textId="09484E20" w:rsidR="00B11A2C" w:rsidRPr="00413980" w:rsidRDefault="00B11A2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AF3D93">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F794" w14:textId="77777777" w:rsidR="004E5E0F" w:rsidRDefault="004E5E0F" w:rsidP="00520331">
      <w:r>
        <w:separator/>
      </w:r>
    </w:p>
  </w:footnote>
  <w:footnote w:type="continuationSeparator" w:id="0">
    <w:p w14:paraId="3D9DFE1C" w14:textId="77777777" w:rsidR="004E5E0F" w:rsidRDefault="004E5E0F" w:rsidP="00520331">
      <w:r>
        <w:continuationSeparator/>
      </w:r>
    </w:p>
  </w:footnote>
  <w:footnote w:type="continuationNotice" w:id="1">
    <w:p w14:paraId="7D5A28A0" w14:textId="77777777" w:rsidR="004E5E0F" w:rsidRDefault="004E5E0F"/>
  </w:footnote>
  <w:footnote w:id="2">
    <w:p w14:paraId="6270B97D" w14:textId="77777777" w:rsidR="00B11A2C" w:rsidRDefault="00B11A2C">
      <w:pPr>
        <w:pStyle w:val="FootnoteText"/>
      </w:pPr>
      <w:r>
        <w:rPr>
          <w:rStyle w:val="FootnoteReference"/>
        </w:rPr>
        <w:footnoteRef/>
      </w:r>
      <w:r>
        <w:t xml:space="preserve"> Socio-Economic Indexes for Areas (SEIFA) – the Index of Relative Socio-Economic Disadvantage (IRSD).  The SEIFA IRSD is divided into five quintiles each comprising 2- per cent of areas; the most disadvantaged (lowest quintile) is quintile 1.  Statistical Area 1 is the smallest geographic area possible for analysis of SEIFA.</w:t>
      </w:r>
    </w:p>
  </w:footnote>
  <w:footnote w:id="3">
    <w:p w14:paraId="1988E168" w14:textId="77777777" w:rsidR="00B11A2C" w:rsidRDefault="00B11A2C">
      <w:pPr>
        <w:pStyle w:val="FootnoteText"/>
      </w:pPr>
      <w:r>
        <w:rPr>
          <w:rStyle w:val="FootnoteReference"/>
        </w:rPr>
        <w:footnoteRef/>
      </w:r>
      <w:r>
        <w:t xml:space="preserve"> In Tasmania, preschool is referred to as kindergarten; the first year of full-time school is called ‘Prep’.</w:t>
      </w:r>
    </w:p>
  </w:footnote>
  <w:footnote w:id="4">
    <w:p w14:paraId="333C02F6" w14:textId="77777777" w:rsidR="00B11A2C" w:rsidRDefault="00B11A2C">
      <w:pPr>
        <w:pStyle w:val="FootnoteText"/>
      </w:pPr>
      <w:r>
        <w:rPr>
          <w:rStyle w:val="FootnoteReference"/>
        </w:rPr>
        <w:footnoteRef/>
      </w:r>
      <w:r>
        <w:t xml:space="preserve"> Funding is also provided to non-government schools to top-up delivery to 600 hours of kindergarten to meet the objectives of the National Partnership.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E755" w14:textId="77777777" w:rsidR="00B11A2C" w:rsidRDefault="00B11A2C" w:rsidP="00B8716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0E213818"/>
    <w:multiLevelType w:val="hybridMultilevel"/>
    <w:tmpl w:val="5A0CD47C"/>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038FE"/>
    <w:multiLevelType w:val="multilevel"/>
    <w:tmpl w:val="C0BA266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lowerRoman"/>
      <w:lvlText w:val="(%4)"/>
      <w:lvlJc w:val="right"/>
      <w:pPr>
        <w:tabs>
          <w:tab w:val="num" w:pos="1440"/>
        </w:tabs>
        <w:ind w:left="1440" w:hanging="360"/>
      </w:pPr>
      <w:rPr>
        <w:rFonts w:hint="default"/>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2ECC0EA1"/>
    <w:multiLevelType w:val="hybridMultilevel"/>
    <w:tmpl w:val="D7E2B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7"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 w15:restartNumberingAfterBreak="0">
    <w:nsid w:val="47F42049"/>
    <w:multiLevelType w:val="hybridMultilevel"/>
    <w:tmpl w:val="B22E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01827"/>
    <w:multiLevelType w:val="multilevel"/>
    <w:tmpl w:val="FF6C9504"/>
    <w:lvl w:ilvl="0">
      <w:start w:val="1"/>
      <w:numFmt w:val="bullet"/>
      <w:lvlRestart w:val="0"/>
      <w:lvlText w:val="•"/>
      <w:lvlJc w:val="left"/>
      <w:pPr>
        <w:tabs>
          <w:tab w:val="num" w:pos="283"/>
        </w:tabs>
        <w:ind w:left="283" w:hanging="283"/>
      </w:pPr>
      <w:rPr>
        <w:rFonts w:ascii="Times New Roman" w:hAnsi="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4"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5"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6"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7"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8"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13"/>
  </w:num>
  <w:num w:numId="6">
    <w:abstractNumId w:val="0"/>
  </w:num>
  <w:num w:numId="7">
    <w:abstractNumId w:val="14"/>
  </w:num>
  <w:num w:numId="8">
    <w:abstractNumId w:val="7"/>
  </w:num>
  <w:num w:numId="9">
    <w:abstractNumId w:val="18"/>
  </w:num>
  <w:num w:numId="10">
    <w:abstractNumId w:val="16"/>
  </w:num>
  <w:num w:numId="11">
    <w:abstractNumId w:val="17"/>
  </w:num>
  <w:num w:numId="12">
    <w:abstractNumId w:val="19"/>
  </w:num>
  <w:num w:numId="13">
    <w:abstractNumId w:val="15"/>
  </w:num>
  <w:num w:numId="14">
    <w:abstractNumId w:val="6"/>
  </w:num>
  <w:num w:numId="15">
    <w:abstractNumId w:val="10"/>
  </w:num>
  <w:num w:numId="16">
    <w:abstractNumId w:val="11"/>
  </w:num>
  <w:num w:numId="17">
    <w:abstractNumId w:val="4"/>
  </w:num>
  <w:num w:numId="18">
    <w:abstractNumId w:val="8"/>
  </w:num>
  <w:num w:numId="19">
    <w:abstractNumId w:val="1"/>
  </w:num>
  <w:num w:numId="20">
    <w:abstractNumId w:val="2"/>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06AE0"/>
    <w:rsid w:val="00011DA2"/>
    <w:rsid w:val="00012AAE"/>
    <w:rsid w:val="00013A91"/>
    <w:rsid w:val="00023C24"/>
    <w:rsid w:val="000240B5"/>
    <w:rsid w:val="00024B99"/>
    <w:rsid w:val="0002586A"/>
    <w:rsid w:val="00025F50"/>
    <w:rsid w:val="00030F67"/>
    <w:rsid w:val="00034877"/>
    <w:rsid w:val="000375F8"/>
    <w:rsid w:val="00040405"/>
    <w:rsid w:val="00041625"/>
    <w:rsid w:val="00041D4C"/>
    <w:rsid w:val="0004432A"/>
    <w:rsid w:val="00044E74"/>
    <w:rsid w:val="00045778"/>
    <w:rsid w:val="00045AD7"/>
    <w:rsid w:val="00047FE7"/>
    <w:rsid w:val="00054A8D"/>
    <w:rsid w:val="0005527C"/>
    <w:rsid w:val="00055E03"/>
    <w:rsid w:val="00056C4B"/>
    <w:rsid w:val="00062172"/>
    <w:rsid w:val="00062FD7"/>
    <w:rsid w:val="00066FA1"/>
    <w:rsid w:val="000713FA"/>
    <w:rsid w:val="000758BF"/>
    <w:rsid w:val="00082EFD"/>
    <w:rsid w:val="000851F5"/>
    <w:rsid w:val="00086B8C"/>
    <w:rsid w:val="000873E5"/>
    <w:rsid w:val="00091BA8"/>
    <w:rsid w:val="000925CD"/>
    <w:rsid w:val="00093235"/>
    <w:rsid w:val="00097950"/>
    <w:rsid w:val="000A1323"/>
    <w:rsid w:val="000A2E01"/>
    <w:rsid w:val="000A72D2"/>
    <w:rsid w:val="000B09BC"/>
    <w:rsid w:val="000B36D5"/>
    <w:rsid w:val="000C017B"/>
    <w:rsid w:val="000C1698"/>
    <w:rsid w:val="000C1E84"/>
    <w:rsid w:val="000D3F97"/>
    <w:rsid w:val="000D4B5B"/>
    <w:rsid w:val="000D5B7F"/>
    <w:rsid w:val="000D5C4C"/>
    <w:rsid w:val="000D6F25"/>
    <w:rsid w:val="000D7C4C"/>
    <w:rsid w:val="000E3092"/>
    <w:rsid w:val="000E78C0"/>
    <w:rsid w:val="000E7AC7"/>
    <w:rsid w:val="000F354C"/>
    <w:rsid w:val="000F5EB9"/>
    <w:rsid w:val="00102898"/>
    <w:rsid w:val="00102DDE"/>
    <w:rsid w:val="00105402"/>
    <w:rsid w:val="00105FB1"/>
    <w:rsid w:val="00106F2A"/>
    <w:rsid w:val="001108F3"/>
    <w:rsid w:val="0011223F"/>
    <w:rsid w:val="00113524"/>
    <w:rsid w:val="00113BAA"/>
    <w:rsid w:val="001140FF"/>
    <w:rsid w:val="0011673E"/>
    <w:rsid w:val="001168E4"/>
    <w:rsid w:val="00120218"/>
    <w:rsid w:val="0012049E"/>
    <w:rsid w:val="00120B80"/>
    <w:rsid w:val="00124D8E"/>
    <w:rsid w:val="001251F4"/>
    <w:rsid w:val="001273B5"/>
    <w:rsid w:val="001331EC"/>
    <w:rsid w:val="00136F02"/>
    <w:rsid w:val="00137155"/>
    <w:rsid w:val="00141ACB"/>
    <w:rsid w:val="001445F3"/>
    <w:rsid w:val="00146B46"/>
    <w:rsid w:val="00150526"/>
    <w:rsid w:val="00152B53"/>
    <w:rsid w:val="00153BCD"/>
    <w:rsid w:val="00155B7D"/>
    <w:rsid w:val="001637AC"/>
    <w:rsid w:val="00164CEE"/>
    <w:rsid w:val="00165E4E"/>
    <w:rsid w:val="00166312"/>
    <w:rsid w:val="00170639"/>
    <w:rsid w:val="00170688"/>
    <w:rsid w:val="00170B1A"/>
    <w:rsid w:val="00171B14"/>
    <w:rsid w:val="00172229"/>
    <w:rsid w:val="00172B12"/>
    <w:rsid w:val="00173BEB"/>
    <w:rsid w:val="00174BD4"/>
    <w:rsid w:val="001755D1"/>
    <w:rsid w:val="0018356F"/>
    <w:rsid w:val="00186FF4"/>
    <w:rsid w:val="00187966"/>
    <w:rsid w:val="00187A15"/>
    <w:rsid w:val="00191251"/>
    <w:rsid w:val="00191684"/>
    <w:rsid w:val="001918B1"/>
    <w:rsid w:val="00192CDE"/>
    <w:rsid w:val="00195FE8"/>
    <w:rsid w:val="00196A06"/>
    <w:rsid w:val="001A3256"/>
    <w:rsid w:val="001A4374"/>
    <w:rsid w:val="001A652E"/>
    <w:rsid w:val="001B37C4"/>
    <w:rsid w:val="001B5382"/>
    <w:rsid w:val="001B5415"/>
    <w:rsid w:val="001C1144"/>
    <w:rsid w:val="001C30A3"/>
    <w:rsid w:val="001C56EC"/>
    <w:rsid w:val="001C6B67"/>
    <w:rsid w:val="001D14B8"/>
    <w:rsid w:val="001D47EA"/>
    <w:rsid w:val="001D5134"/>
    <w:rsid w:val="001E3301"/>
    <w:rsid w:val="001E4E1F"/>
    <w:rsid w:val="001E67A2"/>
    <w:rsid w:val="001E7293"/>
    <w:rsid w:val="001E74D0"/>
    <w:rsid w:val="001F45C6"/>
    <w:rsid w:val="001F5305"/>
    <w:rsid w:val="001F68F6"/>
    <w:rsid w:val="001F7A0E"/>
    <w:rsid w:val="001F7CB8"/>
    <w:rsid w:val="002010E0"/>
    <w:rsid w:val="00206671"/>
    <w:rsid w:val="00210815"/>
    <w:rsid w:val="00221363"/>
    <w:rsid w:val="002268B0"/>
    <w:rsid w:val="00227BC0"/>
    <w:rsid w:val="002311B1"/>
    <w:rsid w:val="002330D9"/>
    <w:rsid w:val="00234D1C"/>
    <w:rsid w:val="00235597"/>
    <w:rsid w:val="00241B51"/>
    <w:rsid w:val="00242384"/>
    <w:rsid w:val="00243E8B"/>
    <w:rsid w:val="00243F4E"/>
    <w:rsid w:val="00246457"/>
    <w:rsid w:val="002514DE"/>
    <w:rsid w:val="00253731"/>
    <w:rsid w:val="00254BF5"/>
    <w:rsid w:val="00254EBB"/>
    <w:rsid w:val="0025586C"/>
    <w:rsid w:val="00256AB0"/>
    <w:rsid w:val="00257088"/>
    <w:rsid w:val="00261564"/>
    <w:rsid w:val="002616A0"/>
    <w:rsid w:val="00263A52"/>
    <w:rsid w:val="00264017"/>
    <w:rsid w:val="002648E8"/>
    <w:rsid w:val="0026503A"/>
    <w:rsid w:val="002678DE"/>
    <w:rsid w:val="00267B81"/>
    <w:rsid w:val="00270D9D"/>
    <w:rsid w:val="00273529"/>
    <w:rsid w:val="002747B1"/>
    <w:rsid w:val="00281AE3"/>
    <w:rsid w:val="00282641"/>
    <w:rsid w:val="00285609"/>
    <w:rsid w:val="00286FA2"/>
    <w:rsid w:val="00292CB8"/>
    <w:rsid w:val="00292F4F"/>
    <w:rsid w:val="00296268"/>
    <w:rsid w:val="002A084C"/>
    <w:rsid w:val="002A0B94"/>
    <w:rsid w:val="002A53DD"/>
    <w:rsid w:val="002A7553"/>
    <w:rsid w:val="002B2822"/>
    <w:rsid w:val="002B5BE3"/>
    <w:rsid w:val="002C39DE"/>
    <w:rsid w:val="002C5FEA"/>
    <w:rsid w:val="002D0CB9"/>
    <w:rsid w:val="002D3ACC"/>
    <w:rsid w:val="002D46C5"/>
    <w:rsid w:val="002D5120"/>
    <w:rsid w:val="002D76C5"/>
    <w:rsid w:val="002E061E"/>
    <w:rsid w:val="002E328E"/>
    <w:rsid w:val="002F5890"/>
    <w:rsid w:val="003020F6"/>
    <w:rsid w:val="0030501D"/>
    <w:rsid w:val="00305B5A"/>
    <w:rsid w:val="00306502"/>
    <w:rsid w:val="00306791"/>
    <w:rsid w:val="00307C5E"/>
    <w:rsid w:val="00307E8A"/>
    <w:rsid w:val="0031129A"/>
    <w:rsid w:val="0031132D"/>
    <w:rsid w:val="00312179"/>
    <w:rsid w:val="00312A03"/>
    <w:rsid w:val="00314D9E"/>
    <w:rsid w:val="00315A6F"/>
    <w:rsid w:val="003173BF"/>
    <w:rsid w:val="00317899"/>
    <w:rsid w:val="003258BF"/>
    <w:rsid w:val="003259CC"/>
    <w:rsid w:val="00326AD1"/>
    <w:rsid w:val="00326B13"/>
    <w:rsid w:val="003310F1"/>
    <w:rsid w:val="00334BB5"/>
    <w:rsid w:val="00334C02"/>
    <w:rsid w:val="00336199"/>
    <w:rsid w:val="00340EF9"/>
    <w:rsid w:val="003422D5"/>
    <w:rsid w:val="003478BB"/>
    <w:rsid w:val="00347F6D"/>
    <w:rsid w:val="00353735"/>
    <w:rsid w:val="00354A85"/>
    <w:rsid w:val="00357F8E"/>
    <w:rsid w:val="0036301F"/>
    <w:rsid w:val="00365CAE"/>
    <w:rsid w:val="0036688B"/>
    <w:rsid w:val="00370E31"/>
    <w:rsid w:val="0037461F"/>
    <w:rsid w:val="00376922"/>
    <w:rsid w:val="00377F3C"/>
    <w:rsid w:val="003815E5"/>
    <w:rsid w:val="003820C9"/>
    <w:rsid w:val="00384D6E"/>
    <w:rsid w:val="00391D0E"/>
    <w:rsid w:val="003928A6"/>
    <w:rsid w:val="00394698"/>
    <w:rsid w:val="003976F6"/>
    <w:rsid w:val="003A0877"/>
    <w:rsid w:val="003A1A3E"/>
    <w:rsid w:val="003A24B9"/>
    <w:rsid w:val="003A2957"/>
    <w:rsid w:val="003A2E07"/>
    <w:rsid w:val="003A6B67"/>
    <w:rsid w:val="003B1409"/>
    <w:rsid w:val="003B149C"/>
    <w:rsid w:val="003B1B7B"/>
    <w:rsid w:val="003B21D1"/>
    <w:rsid w:val="003B509D"/>
    <w:rsid w:val="003B6C45"/>
    <w:rsid w:val="003B7DE3"/>
    <w:rsid w:val="003C0687"/>
    <w:rsid w:val="003C4A35"/>
    <w:rsid w:val="003C4F3C"/>
    <w:rsid w:val="003C5052"/>
    <w:rsid w:val="003C590D"/>
    <w:rsid w:val="003C6FEC"/>
    <w:rsid w:val="003C7037"/>
    <w:rsid w:val="003D0FF5"/>
    <w:rsid w:val="003D3497"/>
    <w:rsid w:val="003E14C4"/>
    <w:rsid w:val="003E21B2"/>
    <w:rsid w:val="003E230C"/>
    <w:rsid w:val="003E2CD7"/>
    <w:rsid w:val="003E3308"/>
    <w:rsid w:val="003E59CF"/>
    <w:rsid w:val="003E7205"/>
    <w:rsid w:val="003F5357"/>
    <w:rsid w:val="00403BD6"/>
    <w:rsid w:val="00403ECB"/>
    <w:rsid w:val="00403FD4"/>
    <w:rsid w:val="004058AB"/>
    <w:rsid w:val="00406094"/>
    <w:rsid w:val="00407A6B"/>
    <w:rsid w:val="004111B6"/>
    <w:rsid w:val="00411AEC"/>
    <w:rsid w:val="00411F49"/>
    <w:rsid w:val="0041257A"/>
    <w:rsid w:val="00413763"/>
    <w:rsid w:val="00413980"/>
    <w:rsid w:val="00413EC6"/>
    <w:rsid w:val="004161A7"/>
    <w:rsid w:val="00416F87"/>
    <w:rsid w:val="00421EA6"/>
    <w:rsid w:val="00422908"/>
    <w:rsid w:val="00423987"/>
    <w:rsid w:val="00424699"/>
    <w:rsid w:val="00426754"/>
    <w:rsid w:val="00431CA7"/>
    <w:rsid w:val="00432B5D"/>
    <w:rsid w:val="00435169"/>
    <w:rsid w:val="00435B33"/>
    <w:rsid w:val="004425F7"/>
    <w:rsid w:val="00450CC7"/>
    <w:rsid w:val="0045119E"/>
    <w:rsid w:val="004529C7"/>
    <w:rsid w:val="00454D37"/>
    <w:rsid w:val="004554D1"/>
    <w:rsid w:val="00455FF8"/>
    <w:rsid w:val="0045685E"/>
    <w:rsid w:val="00456CEC"/>
    <w:rsid w:val="00456FE1"/>
    <w:rsid w:val="0045732B"/>
    <w:rsid w:val="00460368"/>
    <w:rsid w:val="00464B1D"/>
    <w:rsid w:val="00466411"/>
    <w:rsid w:val="00466976"/>
    <w:rsid w:val="0046735E"/>
    <w:rsid w:val="0047083A"/>
    <w:rsid w:val="00470E82"/>
    <w:rsid w:val="00473439"/>
    <w:rsid w:val="00477E9A"/>
    <w:rsid w:val="00481B0B"/>
    <w:rsid w:val="004864A4"/>
    <w:rsid w:val="004864ED"/>
    <w:rsid w:val="004901D3"/>
    <w:rsid w:val="00497DC1"/>
    <w:rsid w:val="004A1EBD"/>
    <w:rsid w:val="004A23CE"/>
    <w:rsid w:val="004A3084"/>
    <w:rsid w:val="004A3502"/>
    <w:rsid w:val="004B1483"/>
    <w:rsid w:val="004B2FF6"/>
    <w:rsid w:val="004B4105"/>
    <w:rsid w:val="004B4464"/>
    <w:rsid w:val="004B69BF"/>
    <w:rsid w:val="004B764C"/>
    <w:rsid w:val="004C1342"/>
    <w:rsid w:val="004C2BF9"/>
    <w:rsid w:val="004C3EE3"/>
    <w:rsid w:val="004C6399"/>
    <w:rsid w:val="004C6F59"/>
    <w:rsid w:val="004D44DF"/>
    <w:rsid w:val="004D4FD7"/>
    <w:rsid w:val="004D78CB"/>
    <w:rsid w:val="004E1366"/>
    <w:rsid w:val="004E2A7B"/>
    <w:rsid w:val="004E4069"/>
    <w:rsid w:val="004E5C62"/>
    <w:rsid w:val="004E5E0F"/>
    <w:rsid w:val="004F066D"/>
    <w:rsid w:val="004F6F15"/>
    <w:rsid w:val="00500237"/>
    <w:rsid w:val="00503044"/>
    <w:rsid w:val="005052EB"/>
    <w:rsid w:val="005061BA"/>
    <w:rsid w:val="00507553"/>
    <w:rsid w:val="00511EAA"/>
    <w:rsid w:val="0051547D"/>
    <w:rsid w:val="005160EA"/>
    <w:rsid w:val="00516681"/>
    <w:rsid w:val="00520331"/>
    <w:rsid w:val="005215AD"/>
    <w:rsid w:val="0052412D"/>
    <w:rsid w:val="0052492E"/>
    <w:rsid w:val="00524DF0"/>
    <w:rsid w:val="005252BB"/>
    <w:rsid w:val="0052720F"/>
    <w:rsid w:val="00527ED4"/>
    <w:rsid w:val="005304E0"/>
    <w:rsid w:val="00532D46"/>
    <w:rsid w:val="00534699"/>
    <w:rsid w:val="0053594B"/>
    <w:rsid w:val="00536679"/>
    <w:rsid w:val="005371C5"/>
    <w:rsid w:val="0053794F"/>
    <w:rsid w:val="00537C59"/>
    <w:rsid w:val="00543CF2"/>
    <w:rsid w:val="0054655D"/>
    <w:rsid w:val="00554ECC"/>
    <w:rsid w:val="00557E9F"/>
    <w:rsid w:val="00564642"/>
    <w:rsid w:val="00564B46"/>
    <w:rsid w:val="00574D6F"/>
    <w:rsid w:val="00576D34"/>
    <w:rsid w:val="005777AF"/>
    <w:rsid w:val="0058036E"/>
    <w:rsid w:val="00582B9D"/>
    <w:rsid w:val="00585855"/>
    <w:rsid w:val="00591913"/>
    <w:rsid w:val="005944CD"/>
    <w:rsid w:val="005971F4"/>
    <w:rsid w:val="005A0BC4"/>
    <w:rsid w:val="005A2826"/>
    <w:rsid w:val="005A409C"/>
    <w:rsid w:val="005A5C86"/>
    <w:rsid w:val="005A71F5"/>
    <w:rsid w:val="005A75AC"/>
    <w:rsid w:val="005A785C"/>
    <w:rsid w:val="005B0894"/>
    <w:rsid w:val="005B2E84"/>
    <w:rsid w:val="005B43AC"/>
    <w:rsid w:val="005B6897"/>
    <w:rsid w:val="005B7422"/>
    <w:rsid w:val="005C5BE0"/>
    <w:rsid w:val="005C5F3F"/>
    <w:rsid w:val="005C7691"/>
    <w:rsid w:val="005D34CF"/>
    <w:rsid w:val="005D354B"/>
    <w:rsid w:val="005D4CB2"/>
    <w:rsid w:val="005D6AAA"/>
    <w:rsid w:val="005E0B1E"/>
    <w:rsid w:val="005E36CD"/>
    <w:rsid w:val="005F5787"/>
    <w:rsid w:val="006016C6"/>
    <w:rsid w:val="006051B7"/>
    <w:rsid w:val="00610DE0"/>
    <w:rsid w:val="00612BDE"/>
    <w:rsid w:val="006131E0"/>
    <w:rsid w:val="0061450D"/>
    <w:rsid w:val="00614517"/>
    <w:rsid w:val="00614C99"/>
    <w:rsid w:val="00615F14"/>
    <w:rsid w:val="00616159"/>
    <w:rsid w:val="00621AC0"/>
    <w:rsid w:val="00623708"/>
    <w:rsid w:val="00623A09"/>
    <w:rsid w:val="0062417D"/>
    <w:rsid w:val="006260DA"/>
    <w:rsid w:val="0062623F"/>
    <w:rsid w:val="00626E51"/>
    <w:rsid w:val="0062712B"/>
    <w:rsid w:val="00633FDD"/>
    <w:rsid w:val="00634EA2"/>
    <w:rsid w:val="006353DA"/>
    <w:rsid w:val="00636EED"/>
    <w:rsid w:val="00642796"/>
    <w:rsid w:val="00645CF3"/>
    <w:rsid w:val="00646513"/>
    <w:rsid w:val="00651117"/>
    <w:rsid w:val="00653179"/>
    <w:rsid w:val="006557F7"/>
    <w:rsid w:val="00657AC0"/>
    <w:rsid w:val="0066045D"/>
    <w:rsid w:val="00664B5C"/>
    <w:rsid w:val="00664BCD"/>
    <w:rsid w:val="006663CA"/>
    <w:rsid w:val="006678F8"/>
    <w:rsid w:val="00670C93"/>
    <w:rsid w:val="00672EF8"/>
    <w:rsid w:val="006744F3"/>
    <w:rsid w:val="00674BD1"/>
    <w:rsid w:val="00681C6A"/>
    <w:rsid w:val="006835A1"/>
    <w:rsid w:val="0069039D"/>
    <w:rsid w:val="006932B9"/>
    <w:rsid w:val="00693514"/>
    <w:rsid w:val="00694A5F"/>
    <w:rsid w:val="00695736"/>
    <w:rsid w:val="00695DE1"/>
    <w:rsid w:val="00697B63"/>
    <w:rsid w:val="00697EFC"/>
    <w:rsid w:val="006A2473"/>
    <w:rsid w:val="006A2577"/>
    <w:rsid w:val="006A39F1"/>
    <w:rsid w:val="006A5AC7"/>
    <w:rsid w:val="006A700D"/>
    <w:rsid w:val="006B0E3E"/>
    <w:rsid w:val="006B1FEC"/>
    <w:rsid w:val="006B2276"/>
    <w:rsid w:val="006B38A5"/>
    <w:rsid w:val="006B5DBB"/>
    <w:rsid w:val="006B73B2"/>
    <w:rsid w:val="006C4526"/>
    <w:rsid w:val="006C5FD6"/>
    <w:rsid w:val="006C674D"/>
    <w:rsid w:val="006C7502"/>
    <w:rsid w:val="006D2308"/>
    <w:rsid w:val="006D2E7E"/>
    <w:rsid w:val="006E26BF"/>
    <w:rsid w:val="006E3E61"/>
    <w:rsid w:val="006F39E8"/>
    <w:rsid w:val="006F7149"/>
    <w:rsid w:val="00701076"/>
    <w:rsid w:val="00702027"/>
    <w:rsid w:val="007045EF"/>
    <w:rsid w:val="0070504A"/>
    <w:rsid w:val="007102AF"/>
    <w:rsid w:val="00710578"/>
    <w:rsid w:val="00710A58"/>
    <w:rsid w:val="00711D54"/>
    <w:rsid w:val="00712CD4"/>
    <w:rsid w:val="0071515C"/>
    <w:rsid w:val="00720900"/>
    <w:rsid w:val="00722E4A"/>
    <w:rsid w:val="00724B5D"/>
    <w:rsid w:val="00725D61"/>
    <w:rsid w:val="00726ECC"/>
    <w:rsid w:val="00730ACE"/>
    <w:rsid w:val="00731FA7"/>
    <w:rsid w:val="007322F4"/>
    <w:rsid w:val="007374A0"/>
    <w:rsid w:val="00737A4C"/>
    <w:rsid w:val="00737BBB"/>
    <w:rsid w:val="00740B95"/>
    <w:rsid w:val="00740C7B"/>
    <w:rsid w:val="00741883"/>
    <w:rsid w:val="00741BC1"/>
    <w:rsid w:val="00742F33"/>
    <w:rsid w:val="00743A3B"/>
    <w:rsid w:val="007445C9"/>
    <w:rsid w:val="00746814"/>
    <w:rsid w:val="007538EC"/>
    <w:rsid w:val="00753B56"/>
    <w:rsid w:val="00755605"/>
    <w:rsid w:val="007563F9"/>
    <w:rsid w:val="00756F0C"/>
    <w:rsid w:val="0076189D"/>
    <w:rsid w:val="00761ECE"/>
    <w:rsid w:val="00762C10"/>
    <w:rsid w:val="00762C15"/>
    <w:rsid w:val="0076354F"/>
    <w:rsid w:val="00765AA1"/>
    <w:rsid w:val="0077083C"/>
    <w:rsid w:val="007732AB"/>
    <w:rsid w:val="0077559C"/>
    <w:rsid w:val="00775FCE"/>
    <w:rsid w:val="00776B55"/>
    <w:rsid w:val="00777083"/>
    <w:rsid w:val="00780158"/>
    <w:rsid w:val="0078054D"/>
    <w:rsid w:val="0078156F"/>
    <w:rsid w:val="00782444"/>
    <w:rsid w:val="00782495"/>
    <w:rsid w:val="00782859"/>
    <w:rsid w:val="00785C43"/>
    <w:rsid w:val="00792303"/>
    <w:rsid w:val="007926CC"/>
    <w:rsid w:val="00793ABA"/>
    <w:rsid w:val="00794FAA"/>
    <w:rsid w:val="00795BE6"/>
    <w:rsid w:val="00795BF2"/>
    <w:rsid w:val="007A0844"/>
    <w:rsid w:val="007A0B18"/>
    <w:rsid w:val="007A1B28"/>
    <w:rsid w:val="007A36B5"/>
    <w:rsid w:val="007B0CDF"/>
    <w:rsid w:val="007B1E44"/>
    <w:rsid w:val="007B4BA6"/>
    <w:rsid w:val="007B69EC"/>
    <w:rsid w:val="007B7FDC"/>
    <w:rsid w:val="007C0559"/>
    <w:rsid w:val="007C311C"/>
    <w:rsid w:val="007C664E"/>
    <w:rsid w:val="007D43A7"/>
    <w:rsid w:val="007D55E2"/>
    <w:rsid w:val="007D600E"/>
    <w:rsid w:val="007E37B4"/>
    <w:rsid w:val="007E7F84"/>
    <w:rsid w:val="007F0686"/>
    <w:rsid w:val="007F231E"/>
    <w:rsid w:val="007F481F"/>
    <w:rsid w:val="008031E3"/>
    <w:rsid w:val="00805249"/>
    <w:rsid w:val="00811C8E"/>
    <w:rsid w:val="0081390E"/>
    <w:rsid w:val="008201C5"/>
    <w:rsid w:val="00821A01"/>
    <w:rsid w:val="00832261"/>
    <w:rsid w:val="00835F07"/>
    <w:rsid w:val="008444DD"/>
    <w:rsid w:val="008449A8"/>
    <w:rsid w:val="00844F05"/>
    <w:rsid w:val="00846C3D"/>
    <w:rsid w:val="008479DE"/>
    <w:rsid w:val="00851070"/>
    <w:rsid w:val="00853DC4"/>
    <w:rsid w:val="00854687"/>
    <w:rsid w:val="00856320"/>
    <w:rsid w:val="0086257A"/>
    <w:rsid w:val="00862E8C"/>
    <w:rsid w:val="008630BC"/>
    <w:rsid w:val="00866C07"/>
    <w:rsid w:val="008703FA"/>
    <w:rsid w:val="00874371"/>
    <w:rsid w:val="008760E1"/>
    <w:rsid w:val="00880A5C"/>
    <w:rsid w:val="0088309A"/>
    <w:rsid w:val="00883B42"/>
    <w:rsid w:val="00884E25"/>
    <w:rsid w:val="008858EC"/>
    <w:rsid w:val="00887AB6"/>
    <w:rsid w:val="00890A09"/>
    <w:rsid w:val="00892AB4"/>
    <w:rsid w:val="0089453D"/>
    <w:rsid w:val="008949AC"/>
    <w:rsid w:val="00895C19"/>
    <w:rsid w:val="008A02DF"/>
    <w:rsid w:val="008A1747"/>
    <w:rsid w:val="008A1ADB"/>
    <w:rsid w:val="008A2566"/>
    <w:rsid w:val="008A5F08"/>
    <w:rsid w:val="008B67A5"/>
    <w:rsid w:val="008C11FF"/>
    <w:rsid w:val="008C23FF"/>
    <w:rsid w:val="008C6205"/>
    <w:rsid w:val="008C7CDD"/>
    <w:rsid w:val="008D12CD"/>
    <w:rsid w:val="008D2EFE"/>
    <w:rsid w:val="008D36C0"/>
    <w:rsid w:val="008D7552"/>
    <w:rsid w:val="008E1740"/>
    <w:rsid w:val="008E5657"/>
    <w:rsid w:val="008E6D97"/>
    <w:rsid w:val="008F1F0E"/>
    <w:rsid w:val="008F5323"/>
    <w:rsid w:val="00902C70"/>
    <w:rsid w:val="00902EF3"/>
    <w:rsid w:val="00903748"/>
    <w:rsid w:val="00903874"/>
    <w:rsid w:val="00904DE4"/>
    <w:rsid w:val="00912B42"/>
    <w:rsid w:val="00913016"/>
    <w:rsid w:val="00913044"/>
    <w:rsid w:val="00913166"/>
    <w:rsid w:val="0091451C"/>
    <w:rsid w:val="009153F1"/>
    <w:rsid w:val="00916F5D"/>
    <w:rsid w:val="0091726C"/>
    <w:rsid w:val="00920FC6"/>
    <w:rsid w:val="00921651"/>
    <w:rsid w:val="00924EF4"/>
    <w:rsid w:val="00925B1F"/>
    <w:rsid w:val="00926211"/>
    <w:rsid w:val="00926726"/>
    <w:rsid w:val="00934F9B"/>
    <w:rsid w:val="0093628D"/>
    <w:rsid w:val="00936FD4"/>
    <w:rsid w:val="0093776A"/>
    <w:rsid w:val="00943502"/>
    <w:rsid w:val="00943512"/>
    <w:rsid w:val="00947D20"/>
    <w:rsid w:val="00950AF2"/>
    <w:rsid w:val="00950DCC"/>
    <w:rsid w:val="0095265D"/>
    <w:rsid w:val="00954CBE"/>
    <w:rsid w:val="009564F8"/>
    <w:rsid w:val="00956E74"/>
    <w:rsid w:val="00961C19"/>
    <w:rsid w:val="009629ED"/>
    <w:rsid w:val="009629F2"/>
    <w:rsid w:val="00967793"/>
    <w:rsid w:val="00971E73"/>
    <w:rsid w:val="009749C9"/>
    <w:rsid w:val="00975B77"/>
    <w:rsid w:val="0097649A"/>
    <w:rsid w:val="00977256"/>
    <w:rsid w:val="00981929"/>
    <w:rsid w:val="0098402F"/>
    <w:rsid w:val="00990792"/>
    <w:rsid w:val="0099083B"/>
    <w:rsid w:val="00991B97"/>
    <w:rsid w:val="009956D5"/>
    <w:rsid w:val="00997CA0"/>
    <w:rsid w:val="009A3E60"/>
    <w:rsid w:val="009A489E"/>
    <w:rsid w:val="009A5FF9"/>
    <w:rsid w:val="009A67F3"/>
    <w:rsid w:val="009A6ADF"/>
    <w:rsid w:val="009B0F83"/>
    <w:rsid w:val="009B1EA4"/>
    <w:rsid w:val="009B2905"/>
    <w:rsid w:val="009B2DE1"/>
    <w:rsid w:val="009B538E"/>
    <w:rsid w:val="009B7028"/>
    <w:rsid w:val="009C38C1"/>
    <w:rsid w:val="009C48DE"/>
    <w:rsid w:val="009C68EB"/>
    <w:rsid w:val="009D15BF"/>
    <w:rsid w:val="009D6097"/>
    <w:rsid w:val="009E010D"/>
    <w:rsid w:val="009E17B0"/>
    <w:rsid w:val="009E2880"/>
    <w:rsid w:val="009E2929"/>
    <w:rsid w:val="009E47B4"/>
    <w:rsid w:val="009E4D9F"/>
    <w:rsid w:val="009E7480"/>
    <w:rsid w:val="009F4008"/>
    <w:rsid w:val="009F4238"/>
    <w:rsid w:val="00A00980"/>
    <w:rsid w:val="00A113A9"/>
    <w:rsid w:val="00A11622"/>
    <w:rsid w:val="00A134DE"/>
    <w:rsid w:val="00A17D70"/>
    <w:rsid w:val="00A21407"/>
    <w:rsid w:val="00A21A05"/>
    <w:rsid w:val="00A22683"/>
    <w:rsid w:val="00A304B9"/>
    <w:rsid w:val="00A30520"/>
    <w:rsid w:val="00A342D3"/>
    <w:rsid w:val="00A36A37"/>
    <w:rsid w:val="00A374F1"/>
    <w:rsid w:val="00A40C62"/>
    <w:rsid w:val="00A4144A"/>
    <w:rsid w:val="00A43902"/>
    <w:rsid w:val="00A43FA4"/>
    <w:rsid w:val="00A459E0"/>
    <w:rsid w:val="00A512C0"/>
    <w:rsid w:val="00A530AD"/>
    <w:rsid w:val="00A54DD4"/>
    <w:rsid w:val="00A567F0"/>
    <w:rsid w:val="00A6718F"/>
    <w:rsid w:val="00A74588"/>
    <w:rsid w:val="00A74C81"/>
    <w:rsid w:val="00A75DF2"/>
    <w:rsid w:val="00A7767B"/>
    <w:rsid w:val="00A82E7F"/>
    <w:rsid w:val="00A86184"/>
    <w:rsid w:val="00A94024"/>
    <w:rsid w:val="00A9664A"/>
    <w:rsid w:val="00AA0E00"/>
    <w:rsid w:val="00AA45EF"/>
    <w:rsid w:val="00AA64AF"/>
    <w:rsid w:val="00AA721F"/>
    <w:rsid w:val="00AB05FC"/>
    <w:rsid w:val="00AB1B9F"/>
    <w:rsid w:val="00AB74A3"/>
    <w:rsid w:val="00AC0B68"/>
    <w:rsid w:val="00AC1A1A"/>
    <w:rsid w:val="00AC5296"/>
    <w:rsid w:val="00AC530A"/>
    <w:rsid w:val="00AC6A39"/>
    <w:rsid w:val="00AD0639"/>
    <w:rsid w:val="00AD2E8B"/>
    <w:rsid w:val="00AD3518"/>
    <w:rsid w:val="00AD381B"/>
    <w:rsid w:val="00AD483C"/>
    <w:rsid w:val="00AE0E3C"/>
    <w:rsid w:val="00AE3A2B"/>
    <w:rsid w:val="00AF2007"/>
    <w:rsid w:val="00AF2429"/>
    <w:rsid w:val="00AF3D93"/>
    <w:rsid w:val="00AF6782"/>
    <w:rsid w:val="00AF6AFA"/>
    <w:rsid w:val="00AF6FC8"/>
    <w:rsid w:val="00AF77ED"/>
    <w:rsid w:val="00B046ED"/>
    <w:rsid w:val="00B06563"/>
    <w:rsid w:val="00B07788"/>
    <w:rsid w:val="00B11A2C"/>
    <w:rsid w:val="00B16941"/>
    <w:rsid w:val="00B172DA"/>
    <w:rsid w:val="00B21E07"/>
    <w:rsid w:val="00B21E7E"/>
    <w:rsid w:val="00B24B34"/>
    <w:rsid w:val="00B26DAC"/>
    <w:rsid w:val="00B2724A"/>
    <w:rsid w:val="00B276EB"/>
    <w:rsid w:val="00B314DA"/>
    <w:rsid w:val="00B32717"/>
    <w:rsid w:val="00B33F8E"/>
    <w:rsid w:val="00B3676A"/>
    <w:rsid w:val="00B36CBE"/>
    <w:rsid w:val="00B37AF0"/>
    <w:rsid w:val="00B37EA8"/>
    <w:rsid w:val="00B4006B"/>
    <w:rsid w:val="00B42237"/>
    <w:rsid w:val="00B42587"/>
    <w:rsid w:val="00B50461"/>
    <w:rsid w:val="00B5581B"/>
    <w:rsid w:val="00B55C78"/>
    <w:rsid w:val="00B62772"/>
    <w:rsid w:val="00B64B72"/>
    <w:rsid w:val="00B65FDC"/>
    <w:rsid w:val="00B66DFD"/>
    <w:rsid w:val="00B6768A"/>
    <w:rsid w:val="00B704A8"/>
    <w:rsid w:val="00B71936"/>
    <w:rsid w:val="00B83A11"/>
    <w:rsid w:val="00B87096"/>
    <w:rsid w:val="00B8716F"/>
    <w:rsid w:val="00B906E2"/>
    <w:rsid w:val="00B934F5"/>
    <w:rsid w:val="00B960B9"/>
    <w:rsid w:val="00BA2E35"/>
    <w:rsid w:val="00BA56A2"/>
    <w:rsid w:val="00BA67A7"/>
    <w:rsid w:val="00BB0F3B"/>
    <w:rsid w:val="00BB5A3F"/>
    <w:rsid w:val="00BB5AE1"/>
    <w:rsid w:val="00BC0F74"/>
    <w:rsid w:val="00BC3EE5"/>
    <w:rsid w:val="00BC5FA5"/>
    <w:rsid w:val="00BD1061"/>
    <w:rsid w:val="00BD10DF"/>
    <w:rsid w:val="00BD44D2"/>
    <w:rsid w:val="00BD6CB7"/>
    <w:rsid w:val="00BE1840"/>
    <w:rsid w:val="00BE19EA"/>
    <w:rsid w:val="00BE4B5C"/>
    <w:rsid w:val="00BE6FD1"/>
    <w:rsid w:val="00BE73AE"/>
    <w:rsid w:val="00BE765F"/>
    <w:rsid w:val="00BF0182"/>
    <w:rsid w:val="00BF2C0B"/>
    <w:rsid w:val="00BF5863"/>
    <w:rsid w:val="00BF7C9F"/>
    <w:rsid w:val="00BF7CA1"/>
    <w:rsid w:val="00C0629B"/>
    <w:rsid w:val="00C0655F"/>
    <w:rsid w:val="00C11196"/>
    <w:rsid w:val="00C22701"/>
    <w:rsid w:val="00C26A29"/>
    <w:rsid w:val="00C27447"/>
    <w:rsid w:val="00C31746"/>
    <w:rsid w:val="00C44D75"/>
    <w:rsid w:val="00C450B4"/>
    <w:rsid w:val="00C50000"/>
    <w:rsid w:val="00C51281"/>
    <w:rsid w:val="00C5363A"/>
    <w:rsid w:val="00C60217"/>
    <w:rsid w:val="00C61EB5"/>
    <w:rsid w:val="00C65B2D"/>
    <w:rsid w:val="00C71E04"/>
    <w:rsid w:val="00C741AC"/>
    <w:rsid w:val="00C75F10"/>
    <w:rsid w:val="00C762F8"/>
    <w:rsid w:val="00C84398"/>
    <w:rsid w:val="00C85701"/>
    <w:rsid w:val="00C85D70"/>
    <w:rsid w:val="00C864C5"/>
    <w:rsid w:val="00C90A7A"/>
    <w:rsid w:val="00C9144D"/>
    <w:rsid w:val="00C92A30"/>
    <w:rsid w:val="00C93072"/>
    <w:rsid w:val="00CA34B2"/>
    <w:rsid w:val="00CA4D0B"/>
    <w:rsid w:val="00CA4F7A"/>
    <w:rsid w:val="00CB5B74"/>
    <w:rsid w:val="00CC0FBC"/>
    <w:rsid w:val="00CC19A9"/>
    <w:rsid w:val="00CC2C29"/>
    <w:rsid w:val="00CC30AC"/>
    <w:rsid w:val="00CC44ED"/>
    <w:rsid w:val="00CC55EB"/>
    <w:rsid w:val="00CC7566"/>
    <w:rsid w:val="00CD147C"/>
    <w:rsid w:val="00CD23A9"/>
    <w:rsid w:val="00CD2927"/>
    <w:rsid w:val="00CD33CC"/>
    <w:rsid w:val="00CD3DC7"/>
    <w:rsid w:val="00CD5739"/>
    <w:rsid w:val="00CE11F9"/>
    <w:rsid w:val="00CE34D7"/>
    <w:rsid w:val="00CE5578"/>
    <w:rsid w:val="00CF5CD5"/>
    <w:rsid w:val="00CF6596"/>
    <w:rsid w:val="00D027F7"/>
    <w:rsid w:val="00D02D5E"/>
    <w:rsid w:val="00D034E8"/>
    <w:rsid w:val="00D03F9B"/>
    <w:rsid w:val="00D136B3"/>
    <w:rsid w:val="00D14209"/>
    <w:rsid w:val="00D146C1"/>
    <w:rsid w:val="00D15A57"/>
    <w:rsid w:val="00D179BE"/>
    <w:rsid w:val="00D23AF6"/>
    <w:rsid w:val="00D24267"/>
    <w:rsid w:val="00D25B98"/>
    <w:rsid w:val="00D2629A"/>
    <w:rsid w:val="00D26F53"/>
    <w:rsid w:val="00D3241C"/>
    <w:rsid w:val="00D42064"/>
    <w:rsid w:val="00D42934"/>
    <w:rsid w:val="00D430F7"/>
    <w:rsid w:val="00D43E61"/>
    <w:rsid w:val="00D45B7E"/>
    <w:rsid w:val="00D45D49"/>
    <w:rsid w:val="00D517E6"/>
    <w:rsid w:val="00D524C4"/>
    <w:rsid w:val="00D52EC8"/>
    <w:rsid w:val="00D5437C"/>
    <w:rsid w:val="00D55611"/>
    <w:rsid w:val="00D579C1"/>
    <w:rsid w:val="00D57B16"/>
    <w:rsid w:val="00D60677"/>
    <w:rsid w:val="00D633A7"/>
    <w:rsid w:val="00D63779"/>
    <w:rsid w:val="00D6396D"/>
    <w:rsid w:val="00D67F9A"/>
    <w:rsid w:val="00D70214"/>
    <w:rsid w:val="00D703F6"/>
    <w:rsid w:val="00D70F2B"/>
    <w:rsid w:val="00D747C1"/>
    <w:rsid w:val="00D77C3A"/>
    <w:rsid w:val="00D81D66"/>
    <w:rsid w:val="00D82926"/>
    <w:rsid w:val="00D83DE1"/>
    <w:rsid w:val="00D86FB4"/>
    <w:rsid w:val="00D92955"/>
    <w:rsid w:val="00D92998"/>
    <w:rsid w:val="00D92C97"/>
    <w:rsid w:val="00DA058B"/>
    <w:rsid w:val="00DA3B2B"/>
    <w:rsid w:val="00DA41E7"/>
    <w:rsid w:val="00DA5587"/>
    <w:rsid w:val="00DA5878"/>
    <w:rsid w:val="00DA68EA"/>
    <w:rsid w:val="00DA69C4"/>
    <w:rsid w:val="00DB3260"/>
    <w:rsid w:val="00DB3377"/>
    <w:rsid w:val="00DB59F5"/>
    <w:rsid w:val="00DB5DD6"/>
    <w:rsid w:val="00DB68D4"/>
    <w:rsid w:val="00DB6AE7"/>
    <w:rsid w:val="00DB7FCA"/>
    <w:rsid w:val="00DC0703"/>
    <w:rsid w:val="00DC188E"/>
    <w:rsid w:val="00DD1CE5"/>
    <w:rsid w:val="00DD2E0A"/>
    <w:rsid w:val="00DD68A3"/>
    <w:rsid w:val="00DE0B15"/>
    <w:rsid w:val="00DE23EB"/>
    <w:rsid w:val="00DE28F3"/>
    <w:rsid w:val="00DE34B4"/>
    <w:rsid w:val="00DE36F2"/>
    <w:rsid w:val="00DE39E4"/>
    <w:rsid w:val="00DE4056"/>
    <w:rsid w:val="00DE692E"/>
    <w:rsid w:val="00DE6BDB"/>
    <w:rsid w:val="00DF0CC5"/>
    <w:rsid w:val="00DF2473"/>
    <w:rsid w:val="00DF2B7E"/>
    <w:rsid w:val="00DF2E47"/>
    <w:rsid w:val="00DF33A8"/>
    <w:rsid w:val="00DF351A"/>
    <w:rsid w:val="00DF41AC"/>
    <w:rsid w:val="00E00D48"/>
    <w:rsid w:val="00E0127D"/>
    <w:rsid w:val="00E03247"/>
    <w:rsid w:val="00E10974"/>
    <w:rsid w:val="00E12F01"/>
    <w:rsid w:val="00E13456"/>
    <w:rsid w:val="00E141A1"/>
    <w:rsid w:val="00E142EE"/>
    <w:rsid w:val="00E151E6"/>
    <w:rsid w:val="00E153AF"/>
    <w:rsid w:val="00E17739"/>
    <w:rsid w:val="00E22229"/>
    <w:rsid w:val="00E27404"/>
    <w:rsid w:val="00E353C2"/>
    <w:rsid w:val="00E37B4C"/>
    <w:rsid w:val="00E4007F"/>
    <w:rsid w:val="00E40125"/>
    <w:rsid w:val="00E41DFF"/>
    <w:rsid w:val="00E4275D"/>
    <w:rsid w:val="00E42EC8"/>
    <w:rsid w:val="00E43636"/>
    <w:rsid w:val="00E43CEF"/>
    <w:rsid w:val="00E4415B"/>
    <w:rsid w:val="00E447D2"/>
    <w:rsid w:val="00E45990"/>
    <w:rsid w:val="00E47C62"/>
    <w:rsid w:val="00E503CB"/>
    <w:rsid w:val="00E51046"/>
    <w:rsid w:val="00E520B3"/>
    <w:rsid w:val="00E60585"/>
    <w:rsid w:val="00E61E47"/>
    <w:rsid w:val="00E61FE1"/>
    <w:rsid w:val="00E6219E"/>
    <w:rsid w:val="00E65248"/>
    <w:rsid w:val="00E652EB"/>
    <w:rsid w:val="00E66A12"/>
    <w:rsid w:val="00E714BD"/>
    <w:rsid w:val="00E73924"/>
    <w:rsid w:val="00E75BBD"/>
    <w:rsid w:val="00E766C0"/>
    <w:rsid w:val="00E76ACB"/>
    <w:rsid w:val="00E76E07"/>
    <w:rsid w:val="00E77CDD"/>
    <w:rsid w:val="00E8431B"/>
    <w:rsid w:val="00E84CEE"/>
    <w:rsid w:val="00E86662"/>
    <w:rsid w:val="00E931BE"/>
    <w:rsid w:val="00E93A68"/>
    <w:rsid w:val="00E93F06"/>
    <w:rsid w:val="00E96DA4"/>
    <w:rsid w:val="00EA07C4"/>
    <w:rsid w:val="00EA201E"/>
    <w:rsid w:val="00EA76D3"/>
    <w:rsid w:val="00EB0830"/>
    <w:rsid w:val="00EB0B69"/>
    <w:rsid w:val="00EB3093"/>
    <w:rsid w:val="00EB6672"/>
    <w:rsid w:val="00EC159E"/>
    <w:rsid w:val="00EC468B"/>
    <w:rsid w:val="00EC7B84"/>
    <w:rsid w:val="00ED02B7"/>
    <w:rsid w:val="00ED76DB"/>
    <w:rsid w:val="00EF12E8"/>
    <w:rsid w:val="00EF7F07"/>
    <w:rsid w:val="00F00003"/>
    <w:rsid w:val="00F00938"/>
    <w:rsid w:val="00F0314A"/>
    <w:rsid w:val="00F05A8B"/>
    <w:rsid w:val="00F06F33"/>
    <w:rsid w:val="00F073B0"/>
    <w:rsid w:val="00F10C35"/>
    <w:rsid w:val="00F12AA8"/>
    <w:rsid w:val="00F14AB9"/>
    <w:rsid w:val="00F16280"/>
    <w:rsid w:val="00F20501"/>
    <w:rsid w:val="00F2328A"/>
    <w:rsid w:val="00F2493A"/>
    <w:rsid w:val="00F2708D"/>
    <w:rsid w:val="00F2796D"/>
    <w:rsid w:val="00F30A59"/>
    <w:rsid w:val="00F368C9"/>
    <w:rsid w:val="00F40FF4"/>
    <w:rsid w:val="00F41FC9"/>
    <w:rsid w:val="00F437C8"/>
    <w:rsid w:val="00F43C6E"/>
    <w:rsid w:val="00F43E64"/>
    <w:rsid w:val="00F452C2"/>
    <w:rsid w:val="00F461D5"/>
    <w:rsid w:val="00F52240"/>
    <w:rsid w:val="00F53028"/>
    <w:rsid w:val="00F55711"/>
    <w:rsid w:val="00F60EB3"/>
    <w:rsid w:val="00F627AB"/>
    <w:rsid w:val="00F6354B"/>
    <w:rsid w:val="00F64102"/>
    <w:rsid w:val="00F654E0"/>
    <w:rsid w:val="00F713A5"/>
    <w:rsid w:val="00F759CC"/>
    <w:rsid w:val="00F9039F"/>
    <w:rsid w:val="00F91C6A"/>
    <w:rsid w:val="00F939E2"/>
    <w:rsid w:val="00F95127"/>
    <w:rsid w:val="00F961DF"/>
    <w:rsid w:val="00FA2DAE"/>
    <w:rsid w:val="00FA47C6"/>
    <w:rsid w:val="00FA486F"/>
    <w:rsid w:val="00FA6FA8"/>
    <w:rsid w:val="00FB0F1F"/>
    <w:rsid w:val="00FB6032"/>
    <w:rsid w:val="00FB7D31"/>
    <w:rsid w:val="00FC0A11"/>
    <w:rsid w:val="00FC0C06"/>
    <w:rsid w:val="00FC248E"/>
    <w:rsid w:val="00FC3672"/>
    <w:rsid w:val="00FC3D93"/>
    <w:rsid w:val="00FC55E9"/>
    <w:rsid w:val="00FD296D"/>
    <w:rsid w:val="00FD4D69"/>
    <w:rsid w:val="00FD569D"/>
    <w:rsid w:val="00FD5801"/>
    <w:rsid w:val="00FD652B"/>
    <w:rsid w:val="00FD78BF"/>
    <w:rsid w:val="00FE0271"/>
    <w:rsid w:val="00FE089D"/>
    <w:rsid w:val="00FE27E5"/>
    <w:rsid w:val="00FE421E"/>
    <w:rsid w:val="00FE7F17"/>
    <w:rsid w:val="00FF1CA4"/>
    <w:rsid w:val="00FF597E"/>
    <w:rsid w:val="00FF72C1"/>
    <w:rsid w:val="00FF7536"/>
    <w:rsid w:val="00FF7D7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8521F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rsid w:val="005777AF"/>
    <w:pPr>
      <w:numPr>
        <w:numId w:val="20"/>
      </w:numPr>
      <w:spacing w:after="240" w:line="260" w:lineRule="exact"/>
      <w:jc w:val="both"/>
    </w:pPr>
    <w:rPr>
      <w:rFonts w:cs="Corbel"/>
      <w:color w:val="000000"/>
      <w:szCs w:val="23"/>
    </w:rPr>
  </w:style>
  <w:style w:type="paragraph" w:customStyle="1" w:styleId="BoxDash">
    <w:name w:val="Box Dash"/>
    <w:basedOn w:val="Normal"/>
    <w:uiPriority w:val="99"/>
    <w:rsid w:val="005777AF"/>
    <w:pPr>
      <w:numPr>
        <w:ilvl w:val="1"/>
        <w:numId w:val="20"/>
      </w:numPr>
      <w:spacing w:after="240" w:line="260" w:lineRule="exact"/>
      <w:jc w:val="both"/>
    </w:pPr>
    <w:rPr>
      <w:rFonts w:cs="Corbel"/>
      <w:color w:val="000000"/>
      <w:szCs w:val="23"/>
    </w:rPr>
  </w:style>
  <w:style w:type="paragraph" w:customStyle="1" w:styleId="BoxDoubleDot">
    <w:name w:val="Box Double Dot"/>
    <w:basedOn w:val="Normal"/>
    <w:uiPriority w:val="99"/>
    <w:rsid w:val="005777AF"/>
    <w:pPr>
      <w:numPr>
        <w:ilvl w:val="2"/>
        <w:numId w:val="20"/>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character" w:customStyle="1" w:styleId="A3">
    <w:name w:val="A3"/>
    <w:uiPriority w:val="99"/>
    <w:rsid w:val="00B50461"/>
    <w:rPr>
      <w:rFonts w:cs="GillSans Light"/>
      <w:i/>
      <w:i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2035574594">
      <w:bodyDiv w:val="1"/>
      <w:marLeft w:val="0"/>
      <w:marRight w:val="0"/>
      <w:marTop w:val="0"/>
      <w:marBottom w:val="0"/>
      <w:divBdr>
        <w:top w:val="none" w:sz="0" w:space="0" w:color="auto"/>
        <w:left w:val="none" w:sz="0" w:space="0" w:color="auto"/>
        <w:bottom w:val="none" w:sz="0" w:space="0" w:color="auto"/>
        <w:right w:val="none" w:sz="0" w:space="0" w:color="auto"/>
      </w:divBdr>
      <w:divsChild>
        <w:div w:id="926813585">
          <w:marLeft w:val="0"/>
          <w:marRight w:val="0"/>
          <w:marTop w:val="0"/>
          <w:marBottom w:val="0"/>
          <w:divBdr>
            <w:top w:val="none" w:sz="0" w:space="0" w:color="auto"/>
            <w:left w:val="none" w:sz="0" w:space="0" w:color="auto"/>
            <w:bottom w:val="none" w:sz="0" w:space="0" w:color="auto"/>
            <w:right w:val="none" w:sz="0" w:space="0" w:color="auto"/>
          </w:divBdr>
          <w:divsChild>
            <w:div w:id="1895773646">
              <w:marLeft w:val="0"/>
              <w:marRight w:val="0"/>
              <w:marTop w:val="0"/>
              <w:marBottom w:val="0"/>
              <w:divBdr>
                <w:top w:val="none" w:sz="0" w:space="0" w:color="auto"/>
                <w:left w:val="none" w:sz="0" w:space="0" w:color="auto"/>
                <w:bottom w:val="none" w:sz="0" w:space="0" w:color="auto"/>
                <w:right w:val="none" w:sz="0" w:space="0" w:color="auto"/>
              </w:divBdr>
              <w:divsChild>
                <w:div w:id="1116680318">
                  <w:marLeft w:val="0"/>
                  <w:marRight w:val="0"/>
                  <w:marTop w:val="0"/>
                  <w:marBottom w:val="0"/>
                  <w:divBdr>
                    <w:top w:val="none" w:sz="0" w:space="0" w:color="auto"/>
                    <w:left w:val="none" w:sz="0" w:space="0" w:color="auto"/>
                    <w:bottom w:val="none" w:sz="0" w:space="0" w:color="auto"/>
                    <w:right w:val="none" w:sz="0" w:space="0" w:color="auto"/>
                  </w:divBdr>
                  <w:divsChild>
                    <w:div w:id="102191014">
                      <w:marLeft w:val="0"/>
                      <w:marRight w:val="0"/>
                      <w:marTop w:val="0"/>
                      <w:marBottom w:val="0"/>
                      <w:divBdr>
                        <w:top w:val="none" w:sz="0" w:space="0" w:color="auto"/>
                        <w:left w:val="none" w:sz="0" w:space="0" w:color="auto"/>
                        <w:bottom w:val="none" w:sz="0" w:space="0" w:color="auto"/>
                        <w:right w:val="none" w:sz="0" w:space="0" w:color="auto"/>
                      </w:divBdr>
                      <w:divsChild>
                        <w:div w:id="344064791">
                          <w:marLeft w:val="340"/>
                          <w:marRight w:val="0"/>
                          <w:marTop w:val="0"/>
                          <w:marBottom w:val="120"/>
                          <w:divBdr>
                            <w:top w:val="none" w:sz="0" w:space="0" w:color="auto"/>
                            <w:left w:val="none" w:sz="0" w:space="0" w:color="auto"/>
                            <w:bottom w:val="none" w:sz="0" w:space="0" w:color="auto"/>
                            <w:right w:val="none" w:sz="0" w:space="0" w:color="auto"/>
                          </w:divBdr>
                          <w:divsChild>
                            <w:div w:id="1149250977">
                              <w:marLeft w:val="0"/>
                              <w:marRight w:val="0"/>
                              <w:marTop w:val="0"/>
                              <w:marBottom w:val="0"/>
                              <w:divBdr>
                                <w:top w:val="none" w:sz="0" w:space="0" w:color="auto"/>
                                <w:left w:val="none" w:sz="0" w:space="0" w:color="auto"/>
                                <w:bottom w:val="none" w:sz="0" w:space="0" w:color="auto"/>
                                <w:right w:val="none" w:sz="0" w:space="0" w:color="auto"/>
                              </w:divBdr>
                              <w:divsChild>
                                <w:div w:id="181413336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010267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153541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98489878">
                                              <w:blockQuote w:val="1"/>
                                              <w:marLeft w:val="0"/>
                                              <w:marRight w:val="0"/>
                                              <w:marTop w:val="120"/>
                                              <w:marBottom w:val="120"/>
                                              <w:divBdr>
                                                <w:top w:val="none" w:sz="0" w:space="0" w:color="auto"/>
                                                <w:left w:val="none" w:sz="0" w:space="0" w:color="auto"/>
                                                <w:bottom w:val="none" w:sz="0" w:space="0" w:color="auto"/>
                                                <w:right w:val="none" w:sz="0" w:space="0" w:color="auto"/>
                                              </w:divBdr>
                                            </w:div>
                                            <w:div w:id="11171422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2019FG-64-58401</_dlc_DocId>
    <TaxCatchAll xmlns="0f563589-9cf9-4143-b1eb-fb0534803d38"/>
    <_dlc_DocIdUrl xmlns="0f563589-9cf9-4143-b1eb-fb0534803d38">
      <Url>http://tweb/sites/fg/csrd/_layouts/15/DocIdRedir.aspx?ID=2019FG-64-58401</Url>
      <Description>2019FG-64-58401</Description>
    </_dlc_DocIdUrl>
  </documentManagement>
</p:properti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4929-B004-42E9-97F2-A6A0E79AA573}"/>
</file>

<file path=customXml/itemProps2.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3.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4.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5.xml><?xml version="1.0" encoding="utf-8"?>
<ds:datastoreItem xmlns:ds="http://schemas.openxmlformats.org/officeDocument/2006/customXml" ds:itemID="{EE8709D0-D2FE-4DBD-9BC8-81C8647DEDB5}">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0f563589-9cf9-4143-b1eb-fb0534803d38"/>
  </ds:schemaRefs>
</ds:datastoreItem>
</file>

<file path=customXml/itemProps6.xml><?xml version="1.0" encoding="utf-8"?>
<ds:datastoreItem xmlns:ds="http://schemas.openxmlformats.org/officeDocument/2006/customXml" ds:itemID="{A78462D9-0D2B-46BD-B3D4-9C3EC6712FE6}">
  <ds:schemaRefs>
    <ds:schemaRef ds:uri="office.server.policy"/>
  </ds:schemaRefs>
</ds:datastoreItem>
</file>

<file path=customXml/itemProps7.xml><?xml version="1.0" encoding="utf-8"?>
<ds:datastoreItem xmlns:ds="http://schemas.openxmlformats.org/officeDocument/2006/customXml" ds:itemID="{D7C18DC6-0E7B-4196-A81B-AA798237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3575</Words>
  <Characters>20647</Characters>
  <Application>Microsoft Office Word</Application>
  <DocSecurity>0</DocSecurity>
  <Lines>567</Lines>
  <Paragraphs>188</Paragraphs>
  <ScaleCrop>false</ScaleCrop>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 - Universal Access to Early Childhood Education - 2018 and 2019</dc:title>
  <dc:creator/>
  <cp:lastModifiedBy/>
  <cp:revision>1</cp:revision>
  <dcterms:created xsi:type="dcterms:W3CDTF">2019-04-26T03:59:00Z</dcterms:created>
  <dcterms:modified xsi:type="dcterms:W3CDTF">2019-04-26T03:59:00Z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7df1de81-3215-444c-bd6d-669ae844a566</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{7df1de81-3215-444c-bd6d-669ae844a566}</vt:lpwstr>
  </property>
  <property fmtid="{D5CDD505-2E9C-101B-9397-08002B2CF9AE}" pid="9" name="RecordPoint_ActiveItemWebId">
    <vt:lpwstr>{a4589788-615f-4b8b-8296-7f9f6dfbab44}</vt:lpwstr>
  </property>
  <property fmtid="{D5CDD505-2E9C-101B-9397-08002B2CF9AE}" pid="10" name="RecordPoint_RecordNumberSubmitted">
    <vt:lpwstr>R0002256769</vt:lpwstr>
  </property>
  <property fmtid="{D5CDD505-2E9C-101B-9397-08002B2CF9AE}" pid="11" name="RecordPoint_SubmissionCompleted">
    <vt:lpwstr>2020-04-24T15:10:52.0733977+10:00</vt:lpwstr>
  </property>
</Properties>
</file>