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8B" w:rsidRPr="00056F24" w:rsidRDefault="00197FAA" w:rsidP="00A17D70">
      <w:pPr>
        <w:pStyle w:val="Title"/>
      </w:pPr>
      <w:bookmarkStart w:id="0" w:name="_GoBack"/>
      <w:bookmarkEnd w:id="0"/>
      <w:r w:rsidRPr="00056F24">
        <w:t>Queensland’s</w:t>
      </w:r>
      <w:r w:rsidR="00921651" w:rsidRPr="00056F24">
        <w:t xml:space="preserve"> Implementation Plan</w:t>
      </w:r>
    </w:p>
    <w:p w:rsidR="0036688B" w:rsidRPr="00056F24" w:rsidRDefault="00B934F5" w:rsidP="00E96DA4">
      <w:pPr>
        <w:pStyle w:val="Subtitle"/>
        <w:spacing w:after="120"/>
      </w:pPr>
      <w:r w:rsidRPr="00056F24">
        <w:t xml:space="preserve">National Partnership </w:t>
      </w:r>
      <w:r w:rsidR="0036688B" w:rsidRPr="00056F24">
        <w:t>on</w:t>
      </w:r>
      <w:r w:rsidR="00D26F53" w:rsidRPr="00056F24">
        <w:t xml:space="preserve"> UNIVERSAL ACCESS TO EARLY CHILDHOOD EDUCATION – </w:t>
      </w:r>
      <w:r w:rsidR="007B4BA6" w:rsidRPr="00056F24">
        <w:t>2018</w:t>
      </w:r>
      <w:r w:rsidR="00056F24">
        <w:t xml:space="preserve">–2020  </w:t>
      </w:r>
    </w:p>
    <w:p w:rsidR="0036688B" w:rsidRPr="00056F24" w:rsidRDefault="0036688B" w:rsidP="00354A85">
      <w:pPr>
        <w:pStyle w:val="Heading1"/>
      </w:pPr>
      <w:r w:rsidRPr="00056F24">
        <w:t>Part 1: Preliminaries</w:t>
      </w:r>
    </w:p>
    <w:p w:rsidR="00354A85" w:rsidRPr="00056F24" w:rsidRDefault="00354A85" w:rsidP="00354A85">
      <w:pPr>
        <w:keepNext/>
        <w:keepLines/>
      </w:pPr>
    </w:p>
    <w:p w:rsidR="001918B1" w:rsidRPr="00056F24" w:rsidRDefault="001918B1" w:rsidP="00354A85">
      <w:pPr>
        <w:pStyle w:val="Normalnumbered"/>
        <w:keepNext/>
        <w:keepLines/>
        <w:spacing w:after="240"/>
      </w:pPr>
      <w:r w:rsidRPr="00056F24">
        <w:t xml:space="preserve">This </w:t>
      </w:r>
      <w:r w:rsidR="00E47C62" w:rsidRPr="00056F24">
        <w:t>Implementation Plan</w:t>
      </w:r>
      <w:r w:rsidRPr="00056F24">
        <w:t xml:space="preserve"> is </w:t>
      </w:r>
      <w:r w:rsidR="00C22701" w:rsidRPr="00056F24">
        <w:t>a schedule to</w:t>
      </w:r>
      <w:r w:rsidRPr="00056F24">
        <w:t xml:space="preserve"> the National Partnership on </w:t>
      </w:r>
      <w:r w:rsidR="003C4F3C" w:rsidRPr="00056F24">
        <w:t xml:space="preserve">Universal Access to Early Childhood Education – </w:t>
      </w:r>
      <w:r w:rsidR="007B4BA6" w:rsidRPr="00056F24">
        <w:t>2018</w:t>
      </w:r>
      <w:r w:rsidR="00056F24">
        <w:t xml:space="preserve">–2020 </w:t>
      </w:r>
      <w:r w:rsidR="00E86662" w:rsidRPr="00056F24">
        <w:t xml:space="preserve">(the National Partnership) </w:t>
      </w:r>
      <w:r w:rsidRPr="00056F24">
        <w:t>and should be read in conjunction with that Agreement.</w:t>
      </w:r>
    </w:p>
    <w:p w:rsidR="00E652EB" w:rsidRPr="00056F24" w:rsidRDefault="00E652EB" w:rsidP="00354A85">
      <w:pPr>
        <w:pStyle w:val="Normalnumbered"/>
        <w:keepNext/>
        <w:keepLines/>
        <w:spacing w:after="240"/>
      </w:pPr>
      <w:r w:rsidRPr="00056F24">
        <w:rPr>
          <w:rFonts w:eastAsia="Calibri"/>
          <w:color w:val="000000"/>
          <w:szCs w:val="23"/>
        </w:rPr>
        <w:t>The objective of the National Partnership is to facilitate children’s early learning and development and transition to school, by maintaining universal access</w:t>
      </w:r>
      <w:r w:rsidRPr="00056F24" w:rsidDel="00DC012C">
        <w:rPr>
          <w:rFonts w:eastAsia="Calibri"/>
          <w:color w:val="000000"/>
          <w:szCs w:val="23"/>
        </w:rPr>
        <w:t xml:space="preserve"> </w:t>
      </w:r>
      <w:r w:rsidRPr="00056F24">
        <w:rPr>
          <w:rFonts w:eastAsia="Calibri"/>
          <w:color w:val="000000"/>
          <w:szCs w:val="23"/>
        </w:rPr>
        <w:t xml:space="preserve">to, and improving participation in, affordable, quality early childhood education </w:t>
      </w:r>
      <w:r w:rsidR="007B4BA6" w:rsidRPr="00056F24">
        <w:rPr>
          <w:rFonts w:eastAsia="Calibri"/>
          <w:color w:val="000000"/>
          <w:szCs w:val="23"/>
        </w:rPr>
        <w:t>program</w:t>
      </w:r>
      <w:r w:rsidRPr="00056F24">
        <w:rPr>
          <w:rFonts w:eastAsia="Calibri"/>
          <w:color w:val="000000"/>
          <w:szCs w:val="23"/>
        </w:rPr>
        <w:t>s for all children.</w:t>
      </w:r>
    </w:p>
    <w:p w:rsidR="00924EF4" w:rsidRPr="00056F24" w:rsidRDefault="003C4F3C" w:rsidP="00924EF4">
      <w:pPr>
        <w:pStyle w:val="Normalnumbered"/>
        <w:spacing w:after="240"/>
        <w:rPr>
          <w:szCs w:val="23"/>
        </w:rPr>
      </w:pPr>
      <w:r w:rsidRPr="00056F24">
        <w:t>Th</w:t>
      </w:r>
      <w:r w:rsidR="00E652EB" w:rsidRPr="00056F24">
        <w:t>is</w:t>
      </w:r>
      <w:r w:rsidRPr="00056F24">
        <w:t xml:space="preserve"> objective</w:t>
      </w:r>
      <w:r w:rsidR="00E652EB" w:rsidRPr="00056F24">
        <w:rPr>
          <w:szCs w:val="23"/>
        </w:rPr>
        <w:t xml:space="preserve"> is to be achieved through </w:t>
      </w:r>
      <w:r w:rsidRPr="00056F24">
        <w:rPr>
          <w:szCs w:val="23"/>
        </w:rPr>
        <w:t xml:space="preserve">universal access to quality early childhood education </w:t>
      </w:r>
      <w:r w:rsidR="007B4BA6" w:rsidRPr="00056F24">
        <w:rPr>
          <w:szCs w:val="23"/>
        </w:rPr>
        <w:t>program</w:t>
      </w:r>
      <w:r w:rsidRPr="00056F24">
        <w:rPr>
          <w:szCs w:val="23"/>
        </w:rPr>
        <w:t xml:space="preserve">(s) </w:t>
      </w:r>
      <w:r w:rsidR="009C38C1" w:rsidRPr="00056F24">
        <w:rPr>
          <w:szCs w:val="23"/>
        </w:rPr>
        <w:t>for</w:t>
      </w:r>
      <w:r w:rsidR="000A191A" w:rsidRPr="00056F24">
        <w:rPr>
          <w:szCs w:val="23"/>
        </w:rPr>
        <w:t xml:space="preserve"> all children enrolled in the year before full-time school for</w:t>
      </w:r>
      <w:r w:rsidR="009C38C1" w:rsidRPr="00056F24">
        <w:rPr>
          <w:szCs w:val="23"/>
        </w:rPr>
        <w:t xml:space="preserve"> 600 hours per year, delivered by a qualified early childhood teacher who meets </w:t>
      </w:r>
      <w:r w:rsidR="008A1BE8" w:rsidRPr="00056F24">
        <w:rPr>
          <w:szCs w:val="23"/>
        </w:rPr>
        <w:t xml:space="preserve">the </w:t>
      </w:r>
      <w:r w:rsidR="00CF5CD5" w:rsidRPr="00056F24">
        <w:rPr>
          <w:szCs w:val="23"/>
        </w:rPr>
        <w:t xml:space="preserve">National Quality Framework </w:t>
      </w:r>
      <w:r w:rsidR="00CE7BA3" w:rsidRPr="00056F24">
        <w:rPr>
          <w:szCs w:val="23"/>
        </w:rPr>
        <w:t xml:space="preserve">(NQF) </w:t>
      </w:r>
      <w:r w:rsidR="009C38C1" w:rsidRPr="00056F24">
        <w:rPr>
          <w:szCs w:val="23"/>
        </w:rPr>
        <w:t>requirements</w:t>
      </w:r>
      <w:r w:rsidR="008A1BE8" w:rsidRPr="00056F24">
        <w:rPr>
          <w:szCs w:val="23"/>
        </w:rPr>
        <w:t xml:space="preserve">. There will be a </w:t>
      </w:r>
      <w:r w:rsidR="009C38C1" w:rsidRPr="00056F24">
        <w:rPr>
          <w:szCs w:val="23"/>
        </w:rPr>
        <w:t xml:space="preserve">focus on participation by Indigenous, vulnerable and disadvantaged children, regardless of the setting in which </w:t>
      </w:r>
      <w:r w:rsidR="007B4BA6" w:rsidRPr="00056F24">
        <w:rPr>
          <w:szCs w:val="23"/>
        </w:rPr>
        <w:t>program</w:t>
      </w:r>
      <w:r w:rsidR="009C38C1" w:rsidRPr="00056F24">
        <w:rPr>
          <w:szCs w:val="23"/>
        </w:rPr>
        <w:t>s are delivered</w:t>
      </w:r>
      <w:r w:rsidR="00924EF4" w:rsidRPr="00056F24">
        <w:rPr>
          <w:szCs w:val="23"/>
        </w:rPr>
        <w:t>.</w:t>
      </w:r>
    </w:p>
    <w:p w:rsidR="00E652EB" w:rsidRPr="00056F24" w:rsidRDefault="00E652EB" w:rsidP="00E652EB">
      <w:pPr>
        <w:pStyle w:val="Normalnumbered"/>
        <w:keepNext/>
        <w:keepLines/>
        <w:spacing w:after="240"/>
        <w:rPr>
          <w:rFonts w:eastAsia="Calibri"/>
          <w:color w:val="000000"/>
          <w:szCs w:val="23"/>
        </w:rPr>
      </w:pPr>
      <w:r w:rsidRPr="00056F24">
        <w:rPr>
          <w:rFonts w:eastAsia="Calibri"/>
          <w:color w:val="000000"/>
          <w:szCs w:val="23"/>
        </w:rPr>
        <w:t>Children living in remote Indigenous communities remain a focus for universal access.</w:t>
      </w:r>
    </w:p>
    <w:p w:rsidR="003E230C" w:rsidRPr="00056F24" w:rsidRDefault="003E230C" w:rsidP="00A17D70">
      <w:pPr>
        <w:pStyle w:val="Heading1"/>
      </w:pPr>
      <w:r w:rsidRPr="00056F24">
        <w:t xml:space="preserve">Part 2: Terms of this </w:t>
      </w:r>
      <w:r w:rsidR="00E47C62" w:rsidRPr="00056F24">
        <w:t>Implementation Plan</w:t>
      </w:r>
    </w:p>
    <w:p w:rsidR="003E230C" w:rsidRPr="00056F24" w:rsidRDefault="003E230C" w:rsidP="003E230C"/>
    <w:p w:rsidR="0036688B" w:rsidRPr="00056F24" w:rsidRDefault="0036688B" w:rsidP="0036688B">
      <w:pPr>
        <w:pStyle w:val="Normalnumbered"/>
        <w:spacing w:after="240" w:line="260" w:lineRule="exact"/>
        <w:rPr>
          <w:szCs w:val="23"/>
        </w:rPr>
      </w:pPr>
      <w:r w:rsidRPr="00056F24">
        <w:rPr>
          <w:szCs w:val="23"/>
        </w:rPr>
        <w:t xml:space="preserve">This </w:t>
      </w:r>
      <w:r w:rsidR="00E47C62" w:rsidRPr="00056F24">
        <w:rPr>
          <w:szCs w:val="23"/>
        </w:rPr>
        <w:t>Implementation Plan</w:t>
      </w:r>
      <w:r w:rsidRPr="00056F24">
        <w:rPr>
          <w:szCs w:val="23"/>
        </w:rPr>
        <w:t xml:space="preserve"> will commence as soon as it is agreed between the Commonwealth of Australia, represented by the Minister for </w:t>
      </w:r>
      <w:r w:rsidR="0093776A" w:rsidRPr="00056F24">
        <w:rPr>
          <w:szCs w:val="23"/>
        </w:rPr>
        <w:t>Education</w:t>
      </w:r>
      <w:r w:rsidRPr="00056F24">
        <w:rPr>
          <w:szCs w:val="23"/>
        </w:rPr>
        <w:t xml:space="preserve">, and the </w:t>
      </w:r>
      <w:r w:rsidR="009A3E60" w:rsidRPr="00056F24">
        <w:rPr>
          <w:szCs w:val="23"/>
        </w:rPr>
        <w:t>s</w:t>
      </w:r>
      <w:r w:rsidR="007B7FDC" w:rsidRPr="00056F24">
        <w:rPr>
          <w:szCs w:val="23"/>
        </w:rPr>
        <w:t xml:space="preserve">tate </w:t>
      </w:r>
      <w:r w:rsidRPr="00056F24">
        <w:rPr>
          <w:szCs w:val="23"/>
        </w:rPr>
        <w:t xml:space="preserve">of </w:t>
      </w:r>
      <w:r w:rsidR="00197FAA" w:rsidRPr="00056F24">
        <w:rPr>
          <w:szCs w:val="23"/>
        </w:rPr>
        <w:t>Queensland</w:t>
      </w:r>
      <w:r w:rsidRPr="00056F24">
        <w:rPr>
          <w:szCs w:val="23"/>
        </w:rPr>
        <w:t>, represented by the Minister</w:t>
      </w:r>
      <w:r w:rsidR="0093776A" w:rsidRPr="00056F24">
        <w:rPr>
          <w:szCs w:val="23"/>
        </w:rPr>
        <w:t> </w:t>
      </w:r>
      <w:r w:rsidRPr="00056F24">
        <w:rPr>
          <w:szCs w:val="23"/>
        </w:rPr>
        <w:t>for</w:t>
      </w:r>
      <w:r w:rsidR="005F5787" w:rsidRPr="00056F24">
        <w:rPr>
          <w:szCs w:val="23"/>
        </w:rPr>
        <w:t xml:space="preserve"> </w:t>
      </w:r>
      <w:r w:rsidR="00197FAA" w:rsidRPr="00056F24">
        <w:rPr>
          <w:szCs w:val="23"/>
        </w:rPr>
        <w:t>Education</w:t>
      </w:r>
      <w:r w:rsidRPr="00056F24">
        <w:rPr>
          <w:szCs w:val="23"/>
        </w:rPr>
        <w:t>.</w:t>
      </w:r>
    </w:p>
    <w:p w:rsidR="00CE7BA3" w:rsidRPr="00056F24" w:rsidRDefault="0036688B" w:rsidP="007A1B28">
      <w:pPr>
        <w:pStyle w:val="Normalnumbered"/>
        <w:spacing w:after="240"/>
      </w:pPr>
      <w:r w:rsidRPr="00056F24">
        <w:t xml:space="preserve">As a schedule to the National Partnership, the purpose of this </w:t>
      </w:r>
      <w:r w:rsidR="00E47C62" w:rsidRPr="00056F24">
        <w:t>Implementation Plan</w:t>
      </w:r>
      <w:r w:rsidRPr="00056F24">
        <w:t xml:space="preserve"> is to provide the public with </w:t>
      </w:r>
      <w:r w:rsidR="007B7FDC" w:rsidRPr="00056F24">
        <w:t>an indication of</w:t>
      </w:r>
      <w:r w:rsidRPr="00056F24">
        <w:t xml:space="preserve"> how </w:t>
      </w:r>
      <w:r w:rsidR="007A1B28" w:rsidRPr="00056F24">
        <w:t>universal access</w:t>
      </w:r>
      <w:r w:rsidRPr="00056F24">
        <w:t xml:space="preserve"> </w:t>
      </w:r>
      <w:r w:rsidR="00903874" w:rsidRPr="00056F24">
        <w:t>is intended to be</w:t>
      </w:r>
      <w:r w:rsidRPr="00056F24">
        <w:t xml:space="preserve"> delivered</w:t>
      </w:r>
      <w:r w:rsidR="007B7FDC" w:rsidRPr="00056F24">
        <w:t xml:space="preserve"> and</w:t>
      </w:r>
      <w:r w:rsidR="00AD113C" w:rsidRPr="00056F24">
        <w:t xml:space="preserve"> to</w:t>
      </w:r>
      <w:r w:rsidR="007B7FDC" w:rsidRPr="00056F24">
        <w:t xml:space="preserve"> demonstrate </w:t>
      </w:r>
      <w:r w:rsidR="005962E6" w:rsidRPr="00056F24">
        <w:t>Queensland</w:t>
      </w:r>
      <w:r w:rsidR="007B7FDC" w:rsidRPr="00056F24">
        <w:t xml:space="preserve">’s capacity to achieve the outcomes of the </w:t>
      </w:r>
      <w:r w:rsidR="002E328E" w:rsidRPr="00056F24">
        <w:t>National Partnership</w:t>
      </w:r>
      <w:r w:rsidRPr="00056F24">
        <w:t>.</w:t>
      </w:r>
    </w:p>
    <w:p w:rsidR="0036688B" w:rsidRPr="00056F24" w:rsidRDefault="0036688B" w:rsidP="0036688B">
      <w:pPr>
        <w:pStyle w:val="Normalnumbered"/>
        <w:spacing w:after="240" w:line="260" w:lineRule="exact"/>
        <w:rPr>
          <w:szCs w:val="23"/>
        </w:rPr>
      </w:pPr>
      <w:r w:rsidRPr="00056F24">
        <w:rPr>
          <w:szCs w:val="23"/>
        </w:rPr>
        <w:t xml:space="preserve">This </w:t>
      </w:r>
      <w:r w:rsidR="00E47C62" w:rsidRPr="00056F24">
        <w:rPr>
          <w:szCs w:val="23"/>
        </w:rPr>
        <w:t>Implementation Plan</w:t>
      </w:r>
      <w:r w:rsidRPr="00056F24">
        <w:rPr>
          <w:szCs w:val="23"/>
        </w:rPr>
        <w:t xml:space="preserve"> will cease on completion</w:t>
      </w:r>
      <w:r w:rsidR="00AD113C" w:rsidRPr="00056F24">
        <w:rPr>
          <w:szCs w:val="23"/>
        </w:rPr>
        <w:t>,</w:t>
      </w:r>
      <w:r w:rsidRPr="00056F24">
        <w:rPr>
          <w:szCs w:val="23"/>
        </w:rPr>
        <w:t xml:space="preserve"> </w:t>
      </w:r>
      <w:r w:rsidR="00F9039F" w:rsidRPr="00056F24">
        <w:rPr>
          <w:szCs w:val="23"/>
        </w:rPr>
        <w:t xml:space="preserve">or termination </w:t>
      </w:r>
      <w:r w:rsidRPr="00056F24">
        <w:rPr>
          <w:szCs w:val="23"/>
        </w:rPr>
        <w:t>of</w:t>
      </w:r>
      <w:r w:rsidR="00AD113C" w:rsidRPr="00056F24">
        <w:rPr>
          <w:szCs w:val="23"/>
        </w:rPr>
        <w:t>,</w:t>
      </w:r>
      <w:r w:rsidRPr="00056F24">
        <w:rPr>
          <w:szCs w:val="23"/>
        </w:rPr>
        <w:t xml:space="preserve"> </w:t>
      </w:r>
      <w:r w:rsidR="00AC5296" w:rsidRPr="00056F24">
        <w:rPr>
          <w:szCs w:val="23"/>
        </w:rPr>
        <w:t>the National</w:t>
      </w:r>
      <w:r w:rsidR="00305B5A" w:rsidRPr="00056F24">
        <w:rPr>
          <w:szCs w:val="23"/>
        </w:rPr>
        <w:t> </w:t>
      </w:r>
      <w:r w:rsidR="00AC5296" w:rsidRPr="00056F24">
        <w:rPr>
          <w:szCs w:val="23"/>
        </w:rPr>
        <w:t>Partnership</w:t>
      </w:r>
      <w:r w:rsidR="00BC5FA5" w:rsidRPr="00056F24">
        <w:rPr>
          <w:szCs w:val="23"/>
        </w:rPr>
        <w:t>, including final performance reporting and processing of final payments against performance benchmarks or milestones.</w:t>
      </w:r>
    </w:p>
    <w:p w:rsidR="0036688B" w:rsidRPr="00056F24" w:rsidRDefault="0036688B" w:rsidP="0036688B">
      <w:pPr>
        <w:pStyle w:val="Normalnumbered"/>
        <w:spacing w:after="240" w:line="260" w:lineRule="exact"/>
        <w:rPr>
          <w:szCs w:val="23"/>
        </w:rPr>
      </w:pPr>
      <w:r w:rsidRPr="00056F24">
        <w:rPr>
          <w:szCs w:val="23"/>
        </w:rPr>
        <w:t xml:space="preserve">This </w:t>
      </w:r>
      <w:r w:rsidR="00E47C62" w:rsidRPr="00056F24">
        <w:rPr>
          <w:szCs w:val="23"/>
        </w:rPr>
        <w:t>Implementation Plan</w:t>
      </w:r>
      <w:r w:rsidRPr="00056F24">
        <w:rPr>
          <w:szCs w:val="23"/>
        </w:rPr>
        <w:t xml:space="preserve"> may be varied by written agreement between the </w:t>
      </w:r>
      <w:r w:rsidR="00D3241C" w:rsidRPr="00056F24">
        <w:rPr>
          <w:szCs w:val="23"/>
        </w:rPr>
        <w:t xml:space="preserve">Commonwealth and </w:t>
      </w:r>
      <w:r w:rsidR="00AD113C" w:rsidRPr="00056F24">
        <w:rPr>
          <w:szCs w:val="23"/>
        </w:rPr>
        <w:t xml:space="preserve">the </w:t>
      </w:r>
      <w:r w:rsidR="00D3241C" w:rsidRPr="00056F24">
        <w:rPr>
          <w:szCs w:val="23"/>
        </w:rPr>
        <w:t xml:space="preserve">State </w:t>
      </w:r>
      <w:r w:rsidRPr="00056F24">
        <w:rPr>
          <w:szCs w:val="23"/>
        </w:rPr>
        <w:t>Minister</w:t>
      </w:r>
      <w:r w:rsidR="00D3241C" w:rsidRPr="00056F24">
        <w:rPr>
          <w:szCs w:val="23"/>
        </w:rPr>
        <w:t xml:space="preserve"> responsible for it under the overarching National</w:t>
      </w:r>
      <w:r w:rsidR="007A1B28" w:rsidRPr="00056F24">
        <w:t> </w:t>
      </w:r>
      <w:r w:rsidR="00D3241C" w:rsidRPr="00056F24">
        <w:rPr>
          <w:szCs w:val="23"/>
        </w:rPr>
        <w:t>Partnership</w:t>
      </w:r>
      <w:r w:rsidRPr="00056F24">
        <w:rPr>
          <w:szCs w:val="23"/>
        </w:rPr>
        <w:t>.</w:t>
      </w:r>
    </w:p>
    <w:p w:rsidR="0036688B" w:rsidRPr="00056F24" w:rsidRDefault="0036688B" w:rsidP="0036688B">
      <w:pPr>
        <w:pStyle w:val="Normalnumbered"/>
        <w:spacing w:after="240" w:line="260" w:lineRule="exact"/>
        <w:rPr>
          <w:szCs w:val="23"/>
        </w:rPr>
      </w:pPr>
      <w:r w:rsidRPr="00056F24">
        <w:rPr>
          <w:szCs w:val="23"/>
        </w:rPr>
        <w:t xml:space="preserve">The Parties to this </w:t>
      </w:r>
      <w:r w:rsidR="00E47C62" w:rsidRPr="00056F24">
        <w:rPr>
          <w:szCs w:val="23"/>
        </w:rPr>
        <w:t>Implementation Plan</w:t>
      </w:r>
      <w:r w:rsidRPr="00056F24">
        <w:rPr>
          <w:szCs w:val="23"/>
        </w:rPr>
        <w:t xml:space="preserve"> do not intend any of the provisions to be legally enforceable. However, that does not lessen the Parties’ commitment to </w:t>
      </w:r>
      <w:r w:rsidR="00CD5739" w:rsidRPr="00056F24">
        <w:rPr>
          <w:szCs w:val="23"/>
        </w:rPr>
        <w:t xml:space="preserve">the plan and its full </w:t>
      </w:r>
      <w:r w:rsidRPr="00056F24">
        <w:rPr>
          <w:szCs w:val="23"/>
        </w:rPr>
        <w:t>implementation.</w:t>
      </w:r>
    </w:p>
    <w:p w:rsidR="0036688B" w:rsidRPr="00056F24" w:rsidRDefault="0036688B" w:rsidP="00A17D70">
      <w:pPr>
        <w:pStyle w:val="Heading1"/>
      </w:pPr>
      <w:r w:rsidRPr="00056F24">
        <w:lastRenderedPageBreak/>
        <w:t xml:space="preserve">Part </w:t>
      </w:r>
      <w:r w:rsidR="00C26A29" w:rsidRPr="00056F24">
        <w:t>3</w:t>
      </w:r>
      <w:r w:rsidRPr="00056F24">
        <w:t>: Strategy for</w:t>
      </w:r>
      <w:r w:rsidR="005962E6" w:rsidRPr="00056F24">
        <w:t xml:space="preserve"> Queensland</w:t>
      </w:r>
      <w:r w:rsidRPr="00056F24">
        <w:t xml:space="preserve"> implementation</w:t>
      </w:r>
    </w:p>
    <w:p w:rsidR="00354A85" w:rsidRPr="00056F24" w:rsidRDefault="00354A85" w:rsidP="00354A85"/>
    <w:p w:rsidR="0036688B" w:rsidRPr="00056F24" w:rsidRDefault="0036688B" w:rsidP="00354A85">
      <w:pPr>
        <w:pStyle w:val="Heading2"/>
        <w:spacing w:before="0"/>
      </w:pPr>
      <w:r w:rsidRPr="00056F24">
        <w:t>Project information</w:t>
      </w:r>
    </w:p>
    <w:p w:rsidR="001A4374" w:rsidRPr="00056F24" w:rsidRDefault="001A4374" w:rsidP="001A4374">
      <w:pPr>
        <w:pStyle w:val="Normalnumbered"/>
        <w:spacing w:after="240" w:line="260" w:lineRule="exact"/>
      </w:pPr>
      <w:r w:rsidRPr="00056F24">
        <w:t xml:space="preserve">The National Partnership reaffirms the commitment to provide universal access to, and improved participation by, children in quality early childhood education </w:t>
      </w:r>
      <w:r w:rsidR="007B4BA6" w:rsidRPr="00056F24">
        <w:t>program</w:t>
      </w:r>
      <w:r w:rsidRPr="00056F24">
        <w:t xml:space="preserve">s in the year before full-time school, with a focus on </w:t>
      </w:r>
      <w:r w:rsidR="00DF2E47" w:rsidRPr="00056F24">
        <w:t xml:space="preserve">Indigenous and </w:t>
      </w:r>
      <w:r w:rsidRPr="00056F24">
        <w:t xml:space="preserve">vulnerable and disadvantaged children and in a manner that meets the needs of children, parents and communities </w:t>
      </w:r>
      <w:r w:rsidR="00DF2E47" w:rsidRPr="00056F24">
        <w:t xml:space="preserve">at a cost which does not present a </w:t>
      </w:r>
      <w:r w:rsidRPr="00056F24">
        <w:t>barrier to participation.</w:t>
      </w:r>
    </w:p>
    <w:p w:rsidR="00197FAA" w:rsidRPr="00056F24" w:rsidRDefault="00197FAA" w:rsidP="00197FAA">
      <w:pPr>
        <w:pStyle w:val="Normalnumbered"/>
        <w:spacing w:before="120" w:after="240" w:line="260" w:lineRule="exact"/>
        <w:rPr>
          <w:lang w:val="en-GB"/>
        </w:rPr>
      </w:pPr>
      <w:r w:rsidRPr="00056F24">
        <w:rPr>
          <w:lang w:val="en-GB"/>
        </w:rPr>
        <w:t>Queensland’s strategy under the National Partnership is to continue the successful formulae employed under preceding agreements that have delivered significant increases in access and participation</w:t>
      </w:r>
      <w:r w:rsidR="00743900" w:rsidRPr="00056F24">
        <w:rPr>
          <w:lang w:val="en-GB"/>
        </w:rPr>
        <w:t xml:space="preserve"> in kindergarten</w:t>
      </w:r>
      <w:r w:rsidR="00743900" w:rsidRPr="00056F24">
        <w:rPr>
          <w:rStyle w:val="FootnoteReference"/>
          <w:lang w:val="en-GB"/>
        </w:rPr>
        <w:footnoteReference w:id="2"/>
      </w:r>
      <w:r w:rsidR="00743900" w:rsidRPr="00056F24">
        <w:rPr>
          <w:lang w:val="en-GB"/>
        </w:rPr>
        <w:t>,</w:t>
      </w:r>
      <w:r w:rsidRPr="00056F24">
        <w:rPr>
          <w:lang w:val="en-GB"/>
        </w:rPr>
        <w:t xml:space="preserve"> and to continue to focus efforts to improve participation by Indigenous and vulnerable and disadvantaged children.</w:t>
      </w:r>
    </w:p>
    <w:p w:rsidR="00197FAA" w:rsidRPr="00056F24" w:rsidRDefault="00197FAA" w:rsidP="00197FAA">
      <w:pPr>
        <w:pStyle w:val="Normalnumbered"/>
        <w:spacing w:before="120" w:after="240" w:line="260" w:lineRule="exact"/>
        <w:rPr>
          <w:lang w:val="en-GB"/>
        </w:rPr>
      </w:pPr>
      <w:r w:rsidRPr="00056F24">
        <w:rPr>
          <w:lang w:val="en-GB"/>
        </w:rPr>
        <w:t>Queensland’s implementation approach for 20</w:t>
      </w:r>
      <w:r w:rsidR="00D15EE5">
        <w:rPr>
          <w:lang w:val="en-GB"/>
        </w:rPr>
        <w:t>20</w:t>
      </w:r>
      <w:r w:rsidRPr="00056F24">
        <w:rPr>
          <w:lang w:val="en-GB"/>
        </w:rPr>
        <w:t xml:space="preserve"> will particularly focus on supporting every Indigenous and vulnerable and disadvantaged child to participate in kindergarten through a range of strategies and initiatives across the domains of equity, affordability, continuity, accessibility and quality. </w:t>
      </w:r>
    </w:p>
    <w:p w:rsidR="00197FAA" w:rsidRPr="00056F24" w:rsidRDefault="00197FAA" w:rsidP="005962E6">
      <w:pPr>
        <w:pStyle w:val="Normalnumbered"/>
        <w:spacing w:before="120" w:after="240" w:line="260" w:lineRule="exact"/>
        <w:rPr>
          <w:lang w:val="en-GB"/>
        </w:rPr>
      </w:pPr>
      <w:r w:rsidRPr="00056F24">
        <w:rPr>
          <w:lang w:val="en-GB"/>
        </w:rPr>
        <w:t>For the purposes of reporting, Queensland will continue to use the Socio-Economic Indexes for Areas (SEIFA) measure (in particular the bottom quintile of statistical local areas) as a proxy measure of vulnerable and disadvantaged children. This will be supplemented by program level information, for example, provision of subsidies to low income families in more socio-economically advantaged areas (see Part 4 for further information on supplementary data).</w:t>
      </w:r>
    </w:p>
    <w:p w:rsidR="0036688B" w:rsidRPr="00056F24" w:rsidRDefault="0036688B" w:rsidP="00C44D75">
      <w:pPr>
        <w:pStyle w:val="Normalnumbered"/>
      </w:pPr>
      <w:r w:rsidRPr="00056F24">
        <w:t>The project</w:t>
      </w:r>
      <w:r w:rsidR="00432B5D" w:rsidRPr="00056F24">
        <w:t xml:space="preserve"> element</w:t>
      </w:r>
      <w:r w:rsidRPr="00056F24">
        <w:t xml:space="preserve">s planned are </w:t>
      </w:r>
      <w:r w:rsidR="00197FAA" w:rsidRPr="00056F24">
        <w:t xml:space="preserve">detailed </w:t>
      </w:r>
      <w:r w:rsidR="00E142EE" w:rsidRPr="00056F24">
        <w:t>in Table 1</w:t>
      </w:r>
      <w:r w:rsidR="00197FAA" w:rsidRPr="00056F24">
        <w:t xml:space="preserve"> Project elements.</w:t>
      </w:r>
    </w:p>
    <w:p w:rsidR="00D03F9B" w:rsidRPr="00056F24" w:rsidRDefault="00D03F9B" w:rsidP="00D03F9B">
      <w:pPr>
        <w:pStyle w:val="Normalnumbered"/>
        <w:numPr>
          <w:ilvl w:val="0"/>
          <w:numId w:val="0"/>
        </w:numPr>
      </w:pPr>
    </w:p>
    <w:p w:rsidR="00105D35" w:rsidRPr="00056F24" w:rsidRDefault="00105D35" w:rsidP="00435B33">
      <w:pPr>
        <w:pStyle w:val="Heading3"/>
        <w:keepLines/>
        <w:spacing w:after="120"/>
      </w:pPr>
    </w:p>
    <w:p w:rsidR="008A1662" w:rsidRPr="00056F24" w:rsidRDefault="008A1662" w:rsidP="008A1662"/>
    <w:p w:rsidR="008A1662" w:rsidRPr="00056F24" w:rsidRDefault="008A1662" w:rsidP="008A1662"/>
    <w:p w:rsidR="008A1662" w:rsidRPr="00056F24" w:rsidRDefault="008A1662" w:rsidP="008A1662"/>
    <w:p w:rsidR="008A1662" w:rsidRPr="00056F24" w:rsidRDefault="008A1662" w:rsidP="008A1662"/>
    <w:p w:rsidR="008A1662" w:rsidRPr="00056F24" w:rsidRDefault="008A1662" w:rsidP="008A1662"/>
    <w:p w:rsidR="008A1662" w:rsidRPr="00056F24" w:rsidRDefault="008A1662" w:rsidP="008A1662"/>
    <w:p w:rsidR="008A1662" w:rsidRPr="00056F24" w:rsidRDefault="008A1662" w:rsidP="008A1662"/>
    <w:p w:rsidR="008A1662" w:rsidRPr="00056F24" w:rsidRDefault="008A1662" w:rsidP="008A1662">
      <w:pPr>
        <w:sectPr w:rsidR="008A1662" w:rsidRPr="00056F24" w:rsidSect="00FB7D31">
          <w:headerReference w:type="default" r:id="rId14"/>
          <w:footerReference w:type="default" r:id="rId15"/>
          <w:pgSz w:w="11906" w:h="16838" w:code="9"/>
          <w:pgMar w:top="851" w:right="1418" w:bottom="1021" w:left="1418" w:header="567" w:footer="567" w:gutter="0"/>
          <w:cols w:space="708"/>
          <w:docGrid w:linePitch="360"/>
        </w:sectPr>
      </w:pPr>
    </w:p>
    <w:tbl>
      <w:tblPr>
        <w:tblpPr w:leftFromText="180" w:rightFromText="180" w:vertAnchor="page" w:horzAnchor="margin" w:tblpY="1126"/>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537"/>
        <w:gridCol w:w="8662"/>
        <w:gridCol w:w="1259"/>
        <w:gridCol w:w="1259"/>
        <w:gridCol w:w="1393"/>
      </w:tblGrid>
      <w:tr w:rsidR="00FD0114" w:rsidRPr="00056F24" w:rsidTr="00B26FD1">
        <w:trPr>
          <w:trHeight w:val="20"/>
        </w:trPr>
        <w:tc>
          <w:tcPr>
            <w:tcW w:w="5000" w:type="pct"/>
            <w:gridSpan w:val="6"/>
            <w:tcBorders>
              <w:top w:val="nil"/>
              <w:left w:val="nil"/>
              <w:bottom w:val="single" w:sz="4" w:space="0" w:color="auto"/>
              <w:right w:val="nil"/>
            </w:tcBorders>
            <w:shd w:val="clear" w:color="auto" w:fill="FFFFFF" w:themeFill="background1"/>
          </w:tcPr>
          <w:p w:rsidR="00FD0114" w:rsidRPr="00056F24" w:rsidRDefault="00677B65" w:rsidP="00B26FD1">
            <w:pPr>
              <w:keepNext/>
              <w:keepLines/>
              <w:spacing w:after="120"/>
            </w:pPr>
            <w:r w:rsidRPr="00056F24">
              <w:rPr>
                <w:rFonts w:ascii="Consolas" w:hAnsi="Consolas"/>
                <w:b/>
              </w:rPr>
              <w:lastRenderedPageBreak/>
              <w:t>Table 1</w:t>
            </w:r>
            <w:r w:rsidR="00FD0114" w:rsidRPr="00056F24">
              <w:rPr>
                <w:rFonts w:ascii="Consolas" w:hAnsi="Consolas"/>
                <w:b/>
              </w:rPr>
              <w:t>: Project elements</w:t>
            </w:r>
          </w:p>
        </w:tc>
      </w:tr>
      <w:tr w:rsidR="0082131E" w:rsidRPr="00056F24" w:rsidTr="00FD0114">
        <w:trPr>
          <w:trHeight w:val="20"/>
        </w:trPr>
        <w:tc>
          <w:tcPr>
            <w:tcW w:w="180" w:type="pct"/>
            <w:tcBorders>
              <w:top w:val="single" w:sz="4" w:space="0" w:color="auto"/>
            </w:tcBorders>
            <w:shd w:val="clear" w:color="auto" w:fill="E6E6E6"/>
          </w:tcPr>
          <w:p w:rsidR="00432B5D" w:rsidRPr="00056F24" w:rsidRDefault="00B85AE7">
            <w:pPr>
              <w:keepNext/>
              <w:keepLines/>
              <w:rPr>
                <w:b/>
              </w:rPr>
            </w:pPr>
            <w:r w:rsidRPr="00056F24">
              <w:rPr>
                <w:b/>
              </w:rPr>
              <w:t>No</w:t>
            </w:r>
          </w:p>
        </w:tc>
        <w:tc>
          <w:tcPr>
            <w:tcW w:w="525" w:type="pct"/>
            <w:tcBorders>
              <w:top w:val="single" w:sz="4" w:space="0" w:color="auto"/>
            </w:tcBorders>
            <w:shd w:val="clear" w:color="auto" w:fill="E6E6E6"/>
          </w:tcPr>
          <w:p w:rsidR="00432B5D" w:rsidRPr="00056F24" w:rsidRDefault="00432B5D">
            <w:pPr>
              <w:keepNext/>
              <w:keepLines/>
              <w:rPr>
                <w:b/>
              </w:rPr>
            </w:pPr>
            <w:r w:rsidRPr="00056F24">
              <w:rPr>
                <w:b/>
              </w:rPr>
              <w:t>Title</w:t>
            </w:r>
          </w:p>
        </w:tc>
        <w:tc>
          <w:tcPr>
            <w:tcW w:w="2959" w:type="pct"/>
            <w:tcBorders>
              <w:top w:val="single" w:sz="4" w:space="0" w:color="auto"/>
            </w:tcBorders>
            <w:shd w:val="clear" w:color="auto" w:fill="E6E6E6"/>
          </w:tcPr>
          <w:p w:rsidR="00432B5D" w:rsidRPr="00056F24" w:rsidRDefault="00432B5D">
            <w:pPr>
              <w:keepNext/>
              <w:keepLines/>
              <w:rPr>
                <w:b/>
              </w:rPr>
            </w:pPr>
            <w:r w:rsidRPr="00056F24">
              <w:rPr>
                <w:b/>
              </w:rPr>
              <w:t>Short description</w:t>
            </w:r>
          </w:p>
        </w:tc>
        <w:tc>
          <w:tcPr>
            <w:tcW w:w="430" w:type="pct"/>
            <w:tcBorders>
              <w:top w:val="single" w:sz="4" w:space="0" w:color="auto"/>
            </w:tcBorders>
            <w:shd w:val="clear" w:color="auto" w:fill="E6E6E6"/>
          </w:tcPr>
          <w:p w:rsidR="00432B5D" w:rsidRPr="00056F24" w:rsidRDefault="00432B5D">
            <w:pPr>
              <w:keepNext/>
              <w:keepLines/>
              <w:rPr>
                <w:b/>
              </w:rPr>
            </w:pPr>
            <w:r w:rsidRPr="00056F24">
              <w:rPr>
                <w:b/>
              </w:rPr>
              <w:t>Planned start date</w:t>
            </w:r>
          </w:p>
        </w:tc>
        <w:tc>
          <w:tcPr>
            <w:tcW w:w="430" w:type="pct"/>
            <w:tcBorders>
              <w:top w:val="single" w:sz="4" w:space="0" w:color="auto"/>
            </w:tcBorders>
            <w:shd w:val="clear" w:color="auto" w:fill="E6E6E6"/>
          </w:tcPr>
          <w:p w:rsidR="00432B5D" w:rsidRPr="00056F24" w:rsidRDefault="00432B5D">
            <w:pPr>
              <w:keepNext/>
              <w:keepLines/>
              <w:rPr>
                <w:b/>
              </w:rPr>
            </w:pPr>
            <w:r w:rsidRPr="00056F24">
              <w:rPr>
                <w:b/>
              </w:rPr>
              <w:t>Planned end date</w:t>
            </w:r>
          </w:p>
        </w:tc>
        <w:tc>
          <w:tcPr>
            <w:tcW w:w="476" w:type="pct"/>
            <w:tcBorders>
              <w:top w:val="single" w:sz="4" w:space="0" w:color="auto"/>
            </w:tcBorders>
            <w:shd w:val="clear" w:color="auto" w:fill="E6E6E6"/>
          </w:tcPr>
          <w:p w:rsidR="00432B5D" w:rsidRPr="00056F24" w:rsidRDefault="00432B5D">
            <w:pPr>
              <w:keepNext/>
              <w:keepLines/>
              <w:rPr>
                <w:b/>
              </w:rPr>
            </w:pPr>
            <w:r w:rsidRPr="00056F24">
              <w:rPr>
                <w:b/>
                <w:bCs/>
                <w:spacing w:val="4"/>
                <w:lang w:eastAsia="en-US"/>
              </w:rPr>
              <w:t>Dependent on projects</w:t>
            </w:r>
          </w:p>
        </w:tc>
      </w:tr>
      <w:tr w:rsidR="00105D35" w:rsidRPr="00056F24" w:rsidTr="00B26FD1">
        <w:trPr>
          <w:trHeight w:val="20"/>
        </w:trPr>
        <w:tc>
          <w:tcPr>
            <w:tcW w:w="180" w:type="pct"/>
          </w:tcPr>
          <w:p w:rsidR="00105D35" w:rsidRPr="00056F24" w:rsidRDefault="00105D35">
            <w:pPr>
              <w:keepNext/>
              <w:keepLines/>
            </w:pPr>
            <w:r w:rsidRPr="00056F24">
              <w:t>1</w:t>
            </w:r>
          </w:p>
        </w:tc>
        <w:tc>
          <w:tcPr>
            <w:tcW w:w="525" w:type="pct"/>
          </w:tcPr>
          <w:p w:rsidR="00105D35" w:rsidRPr="00056F24" w:rsidRDefault="00105D35">
            <w:pPr>
              <w:keepNext/>
              <w:keepLines/>
            </w:pPr>
            <w:r w:rsidRPr="00056F24">
              <w:t xml:space="preserve">Access and Affordability </w:t>
            </w:r>
          </w:p>
        </w:tc>
        <w:tc>
          <w:tcPr>
            <w:tcW w:w="2959" w:type="pct"/>
          </w:tcPr>
          <w:p w:rsidR="00105D35" w:rsidRPr="00056F24" w:rsidRDefault="00105D35">
            <w:pPr>
              <w:widowControl w:val="0"/>
              <w:rPr>
                <w:sz w:val="22"/>
                <w:szCs w:val="22"/>
              </w:rPr>
            </w:pPr>
            <w:r w:rsidRPr="00056F24">
              <w:rPr>
                <w:sz w:val="22"/>
                <w:szCs w:val="22"/>
                <w:lang w:val="en-GB"/>
              </w:rPr>
              <w:t>This element will maximise kindergarten participation by meeting current and emerging demands. Key elements:</w:t>
            </w:r>
          </w:p>
          <w:p w:rsidR="00105D35" w:rsidRPr="00056F24" w:rsidRDefault="00105D35">
            <w:pPr>
              <w:widowControl w:val="0"/>
              <w:numPr>
                <w:ilvl w:val="0"/>
                <w:numId w:val="23"/>
              </w:numPr>
              <w:rPr>
                <w:sz w:val="22"/>
                <w:szCs w:val="22"/>
                <w:lang w:val="en-GB"/>
              </w:rPr>
            </w:pPr>
            <w:r w:rsidRPr="00056F24">
              <w:rPr>
                <w:sz w:val="22"/>
                <w:szCs w:val="22"/>
                <w:lang w:val="en-GB"/>
              </w:rPr>
              <w:t xml:space="preserve">provide subsidies for approved kindergarten programs across a range of settings through the Queensland Kindergarten Funding Scheme (QKFS), which in response to demand, allows for an increase in the number of approved kindergarten program places </w:t>
            </w:r>
          </w:p>
          <w:p w:rsidR="00105D35" w:rsidRPr="00056F24" w:rsidRDefault="00105D35">
            <w:pPr>
              <w:widowControl w:val="0"/>
              <w:numPr>
                <w:ilvl w:val="0"/>
                <w:numId w:val="23"/>
              </w:numPr>
              <w:rPr>
                <w:sz w:val="22"/>
                <w:szCs w:val="22"/>
                <w:lang w:val="en-GB"/>
              </w:rPr>
            </w:pPr>
            <w:r w:rsidRPr="00056F24">
              <w:rPr>
                <w:sz w:val="22"/>
                <w:szCs w:val="22"/>
                <w:lang w:val="en-GB"/>
              </w:rPr>
              <w:t>fund Kindergarten Central Governing Bodies to support eligible standalone and volunteer-managed kindergarten services</w:t>
            </w:r>
          </w:p>
          <w:p w:rsidR="00832FC4" w:rsidRDefault="00105D35" w:rsidP="00832FC4">
            <w:pPr>
              <w:widowControl w:val="0"/>
              <w:numPr>
                <w:ilvl w:val="0"/>
                <w:numId w:val="23"/>
              </w:numPr>
              <w:rPr>
                <w:sz w:val="22"/>
                <w:szCs w:val="22"/>
                <w:lang w:val="en-GB"/>
              </w:rPr>
            </w:pPr>
            <w:r w:rsidRPr="00056F24">
              <w:rPr>
                <w:sz w:val="22"/>
                <w:szCs w:val="22"/>
                <w:lang w:val="en-GB"/>
              </w:rPr>
              <w:t>incorporate state-wide marketing and communications strategies, including a new phase of The Early Years Counts campaign, to promote the value of early childhood education, playgroup, kindergarten programs, careers in teaching and drive demand for kindergarten participation</w:t>
            </w:r>
          </w:p>
          <w:p w:rsidR="00832FC4" w:rsidRPr="008219D6" w:rsidRDefault="00832FC4" w:rsidP="00832FC4">
            <w:pPr>
              <w:widowControl w:val="0"/>
              <w:numPr>
                <w:ilvl w:val="0"/>
                <w:numId w:val="23"/>
              </w:numPr>
              <w:rPr>
                <w:sz w:val="22"/>
                <w:szCs w:val="22"/>
                <w:lang w:val="en-GB"/>
              </w:rPr>
            </w:pPr>
            <w:r w:rsidRPr="00056F24">
              <w:rPr>
                <w:sz w:val="22"/>
                <w:szCs w:val="22"/>
                <w:lang w:val="en-GB"/>
              </w:rPr>
              <w:t>continue the social marketing campaign with Elders as Storytellers (Big Learning Life)</w:t>
            </w:r>
            <w:r>
              <w:rPr>
                <w:sz w:val="22"/>
                <w:szCs w:val="22"/>
                <w:lang w:val="en-GB"/>
              </w:rPr>
              <w:t xml:space="preserve"> and </w:t>
            </w:r>
            <w:r w:rsidRPr="00056F24">
              <w:rPr>
                <w:sz w:val="22"/>
                <w:szCs w:val="22"/>
                <w:lang w:val="en-GB"/>
              </w:rPr>
              <w:t>Indigenous organisations</w:t>
            </w:r>
            <w:r>
              <w:rPr>
                <w:sz w:val="22"/>
                <w:szCs w:val="22"/>
                <w:lang w:val="en-GB"/>
              </w:rPr>
              <w:t xml:space="preserve"> </w:t>
            </w:r>
            <w:r w:rsidRPr="00056F24">
              <w:rPr>
                <w:sz w:val="22"/>
                <w:szCs w:val="22"/>
                <w:lang w:val="en-GB"/>
              </w:rPr>
              <w:t>to encourage participation in early learning and kindergarten programs</w:t>
            </w:r>
            <w:r w:rsidRPr="008219D6">
              <w:rPr>
                <w:sz w:val="22"/>
                <w:szCs w:val="22"/>
                <w:lang w:val="en-GB"/>
              </w:rPr>
              <w:t xml:space="preserve"> </w:t>
            </w:r>
          </w:p>
          <w:p w:rsidR="00832FC4" w:rsidRPr="00056F24" w:rsidRDefault="00832FC4">
            <w:pPr>
              <w:widowControl w:val="0"/>
              <w:numPr>
                <w:ilvl w:val="0"/>
                <w:numId w:val="23"/>
              </w:numPr>
              <w:rPr>
                <w:sz w:val="22"/>
                <w:szCs w:val="22"/>
                <w:lang w:val="en-GB"/>
              </w:rPr>
            </w:pPr>
            <w:r>
              <w:rPr>
                <w:sz w:val="22"/>
                <w:szCs w:val="22"/>
                <w:lang w:val="en-GB"/>
              </w:rPr>
              <w:t xml:space="preserve">from 2020, review existing communications campaigns and develop and implement targeted communication activities for Aboriginal and Torres Strait Islander; regional and remote; and vulnerable and disadvantaged communities </w:t>
            </w:r>
            <w:r w:rsidRPr="00056F24">
              <w:rPr>
                <w:sz w:val="22"/>
                <w:szCs w:val="22"/>
                <w:lang w:val="en-GB"/>
              </w:rPr>
              <w:t>to encourage participation in early learning and kindergarten programs</w:t>
            </w:r>
          </w:p>
          <w:p w:rsidR="00105D35" w:rsidRPr="00056F24" w:rsidRDefault="00105D35">
            <w:pPr>
              <w:widowControl w:val="0"/>
              <w:numPr>
                <w:ilvl w:val="0"/>
                <w:numId w:val="23"/>
              </w:numPr>
              <w:rPr>
                <w:sz w:val="22"/>
                <w:szCs w:val="22"/>
                <w:lang w:val="en-GB"/>
              </w:rPr>
            </w:pPr>
            <w:r w:rsidRPr="00056F24">
              <w:rPr>
                <w:sz w:val="22"/>
                <w:szCs w:val="22"/>
                <w:lang w:val="en-GB"/>
              </w:rPr>
              <w:t xml:space="preserve">support families to easily identify approved kindergarten providers </w:t>
            </w:r>
          </w:p>
          <w:p w:rsidR="00105D35" w:rsidRPr="00056F24" w:rsidRDefault="00105D35">
            <w:pPr>
              <w:widowControl w:val="0"/>
              <w:numPr>
                <w:ilvl w:val="0"/>
                <w:numId w:val="23"/>
              </w:numPr>
              <w:rPr>
                <w:sz w:val="22"/>
                <w:szCs w:val="22"/>
                <w:lang w:val="en-GB"/>
              </w:rPr>
            </w:pPr>
            <w:r w:rsidRPr="00056F24">
              <w:rPr>
                <w:sz w:val="22"/>
                <w:szCs w:val="22"/>
                <w:lang w:val="en-GB"/>
              </w:rPr>
              <w:t>provide information and advice regarding early childhood education programs to families, educators and the Early Childhood Education and Care (ECEC) sector</w:t>
            </w:r>
          </w:p>
          <w:p w:rsidR="00105D35" w:rsidRPr="00056F24" w:rsidRDefault="00105D35">
            <w:pPr>
              <w:widowControl w:val="0"/>
              <w:numPr>
                <w:ilvl w:val="0"/>
                <w:numId w:val="23"/>
              </w:numPr>
              <w:rPr>
                <w:sz w:val="22"/>
                <w:szCs w:val="22"/>
                <w:lang w:val="en-GB"/>
              </w:rPr>
            </w:pPr>
            <w:r w:rsidRPr="00056F24">
              <w:rPr>
                <w:sz w:val="22"/>
                <w:szCs w:val="22"/>
                <w:lang w:val="en-GB"/>
              </w:rPr>
              <w:t>provide an ECEC Services Census - annual collection of information from the sector to inform planning and reporting</w:t>
            </w:r>
          </w:p>
          <w:p w:rsidR="00105D35" w:rsidRPr="00056F24" w:rsidRDefault="00105D35">
            <w:pPr>
              <w:widowControl w:val="0"/>
              <w:numPr>
                <w:ilvl w:val="0"/>
                <w:numId w:val="23"/>
              </w:numPr>
              <w:rPr>
                <w:sz w:val="22"/>
                <w:szCs w:val="22"/>
                <w:lang w:val="en-GB"/>
              </w:rPr>
            </w:pPr>
            <w:r w:rsidRPr="00056F24">
              <w:rPr>
                <w:sz w:val="22"/>
                <w:szCs w:val="22"/>
                <w:lang w:val="en-GB"/>
              </w:rPr>
              <w:t xml:space="preserve">continue the Translating and Interpreting Service to assist families of children from non-English speaking backgrounds with enrolment in early children education and care programs </w:t>
            </w:r>
          </w:p>
          <w:p w:rsidR="00105D35" w:rsidRPr="00056F24" w:rsidRDefault="00105D35">
            <w:pPr>
              <w:widowControl w:val="0"/>
              <w:numPr>
                <w:ilvl w:val="0"/>
                <w:numId w:val="23"/>
              </w:numPr>
              <w:rPr>
                <w:sz w:val="22"/>
                <w:szCs w:val="22"/>
                <w:lang w:val="en-GB"/>
              </w:rPr>
            </w:pPr>
            <w:r w:rsidRPr="00056F24">
              <w:rPr>
                <w:sz w:val="22"/>
                <w:szCs w:val="22"/>
                <w:lang w:val="en-GB"/>
              </w:rPr>
              <w:lastRenderedPageBreak/>
              <w:t>assist with transition to school - connecting the schooling sector with local ECEC services to encourage and strengthen the transition from early childhood education</w:t>
            </w:r>
            <w:r w:rsidR="00C96587" w:rsidRPr="00056F24">
              <w:rPr>
                <w:sz w:val="22"/>
                <w:szCs w:val="22"/>
                <w:lang w:val="en-GB"/>
              </w:rPr>
              <w:t xml:space="preserve"> and </w:t>
            </w:r>
            <w:r w:rsidR="00A75B29" w:rsidRPr="00056F24">
              <w:rPr>
                <w:sz w:val="22"/>
                <w:szCs w:val="22"/>
                <w:lang w:val="en-GB"/>
              </w:rPr>
              <w:t xml:space="preserve">care to </w:t>
            </w:r>
            <w:r w:rsidR="00C96587" w:rsidRPr="00056F24">
              <w:rPr>
                <w:sz w:val="22"/>
                <w:szCs w:val="22"/>
                <w:lang w:val="en-GB"/>
              </w:rPr>
              <w:t>kindergarten</w:t>
            </w:r>
            <w:r w:rsidR="00A75B29" w:rsidRPr="00056F24">
              <w:rPr>
                <w:sz w:val="22"/>
                <w:szCs w:val="22"/>
                <w:lang w:val="en-GB"/>
              </w:rPr>
              <w:t xml:space="preserve"> and</w:t>
            </w:r>
            <w:r w:rsidRPr="00056F24">
              <w:rPr>
                <w:sz w:val="22"/>
                <w:szCs w:val="22"/>
                <w:lang w:val="en-GB"/>
              </w:rPr>
              <w:t xml:space="preserve"> to school</w:t>
            </w:r>
          </w:p>
        </w:tc>
        <w:tc>
          <w:tcPr>
            <w:tcW w:w="430" w:type="pct"/>
          </w:tcPr>
          <w:p w:rsidR="00105D35" w:rsidRPr="00056F24" w:rsidRDefault="00105D35" w:rsidP="00D15EE5">
            <w:pPr>
              <w:keepNext/>
              <w:keepLines/>
            </w:pPr>
            <w:r w:rsidRPr="00056F24">
              <w:lastRenderedPageBreak/>
              <w:t>1 Jan</w:t>
            </w:r>
            <w:r w:rsidR="00B85AE7" w:rsidRPr="00056F24">
              <w:t>uary</w:t>
            </w:r>
            <w:r w:rsidRPr="00056F24">
              <w:t xml:space="preserve"> </w:t>
            </w:r>
            <w:r w:rsidR="003C52A4" w:rsidRPr="00056F24">
              <w:t xml:space="preserve">2018 </w:t>
            </w:r>
          </w:p>
        </w:tc>
        <w:tc>
          <w:tcPr>
            <w:tcW w:w="430" w:type="pct"/>
          </w:tcPr>
          <w:p w:rsidR="00105D35" w:rsidRPr="00056F24" w:rsidRDefault="00B85AE7" w:rsidP="00832FC4">
            <w:pPr>
              <w:keepNext/>
              <w:keepLines/>
            </w:pPr>
            <w:r w:rsidRPr="00056F24">
              <w:t>31 December</w:t>
            </w:r>
            <w:r w:rsidR="00105D35" w:rsidRPr="00056F24">
              <w:t>20</w:t>
            </w:r>
            <w:r w:rsidR="00832FC4">
              <w:t>20</w:t>
            </w:r>
          </w:p>
        </w:tc>
        <w:tc>
          <w:tcPr>
            <w:tcW w:w="476" w:type="pct"/>
          </w:tcPr>
          <w:p w:rsidR="00105D35" w:rsidRPr="00056F24" w:rsidRDefault="00105D35">
            <w:pPr>
              <w:keepNext/>
              <w:keepLines/>
            </w:pPr>
            <w:r w:rsidRPr="00056F24">
              <w:t>nil</w:t>
            </w:r>
          </w:p>
        </w:tc>
      </w:tr>
      <w:tr w:rsidR="00105D35" w:rsidRPr="00056F24" w:rsidTr="00B26FD1">
        <w:trPr>
          <w:trHeight w:val="20"/>
        </w:trPr>
        <w:tc>
          <w:tcPr>
            <w:tcW w:w="180" w:type="pct"/>
          </w:tcPr>
          <w:p w:rsidR="00105D35" w:rsidRPr="00056F24" w:rsidRDefault="00105D35">
            <w:pPr>
              <w:keepNext/>
              <w:keepLines/>
            </w:pPr>
            <w:r w:rsidRPr="00056F24">
              <w:t>2</w:t>
            </w:r>
          </w:p>
        </w:tc>
        <w:tc>
          <w:tcPr>
            <w:tcW w:w="525" w:type="pct"/>
          </w:tcPr>
          <w:p w:rsidR="00105D35" w:rsidRPr="00056F24" w:rsidRDefault="00105D35">
            <w:pPr>
              <w:keepNext/>
              <w:keepLines/>
            </w:pPr>
            <w:r w:rsidRPr="00056F24">
              <w:t xml:space="preserve">Inclusion and Equity </w:t>
            </w:r>
          </w:p>
        </w:tc>
        <w:tc>
          <w:tcPr>
            <w:tcW w:w="2959" w:type="pct"/>
            <w:vAlign w:val="center"/>
          </w:tcPr>
          <w:p w:rsidR="00105D35" w:rsidRPr="00056F24" w:rsidRDefault="00105D35">
            <w:pPr>
              <w:widowControl w:val="0"/>
              <w:rPr>
                <w:sz w:val="22"/>
                <w:szCs w:val="22"/>
                <w:lang w:val="en-GB"/>
              </w:rPr>
            </w:pPr>
            <w:r w:rsidRPr="00056F24">
              <w:rPr>
                <w:sz w:val="22"/>
                <w:szCs w:val="22"/>
                <w:lang w:val="en-GB"/>
              </w:rPr>
              <w:t>This element will maximise kindergarten participation by providing additional supports for target groups and facilitating inclusive early learning experiences across Queensland. Key elements:</w:t>
            </w:r>
          </w:p>
          <w:p w:rsidR="00105D35" w:rsidRPr="00056F24" w:rsidRDefault="00105D35">
            <w:pPr>
              <w:widowControl w:val="0"/>
              <w:numPr>
                <w:ilvl w:val="0"/>
                <w:numId w:val="23"/>
              </w:numPr>
              <w:rPr>
                <w:sz w:val="22"/>
                <w:szCs w:val="22"/>
                <w:lang w:val="en-GB"/>
              </w:rPr>
            </w:pPr>
            <w:r w:rsidRPr="00056F24">
              <w:rPr>
                <w:sz w:val="22"/>
                <w:szCs w:val="22"/>
                <w:lang w:val="en-GB"/>
              </w:rPr>
              <w:t>provide QKFS and QKFS Plus subsidies for approved kindergarten programs in low socio-economic areas; remote and very remote communities; families/children with Health Care Cards; families with multiple births; families/children who identify as Indigenous; and refugee and asylum seeker families.</w:t>
            </w:r>
          </w:p>
          <w:p w:rsidR="00B125B8" w:rsidRPr="00B125B8" w:rsidRDefault="00B125B8" w:rsidP="00B125B8">
            <w:pPr>
              <w:widowControl w:val="0"/>
              <w:numPr>
                <w:ilvl w:val="0"/>
                <w:numId w:val="23"/>
              </w:numPr>
              <w:rPr>
                <w:sz w:val="22"/>
                <w:szCs w:val="22"/>
                <w:lang w:val="en-GB"/>
              </w:rPr>
            </w:pPr>
            <w:r w:rsidRPr="00B125B8">
              <w:rPr>
                <w:sz w:val="22"/>
                <w:szCs w:val="22"/>
                <w:lang w:val="en-GB"/>
              </w:rPr>
              <w:t>expand delivery of kindergarten programs to at least 68 rural and remote state schools by 2020</w:t>
            </w:r>
          </w:p>
          <w:p w:rsidR="00B125B8" w:rsidRPr="00B125B8" w:rsidRDefault="00B125B8" w:rsidP="00B125B8">
            <w:pPr>
              <w:widowControl w:val="0"/>
              <w:numPr>
                <w:ilvl w:val="0"/>
                <w:numId w:val="23"/>
              </w:numPr>
              <w:rPr>
                <w:sz w:val="22"/>
                <w:szCs w:val="22"/>
                <w:lang w:val="en-GB"/>
              </w:rPr>
            </w:pPr>
            <w:r w:rsidRPr="00B125B8">
              <w:rPr>
                <w:sz w:val="22"/>
                <w:szCs w:val="22"/>
                <w:lang w:val="en-GB"/>
              </w:rPr>
              <w:t xml:space="preserve">continue </w:t>
            </w:r>
            <w:r w:rsidR="00105D35" w:rsidRPr="00056F24">
              <w:rPr>
                <w:sz w:val="22"/>
                <w:szCs w:val="22"/>
                <w:lang w:val="en-GB"/>
              </w:rPr>
              <w:t xml:space="preserve">to support </w:t>
            </w:r>
            <w:r w:rsidRPr="00B125B8">
              <w:rPr>
                <w:sz w:val="22"/>
                <w:szCs w:val="22"/>
                <w:lang w:val="en-GB"/>
              </w:rPr>
              <w:t xml:space="preserve">the </w:t>
            </w:r>
            <w:r w:rsidR="00105D35" w:rsidRPr="00056F24">
              <w:rPr>
                <w:sz w:val="22"/>
                <w:szCs w:val="22"/>
                <w:lang w:val="en-GB"/>
              </w:rPr>
              <w:t>provision</w:t>
            </w:r>
            <w:r w:rsidRPr="00B125B8">
              <w:rPr>
                <w:sz w:val="22"/>
                <w:szCs w:val="22"/>
                <w:lang w:val="en-GB"/>
              </w:rPr>
              <w:t xml:space="preserve"> of </w:t>
            </w:r>
            <w:r w:rsidR="00105D35" w:rsidRPr="00056F24">
              <w:rPr>
                <w:sz w:val="22"/>
                <w:szCs w:val="22"/>
                <w:lang w:val="en-GB"/>
              </w:rPr>
              <w:t>a</w:t>
            </w:r>
            <w:r w:rsidRPr="00B125B8">
              <w:rPr>
                <w:sz w:val="22"/>
                <w:szCs w:val="22"/>
                <w:lang w:val="en-GB"/>
              </w:rPr>
              <w:t xml:space="preserve"> quality kindergarten program across </w:t>
            </w:r>
            <w:r w:rsidR="00105D35" w:rsidRPr="00056F24">
              <w:rPr>
                <w:sz w:val="22"/>
                <w:szCs w:val="22"/>
                <w:lang w:val="en-GB"/>
              </w:rPr>
              <w:t>35</w:t>
            </w:r>
            <w:r w:rsidRPr="00B125B8">
              <w:rPr>
                <w:sz w:val="22"/>
                <w:szCs w:val="22"/>
                <w:lang w:val="en-GB"/>
              </w:rPr>
              <w:t xml:space="preserve"> discrete Indigenous communities</w:t>
            </w:r>
            <w:r w:rsidR="00832FC4">
              <w:rPr>
                <w:sz w:val="22"/>
                <w:szCs w:val="22"/>
                <w:lang w:val="en-GB"/>
              </w:rPr>
              <w:t xml:space="preserve">, including provision of </w:t>
            </w:r>
            <w:r w:rsidR="00D86D28">
              <w:rPr>
                <w:sz w:val="22"/>
                <w:szCs w:val="22"/>
                <w:lang w:val="en-GB"/>
              </w:rPr>
              <w:t xml:space="preserve">31 state delivered kindergartens and 4 non-state delivered kindergartens  </w:t>
            </w:r>
          </w:p>
          <w:p w:rsidR="00105D35" w:rsidRPr="00056F24" w:rsidRDefault="00105D35">
            <w:pPr>
              <w:widowControl w:val="0"/>
              <w:numPr>
                <w:ilvl w:val="0"/>
                <w:numId w:val="23"/>
              </w:numPr>
              <w:rPr>
                <w:sz w:val="22"/>
                <w:szCs w:val="22"/>
                <w:lang w:val="en-GB"/>
              </w:rPr>
            </w:pPr>
            <w:r w:rsidRPr="00056F24">
              <w:rPr>
                <w:sz w:val="22"/>
                <w:szCs w:val="22"/>
                <w:lang w:val="en-GB"/>
              </w:rPr>
              <w:t xml:space="preserve">continue the </w:t>
            </w:r>
            <w:r w:rsidR="008C4FDB" w:rsidRPr="00056F24">
              <w:rPr>
                <w:sz w:val="22"/>
                <w:szCs w:val="22"/>
                <w:lang w:val="en-GB"/>
              </w:rPr>
              <w:t xml:space="preserve">Kindergarten Inclusion Support Scheme </w:t>
            </w:r>
            <w:r w:rsidRPr="00056F24">
              <w:rPr>
                <w:sz w:val="22"/>
                <w:szCs w:val="22"/>
                <w:lang w:val="en-GB"/>
              </w:rPr>
              <w:t xml:space="preserve"> to support children with disability and services deliver inclusive programs</w:t>
            </w:r>
          </w:p>
          <w:p w:rsidR="00105D35" w:rsidRPr="00056F24" w:rsidRDefault="00105D35">
            <w:pPr>
              <w:widowControl w:val="0"/>
              <w:numPr>
                <w:ilvl w:val="0"/>
                <w:numId w:val="23"/>
              </w:numPr>
              <w:rPr>
                <w:sz w:val="22"/>
                <w:szCs w:val="22"/>
                <w:lang w:val="en-GB"/>
              </w:rPr>
            </w:pPr>
            <w:r w:rsidRPr="00056F24">
              <w:rPr>
                <w:sz w:val="22"/>
                <w:szCs w:val="22"/>
                <w:lang w:val="en-GB"/>
              </w:rPr>
              <w:t>continue the Specialised Equipment and Resources Scheme – provision of specialised equipment and professional resources for kindergarten services to support children with disability</w:t>
            </w:r>
          </w:p>
          <w:p w:rsidR="00832FC4" w:rsidRDefault="00105D35">
            <w:pPr>
              <w:widowControl w:val="0"/>
              <w:numPr>
                <w:ilvl w:val="0"/>
                <w:numId w:val="23"/>
              </w:numPr>
              <w:rPr>
                <w:sz w:val="22"/>
                <w:szCs w:val="22"/>
                <w:lang w:val="en-GB"/>
              </w:rPr>
            </w:pPr>
            <w:r w:rsidRPr="00056F24">
              <w:rPr>
                <w:sz w:val="22"/>
                <w:szCs w:val="22"/>
                <w:lang w:val="en-GB"/>
              </w:rPr>
              <w:t>continue the social marketing campaign with Elders as Storytellers (Big Learning Life) and Indigenous organisations</w:t>
            </w:r>
          </w:p>
          <w:p w:rsidR="00105D35" w:rsidRPr="00056F24" w:rsidRDefault="00832FC4">
            <w:pPr>
              <w:widowControl w:val="0"/>
              <w:numPr>
                <w:ilvl w:val="0"/>
                <w:numId w:val="23"/>
              </w:numPr>
              <w:rPr>
                <w:sz w:val="22"/>
                <w:szCs w:val="22"/>
                <w:lang w:val="en-GB"/>
              </w:rPr>
            </w:pPr>
            <w:r>
              <w:rPr>
                <w:sz w:val="22"/>
                <w:szCs w:val="22"/>
                <w:lang w:val="en-GB"/>
              </w:rPr>
              <w:t>from 2020, review existing communications campaigns and d</w:t>
            </w:r>
            <w:r w:rsidR="008219D6">
              <w:rPr>
                <w:sz w:val="22"/>
                <w:szCs w:val="22"/>
                <w:lang w:val="en-GB"/>
              </w:rPr>
              <w:t>evelop and implement targeted communication activities for Aboriginal and Torres Strait Islander; regional and remote; and vulnerable and disadvantaged communities</w:t>
            </w:r>
            <w:r w:rsidR="008219D6" w:rsidRPr="00056F24" w:rsidDel="008219D6">
              <w:rPr>
                <w:sz w:val="22"/>
                <w:szCs w:val="22"/>
                <w:lang w:val="en-GB"/>
              </w:rPr>
              <w:t xml:space="preserve"> </w:t>
            </w:r>
            <w:r w:rsidR="00105D35" w:rsidRPr="00056F24">
              <w:rPr>
                <w:sz w:val="22"/>
                <w:szCs w:val="22"/>
                <w:lang w:val="en-GB"/>
              </w:rPr>
              <w:t xml:space="preserve">to encourage participation in early learning and kindergarten programs </w:t>
            </w:r>
          </w:p>
          <w:p w:rsidR="00105D35" w:rsidRPr="00056F24" w:rsidRDefault="00105D35">
            <w:pPr>
              <w:widowControl w:val="0"/>
              <w:numPr>
                <w:ilvl w:val="0"/>
                <w:numId w:val="23"/>
              </w:numPr>
              <w:rPr>
                <w:sz w:val="22"/>
                <w:szCs w:val="22"/>
                <w:lang w:val="en-GB"/>
              </w:rPr>
            </w:pPr>
            <w:r w:rsidRPr="00056F24">
              <w:rPr>
                <w:sz w:val="22"/>
                <w:szCs w:val="22"/>
                <w:lang w:val="en-GB"/>
              </w:rPr>
              <w:t>continue the Deadly Kindies marketing campaign in partnership with the Institute for Urban Indigenous Health, leveraging their successful Deadly Choices brand to promote the importance of kindergarten and early childhood education to Indigenous families</w:t>
            </w:r>
          </w:p>
          <w:p w:rsidR="00105D35" w:rsidRPr="00056F24" w:rsidRDefault="00105D35">
            <w:pPr>
              <w:widowControl w:val="0"/>
              <w:numPr>
                <w:ilvl w:val="0"/>
                <w:numId w:val="23"/>
              </w:numPr>
              <w:rPr>
                <w:sz w:val="22"/>
                <w:szCs w:val="22"/>
                <w:lang w:val="en-GB"/>
              </w:rPr>
            </w:pPr>
            <w:r w:rsidRPr="00056F24">
              <w:rPr>
                <w:sz w:val="22"/>
                <w:szCs w:val="22"/>
                <w:lang w:val="en-GB"/>
              </w:rPr>
              <w:t xml:space="preserve">continue the e-Kindy program (distance education) for children in rural and regional locations who cannot easily access a centre-based program due to distance, medical condition or itinerant family lifestyles </w:t>
            </w:r>
          </w:p>
          <w:p w:rsidR="00453E2C" w:rsidRPr="00056F24" w:rsidRDefault="00872B73" w:rsidP="00FD0114">
            <w:pPr>
              <w:widowControl w:val="0"/>
              <w:numPr>
                <w:ilvl w:val="0"/>
                <w:numId w:val="23"/>
              </w:numPr>
              <w:rPr>
                <w:sz w:val="22"/>
                <w:szCs w:val="22"/>
                <w:lang w:val="en-GB"/>
              </w:rPr>
            </w:pPr>
            <w:r>
              <w:rPr>
                <w:sz w:val="22"/>
                <w:szCs w:val="22"/>
                <w:lang w:val="en-GB"/>
              </w:rPr>
              <w:lastRenderedPageBreak/>
              <w:t>continue</w:t>
            </w:r>
            <w:r w:rsidRPr="00056F24">
              <w:rPr>
                <w:sz w:val="22"/>
                <w:szCs w:val="22"/>
                <w:lang w:val="en-GB"/>
              </w:rPr>
              <w:t xml:space="preserve"> </w:t>
            </w:r>
            <w:r w:rsidR="00453E2C" w:rsidRPr="00056F24">
              <w:rPr>
                <w:sz w:val="22"/>
                <w:szCs w:val="22"/>
                <w:lang w:val="en-GB"/>
              </w:rPr>
              <w:t>the e-Kindy Pod program which provides socialisation opportunities for e-Kindy enrolled children in selected rural and remote locations</w:t>
            </w:r>
          </w:p>
          <w:p w:rsidR="00105D35" w:rsidRPr="00056F24" w:rsidRDefault="00516002">
            <w:pPr>
              <w:widowControl w:val="0"/>
              <w:numPr>
                <w:ilvl w:val="0"/>
                <w:numId w:val="23"/>
              </w:numPr>
              <w:rPr>
                <w:sz w:val="22"/>
                <w:szCs w:val="22"/>
                <w:lang w:val="en-GB"/>
              </w:rPr>
            </w:pPr>
            <w:r w:rsidRPr="00056F24">
              <w:rPr>
                <w:sz w:val="22"/>
                <w:szCs w:val="22"/>
                <w:lang w:val="en-GB"/>
              </w:rPr>
              <w:t>continue</w:t>
            </w:r>
            <w:r w:rsidR="00105D35" w:rsidRPr="00056F24">
              <w:rPr>
                <w:sz w:val="22"/>
                <w:szCs w:val="22"/>
                <w:lang w:val="en-GB"/>
              </w:rPr>
              <w:t xml:space="preserve"> to support </w:t>
            </w:r>
            <w:r w:rsidR="00E643DC">
              <w:rPr>
                <w:sz w:val="22"/>
                <w:szCs w:val="22"/>
                <w:lang w:val="en-GB"/>
              </w:rPr>
              <w:t xml:space="preserve">children and families from </w:t>
            </w:r>
            <w:r w:rsidR="00105D35" w:rsidRPr="00056F24">
              <w:rPr>
                <w:sz w:val="22"/>
                <w:szCs w:val="22"/>
                <w:lang w:val="en-GB"/>
              </w:rPr>
              <w:t xml:space="preserve">refugee and asylum seeker </w:t>
            </w:r>
            <w:r w:rsidR="00E643DC">
              <w:rPr>
                <w:sz w:val="22"/>
                <w:szCs w:val="22"/>
                <w:lang w:val="en-GB"/>
              </w:rPr>
              <w:t xml:space="preserve">backgrounds </w:t>
            </w:r>
            <w:r w:rsidR="00C96587" w:rsidRPr="00056F24">
              <w:rPr>
                <w:sz w:val="22"/>
                <w:szCs w:val="22"/>
                <w:lang w:val="en-GB"/>
              </w:rPr>
              <w:t>to</w:t>
            </w:r>
            <w:r w:rsidR="00105D35" w:rsidRPr="00056F24">
              <w:rPr>
                <w:sz w:val="22"/>
                <w:szCs w:val="22"/>
                <w:lang w:val="en-GB"/>
              </w:rPr>
              <w:t xml:space="preserve"> access quality early childhood programs, including facilitating better access to kindergarten, and building service capacity to better respond to their needs</w:t>
            </w:r>
          </w:p>
          <w:p w:rsidR="00B52E07" w:rsidRPr="00056F24" w:rsidRDefault="00A4716B" w:rsidP="00FD0114">
            <w:pPr>
              <w:widowControl w:val="0"/>
              <w:numPr>
                <w:ilvl w:val="0"/>
                <w:numId w:val="23"/>
              </w:numPr>
              <w:rPr>
                <w:sz w:val="22"/>
                <w:szCs w:val="22"/>
                <w:lang w:val="en-GB"/>
              </w:rPr>
            </w:pPr>
            <w:r>
              <w:rPr>
                <w:sz w:val="22"/>
                <w:szCs w:val="22"/>
                <w:lang w:val="en-GB"/>
              </w:rPr>
              <w:t xml:space="preserve">continue to </w:t>
            </w:r>
            <w:r w:rsidR="00B52E07" w:rsidRPr="00056F24">
              <w:rPr>
                <w:sz w:val="22"/>
                <w:szCs w:val="22"/>
                <w:lang w:val="en-GB"/>
              </w:rPr>
              <w:t xml:space="preserve">deliver kindergarten activities to children who are patients at the Queensland Children’s Hospital </w:t>
            </w:r>
            <w:r w:rsidR="0018533F">
              <w:rPr>
                <w:sz w:val="22"/>
                <w:szCs w:val="22"/>
                <w:lang w:val="en-GB"/>
              </w:rPr>
              <w:t>and Mater Children’s Private Brisbane Hospital who are</w:t>
            </w:r>
            <w:r w:rsidR="0018533F" w:rsidRPr="00056F24">
              <w:rPr>
                <w:sz w:val="22"/>
                <w:szCs w:val="22"/>
                <w:lang w:val="en-GB"/>
              </w:rPr>
              <w:t xml:space="preserve"> </w:t>
            </w:r>
            <w:r w:rsidR="00B52E07" w:rsidRPr="00056F24">
              <w:rPr>
                <w:sz w:val="22"/>
                <w:szCs w:val="22"/>
                <w:lang w:val="en-GB"/>
              </w:rPr>
              <w:t>unable to access a kindergarten program due to health related circumstances</w:t>
            </w:r>
          </w:p>
          <w:p w:rsidR="0024194C" w:rsidRPr="00056F24" w:rsidRDefault="0024194C" w:rsidP="00503078">
            <w:pPr>
              <w:widowControl w:val="0"/>
              <w:numPr>
                <w:ilvl w:val="0"/>
                <w:numId w:val="23"/>
              </w:numPr>
              <w:rPr>
                <w:sz w:val="22"/>
                <w:szCs w:val="22"/>
                <w:lang w:val="en-GB"/>
              </w:rPr>
            </w:pPr>
            <w:r w:rsidRPr="00056F24">
              <w:rPr>
                <w:sz w:val="22"/>
                <w:szCs w:val="22"/>
                <w:lang w:val="en-GB"/>
              </w:rPr>
              <w:t xml:space="preserve">provide access to educational resources to link concepts within the Sally and Possum episodes with the Australian Curriculum </w:t>
            </w:r>
            <w:r w:rsidR="00503078" w:rsidRPr="00056F24">
              <w:rPr>
                <w:sz w:val="22"/>
                <w:szCs w:val="22"/>
                <w:lang w:val="en-GB"/>
              </w:rPr>
              <w:t>and</w:t>
            </w:r>
            <w:r w:rsidR="00503078" w:rsidRPr="00056F24">
              <w:t xml:space="preserve"> </w:t>
            </w:r>
            <w:r w:rsidR="00503078" w:rsidRPr="00056F24">
              <w:rPr>
                <w:sz w:val="22"/>
                <w:szCs w:val="22"/>
                <w:lang w:val="en-GB"/>
              </w:rPr>
              <w:t xml:space="preserve">Early Years Learning Framework; </w:t>
            </w:r>
            <w:r w:rsidRPr="00056F24">
              <w:rPr>
                <w:sz w:val="22"/>
                <w:szCs w:val="22"/>
                <w:lang w:val="en-GB"/>
              </w:rPr>
              <w:t xml:space="preserve">and promote a better understanding of deaf culture within the school environment    </w:t>
            </w:r>
          </w:p>
          <w:p w:rsidR="00105D35" w:rsidRPr="00056F24" w:rsidRDefault="00105D35">
            <w:pPr>
              <w:widowControl w:val="0"/>
              <w:numPr>
                <w:ilvl w:val="0"/>
                <w:numId w:val="23"/>
              </w:numPr>
              <w:rPr>
                <w:sz w:val="22"/>
                <w:szCs w:val="22"/>
                <w:lang w:val="en-GB"/>
              </w:rPr>
            </w:pPr>
            <w:r w:rsidRPr="00056F24">
              <w:rPr>
                <w:sz w:val="22"/>
                <w:szCs w:val="22"/>
                <w:lang w:val="en-GB"/>
              </w:rPr>
              <w:t>maintain accredited kindergarten program guidelines, with amendments progressed as required to ensure alignment with the Early Years Learning Framework and the Australian Curriculum</w:t>
            </w:r>
          </w:p>
          <w:p w:rsidR="00DC1EFF" w:rsidRPr="00056F24" w:rsidRDefault="00DC1EFF" w:rsidP="00FD0114">
            <w:pPr>
              <w:widowControl w:val="0"/>
              <w:numPr>
                <w:ilvl w:val="0"/>
                <w:numId w:val="23"/>
              </w:numPr>
              <w:rPr>
                <w:sz w:val="22"/>
                <w:szCs w:val="22"/>
                <w:lang w:val="en-GB"/>
              </w:rPr>
            </w:pPr>
            <w:r w:rsidRPr="00056F24">
              <w:rPr>
                <w:sz w:val="22"/>
                <w:szCs w:val="22"/>
                <w:lang w:val="en-GB"/>
              </w:rPr>
              <w:t>deliver a coordinated and strategic response to align K-2 (Kindergarten to Year 2) priorities including successful transitions and enhanced continuity of learning and development for young learners</w:t>
            </w:r>
          </w:p>
          <w:p w:rsidR="00105D35" w:rsidRDefault="00105D35">
            <w:pPr>
              <w:widowControl w:val="0"/>
              <w:numPr>
                <w:ilvl w:val="0"/>
                <w:numId w:val="23"/>
              </w:numPr>
              <w:rPr>
                <w:sz w:val="22"/>
                <w:szCs w:val="22"/>
                <w:lang w:val="en-GB"/>
              </w:rPr>
            </w:pPr>
            <w:r w:rsidRPr="00056F24">
              <w:rPr>
                <w:sz w:val="22"/>
                <w:szCs w:val="22"/>
                <w:lang w:val="en-GB"/>
              </w:rPr>
              <w:t xml:space="preserve">continue to provide data to inform planning and reporting and participate in national data strategy work to improve data quality to inform the development of targeted programs. </w:t>
            </w:r>
          </w:p>
          <w:p w:rsidR="00B125B8" w:rsidRPr="00DC3F30" w:rsidRDefault="00B125B8" w:rsidP="00B125B8">
            <w:pPr>
              <w:pStyle w:val="ListParagraph"/>
              <w:numPr>
                <w:ilvl w:val="0"/>
                <w:numId w:val="23"/>
              </w:numPr>
              <w:rPr>
                <w:sz w:val="22"/>
                <w:szCs w:val="22"/>
                <w:lang w:val="en-GB"/>
              </w:rPr>
            </w:pPr>
            <w:r w:rsidRPr="00DC3F30">
              <w:rPr>
                <w:sz w:val="22"/>
                <w:szCs w:val="22"/>
                <w:lang w:val="en-GB"/>
              </w:rPr>
              <w:t xml:space="preserve">continue to support the ECEC sector to increase and retain the number of qualified </w:t>
            </w:r>
            <w:r w:rsidR="00207937">
              <w:rPr>
                <w:sz w:val="22"/>
                <w:szCs w:val="22"/>
                <w:lang w:val="en-GB"/>
              </w:rPr>
              <w:t>early childhood teachers to support access to kindergarten programs</w:t>
            </w:r>
            <w:r w:rsidRPr="00DC3F30">
              <w:rPr>
                <w:sz w:val="22"/>
                <w:szCs w:val="22"/>
                <w:lang w:val="en-GB"/>
              </w:rPr>
              <w:t>, especially in rura</w:t>
            </w:r>
            <w:r w:rsidRPr="00430CEA">
              <w:rPr>
                <w:sz w:val="22"/>
                <w:szCs w:val="22"/>
                <w:lang w:val="en-GB"/>
              </w:rPr>
              <w:t>l and remote communities</w:t>
            </w:r>
            <w:r w:rsidRPr="00DC3F30">
              <w:rPr>
                <w:sz w:val="22"/>
                <w:szCs w:val="22"/>
                <w:lang w:val="en-GB"/>
              </w:rPr>
              <w:t xml:space="preserve">  </w:t>
            </w:r>
          </w:p>
          <w:p w:rsidR="00B125B8" w:rsidRPr="00056F24" w:rsidRDefault="00B125B8" w:rsidP="00FF3B19">
            <w:pPr>
              <w:widowControl w:val="0"/>
              <w:ind w:left="360"/>
              <w:rPr>
                <w:sz w:val="22"/>
                <w:szCs w:val="22"/>
                <w:lang w:val="en-GB"/>
              </w:rPr>
            </w:pPr>
          </w:p>
        </w:tc>
        <w:tc>
          <w:tcPr>
            <w:tcW w:w="430" w:type="pct"/>
          </w:tcPr>
          <w:p w:rsidR="00105D35" w:rsidRPr="00056F24" w:rsidRDefault="00105D35" w:rsidP="00D15EE5">
            <w:pPr>
              <w:keepNext/>
              <w:keepLines/>
            </w:pPr>
            <w:r w:rsidRPr="00056F24">
              <w:lastRenderedPageBreak/>
              <w:t xml:space="preserve">1 Jan </w:t>
            </w:r>
            <w:r w:rsidR="003C07E3">
              <w:t>20</w:t>
            </w:r>
            <w:r w:rsidR="003C52A4" w:rsidRPr="00056F24">
              <w:t xml:space="preserve">18 </w:t>
            </w:r>
          </w:p>
        </w:tc>
        <w:tc>
          <w:tcPr>
            <w:tcW w:w="430" w:type="pct"/>
          </w:tcPr>
          <w:p w:rsidR="00105D35" w:rsidRPr="00056F24" w:rsidRDefault="00105D35" w:rsidP="00D15EE5">
            <w:pPr>
              <w:keepNext/>
              <w:keepLines/>
            </w:pPr>
            <w:r w:rsidRPr="00056F24">
              <w:t>31 Dec 20</w:t>
            </w:r>
            <w:r w:rsidR="00D15EE5">
              <w:t>20</w:t>
            </w:r>
          </w:p>
        </w:tc>
        <w:tc>
          <w:tcPr>
            <w:tcW w:w="476" w:type="pct"/>
          </w:tcPr>
          <w:p w:rsidR="00105D35" w:rsidRPr="00056F24" w:rsidRDefault="00105D35">
            <w:pPr>
              <w:keepNext/>
              <w:keepLines/>
            </w:pPr>
            <w:r w:rsidRPr="00056F24">
              <w:t>1</w:t>
            </w:r>
          </w:p>
        </w:tc>
      </w:tr>
    </w:tbl>
    <w:p w:rsidR="00105D35" w:rsidRPr="00056F24" w:rsidRDefault="00105D35" w:rsidP="00105D35">
      <w:pPr>
        <w:pStyle w:val="Normalnumbered"/>
        <w:numPr>
          <w:ilvl w:val="0"/>
          <w:numId w:val="0"/>
        </w:numPr>
        <w:spacing w:before="120" w:after="240"/>
        <w:ind w:left="567" w:hanging="567"/>
        <w:sectPr w:rsidR="00105D35" w:rsidRPr="00056F24" w:rsidSect="00B26FD1">
          <w:pgSz w:w="16838" w:h="11906" w:orient="landscape" w:code="9"/>
          <w:pgMar w:top="993" w:right="851" w:bottom="1418" w:left="1021" w:header="567" w:footer="567" w:gutter="0"/>
          <w:cols w:space="708"/>
          <w:docGrid w:linePitch="360"/>
        </w:sectPr>
      </w:pPr>
    </w:p>
    <w:p w:rsidR="00105D35" w:rsidRPr="00056F24" w:rsidRDefault="00105D35" w:rsidP="00105D35">
      <w:pPr>
        <w:pStyle w:val="Normalnumbered"/>
        <w:numPr>
          <w:ilvl w:val="0"/>
          <w:numId w:val="0"/>
        </w:numPr>
        <w:spacing w:before="120" w:after="240"/>
        <w:ind w:left="567" w:hanging="567"/>
      </w:pPr>
    </w:p>
    <w:p w:rsidR="00407A6B" w:rsidRPr="00056F24" w:rsidRDefault="00407A6B" w:rsidP="00746814">
      <w:pPr>
        <w:pStyle w:val="Normalnumbered"/>
        <w:spacing w:before="120" w:after="240"/>
      </w:pPr>
      <w:r w:rsidRPr="00056F24">
        <w:t xml:space="preserve">As required by clause </w:t>
      </w:r>
      <w:r w:rsidR="00447EA4" w:rsidRPr="00056F24">
        <w:t>22</w:t>
      </w:r>
      <w:r w:rsidRPr="00056F24">
        <w:t xml:space="preserve"> (d) of the National Partnership, the strategies are </w:t>
      </w:r>
      <w:r w:rsidR="00344845" w:rsidRPr="00056F24">
        <w:t xml:space="preserve">in place </w:t>
      </w:r>
      <w:r w:rsidRPr="00056F24">
        <w:t xml:space="preserve">to ensure that funding is directed to support participation by all children in all </w:t>
      </w:r>
      <w:r w:rsidR="000B36D5" w:rsidRPr="00056F24">
        <w:t>quality e</w:t>
      </w:r>
      <w:r w:rsidR="003A24B9" w:rsidRPr="00056F24">
        <w:t>ar</w:t>
      </w:r>
      <w:r w:rsidR="000B36D5" w:rsidRPr="00056F24">
        <w:t xml:space="preserve">ly childhood education </w:t>
      </w:r>
      <w:r w:rsidR="007B4BA6" w:rsidRPr="00056F24">
        <w:t>program</w:t>
      </w:r>
      <w:r w:rsidR="000B36D5" w:rsidRPr="00056F24">
        <w:t>s</w:t>
      </w:r>
      <w:r w:rsidRPr="00056F24">
        <w:t xml:space="preserve">, regardless of whether </w:t>
      </w:r>
      <w:r w:rsidR="007B4BA6" w:rsidRPr="00056F24">
        <w:t>program</w:t>
      </w:r>
      <w:r w:rsidRPr="00056F24">
        <w:t>s are delivered through schools (government and non-government), standalone preschools or long day care centres.</w:t>
      </w:r>
      <w:r w:rsidR="00197FAA" w:rsidRPr="00056F24">
        <w:t xml:space="preserve"> These strategies are included as Project elements throughout this Implementation Plan. </w:t>
      </w:r>
    </w:p>
    <w:p w:rsidR="00124D8E" w:rsidRPr="00056F24" w:rsidRDefault="00124D8E" w:rsidP="001B5382">
      <w:pPr>
        <w:pStyle w:val="Normalnumbered"/>
      </w:pPr>
      <w:r w:rsidRPr="00056F24">
        <w:t xml:space="preserve">As required by clause </w:t>
      </w:r>
      <w:r w:rsidR="00447EA4" w:rsidRPr="00056F24">
        <w:t>22</w:t>
      </w:r>
      <w:r w:rsidRPr="00056F24">
        <w:t xml:space="preserve"> (e) of the National Partnership, </w:t>
      </w:r>
      <w:r w:rsidR="000B36D5" w:rsidRPr="00056F24">
        <w:t xml:space="preserve">state specific data and implementation issues </w:t>
      </w:r>
      <w:r w:rsidR="001B5382" w:rsidRPr="00056F24">
        <w:t>are identified</w:t>
      </w:r>
      <w:r w:rsidR="00153BCD" w:rsidRPr="00056F24">
        <w:t xml:space="preserve"> </w:t>
      </w:r>
      <w:r w:rsidR="00902EF3" w:rsidRPr="00056F24">
        <w:t xml:space="preserve">below. Each </w:t>
      </w:r>
      <w:r w:rsidR="003C0687" w:rsidRPr="00056F24">
        <w:t xml:space="preserve">of the </w:t>
      </w:r>
      <w:r w:rsidR="00902EF3" w:rsidRPr="00056F24">
        <w:t>identified issue</w:t>
      </w:r>
      <w:r w:rsidR="000B36D5" w:rsidRPr="00056F24">
        <w:t>s</w:t>
      </w:r>
      <w:r w:rsidR="00902EF3" w:rsidRPr="00056F24">
        <w:t xml:space="preserve"> includes </w:t>
      </w:r>
      <w:r w:rsidRPr="00056F24">
        <w:t xml:space="preserve">strategies </w:t>
      </w:r>
      <w:r w:rsidR="00902EF3" w:rsidRPr="00056F24">
        <w:t>to</w:t>
      </w:r>
      <w:r w:rsidRPr="00056F24">
        <w:t xml:space="preserve"> overcome</w:t>
      </w:r>
      <w:r w:rsidR="00041D4C" w:rsidRPr="00056F24">
        <w:t xml:space="preserve"> or address </w:t>
      </w:r>
      <w:r w:rsidR="003C0687" w:rsidRPr="00056F24">
        <w:t>them.</w:t>
      </w:r>
    </w:p>
    <w:p w:rsidR="00197FAA" w:rsidRPr="00056F24" w:rsidRDefault="003E21B2" w:rsidP="00B26FD1">
      <w:pPr>
        <w:pStyle w:val="Normalnumbered"/>
        <w:numPr>
          <w:ilvl w:val="0"/>
          <w:numId w:val="0"/>
        </w:numPr>
        <w:ind w:left="567" w:hanging="567"/>
      </w:pPr>
      <w:r w:rsidRPr="00056F24">
        <w:br/>
      </w:r>
    </w:p>
    <w:tbl>
      <w:tblPr>
        <w:tblStyle w:val="TableGrid"/>
        <w:tblW w:w="0" w:type="auto"/>
        <w:tblInd w:w="-34" w:type="dxa"/>
        <w:tblLook w:val="04A0" w:firstRow="1" w:lastRow="0" w:firstColumn="1" w:lastColumn="0" w:noHBand="0" w:noVBand="1"/>
      </w:tblPr>
      <w:tblGrid>
        <w:gridCol w:w="4616"/>
        <w:gridCol w:w="4478"/>
      </w:tblGrid>
      <w:tr w:rsidR="00197FAA" w:rsidRPr="00056F24" w:rsidTr="00C209C2">
        <w:tc>
          <w:tcPr>
            <w:tcW w:w="9094" w:type="dxa"/>
            <w:gridSpan w:val="2"/>
            <w:vAlign w:val="center"/>
          </w:tcPr>
          <w:p w:rsidR="00197FAA" w:rsidRPr="00056F24" w:rsidRDefault="00197FAA" w:rsidP="00CF47A4">
            <w:pPr>
              <w:pStyle w:val="AlphaParagraph"/>
              <w:numPr>
                <w:ilvl w:val="0"/>
                <w:numId w:val="0"/>
              </w:numPr>
              <w:jc w:val="left"/>
              <w:rPr>
                <w:b/>
                <w:lang w:val="en-GB"/>
              </w:rPr>
            </w:pPr>
            <w:r w:rsidRPr="00056F24">
              <w:rPr>
                <w:b/>
                <w:lang w:val="en-GB"/>
              </w:rPr>
              <w:t xml:space="preserve">Data Issues </w:t>
            </w:r>
          </w:p>
        </w:tc>
      </w:tr>
      <w:tr w:rsidR="00197FAA" w:rsidRPr="00056F24" w:rsidTr="00B26FD1">
        <w:tc>
          <w:tcPr>
            <w:tcW w:w="4678" w:type="dxa"/>
            <w:vAlign w:val="center"/>
          </w:tcPr>
          <w:p w:rsidR="00197FAA" w:rsidRPr="00056F24" w:rsidRDefault="00197FAA" w:rsidP="00CF47A4">
            <w:pPr>
              <w:pStyle w:val="AlphaParagraph"/>
              <w:numPr>
                <w:ilvl w:val="0"/>
                <w:numId w:val="0"/>
              </w:numPr>
              <w:jc w:val="left"/>
              <w:rPr>
                <w:b/>
                <w:lang w:val="en-GB"/>
              </w:rPr>
            </w:pPr>
            <w:r w:rsidRPr="00056F24">
              <w:rPr>
                <w:b/>
                <w:lang w:val="en-GB"/>
              </w:rPr>
              <w:t>Issue</w:t>
            </w:r>
          </w:p>
        </w:tc>
        <w:tc>
          <w:tcPr>
            <w:tcW w:w="4536" w:type="dxa"/>
            <w:vAlign w:val="center"/>
          </w:tcPr>
          <w:p w:rsidR="00197FAA" w:rsidRPr="00056F24" w:rsidRDefault="00197FAA" w:rsidP="00CF47A4">
            <w:pPr>
              <w:pStyle w:val="AlphaParagraph"/>
              <w:numPr>
                <w:ilvl w:val="0"/>
                <w:numId w:val="0"/>
              </w:numPr>
              <w:jc w:val="left"/>
              <w:rPr>
                <w:b/>
                <w:lang w:val="en-GB"/>
              </w:rPr>
            </w:pPr>
            <w:r w:rsidRPr="00056F24">
              <w:rPr>
                <w:b/>
                <w:lang w:val="en-GB"/>
              </w:rPr>
              <w:t>Strategy</w:t>
            </w:r>
          </w:p>
        </w:tc>
      </w:tr>
      <w:tr w:rsidR="00197FAA" w:rsidRPr="00056F24" w:rsidTr="00B26FD1">
        <w:tc>
          <w:tcPr>
            <w:tcW w:w="4678" w:type="dxa"/>
          </w:tcPr>
          <w:p w:rsidR="00197FAA" w:rsidRPr="00056F24" w:rsidRDefault="00197FAA" w:rsidP="005962E6">
            <w:pPr>
              <w:pStyle w:val="AlphaParagraph"/>
              <w:numPr>
                <w:ilvl w:val="0"/>
                <w:numId w:val="17"/>
              </w:numPr>
              <w:tabs>
                <w:tab w:val="left" w:pos="720"/>
              </w:tabs>
              <w:ind w:left="426"/>
              <w:rPr>
                <w:sz w:val="22"/>
                <w:szCs w:val="22"/>
                <w:lang w:val="en-GB"/>
              </w:rPr>
            </w:pPr>
            <w:r w:rsidRPr="00056F24">
              <w:rPr>
                <w:sz w:val="22"/>
                <w:szCs w:val="22"/>
                <w:lang w:val="en-GB"/>
              </w:rPr>
              <w:t xml:space="preserve">Performance indicators affected by significant </w:t>
            </w:r>
            <w:r w:rsidRPr="00056F24">
              <w:rPr>
                <w:i/>
                <w:sz w:val="22"/>
                <w:szCs w:val="22"/>
                <w:lang w:val="en-GB"/>
              </w:rPr>
              <w:t>Not Stated</w:t>
            </w:r>
            <w:r w:rsidRPr="00056F24">
              <w:rPr>
                <w:sz w:val="22"/>
                <w:szCs w:val="22"/>
                <w:lang w:val="en-GB"/>
              </w:rPr>
              <w:t xml:space="preserve"> responses (e.g. self-declaring Indigeneity).</w:t>
            </w:r>
          </w:p>
        </w:tc>
        <w:tc>
          <w:tcPr>
            <w:tcW w:w="4536" w:type="dxa"/>
          </w:tcPr>
          <w:p w:rsidR="00197FAA" w:rsidRPr="00056F24" w:rsidRDefault="00197FAA" w:rsidP="00CF47A4">
            <w:pPr>
              <w:pStyle w:val="AlphaParagraph"/>
              <w:numPr>
                <w:ilvl w:val="0"/>
                <w:numId w:val="0"/>
              </w:numPr>
              <w:tabs>
                <w:tab w:val="left" w:pos="720"/>
              </w:tabs>
              <w:rPr>
                <w:sz w:val="22"/>
                <w:szCs w:val="22"/>
                <w:lang w:val="en-GB"/>
              </w:rPr>
            </w:pPr>
            <w:r w:rsidRPr="00056F24">
              <w:rPr>
                <w:sz w:val="22"/>
                <w:szCs w:val="22"/>
                <w:lang w:val="en-GB"/>
              </w:rPr>
              <w:t xml:space="preserve">Assume that proportions calculated from observable data also apply to </w:t>
            </w:r>
            <w:r w:rsidRPr="00056F24">
              <w:rPr>
                <w:i/>
                <w:sz w:val="22"/>
                <w:szCs w:val="22"/>
                <w:lang w:val="en-GB"/>
              </w:rPr>
              <w:t>Not Stated</w:t>
            </w:r>
            <w:r w:rsidRPr="00056F24">
              <w:rPr>
                <w:sz w:val="22"/>
                <w:szCs w:val="22"/>
                <w:lang w:val="en-GB"/>
              </w:rPr>
              <w:t xml:space="preserve"> responses.</w:t>
            </w:r>
          </w:p>
        </w:tc>
      </w:tr>
      <w:tr w:rsidR="003E5299" w:rsidRPr="00056F24" w:rsidTr="00B26FD1">
        <w:tc>
          <w:tcPr>
            <w:tcW w:w="4678" w:type="dxa"/>
          </w:tcPr>
          <w:p w:rsidR="003E5299" w:rsidRPr="00056F24" w:rsidDel="00120FB6" w:rsidRDefault="003E5299" w:rsidP="0049528A">
            <w:pPr>
              <w:pStyle w:val="AlphaParagraph"/>
              <w:numPr>
                <w:ilvl w:val="0"/>
                <w:numId w:val="17"/>
              </w:numPr>
              <w:tabs>
                <w:tab w:val="left" w:pos="720"/>
              </w:tabs>
              <w:ind w:left="426"/>
              <w:rPr>
                <w:sz w:val="22"/>
                <w:szCs w:val="22"/>
                <w:lang w:val="en-GB"/>
              </w:rPr>
            </w:pPr>
            <w:r w:rsidRPr="00056F24">
              <w:rPr>
                <w:sz w:val="22"/>
                <w:szCs w:val="22"/>
                <w:lang w:val="en-GB"/>
              </w:rPr>
              <w:t xml:space="preserve">In relation to attendance (PI4), the number of hours </w:t>
            </w:r>
            <w:r w:rsidR="000F0676" w:rsidRPr="00056F24">
              <w:rPr>
                <w:sz w:val="22"/>
                <w:szCs w:val="22"/>
                <w:lang w:val="en-GB"/>
              </w:rPr>
              <w:t xml:space="preserve">currently </w:t>
            </w:r>
            <w:r w:rsidRPr="00056F24">
              <w:rPr>
                <w:sz w:val="22"/>
                <w:szCs w:val="22"/>
                <w:lang w:val="en-GB"/>
              </w:rPr>
              <w:t>collected through the NECECC is unreliable as it is collected for a single week, does not account for explainable absences and is inconsistently reported by services</w:t>
            </w:r>
            <w:r w:rsidR="0049528A" w:rsidRPr="00056F24">
              <w:rPr>
                <w:sz w:val="22"/>
                <w:szCs w:val="22"/>
                <w:lang w:val="en-GB"/>
              </w:rPr>
              <w:t>.</w:t>
            </w:r>
          </w:p>
        </w:tc>
        <w:tc>
          <w:tcPr>
            <w:tcW w:w="4536" w:type="dxa"/>
          </w:tcPr>
          <w:p w:rsidR="003E5299" w:rsidRPr="00056F24" w:rsidDel="00120FB6" w:rsidRDefault="003E5299" w:rsidP="0049528A">
            <w:pPr>
              <w:pStyle w:val="AlphaParagraph"/>
              <w:numPr>
                <w:ilvl w:val="0"/>
                <w:numId w:val="0"/>
              </w:numPr>
              <w:tabs>
                <w:tab w:val="left" w:pos="720"/>
              </w:tabs>
              <w:rPr>
                <w:sz w:val="22"/>
                <w:szCs w:val="22"/>
                <w:lang w:val="en-GB"/>
              </w:rPr>
            </w:pPr>
            <w:r w:rsidRPr="00056F24">
              <w:rPr>
                <w:sz w:val="22"/>
                <w:szCs w:val="22"/>
                <w:lang w:val="en-GB"/>
              </w:rPr>
              <w:t>All jurisdictions have committed to working together to consider the most reliable datasets</w:t>
            </w:r>
            <w:r w:rsidR="0049528A" w:rsidRPr="00056F24">
              <w:rPr>
                <w:sz w:val="22"/>
                <w:szCs w:val="22"/>
                <w:lang w:val="en-GB"/>
              </w:rPr>
              <w:t xml:space="preserve"> that </w:t>
            </w:r>
            <w:r w:rsidRPr="00056F24">
              <w:rPr>
                <w:sz w:val="22"/>
                <w:szCs w:val="22"/>
                <w:lang w:val="en-GB"/>
              </w:rPr>
              <w:t xml:space="preserve">could be used to overcome these data quality issues. </w:t>
            </w:r>
          </w:p>
        </w:tc>
      </w:tr>
      <w:tr w:rsidR="00197FAA" w:rsidRPr="00056F24" w:rsidTr="00C209C2">
        <w:trPr>
          <w:trHeight w:val="426"/>
        </w:trPr>
        <w:tc>
          <w:tcPr>
            <w:tcW w:w="9094" w:type="dxa"/>
            <w:gridSpan w:val="2"/>
          </w:tcPr>
          <w:p w:rsidR="00197FAA" w:rsidRPr="00056F24" w:rsidRDefault="00197FAA" w:rsidP="00CF47A4">
            <w:pPr>
              <w:pStyle w:val="AlphaParagraph"/>
              <w:numPr>
                <w:ilvl w:val="0"/>
                <w:numId w:val="0"/>
              </w:numPr>
              <w:tabs>
                <w:tab w:val="left" w:pos="34"/>
              </w:tabs>
              <w:ind w:left="720" w:hanging="686"/>
              <w:jc w:val="left"/>
              <w:rPr>
                <w:b/>
                <w:lang w:val="en-GB"/>
              </w:rPr>
            </w:pPr>
            <w:r w:rsidRPr="00056F24">
              <w:rPr>
                <w:b/>
                <w:lang w:val="en-GB"/>
              </w:rPr>
              <w:t xml:space="preserve">Implementation Issues </w:t>
            </w:r>
          </w:p>
        </w:tc>
      </w:tr>
      <w:tr w:rsidR="00197FAA" w:rsidRPr="00056F24" w:rsidTr="00B26FD1">
        <w:trPr>
          <w:trHeight w:val="563"/>
        </w:trPr>
        <w:tc>
          <w:tcPr>
            <w:tcW w:w="4623" w:type="dxa"/>
          </w:tcPr>
          <w:p w:rsidR="00197FAA" w:rsidRPr="00056F24" w:rsidRDefault="00197FAA" w:rsidP="00CF47A4">
            <w:pPr>
              <w:pStyle w:val="AlphaParagraph"/>
              <w:numPr>
                <w:ilvl w:val="0"/>
                <w:numId w:val="0"/>
              </w:numPr>
              <w:tabs>
                <w:tab w:val="left" w:pos="720"/>
              </w:tabs>
              <w:ind w:left="34"/>
              <w:rPr>
                <w:b/>
                <w:lang w:val="en-GB"/>
              </w:rPr>
            </w:pPr>
            <w:r w:rsidRPr="00056F24">
              <w:rPr>
                <w:b/>
                <w:lang w:val="en-GB"/>
              </w:rPr>
              <w:t xml:space="preserve">Issue </w:t>
            </w:r>
          </w:p>
        </w:tc>
        <w:tc>
          <w:tcPr>
            <w:tcW w:w="4471" w:type="dxa"/>
          </w:tcPr>
          <w:p w:rsidR="00197FAA" w:rsidRPr="00056F24" w:rsidRDefault="00197FAA" w:rsidP="00CF47A4">
            <w:pPr>
              <w:pStyle w:val="AlphaParagraph"/>
              <w:numPr>
                <w:ilvl w:val="0"/>
                <w:numId w:val="0"/>
              </w:numPr>
              <w:tabs>
                <w:tab w:val="left" w:pos="176"/>
              </w:tabs>
              <w:ind w:left="176"/>
              <w:rPr>
                <w:b/>
                <w:lang w:val="en-GB"/>
              </w:rPr>
            </w:pPr>
            <w:r w:rsidRPr="00056F24">
              <w:rPr>
                <w:b/>
                <w:lang w:val="en-GB"/>
              </w:rPr>
              <w:t xml:space="preserve">Strategy </w:t>
            </w:r>
          </w:p>
        </w:tc>
      </w:tr>
      <w:tr w:rsidR="00197FAA" w:rsidRPr="00056F24" w:rsidTr="00B26FD1">
        <w:trPr>
          <w:trHeight w:val="563"/>
        </w:trPr>
        <w:tc>
          <w:tcPr>
            <w:tcW w:w="4623" w:type="dxa"/>
          </w:tcPr>
          <w:p w:rsidR="00197FAA" w:rsidRPr="00056F24" w:rsidRDefault="00197FAA" w:rsidP="005962E6">
            <w:pPr>
              <w:pStyle w:val="AlphaParagraph"/>
              <w:numPr>
                <w:ilvl w:val="0"/>
                <w:numId w:val="17"/>
              </w:numPr>
              <w:tabs>
                <w:tab w:val="left" w:pos="720"/>
              </w:tabs>
              <w:ind w:left="426"/>
              <w:rPr>
                <w:sz w:val="22"/>
                <w:szCs w:val="22"/>
                <w:lang w:val="en-GB"/>
              </w:rPr>
            </w:pPr>
            <w:r w:rsidRPr="00056F24">
              <w:rPr>
                <w:sz w:val="22"/>
                <w:szCs w:val="22"/>
                <w:lang w:val="en-GB"/>
              </w:rPr>
              <w:t xml:space="preserve">Addressing barriers to effectively engage and support vulnerable, disadvantaged, non-English speaking background and Indigenous families to access and participate in kindergarten. </w:t>
            </w:r>
          </w:p>
          <w:p w:rsidR="00197FAA" w:rsidRPr="00056F24" w:rsidRDefault="00197FAA" w:rsidP="00CF47A4">
            <w:pPr>
              <w:pStyle w:val="AlphaParagraph"/>
              <w:numPr>
                <w:ilvl w:val="0"/>
                <w:numId w:val="0"/>
              </w:numPr>
              <w:tabs>
                <w:tab w:val="left" w:pos="720"/>
              </w:tabs>
              <w:ind w:left="426"/>
              <w:rPr>
                <w:sz w:val="22"/>
                <w:szCs w:val="22"/>
                <w:lang w:val="en-GB"/>
              </w:rPr>
            </w:pPr>
          </w:p>
        </w:tc>
        <w:tc>
          <w:tcPr>
            <w:tcW w:w="4471" w:type="dxa"/>
          </w:tcPr>
          <w:p w:rsidR="00197FAA" w:rsidRPr="00056F24" w:rsidRDefault="00197FAA" w:rsidP="00CF47A4">
            <w:pPr>
              <w:pStyle w:val="AlphaParagraph"/>
              <w:numPr>
                <w:ilvl w:val="0"/>
                <w:numId w:val="0"/>
              </w:numPr>
              <w:tabs>
                <w:tab w:val="left" w:pos="720"/>
              </w:tabs>
              <w:rPr>
                <w:sz w:val="22"/>
                <w:szCs w:val="22"/>
                <w:lang w:val="en-GB"/>
              </w:rPr>
            </w:pPr>
            <w:r w:rsidRPr="00056F24">
              <w:rPr>
                <w:sz w:val="22"/>
                <w:szCs w:val="22"/>
                <w:lang w:val="en-GB"/>
              </w:rPr>
              <w:t>Adopt a sustained approach to build trust and gain acceptance by families and communities regarding the value of participating in kindergarten programs.</w:t>
            </w:r>
          </w:p>
          <w:p w:rsidR="00197FAA" w:rsidRPr="00056F24" w:rsidRDefault="00197FAA" w:rsidP="00AD113C">
            <w:pPr>
              <w:pStyle w:val="NoSpacing"/>
              <w:rPr>
                <w:lang w:val="en-GB"/>
              </w:rPr>
            </w:pPr>
            <w:r w:rsidRPr="00056F24">
              <w:rPr>
                <w:lang w:val="en-GB"/>
              </w:rPr>
              <w:t xml:space="preserve">Ongoing investment in a range of proven strategies and the implementation of further initiatives across key areas as outlined below to drive increased enrolment and participation by Indigenous families: </w:t>
            </w:r>
          </w:p>
          <w:p w:rsidR="00197FAA" w:rsidRPr="00056F24" w:rsidRDefault="00AD113C" w:rsidP="00AD113C">
            <w:pPr>
              <w:pStyle w:val="NoSpacing"/>
              <w:numPr>
                <w:ilvl w:val="0"/>
                <w:numId w:val="24"/>
              </w:numPr>
              <w:rPr>
                <w:lang w:val="en-GB"/>
              </w:rPr>
            </w:pPr>
            <w:r w:rsidRPr="00056F24">
              <w:rPr>
                <w:lang w:val="en-GB"/>
              </w:rPr>
              <w:t>p</w:t>
            </w:r>
            <w:r w:rsidR="00197FAA" w:rsidRPr="00056F24">
              <w:rPr>
                <w:lang w:val="en-GB"/>
              </w:rPr>
              <w:t>romote benefits of participation</w:t>
            </w:r>
          </w:p>
          <w:p w:rsidR="00197FAA" w:rsidRPr="00D15EE5" w:rsidRDefault="00AD113C" w:rsidP="00AD113C">
            <w:pPr>
              <w:pStyle w:val="NoSpacing"/>
              <w:numPr>
                <w:ilvl w:val="0"/>
                <w:numId w:val="24"/>
              </w:numPr>
              <w:rPr>
                <w:lang w:val="en-GB"/>
              </w:rPr>
            </w:pPr>
            <w:r w:rsidRPr="00D15EE5">
              <w:rPr>
                <w:lang w:val="en-GB"/>
              </w:rPr>
              <w:t>b</w:t>
            </w:r>
            <w:r w:rsidR="00197FAA" w:rsidRPr="00D15EE5">
              <w:rPr>
                <w:lang w:val="en-GB"/>
              </w:rPr>
              <w:t>uild service and workforce capability</w:t>
            </w:r>
          </w:p>
          <w:p w:rsidR="00197FAA" w:rsidRPr="00056F24" w:rsidRDefault="00AD113C" w:rsidP="00AD113C">
            <w:pPr>
              <w:pStyle w:val="NoSpacing"/>
              <w:numPr>
                <w:ilvl w:val="0"/>
                <w:numId w:val="24"/>
              </w:numPr>
              <w:rPr>
                <w:lang w:val="en-GB"/>
              </w:rPr>
            </w:pPr>
            <w:r w:rsidRPr="00056F24">
              <w:rPr>
                <w:lang w:val="en-GB"/>
              </w:rPr>
              <w:t>p</w:t>
            </w:r>
            <w:r w:rsidR="00D914B7" w:rsidRPr="00056F24">
              <w:rPr>
                <w:lang w:val="en-GB"/>
              </w:rPr>
              <w:t>rovide</w:t>
            </w:r>
            <w:r w:rsidRPr="00056F24">
              <w:rPr>
                <w:lang w:val="en-GB"/>
              </w:rPr>
              <w:t xml:space="preserve"> </w:t>
            </w:r>
            <w:r w:rsidR="00197FAA" w:rsidRPr="00056F24">
              <w:rPr>
                <w:lang w:val="en-GB"/>
              </w:rPr>
              <w:t>culturally appropriate kindergarten models</w:t>
            </w:r>
          </w:p>
          <w:p w:rsidR="00197FAA" w:rsidRPr="00056F24" w:rsidRDefault="00AD113C" w:rsidP="00AD113C">
            <w:pPr>
              <w:pStyle w:val="NoSpacing"/>
              <w:numPr>
                <w:ilvl w:val="0"/>
                <w:numId w:val="24"/>
              </w:numPr>
              <w:rPr>
                <w:lang w:val="en-GB"/>
              </w:rPr>
            </w:pPr>
            <w:r w:rsidRPr="00056F24">
              <w:rPr>
                <w:lang w:val="en-GB"/>
              </w:rPr>
              <w:t>s</w:t>
            </w:r>
            <w:r w:rsidR="00197FAA" w:rsidRPr="00056F24">
              <w:rPr>
                <w:lang w:val="en-GB"/>
              </w:rPr>
              <w:t>upport families and communities</w:t>
            </w:r>
          </w:p>
          <w:p w:rsidR="00197FAA" w:rsidRPr="00056F24" w:rsidRDefault="00AD113C" w:rsidP="00AD113C">
            <w:pPr>
              <w:pStyle w:val="NoSpacing"/>
              <w:numPr>
                <w:ilvl w:val="0"/>
                <w:numId w:val="24"/>
              </w:numPr>
              <w:rPr>
                <w:lang w:val="en-GB"/>
              </w:rPr>
            </w:pPr>
            <w:r w:rsidRPr="00056F24">
              <w:rPr>
                <w:lang w:val="en-GB"/>
              </w:rPr>
              <w:t>p</w:t>
            </w:r>
            <w:r w:rsidR="00197FAA" w:rsidRPr="00056F24">
              <w:rPr>
                <w:lang w:val="en-GB"/>
              </w:rPr>
              <w:t>rovide integrated services</w:t>
            </w:r>
          </w:p>
          <w:p w:rsidR="00197FAA" w:rsidRPr="00056F24" w:rsidRDefault="00344845">
            <w:pPr>
              <w:pStyle w:val="NoSpacing"/>
              <w:numPr>
                <w:ilvl w:val="0"/>
                <w:numId w:val="24"/>
              </w:numPr>
              <w:rPr>
                <w:lang w:val="en-GB"/>
              </w:rPr>
            </w:pPr>
            <w:r w:rsidRPr="00056F24">
              <w:rPr>
                <w:lang w:val="en-GB"/>
              </w:rPr>
              <w:t>r</w:t>
            </w:r>
            <w:r w:rsidR="00197FAA" w:rsidRPr="00056F24">
              <w:rPr>
                <w:lang w:val="en-GB"/>
              </w:rPr>
              <w:t>educe costs for families</w:t>
            </w:r>
          </w:p>
        </w:tc>
      </w:tr>
    </w:tbl>
    <w:p w:rsidR="003E21B2" w:rsidRPr="00056F24" w:rsidRDefault="003E21B2" w:rsidP="003E21B2">
      <w:pPr>
        <w:pStyle w:val="Normalnumbered"/>
        <w:numPr>
          <w:ilvl w:val="0"/>
          <w:numId w:val="0"/>
        </w:numPr>
        <w:ind w:left="567" w:hanging="567"/>
      </w:pPr>
    </w:p>
    <w:p w:rsidR="008A1747" w:rsidRPr="00056F24" w:rsidRDefault="008A1747" w:rsidP="00A17D70">
      <w:pPr>
        <w:pStyle w:val="Heading2"/>
      </w:pPr>
      <w:r w:rsidRPr="00056F24">
        <w:t>Estimated costs</w:t>
      </w:r>
    </w:p>
    <w:p w:rsidR="008A1747" w:rsidRPr="00056F24" w:rsidRDefault="008A1747" w:rsidP="008A1747">
      <w:pPr>
        <w:pStyle w:val="Normalnumbered"/>
        <w:spacing w:after="240" w:line="260" w:lineRule="exact"/>
      </w:pPr>
      <w:r w:rsidRPr="00056F24">
        <w:t xml:space="preserve">The maximum financial contribution to be provided by the Commonwealth for the project to </w:t>
      </w:r>
      <w:r w:rsidR="008025B6" w:rsidRPr="00056F24">
        <w:t>Queensland</w:t>
      </w:r>
      <w:r w:rsidRPr="00056F24">
        <w:t xml:space="preserve"> is </w:t>
      </w:r>
      <w:r w:rsidR="00197FAA" w:rsidRPr="00056F24">
        <w:rPr>
          <w:b/>
        </w:rPr>
        <w:t>$</w:t>
      </w:r>
      <w:r w:rsidR="00D15EE5">
        <w:rPr>
          <w:b/>
        </w:rPr>
        <w:t>258.</w:t>
      </w:r>
      <w:r w:rsidR="0052551B">
        <w:rPr>
          <w:b/>
        </w:rPr>
        <w:t>5</w:t>
      </w:r>
      <w:r w:rsidR="00377D3E" w:rsidRPr="00056F24">
        <w:rPr>
          <w:b/>
        </w:rPr>
        <w:t xml:space="preserve"> million</w:t>
      </w:r>
      <w:r w:rsidR="008025B6" w:rsidRPr="00056F24">
        <w:t xml:space="preserve"> </w:t>
      </w:r>
      <w:r w:rsidRPr="00056F24">
        <w:t xml:space="preserve">payable in accordance with </w:t>
      </w:r>
      <w:r w:rsidR="00D15A57" w:rsidRPr="00056F24">
        <w:t xml:space="preserve">the </w:t>
      </w:r>
      <w:r w:rsidRPr="00056F24">
        <w:t>milestones</w:t>
      </w:r>
      <w:r w:rsidR="00D15A57" w:rsidRPr="00056F24">
        <w:t xml:space="preserve"> and</w:t>
      </w:r>
      <w:r w:rsidRPr="00056F24">
        <w:t xml:space="preserve"> performance benchmarks set out in the National Partnership.  All payments are exclusive of GST.</w:t>
      </w:r>
    </w:p>
    <w:p w:rsidR="008A1747" w:rsidRPr="00056F24" w:rsidRDefault="008A1747" w:rsidP="008A1747">
      <w:pPr>
        <w:pStyle w:val="Normalnumbered"/>
        <w:spacing w:after="240" w:line="260" w:lineRule="exact"/>
      </w:pPr>
      <w:r w:rsidRPr="00056F24">
        <w:t>The estimated overall budget (exclusive of GST) is set out in Table 2. The budget is indicative only and</w:t>
      </w:r>
      <w:r w:rsidR="005962E6" w:rsidRPr="00056F24">
        <w:t xml:space="preserve"> Queensland</w:t>
      </w:r>
      <w:r w:rsidRPr="00056F24">
        <w:t xml:space="preserve"> retains the flexibility to move funds between components and/or years, as long as outcomes are not affected.  The Commonwealth contribution can only be moved between years with the agreement of the Commonwealth.</w:t>
      </w:r>
    </w:p>
    <w:p w:rsidR="008A1747" w:rsidRPr="00056F24" w:rsidRDefault="008A1747" w:rsidP="0093776A">
      <w:pPr>
        <w:pStyle w:val="Heading3"/>
        <w:spacing w:before="0" w:after="120"/>
        <w:rPr>
          <w:i/>
        </w:rPr>
      </w:pPr>
      <w:r w:rsidRPr="00056F24">
        <w:t>Table 2: Estimated financial contributions</w:t>
      </w:r>
    </w:p>
    <w:tbl>
      <w:tblPr>
        <w:tblW w:w="0" w:type="auto"/>
        <w:tblBorders>
          <w:top w:val="single" w:sz="4" w:space="0" w:color="000080"/>
          <w:bottom w:val="single" w:sz="4" w:space="0" w:color="000080"/>
        </w:tblBorders>
        <w:tblLook w:val="01E0" w:firstRow="1" w:lastRow="1" w:firstColumn="1" w:lastColumn="1" w:noHBand="0" w:noVBand="0"/>
      </w:tblPr>
      <w:tblGrid>
        <w:gridCol w:w="3815"/>
        <w:gridCol w:w="1067"/>
        <w:gridCol w:w="1079"/>
        <w:gridCol w:w="1099"/>
        <w:gridCol w:w="1167"/>
        <w:gridCol w:w="843"/>
      </w:tblGrid>
      <w:tr w:rsidR="00376B1A" w:rsidRPr="00056F24" w:rsidTr="00446D23">
        <w:tc>
          <w:tcPr>
            <w:tcW w:w="3815" w:type="dxa"/>
            <w:tcBorders>
              <w:top w:val="single" w:sz="4" w:space="0" w:color="000080"/>
            </w:tcBorders>
            <w:vAlign w:val="center"/>
          </w:tcPr>
          <w:p w:rsidR="00D15EE5" w:rsidRPr="00056F24" w:rsidRDefault="00D15EE5" w:rsidP="0093776A">
            <w:pPr>
              <w:keepNext/>
              <w:keepLines/>
              <w:spacing w:before="40" w:after="40"/>
              <w:jc w:val="center"/>
              <w:rPr>
                <w:b/>
                <w:bCs/>
              </w:rPr>
            </w:pPr>
            <w:r w:rsidRPr="00056F24">
              <w:rPr>
                <w:b/>
                <w:bCs/>
              </w:rPr>
              <w:t>($ million)</w:t>
            </w:r>
          </w:p>
        </w:tc>
        <w:tc>
          <w:tcPr>
            <w:tcW w:w="1067" w:type="dxa"/>
            <w:tcBorders>
              <w:top w:val="single" w:sz="4" w:space="0" w:color="000080"/>
              <w:bottom w:val="single" w:sz="4" w:space="0" w:color="000080"/>
            </w:tcBorders>
            <w:vAlign w:val="center"/>
          </w:tcPr>
          <w:p w:rsidR="00D15EE5" w:rsidRPr="00056F24" w:rsidRDefault="00D15EE5" w:rsidP="007B4BA6">
            <w:pPr>
              <w:keepNext/>
              <w:keepLines/>
              <w:spacing w:before="40" w:after="40"/>
              <w:jc w:val="center"/>
              <w:rPr>
                <w:b/>
              </w:rPr>
            </w:pPr>
            <w:r w:rsidRPr="00056F24">
              <w:rPr>
                <w:b/>
              </w:rPr>
              <w:t>2017-18</w:t>
            </w:r>
          </w:p>
        </w:tc>
        <w:tc>
          <w:tcPr>
            <w:tcW w:w="1079" w:type="dxa"/>
            <w:tcBorders>
              <w:top w:val="single" w:sz="4" w:space="0" w:color="000080"/>
              <w:bottom w:val="single" w:sz="4" w:space="0" w:color="000080"/>
            </w:tcBorders>
            <w:vAlign w:val="center"/>
          </w:tcPr>
          <w:p w:rsidR="00D15EE5" w:rsidRPr="00056F24" w:rsidRDefault="00D15EE5" w:rsidP="007B4BA6">
            <w:pPr>
              <w:keepNext/>
              <w:keepLines/>
              <w:spacing w:before="40" w:after="40"/>
              <w:jc w:val="center"/>
              <w:rPr>
                <w:b/>
              </w:rPr>
            </w:pPr>
            <w:r w:rsidRPr="00056F24">
              <w:rPr>
                <w:b/>
              </w:rPr>
              <w:t>2018-19</w:t>
            </w:r>
          </w:p>
        </w:tc>
        <w:tc>
          <w:tcPr>
            <w:tcW w:w="1099" w:type="dxa"/>
            <w:tcBorders>
              <w:top w:val="single" w:sz="4" w:space="0" w:color="000080"/>
              <w:bottom w:val="single" w:sz="4" w:space="0" w:color="000080"/>
            </w:tcBorders>
          </w:tcPr>
          <w:p w:rsidR="00D15EE5" w:rsidRPr="00056F24" w:rsidRDefault="00D15EE5" w:rsidP="005A2826">
            <w:pPr>
              <w:keepNext/>
              <w:keepLines/>
              <w:spacing w:before="40" w:after="40"/>
              <w:jc w:val="center"/>
              <w:rPr>
                <w:b/>
              </w:rPr>
            </w:pPr>
            <w:r w:rsidRPr="00056F24">
              <w:rPr>
                <w:b/>
              </w:rPr>
              <w:t>2019-20</w:t>
            </w:r>
          </w:p>
        </w:tc>
        <w:tc>
          <w:tcPr>
            <w:tcW w:w="1167" w:type="dxa"/>
            <w:tcBorders>
              <w:top w:val="single" w:sz="4" w:space="0" w:color="000080"/>
              <w:bottom w:val="single" w:sz="4" w:space="0" w:color="000080"/>
            </w:tcBorders>
          </w:tcPr>
          <w:p w:rsidR="00D15EE5" w:rsidRPr="00056F24" w:rsidRDefault="00376B1A" w:rsidP="005A2826">
            <w:pPr>
              <w:keepNext/>
              <w:keepLines/>
              <w:spacing w:before="40" w:after="40"/>
              <w:jc w:val="center"/>
              <w:rPr>
                <w:b/>
              </w:rPr>
            </w:pPr>
            <w:r>
              <w:rPr>
                <w:b/>
              </w:rPr>
              <w:t>2020-21</w:t>
            </w:r>
          </w:p>
        </w:tc>
        <w:tc>
          <w:tcPr>
            <w:tcW w:w="843" w:type="dxa"/>
            <w:tcBorders>
              <w:top w:val="single" w:sz="4" w:space="0" w:color="000080"/>
              <w:bottom w:val="single" w:sz="4" w:space="0" w:color="000080"/>
            </w:tcBorders>
            <w:vAlign w:val="center"/>
          </w:tcPr>
          <w:p w:rsidR="00D15EE5" w:rsidRPr="00056F24" w:rsidRDefault="00D15EE5" w:rsidP="005A2826">
            <w:pPr>
              <w:keepNext/>
              <w:keepLines/>
              <w:spacing w:before="40" w:after="40"/>
              <w:jc w:val="center"/>
              <w:rPr>
                <w:b/>
              </w:rPr>
            </w:pPr>
            <w:r w:rsidRPr="00056F24">
              <w:rPr>
                <w:b/>
              </w:rPr>
              <w:t>Total</w:t>
            </w:r>
          </w:p>
        </w:tc>
      </w:tr>
      <w:tr w:rsidR="00376B1A" w:rsidRPr="00056F24" w:rsidTr="00446D23">
        <w:tc>
          <w:tcPr>
            <w:tcW w:w="3815" w:type="dxa"/>
          </w:tcPr>
          <w:p w:rsidR="00446D23" w:rsidRPr="00056F24" w:rsidRDefault="00446D23" w:rsidP="00446D23">
            <w:pPr>
              <w:rPr>
                <w:sz w:val="24"/>
              </w:rPr>
            </w:pPr>
            <w:r w:rsidRPr="00056F24">
              <w:t>Element 1 (Access and Affordability)</w:t>
            </w:r>
          </w:p>
        </w:tc>
        <w:tc>
          <w:tcPr>
            <w:tcW w:w="1067" w:type="dxa"/>
            <w:tcBorders>
              <w:top w:val="single" w:sz="4" w:space="0" w:color="000080"/>
            </w:tcBorders>
          </w:tcPr>
          <w:p w:rsidR="00446D23" w:rsidRPr="00056F24" w:rsidRDefault="00446D23" w:rsidP="00446D23">
            <w:pPr>
              <w:jc w:val="right"/>
            </w:pPr>
            <w:r w:rsidRPr="00056F24">
              <w:t>15.8</w:t>
            </w:r>
          </w:p>
        </w:tc>
        <w:tc>
          <w:tcPr>
            <w:tcW w:w="1079" w:type="dxa"/>
            <w:tcBorders>
              <w:top w:val="single" w:sz="4" w:space="0" w:color="000080"/>
            </w:tcBorders>
          </w:tcPr>
          <w:p w:rsidR="00446D23" w:rsidRPr="00056F24" w:rsidRDefault="00446D23" w:rsidP="00446D23">
            <w:pPr>
              <w:jc w:val="right"/>
            </w:pPr>
            <w:r w:rsidRPr="00056F24">
              <w:t>52.8</w:t>
            </w:r>
          </w:p>
        </w:tc>
        <w:tc>
          <w:tcPr>
            <w:tcW w:w="1099" w:type="dxa"/>
            <w:tcBorders>
              <w:top w:val="single" w:sz="4" w:space="0" w:color="000080"/>
            </w:tcBorders>
          </w:tcPr>
          <w:p w:rsidR="00446D23" w:rsidRPr="00056F24" w:rsidRDefault="00446D23" w:rsidP="00446D23">
            <w:pPr>
              <w:jc w:val="right"/>
            </w:pPr>
            <w:r>
              <w:t>52</w:t>
            </w:r>
            <w:r w:rsidR="0052551B">
              <w:t>.0</w:t>
            </w:r>
          </w:p>
        </w:tc>
        <w:tc>
          <w:tcPr>
            <w:tcW w:w="1167" w:type="dxa"/>
            <w:tcBorders>
              <w:top w:val="single" w:sz="4" w:space="0" w:color="000080"/>
            </w:tcBorders>
          </w:tcPr>
          <w:p w:rsidR="00446D23" w:rsidRPr="00056F24" w:rsidRDefault="00446D23" w:rsidP="00446D23">
            <w:pPr>
              <w:jc w:val="right"/>
            </w:pPr>
            <w:r>
              <w:t>34.6</w:t>
            </w:r>
          </w:p>
        </w:tc>
        <w:tc>
          <w:tcPr>
            <w:tcW w:w="843" w:type="dxa"/>
            <w:tcBorders>
              <w:top w:val="single" w:sz="4" w:space="0" w:color="000080"/>
            </w:tcBorders>
          </w:tcPr>
          <w:p w:rsidR="00446D23" w:rsidRPr="00056F24" w:rsidRDefault="00376B1A" w:rsidP="00446D23">
            <w:pPr>
              <w:jc w:val="right"/>
            </w:pPr>
            <w:r>
              <w:t xml:space="preserve"> </w:t>
            </w:r>
            <w:r w:rsidR="00446D23">
              <w:t xml:space="preserve"> 155.2</w:t>
            </w:r>
          </w:p>
        </w:tc>
      </w:tr>
      <w:tr w:rsidR="00446D23" w:rsidRPr="00056F24" w:rsidTr="00446D23">
        <w:tc>
          <w:tcPr>
            <w:tcW w:w="3815" w:type="dxa"/>
          </w:tcPr>
          <w:p w:rsidR="00446D23" w:rsidRPr="00056F24" w:rsidRDefault="00446D23" w:rsidP="00446D23">
            <w:pPr>
              <w:rPr>
                <w:sz w:val="24"/>
              </w:rPr>
            </w:pPr>
            <w:r w:rsidRPr="00056F24">
              <w:t>Element 2 (Inclusion and Equity)</w:t>
            </w:r>
          </w:p>
        </w:tc>
        <w:tc>
          <w:tcPr>
            <w:tcW w:w="1067" w:type="dxa"/>
          </w:tcPr>
          <w:p w:rsidR="00446D23" w:rsidRPr="00056F24" w:rsidRDefault="00446D23" w:rsidP="00446D23">
            <w:pPr>
              <w:jc w:val="right"/>
            </w:pPr>
            <w:r w:rsidRPr="00056F24">
              <w:t>10.6</w:t>
            </w:r>
          </w:p>
        </w:tc>
        <w:tc>
          <w:tcPr>
            <w:tcW w:w="1079" w:type="dxa"/>
          </w:tcPr>
          <w:p w:rsidR="00446D23" w:rsidRPr="00056F24" w:rsidRDefault="00446D23" w:rsidP="00446D23">
            <w:pPr>
              <w:jc w:val="right"/>
            </w:pPr>
            <w:r w:rsidRPr="00056F24">
              <w:t>35.2</w:t>
            </w:r>
          </w:p>
        </w:tc>
        <w:tc>
          <w:tcPr>
            <w:tcW w:w="1099" w:type="dxa"/>
          </w:tcPr>
          <w:p w:rsidR="00446D23" w:rsidRPr="00056F24" w:rsidRDefault="00446D23" w:rsidP="00446D23">
            <w:pPr>
              <w:jc w:val="right"/>
            </w:pPr>
            <w:r>
              <w:t>34.6</w:t>
            </w:r>
          </w:p>
        </w:tc>
        <w:tc>
          <w:tcPr>
            <w:tcW w:w="1167" w:type="dxa"/>
          </w:tcPr>
          <w:p w:rsidR="00446D23" w:rsidRPr="00056F24" w:rsidRDefault="00376B1A" w:rsidP="00446D23">
            <w:pPr>
              <w:jc w:val="right"/>
            </w:pPr>
            <w:r>
              <w:t>23.0</w:t>
            </w:r>
          </w:p>
        </w:tc>
        <w:tc>
          <w:tcPr>
            <w:tcW w:w="843" w:type="dxa"/>
          </w:tcPr>
          <w:p w:rsidR="00446D23" w:rsidRPr="00056F24" w:rsidRDefault="00376B1A" w:rsidP="00446D23">
            <w:pPr>
              <w:jc w:val="right"/>
            </w:pPr>
            <w:r>
              <w:t xml:space="preserve">  </w:t>
            </w:r>
            <w:r w:rsidR="00446D23">
              <w:t>103.4</w:t>
            </w:r>
          </w:p>
        </w:tc>
      </w:tr>
      <w:tr w:rsidR="00376B1A" w:rsidRPr="00056F24" w:rsidTr="00446D23">
        <w:tc>
          <w:tcPr>
            <w:tcW w:w="3815" w:type="dxa"/>
          </w:tcPr>
          <w:p w:rsidR="00446D23" w:rsidRPr="00056F24" w:rsidRDefault="00446D23" w:rsidP="00446D23">
            <w:r w:rsidRPr="00056F24">
              <w:t>Total estimated budget</w:t>
            </w:r>
          </w:p>
        </w:tc>
        <w:tc>
          <w:tcPr>
            <w:tcW w:w="1067" w:type="dxa"/>
            <w:tcBorders>
              <w:top w:val="single" w:sz="4" w:space="0" w:color="000080"/>
            </w:tcBorders>
          </w:tcPr>
          <w:p w:rsidR="00446D23" w:rsidRPr="00056F24" w:rsidRDefault="00446D23" w:rsidP="00446D23">
            <w:pPr>
              <w:jc w:val="right"/>
            </w:pPr>
            <w:r w:rsidRPr="00056F24">
              <w:t>**</w:t>
            </w:r>
          </w:p>
        </w:tc>
        <w:tc>
          <w:tcPr>
            <w:tcW w:w="1079" w:type="dxa"/>
            <w:tcBorders>
              <w:top w:val="single" w:sz="4" w:space="0" w:color="000080"/>
            </w:tcBorders>
          </w:tcPr>
          <w:p w:rsidR="00446D23" w:rsidRPr="00056F24" w:rsidRDefault="00446D23" w:rsidP="00446D23">
            <w:pPr>
              <w:jc w:val="right"/>
            </w:pPr>
            <w:r w:rsidRPr="00056F24">
              <w:t>**</w:t>
            </w:r>
          </w:p>
        </w:tc>
        <w:tc>
          <w:tcPr>
            <w:tcW w:w="1099" w:type="dxa"/>
            <w:tcBorders>
              <w:top w:val="single" w:sz="4" w:space="0" w:color="000080"/>
            </w:tcBorders>
          </w:tcPr>
          <w:p w:rsidR="00446D23" w:rsidRPr="00056F24" w:rsidRDefault="00446D23" w:rsidP="00446D23">
            <w:pPr>
              <w:jc w:val="right"/>
            </w:pPr>
            <w:r w:rsidRPr="00056F24">
              <w:t>**</w:t>
            </w:r>
          </w:p>
        </w:tc>
        <w:tc>
          <w:tcPr>
            <w:tcW w:w="1167" w:type="dxa"/>
            <w:tcBorders>
              <w:top w:val="single" w:sz="4" w:space="0" w:color="000080"/>
            </w:tcBorders>
          </w:tcPr>
          <w:p w:rsidR="00446D23" w:rsidRPr="00056F24" w:rsidRDefault="00446D23" w:rsidP="00446D23">
            <w:pPr>
              <w:jc w:val="right"/>
            </w:pPr>
            <w:r>
              <w:t>**</w:t>
            </w:r>
          </w:p>
        </w:tc>
        <w:tc>
          <w:tcPr>
            <w:tcW w:w="843" w:type="dxa"/>
            <w:tcBorders>
              <w:top w:val="single" w:sz="4" w:space="0" w:color="000080"/>
            </w:tcBorders>
          </w:tcPr>
          <w:p w:rsidR="00446D23" w:rsidRPr="00056F24" w:rsidRDefault="00446D23" w:rsidP="00446D23">
            <w:pPr>
              <w:jc w:val="right"/>
            </w:pPr>
            <w:r w:rsidRPr="00056F24">
              <w:t>**</w:t>
            </w:r>
          </w:p>
        </w:tc>
      </w:tr>
      <w:tr w:rsidR="00376B1A" w:rsidRPr="00056F24" w:rsidTr="00446D23">
        <w:tc>
          <w:tcPr>
            <w:tcW w:w="3815" w:type="dxa"/>
          </w:tcPr>
          <w:p w:rsidR="00446D23" w:rsidRPr="00056F24" w:rsidRDefault="00446D23" w:rsidP="00446D23">
            <w:r w:rsidRPr="00056F24">
              <w:rPr>
                <w:i/>
                <w:iCs/>
              </w:rPr>
              <w:t>less</w:t>
            </w:r>
            <w:r w:rsidRPr="00056F24">
              <w:t xml:space="preserve"> estimated Commonwealth contribution</w:t>
            </w:r>
          </w:p>
        </w:tc>
        <w:tc>
          <w:tcPr>
            <w:tcW w:w="1067" w:type="dxa"/>
            <w:tcBorders>
              <w:bottom w:val="single" w:sz="4" w:space="0" w:color="000080"/>
            </w:tcBorders>
          </w:tcPr>
          <w:p w:rsidR="00446D23" w:rsidRPr="00056F24" w:rsidRDefault="00446D23" w:rsidP="00446D23">
            <w:pPr>
              <w:jc w:val="right"/>
            </w:pPr>
            <w:r w:rsidRPr="00056F24">
              <w:t>26.4</w:t>
            </w:r>
          </w:p>
        </w:tc>
        <w:tc>
          <w:tcPr>
            <w:tcW w:w="1079" w:type="dxa"/>
            <w:tcBorders>
              <w:bottom w:val="single" w:sz="4" w:space="0" w:color="000080"/>
            </w:tcBorders>
          </w:tcPr>
          <w:p w:rsidR="00446D23" w:rsidRPr="00056F24" w:rsidRDefault="00446D23" w:rsidP="00446D23">
            <w:pPr>
              <w:jc w:val="right"/>
            </w:pPr>
            <w:r w:rsidRPr="00056F24">
              <w:t>88.0</w:t>
            </w:r>
          </w:p>
        </w:tc>
        <w:tc>
          <w:tcPr>
            <w:tcW w:w="1099" w:type="dxa"/>
            <w:tcBorders>
              <w:bottom w:val="single" w:sz="4" w:space="0" w:color="000080"/>
            </w:tcBorders>
          </w:tcPr>
          <w:p w:rsidR="00446D23" w:rsidRPr="00056F24" w:rsidRDefault="00446D23" w:rsidP="00446D23">
            <w:pPr>
              <w:jc w:val="right"/>
            </w:pPr>
            <w:r>
              <w:t>86.6</w:t>
            </w:r>
          </w:p>
        </w:tc>
        <w:tc>
          <w:tcPr>
            <w:tcW w:w="1167" w:type="dxa"/>
            <w:tcBorders>
              <w:bottom w:val="single" w:sz="4" w:space="0" w:color="000080"/>
            </w:tcBorders>
          </w:tcPr>
          <w:p w:rsidR="00446D23" w:rsidRPr="00056F24" w:rsidRDefault="00446D23" w:rsidP="00446D23">
            <w:pPr>
              <w:jc w:val="right"/>
            </w:pPr>
            <w:r>
              <w:t>57.6</w:t>
            </w:r>
          </w:p>
        </w:tc>
        <w:tc>
          <w:tcPr>
            <w:tcW w:w="843" w:type="dxa"/>
            <w:tcBorders>
              <w:bottom w:val="single" w:sz="4" w:space="0" w:color="000080"/>
            </w:tcBorders>
          </w:tcPr>
          <w:p w:rsidR="00446D23" w:rsidRPr="00056F24" w:rsidRDefault="00376B1A">
            <w:pPr>
              <w:jc w:val="right"/>
            </w:pPr>
            <w:r>
              <w:t xml:space="preserve">  </w:t>
            </w:r>
            <w:r w:rsidR="00446D23">
              <w:t>258.</w:t>
            </w:r>
            <w:r w:rsidR="0052551B">
              <w:t>5</w:t>
            </w:r>
          </w:p>
        </w:tc>
      </w:tr>
      <w:tr w:rsidR="00376B1A" w:rsidRPr="00056F24" w:rsidTr="00446D23">
        <w:trPr>
          <w:cantSplit/>
        </w:trPr>
        <w:tc>
          <w:tcPr>
            <w:tcW w:w="3815" w:type="dxa"/>
          </w:tcPr>
          <w:p w:rsidR="00446D23" w:rsidRPr="00056F24" w:rsidRDefault="00446D23" w:rsidP="00446D23">
            <w:r w:rsidRPr="00056F24">
              <w:t>equals estimated balance of non</w:t>
            </w:r>
            <w:r w:rsidRPr="00056F24">
              <w:noBreakHyphen/>
              <w:t>Commonwealth contributions</w:t>
            </w:r>
          </w:p>
        </w:tc>
        <w:tc>
          <w:tcPr>
            <w:tcW w:w="1067" w:type="dxa"/>
            <w:tcBorders>
              <w:top w:val="single" w:sz="4" w:space="0" w:color="000080"/>
              <w:bottom w:val="single" w:sz="4" w:space="0" w:color="000080"/>
            </w:tcBorders>
          </w:tcPr>
          <w:p w:rsidR="00446D23" w:rsidRPr="00056F24" w:rsidRDefault="00446D23" w:rsidP="00446D23">
            <w:pPr>
              <w:jc w:val="right"/>
            </w:pPr>
            <w:r w:rsidRPr="00056F24">
              <w:t>**</w:t>
            </w:r>
          </w:p>
        </w:tc>
        <w:tc>
          <w:tcPr>
            <w:tcW w:w="1079" w:type="dxa"/>
            <w:tcBorders>
              <w:top w:val="single" w:sz="4" w:space="0" w:color="000080"/>
              <w:bottom w:val="single" w:sz="4" w:space="0" w:color="000080"/>
            </w:tcBorders>
          </w:tcPr>
          <w:p w:rsidR="00446D23" w:rsidRPr="00056F24" w:rsidRDefault="00446D23" w:rsidP="00446D23">
            <w:pPr>
              <w:jc w:val="right"/>
            </w:pPr>
            <w:r w:rsidRPr="00056F24">
              <w:t>**</w:t>
            </w:r>
          </w:p>
        </w:tc>
        <w:tc>
          <w:tcPr>
            <w:tcW w:w="1099" w:type="dxa"/>
            <w:tcBorders>
              <w:top w:val="single" w:sz="4" w:space="0" w:color="000080"/>
              <w:bottom w:val="single" w:sz="4" w:space="0" w:color="000080"/>
            </w:tcBorders>
          </w:tcPr>
          <w:p w:rsidR="00446D23" w:rsidRPr="00056F24" w:rsidRDefault="00446D23" w:rsidP="00446D23">
            <w:pPr>
              <w:jc w:val="right"/>
            </w:pPr>
            <w:r w:rsidRPr="00056F24">
              <w:t>**</w:t>
            </w:r>
          </w:p>
        </w:tc>
        <w:tc>
          <w:tcPr>
            <w:tcW w:w="1167" w:type="dxa"/>
            <w:tcBorders>
              <w:top w:val="single" w:sz="4" w:space="0" w:color="000080"/>
              <w:bottom w:val="single" w:sz="4" w:space="0" w:color="000080"/>
            </w:tcBorders>
          </w:tcPr>
          <w:p w:rsidR="00446D23" w:rsidRPr="00056F24" w:rsidRDefault="00446D23" w:rsidP="00446D23">
            <w:pPr>
              <w:jc w:val="right"/>
            </w:pPr>
            <w:r>
              <w:t>**</w:t>
            </w:r>
          </w:p>
        </w:tc>
        <w:tc>
          <w:tcPr>
            <w:tcW w:w="843" w:type="dxa"/>
            <w:tcBorders>
              <w:top w:val="single" w:sz="4" w:space="0" w:color="000080"/>
              <w:bottom w:val="single" w:sz="4" w:space="0" w:color="000080"/>
            </w:tcBorders>
          </w:tcPr>
          <w:p w:rsidR="00446D23" w:rsidRPr="00056F24" w:rsidRDefault="00446D23" w:rsidP="00446D23">
            <w:pPr>
              <w:jc w:val="right"/>
            </w:pPr>
            <w:r w:rsidRPr="00056F24">
              <w:t>**</w:t>
            </w:r>
          </w:p>
        </w:tc>
      </w:tr>
      <w:tr w:rsidR="00376B1A" w:rsidRPr="00056F24" w:rsidTr="00446D23">
        <w:trPr>
          <w:cantSplit/>
        </w:trPr>
        <w:tc>
          <w:tcPr>
            <w:tcW w:w="3815" w:type="dxa"/>
            <w:tcBorders>
              <w:bottom w:val="single" w:sz="4" w:space="0" w:color="000080"/>
            </w:tcBorders>
          </w:tcPr>
          <w:p w:rsidR="00446D23" w:rsidRPr="00056F24" w:rsidRDefault="00446D23" w:rsidP="00446D23">
            <w:r w:rsidRPr="00056F24">
              <w:rPr>
                <w:b/>
              </w:rPr>
              <w:t>Total Commonwealth contribution</w:t>
            </w:r>
          </w:p>
        </w:tc>
        <w:tc>
          <w:tcPr>
            <w:tcW w:w="1067" w:type="dxa"/>
            <w:tcBorders>
              <w:top w:val="single" w:sz="4" w:space="0" w:color="000080"/>
              <w:bottom w:val="single" w:sz="4" w:space="0" w:color="000080"/>
            </w:tcBorders>
          </w:tcPr>
          <w:p w:rsidR="00446D23" w:rsidRPr="00056F24" w:rsidRDefault="00446D23" w:rsidP="00446D23">
            <w:pPr>
              <w:jc w:val="right"/>
              <w:rPr>
                <w:b/>
              </w:rPr>
            </w:pPr>
            <w:r w:rsidRPr="00056F24">
              <w:rPr>
                <w:b/>
              </w:rPr>
              <w:t>26.4</w:t>
            </w:r>
          </w:p>
        </w:tc>
        <w:tc>
          <w:tcPr>
            <w:tcW w:w="1079" w:type="dxa"/>
            <w:tcBorders>
              <w:top w:val="single" w:sz="4" w:space="0" w:color="000080"/>
              <w:bottom w:val="single" w:sz="4" w:space="0" w:color="000080"/>
            </w:tcBorders>
          </w:tcPr>
          <w:p w:rsidR="00446D23" w:rsidRPr="00056F24" w:rsidRDefault="00446D23" w:rsidP="00446D23">
            <w:pPr>
              <w:jc w:val="right"/>
              <w:rPr>
                <w:b/>
              </w:rPr>
            </w:pPr>
            <w:r w:rsidRPr="00056F24">
              <w:rPr>
                <w:b/>
              </w:rPr>
              <w:t>88.0</w:t>
            </w:r>
          </w:p>
        </w:tc>
        <w:tc>
          <w:tcPr>
            <w:tcW w:w="1099" w:type="dxa"/>
            <w:tcBorders>
              <w:top w:val="single" w:sz="4" w:space="0" w:color="000080"/>
              <w:bottom w:val="single" w:sz="4" w:space="0" w:color="000080"/>
            </w:tcBorders>
          </w:tcPr>
          <w:p w:rsidR="00446D23" w:rsidRPr="00056F24" w:rsidRDefault="00446D23" w:rsidP="00446D23">
            <w:pPr>
              <w:jc w:val="right"/>
              <w:rPr>
                <w:b/>
              </w:rPr>
            </w:pPr>
            <w:r>
              <w:rPr>
                <w:b/>
              </w:rPr>
              <w:t>86.6</w:t>
            </w:r>
          </w:p>
        </w:tc>
        <w:tc>
          <w:tcPr>
            <w:tcW w:w="1167" w:type="dxa"/>
            <w:tcBorders>
              <w:top w:val="single" w:sz="4" w:space="0" w:color="000080"/>
              <w:bottom w:val="single" w:sz="4" w:space="0" w:color="000080"/>
            </w:tcBorders>
          </w:tcPr>
          <w:p w:rsidR="00446D23" w:rsidRPr="00056F24" w:rsidRDefault="00446D23" w:rsidP="00446D23">
            <w:pPr>
              <w:jc w:val="right"/>
              <w:rPr>
                <w:b/>
              </w:rPr>
            </w:pPr>
            <w:r>
              <w:rPr>
                <w:b/>
              </w:rPr>
              <w:t>57.6</w:t>
            </w:r>
          </w:p>
        </w:tc>
        <w:tc>
          <w:tcPr>
            <w:tcW w:w="843" w:type="dxa"/>
            <w:tcBorders>
              <w:top w:val="single" w:sz="4" w:space="0" w:color="000080"/>
              <w:bottom w:val="single" w:sz="4" w:space="0" w:color="000080"/>
            </w:tcBorders>
          </w:tcPr>
          <w:p w:rsidR="00446D23" w:rsidRPr="00056F24" w:rsidRDefault="00376B1A" w:rsidP="00B52023">
            <w:pPr>
              <w:jc w:val="right"/>
              <w:rPr>
                <w:b/>
              </w:rPr>
            </w:pPr>
            <w:r>
              <w:rPr>
                <w:b/>
              </w:rPr>
              <w:t xml:space="preserve">  </w:t>
            </w:r>
            <w:r w:rsidR="00446D23">
              <w:rPr>
                <w:b/>
              </w:rPr>
              <w:t>258.</w:t>
            </w:r>
            <w:r w:rsidR="00B52023">
              <w:rPr>
                <w:b/>
              </w:rPr>
              <w:t>5</w:t>
            </w:r>
          </w:p>
        </w:tc>
      </w:tr>
    </w:tbl>
    <w:p w:rsidR="001D798E" w:rsidRPr="00056F24" w:rsidRDefault="001D798E" w:rsidP="001D798E">
      <w:pPr>
        <w:keepNext/>
        <w:keepLines/>
        <w:spacing w:before="120" w:after="60"/>
        <w:outlineLvl w:val="1"/>
        <w:rPr>
          <w:rFonts w:cs="Arial"/>
          <w:bCs/>
          <w:iCs/>
          <w:color w:val="auto"/>
          <w:sz w:val="16"/>
          <w:szCs w:val="16"/>
          <w:lang w:val="en-GB"/>
        </w:rPr>
      </w:pPr>
      <w:r w:rsidRPr="00056F24">
        <w:rPr>
          <w:rFonts w:cs="Arial"/>
          <w:bCs/>
          <w:iCs/>
          <w:color w:val="auto"/>
          <w:sz w:val="16"/>
          <w:szCs w:val="16"/>
          <w:lang w:val="en-GB"/>
        </w:rPr>
        <w:t xml:space="preserve">Figures may not add due to rounding. All figures are estimates, including estimated allocations by element. </w:t>
      </w:r>
    </w:p>
    <w:p w:rsidR="001D798E" w:rsidRPr="00056F24" w:rsidRDefault="00FF28A9" w:rsidP="001D798E">
      <w:pPr>
        <w:rPr>
          <w:rFonts w:cs="Arial"/>
          <w:bCs/>
          <w:iCs/>
          <w:color w:val="auto"/>
          <w:sz w:val="16"/>
          <w:szCs w:val="16"/>
          <w:lang w:val="en-GB"/>
        </w:rPr>
      </w:pPr>
      <w:r w:rsidRPr="00056F24">
        <w:rPr>
          <w:rFonts w:cs="Arial"/>
          <w:bCs/>
          <w:iCs/>
          <w:color w:val="auto"/>
          <w:sz w:val="16"/>
          <w:szCs w:val="16"/>
          <w:lang w:val="en-GB"/>
        </w:rPr>
        <w:t xml:space="preserve">Queensland is </w:t>
      </w:r>
      <w:r w:rsidR="001D798E" w:rsidRPr="00056F24">
        <w:rPr>
          <w:rFonts w:cs="Arial"/>
          <w:bCs/>
          <w:iCs/>
          <w:color w:val="auto"/>
          <w:sz w:val="16"/>
          <w:szCs w:val="16"/>
          <w:lang w:val="en-GB"/>
        </w:rPr>
        <w:t>responsible for provi</w:t>
      </w:r>
      <w:r w:rsidRPr="00056F24">
        <w:rPr>
          <w:rFonts w:cs="Arial"/>
          <w:bCs/>
          <w:iCs/>
          <w:color w:val="auto"/>
          <w:sz w:val="16"/>
          <w:szCs w:val="16"/>
          <w:lang w:val="en-GB"/>
        </w:rPr>
        <w:t xml:space="preserve">ding funding to support all children’s quality </w:t>
      </w:r>
      <w:r w:rsidR="001D798E" w:rsidRPr="00056F24">
        <w:rPr>
          <w:rFonts w:cs="Arial"/>
          <w:bCs/>
          <w:iCs/>
          <w:color w:val="auto"/>
          <w:sz w:val="16"/>
          <w:szCs w:val="16"/>
          <w:lang w:val="en-GB"/>
        </w:rPr>
        <w:t xml:space="preserve">early childhood education </w:t>
      </w:r>
      <w:r w:rsidRPr="00056F24">
        <w:rPr>
          <w:rFonts w:cs="Arial"/>
          <w:bCs/>
          <w:iCs/>
          <w:color w:val="auto"/>
          <w:sz w:val="16"/>
          <w:szCs w:val="16"/>
          <w:lang w:val="en-GB"/>
        </w:rPr>
        <w:t xml:space="preserve">participation </w:t>
      </w:r>
      <w:r w:rsidR="001D798E" w:rsidRPr="00056F24">
        <w:rPr>
          <w:rFonts w:cs="Arial"/>
          <w:bCs/>
          <w:iCs/>
          <w:color w:val="auto"/>
          <w:sz w:val="16"/>
          <w:szCs w:val="16"/>
          <w:lang w:val="en-GB"/>
        </w:rPr>
        <w:t>and Queensland allocates its own source funding accordingly.</w:t>
      </w:r>
    </w:p>
    <w:p w:rsidR="00DD1CE5" w:rsidRPr="00056F24" w:rsidRDefault="00DD1CE5" w:rsidP="00DD1CE5"/>
    <w:p w:rsidR="0036688B" w:rsidRPr="00056F24" w:rsidRDefault="007B4BA6" w:rsidP="002D5120">
      <w:pPr>
        <w:pStyle w:val="Heading2"/>
        <w:spacing w:after="120"/>
      </w:pPr>
      <w:r w:rsidRPr="00056F24">
        <w:t>Program</w:t>
      </w:r>
      <w:r w:rsidR="0036688B" w:rsidRPr="00056F24">
        <w:t xml:space="preserve"> logic</w:t>
      </w:r>
    </w:p>
    <w:p w:rsidR="0036688B" w:rsidRPr="00056F24" w:rsidRDefault="0036688B" w:rsidP="0036688B">
      <w:pPr>
        <w:pStyle w:val="Normalnumbered"/>
        <w:spacing w:after="240" w:line="260" w:lineRule="exact"/>
        <w:jc w:val="both"/>
      </w:pPr>
      <w:r w:rsidRPr="00056F24">
        <w:t xml:space="preserve">The </w:t>
      </w:r>
      <w:r w:rsidR="00334C02" w:rsidRPr="00056F24">
        <w:t>project</w:t>
      </w:r>
      <w:r w:rsidR="00432B5D" w:rsidRPr="00056F24">
        <w:t xml:space="preserve"> element</w:t>
      </w:r>
      <w:r w:rsidR="00334C02" w:rsidRPr="00056F24">
        <w:t xml:space="preserve">s </w:t>
      </w:r>
      <w:r w:rsidRPr="00056F24">
        <w:t xml:space="preserve">detailed in this Implementation Plan will achieve the outcomes and objectives stated in the </w:t>
      </w:r>
      <w:r w:rsidR="002E328E" w:rsidRPr="00056F24">
        <w:t>National Partnership</w:t>
      </w:r>
      <w:r w:rsidR="005C7691" w:rsidRPr="00056F24">
        <w:t>,</w:t>
      </w:r>
      <w:r w:rsidRPr="00056F24">
        <w:t xml:space="preserve"> </w:t>
      </w:r>
      <w:r w:rsidR="005C7691" w:rsidRPr="00056F24">
        <w:t>including for vulnerable and disadvantaged children and Indigenous children</w:t>
      </w:r>
      <w:r w:rsidRPr="00056F24">
        <w:t>.</w:t>
      </w:r>
    </w:p>
    <w:p w:rsidR="008028DF" w:rsidRPr="00056F24" w:rsidRDefault="0036688B" w:rsidP="00C97496">
      <w:pPr>
        <w:pStyle w:val="Normalnumbered"/>
        <w:spacing w:after="240" w:line="260" w:lineRule="exact"/>
        <w:sectPr w:rsidR="008028DF" w:rsidRPr="00056F24" w:rsidSect="00105D35">
          <w:pgSz w:w="11906" w:h="16838" w:code="9"/>
          <w:pgMar w:top="851" w:right="1418" w:bottom="1021" w:left="1418" w:header="567" w:footer="567" w:gutter="0"/>
          <w:cols w:space="708"/>
          <w:docGrid w:linePitch="360"/>
        </w:sectPr>
      </w:pPr>
      <w:r w:rsidRPr="00056F24">
        <w:t xml:space="preserve">The way in which these </w:t>
      </w:r>
      <w:r w:rsidR="00334C02" w:rsidRPr="00056F24">
        <w:t>project</w:t>
      </w:r>
      <w:r w:rsidR="00432B5D" w:rsidRPr="00056F24">
        <w:t xml:space="preserve"> element</w:t>
      </w:r>
      <w:r w:rsidR="00334C02" w:rsidRPr="00056F24">
        <w:t xml:space="preserve">s </w:t>
      </w:r>
      <w:r w:rsidRPr="00056F24">
        <w:t xml:space="preserve">will achieve the outcomes and objectives set out in the </w:t>
      </w:r>
      <w:r w:rsidR="002E328E" w:rsidRPr="00056F24">
        <w:t>National Partnership</w:t>
      </w:r>
      <w:r w:rsidRPr="00056F24">
        <w:t xml:space="preserve"> is detailed in</w:t>
      </w:r>
      <w:r w:rsidR="00141ACB" w:rsidRPr="00056F24">
        <w:t xml:space="preserve"> Table 3 below.</w:t>
      </w:r>
      <w:r w:rsidRPr="00056F24">
        <w:t xml:space="preserve"> </w:t>
      </w:r>
    </w:p>
    <w:p w:rsidR="003E230C" w:rsidRPr="00056F24" w:rsidRDefault="0036688B" w:rsidP="00612BDE">
      <w:pPr>
        <w:keepNext/>
        <w:spacing w:after="120"/>
        <w:outlineLvl w:val="2"/>
        <w:rPr>
          <w:rFonts w:ascii="Consolas" w:hAnsi="Consolas"/>
          <w:b/>
          <w:color w:val="3D4B67"/>
          <w:szCs w:val="20"/>
        </w:rPr>
      </w:pPr>
      <w:r w:rsidRPr="00056F24">
        <w:rPr>
          <w:rFonts w:ascii="Consolas" w:hAnsi="Consolas"/>
          <w:b/>
          <w:color w:val="3D4B67"/>
          <w:szCs w:val="20"/>
        </w:rPr>
        <w:t xml:space="preserve">Table </w:t>
      </w:r>
      <w:r w:rsidR="008A1747" w:rsidRPr="00056F24">
        <w:rPr>
          <w:rFonts w:ascii="Consolas" w:hAnsi="Consolas"/>
          <w:b/>
          <w:color w:val="3D4B67"/>
          <w:szCs w:val="20"/>
        </w:rPr>
        <w:t>3</w:t>
      </w:r>
      <w:r w:rsidRPr="00056F24">
        <w:rPr>
          <w:rFonts w:ascii="Consolas" w:hAnsi="Consolas"/>
          <w:b/>
          <w:color w:val="3D4B67"/>
          <w:szCs w:val="20"/>
        </w:rPr>
        <w:t xml:space="preserve">: </w:t>
      </w:r>
      <w:r w:rsidR="007B4BA6" w:rsidRPr="00056F24">
        <w:rPr>
          <w:rFonts w:ascii="Consolas" w:hAnsi="Consolas"/>
          <w:b/>
          <w:color w:val="3D4B67"/>
          <w:szCs w:val="20"/>
        </w:rPr>
        <w:t>Program</w:t>
      </w:r>
      <w:r w:rsidRPr="00056F24">
        <w:rPr>
          <w:rFonts w:ascii="Consolas" w:hAnsi="Consolas"/>
          <w:b/>
          <w:color w:val="3D4B67"/>
          <w:szCs w:val="20"/>
        </w:rPr>
        <w:t xml:space="preserve"> logic</w:t>
      </w:r>
    </w:p>
    <w:p w:rsidR="008028DF" w:rsidRPr="00056F24" w:rsidRDefault="008028DF" w:rsidP="00612BDE">
      <w:pPr>
        <w:keepNext/>
        <w:spacing w:after="120"/>
        <w:outlineLvl w:val="2"/>
        <w:rPr>
          <w:rFonts w:eastAsia="SimSun" w:cs="Arial"/>
          <w:color w:val="auto"/>
          <w:sz w:val="21"/>
          <w:szCs w:val="21"/>
          <w:lang w:val="en-GB" w:eastAsia="zh-CN"/>
        </w:rPr>
      </w:pPr>
      <w:r w:rsidRPr="00056F24">
        <w:rPr>
          <w:rFonts w:eastAsia="SimSun" w:cs="Arial"/>
          <w:color w:val="auto"/>
          <w:sz w:val="21"/>
          <w:szCs w:val="21"/>
          <w:lang w:val="en-GB" w:eastAsia="zh-CN"/>
        </w:rPr>
        <w:t>Summary of project to be continued or implemented during the 20</w:t>
      </w:r>
      <w:r w:rsidR="00E900F0">
        <w:rPr>
          <w:rFonts w:eastAsia="SimSun" w:cs="Arial"/>
          <w:color w:val="auto"/>
          <w:sz w:val="21"/>
          <w:szCs w:val="21"/>
          <w:lang w:val="en-GB" w:eastAsia="zh-CN"/>
        </w:rPr>
        <w:t>20</w:t>
      </w:r>
      <w:r w:rsidRPr="00056F24">
        <w:rPr>
          <w:rFonts w:eastAsia="SimSun" w:cs="Arial"/>
          <w:color w:val="auto"/>
          <w:sz w:val="21"/>
          <w:szCs w:val="21"/>
          <w:lang w:val="en-GB" w:eastAsia="zh-CN"/>
        </w:rPr>
        <w:t xml:space="preserve"> calendar year. </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48"/>
        <w:gridCol w:w="3374"/>
        <w:gridCol w:w="3515"/>
        <w:gridCol w:w="2951"/>
        <w:gridCol w:w="2608"/>
        <w:gridCol w:w="9"/>
      </w:tblGrid>
      <w:tr w:rsidR="008028DF" w:rsidRPr="00056F24" w:rsidTr="008028DF">
        <w:trPr>
          <w:cantSplit/>
        </w:trPr>
        <w:tc>
          <w:tcPr>
            <w:tcW w:w="821" w:type="pct"/>
            <w:shd w:val="clear" w:color="auto" w:fill="E6E6E6"/>
          </w:tcPr>
          <w:p w:rsidR="00F2493A" w:rsidRPr="00056F24" w:rsidRDefault="00737A4C" w:rsidP="004C6F59">
            <w:pPr>
              <w:jc w:val="center"/>
              <w:rPr>
                <w:rFonts w:ascii="Times New Roman" w:hAnsi="Times New Roman"/>
                <w:b/>
              </w:rPr>
            </w:pPr>
            <w:r w:rsidRPr="00056F24">
              <w:rPr>
                <w:b/>
                <w:lang w:eastAsia="en-US"/>
              </w:rPr>
              <w:t>Project</w:t>
            </w:r>
            <w:r w:rsidR="00432B5D" w:rsidRPr="00056F24">
              <w:rPr>
                <w:b/>
                <w:lang w:eastAsia="en-US"/>
              </w:rPr>
              <w:t xml:space="preserve"> element</w:t>
            </w:r>
            <w:r w:rsidR="00F2493A" w:rsidRPr="00056F24">
              <w:rPr>
                <w:b/>
                <w:lang w:eastAsia="en-US"/>
              </w:rPr>
              <w:t>s</w:t>
            </w:r>
          </w:p>
        </w:tc>
        <w:tc>
          <w:tcPr>
            <w:tcW w:w="1132" w:type="pct"/>
            <w:shd w:val="clear" w:color="auto" w:fill="E6E6E6"/>
          </w:tcPr>
          <w:p w:rsidR="00F2493A" w:rsidRPr="00056F24" w:rsidRDefault="00F2493A" w:rsidP="004C6F59">
            <w:pPr>
              <w:jc w:val="center"/>
              <w:rPr>
                <w:b/>
              </w:rPr>
            </w:pPr>
            <w:r w:rsidRPr="00056F24">
              <w:rPr>
                <w:b/>
              </w:rPr>
              <w:t>Outputs</w:t>
            </w:r>
          </w:p>
          <w:p w:rsidR="00F2493A" w:rsidRPr="00056F24" w:rsidRDefault="00DC0703" w:rsidP="00FB6032">
            <w:pPr>
              <w:jc w:val="center"/>
              <w:rPr>
                <w:b/>
              </w:rPr>
            </w:pPr>
            <w:r w:rsidRPr="00056F24">
              <w:t>(for example</w:t>
            </w:r>
            <w:r w:rsidR="00F2493A" w:rsidRPr="00056F24">
              <w:t xml:space="preserve"> services delivered, buildings constructed)</w:t>
            </w:r>
          </w:p>
        </w:tc>
        <w:tc>
          <w:tcPr>
            <w:tcW w:w="1179" w:type="pct"/>
            <w:shd w:val="clear" w:color="auto" w:fill="E6E6E6"/>
          </w:tcPr>
          <w:p w:rsidR="00F2493A" w:rsidRPr="00056F24" w:rsidRDefault="00F2493A" w:rsidP="004C6F59">
            <w:pPr>
              <w:jc w:val="center"/>
              <w:rPr>
                <w:b/>
              </w:rPr>
            </w:pPr>
            <w:r w:rsidRPr="00056F24">
              <w:rPr>
                <w:b/>
              </w:rPr>
              <w:t>Outcomes</w:t>
            </w:r>
          </w:p>
        </w:tc>
        <w:tc>
          <w:tcPr>
            <w:tcW w:w="990" w:type="pct"/>
            <w:shd w:val="clear" w:color="auto" w:fill="E6E6E6"/>
          </w:tcPr>
          <w:p w:rsidR="00F2493A" w:rsidRPr="00056F24" w:rsidRDefault="00F2493A" w:rsidP="004C6F59">
            <w:pPr>
              <w:jc w:val="center"/>
              <w:rPr>
                <w:b/>
              </w:rPr>
            </w:pPr>
            <w:r w:rsidRPr="00056F24">
              <w:rPr>
                <w:b/>
              </w:rPr>
              <w:t>Reform</w:t>
            </w:r>
            <w:r w:rsidR="004C6F59" w:rsidRPr="00056F24">
              <w:rPr>
                <w:b/>
              </w:rPr>
              <w:t xml:space="preserve"> </w:t>
            </w:r>
            <w:r w:rsidRPr="00056F24">
              <w:rPr>
                <w:b/>
              </w:rPr>
              <w:t>/ Project Objectives</w:t>
            </w:r>
          </w:p>
        </w:tc>
        <w:tc>
          <w:tcPr>
            <w:tcW w:w="878" w:type="pct"/>
            <w:gridSpan w:val="2"/>
            <w:shd w:val="clear" w:color="auto" w:fill="E6E6E6"/>
          </w:tcPr>
          <w:p w:rsidR="00F2493A" w:rsidRPr="00056F24" w:rsidRDefault="00F2493A" w:rsidP="004C6F59">
            <w:pPr>
              <w:jc w:val="center"/>
              <w:rPr>
                <w:b/>
              </w:rPr>
            </w:pPr>
            <w:r w:rsidRPr="00056F24">
              <w:rPr>
                <w:b/>
              </w:rPr>
              <w:t>Responsibilities</w:t>
            </w:r>
          </w:p>
        </w:tc>
      </w:tr>
      <w:tr w:rsidR="008028DF" w:rsidRPr="00056F24" w:rsidTr="008028DF">
        <w:tblPrEx>
          <w:tblCellMar>
            <w:top w:w="0" w:type="dxa"/>
            <w:left w:w="108" w:type="dxa"/>
            <w:bottom w:w="0" w:type="dxa"/>
            <w:right w:w="108" w:type="dxa"/>
          </w:tblCellMar>
          <w:tblLook w:val="04A0" w:firstRow="1" w:lastRow="0" w:firstColumn="1" w:lastColumn="0" w:noHBand="0" w:noVBand="1"/>
        </w:tblPrEx>
        <w:trPr>
          <w:gridAfter w:val="1"/>
          <w:wAfter w:w="3" w:type="pct"/>
        </w:trPr>
        <w:tc>
          <w:tcPr>
            <w:tcW w:w="821" w:type="pct"/>
          </w:tcPr>
          <w:p w:rsidR="008028DF" w:rsidRPr="00056F24" w:rsidRDefault="008028DF" w:rsidP="005962E6">
            <w:pPr>
              <w:pStyle w:val="NoSpacing"/>
              <w:numPr>
                <w:ilvl w:val="0"/>
                <w:numId w:val="19"/>
              </w:numPr>
              <w:rPr>
                <w:rFonts w:ascii="Corbel" w:hAnsi="Corbel" w:cs="Arial"/>
                <w:sz w:val="21"/>
                <w:szCs w:val="21"/>
                <w:lang w:val="en-GB"/>
              </w:rPr>
            </w:pPr>
            <w:r w:rsidRPr="00056F24">
              <w:rPr>
                <w:rFonts w:ascii="Corbel" w:hAnsi="Corbel" w:cs="Arial"/>
                <w:sz w:val="21"/>
                <w:szCs w:val="21"/>
                <w:lang w:val="en-GB"/>
              </w:rPr>
              <w:t>Access and Affordability</w:t>
            </w:r>
          </w:p>
        </w:tc>
        <w:tc>
          <w:tcPr>
            <w:tcW w:w="1132"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Implementing accessible quality early childhood education programs which meet the needs of parents and communities at a cost which does not present a barrier to participation, particularly for vulnerable and disadvantaged children</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Delivering strategies and actions targeting the participation of Indigenous children, including in remote areas</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Delivering strategies and actions targeting the participation of vulnerable and disadvantaged children</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Supporting all children’s quality early childhood education participation, regardless of whether quality early childhood education programs are delivered through schools (non-government and government), standalone preschools or long day care centres</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tc>
        <w:tc>
          <w:tcPr>
            <w:tcW w:w="1179"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 xml:space="preserve">All children, including vulnerable and disadvantaged children, have access to, and </w:t>
            </w:r>
            <w:r w:rsidR="005124CE" w:rsidRPr="00056F24">
              <w:rPr>
                <w:rFonts w:ascii="Corbel" w:hAnsi="Corbel" w:cs="Arial"/>
                <w:sz w:val="21"/>
                <w:szCs w:val="21"/>
                <w:lang w:val="en-GB"/>
              </w:rPr>
              <w:t xml:space="preserve">can </w:t>
            </w:r>
            <w:r w:rsidRPr="00056F24">
              <w:rPr>
                <w:rFonts w:ascii="Corbel" w:hAnsi="Corbel" w:cs="Arial"/>
                <w:sz w:val="21"/>
                <w:szCs w:val="21"/>
                <w:lang w:val="en-GB"/>
              </w:rPr>
              <w:t>participate in, an affordable, quality early childhood education program.</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Default"/>
              <w:rPr>
                <w:rFonts w:eastAsia="SimSun" w:cs="Arial"/>
                <w:color w:val="auto"/>
                <w:sz w:val="21"/>
                <w:szCs w:val="21"/>
                <w:lang w:val="en-GB" w:eastAsia="zh-CN"/>
              </w:rPr>
            </w:pPr>
            <w:r w:rsidRPr="00056F24">
              <w:rPr>
                <w:rFonts w:eastAsia="SimSun" w:cs="Arial"/>
                <w:color w:val="auto"/>
                <w:sz w:val="21"/>
                <w:szCs w:val="21"/>
                <w:lang w:val="en-GB" w:eastAsia="zh-CN"/>
              </w:rPr>
              <w:t>All Indigenous children have access to, and</w:t>
            </w:r>
            <w:r w:rsidR="005124CE" w:rsidRPr="00056F24">
              <w:rPr>
                <w:rFonts w:eastAsia="SimSun" w:cs="Arial"/>
                <w:color w:val="auto"/>
                <w:sz w:val="21"/>
                <w:szCs w:val="21"/>
                <w:lang w:val="en-GB" w:eastAsia="zh-CN"/>
              </w:rPr>
              <w:t xml:space="preserve"> can</w:t>
            </w:r>
            <w:r w:rsidRPr="00056F24">
              <w:rPr>
                <w:rFonts w:eastAsia="SimSun" w:cs="Arial"/>
                <w:color w:val="auto"/>
                <w:sz w:val="21"/>
                <w:szCs w:val="21"/>
                <w:lang w:val="en-GB" w:eastAsia="zh-CN"/>
              </w:rPr>
              <w:t xml:space="preserve"> participate in, an affordable, quality early childhood education program.</w:t>
            </w:r>
          </w:p>
          <w:p w:rsidR="008028DF" w:rsidRPr="00056F24" w:rsidRDefault="008028DF" w:rsidP="00CF47A4">
            <w:pPr>
              <w:pStyle w:val="Default"/>
              <w:rPr>
                <w:rFonts w:eastAsia="SimSun" w:cs="Arial"/>
                <w:color w:val="auto"/>
                <w:sz w:val="21"/>
                <w:szCs w:val="21"/>
                <w:lang w:val="en-GB" w:eastAsia="zh-CN"/>
              </w:rPr>
            </w:pPr>
          </w:p>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All Indigenous four</w:t>
            </w:r>
            <w:r w:rsidR="00E900F0">
              <w:rPr>
                <w:rFonts w:ascii="Corbel" w:hAnsi="Corbel" w:cs="Arial"/>
                <w:sz w:val="21"/>
                <w:szCs w:val="21"/>
                <w:lang w:val="en-GB"/>
              </w:rPr>
              <w:t>-</w:t>
            </w:r>
            <w:r w:rsidRPr="00056F24">
              <w:rPr>
                <w:rFonts w:ascii="Corbel" w:hAnsi="Corbel" w:cs="Arial"/>
                <w:sz w:val="21"/>
                <w:szCs w:val="21"/>
                <w:lang w:val="en-GB"/>
              </w:rPr>
              <w:t>year-olds in remote communities have access to early childhood education</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p>
        </w:tc>
        <w:tc>
          <w:tcPr>
            <w:tcW w:w="990"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To facilitate children’s early learning and development and transition to school, by maintaining universal access to, and improving participation in, affordable, quality early childhood education programs for all children</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tc>
        <w:tc>
          <w:tcPr>
            <w:tcW w:w="875"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 xml:space="preserve">Queensland Government/ ECEC Sector </w:t>
            </w:r>
          </w:p>
        </w:tc>
      </w:tr>
      <w:tr w:rsidR="008028DF" w:rsidRPr="00056F24" w:rsidTr="008028DF">
        <w:tblPrEx>
          <w:tblCellMar>
            <w:top w:w="0" w:type="dxa"/>
            <w:left w:w="108" w:type="dxa"/>
            <w:bottom w:w="0" w:type="dxa"/>
            <w:right w:w="108" w:type="dxa"/>
          </w:tblCellMar>
          <w:tblLook w:val="04A0" w:firstRow="1" w:lastRow="0" w:firstColumn="1" w:lastColumn="0" w:noHBand="0" w:noVBand="1"/>
        </w:tblPrEx>
        <w:trPr>
          <w:gridAfter w:val="1"/>
          <w:wAfter w:w="3" w:type="pct"/>
          <w:trHeight w:val="286"/>
        </w:trPr>
        <w:tc>
          <w:tcPr>
            <w:tcW w:w="821" w:type="pct"/>
          </w:tcPr>
          <w:p w:rsidR="008028DF" w:rsidRPr="00056F24" w:rsidRDefault="008028DF" w:rsidP="005962E6">
            <w:pPr>
              <w:pStyle w:val="NoSpacing"/>
              <w:numPr>
                <w:ilvl w:val="0"/>
                <w:numId w:val="19"/>
              </w:numPr>
              <w:rPr>
                <w:rFonts w:ascii="Corbel" w:hAnsi="Corbel" w:cs="Arial"/>
                <w:sz w:val="21"/>
                <w:szCs w:val="21"/>
                <w:lang w:val="en-GB"/>
              </w:rPr>
            </w:pPr>
            <w:r w:rsidRPr="00056F24">
              <w:rPr>
                <w:rFonts w:ascii="Corbel" w:hAnsi="Corbel" w:cs="Arial"/>
                <w:sz w:val="21"/>
                <w:szCs w:val="21"/>
                <w:lang w:val="en-GB"/>
              </w:rPr>
              <w:t>Inclusion and Equity</w:t>
            </w:r>
          </w:p>
        </w:tc>
        <w:tc>
          <w:tcPr>
            <w:tcW w:w="1132"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Delivering strategies and actions targeting the participation of Indigenous children, including in remote areas</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Delivering strategies and actions targeting the participation of vulnerable and disadvantaged children</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p>
        </w:tc>
        <w:tc>
          <w:tcPr>
            <w:tcW w:w="1179"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 xml:space="preserve">All children, including vulnerable and disadvantaged children, have access to, and </w:t>
            </w:r>
            <w:r w:rsidR="005124CE" w:rsidRPr="00056F24">
              <w:rPr>
                <w:rFonts w:ascii="Corbel" w:hAnsi="Corbel" w:cs="Arial"/>
                <w:sz w:val="21"/>
                <w:szCs w:val="21"/>
                <w:lang w:val="en-GB"/>
              </w:rPr>
              <w:t xml:space="preserve">can </w:t>
            </w:r>
            <w:r w:rsidRPr="00056F24">
              <w:rPr>
                <w:rFonts w:ascii="Corbel" w:hAnsi="Corbel" w:cs="Arial"/>
                <w:sz w:val="21"/>
                <w:szCs w:val="21"/>
                <w:lang w:val="en-GB"/>
              </w:rPr>
              <w:t>participate in, an affordable, quality early childhood education program.</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Default"/>
              <w:rPr>
                <w:rFonts w:eastAsia="SimSun" w:cs="Arial"/>
                <w:color w:val="auto"/>
                <w:sz w:val="21"/>
                <w:szCs w:val="21"/>
                <w:lang w:val="en-GB" w:eastAsia="zh-CN"/>
              </w:rPr>
            </w:pPr>
            <w:r w:rsidRPr="00056F24">
              <w:rPr>
                <w:rFonts w:eastAsia="SimSun" w:cs="Arial"/>
                <w:color w:val="auto"/>
                <w:sz w:val="21"/>
                <w:szCs w:val="21"/>
                <w:lang w:val="en-GB" w:eastAsia="zh-CN"/>
              </w:rPr>
              <w:t xml:space="preserve">All Indigenous children have access to, and </w:t>
            </w:r>
            <w:r w:rsidR="005124CE" w:rsidRPr="00056F24">
              <w:rPr>
                <w:rFonts w:eastAsia="SimSun" w:cs="Arial"/>
                <w:color w:val="auto"/>
                <w:sz w:val="21"/>
                <w:szCs w:val="21"/>
                <w:lang w:val="en-GB" w:eastAsia="zh-CN"/>
              </w:rPr>
              <w:t xml:space="preserve">can </w:t>
            </w:r>
            <w:r w:rsidRPr="00056F24">
              <w:rPr>
                <w:rFonts w:eastAsia="SimSun" w:cs="Arial"/>
                <w:color w:val="auto"/>
                <w:sz w:val="21"/>
                <w:szCs w:val="21"/>
                <w:lang w:val="en-GB" w:eastAsia="zh-CN"/>
              </w:rPr>
              <w:t>participate in, an affordable, quality early childhood education program.</w:t>
            </w:r>
          </w:p>
          <w:p w:rsidR="008028DF" w:rsidRPr="00056F24" w:rsidRDefault="008028DF" w:rsidP="00CF47A4">
            <w:pPr>
              <w:pStyle w:val="Default"/>
              <w:rPr>
                <w:rFonts w:eastAsia="SimSun" w:cs="Arial"/>
                <w:color w:val="auto"/>
                <w:sz w:val="21"/>
                <w:szCs w:val="21"/>
                <w:lang w:val="en-GB" w:eastAsia="zh-CN"/>
              </w:rPr>
            </w:pPr>
          </w:p>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All Indigenous four</w:t>
            </w:r>
            <w:r w:rsidR="00E900F0">
              <w:rPr>
                <w:rFonts w:ascii="Corbel" w:hAnsi="Corbel" w:cs="Arial"/>
                <w:sz w:val="21"/>
                <w:szCs w:val="21"/>
                <w:lang w:val="en-GB"/>
              </w:rPr>
              <w:t>-</w:t>
            </w:r>
            <w:r w:rsidRPr="00056F24">
              <w:rPr>
                <w:rFonts w:ascii="Corbel" w:hAnsi="Corbel" w:cs="Arial"/>
                <w:sz w:val="21"/>
                <w:szCs w:val="21"/>
                <w:lang w:val="en-GB"/>
              </w:rPr>
              <w:t>year-olds in remote communities have access to early childhood education</w:t>
            </w:r>
            <w:r w:rsidR="005124CE" w:rsidRPr="00056F24">
              <w:rPr>
                <w:rFonts w:ascii="Corbel" w:hAnsi="Corbel" w:cs="Arial"/>
                <w:sz w:val="21"/>
                <w:szCs w:val="21"/>
                <w:lang w:val="en-GB"/>
              </w:rPr>
              <w:t>.</w:t>
            </w:r>
          </w:p>
          <w:p w:rsidR="008028DF" w:rsidRPr="00056F24" w:rsidRDefault="008028DF" w:rsidP="00CF47A4">
            <w:pPr>
              <w:pStyle w:val="NoSpacing"/>
              <w:rPr>
                <w:rFonts w:ascii="Corbel" w:hAnsi="Corbel" w:cs="Arial"/>
                <w:sz w:val="21"/>
                <w:szCs w:val="21"/>
                <w:lang w:val="en-GB"/>
              </w:rPr>
            </w:pPr>
          </w:p>
          <w:p w:rsidR="008028DF" w:rsidRPr="00056F24" w:rsidRDefault="008028DF" w:rsidP="00CF47A4">
            <w:pPr>
              <w:pStyle w:val="NoSpacing"/>
              <w:rPr>
                <w:rFonts w:ascii="Corbel" w:hAnsi="Corbel" w:cs="Arial"/>
                <w:sz w:val="21"/>
                <w:szCs w:val="21"/>
                <w:lang w:val="en-GB"/>
              </w:rPr>
            </w:pPr>
          </w:p>
        </w:tc>
        <w:tc>
          <w:tcPr>
            <w:tcW w:w="990" w:type="pct"/>
          </w:tcPr>
          <w:p w:rsidR="008028DF" w:rsidRPr="00056F24" w:rsidRDefault="008028DF" w:rsidP="00CF47A4">
            <w:pPr>
              <w:rPr>
                <w:rFonts w:eastAsia="SimSun" w:cs="Arial"/>
                <w:color w:val="auto"/>
                <w:sz w:val="21"/>
                <w:szCs w:val="21"/>
                <w:lang w:val="en-GB" w:eastAsia="zh-CN"/>
              </w:rPr>
            </w:pPr>
            <w:r w:rsidRPr="00056F24">
              <w:rPr>
                <w:rFonts w:eastAsia="SimSun" w:cs="Arial"/>
                <w:color w:val="auto"/>
                <w:sz w:val="21"/>
                <w:szCs w:val="21"/>
                <w:lang w:val="en-GB" w:eastAsia="zh-CN"/>
              </w:rPr>
              <w:t>To facilitate children’s early learning and development and transition to school, by maintaining universal access</w:t>
            </w:r>
            <w:r w:rsidRPr="00056F24" w:rsidDel="00DC012C">
              <w:rPr>
                <w:rFonts w:eastAsia="SimSun" w:cs="Arial"/>
                <w:color w:val="auto"/>
                <w:sz w:val="21"/>
                <w:szCs w:val="21"/>
                <w:lang w:val="en-GB" w:eastAsia="zh-CN"/>
              </w:rPr>
              <w:t xml:space="preserve"> </w:t>
            </w:r>
            <w:r w:rsidRPr="00056F24">
              <w:rPr>
                <w:rFonts w:eastAsia="SimSun" w:cs="Arial"/>
                <w:color w:val="auto"/>
                <w:sz w:val="21"/>
                <w:szCs w:val="21"/>
                <w:lang w:val="en-GB" w:eastAsia="zh-CN"/>
              </w:rPr>
              <w:t>to, and improving participation in, affordable, quality early childhood education programs for all children</w:t>
            </w:r>
            <w:r w:rsidR="005124CE" w:rsidRPr="00056F24">
              <w:rPr>
                <w:rFonts w:eastAsia="SimSun" w:cs="Arial"/>
                <w:color w:val="auto"/>
                <w:sz w:val="21"/>
                <w:szCs w:val="21"/>
                <w:lang w:val="en-GB" w:eastAsia="zh-CN"/>
              </w:rPr>
              <w:t>.</w:t>
            </w:r>
          </w:p>
        </w:tc>
        <w:tc>
          <w:tcPr>
            <w:tcW w:w="875" w:type="pct"/>
          </w:tcPr>
          <w:p w:rsidR="008028DF" w:rsidRPr="00056F24" w:rsidRDefault="008028DF" w:rsidP="00CF47A4">
            <w:pPr>
              <w:pStyle w:val="NoSpacing"/>
              <w:rPr>
                <w:rFonts w:ascii="Corbel" w:hAnsi="Corbel" w:cs="Arial"/>
                <w:sz w:val="21"/>
                <w:szCs w:val="21"/>
                <w:lang w:val="en-GB"/>
              </w:rPr>
            </w:pPr>
            <w:r w:rsidRPr="00056F24">
              <w:rPr>
                <w:rFonts w:ascii="Corbel" w:hAnsi="Corbel" w:cs="Arial"/>
                <w:sz w:val="21"/>
                <w:szCs w:val="21"/>
                <w:lang w:val="en-GB"/>
              </w:rPr>
              <w:t>Queensland Government/ ECEC Sector</w:t>
            </w:r>
          </w:p>
        </w:tc>
      </w:tr>
    </w:tbl>
    <w:p w:rsidR="008028DF" w:rsidRPr="00056F24" w:rsidRDefault="008028DF" w:rsidP="002D5120">
      <w:pPr>
        <w:pStyle w:val="Heading2"/>
        <w:spacing w:after="120"/>
      </w:pPr>
    </w:p>
    <w:p w:rsidR="008028DF" w:rsidRPr="00056F24" w:rsidRDefault="008028DF" w:rsidP="002D5120">
      <w:pPr>
        <w:pStyle w:val="Heading2"/>
        <w:spacing w:after="120"/>
        <w:sectPr w:rsidR="008028DF" w:rsidRPr="00056F24" w:rsidSect="008028DF">
          <w:pgSz w:w="16838" w:h="11906" w:orient="landscape" w:code="9"/>
          <w:pgMar w:top="1418" w:right="851" w:bottom="1418" w:left="1021" w:header="567" w:footer="567" w:gutter="0"/>
          <w:cols w:space="708"/>
          <w:docGrid w:linePitch="360"/>
        </w:sectPr>
      </w:pPr>
    </w:p>
    <w:p w:rsidR="0036688B" w:rsidRPr="00056F24" w:rsidRDefault="0036688B" w:rsidP="002D5120">
      <w:pPr>
        <w:pStyle w:val="Heading2"/>
        <w:spacing w:after="120"/>
      </w:pPr>
      <w:r w:rsidRPr="00056F24">
        <w:t>Risk management</w:t>
      </w:r>
    </w:p>
    <w:p w:rsidR="007374A0" w:rsidRPr="00056F24" w:rsidRDefault="00187966" w:rsidP="009E010D">
      <w:pPr>
        <w:pStyle w:val="Normalnumbered"/>
        <w:spacing w:after="240"/>
      </w:pPr>
      <w:r w:rsidRPr="00056F24">
        <w:t xml:space="preserve">The </w:t>
      </w:r>
      <w:r w:rsidR="008028DF" w:rsidRPr="00056F24">
        <w:t xml:space="preserve">Queensland Department of Education </w:t>
      </w:r>
      <w:r w:rsidRPr="00056F24">
        <w:t>has a</w:t>
      </w:r>
      <w:r w:rsidR="007374A0" w:rsidRPr="00056F24">
        <w:t xml:space="preserve"> risk management plan </w:t>
      </w:r>
      <w:r w:rsidR="008028DF" w:rsidRPr="00056F24">
        <w:t>in place.  Risks are</w:t>
      </w:r>
      <w:r w:rsidR="007374A0" w:rsidRPr="00056F24">
        <w:t xml:space="preserve"> actively identified, entered into a risk log and categorised in terms of impact and </w:t>
      </w:r>
      <w:r w:rsidR="001C56EC" w:rsidRPr="00056F24">
        <w:t>likelihood</w:t>
      </w:r>
      <w:r w:rsidR="007374A0" w:rsidRPr="00056F24">
        <w:t>.</w:t>
      </w:r>
    </w:p>
    <w:p w:rsidR="0036688B" w:rsidRPr="00056F24" w:rsidRDefault="008028DF" w:rsidP="00A17D70">
      <w:pPr>
        <w:pStyle w:val="Heading2"/>
      </w:pPr>
      <w:r w:rsidRPr="00056F24">
        <w:t>Queensland</w:t>
      </w:r>
      <w:r w:rsidR="00347F6D" w:rsidRPr="00056F24">
        <w:t xml:space="preserve"> Context</w:t>
      </w:r>
    </w:p>
    <w:p w:rsidR="008028DF" w:rsidRPr="00056F24" w:rsidRDefault="008028DF" w:rsidP="008028DF">
      <w:pPr>
        <w:pStyle w:val="Normalnumbered"/>
        <w:spacing w:before="120" w:after="120"/>
        <w:rPr>
          <w:lang w:val="en-GB"/>
        </w:rPr>
      </w:pPr>
      <w:r w:rsidRPr="00056F24">
        <w:rPr>
          <w:lang w:val="en-GB"/>
        </w:rPr>
        <w:t xml:space="preserve">In developing this Implementation Plan consideration has been given to the current context in Queensland. </w:t>
      </w:r>
    </w:p>
    <w:p w:rsidR="008028DF" w:rsidRPr="00056F24" w:rsidRDefault="008028DF" w:rsidP="005962E6">
      <w:pPr>
        <w:pStyle w:val="Normalnumbered"/>
        <w:numPr>
          <w:ilvl w:val="1"/>
          <w:numId w:val="20"/>
        </w:numPr>
        <w:spacing w:before="240"/>
        <w:ind w:left="993" w:hanging="357"/>
        <w:rPr>
          <w:lang w:val="en-GB"/>
        </w:rPr>
      </w:pPr>
      <w:r w:rsidRPr="00056F24">
        <w:rPr>
          <w:lang w:val="en-GB"/>
        </w:rPr>
        <w:t>Queensland has made substantial progress towards universal access to kindergarten, improving from the lowest baseline nationally of 29 per cent in 2008 to exceeding its overall participation target of 95 per cent since 2013.  T</w:t>
      </w:r>
      <w:r w:rsidR="00820FE2" w:rsidRPr="00056F24">
        <w:rPr>
          <w:lang w:val="en-GB"/>
        </w:rPr>
        <w:t>here were 6</w:t>
      </w:r>
      <w:r w:rsidR="008949E6">
        <w:rPr>
          <w:lang w:val="en-GB"/>
        </w:rPr>
        <w:t>6,276</w:t>
      </w:r>
      <w:r w:rsidRPr="00056F24">
        <w:rPr>
          <w:lang w:val="en-GB"/>
        </w:rPr>
        <w:t xml:space="preserve"> children </w:t>
      </w:r>
      <w:r w:rsidR="00820FE2" w:rsidRPr="00056F24">
        <w:rPr>
          <w:lang w:val="en-GB"/>
        </w:rPr>
        <w:t>enrolled in kindergarten in 201</w:t>
      </w:r>
      <w:r w:rsidR="008949E6">
        <w:rPr>
          <w:lang w:val="en-GB"/>
        </w:rPr>
        <w:t>8</w:t>
      </w:r>
      <w:r w:rsidRPr="00056F24">
        <w:rPr>
          <w:lang w:val="en-GB"/>
        </w:rPr>
        <w:t>.  This included</w:t>
      </w:r>
      <w:r w:rsidR="001638E2" w:rsidRPr="00056F24">
        <w:rPr>
          <w:lang w:val="en-GB"/>
        </w:rPr>
        <w:t xml:space="preserve"> </w:t>
      </w:r>
      <w:r w:rsidR="008949E6">
        <w:rPr>
          <w:lang w:val="en-GB"/>
        </w:rPr>
        <w:t>5,099</w:t>
      </w:r>
      <w:r w:rsidR="00820FE2" w:rsidRPr="00056F24">
        <w:rPr>
          <w:lang w:val="en-GB"/>
        </w:rPr>
        <w:t> indigenous children an</w:t>
      </w:r>
      <w:r w:rsidR="005A1D53" w:rsidRPr="00056F24">
        <w:rPr>
          <w:lang w:val="en-GB"/>
        </w:rPr>
        <w:t>d 1</w:t>
      </w:r>
      <w:r w:rsidR="008949E6">
        <w:rPr>
          <w:lang w:val="en-GB"/>
        </w:rPr>
        <w:t>2,112</w:t>
      </w:r>
      <w:r w:rsidRPr="00056F24">
        <w:rPr>
          <w:lang w:val="en-GB"/>
        </w:rPr>
        <w:t xml:space="preserve"> children residing in low SES areas.</w:t>
      </w:r>
    </w:p>
    <w:p w:rsidR="008028DF" w:rsidRPr="00056F24" w:rsidRDefault="008028DF" w:rsidP="005962E6">
      <w:pPr>
        <w:pStyle w:val="Normalnumbered"/>
        <w:numPr>
          <w:ilvl w:val="1"/>
          <w:numId w:val="20"/>
        </w:numPr>
        <w:spacing w:before="240"/>
        <w:ind w:left="993" w:hanging="357"/>
        <w:rPr>
          <w:lang w:val="en-GB"/>
        </w:rPr>
      </w:pPr>
      <w:r w:rsidRPr="00056F24">
        <w:rPr>
          <w:lang w:val="en-GB"/>
        </w:rPr>
        <w:t xml:space="preserve">The Commonwealth’s assessment of </w:t>
      </w:r>
      <w:r w:rsidR="005A1D53" w:rsidRPr="00056F24">
        <w:rPr>
          <w:lang w:val="en-GB"/>
        </w:rPr>
        <w:t>Queensland’s performance in 201</w:t>
      </w:r>
      <w:r w:rsidR="008949E6">
        <w:rPr>
          <w:lang w:val="en-GB"/>
        </w:rPr>
        <w:t>8</w:t>
      </w:r>
      <w:r w:rsidRPr="00056F24">
        <w:rPr>
          <w:lang w:val="en-GB"/>
        </w:rPr>
        <w:t xml:space="preserve"> under the previous National Partnership Agreement on Universal Access to Early Childhood Education – 201</w:t>
      </w:r>
      <w:r w:rsidR="008949E6">
        <w:rPr>
          <w:lang w:val="en-GB"/>
        </w:rPr>
        <w:t>7</w:t>
      </w:r>
      <w:r w:rsidRPr="00056F24">
        <w:rPr>
          <w:lang w:val="en-GB"/>
        </w:rPr>
        <w:t xml:space="preserve"> and 201</w:t>
      </w:r>
      <w:r w:rsidR="008949E6">
        <w:rPr>
          <w:lang w:val="en-GB"/>
        </w:rPr>
        <w:t>8</w:t>
      </w:r>
      <w:r w:rsidRPr="00056F24">
        <w:rPr>
          <w:lang w:val="en-GB"/>
        </w:rPr>
        <w:t xml:space="preserve"> showed that Queensland met or exceeded all of its targets</w:t>
      </w:r>
      <w:r w:rsidR="005A1D53" w:rsidRPr="00056F24">
        <w:rPr>
          <w:lang w:val="en-GB"/>
        </w:rPr>
        <w:t xml:space="preserve"> </w:t>
      </w:r>
      <w:r w:rsidRPr="00056F24">
        <w:rPr>
          <w:lang w:val="en-GB"/>
        </w:rPr>
        <w:t>except participation by</w:t>
      </w:r>
      <w:r w:rsidR="005A1D53" w:rsidRPr="00056F24">
        <w:rPr>
          <w:lang w:val="en-GB"/>
        </w:rPr>
        <w:t xml:space="preserve"> Indigenous children (9</w:t>
      </w:r>
      <w:r w:rsidR="008949E6">
        <w:rPr>
          <w:lang w:val="en-GB"/>
        </w:rPr>
        <w:t>3.8</w:t>
      </w:r>
      <w:r w:rsidR="005A1D53" w:rsidRPr="00056F24">
        <w:rPr>
          <w:lang w:val="en-GB"/>
        </w:rPr>
        <w:t xml:space="preserve"> per cent</w:t>
      </w:r>
      <w:r w:rsidRPr="00056F24">
        <w:rPr>
          <w:lang w:val="en-GB"/>
        </w:rPr>
        <w:t>)</w:t>
      </w:r>
      <w:r w:rsidR="008949E6">
        <w:rPr>
          <w:lang w:val="en-GB"/>
        </w:rPr>
        <w:t>,</w:t>
      </w:r>
      <w:r w:rsidR="005A1D53" w:rsidRPr="00056F24">
        <w:rPr>
          <w:lang w:val="en-GB"/>
        </w:rPr>
        <w:t xml:space="preserve"> participation by children residing in low SES areas (</w:t>
      </w:r>
      <w:r w:rsidR="008949E6">
        <w:rPr>
          <w:lang w:val="en-GB"/>
        </w:rPr>
        <w:t>89.9</w:t>
      </w:r>
      <w:r w:rsidR="005A1D53" w:rsidRPr="00056F24">
        <w:rPr>
          <w:lang w:val="en-GB"/>
        </w:rPr>
        <w:t xml:space="preserve"> per cent)</w:t>
      </w:r>
      <w:r w:rsidR="008949E6">
        <w:rPr>
          <w:lang w:val="en-GB"/>
        </w:rPr>
        <w:t xml:space="preserve"> and participation in a 600 hour program by children residing in low SES areas (93.5 per cent).</w:t>
      </w:r>
    </w:p>
    <w:p w:rsidR="008028DF" w:rsidRPr="00056F24" w:rsidRDefault="007370BF" w:rsidP="007370BF">
      <w:pPr>
        <w:pStyle w:val="Normalnumbered"/>
        <w:numPr>
          <w:ilvl w:val="1"/>
          <w:numId w:val="20"/>
        </w:numPr>
        <w:spacing w:before="240"/>
        <w:ind w:left="993" w:hanging="357"/>
        <w:rPr>
          <w:lang w:val="en-GB"/>
        </w:rPr>
      </w:pPr>
      <w:r w:rsidRPr="00056F24">
        <w:rPr>
          <w:lang w:val="en-GB"/>
        </w:rPr>
        <w:t>Provision of kindergarten programs is predominantly through a mixed-market approach with the private sector primarily responsible for the delivery of programs through for profit and not-for-profit long day care centres, community-managed stand</w:t>
      </w:r>
      <w:r w:rsidR="00F63030" w:rsidRPr="00056F24">
        <w:rPr>
          <w:lang w:val="en-GB"/>
        </w:rPr>
        <w:t>-</w:t>
      </w:r>
      <w:r w:rsidRPr="00056F24">
        <w:rPr>
          <w:lang w:val="en-GB"/>
        </w:rPr>
        <w:t>alone kindergarten services, and some non-State schools.</w:t>
      </w:r>
      <w:r w:rsidR="005124CE" w:rsidRPr="00056F24">
        <w:rPr>
          <w:lang w:val="en-GB"/>
        </w:rPr>
        <w:t xml:space="preserve"> </w:t>
      </w:r>
      <w:r w:rsidR="008028DF" w:rsidRPr="00056F24">
        <w:rPr>
          <w:lang w:val="en-GB"/>
        </w:rPr>
        <w:t xml:space="preserve">Unlike other jurisdictions, the Queensland Government only delivers kindergarten programs in areas of market failure, including across </w:t>
      </w:r>
      <w:r w:rsidR="00C96587" w:rsidRPr="00056F24">
        <w:rPr>
          <w:lang w:val="en-GB"/>
        </w:rPr>
        <w:t>6</w:t>
      </w:r>
      <w:r w:rsidR="00F66230">
        <w:rPr>
          <w:lang w:val="en-GB"/>
        </w:rPr>
        <w:t>8</w:t>
      </w:r>
      <w:r w:rsidR="00C96587" w:rsidRPr="00056F24">
        <w:rPr>
          <w:lang w:val="en-GB"/>
        </w:rPr>
        <w:t xml:space="preserve"> rural and</w:t>
      </w:r>
      <w:r w:rsidR="008028DF" w:rsidRPr="00056F24">
        <w:rPr>
          <w:lang w:val="en-GB"/>
        </w:rPr>
        <w:t xml:space="preserve"> remote communities, 35 discrete Indigenous communities and for isolated children through distance education (eKindy). </w:t>
      </w:r>
    </w:p>
    <w:p w:rsidR="008028DF" w:rsidRPr="00056F24" w:rsidRDefault="008028DF" w:rsidP="005962E6">
      <w:pPr>
        <w:pStyle w:val="Normalnumbered"/>
        <w:numPr>
          <w:ilvl w:val="1"/>
          <w:numId w:val="20"/>
        </w:numPr>
        <w:spacing w:before="240"/>
        <w:ind w:left="993" w:hanging="357"/>
        <w:rPr>
          <w:lang w:val="en-GB"/>
        </w:rPr>
      </w:pPr>
      <w:r w:rsidRPr="00056F24">
        <w:rPr>
          <w:lang w:val="en-GB"/>
        </w:rPr>
        <w:t xml:space="preserve">The Queensland model of kindergarten provision has been found to be </w:t>
      </w:r>
      <w:r w:rsidR="005124CE" w:rsidRPr="00056F24">
        <w:rPr>
          <w:lang w:val="en-GB"/>
        </w:rPr>
        <w:t xml:space="preserve">of </w:t>
      </w:r>
      <w:r w:rsidRPr="00056F24">
        <w:rPr>
          <w:lang w:val="en-GB"/>
        </w:rPr>
        <w:t xml:space="preserve">lower cost compared to other jurisdictions, mainly reflecting greater delivery in Queensland through the long day care sector (Deloitte Review of National Partnership Agreement on Universal Access to Early Childhood Education, 2014).  </w:t>
      </w:r>
    </w:p>
    <w:p w:rsidR="008028DF" w:rsidRPr="00056F24" w:rsidRDefault="008028DF" w:rsidP="005962E6">
      <w:pPr>
        <w:pStyle w:val="Normalnumbered"/>
        <w:numPr>
          <w:ilvl w:val="1"/>
          <w:numId w:val="20"/>
        </w:numPr>
        <w:spacing w:before="240"/>
        <w:ind w:left="993" w:hanging="357"/>
        <w:rPr>
          <w:lang w:val="en-GB"/>
        </w:rPr>
      </w:pPr>
      <w:r w:rsidRPr="00056F24">
        <w:rPr>
          <w:lang w:val="en-GB"/>
        </w:rPr>
        <w:t xml:space="preserve">The cost of the provision of kindergarten programs in Queensland is shared between families (through fees), funding under the National Partnership Agreement, funding from the Queensland Government and, for programs delivered in long day care services, child care subsidies from the Commonwealth. The Queensland Government provides subsidies to approved kindergarten program providers, through the QKFS, to ensure that families, including Indigenous, vulnerable and disadvantaged families, can access an affordable program. </w:t>
      </w:r>
    </w:p>
    <w:p w:rsidR="008028DF" w:rsidRPr="00056F24" w:rsidRDefault="008028DF" w:rsidP="005962E6">
      <w:pPr>
        <w:pStyle w:val="Normalnumbered"/>
        <w:numPr>
          <w:ilvl w:val="1"/>
          <w:numId w:val="20"/>
        </w:numPr>
        <w:spacing w:before="240"/>
        <w:ind w:left="993" w:hanging="357"/>
        <w:rPr>
          <w:lang w:val="en-GB"/>
        </w:rPr>
      </w:pPr>
      <w:r w:rsidRPr="00056F24">
        <w:rPr>
          <w:lang w:val="en-GB"/>
        </w:rPr>
        <w:t>Services offering an approved early childhood education program (i.e. compliant to the requirements of universal access and regulated under the National Quality Framework) can apply for funding under the QKFS regardless of delivery setting.</w:t>
      </w:r>
    </w:p>
    <w:p w:rsidR="008028DF" w:rsidRPr="00056F24" w:rsidRDefault="008028DF" w:rsidP="005962E6">
      <w:pPr>
        <w:pStyle w:val="Normalnumbered"/>
        <w:numPr>
          <w:ilvl w:val="1"/>
          <w:numId w:val="20"/>
        </w:numPr>
        <w:spacing w:before="240"/>
        <w:ind w:left="993" w:hanging="357"/>
        <w:rPr>
          <w:lang w:val="en-GB"/>
        </w:rPr>
      </w:pPr>
      <w:r w:rsidRPr="00056F24">
        <w:rPr>
          <w:lang w:val="en-GB"/>
        </w:rPr>
        <w:t>Additional per child subsidies are provided to kindergarten program providers for children eligible for the QKFS Plus subsidy. This subsidy is available for families/children with a Health Care Card, refugee and asylum seeker families, children who identify as Indigenous and for families with more than two children of the same age attending at the same time. Further information regarding the QKFS can be found at: https://www.business.qld.gov.au/industry/service-industries/child-care/qld-kindergarten-funding-scheme/subsidies</w:t>
      </w:r>
    </w:p>
    <w:p w:rsidR="008028DF" w:rsidRPr="00056F24" w:rsidRDefault="008028DF" w:rsidP="005962E6">
      <w:pPr>
        <w:pStyle w:val="Normalnumbered"/>
        <w:numPr>
          <w:ilvl w:val="1"/>
          <w:numId w:val="20"/>
        </w:numPr>
        <w:spacing w:before="240"/>
        <w:ind w:left="993" w:hanging="357"/>
        <w:rPr>
          <w:lang w:val="en-GB"/>
        </w:rPr>
      </w:pPr>
      <w:r w:rsidRPr="00056F24">
        <w:rPr>
          <w:lang w:val="en-GB"/>
        </w:rPr>
        <w:t>Queensland has experienced continuing strong population</w:t>
      </w:r>
      <w:r w:rsidR="00033202" w:rsidRPr="00056F24">
        <w:rPr>
          <w:lang w:val="en-GB"/>
        </w:rPr>
        <w:t xml:space="preserve"> growth and </w:t>
      </w:r>
      <w:r w:rsidRPr="00056F24">
        <w:rPr>
          <w:lang w:val="en-GB"/>
        </w:rPr>
        <w:t>interstate migration. This coupled with Queensland’s largely decentralised population adds to the challenge of achieving and maintaining universal access to kindergarten.</w:t>
      </w:r>
    </w:p>
    <w:p w:rsidR="008028DF" w:rsidRPr="00056F24" w:rsidRDefault="008028DF" w:rsidP="005962E6">
      <w:pPr>
        <w:pStyle w:val="Normalnumbered"/>
        <w:numPr>
          <w:ilvl w:val="1"/>
          <w:numId w:val="20"/>
        </w:numPr>
        <w:spacing w:before="240"/>
        <w:ind w:left="993" w:hanging="357"/>
        <w:rPr>
          <w:lang w:val="en-GB"/>
        </w:rPr>
      </w:pPr>
      <w:r w:rsidRPr="00056F24">
        <w:rPr>
          <w:lang w:val="en-GB"/>
        </w:rPr>
        <w:t>There are challenges in the planning, implementation and measur</w:t>
      </w:r>
      <w:r w:rsidR="00960887" w:rsidRPr="00056F24">
        <w:rPr>
          <w:lang w:val="en-GB"/>
        </w:rPr>
        <w:t>ement</w:t>
      </w:r>
      <w:r w:rsidRPr="00056F24">
        <w:rPr>
          <w:lang w:val="en-GB"/>
        </w:rPr>
        <w:t xml:space="preserve"> </w:t>
      </w:r>
      <w:r w:rsidR="00F63030" w:rsidRPr="00056F24">
        <w:rPr>
          <w:lang w:val="en-GB"/>
        </w:rPr>
        <w:t xml:space="preserve">of </w:t>
      </w:r>
      <w:r w:rsidRPr="00056F24">
        <w:rPr>
          <w:lang w:val="en-GB"/>
        </w:rPr>
        <w:t xml:space="preserve">success of initiatives targeting kindergarten participation rates. Difficulty in obtaining accurate population estimates and projections of Indigenous families is acknowledged by the Australian Bureau of Statistics where figures are based on self-identification of Indigeneity by a population. </w:t>
      </w:r>
    </w:p>
    <w:p w:rsidR="008028DF" w:rsidRPr="00056F24" w:rsidRDefault="008028DF" w:rsidP="005962E6">
      <w:pPr>
        <w:pStyle w:val="Normalnumbered"/>
        <w:numPr>
          <w:ilvl w:val="1"/>
          <w:numId w:val="20"/>
        </w:numPr>
        <w:spacing w:before="240"/>
        <w:ind w:left="993" w:hanging="357"/>
        <w:rPr>
          <w:lang w:val="en-GB"/>
        </w:rPr>
      </w:pPr>
      <w:r w:rsidRPr="00056F24">
        <w:rPr>
          <w:lang w:val="en-GB"/>
        </w:rPr>
        <w:t>The number of Indigenous four-year-olds in Quee</w:t>
      </w:r>
      <w:r w:rsidR="00891112" w:rsidRPr="00056F24">
        <w:rPr>
          <w:lang w:val="en-GB"/>
        </w:rPr>
        <w:t>nsland is expected to grow by 24</w:t>
      </w:r>
      <w:r w:rsidR="009D7E76">
        <w:rPr>
          <w:lang w:val="en-GB"/>
        </w:rPr>
        <w:t> </w:t>
      </w:r>
      <w:r w:rsidRPr="00056F24">
        <w:rPr>
          <w:lang w:val="en-GB"/>
        </w:rPr>
        <w:t xml:space="preserve">per cent </w:t>
      </w:r>
      <w:r w:rsidR="00B305A2" w:rsidRPr="00056F24">
        <w:rPr>
          <w:lang w:val="en-GB"/>
        </w:rPr>
        <w:t>from 2018 to 2026</w:t>
      </w:r>
      <w:r w:rsidRPr="00056F24">
        <w:rPr>
          <w:lang w:val="en-GB"/>
        </w:rPr>
        <w:t xml:space="preserve">. </w:t>
      </w:r>
    </w:p>
    <w:p w:rsidR="008028DF" w:rsidRPr="00056F24" w:rsidRDefault="008028DF" w:rsidP="005962E6">
      <w:pPr>
        <w:pStyle w:val="Normalnumbered"/>
        <w:numPr>
          <w:ilvl w:val="1"/>
          <w:numId w:val="20"/>
        </w:numPr>
        <w:spacing w:before="240"/>
        <w:ind w:left="993" w:hanging="357"/>
        <w:rPr>
          <w:lang w:val="en-GB"/>
        </w:rPr>
      </w:pPr>
      <w:r w:rsidRPr="00056F24">
        <w:rPr>
          <w:lang w:val="en-GB"/>
        </w:rPr>
        <w:t xml:space="preserve">Queensland’s approach to maintaining universal access to early childhood education has been developed in the context of other Queensland Government services and existing reforms detailed in Table 4. </w:t>
      </w:r>
    </w:p>
    <w:p w:rsidR="0036688B" w:rsidRPr="00056F24" w:rsidRDefault="0036688B" w:rsidP="00E4415B">
      <w:pPr>
        <w:keepNext/>
        <w:spacing w:before="240" w:after="120"/>
        <w:outlineLvl w:val="2"/>
        <w:rPr>
          <w:rFonts w:ascii="Consolas" w:hAnsi="Consolas"/>
          <w:b/>
          <w:color w:val="3D4B67"/>
          <w:szCs w:val="20"/>
        </w:rPr>
      </w:pPr>
      <w:r w:rsidRPr="00056F24">
        <w:rPr>
          <w:rFonts w:ascii="Consolas" w:hAnsi="Consolas"/>
          <w:b/>
          <w:color w:val="3D4B67"/>
          <w:szCs w:val="20"/>
        </w:rPr>
        <w:t xml:space="preserve">Table </w:t>
      </w:r>
      <w:r w:rsidR="00BF5863" w:rsidRPr="00056F24">
        <w:rPr>
          <w:rFonts w:ascii="Consolas" w:hAnsi="Consolas"/>
          <w:b/>
          <w:color w:val="3D4B67"/>
          <w:szCs w:val="20"/>
        </w:rPr>
        <w:t>4</w:t>
      </w:r>
      <w:r w:rsidRPr="00056F24">
        <w:rPr>
          <w:rFonts w:ascii="Consolas" w:hAnsi="Consolas"/>
          <w:b/>
          <w:color w:val="3D4B67"/>
          <w:szCs w:val="20"/>
        </w:rPr>
        <w:t xml:space="preserve">: Links with existing </w:t>
      </w:r>
      <w:r w:rsidR="00D579C1" w:rsidRPr="00056F24">
        <w:rPr>
          <w:rFonts w:ascii="Consolas" w:hAnsi="Consolas"/>
          <w:b/>
          <w:color w:val="3D4B67"/>
          <w:szCs w:val="20"/>
        </w:rPr>
        <w:t>reforms or projects</w:t>
      </w: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2214"/>
        <w:gridCol w:w="5021"/>
      </w:tblGrid>
      <w:tr w:rsidR="0036688B" w:rsidRPr="00056F24" w:rsidTr="00BE1156">
        <w:trPr>
          <w:cantSplit/>
        </w:trPr>
        <w:tc>
          <w:tcPr>
            <w:tcW w:w="853" w:type="pct"/>
            <w:shd w:val="clear" w:color="auto" w:fill="E6E6E6"/>
          </w:tcPr>
          <w:p w:rsidR="0036688B" w:rsidRPr="00056F24" w:rsidRDefault="0036688B" w:rsidP="00E4415B">
            <w:pPr>
              <w:jc w:val="center"/>
              <w:rPr>
                <w:b/>
              </w:rPr>
            </w:pPr>
            <w:r w:rsidRPr="00056F24">
              <w:rPr>
                <w:b/>
              </w:rPr>
              <w:t xml:space="preserve">Proposed </w:t>
            </w:r>
            <w:r w:rsidR="00C27447" w:rsidRPr="00056F24">
              <w:rPr>
                <w:b/>
              </w:rPr>
              <w:t>p</w:t>
            </w:r>
            <w:r w:rsidR="002616A0" w:rsidRPr="00056F24">
              <w:rPr>
                <w:b/>
              </w:rPr>
              <w:t>roject</w:t>
            </w:r>
            <w:r w:rsidR="00432B5D" w:rsidRPr="00056F24">
              <w:rPr>
                <w:b/>
              </w:rPr>
              <w:t xml:space="preserve"> element</w:t>
            </w:r>
            <w:r w:rsidR="00C27447" w:rsidRPr="00056F24">
              <w:rPr>
                <w:b/>
              </w:rPr>
              <w:t>s</w:t>
            </w:r>
          </w:p>
        </w:tc>
        <w:tc>
          <w:tcPr>
            <w:tcW w:w="1269" w:type="pct"/>
            <w:shd w:val="clear" w:color="auto" w:fill="E6E6E6"/>
          </w:tcPr>
          <w:p w:rsidR="0036688B" w:rsidRPr="00056F24" w:rsidRDefault="0036688B" w:rsidP="00E4415B">
            <w:pPr>
              <w:jc w:val="center"/>
              <w:rPr>
                <w:b/>
              </w:rPr>
            </w:pPr>
            <w:r w:rsidRPr="00056F24">
              <w:rPr>
                <w:b/>
              </w:rPr>
              <w:t xml:space="preserve">Existing </w:t>
            </w:r>
            <w:r w:rsidR="00432B5D" w:rsidRPr="00056F24">
              <w:rPr>
                <w:b/>
              </w:rPr>
              <w:t>reforms or projects</w:t>
            </w:r>
          </w:p>
        </w:tc>
        <w:tc>
          <w:tcPr>
            <w:tcW w:w="2878" w:type="pct"/>
            <w:shd w:val="clear" w:color="auto" w:fill="E6E6E6"/>
          </w:tcPr>
          <w:p w:rsidR="0036688B" w:rsidRPr="00056F24" w:rsidRDefault="00BC5FA5" w:rsidP="00E4415B">
            <w:pPr>
              <w:jc w:val="center"/>
              <w:rPr>
                <w:b/>
              </w:rPr>
            </w:pPr>
            <w:r w:rsidRPr="00056F24">
              <w:rPr>
                <w:b/>
              </w:rPr>
              <w:t>C</w:t>
            </w:r>
            <w:r w:rsidR="0036688B" w:rsidRPr="00056F24">
              <w:rPr>
                <w:b/>
              </w:rPr>
              <w:t>omplementary nature of activities</w:t>
            </w:r>
          </w:p>
        </w:tc>
      </w:tr>
      <w:tr w:rsidR="0036688B" w:rsidRPr="00056F24" w:rsidTr="00BE1156">
        <w:trPr>
          <w:cantSplit/>
        </w:trPr>
        <w:tc>
          <w:tcPr>
            <w:tcW w:w="853" w:type="pct"/>
          </w:tcPr>
          <w:p w:rsidR="0036688B" w:rsidRPr="00056F24" w:rsidRDefault="00BE1156" w:rsidP="006353DA">
            <w:r w:rsidRPr="00056F24">
              <w:t>2</w:t>
            </w:r>
          </w:p>
        </w:tc>
        <w:tc>
          <w:tcPr>
            <w:tcW w:w="1269" w:type="pct"/>
          </w:tcPr>
          <w:p w:rsidR="0036688B" w:rsidRPr="00056F24" w:rsidRDefault="00BE1156" w:rsidP="007A36B5">
            <w:pPr>
              <w:pStyle w:val="TableText"/>
              <w:rPr>
                <w:rFonts w:ascii="Times New Roman" w:hAnsi="Times New Roman" w:cs="Times New Roman"/>
                <w:sz w:val="22"/>
                <w:szCs w:val="22"/>
              </w:rPr>
            </w:pPr>
            <w:r w:rsidRPr="00056F24">
              <w:rPr>
                <w:rFonts w:ascii="Corbel" w:hAnsi="Corbel" w:cs="Times New Roman"/>
                <w:color w:val="auto"/>
                <w:spacing w:val="0"/>
                <w:sz w:val="22"/>
                <w:szCs w:val="22"/>
                <w:lang w:val="en-GB" w:eastAsia="en-AU"/>
              </w:rPr>
              <w:t>Families as First Teachers</w:t>
            </w:r>
          </w:p>
        </w:tc>
        <w:tc>
          <w:tcPr>
            <w:tcW w:w="2878" w:type="pct"/>
          </w:tcPr>
          <w:p w:rsidR="0036688B" w:rsidRPr="00056F24" w:rsidRDefault="00BE1156" w:rsidP="007A36B5">
            <w:pPr>
              <w:pStyle w:val="TableText"/>
              <w:rPr>
                <w:rFonts w:ascii="Times New Roman" w:hAnsi="Times New Roman" w:cs="Times New Roman"/>
                <w:sz w:val="22"/>
                <w:szCs w:val="22"/>
              </w:rPr>
            </w:pPr>
            <w:r w:rsidRPr="00056F24">
              <w:rPr>
                <w:rFonts w:ascii="Corbel" w:hAnsi="Corbel" w:cs="Times New Roman"/>
                <w:color w:val="auto"/>
                <w:spacing w:val="0"/>
                <w:sz w:val="22"/>
                <w:szCs w:val="22"/>
                <w:lang w:val="en-GB" w:eastAsia="en-AU"/>
              </w:rPr>
              <w:t>A program that builds the capacity of families and community members to engage with their children in positive early learning experiences leading to successful transitions from home to early childhood education.</w:t>
            </w:r>
          </w:p>
        </w:tc>
      </w:tr>
      <w:tr w:rsidR="003B098D" w:rsidRPr="00056F24" w:rsidTr="003B098D">
        <w:trPr>
          <w:cantSplit/>
        </w:trPr>
        <w:tc>
          <w:tcPr>
            <w:tcW w:w="853" w:type="pct"/>
            <w:shd w:val="clear" w:color="auto" w:fill="FFFFFF" w:themeFill="background1"/>
          </w:tcPr>
          <w:p w:rsidR="003B098D" w:rsidRPr="00056F24" w:rsidRDefault="003B098D" w:rsidP="003B098D">
            <w:r>
              <w:t>2</w:t>
            </w:r>
          </w:p>
        </w:tc>
        <w:tc>
          <w:tcPr>
            <w:tcW w:w="1269" w:type="pct"/>
            <w:shd w:val="clear" w:color="auto" w:fill="FFFFFF" w:themeFill="background1"/>
          </w:tcPr>
          <w:p w:rsidR="003B098D" w:rsidRPr="00056F24" w:rsidRDefault="003B098D" w:rsidP="003B098D">
            <w:pPr>
              <w:pStyle w:val="TableText"/>
              <w:rPr>
                <w:rFonts w:ascii="Corbel" w:hAnsi="Corbel" w:cs="Times New Roman"/>
                <w:color w:val="auto"/>
                <w:spacing w:val="0"/>
                <w:sz w:val="22"/>
                <w:szCs w:val="22"/>
                <w:lang w:val="en-GB" w:eastAsia="en-AU"/>
              </w:rPr>
            </w:pPr>
            <w:r>
              <w:rPr>
                <w:rFonts w:ascii="Corbel" w:hAnsi="Corbel" w:cs="Times New Roman"/>
                <w:color w:val="auto"/>
                <w:spacing w:val="0"/>
                <w:sz w:val="22"/>
                <w:szCs w:val="22"/>
                <w:lang w:val="en-GB" w:eastAsia="en-AU"/>
              </w:rPr>
              <w:t>KindyLinQ</w:t>
            </w:r>
          </w:p>
        </w:tc>
        <w:tc>
          <w:tcPr>
            <w:tcW w:w="2878" w:type="pct"/>
            <w:shd w:val="clear" w:color="auto" w:fill="FFFFFF" w:themeFill="background1"/>
          </w:tcPr>
          <w:p w:rsidR="003B098D" w:rsidRPr="00056F24" w:rsidRDefault="003B098D" w:rsidP="003B098D">
            <w:pPr>
              <w:pStyle w:val="TableText"/>
              <w:rPr>
                <w:rFonts w:ascii="Corbel" w:hAnsi="Corbel" w:cs="Times New Roman"/>
                <w:color w:val="auto"/>
                <w:spacing w:val="0"/>
                <w:sz w:val="22"/>
                <w:szCs w:val="22"/>
                <w:lang w:val="en-GB" w:eastAsia="en-AU"/>
              </w:rPr>
            </w:pPr>
            <w:r>
              <w:rPr>
                <w:rFonts w:ascii="Corbel" w:hAnsi="Corbel" w:cs="Times New Roman"/>
                <w:color w:val="auto"/>
                <w:spacing w:val="0"/>
                <w:sz w:val="22"/>
                <w:szCs w:val="22"/>
                <w:lang w:val="en-GB" w:eastAsia="en-AU"/>
              </w:rPr>
              <w:t>A facilitated playgroup program for children in the year prior to kindergarten focused on enhancing the confidence and capabilities of families to support their children’s development and learning and supporting families to connect with and participate in approved kindergarten programs.</w:t>
            </w:r>
          </w:p>
        </w:tc>
      </w:tr>
      <w:tr w:rsidR="00B125B8" w:rsidRPr="00056F24" w:rsidTr="00876716">
        <w:tc>
          <w:tcPr>
            <w:tcW w:w="853" w:type="pct"/>
          </w:tcPr>
          <w:p w:rsidR="00B125B8" w:rsidRPr="00056F24" w:rsidRDefault="00B125B8" w:rsidP="00B125B8">
            <w:r w:rsidRPr="00056F24">
              <w:t>1&amp;2</w:t>
            </w:r>
          </w:p>
        </w:tc>
        <w:tc>
          <w:tcPr>
            <w:tcW w:w="1269" w:type="pct"/>
          </w:tcPr>
          <w:p w:rsidR="00B125B8" w:rsidRPr="00F66230" w:rsidRDefault="00B125B8" w:rsidP="00207937">
            <w:pPr>
              <w:pStyle w:val="TableText"/>
              <w:rPr>
                <w:rFonts w:ascii="Times New Roman" w:hAnsi="Times New Roman" w:cs="Times New Roman"/>
                <w:sz w:val="22"/>
                <w:szCs w:val="22"/>
              </w:rPr>
            </w:pPr>
            <w:r w:rsidRPr="00F66230">
              <w:rPr>
                <w:rFonts w:ascii="Corbel" w:hAnsi="Corbel" w:cs="Times New Roman"/>
                <w:color w:val="auto"/>
                <w:spacing w:val="0"/>
                <w:sz w:val="22"/>
                <w:szCs w:val="22"/>
                <w:lang w:val="en-GB" w:eastAsia="en-AU"/>
              </w:rPr>
              <w:t xml:space="preserve">ECEC Workforce </w:t>
            </w:r>
          </w:p>
        </w:tc>
        <w:tc>
          <w:tcPr>
            <w:tcW w:w="2878" w:type="pct"/>
          </w:tcPr>
          <w:p w:rsidR="00BE1156" w:rsidRPr="009D7E76" w:rsidRDefault="009D7E76" w:rsidP="00BE1156">
            <w:pPr>
              <w:pStyle w:val="TableText"/>
              <w:rPr>
                <w:rFonts w:ascii="Corbel" w:hAnsi="Corbel" w:cs="Times New Roman"/>
                <w:spacing w:val="0"/>
                <w:sz w:val="22"/>
                <w:szCs w:val="22"/>
                <w:lang w:val="en-GB" w:eastAsia="en-AU"/>
              </w:rPr>
            </w:pPr>
            <w:r>
              <w:rPr>
                <w:rFonts w:ascii="Corbel" w:hAnsi="Corbel" w:cs="Times New Roman"/>
                <w:spacing w:val="0"/>
                <w:sz w:val="22"/>
                <w:szCs w:val="22"/>
                <w:lang w:eastAsia="en-AU"/>
              </w:rPr>
              <w:t xml:space="preserve">The ECEC Workforce Action Plan 2016 – 2019 </w:t>
            </w:r>
            <w:r w:rsidR="00B125B8" w:rsidRPr="009D7E76">
              <w:rPr>
                <w:rFonts w:ascii="Corbel" w:hAnsi="Corbel" w:cs="Times New Roman"/>
                <w:spacing w:val="0"/>
                <w:sz w:val="22"/>
                <w:szCs w:val="22"/>
                <w:lang w:val="en-GB" w:eastAsia="en-AU"/>
              </w:rPr>
              <w:t>ensure</w:t>
            </w:r>
            <w:r>
              <w:rPr>
                <w:rFonts w:ascii="Corbel" w:hAnsi="Corbel" w:cs="Times New Roman"/>
                <w:spacing w:val="0"/>
                <w:sz w:val="22"/>
                <w:szCs w:val="22"/>
                <w:lang w:val="en-GB" w:eastAsia="en-AU"/>
              </w:rPr>
              <w:t>s</w:t>
            </w:r>
            <w:r w:rsidR="00B125B8" w:rsidRPr="009D7E76">
              <w:rPr>
                <w:rFonts w:ascii="Corbel" w:hAnsi="Corbel" w:cs="Times New Roman"/>
                <w:spacing w:val="0"/>
                <w:sz w:val="22"/>
                <w:szCs w:val="22"/>
                <w:lang w:val="en-GB" w:eastAsia="en-AU"/>
              </w:rPr>
              <w:t xml:space="preserve"> that every Queensland child has access to quality early years services </w:t>
            </w:r>
            <w:r w:rsidR="00BE1156" w:rsidRPr="009D7E76">
              <w:rPr>
                <w:rFonts w:ascii="Corbel" w:hAnsi="Corbel" w:cs="Times New Roman"/>
                <w:spacing w:val="0"/>
                <w:sz w:val="22"/>
                <w:szCs w:val="22"/>
                <w:lang w:val="en-GB" w:eastAsia="en-AU"/>
              </w:rPr>
              <w:t>through initiatives that develop</w:t>
            </w:r>
            <w:r w:rsidR="00B125B8" w:rsidRPr="009D7E76">
              <w:rPr>
                <w:rFonts w:ascii="Corbel" w:hAnsi="Corbel" w:cs="Times New Roman"/>
                <w:spacing w:val="0"/>
                <w:sz w:val="22"/>
                <w:szCs w:val="22"/>
                <w:lang w:val="en-GB" w:eastAsia="en-AU"/>
              </w:rPr>
              <w:t xml:space="preserve"> the capacity of Queensland’s early childhood education and care workforce.  </w:t>
            </w:r>
            <w:r w:rsidR="00BE1156" w:rsidRPr="009D7E76">
              <w:rPr>
                <w:rFonts w:ascii="Corbel" w:hAnsi="Corbel" w:cs="Times New Roman"/>
                <w:spacing w:val="0"/>
                <w:sz w:val="22"/>
                <w:szCs w:val="22"/>
                <w:lang w:val="en-GB" w:eastAsia="en-AU"/>
              </w:rPr>
              <w:t>The ECEC Workforce Action Plan (WAP) sets out a broad range of workforce development initiatives to deliver the sector’s vision of a workforce that is “professional, qualified and valued”.  These initiatives are aimed to achieve the following objectives:</w:t>
            </w:r>
          </w:p>
          <w:p w:rsidR="00BE1156" w:rsidRPr="009D7E76" w:rsidRDefault="00BE1156" w:rsidP="005962E6">
            <w:pPr>
              <w:pStyle w:val="TableText"/>
              <w:numPr>
                <w:ilvl w:val="0"/>
                <w:numId w:val="21"/>
              </w:numPr>
              <w:rPr>
                <w:rFonts w:ascii="Corbel" w:hAnsi="Corbel" w:cs="Times New Roman"/>
                <w:spacing w:val="0"/>
                <w:sz w:val="22"/>
                <w:szCs w:val="22"/>
                <w:lang w:val="en-GB" w:eastAsia="en-AU"/>
              </w:rPr>
            </w:pPr>
            <w:r w:rsidRPr="009D7E76">
              <w:rPr>
                <w:rFonts w:ascii="Corbel" w:hAnsi="Corbel" w:cs="Times New Roman"/>
                <w:spacing w:val="0"/>
                <w:sz w:val="22"/>
                <w:szCs w:val="22"/>
                <w:lang w:val="en-GB" w:eastAsia="en-AU"/>
              </w:rPr>
              <w:t>Being valued – promote the value and professional standing of careers in early childhood education and care</w:t>
            </w:r>
          </w:p>
          <w:p w:rsidR="00BE1156" w:rsidRPr="009D7E76" w:rsidRDefault="00BE1156" w:rsidP="005962E6">
            <w:pPr>
              <w:pStyle w:val="TableText"/>
              <w:numPr>
                <w:ilvl w:val="0"/>
                <w:numId w:val="21"/>
              </w:numPr>
              <w:rPr>
                <w:rFonts w:ascii="Corbel" w:hAnsi="Corbel" w:cs="Times New Roman"/>
                <w:spacing w:val="0"/>
                <w:sz w:val="22"/>
                <w:szCs w:val="22"/>
                <w:lang w:val="en-GB" w:eastAsia="en-AU"/>
              </w:rPr>
            </w:pPr>
            <w:r w:rsidRPr="009D7E76">
              <w:rPr>
                <w:rFonts w:ascii="Corbel" w:hAnsi="Corbel" w:cs="Times New Roman"/>
                <w:spacing w:val="0"/>
                <w:sz w:val="22"/>
                <w:szCs w:val="22"/>
                <w:lang w:val="en-GB" w:eastAsia="en-AU"/>
              </w:rPr>
              <w:t xml:space="preserve">Qualifications – increase the number of suitably qualified early childhood education and care educators across the early childhood sector; and </w:t>
            </w:r>
          </w:p>
          <w:p w:rsidR="00B125B8" w:rsidRDefault="00BE1156" w:rsidP="00FF3B19">
            <w:pPr>
              <w:pStyle w:val="TableText"/>
              <w:rPr>
                <w:rFonts w:ascii="Corbel" w:hAnsi="Corbel" w:cs="Times New Roman"/>
                <w:spacing w:val="0"/>
                <w:sz w:val="22"/>
                <w:szCs w:val="22"/>
                <w:lang w:val="en-GB" w:eastAsia="en-AU"/>
              </w:rPr>
            </w:pPr>
            <w:r w:rsidRPr="009D7E76">
              <w:rPr>
                <w:rFonts w:ascii="Corbel" w:hAnsi="Corbel" w:cs="Times New Roman"/>
                <w:spacing w:val="0"/>
                <w:sz w:val="22"/>
                <w:szCs w:val="22"/>
                <w:lang w:val="en-GB" w:eastAsia="en-AU"/>
              </w:rPr>
              <w:t xml:space="preserve">Skills – increase and develop the skills of early childhood education and care educators to respond to the demands of their role.  </w:t>
            </w:r>
          </w:p>
          <w:p w:rsidR="009D7E76" w:rsidRPr="009D7E76" w:rsidRDefault="009D7E76" w:rsidP="009D7E76">
            <w:pPr>
              <w:pStyle w:val="TableText"/>
              <w:rPr>
                <w:rFonts w:ascii="Corbel" w:hAnsi="Corbel" w:cs="Times New Roman"/>
                <w:spacing w:val="0"/>
                <w:sz w:val="22"/>
                <w:szCs w:val="22"/>
                <w:lang w:val="en-GB" w:eastAsia="en-AU"/>
              </w:rPr>
            </w:pPr>
            <w:r>
              <w:rPr>
                <w:rFonts w:ascii="Corbel" w:hAnsi="Corbel" w:cs="Times New Roman"/>
                <w:spacing w:val="0"/>
                <w:sz w:val="22"/>
                <w:szCs w:val="22"/>
                <w:lang w:val="en-GB" w:eastAsia="en-AU"/>
              </w:rPr>
              <w:t>From 2020</w:t>
            </w:r>
            <w:r w:rsidRPr="002615B6">
              <w:rPr>
                <w:rFonts w:ascii="Corbel" w:hAnsi="Corbel" w:cs="Times New Roman"/>
                <w:spacing w:val="0"/>
                <w:sz w:val="22"/>
                <w:szCs w:val="22"/>
                <w:lang w:val="en-GB" w:eastAsia="en-AU"/>
              </w:rPr>
              <w:t xml:space="preserve">, </w:t>
            </w:r>
            <w:r w:rsidR="001327C7" w:rsidRPr="002615B6">
              <w:rPr>
                <w:rFonts w:ascii="Corbel" w:hAnsi="Corbel" w:cs="Times New Roman"/>
                <w:spacing w:val="0"/>
                <w:sz w:val="22"/>
                <w:szCs w:val="22"/>
                <w:lang w:val="en-GB" w:eastAsia="en-AU"/>
              </w:rPr>
              <w:t>Queensland will</w:t>
            </w:r>
            <w:r w:rsidR="001327C7">
              <w:rPr>
                <w:rFonts w:ascii="Corbel" w:hAnsi="Corbel" w:cs="Times New Roman"/>
                <w:spacing w:val="0"/>
                <w:sz w:val="22"/>
                <w:szCs w:val="22"/>
                <w:lang w:val="en-GB" w:eastAsia="en-AU"/>
              </w:rPr>
              <w:t xml:space="preserve"> </w:t>
            </w:r>
            <w:r>
              <w:rPr>
                <w:rFonts w:ascii="Corbel" w:hAnsi="Corbel" w:cs="Times New Roman"/>
                <w:spacing w:val="0"/>
                <w:sz w:val="22"/>
                <w:szCs w:val="22"/>
                <w:lang w:val="en-GB" w:eastAsia="en-AU"/>
              </w:rPr>
              <w:t>continue to implement key workforce initiatives t</w:t>
            </w:r>
            <w:r w:rsidRPr="009D7E76">
              <w:rPr>
                <w:rFonts w:ascii="Corbel" w:hAnsi="Corbel" w:cs="Times New Roman"/>
                <w:spacing w:val="0"/>
                <w:sz w:val="22"/>
                <w:szCs w:val="22"/>
                <w:lang w:val="en-GB" w:eastAsia="en-AU"/>
              </w:rPr>
              <w:t xml:space="preserve">o ensure that every Queensland child has access to quality early years services </w:t>
            </w:r>
            <w:r w:rsidRPr="00A26891">
              <w:rPr>
                <w:rFonts w:ascii="Corbel" w:hAnsi="Corbel" w:cs="Times New Roman"/>
                <w:spacing w:val="0"/>
                <w:sz w:val="22"/>
                <w:szCs w:val="22"/>
                <w:lang w:val="en-GB" w:eastAsia="en-AU"/>
              </w:rPr>
              <w:t>by developing</w:t>
            </w:r>
            <w:r w:rsidRPr="009D7E76">
              <w:rPr>
                <w:rFonts w:ascii="Corbel" w:hAnsi="Corbel" w:cs="Times New Roman"/>
                <w:spacing w:val="0"/>
                <w:sz w:val="22"/>
                <w:szCs w:val="22"/>
                <w:lang w:val="en-GB" w:eastAsia="en-AU"/>
              </w:rPr>
              <w:t xml:space="preserve"> the capacity of Queensland’s early childhood education and care workforce</w:t>
            </w:r>
            <w:r>
              <w:rPr>
                <w:rFonts w:ascii="Corbel" w:hAnsi="Corbel" w:cs="Times New Roman"/>
                <w:spacing w:val="0"/>
                <w:sz w:val="22"/>
                <w:szCs w:val="22"/>
                <w:lang w:val="en-GB" w:eastAsia="en-AU"/>
              </w:rPr>
              <w:t xml:space="preserve">. </w:t>
            </w:r>
          </w:p>
        </w:tc>
      </w:tr>
      <w:tr w:rsidR="00B125B8" w:rsidRPr="00056F24" w:rsidTr="00BE1156">
        <w:trPr>
          <w:cantSplit/>
        </w:trPr>
        <w:tc>
          <w:tcPr>
            <w:tcW w:w="853" w:type="pct"/>
          </w:tcPr>
          <w:p w:rsidR="00B125B8" w:rsidRPr="00056F24" w:rsidRDefault="00B125B8" w:rsidP="00B125B8">
            <w:r w:rsidRPr="00056F24">
              <w:t>2</w:t>
            </w:r>
          </w:p>
        </w:tc>
        <w:tc>
          <w:tcPr>
            <w:tcW w:w="1269" w:type="pct"/>
          </w:tcPr>
          <w:p w:rsidR="00B125B8" w:rsidRPr="00056F24" w:rsidRDefault="00B125B8" w:rsidP="00B125B8">
            <w:pPr>
              <w:pStyle w:val="TableText"/>
              <w:rPr>
                <w:rFonts w:ascii="Times New Roman" w:hAnsi="Times New Roman" w:cs="Times New Roman"/>
                <w:sz w:val="22"/>
                <w:szCs w:val="22"/>
              </w:rPr>
            </w:pPr>
            <w:r w:rsidRPr="00056F24">
              <w:rPr>
                <w:rFonts w:ascii="Corbel" w:hAnsi="Corbel" w:cs="Times New Roman"/>
                <w:spacing w:val="0"/>
                <w:sz w:val="22"/>
                <w:szCs w:val="22"/>
                <w:lang w:val="en-GB" w:eastAsia="en-AU"/>
              </w:rPr>
              <w:t>Early Years Places</w:t>
            </w:r>
          </w:p>
        </w:tc>
        <w:tc>
          <w:tcPr>
            <w:tcW w:w="2878" w:type="pct"/>
          </w:tcPr>
          <w:p w:rsidR="00B125B8" w:rsidRPr="00056F24" w:rsidRDefault="00B125B8" w:rsidP="00B125B8">
            <w:pPr>
              <w:pStyle w:val="TableText"/>
              <w:rPr>
                <w:rFonts w:ascii="Times New Roman" w:hAnsi="Times New Roman" w:cs="Times New Roman"/>
                <w:sz w:val="22"/>
                <w:szCs w:val="22"/>
              </w:rPr>
            </w:pPr>
            <w:r w:rsidRPr="00056F24">
              <w:rPr>
                <w:rFonts w:ascii="Corbel" w:hAnsi="Corbel" w:cs="Times New Roman"/>
                <w:spacing w:val="0"/>
                <w:sz w:val="22"/>
                <w:szCs w:val="22"/>
                <w:lang w:val="en-GB" w:eastAsia="en-AU"/>
              </w:rPr>
              <w:t>The</w:t>
            </w:r>
            <w:r w:rsidRPr="00056F24">
              <w:rPr>
                <w:sz w:val="22"/>
                <w:szCs w:val="22"/>
                <w:lang w:val="en-GB"/>
              </w:rPr>
              <w:t xml:space="preserve"> </w:t>
            </w:r>
            <w:r w:rsidRPr="00056F24">
              <w:rPr>
                <w:rFonts w:ascii="Corbel" w:hAnsi="Corbel" w:cs="Times New Roman"/>
                <w:spacing w:val="0"/>
                <w:sz w:val="22"/>
                <w:szCs w:val="22"/>
                <w:lang w:val="en-GB" w:eastAsia="en-AU"/>
              </w:rPr>
              <w:t>Queensland Government funds organisations   throughout the state to deliver integrated services and programs which may include ECEC, child and maternal health and family support. Targeted services are delivered and/or brokered for vulnerable children and families, and referrals are made to specialist or intensive support</w:t>
            </w:r>
            <w:r w:rsidRPr="00056F24">
              <w:rPr>
                <w:sz w:val="22"/>
                <w:szCs w:val="22"/>
                <w:lang w:val="en-GB"/>
              </w:rPr>
              <w:t xml:space="preserve"> </w:t>
            </w:r>
            <w:r w:rsidRPr="00056F24">
              <w:rPr>
                <w:rFonts w:ascii="Corbel" w:hAnsi="Corbel" w:cs="Times New Roman"/>
                <w:spacing w:val="0"/>
                <w:sz w:val="22"/>
                <w:szCs w:val="22"/>
                <w:lang w:val="en-GB" w:eastAsia="en-AU"/>
              </w:rPr>
              <w:t>services when required. Early Years Places focus on children’s learning and development and support for families.</w:t>
            </w:r>
          </w:p>
        </w:tc>
      </w:tr>
      <w:tr w:rsidR="00B125B8" w:rsidRPr="00056F24" w:rsidTr="00BE1156">
        <w:trPr>
          <w:cantSplit/>
        </w:trPr>
        <w:tc>
          <w:tcPr>
            <w:tcW w:w="853" w:type="pct"/>
          </w:tcPr>
          <w:p w:rsidR="00B125B8" w:rsidRPr="00056F24" w:rsidRDefault="00B125B8" w:rsidP="00B125B8">
            <w:r w:rsidRPr="00056F24">
              <w:t>2</w:t>
            </w:r>
          </w:p>
        </w:tc>
        <w:tc>
          <w:tcPr>
            <w:tcW w:w="1269" w:type="pct"/>
          </w:tcPr>
          <w:p w:rsidR="00B125B8" w:rsidRPr="00056F24" w:rsidRDefault="00B125B8" w:rsidP="00B125B8">
            <w:pPr>
              <w:pStyle w:val="TableText"/>
              <w:rPr>
                <w:rFonts w:ascii="Times New Roman" w:hAnsi="Times New Roman" w:cs="Times New Roman"/>
                <w:sz w:val="22"/>
                <w:szCs w:val="22"/>
              </w:rPr>
            </w:pPr>
            <w:r w:rsidRPr="00056F24">
              <w:rPr>
                <w:rFonts w:ascii="Corbel" w:hAnsi="Corbel" w:cs="Times New Roman"/>
                <w:spacing w:val="0"/>
                <w:sz w:val="22"/>
                <w:szCs w:val="22"/>
                <w:lang w:val="en-GB" w:eastAsia="en-AU"/>
              </w:rPr>
              <w:t>Step up into education</w:t>
            </w:r>
          </w:p>
        </w:tc>
        <w:tc>
          <w:tcPr>
            <w:tcW w:w="2878"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Under the Step up into education initiative, 21</w:t>
            </w:r>
            <w:hyperlink r:id="rId16" w:history="1">
              <w:r w:rsidRPr="00056F24">
                <w:rPr>
                  <w:rFonts w:ascii="Corbel" w:hAnsi="Corbel" w:cs="Times New Roman"/>
                  <w:spacing w:val="0"/>
                  <w:sz w:val="22"/>
                  <w:szCs w:val="22"/>
                  <w:lang w:val="en-GB" w:eastAsia="en-AU"/>
                </w:rPr>
                <w:t>Queensland schools</w:t>
              </w:r>
            </w:hyperlink>
            <w:r w:rsidRPr="00056F24">
              <w:rPr>
                <w:rFonts w:ascii="Corbel" w:hAnsi="Corbel" w:cs="Times New Roman"/>
                <w:spacing w:val="0"/>
                <w:sz w:val="22"/>
                <w:szCs w:val="22"/>
                <w:lang w:val="en-GB" w:eastAsia="en-AU"/>
              </w:rPr>
              <w:t xml:space="preserve"> from areas of disadvantage are receiving funding to deliver school readiness and transition initiatives to suit the needs of their local community. </w:t>
            </w:r>
            <w:hyperlink r:id="rId17" w:history="1">
              <w:r w:rsidRPr="00056F24">
                <w:rPr>
                  <w:rFonts w:ascii="Corbel" w:hAnsi="Corbel" w:cs="Times New Roman"/>
                  <w:spacing w:val="0"/>
                  <w:sz w:val="22"/>
                  <w:szCs w:val="22"/>
                  <w:lang w:val="en-GB" w:eastAsia="en-AU"/>
                </w:rPr>
                <w:t>Resources</w:t>
              </w:r>
            </w:hyperlink>
            <w:r w:rsidRPr="00056F24">
              <w:rPr>
                <w:rFonts w:ascii="Corbel" w:hAnsi="Corbel" w:cs="Times New Roman"/>
                <w:spacing w:val="0"/>
                <w:sz w:val="22"/>
                <w:szCs w:val="22"/>
                <w:lang w:val="en-GB" w:eastAsia="en-AU"/>
              </w:rPr>
              <w:t xml:space="preserve"> have been developed to assist schools, families, educators and teachers (school, kindergarten, child care and Prep) to support children to make successful transitions into Queensland schools.</w:t>
            </w:r>
          </w:p>
        </w:tc>
      </w:tr>
      <w:tr w:rsidR="00B125B8" w:rsidRPr="00056F24" w:rsidTr="00BE1156">
        <w:trPr>
          <w:cantSplit/>
        </w:trPr>
        <w:tc>
          <w:tcPr>
            <w:tcW w:w="853" w:type="pct"/>
          </w:tcPr>
          <w:p w:rsidR="00B125B8" w:rsidRPr="00056F24" w:rsidRDefault="00B125B8" w:rsidP="00B125B8">
            <w:r w:rsidRPr="00056F24">
              <w:t>2</w:t>
            </w:r>
          </w:p>
        </w:tc>
        <w:tc>
          <w:tcPr>
            <w:tcW w:w="1269"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First 5 Forever</w:t>
            </w:r>
          </w:p>
        </w:tc>
        <w:tc>
          <w:tcPr>
            <w:tcW w:w="2878"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First 5 Forever is a universal family literacy initiative in Queensland aimed at supporting stronger language and literacy environments for young children from 0</w:t>
            </w:r>
            <w:r w:rsidRPr="00056F24">
              <w:rPr>
                <w:rFonts w:ascii="Corbel" w:hAnsi="Corbel" w:cs="Times New Roman"/>
                <w:spacing w:val="0"/>
                <w:sz w:val="22"/>
                <w:szCs w:val="22"/>
                <w:lang w:val="en-GB" w:eastAsia="en-AU"/>
              </w:rPr>
              <w:noBreakHyphen/>
              <w:t>5 years and their families. 320 public libraries will receive additional resources to deliver First 5 in partnership with the State Library of Queensland and local government councils.</w:t>
            </w:r>
          </w:p>
        </w:tc>
      </w:tr>
      <w:tr w:rsidR="00B125B8" w:rsidRPr="00056F24" w:rsidTr="00BE1156">
        <w:trPr>
          <w:cantSplit/>
        </w:trPr>
        <w:tc>
          <w:tcPr>
            <w:tcW w:w="853" w:type="pct"/>
          </w:tcPr>
          <w:p w:rsidR="00B125B8" w:rsidRPr="00056F24" w:rsidRDefault="00B125B8" w:rsidP="00B125B8">
            <w:r w:rsidRPr="00056F24">
              <w:t>2</w:t>
            </w:r>
          </w:p>
        </w:tc>
        <w:tc>
          <w:tcPr>
            <w:tcW w:w="1269"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Continuity of learning</w:t>
            </w:r>
          </w:p>
        </w:tc>
        <w:tc>
          <w:tcPr>
            <w:tcW w:w="2878"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To strengthen continuity of learning and successful transitions to school, investment in projects across all seven regions will focus on delive</w:t>
            </w:r>
            <w:r w:rsidR="00A26891">
              <w:rPr>
                <w:rFonts w:ascii="Corbel" w:hAnsi="Corbel" w:cs="Times New Roman"/>
                <w:spacing w:val="0"/>
                <w:sz w:val="22"/>
                <w:szCs w:val="22"/>
                <w:lang w:val="en-GB" w:eastAsia="en-AU"/>
              </w:rPr>
              <w:t xml:space="preserve">ring a coordinated approach to </w:t>
            </w:r>
            <w:r w:rsidRPr="00056F24">
              <w:rPr>
                <w:rFonts w:ascii="Corbel" w:hAnsi="Corbel" w:cs="Times New Roman"/>
                <w:spacing w:val="0"/>
                <w:sz w:val="22"/>
                <w:szCs w:val="22"/>
                <w:lang w:val="en-GB" w:eastAsia="en-AU"/>
              </w:rPr>
              <w:t>maximise children's engagement in learning and to enhance outcomes.</w:t>
            </w:r>
          </w:p>
        </w:tc>
      </w:tr>
      <w:tr w:rsidR="00B125B8" w:rsidRPr="00056F24" w:rsidTr="00BE1156">
        <w:trPr>
          <w:cantSplit/>
        </w:trPr>
        <w:tc>
          <w:tcPr>
            <w:tcW w:w="853" w:type="pct"/>
          </w:tcPr>
          <w:p w:rsidR="00B125B8" w:rsidRPr="00056F24" w:rsidRDefault="00B125B8" w:rsidP="00B125B8">
            <w:r w:rsidRPr="00056F24">
              <w:t>2</w:t>
            </w:r>
          </w:p>
        </w:tc>
        <w:tc>
          <w:tcPr>
            <w:tcW w:w="1269"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Australian Early Development Census (AEDC)</w:t>
            </w:r>
          </w:p>
        </w:tc>
        <w:tc>
          <w:tcPr>
            <w:tcW w:w="2878"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The AEDC is a national collection of information on young children’s development in Australia. Data is collected every three years on children in their first year of full-time schooling. The results provide a snapshot at a community level of how children are developing by the time they reach school. The AEDC data is used by early childhood services to engage their community and plan actions to better support local children and their families.</w:t>
            </w:r>
          </w:p>
        </w:tc>
      </w:tr>
      <w:tr w:rsidR="00B125B8" w:rsidRPr="00056F24" w:rsidTr="00BE1156">
        <w:trPr>
          <w:cantSplit/>
        </w:trPr>
        <w:tc>
          <w:tcPr>
            <w:tcW w:w="853" w:type="pct"/>
          </w:tcPr>
          <w:p w:rsidR="00B125B8" w:rsidRPr="00056F24" w:rsidRDefault="00B125B8" w:rsidP="00B125B8">
            <w:r w:rsidRPr="00056F24">
              <w:t>2</w:t>
            </w:r>
          </w:p>
        </w:tc>
        <w:tc>
          <w:tcPr>
            <w:tcW w:w="1269" w:type="pct"/>
          </w:tcPr>
          <w:p w:rsidR="00B125B8" w:rsidRPr="00056F24" w:rsidRDefault="00B125B8" w:rsidP="00B125B8">
            <w:pPr>
              <w:pStyle w:val="TableText"/>
              <w:rPr>
                <w:rFonts w:ascii="Corbel" w:hAnsi="Corbel" w:cs="Times New Roman"/>
                <w:spacing w:val="0"/>
                <w:sz w:val="22"/>
                <w:szCs w:val="22"/>
                <w:lang w:val="en-GB" w:eastAsia="en-AU"/>
              </w:rPr>
            </w:pPr>
            <w:r w:rsidRPr="00056F24">
              <w:rPr>
                <w:rFonts w:ascii="Corbel" w:hAnsi="Corbel" w:cs="Times New Roman"/>
                <w:spacing w:val="0"/>
                <w:sz w:val="22"/>
                <w:szCs w:val="22"/>
                <w:lang w:val="en-GB" w:eastAsia="en-AU"/>
              </w:rPr>
              <w:t>Play Stars</w:t>
            </w:r>
          </w:p>
        </w:tc>
        <w:tc>
          <w:tcPr>
            <w:tcW w:w="2878" w:type="pct"/>
          </w:tcPr>
          <w:p w:rsidR="00B125B8" w:rsidRPr="00056F24" w:rsidRDefault="00B125B8" w:rsidP="00B125B8">
            <w:pPr>
              <w:pStyle w:val="TableText"/>
              <w:rPr>
                <w:sz w:val="22"/>
                <w:szCs w:val="22"/>
                <w:lang w:val="en-GB"/>
              </w:rPr>
            </w:pPr>
            <w:r w:rsidRPr="00056F24">
              <w:rPr>
                <w:rFonts w:ascii="Corbel" w:hAnsi="Corbel" w:cs="Times New Roman"/>
                <w:spacing w:val="0"/>
                <w:sz w:val="22"/>
                <w:szCs w:val="22"/>
                <w:lang w:val="en-GB" w:eastAsia="en-AU"/>
              </w:rPr>
              <w:t>Play Stars is a partnership between the Queensland Government and Playgroup Queensland to provide every family in Queensland, with a child under one year of age, with 12 months’ free membership to Playgroup Queensland. Playgroups are a universal, cost-effective early intervention activity that support young children’s learning and development through play, building parenting support networks, encouraging greater participation in early childhood services and supporting transition to kindergarten.</w:t>
            </w:r>
          </w:p>
        </w:tc>
      </w:tr>
    </w:tbl>
    <w:p w:rsidR="0036688B" w:rsidRPr="00056F24" w:rsidRDefault="0036688B" w:rsidP="00D55611">
      <w:pPr>
        <w:pStyle w:val="Heading1"/>
        <w:spacing w:after="120"/>
      </w:pPr>
      <w:r w:rsidRPr="00056F24">
        <w:t xml:space="preserve">Part </w:t>
      </w:r>
      <w:r w:rsidR="00B62772" w:rsidRPr="00056F24">
        <w:t>4</w:t>
      </w:r>
      <w:r w:rsidRPr="00056F24">
        <w:t>:</w:t>
      </w:r>
      <w:r w:rsidR="00497DC1" w:rsidRPr="00056F24">
        <w:t xml:space="preserve"> </w:t>
      </w:r>
      <w:r w:rsidR="0071515C" w:rsidRPr="00056F24">
        <w:t>P</w:t>
      </w:r>
      <w:r w:rsidRPr="00056F24">
        <w:t>erformance and reporting arrangements</w:t>
      </w:r>
    </w:p>
    <w:p w:rsidR="00186FF4" w:rsidRPr="00056F24" w:rsidRDefault="00186FF4" w:rsidP="00EC159E">
      <w:pPr>
        <w:pStyle w:val="Heading2"/>
        <w:spacing w:after="120"/>
      </w:pPr>
      <w:r w:rsidRPr="00056F24">
        <w:t>Performance indicators, benchmarks and targets</w:t>
      </w:r>
    </w:p>
    <w:p w:rsidR="007D6535" w:rsidRPr="00056F24" w:rsidRDefault="00186FF4" w:rsidP="007D6535">
      <w:pPr>
        <w:pStyle w:val="Normalnumbered"/>
        <w:spacing w:after="240"/>
      </w:pPr>
      <w:r w:rsidRPr="00056F24">
        <w:t>Key indicators, data sources and benchmarks for assessing and monitoring performance are set out in Part 4 and Schedule A of the National Partnership.</w:t>
      </w:r>
      <w:r w:rsidR="001638E2" w:rsidRPr="00056F24">
        <w:rPr>
          <w:lang w:val="en-GB"/>
        </w:rPr>
        <w:t xml:space="preserve"> </w:t>
      </w:r>
    </w:p>
    <w:p w:rsidR="00C11196" w:rsidRPr="00056F24" w:rsidRDefault="00C11196" w:rsidP="004B4464">
      <w:pPr>
        <w:pStyle w:val="Normalnumbered"/>
        <w:spacing w:after="240"/>
      </w:pPr>
      <w:r w:rsidRPr="00056F24">
        <w:t>With regard to reporting on attendance,</w:t>
      </w:r>
      <w:r w:rsidR="00BE1156" w:rsidRPr="00056F24">
        <w:t xml:space="preserve"> Queensland</w:t>
      </w:r>
      <w:r w:rsidRPr="00056F24">
        <w:t xml:space="preserve"> has agreed a target for </w:t>
      </w:r>
      <w:r w:rsidR="000D6F25" w:rsidRPr="00A26891">
        <w:t>20</w:t>
      </w:r>
      <w:r w:rsidR="004223C7" w:rsidRPr="00A26891">
        <w:t>20</w:t>
      </w:r>
      <w:r w:rsidRPr="00A26891">
        <w:t xml:space="preserve"> w</w:t>
      </w:r>
      <w:r w:rsidRPr="00056F24">
        <w:t>ith the Commonwealth, as set out in Table 5 below, and will report on progress towards this target as part of the National Early Childhood Education and Care Collection.</w:t>
      </w:r>
    </w:p>
    <w:p w:rsidR="00835F07" w:rsidRPr="00056F24" w:rsidRDefault="00835F07" w:rsidP="009E47B4">
      <w:pPr>
        <w:keepNext/>
        <w:keepLines/>
        <w:spacing w:before="240" w:after="120"/>
        <w:outlineLvl w:val="2"/>
        <w:rPr>
          <w:rFonts w:ascii="Consolas" w:hAnsi="Consolas"/>
          <w:b/>
          <w:color w:val="3D4B67"/>
          <w:szCs w:val="20"/>
        </w:rPr>
      </w:pPr>
      <w:r w:rsidRPr="00056F24">
        <w:rPr>
          <w:rFonts w:ascii="Consolas" w:hAnsi="Consolas"/>
          <w:b/>
          <w:color w:val="3D4B67"/>
          <w:szCs w:val="20"/>
        </w:rPr>
        <w:t>Table 5: Bilaterally agreed attendance targets</w:t>
      </w:r>
    </w:p>
    <w:tbl>
      <w:tblPr>
        <w:tblStyle w:val="TableGrid"/>
        <w:tblW w:w="9184" w:type="dxa"/>
        <w:tblLook w:val="04A0" w:firstRow="1" w:lastRow="0" w:firstColumn="1" w:lastColumn="0" w:noHBand="0" w:noVBand="1"/>
      </w:tblPr>
      <w:tblGrid>
        <w:gridCol w:w="1446"/>
        <w:gridCol w:w="2147"/>
        <w:gridCol w:w="1299"/>
        <w:gridCol w:w="1905"/>
        <w:gridCol w:w="2387"/>
      </w:tblGrid>
      <w:tr w:rsidR="008D5364" w:rsidRPr="00056F24" w:rsidDel="00DA15BC" w:rsidTr="004223C7">
        <w:trPr>
          <w:trHeight w:val="568"/>
        </w:trPr>
        <w:tc>
          <w:tcPr>
            <w:tcW w:w="1446" w:type="dxa"/>
            <w:shd w:val="pct5" w:color="auto" w:fill="auto"/>
            <w:tcMar>
              <w:top w:w="57" w:type="dxa"/>
              <w:left w:w="57" w:type="dxa"/>
              <w:right w:w="57" w:type="dxa"/>
            </w:tcMar>
            <w:vAlign w:val="center"/>
          </w:tcPr>
          <w:p w:rsidR="004223C7" w:rsidRPr="00056F24" w:rsidRDefault="004223C7" w:rsidP="007C19F7">
            <w:pPr>
              <w:keepNext/>
              <w:keepLines/>
              <w:jc w:val="center"/>
              <w:rPr>
                <w:b/>
                <w:szCs w:val="23"/>
              </w:rPr>
            </w:pPr>
            <w:r w:rsidRPr="00056F24">
              <w:rPr>
                <w:b/>
                <w:szCs w:val="23"/>
              </w:rPr>
              <w:t>2017 performance</w:t>
            </w:r>
          </w:p>
        </w:tc>
        <w:tc>
          <w:tcPr>
            <w:tcW w:w="2147" w:type="dxa"/>
            <w:shd w:val="pct5" w:color="auto" w:fill="auto"/>
          </w:tcPr>
          <w:p w:rsidR="004223C7" w:rsidRDefault="004223C7" w:rsidP="00AA7A57">
            <w:pPr>
              <w:keepNext/>
              <w:keepLines/>
              <w:jc w:val="center"/>
              <w:rPr>
                <w:b/>
                <w:szCs w:val="23"/>
              </w:rPr>
            </w:pPr>
            <w:r w:rsidRPr="00056F24">
              <w:rPr>
                <w:b/>
                <w:szCs w:val="23"/>
              </w:rPr>
              <w:t xml:space="preserve">2018 </w:t>
            </w:r>
          </w:p>
          <w:p w:rsidR="004223C7" w:rsidRPr="00056F24" w:rsidRDefault="004223C7" w:rsidP="00AA7A57">
            <w:pPr>
              <w:keepNext/>
              <w:keepLines/>
              <w:jc w:val="center"/>
              <w:rPr>
                <w:b/>
                <w:szCs w:val="23"/>
              </w:rPr>
            </w:pPr>
            <w:r>
              <w:rPr>
                <w:b/>
                <w:szCs w:val="23"/>
              </w:rPr>
              <w:t>performance</w:t>
            </w:r>
          </w:p>
        </w:tc>
        <w:tc>
          <w:tcPr>
            <w:tcW w:w="1299" w:type="dxa"/>
            <w:shd w:val="pct5" w:color="auto" w:fill="auto"/>
            <w:tcMar>
              <w:left w:w="57" w:type="dxa"/>
              <w:right w:w="57" w:type="dxa"/>
            </w:tcMar>
            <w:vAlign w:val="center"/>
          </w:tcPr>
          <w:p w:rsidR="004223C7" w:rsidRPr="00056F24" w:rsidRDefault="004223C7" w:rsidP="00AA7A57">
            <w:pPr>
              <w:keepNext/>
              <w:keepLines/>
              <w:jc w:val="center"/>
              <w:rPr>
                <w:b/>
                <w:szCs w:val="23"/>
              </w:rPr>
            </w:pPr>
            <w:r w:rsidRPr="004223C7">
              <w:rPr>
                <w:b/>
                <w:szCs w:val="23"/>
              </w:rPr>
              <w:t>2019</w:t>
            </w:r>
            <w:r w:rsidRPr="00056F24">
              <w:rPr>
                <w:b/>
                <w:szCs w:val="23"/>
              </w:rPr>
              <w:t xml:space="preserve"> Target</w:t>
            </w:r>
          </w:p>
        </w:tc>
        <w:tc>
          <w:tcPr>
            <w:tcW w:w="1905" w:type="dxa"/>
            <w:shd w:val="pct5" w:color="auto" w:fill="auto"/>
          </w:tcPr>
          <w:p w:rsidR="004223C7" w:rsidRPr="00056F24" w:rsidRDefault="00FF3B19" w:rsidP="007C19F7">
            <w:pPr>
              <w:keepNext/>
              <w:keepLines/>
              <w:jc w:val="center"/>
              <w:rPr>
                <w:b/>
                <w:szCs w:val="23"/>
              </w:rPr>
            </w:pPr>
            <w:r>
              <w:rPr>
                <w:b/>
                <w:szCs w:val="23"/>
              </w:rPr>
              <w:t>2020 Target</w:t>
            </w:r>
          </w:p>
        </w:tc>
        <w:tc>
          <w:tcPr>
            <w:tcW w:w="2387" w:type="dxa"/>
            <w:shd w:val="pct5" w:color="auto" w:fill="auto"/>
            <w:tcMar>
              <w:top w:w="57" w:type="dxa"/>
              <w:left w:w="57" w:type="dxa"/>
              <w:right w:w="57" w:type="dxa"/>
            </w:tcMar>
            <w:vAlign w:val="center"/>
          </w:tcPr>
          <w:p w:rsidR="004223C7" w:rsidRPr="00056F24" w:rsidDel="00DA15BC" w:rsidRDefault="004223C7" w:rsidP="007C19F7">
            <w:pPr>
              <w:keepNext/>
              <w:keepLines/>
              <w:jc w:val="center"/>
              <w:rPr>
                <w:b/>
                <w:szCs w:val="23"/>
              </w:rPr>
            </w:pPr>
            <w:r w:rsidRPr="00056F24">
              <w:rPr>
                <w:b/>
                <w:szCs w:val="23"/>
              </w:rPr>
              <w:t>Performance Benchmark/Target</w:t>
            </w:r>
          </w:p>
        </w:tc>
      </w:tr>
      <w:tr w:rsidR="004223C7" w:rsidRPr="00056F24" w:rsidTr="00446D23">
        <w:trPr>
          <w:trHeight w:val="861"/>
        </w:trPr>
        <w:tc>
          <w:tcPr>
            <w:tcW w:w="1446" w:type="dxa"/>
            <w:tcMar>
              <w:left w:w="57" w:type="dxa"/>
              <w:right w:w="57" w:type="dxa"/>
            </w:tcMar>
          </w:tcPr>
          <w:p w:rsidR="004223C7" w:rsidRPr="00056F24" w:rsidRDefault="004223C7" w:rsidP="007C19F7">
            <w:r w:rsidRPr="00056F24">
              <w:t xml:space="preserve">  96.1%</w:t>
            </w:r>
          </w:p>
        </w:tc>
        <w:tc>
          <w:tcPr>
            <w:tcW w:w="2147" w:type="dxa"/>
          </w:tcPr>
          <w:p w:rsidR="004223C7" w:rsidRPr="00056F24" w:rsidRDefault="00DB1130" w:rsidP="00A7499E">
            <w:pPr>
              <w:jc w:val="center"/>
            </w:pPr>
            <w:r>
              <w:t>97.7%</w:t>
            </w:r>
          </w:p>
        </w:tc>
        <w:tc>
          <w:tcPr>
            <w:tcW w:w="1299" w:type="dxa"/>
            <w:tcMar>
              <w:left w:w="57" w:type="dxa"/>
              <w:right w:w="57" w:type="dxa"/>
            </w:tcMar>
          </w:tcPr>
          <w:p w:rsidR="004223C7" w:rsidRPr="00056F24" w:rsidRDefault="004223C7" w:rsidP="00FF3B19">
            <w:pPr>
              <w:jc w:val="center"/>
            </w:pPr>
            <w:r w:rsidRPr="00056F24">
              <w:t>90%</w:t>
            </w:r>
            <w:r w:rsidR="00554F85">
              <w:t>*</w:t>
            </w:r>
          </w:p>
        </w:tc>
        <w:tc>
          <w:tcPr>
            <w:tcW w:w="1905" w:type="dxa"/>
          </w:tcPr>
          <w:p w:rsidR="004223C7" w:rsidRPr="00056F24" w:rsidRDefault="00FF3B19" w:rsidP="00FF3B19">
            <w:pPr>
              <w:jc w:val="center"/>
            </w:pPr>
            <w:r>
              <w:t>90%</w:t>
            </w:r>
          </w:p>
        </w:tc>
        <w:tc>
          <w:tcPr>
            <w:tcW w:w="2387" w:type="dxa"/>
          </w:tcPr>
          <w:p w:rsidR="004223C7" w:rsidRPr="00056F24" w:rsidRDefault="004223C7" w:rsidP="007C19F7">
            <w:r w:rsidRPr="00056F24">
              <w:t xml:space="preserve">Annual targets agreed in Implementation Plans taking into account a jurisdiction’s starting point and moving to 90 per cent over time. </w:t>
            </w:r>
          </w:p>
        </w:tc>
      </w:tr>
    </w:tbl>
    <w:p w:rsidR="00742989" w:rsidRPr="00056F24" w:rsidRDefault="00742989" w:rsidP="00742989">
      <w:pPr>
        <w:rPr>
          <w:sz w:val="16"/>
          <w:szCs w:val="16"/>
        </w:rPr>
      </w:pPr>
      <w:r w:rsidRPr="00056F24">
        <w:rPr>
          <w:sz w:val="16"/>
          <w:szCs w:val="16"/>
        </w:rPr>
        <w:t xml:space="preserve">Payments under this agreement are not tied to achievement of attendance targets. </w:t>
      </w:r>
    </w:p>
    <w:p w:rsidR="00742989" w:rsidRPr="00056F24" w:rsidRDefault="00742989" w:rsidP="00742989">
      <w:pPr>
        <w:rPr>
          <w:sz w:val="16"/>
          <w:szCs w:val="16"/>
        </w:rPr>
      </w:pPr>
      <w:r w:rsidRPr="00056F24">
        <w:rPr>
          <w:sz w:val="16"/>
          <w:szCs w:val="16"/>
        </w:rPr>
        <w:t>As per previous agreements, the methodology for calculation of performance related to attendance targets will be where a child has participated in a quality preschool program for a minimum of one hour during the collection period.</w:t>
      </w:r>
    </w:p>
    <w:p w:rsidR="00742989" w:rsidRPr="00056F24" w:rsidRDefault="00742989" w:rsidP="00742989">
      <w:pPr>
        <w:rPr>
          <w:sz w:val="16"/>
          <w:szCs w:val="16"/>
        </w:rPr>
      </w:pPr>
      <w:r w:rsidRPr="00056F24">
        <w:rPr>
          <w:sz w:val="16"/>
          <w:szCs w:val="16"/>
        </w:rPr>
        <w:t>*Performance against 20</w:t>
      </w:r>
      <w:r w:rsidR="004B6ACE">
        <w:rPr>
          <w:sz w:val="16"/>
          <w:szCs w:val="16"/>
        </w:rPr>
        <w:t>1</w:t>
      </w:r>
      <w:r w:rsidR="004223C7">
        <w:rPr>
          <w:sz w:val="16"/>
          <w:szCs w:val="16"/>
        </w:rPr>
        <w:t>9</w:t>
      </w:r>
      <w:r w:rsidRPr="00056F24">
        <w:rPr>
          <w:sz w:val="16"/>
          <w:szCs w:val="16"/>
        </w:rPr>
        <w:t xml:space="preserve"> Target to be assessed as part of final performance assessment for the previous National Partnership for </w:t>
      </w:r>
      <w:r w:rsidR="00FB4278">
        <w:rPr>
          <w:sz w:val="16"/>
          <w:szCs w:val="16"/>
        </w:rPr>
        <w:t>2018</w:t>
      </w:r>
      <w:r w:rsidR="00FB4278" w:rsidRPr="00056F24">
        <w:rPr>
          <w:sz w:val="16"/>
          <w:szCs w:val="16"/>
        </w:rPr>
        <w:t xml:space="preserve"> </w:t>
      </w:r>
      <w:r w:rsidRPr="00056F24">
        <w:rPr>
          <w:sz w:val="16"/>
          <w:szCs w:val="16"/>
        </w:rPr>
        <w:t xml:space="preserve">and </w:t>
      </w:r>
      <w:r w:rsidR="00FB4278">
        <w:rPr>
          <w:sz w:val="16"/>
          <w:szCs w:val="16"/>
        </w:rPr>
        <w:t>2019</w:t>
      </w:r>
      <w:r w:rsidRPr="00056F24">
        <w:rPr>
          <w:sz w:val="16"/>
          <w:szCs w:val="16"/>
        </w:rPr>
        <w:t>, with data expected in the first half of 20</w:t>
      </w:r>
      <w:r w:rsidR="00FB4278">
        <w:rPr>
          <w:sz w:val="16"/>
          <w:szCs w:val="16"/>
        </w:rPr>
        <w:t>20</w:t>
      </w:r>
      <w:r w:rsidRPr="00056F24">
        <w:rPr>
          <w:sz w:val="16"/>
          <w:szCs w:val="16"/>
        </w:rPr>
        <w:t>.</w:t>
      </w:r>
    </w:p>
    <w:p w:rsidR="004B4464" w:rsidRPr="00056F24" w:rsidRDefault="004B4464" w:rsidP="00243F4E">
      <w:pPr>
        <w:pStyle w:val="Heading2"/>
        <w:spacing w:before="120" w:after="120"/>
      </w:pPr>
      <w:r w:rsidRPr="00056F24">
        <w:t>Monitoring and reporting</w:t>
      </w:r>
    </w:p>
    <w:p w:rsidR="004B4464" w:rsidRPr="00056F24" w:rsidRDefault="004B4464" w:rsidP="004B4464">
      <w:pPr>
        <w:pStyle w:val="Normalnumbered"/>
        <w:spacing w:after="240"/>
      </w:pPr>
      <w:r w:rsidRPr="00056F24">
        <w:t xml:space="preserve">Commonwealth and State based collections or data sources and methodologies, agreed by both the Parties to this Plan, to measure progress against the performance milestones and benchmarks and targets in the </w:t>
      </w:r>
      <w:r w:rsidR="00E931BE" w:rsidRPr="00056F24">
        <w:t>National Partnership</w:t>
      </w:r>
      <w:r w:rsidRPr="00056F24">
        <w:t>, are set out in</w:t>
      </w:r>
      <w:r w:rsidR="00CC19A9" w:rsidRPr="00056F24">
        <w:t xml:space="preserve"> Part 4 and</w:t>
      </w:r>
      <w:r w:rsidR="00DE23EB" w:rsidRPr="00056F24">
        <w:t xml:space="preserve"> </w:t>
      </w:r>
      <w:r w:rsidRPr="00056F24">
        <w:t xml:space="preserve">Schedule A of the </w:t>
      </w:r>
      <w:r w:rsidR="00E931BE" w:rsidRPr="00056F24">
        <w:t>National Partnership</w:t>
      </w:r>
      <w:r w:rsidRPr="00056F24">
        <w:t>.</w:t>
      </w:r>
    </w:p>
    <w:p w:rsidR="004B4464" w:rsidRPr="00056F24" w:rsidRDefault="004B4464" w:rsidP="004B4464">
      <w:pPr>
        <w:pStyle w:val="Normalnumbered"/>
        <w:spacing w:after="240"/>
      </w:pPr>
      <w:r w:rsidRPr="00056F24">
        <w:t>These data and performance specifications will be used to report</w:t>
      </w:r>
      <w:r w:rsidR="00BE1156" w:rsidRPr="00056F24">
        <w:t xml:space="preserve"> Queensland’s</w:t>
      </w:r>
      <w:r w:rsidRPr="00056F24">
        <w:t xml:space="preserve"> performance, except for the supplementary data agreed by the Parties to this </w:t>
      </w:r>
      <w:r w:rsidR="007926CC" w:rsidRPr="00056F24">
        <w:t xml:space="preserve">Implementation </w:t>
      </w:r>
      <w:r w:rsidRPr="00056F24">
        <w:t>Plan</w:t>
      </w:r>
      <w:r w:rsidR="00D315C2" w:rsidRPr="00056F24">
        <w:t xml:space="preserve">. </w:t>
      </w:r>
    </w:p>
    <w:p w:rsidR="00D315C2" w:rsidRPr="00056F24" w:rsidRDefault="00D315C2" w:rsidP="00D315C2">
      <w:pPr>
        <w:pStyle w:val="Normalnumbered"/>
        <w:spacing w:after="240"/>
        <w:rPr>
          <w:lang w:val="en-GB"/>
        </w:rPr>
      </w:pPr>
      <w:r w:rsidRPr="00056F24">
        <w:rPr>
          <w:lang w:val="en-GB"/>
        </w:rPr>
        <w:t>Supplementary data will be sourced from the Queensland ECEC Services Census and/or other department administrative systems, and relevant Commonwealth data including, but not limited to:</w:t>
      </w:r>
    </w:p>
    <w:p w:rsidR="00D315C2" w:rsidRPr="00056F24" w:rsidRDefault="005124CE" w:rsidP="005962E6">
      <w:pPr>
        <w:pStyle w:val="Normalnumbered"/>
        <w:numPr>
          <w:ilvl w:val="1"/>
          <w:numId w:val="9"/>
        </w:numPr>
        <w:spacing w:after="240"/>
        <w:rPr>
          <w:lang w:val="en-GB"/>
        </w:rPr>
      </w:pPr>
      <w:r w:rsidRPr="00056F24">
        <w:rPr>
          <w:lang w:val="en-GB"/>
        </w:rPr>
        <w:t>p</w:t>
      </w:r>
      <w:r w:rsidR="00D315C2" w:rsidRPr="00056F24">
        <w:rPr>
          <w:lang w:val="en-GB"/>
        </w:rPr>
        <w:t>roportion of families with kindergarten-age children with Health Care Cards enrolled in quality early childhood education programs</w:t>
      </w:r>
    </w:p>
    <w:p w:rsidR="001638E2" w:rsidRPr="00056F24" w:rsidRDefault="005124CE" w:rsidP="005962E6">
      <w:pPr>
        <w:pStyle w:val="Normalnumbered"/>
        <w:numPr>
          <w:ilvl w:val="1"/>
          <w:numId w:val="9"/>
        </w:numPr>
        <w:spacing w:after="240"/>
        <w:rPr>
          <w:lang w:val="en-GB"/>
        </w:rPr>
      </w:pPr>
      <w:r w:rsidRPr="00056F24">
        <w:rPr>
          <w:lang w:val="en-GB"/>
        </w:rPr>
        <w:t>e</w:t>
      </w:r>
      <w:r w:rsidR="001638E2" w:rsidRPr="00056F24">
        <w:rPr>
          <w:lang w:val="en-GB"/>
        </w:rPr>
        <w:t>nrolment of refugee and asylum seeker children</w:t>
      </w:r>
    </w:p>
    <w:p w:rsidR="00D315C2" w:rsidRPr="00056F24" w:rsidRDefault="005124CE" w:rsidP="005962E6">
      <w:pPr>
        <w:pStyle w:val="Normalnumbered"/>
        <w:numPr>
          <w:ilvl w:val="1"/>
          <w:numId w:val="9"/>
        </w:numPr>
        <w:spacing w:after="240"/>
        <w:rPr>
          <w:lang w:val="en-GB"/>
        </w:rPr>
      </w:pPr>
      <w:r w:rsidRPr="00056F24">
        <w:rPr>
          <w:lang w:val="en-GB"/>
        </w:rPr>
        <w:t>e</w:t>
      </w:r>
      <w:r w:rsidR="00D315C2" w:rsidRPr="00056F24">
        <w:rPr>
          <w:lang w:val="en-GB"/>
        </w:rPr>
        <w:t>arly entry enrolment of children in Prep</w:t>
      </w:r>
    </w:p>
    <w:p w:rsidR="00D315C2" w:rsidRPr="00056F24" w:rsidRDefault="00D315C2" w:rsidP="005962E6">
      <w:pPr>
        <w:pStyle w:val="Normalnumbered"/>
        <w:numPr>
          <w:ilvl w:val="1"/>
          <w:numId w:val="9"/>
        </w:numPr>
        <w:spacing w:after="240"/>
        <w:rPr>
          <w:lang w:val="en-GB"/>
        </w:rPr>
      </w:pPr>
      <w:r w:rsidRPr="00056F24">
        <w:rPr>
          <w:lang w:val="en-GB"/>
        </w:rPr>
        <w:t>Queensland ECEC Census Enrolment and attendance data</w:t>
      </w:r>
    </w:p>
    <w:p w:rsidR="00D315C2" w:rsidRPr="00056F24" w:rsidRDefault="00D315C2" w:rsidP="005962E6">
      <w:pPr>
        <w:pStyle w:val="Normalnumbered"/>
        <w:numPr>
          <w:ilvl w:val="1"/>
          <w:numId w:val="9"/>
        </w:numPr>
        <w:spacing w:after="240"/>
        <w:rPr>
          <w:lang w:val="en-GB"/>
        </w:rPr>
      </w:pPr>
      <w:r w:rsidRPr="00056F24">
        <w:rPr>
          <w:lang w:val="en-GB"/>
        </w:rPr>
        <w:t>Queensland ECEC Census Indigenous enrolment data.</w:t>
      </w:r>
    </w:p>
    <w:p w:rsidR="004B4464" w:rsidRPr="00056F24" w:rsidRDefault="004B4464" w:rsidP="00832261">
      <w:pPr>
        <w:pStyle w:val="Normalnumbered"/>
        <w:spacing w:after="120"/>
      </w:pPr>
      <w:r w:rsidRPr="00056F24">
        <w:t>Supplementary data reports must contain the following details for each Performance Indi</w:t>
      </w:r>
      <w:r w:rsidR="00B42237" w:rsidRPr="00056F24">
        <w:t xml:space="preserve">cator where the method is not </w:t>
      </w:r>
      <w:r w:rsidRPr="00056F24">
        <w:t>consistent with the Early Childhood Education a</w:t>
      </w:r>
      <w:r w:rsidR="00EB0B69" w:rsidRPr="00056F24">
        <w:t>nd Care Minimal Data Set (NMDS):</w:t>
      </w:r>
    </w:p>
    <w:p w:rsidR="00EB0B69" w:rsidRPr="00056F24" w:rsidRDefault="00765AA1" w:rsidP="005962E6">
      <w:pPr>
        <w:pStyle w:val="Normalnumbered"/>
        <w:numPr>
          <w:ilvl w:val="0"/>
          <w:numId w:val="16"/>
        </w:numPr>
        <w:ind w:left="1040"/>
      </w:pPr>
      <w:r w:rsidRPr="00056F24">
        <w:t>p</w:t>
      </w:r>
      <w:r w:rsidR="00EB0B69" w:rsidRPr="00056F24">
        <w:t>erformance Indicator calculation description (numerator, denominator, computation and presentation)</w:t>
      </w:r>
    </w:p>
    <w:p w:rsidR="00EB0B69" w:rsidRPr="00056F24" w:rsidRDefault="00765AA1" w:rsidP="005962E6">
      <w:pPr>
        <w:pStyle w:val="Normalnumbered"/>
        <w:numPr>
          <w:ilvl w:val="0"/>
          <w:numId w:val="16"/>
        </w:numPr>
        <w:ind w:left="1040"/>
      </w:pPr>
      <w:r w:rsidRPr="00056F24">
        <w:t>n</w:t>
      </w:r>
      <w:r w:rsidR="00EB0B69" w:rsidRPr="00056F24">
        <w:t xml:space="preserve">umerator Information (collection name and population description) </w:t>
      </w:r>
    </w:p>
    <w:p w:rsidR="00EB0B69" w:rsidRPr="00056F24" w:rsidRDefault="00765AA1" w:rsidP="005962E6">
      <w:pPr>
        <w:pStyle w:val="Normalnumbered"/>
        <w:numPr>
          <w:ilvl w:val="0"/>
          <w:numId w:val="16"/>
        </w:numPr>
        <w:ind w:left="1040"/>
      </w:pPr>
      <w:r w:rsidRPr="00056F24">
        <w:t>d</w:t>
      </w:r>
      <w:r w:rsidR="00EB0B69" w:rsidRPr="00056F24">
        <w:t xml:space="preserve">enominator Information (collection name and population description) </w:t>
      </w:r>
    </w:p>
    <w:p w:rsidR="00EB0B69" w:rsidRPr="00056F24" w:rsidRDefault="00765AA1" w:rsidP="005962E6">
      <w:pPr>
        <w:pStyle w:val="Normalnumbered"/>
        <w:numPr>
          <w:ilvl w:val="0"/>
          <w:numId w:val="16"/>
        </w:numPr>
        <w:ind w:left="1040"/>
      </w:pPr>
      <w:r w:rsidRPr="00056F24">
        <w:t>c</w:t>
      </w:r>
      <w:r w:rsidR="00EB0B69" w:rsidRPr="00056F24">
        <w:t xml:space="preserve">alculation </w:t>
      </w:r>
      <w:r w:rsidR="00742989" w:rsidRPr="00056F24">
        <w:t>n</w:t>
      </w:r>
      <w:r w:rsidR="00EB0B69" w:rsidRPr="00056F24">
        <w:t>otes (including any information about how the PI is calculated)</w:t>
      </w:r>
    </w:p>
    <w:p w:rsidR="00EB0B69" w:rsidRPr="00056F24" w:rsidRDefault="00765AA1" w:rsidP="005962E6">
      <w:pPr>
        <w:pStyle w:val="Normalnumbered"/>
        <w:numPr>
          <w:ilvl w:val="0"/>
          <w:numId w:val="16"/>
        </w:numPr>
        <w:ind w:left="1040"/>
      </w:pPr>
      <w:r w:rsidRPr="00056F24">
        <w:t>m</w:t>
      </w:r>
      <w:r w:rsidR="00EB0B69" w:rsidRPr="00056F24">
        <w:t>ethodology</w:t>
      </w:r>
    </w:p>
    <w:p w:rsidR="00EB0B69" w:rsidRPr="00056F24" w:rsidRDefault="00765AA1" w:rsidP="005962E6">
      <w:pPr>
        <w:pStyle w:val="Normalnumbered"/>
        <w:numPr>
          <w:ilvl w:val="0"/>
          <w:numId w:val="16"/>
        </w:numPr>
        <w:ind w:left="1040"/>
      </w:pPr>
      <w:r w:rsidRPr="00056F24">
        <w:t>r</w:t>
      </w:r>
      <w:r w:rsidR="00EB0B69" w:rsidRPr="00056F24">
        <w:t>ationale for supplementary data and reporting (including any additional information to explain how and why the specifications for the supplementary data differ from the specifications in the NMDS).</w:t>
      </w:r>
    </w:p>
    <w:p w:rsidR="005D4CB2" w:rsidRPr="00056F24" w:rsidRDefault="005D4CB2" w:rsidP="005D4CB2"/>
    <w:p w:rsidR="0036688B" w:rsidRPr="00056F24" w:rsidRDefault="0036688B" w:rsidP="005D4CB2">
      <w:pPr>
        <w:pStyle w:val="Heading2"/>
        <w:pageBreakBefore/>
      </w:pPr>
      <w:r w:rsidRPr="00056F24">
        <w:t>Sign off</w:t>
      </w:r>
    </w:p>
    <w:p w:rsidR="0036688B" w:rsidRPr="00056F24" w:rsidRDefault="0036688B" w:rsidP="00926726">
      <w:pPr>
        <w:keepNext/>
        <w:keepLines/>
        <w:spacing w:after="240" w:line="260" w:lineRule="exact"/>
        <w:jc w:val="both"/>
        <w:rPr>
          <w:color w:val="000000"/>
          <w:szCs w:val="20"/>
        </w:rPr>
      </w:pPr>
      <w:r w:rsidRPr="00056F24">
        <w:rPr>
          <w:color w:val="000000"/>
          <w:szCs w:val="20"/>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B32717" w:rsidRPr="00056F24" w:rsidTr="00B32717">
        <w:trPr>
          <w:trHeight w:val="1247"/>
        </w:trPr>
        <w:tc>
          <w:tcPr>
            <w:tcW w:w="9464" w:type="dxa"/>
            <w:gridSpan w:val="3"/>
            <w:tcBorders>
              <w:top w:val="nil"/>
              <w:bottom w:val="dashed" w:sz="4" w:space="0" w:color="auto"/>
            </w:tcBorders>
            <w:vAlign w:val="center"/>
          </w:tcPr>
          <w:p w:rsidR="00B32717" w:rsidRPr="00056F24" w:rsidRDefault="00B32717" w:rsidP="00B32717">
            <w:pPr>
              <w:keepNext/>
              <w:keepLines/>
              <w:spacing w:before="120" w:after="120" w:line="280" w:lineRule="exact"/>
              <w:rPr>
                <w:b/>
                <w:bCs/>
                <w:color w:val="C00000"/>
              </w:rPr>
            </w:pPr>
          </w:p>
        </w:tc>
      </w:tr>
      <w:tr w:rsidR="0036688B" w:rsidRPr="00056F24" w:rsidTr="001E7293">
        <w:tc>
          <w:tcPr>
            <w:tcW w:w="5192" w:type="dxa"/>
            <w:tcBorders>
              <w:top w:val="dashed" w:sz="4" w:space="0" w:color="auto"/>
              <w:bottom w:val="nil"/>
              <w:right w:val="nil"/>
            </w:tcBorders>
            <w:vAlign w:val="center"/>
          </w:tcPr>
          <w:p w:rsidR="0036688B" w:rsidRPr="00056F24" w:rsidRDefault="0036688B" w:rsidP="00503044">
            <w:pPr>
              <w:keepNext/>
              <w:keepLines/>
              <w:spacing w:before="120" w:after="120" w:line="280" w:lineRule="exact"/>
            </w:pPr>
            <w:r w:rsidRPr="00056F24">
              <w:rPr>
                <w:b/>
                <w:bCs/>
                <w:color w:val="C00000"/>
              </w:rPr>
              <w:t>Signature</w:t>
            </w:r>
          </w:p>
        </w:tc>
        <w:tc>
          <w:tcPr>
            <w:tcW w:w="290" w:type="dxa"/>
            <w:tcBorders>
              <w:top w:val="dashed" w:sz="4" w:space="0" w:color="auto"/>
              <w:left w:val="nil"/>
              <w:bottom w:val="nil"/>
              <w:right w:val="nil"/>
            </w:tcBorders>
          </w:tcPr>
          <w:p w:rsidR="0036688B" w:rsidRPr="00056F24" w:rsidRDefault="0036688B" w:rsidP="00B32717">
            <w:pPr>
              <w:keepNext/>
              <w:keepLines/>
              <w:spacing w:before="120" w:after="120" w:line="280" w:lineRule="exact"/>
              <w:rPr>
                <w:b/>
                <w:bCs/>
                <w:color w:val="C00000"/>
              </w:rPr>
            </w:pPr>
          </w:p>
        </w:tc>
        <w:tc>
          <w:tcPr>
            <w:tcW w:w="3982" w:type="dxa"/>
            <w:tcBorders>
              <w:top w:val="dashed" w:sz="4" w:space="0" w:color="auto"/>
              <w:left w:val="nil"/>
              <w:bottom w:val="nil"/>
            </w:tcBorders>
            <w:vAlign w:val="center"/>
          </w:tcPr>
          <w:p w:rsidR="0036688B" w:rsidRPr="00056F24" w:rsidRDefault="0036688B" w:rsidP="00B32717">
            <w:pPr>
              <w:keepNext/>
              <w:keepLines/>
              <w:spacing w:before="120" w:after="120" w:line="280" w:lineRule="exact"/>
            </w:pPr>
            <w:r w:rsidRPr="00056F24">
              <w:rPr>
                <w:b/>
                <w:bCs/>
                <w:color w:val="C00000"/>
              </w:rPr>
              <w:t>Date</w:t>
            </w:r>
          </w:p>
        </w:tc>
      </w:tr>
      <w:tr w:rsidR="001E7293" w:rsidRPr="00056F24" w:rsidTr="001E7293">
        <w:tc>
          <w:tcPr>
            <w:tcW w:w="5192" w:type="dxa"/>
            <w:tcBorders>
              <w:top w:val="nil"/>
              <w:bottom w:val="nil"/>
              <w:right w:val="nil"/>
            </w:tcBorders>
            <w:vAlign w:val="center"/>
          </w:tcPr>
          <w:p w:rsidR="001E7293" w:rsidRPr="00056F24" w:rsidRDefault="001E7293" w:rsidP="00503044">
            <w:pPr>
              <w:keepNext/>
              <w:keepLines/>
              <w:spacing w:before="120" w:after="120" w:line="280" w:lineRule="exact"/>
              <w:rPr>
                <w:b/>
                <w:bCs/>
                <w:color w:val="C00000"/>
              </w:rPr>
            </w:pPr>
          </w:p>
        </w:tc>
        <w:tc>
          <w:tcPr>
            <w:tcW w:w="290" w:type="dxa"/>
            <w:tcBorders>
              <w:top w:val="nil"/>
              <w:left w:val="nil"/>
              <w:bottom w:val="nil"/>
              <w:right w:val="nil"/>
            </w:tcBorders>
          </w:tcPr>
          <w:p w:rsidR="001E7293" w:rsidRPr="00056F24" w:rsidRDefault="001E7293" w:rsidP="00B32717">
            <w:pPr>
              <w:keepNext/>
              <w:keepLines/>
              <w:spacing w:before="120" w:after="120" w:line="280" w:lineRule="exact"/>
              <w:rPr>
                <w:b/>
                <w:bCs/>
                <w:color w:val="C00000"/>
              </w:rPr>
            </w:pPr>
          </w:p>
        </w:tc>
        <w:tc>
          <w:tcPr>
            <w:tcW w:w="3982" w:type="dxa"/>
            <w:tcBorders>
              <w:top w:val="nil"/>
              <w:left w:val="nil"/>
              <w:bottom w:val="nil"/>
            </w:tcBorders>
            <w:vAlign w:val="center"/>
          </w:tcPr>
          <w:p w:rsidR="001E7293" w:rsidRPr="00056F24" w:rsidRDefault="001E7293" w:rsidP="00B32717">
            <w:pPr>
              <w:keepNext/>
              <w:keepLines/>
              <w:spacing w:before="120" w:after="120" w:line="280" w:lineRule="exact"/>
              <w:rPr>
                <w:b/>
                <w:bCs/>
                <w:color w:val="C00000"/>
              </w:rPr>
            </w:pPr>
          </w:p>
        </w:tc>
      </w:tr>
      <w:tr w:rsidR="0036688B" w:rsidRPr="00056F24" w:rsidTr="001E7293">
        <w:tc>
          <w:tcPr>
            <w:tcW w:w="9464" w:type="dxa"/>
            <w:gridSpan w:val="3"/>
            <w:tcBorders>
              <w:top w:val="nil"/>
            </w:tcBorders>
          </w:tcPr>
          <w:p w:rsidR="00D315C2" w:rsidRPr="00056F24" w:rsidRDefault="00D315C2" w:rsidP="00D315C2">
            <w:pPr>
              <w:keepNext/>
              <w:keepLines/>
              <w:spacing w:after="960" w:line="280" w:lineRule="exact"/>
              <w:rPr>
                <w:b/>
                <w:bCs/>
                <w:color w:val="365F91"/>
              </w:rPr>
            </w:pPr>
            <w:r w:rsidRPr="00056F24">
              <w:rPr>
                <w:b/>
                <w:bCs/>
                <w:color w:val="365F91"/>
              </w:rPr>
              <w:t xml:space="preserve">The Honourable Grace Grace MP  </w:t>
            </w:r>
            <w:r w:rsidRPr="00056F24">
              <w:rPr>
                <w:b/>
                <w:bCs/>
                <w:color w:val="365F91"/>
              </w:rPr>
              <w:tab/>
            </w:r>
            <w:r w:rsidRPr="00056F24">
              <w:rPr>
                <w:b/>
                <w:bCs/>
                <w:color w:val="365F91"/>
              </w:rPr>
              <w:tab/>
            </w:r>
            <w:r w:rsidRPr="00056F24">
              <w:rPr>
                <w:b/>
                <w:bCs/>
                <w:color w:val="365F91"/>
              </w:rPr>
              <w:tab/>
            </w:r>
            <w:r w:rsidRPr="00056F24">
              <w:rPr>
                <w:b/>
                <w:bCs/>
                <w:color w:val="365F91"/>
              </w:rPr>
              <w:tab/>
            </w:r>
            <w:r w:rsidRPr="00056F24">
              <w:rPr>
                <w:b/>
                <w:bCs/>
                <w:color w:val="365F91"/>
              </w:rPr>
              <w:tab/>
            </w:r>
            <w:r w:rsidRPr="00056F24">
              <w:rPr>
                <w:b/>
                <w:bCs/>
                <w:color w:val="365F91"/>
              </w:rPr>
              <w:tab/>
            </w:r>
            <w:r w:rsidRPr="00056F24">
              <w:rPr>
                <w:b/>
                <w:bCs/>
                <w:color w:val="365F91"/>
              </w:rPr>
              <w:tab/>
              <w:t xml:space="preserve">           Minister for Education </w:t>
            </w:r>
          </w:p>
        </w:tc>
      </w:tr>
      <w:tr w:rsidR="0036688B" w:rsidRPr="00056F24" w:rsidTr="001E7293">
        <w:tc>
          <w:tcPr>
            <w:tcW w:w="5192" w:type="dxa"/>
            <w:tcBorders>
              <w:top w:val="nil"/>
              <w:bottom w:val="nil"/>
              <w:right w:val="nil"/>
            </w:tcBorders>
            <w:vAlign w:val="center"/>
          </w:tcPr>
          <w:p w:rsidR="0036688B" w:rsidRPr="00056F24" w:rsidRDefault="0036688B" w:rsidP="00503044">
            <w:pPr>
              <w:keepNext/>
              <w:keepLines/>
              <w:spacing w:before="120" w:after="120" w:line="280" w:lineRule="exact"/>
            </w:pPr>
            <w:r w:rsidRPr="00056F24">
              <w:rPr>
                <w:b/>
                <w:bCs/>
                <w:color w:val="C00000"/>
              </w:rPr>
              <w:t>Signature</w:t>
            </w:r>
          </w:p>
        </w:tc>
        <w:tc>
          <w:tcPr>
            <w:tcW w:w="290" w:type="dxa"/>
            <w:tcBorders>
              <w:top w:val="nil"/>
              <w:left w:val="nil"/>
              <w:bottom w:val="nil"/>
              <w:right w:val="nil"/>
            </w:tcBorders>
          </w:tcPr>
          <w:p w:rsidR="0036688B" w:rsidRPr="00056F24" w:rsidRDefault="0036688B" w:rsidP="00503044">
            <w:pPr>
              <w:keepNext/>
              <w:keepLines/>
              <w:spacing w:before="120" w:after="120" w:line="280" w:lineRule="exact"/>
              <w:rPr>
                <w:b/>
                <w:bCs/>
                <w:color w:val="C00000"/>
              </w:rPr>
            </w:pPr>
          </w:p>
        </w:tc>
        <w:tc>
          <w:tcPr>
            <w:tcW w:w="3982" w:type="dxa"/>
            <w:tcBorders>
              <w:top w:val="nil"/>
              <w:left w:val="nil"/>
              <w:bottom w:val="nil"/>
            </w:tcBorders>
            <w:vAlign w:val="center"/>
          </w:tcPr>
          <w:p w:rsidR="0036688B" w:rsidRPr="00056F24" w:rsidRDefault="0036688B" w:rsidP="00503044">
            <w:pPr>
              <w:keepNext/>
              <w:keepLines/>
              <w:spacing w:before="120" w:after="120" w:line="280" w:lineRule="exact"/>
            </w:pPr>
            <w:r w:rsidRPr="00056F24">
              <w:rPr>
                <w:b/>
                <w:bCs/>
                <w:color w:val="C00000"/>
              </w:rPr>
              <w:t>Date</w:t>
            </w:r>
          </w:p>
        </w:tc>
      </w:tr>
      <w:tr w:rsidR="001E7293" w:rsidRPr="00056F24" w:rsidTr="001E7293">
        <w:trPr>
          <w:trHeight w:val="822"/>
        </w:trPr>
        <w:tc>
          <w:tcPr>
            <w:tcW w:w="9464" w:type="dxa"/>
            <w:gridSpan w:val="3"/>
            <w:tcBorders>
              <w:top w:val="nil"/>
              <w:bottom w:val="nil"/>
            </w:tcBorders>
          </w:tcPr>
          <w:p w:rsidR="001E7293" w:rsidRPr="00056F24" w:rsidRDefault="001E7293" w:rsidP="00503044">
            <w:pPr>
              <w:rPr>
                <w:b/>
                <w:bCs/>
                <w:color w:val="365F91"/>
              </w:rPr>
            </w:pPr>
          </w:p>
        </w:tc>
      </w:tr>
      <w:tr w:rsidR="001E7293" w:rsidRPr="00056F24" w:rsidTr="001E7293">
        <w:trPr>
          <w:trHeight w:val="822"/>
        </w:trPr>
        <w:tc>
          <w:tcPr>
            <w:tcW w:w="9464" w:type="dxa"/>
            <w:gridSpan w:val="3"/>
            <w:tcBorders>
              <w:top w:val="nil"/>
            </w:tcBorders>
          </w:tcPr>
          <w:p w:rsidR="001E7293" w:rsidRPr="00056F24" w:rsidRDefault="001E7293" w:rsidP="00503044">
            <w:pPr>
              <w:rPr>
                <w:b/>
                <w:bCs/>
                <w:color w:val="365F91"/>
              </w:rPr>
            </w:pPr>
          </w:p>
        </w:tc>
      </w:tr>
      <w:tr w:rsidR="0036688B" w:rsidRPr="00317899" w:rsidTr="00B32717">
        <w:trPr>
          <w:trHeight w:val="822"/>
        </w:trPr>
        <w:tc>
          <w:tcPr>
            <w:tcW w:w="9464" w:type="dxa"/>
            <w:gridSpan w:val="3"/>
          </w:tcPr>
          <w:p w:rsidR="00503044" w:rsidRPr="00056F24" w:rsidRDefault="00410349" w:rsidP="00503044">
            <w:pPr>
              <w:rPr>
                <w:b/>
                <w:bCs/>
                <w:color w:val="365F91"/>
              </w:rPr>
            </w:pPr>
            <w:r w:rsidRPr="00056F24">
              <w:rPr>
                <w:b/>
                <w:bCs/>
                <w:color w:val="365F91"/>
              </w:rPr>
              <w:t>T</w:t>
            </w:r>
            <w:r w:rsidR="00503044" w:rsidRPr="00056F24">
              <w:rPr>
                <w:b/>
                <w:bCs/>
                <w:color w:val="365F91"/>
              </w:rPr>
              <w:t xml:space="preserve">he Hon </w:t>
            </w:r>
            <w:r w:rsidR="00377D3E" w:rsidRPr="00056F24">
              <w:rPr>
                <w:b/>
                <w:bCs/>
                <w:color w:val="365F91"/>
              </w:rPr>
              <w:t xml:space="preserve">Dan Tehan </w:t>
            </w:r>
            <w:r w:rsidR="00F24E08" w:rsidRPr="00056F24">
              <w:rPr>
                <w:b/>
                <w:bCs/>
                <w:color w:val="365F91"/>
              </w:rPr>
              <w:t>MP</w:t>
            </w:r>
          </w:p>
          <w:p w:rsidR="0036688B" w:rsidRPr="00317899" w:rsidRDefault="00503044" w:rsidP="00F24E08">
            <w:pPr>
              <w:spacing w:line="280" w:lineRule="exact"/>
              <w:rPr>
                <w:b/>
                <w:bCs/>
                <w:color w:val="365F91"/>
              </w:rPr>
            </w:pPr>
            <w:r w:rsidRPr="00056F24">
              <w:rPr>
                <w:b/>
                <w:bCs/>
                <w:color w:val="365F91"/>
              </w:rPr>
              <w:t>Minister for Education</w:t>
            </w:r>
            <w:r w:rsidRPr="001E7293">
              <w:rPr>
                <w:b/>
                <w:bCs/>
                <w:color w:val="365F91"/>
              </w:rPr>
              <w:t xml:space="preserve"> </w:t>
            </w:r>
          </w:p>
        </w:tc>
      </w:tr>
    </w:tbl>
    <w:p w:rsidR="0036688B" w:rsidRDefault="0036688B" w:rsidP="00695DE1"/>
    <w:p w:rsidR="00F55711" w:rsidRDefault="00F55711" w:rsidP="00695DE1"/>
    <w:p w:rsidR="00F55711" w:rsidRDefault="00F55711" w:rsidP="00695DE1"/>
    <w:p w:rsidR="00F55711" w:rsidRPr="00317899" w:rsidRDefault="00F55711" w:rsidP="00695DE1"/>
    <w:sectPr w:rsidR="00F55711" w:rsidRPr="00317899" w:rsidSect="00FB7D31">
      <w:pgSz w:w="11906" w:h="16838" w:code="9"/>
      <w:pgMar w:top="851" w:right="1418" w:bottom="102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44" w:rsidRDefault="00805044" w:rsidP="00520331">
      <w:r>
        <w:separator/>
      </w:r>
    </w:p>
  </w:endnote>
  <w:endnote w:type="continuationSeparator" w:id="0">
    <w:p w:rsidR="00805044" w:rsidRDefault="00805044" w:rsidP="00520331">
      <w:r>
        <w:continuationSeparator/>
      </w:r>
    </w:p>
  </w:endnote>
  <w:endnote w:type="continuationNotice" w:id="1">
    <w:p w:rsidR="00805044" w:rsidRDefault="00805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B4C" w:rsidRPr="00413980" w:rsidRDefault="00E37B4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134BE">
      <w:rPr>
        <w:noProof/>
        <w:sz w:val="20"/>
        <w:szCs w:val="20"/>
      </w:rPr>
      <w:t>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44" w:rsidRDefault="00805044" w:rsidP="00520331">
      <w:r>
        <w:separator/>
      </w:r>
    </w:p>
  </w:footnote>
  <w:footnote w:type="continuationSeparator" w:id="0">
    <w:p w:rsidR="00805044" w:rsidRDefault="00805044" w:rsidP="00520331">
      <w:r>
        <w:continuationSeparator/>
      </w:r>
    </w:p>
  </w:footnote>
  <w:footnote w:type="continuationNotice" w:id="1">
    <w:p w:rsidR="00805044" w:rsidRDefault="00805044"/>
  </w:footnote>
  <w:footnote w:id="2">
    <w:p w:rsidR="00743900" w:rsidRDefault="00743900">
      <w:pPr>
        <w:pStyle w:val="FootnoteText"/>
      </w:pPr>
      <w:r>
        <w:rPr>
          <w:rStyle w:val="FootnoteReference"/>
        </w:rPr>
        <w:footnoteRef/>
      </w:r>
      <w:r w:rsidR="00120FB6">
        <w:t xml:space="preserve"> In Queensland, e</w:t>
      </w:r>
      <w:r>
        <w:t>arly childhood education programs in the year before full-time school are referred to as kindergarten</w:t>
      </w:r>
      <w:r w:rsidR="0049528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14" w:rsidRDefault="00FD0114" w:rsidP="00FD0114">
    <w:pPr>
      <w:pStyle w:val="Header"/>
    </w:pPr>
  </w:p>
  <w:p w:rsidR="00FD0114" w:rsidRDefault="00FD0114" w:rsidP="00B8716F">
    <w:pPr>
      <w:pStyle w:val="Header"/>
      <w:jc w:val="center"/>
    </w:pPr>
  </w:p>
  <w:p w:rsidR="0047083A" w:rsidRDefault="0047083A" w:rsidP="00B8716F">
    <w:pPr>
      <w:pStyle w:val="Header"/>
      <w:jc w:val="cent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86A"/>
    <w:multiLevelType w:val="hybridMultilevel"/>
    <w:tmpl w:val="18D02AD2"/>
    <w:lvl w:ilvl="0" w:tplc="3E9EAE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2" w15:restartNumberingAfterBreak="0">
    <w:nsid w:val="13735D45"/>
    <w:multiLevelType w:val="hybridMultilevel"/>
    <w:tmpl w:val="E9C02568"/>
    <w:lvl w:ilvl="0" w:tplc="A76EBCC0">
      <w:start w:val="1"/>
      <w:numFmt w:val="decimal"/>
      <w:lvlText w:val="%1."/>
      <w:lvlJc w:val="left"/>
      <w:pPr>
        <w:tabs>
          <w:tab w:val="num" w:pos="567"/>
        </w:tabs>
        <w:ind w:left="567" w:hanging="567"/>
      </w:pPr>
      <w:rPr>
        <w:rFonts w:cs="Times New Roman" w:hint="default"/>
      </w:rPr>
    </w:lvl>
    <w:lvl w:ilvl="1" w:tplc="0C090017">
      <w:start w:val="1"/>
      <w:numFmt w:val="lowerLetter"/>
      <w:lvlText w:val="%2)"/>
      <w:lvlJc w:val="left"/>
      <w:pPr>
        <w:tabs>
          <w:tab w:val="num" w:pos="1778"/>
        </w:tabs>
        <w:ind w:left="1778"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6" w15:restartNumberingAfterBreak="0">
    <w:nsid w:val="3AD71175"/>
    <w:multiLevelType w:val="hybridMultilevel"/>
    <w:tmpl w:val="CE9A7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0F82204"/>
    <w:multiLevelType w:val="hybridMultilevel"/>
    <w:tmpl w:val="E90E7348"/>
    <w:lvl w:ilvl="0" w:tplc="5C9EAC8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9"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1" w15:restartNumberingAfterBreak="0">
    <w:nsid w:val="55BC4475"/>
    <w:multiLevelType w:val="hybridMultilevel"/>
    <w:tmpl w:val="E148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4"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15"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16" w15:restartNumberingAfterBreak="0">
    <w:nsid w:val="62B200B6"/>
    <w:multiLevelType w:val="hybridMultilevel"/>
    <w:tmpl w:val="F4A04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77373B8"/>
    <w:multiLevelType w:val="hybridMultilevel"/>
    <w:tmpl w:val="E3608F6C"/>
    <w:lvl w:ilvl="0" w:tplc="319EDD86">
      <w:start w:val="1"/>
      <w:numFmt w:val="decimal"/>
      <w:lvlText w:val="%1."/>
      <w:lvlJc w:val="left"/>
      <w:pPr>
        <w:ind w:left="360" w:hanging="360"/>
      </w:pPr>
      <w:rPr>
        <w:rFonts w:cs="Times New Roman" w:hint="default"/>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7FF6F1F"/>
    <w:multiLevelType w:val="hybridMultilevel"/>
    <w:tmpl w:val="02E8C4BE"/>
    <w:lvl w:ilvl="0" w:tplc="A09C019C">
      <w:numFmt w:val="bullet"/>
      <w:lvlText w:val="•"/>
      <w:lvlJc w:val="left"/>
      <w:pPr>
        <w:ind w:left="720" w:hanging="720"/>
      </w:pPr>
      <w:rPr>
        <w:rFonts w:ascii="Corbel" w:eastAsia="Times New Roman" w:hAnsi="Corbe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0"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1"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C7A30"/>
    <w:multiLevelType w:val="hybridMultilevel"/>
    <w:tmpl w:val="28B64002"/>
    <w:lvl w:ilvl="0" w:tplc="3E0814F4">
      <w:start w:val="175"/>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3"/>
  </w:num>
  <w:num w:numId="5">
    <w:abstractNumId w:val="13"/>
  </w:num>
  <w:num w:numId="6">
    <w:abstractNumId w:val="1"/>
  </w:num>
  <w:num w:numId="7">
    <w:abstractNumId w:val="14"/>
  </w:num>
  <w:num w:numId="8">
    <w:abstractNumId w:val="8"/>
  </w:num>
  <w:num w:numId="9">
    <w:abstractNumId w:val="21"/>
  </w:num>
  <w:num w:numId="10">
    <w:abstractNumId w:val="19"/>
  </w:num>
  <w:num w:numId="11">
    <w:abstractNumId w:val="20"/>
  </w:num>
  <w:num w:numId="12">
    <w:abstractNumId w:val="22"/>
  </w:num>
  <w:num w:numId="13">
    <w:abstractNumId w:val="15"/>
  </w:num>
  <w:num w:numId="14">
    <w:abstractNumId w:val="5"/>
  </w:num>
  <w:num w:numId="15">
    <w:abstractNumId w:val="10"/>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7"/>
  </w:num>
  <w:num w:numId="20">
    <w:abstractNumId w:val="2"/>
  </w:num>
  <w:num w:numId="21">
    <w:abstractNumId w:val="6"/>
  </w:num>
  <w:num w:numId="22">
    <w:abstractNumId w:val="18"/>
  </w:num>
  <w:num w:numId="23">
    <w:abstractNumId w:val="16"/>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316534d-1794-4c2d-86c6-2db73c87ae10"/>
  </w:docVars>
  <w:rsids>
    <w:rsidRoot w:val="00B21E7E"/>
    <w:rsid w:val="000014B1"/>
    <w:rsid w:val="00003A92"/>
    <w:rsid w:val="00003EAE"/>
    <w:rsid w:val="00011DA2"/>
    <w:rsid w:val="00012374"/>
    <w:rsid w:val="00012AAE"/>
    <w:rsid w:val="00013A91"/>
    <w:rsid w:val="00023C24"/>
    <w:rsid w:val="000240B5"/>
    <w:rsid w:val="00024B99"/>
    <w:rsid w:val="0002586A"/>
    <w:rsid w:val="00025F50"/>
    <w:rsid w:val="00030F67"/>
    <w:rsid w:val="00033202"/>
    <w:rsid w:val="00034877"/>
    <w:rsid w:val="000375F8"/>
    <w:rsid w:val="00040405"/>
    <w:rsid w:val="00041625"/>
    <w:rsid w:val="00041D4C"/>
    <w:rsid w:val="00041DFC"/>
    <w:rsid w:val="00042150"/>
    <w:rsid w:val="0004432A"/>
    <w:rsid w:val="00044E74"/>
    <w:rsid w:val="00045778"/>
    <w:rsid w:val="00045AD7"/>
    <w:rsid w:val="00047FE7"/>
    <w:rsid w:val="00052EE7"/>
    <w:rsid w:val="00054A8D"/>
    <w:rsid w:val="0005527C"/>
    <w:rsid w:val="00055E03"/>
    <w:rsid w:val="00056C4B"/>
    <w:rsid w:val="00056F24"/>
    <w:rsid w:val="00062172"/>
    <w:rsid w:val="00062FD7"/>
    <w:rsid w:val="000637A2"/>
    <w:rsid w:val="000713FA"/>
    <w:rsid w:val="000758BF"/>
    <w:rsid w:val="000816F5"/>
    <w:rsid w:val="000843C2"/>
    <w:rsid w:val="00086B8C"/>
    <w:rsid w:val="000873E5"/>
    <w:rsid w:val="00091BA8"/>
    <w:rsid w:val="000925CD"/>
    <w:rsid w:val="00093235"/>
    <w:rsid w:val="00097950"/>
    <w:rsid w:val="000A1323"/>
    <w:rsid w:val="000A191A"/>
    <w:rsid w:val="000A2E01"/>
    <w:rsid w:val="000A72D2"/>
    <w:rsid w:val="000B09BC"/>
    <w:rsid w:val="000B36D5"/>
    <w:rsid w:val="000C017B"/>
    <w:rsid w:val="000C1698"/>
    <w:rsid w:val="000C2BC9"/>
    <w:rsid w:val="000D4B5B"/>
    <w:rsid w:val="000D5B7F"/>
    <w:rsid w:val="000D5C4C"/>
    <w:rsid w:val="000D6F25"/>
    <w:rsid w:val="000D7C4C"/>
    <w:rsid w:val="000E3092"/>
    <w:rsid w:val="000E78C0"/>
    <w:rsid w:val="000F0676"/>
    <w:rsid w:val="000F354C"/>
    <w:rsid w:val="000F5EB9"/>
    <w:rsid w:val="00102898"/>
    <w:rsid w:val="00102DDE"/>
    <w:rsid w:val="00105402"/>
    <w:rsid w:val="00105D35"/>
    <w:rsid w:val="00105FB1"/>
    <w:rsid w:val="001108F3"/>
    <w:rsid w:val="0011223F"/>
    <w:rsid w:val="00113524"/>
    <w:rsid w:val="00113BAA"/>
    <w:rsid w:val="0011673E"/>
    <w:rsid w:val="001168E4"/>
    <w:rsid w:val="00120218"/>
    <w:rsid w:val="0012049E"/>
    <w:rsid w:val="00120B80"/>
    <w:rsid w:val="00120FB6"/>
    <w:rsid w:val="00124584"/>
    <w:rsid w:val="00124D8E"/>
    <w:rsid w:val="001273B5"/>
    <w:rsid w:val="001327C7"/>
    <w:rsid w:val="001331EC"/>
    <w:rsid w:val="00133AF8"/>
    <w:rsid w:val="00136F02"/>
    <w:rsid w:val="00137155"/>
    <w:rsid w:val="00141300"/>
    <w:rsid w:val="00141ACB"/>
    <w:rsid w:val="001445F3"/>
    <w:rsid w:val="00146B46"/>
    <w:rsid w:val="00150256"/>
    <w:rsid w:val="00150526"/>
    <w:rsid w:val="00153BCD"/>
    <w:rsid w:val="00155B7D"/>
    <w:rsid w:val="001637AC"/>
    <w:rsid w:val="001638E2"/>
    <w:rsid w:val="00164CEE"/>
    <w:rsid w:val="00166312"/>
    <w:rsid w:val="00170639"/>
    <w:rsid w:val="00170688"/>
    <w:rsid w:val="00170B1A"/>
    <w:rsid w:val="00171B14"/>
    <w:rsid w:val="00172229"/>
    <w:rsid w:val="00172B12"/>
    <w:rsid w:val="00173BEB"/>
    <w:rsid w:val="00174BD4"/>
    <w:rsid w:val="001755D1"/>
    <w:rsid w:val="0018533F"/>
    <w:rsid w:val="00186FF4"/>
    <w:rsid w:val="00187966"/>
    <w:rsid w:val="00187A15"/>
    <w:rsid w:val="00191251"/>
    <w:rsid w:val="00191684"/>
    <w:rsid w:val="001918B1"/>
    <w:rsid w:val="00192CDE"/>
    <w:rsid w:val="001958A0"/>
    <w:rsid w:val="00196A06"/>
    <w:rsid w:val="00197FAA"/>
    <w:rsid w:val="001A25B8"/>
    <w:rsid w:val="001A4374"/>
    <w:rsid w:val="001A652E"/>
    <w:rsid w:val="001B5039"/>
    <w:rsid w:val="001B5382"/>
    <w:rsid w:val="001B5415"/>
    <w:rsid w:val="001C1144"/>
    <w:rsid w:val="001C56EC"/>
    <w:rsid w:val="001C6B67"/>
    <w:rsid w:val="001D14B8"/>
    <w:rsid w:val="001D47EA"/>
    <w:rsid w:val="001D4FD8"/>
    <w:rsid w:val="001D5134"/>
    <w:rsid w:val="001D56C2"/>
    <w:rsid w:val="001D686D"/>
    <w:rsid w:val="001D798E"/>
    <w:rsid w:val="001E4E1F"/>
    <w:rsid w:val="001E67A2"/>
    <w:rsid w:val="001E7293"/>
    <w:rsid w:val="001E74D0"/>
    <w:rsid w:val="001F45C6"/>
    <w:rsid w:val="001F46B7"/>
    <w:rsid w:val="001F5305"/>
    <w:rsid w:val="001F68F6"/>
    <w:rsid w:val="001F7A0E"/>
    <w:rsid w:val="001F7CB8"/>
    <w:rsid w:val="002010E0"/>
    <w:rsid w:val="0020488F"/>
    <w:rsid w:val="00206671"/>
    <w:rsid w:val="00207937"/>
    <w:rsid w:val="00221363"/>
    <w:rsid w:val="002268B0"/>
    <w:rsid w:val="00227BC0"/>
    <w:rsid w:val="002311B1"/>
    <w:rsid w:val="002330D9"/>
    <w:rsid w:val="002361A7"/>
    <w:rsid w:val="0024194C"/>
    <w:rsid w:val="00241B51"/>
    <w:rsid w:val="00243E8B"/>
    <w:rsid w:val="00243F4E"/>
    <w:rsid w:val="002514DE"/>
    <w:rsid w:val="00253731"/>
    <w:rsid w:val="00254BF5"/>
    <w:rsid w:val="0025586C"/>
    <w:rsid w:val="00256AB0"/>
    <w:rsid w:val="00257088"/>
    <w:rsid w:val="00261564"/>
    <w:rsid w:val="002615B6"/>
    <w:rsid w:val="002616A0"/>
    <w:rsid w:val="002648E8"/>
    <w:rsid w:val="0026503A"/>
    <w:rsid w:val="002678DE"/>
    <w:rsid w:val="00267B81"/>
    <w:rsid w:val="00270270"/>
    <w:rsid w:val="00270D9D"/>
    <w:rsid w:val="00275C3C"/>
    <w:rsid w:val="00281AE3"/>
    <w:rsid w:val="00282641"/>
    <w:rsid w:val="00285609"/>
    <w:rsid w:val="00286FA2"/>
    <w:rsid w:val="00292CB8"/>
    <w:rsid w:val="00292F4F"/>
    <w:rsid w:val="00296268"/>
    <w:rsid w:val="002A0B94"/>
    <w:rsid w:val="002A53DD"/>
    <w:rsid w:val="002A7553"/>
    <w:rsid w:val="002B2403"/>
    <w:rsid w:val="002B2760"/>
    <w:rsid w:val="002B5BE3"/>
    <w:rsid w:val="002C39DE"/>
    <w:rsid w:val="002C5FEA"/>
    <w:rsid w:val="002C7D08"/>
    <w:rsid w:val="002D0CB9"/>
    <w:rsid w:val="002D3ACC"/>
    <w:rsid w:val="002D46C5"/>
    <w:rsid w:val="002D5120"/>
    <w:rsid w:val="002D76C5"/>
    <w:rsid w:val="002E061E"/>
    <w:rsid w:val="002E328E"/>
    <w:rsid w:val="002E58A4"/>
    <w:rsid w:val="002F5890"/>
    <w:rsid w:val="002F741D"/>
    <w:rsid w:val="003020F6"/>
    <w:rsid w:val="00305B5A"/>
    <w:rsid w:val="00306502"/>
    <w:rsid w:val="00306791"/>
    <w:rsid w:val="00307C5E"/>
    <w:rsid w:val="0031129A"/>
    <w:rsid w:val="00312179"/>
    <w:rsid w:val="00314D9E"/>
    <w:rsid w:val="00315A6F"/>
    <w:rsid w:val="003173BF"/>
    <w:rsid w:val="00317899"/>
    <w:rsid w:val="00323541"/>
    <w:rsid w:val="003258BF"/>
    <w:rsid w:val="003259CC"/>
    <w:rsid w:val="00326AD1"/>
    <w:rsid w:val="00326B13"/>
    <w:rsid w:val="003310F1"/>
    <w:rsid w:val="003320A9"/>
    <w:rsid w:val="00334C02"/>
    <w:rsid w:val="00336199"/>
    <w:rsid w:val="003422D5"/>
    <w:rsid w:val="00344845"/>
    <w:rsid w:val="003478BB"/>
    <w:rsid w:val="00347F6D"/>
    <w:rsid w:val="00353735"/>
    <w:rsid w:val="00354A85"/>
    <w:rsid w:val="00357F8E"/>
    <w:rsid w:val="0036301F"/>
    <w:rsid w:val="00366157"/>
    <w:rsid w:val="0036688B"/>
    <w:rsid w:val="00370E31"/>
    <w:rsid w:val="0037461F"/>
    <w:rsid w:val="00376922"/>
    <w:rsid w:val="00376B1A"/>
    <w:rsid w:val="00377D3E"/>
    <w:rsid w:val="00377F3C"/>
    <w:rsid w:val="003815E5"/>
    <w:rsid w:val="003820C9"/>
    <w:rsid w:val="00384D6E"/>
    <w:rsid w:val="00391D0E"/>
    <w:rsid w:val="00394698"/>
    <w:rsid w:val="003976F6"/>
    <w:rsid w:val="003A1A3E"/>
    <w:rsid w:val="003A24B9"/>
    <w:rsid w:val="003A2957"/>
    <w:rsid w:val="003A2E07"/>
    <w:rsid w:val="003A6B67"/>
    <w:rsid w:val="003B098D"/>
    <w:rsid w:val="003B1409"/>
    <w:rsid w:val="003B149C"/>
    <w:rsid w:val="003B1B7B"/>
    <w:rsid w:val="003B21D1"/>
    <w:rsid w:val="003B6C45"/>
    <w:rsid w:val="003B7DE3"/>
    <w:rsid w:val="003C0687"/>
    <w:rsid w:val="003C07E3"/>
    <w:rsid w:val="003C4F3C"/>
    <w:rsid w:val="003C52A4"/>
    <w:rsid w:val="003C590D"/>
    <w:rsid w:val="003C6FEC"/>
    <w:rsid w:val="003C7037"/>
    <w:rsid w:val="003D0FF5"/>
    <w:rsid w:val="003D5630"/>
    <w:rsid w:val="003E14C4"/>
    <w:rsid w:val="003E21B2"/>
    <w:rsid w:val="003E230C"/>
    <w:rsid w:val="003E2CD7"/>
    <w:rsid w:val="003E3308"/>
    <w:rsid w:val="003E3318"/>
    <w:rsid w:val="003E5299"/>
    <w:rsid w:val="003E59CF"/>
    <w:rsid w:val="003F5357"/>
    <w:rsid w:val="0040158A"/>
    <w:rsid w:val="00403BD6"/>
    <w:rsid w:val="004058AB"/>
    <w:rsid w:val="00406094"/>
    <w:rsid w:val="00407A6B"/>
    <w:rsid w:val="00407C05"/>
    <w:rsid w:val="00410349"/>
    <w:rsid w:val="00411AEC"/>
    <w:rsid w:val="00411F49"/>
    <w:rsid w:val="0041257A"/>
    <w:rsid w:val="00413763"/>
    <w:rsid w:val="00413980"/>
    <w:rsid w:val="00413EC6"/>
    <w:rsid w:val="00416EB0"/>
    <w:rsid w:val="00416F87"/>
    <w:rsid w:val="004223C7"/>
    <w:rsid w:val="00423987"/>
    <w:rsid w:val="00424699"/>
    <w:rsid w:val="00426754"/>
    <w:rsid w:val="00432B5D"/>
    <w:rsid w:val="00435169"/>
    <w:rsid w:val="00435B33"/>
    <w:rsid w:val="004425F7"/>
    <w:rsid w:val="004432F9"/>
    <w:rsid w:val="00446D23"/>
    <w:rsid w:val="00447EA4"/>
    <w:rsid w:val="00450CC7"/>
    <w:rsid w:val="0045119E"/>
    <w:rsid w:val="004529C7"/>
    <w:rsid w:val="00453E2C"/>
    <w:rsid w:val="00454D37"/>
    <w:rsid w:val="004554D1"/>
    <w:rsid w:val="00455FF8"/>
    <w:rsid w:val="0045685E"/>
    <w:rsid w:val="00456FE1"/>
    <w:rsid w:val="0045732B"/>
    <w:rsid w:val="00460368"/>
    <w:rsid w:val="00464B1D"/>
    <w:rsid w:val="00466411"/>
    <w:rsid w:val="00466976"/>
    <w:rsid w:val="0046735E"/>
    <w:rsid w:val="0047083A"/>
    <w:rsid w:val="00470E82"/>
    <w:rsid w:val="00473439"/>
    <w:rsid w:val="00477E9A"/>
    <w:rsid w:val="004801F2"/>
    <w:rsid w:val="00481B0B"/>
    <w:rsid w:val="004864A4"/>
    <w:rsid w:val="004901D3"/>
    <w:rsid w:val="0049528A"/>
    <w:rsid w:val="00497DC1"/>
    <w:rsid w:val="004A23CE"/>
    <w:rsid w:val="004A3502"/>
    <w:rsid w:val="004B1483"/>
    <w:rsid w:val="004B2FF6"/>
    <w:rsid w:val="004B4105"/>
    <w:rsid w:val="004B4464"/>
    <w:rsid w:val="004B69BF"/>
    <w:rsid w:val="004B6ACE"/>
    <w:rsid w:val="004B764C"/>
    <w:rsid w:val="004C2BF9"/>
    <w:rsid w:val="004C4724"/>
    <w:rsid w:val="004C6399"/>
    <w:rsid w:val="004C6F59"/>
    <w:rsid w:val="004D44DF"/>
    <w:rsid w:val="004D4FD7"/>
    <w:rsid w:val="004D78CB"/>
    <w:rsid w:val="004E1366"/>
    <w:rsid w:val="004E4069"/>
    <w:rsid w:val="004E5C62"/>
    <w:rsid w:val="004F6F15"/>
    <w:rsid w:val="00500237"/>
    <w:rsid w:val="00503044"/>
    <w:rsid w:val="00503078"/>
    <w:rsid w:val="005052EB"/>
    <w:rsid w:val="00507553"/>
    <w:rsid w:val="00511EAA"/>
    <w:rsid w:val="005124CE"/>
    <w:rsid w:val="0051547D"/>
    <w:rsid w:val="00516002"/>
    <w:rsid w:val="005160EA"/>
    <w:rsid w:val="00516681"/>
    <w:rsid w:val="00520331"/>
    <w:rsid w:val="005215AD"/>
    <w:rsid w:val="0052412D"/>
    <w:rsid w:val="0052492E"/>
    <w:rsid w:val="00524DF0"/>
    <w:rsid w:val="005252BB"/>
    <w:rsid w:val="0052551B"/>
    <w:rsid w:val="0052720F"/>
    <w:rsid w:val="00527ED4"/>
    <w:rsid w:val="005304E0"/>
    <w:rsid w:val="00532D46"/>
    <w:rsid w:val="00534699"/>
    <w:rsid w:val="0053594B"/>
    <w:rsid w:val="00536679"/>
    <w:rsid w:val="005371C5"/>
    <w:rsid w:val="0053794F"/>
    <w:rsid w:val="00543CF2"/>
    <w:rsid w:val="00554ECC"/>
    <w:rsid w:val="00554F85"/>
    <w:rsid w:val="00557E9F"/>
    <w:rsid w:val="00564642"/>
    <w:rsid w:val="00576D34"/>
    <w:rsid w:val="0058036E"/>
    <w:rsid w:val="00582B9D"/>
    <w:rsid w:val="00582E1C"/>
    <w:rsid w:val="005944CD"/>
    <w:rsid w:val="005962E6"/>
    <w:rsid w:val="005971F4"/>
    <w:rsid w:val="005972D3"/>
    <w:rsid w:val="005A0BC4"/>
    <w:rsid w:val="005A1D53"/>
    <w:rsid w:val="005A2826"/>
    <w:rsid w:val="005A409C"/>
    <w:rsid w:val="005A5C86"/>
    <w:rsid w:val="005A71F5"/>
    <w:rsid w:val="005A785C"/>
    <w:rsid w:val="005B43AC"/>
    <w:rsid w:val="005B6897"/>
    <w:rsid w:val="005B7422"/>
    <w:rsid w:val="005C5BE0"/>
    <w:rsid w:val="005C5F3F"/>
    <w:rsid w:val="005C7691"/>
    <w:rsid w:val="005D073E"/>
    <w:rsid w:val="005D34CF"/>
    <w:rsid w:val="005D354B"/>
    <w:rsid w:val="005D4CB2"/>
    <w:rsid w:val="005D5F7F"/>
    <w:rsid w:val="005D6AAA"/>
    <w:rsid w:val="005E0B1E"/>
    <w:rsid w:val="005E0C86"/>
    <w:rsid w:val="005E36CD"/>
    <w:rsid w:val="005F5787"/>
    <w:rsid w:val="005F5F2F"/>
    <w:rsid w:val="006016C6"/>
    <w:rsid w:val="006051B7"/>
    <w:rsid w:val="00610DE0"/>
    <w:rsid w:val="00612BDE"/>
    <w:rsid w:val="006131E0"/>
    <w:rsid w:val="0061450D"/>
    <w:rsid w:val="00614C99"/>
    <w:rsid w:val="00615F14"/>
    <w:rsid w:val="00620B47"/>
    <w:rsid w:val="00621AC0"/>
    <w:rsid w:val="00623A09"/>
    <w:rsid w:val="0062417D"/>
    <w:rsid w:val="00624ACA"/>
    <w:rsid w:val="006260DA"/>
    <w:rsid w:val="0062623F"/>
    <w:rsid w:val="00626E51"/>
    <w:rsid w:val="00634EA2"/>
    <w:rsid w:val="006353DA"/>
    <w:rsid w:val="00635FCF"/>
    <w:rsid w:val="00642796"/>
    <w:rsid w:val="00643817"/>
    <w:rsid w:val="00644B31"/>
    <w:rsid w:val="00645CF3"/>
    <w:rsid w:val="00646513"/>
    <w:rsid w:val="00651117"/>
    <w:rsid w:val="00653179"/>
    <w:rsid w:val="006557F7"/>
    <w:rsid w:val="00657AC0"/>
    <w:rsid w:val="0066045D"/>
    <w:rsid w:val="00664B5C"/>
    <w:rsid w:val="00664BCD"/>
    <w:rsid w:val="006663CA"/>
    <w:rsid w:val="00670C93"/>
    <w:rsid w:val="00672EF8"/>
    <w:rsid w:val="006744F3"/>
    <w:rsid w:val="00674BD1"/>
    <w:rsid w:val="00677B65"/>
    <w:rsid w:val="006835A1"/>
    <w:rsid w:val="0069039D"/>
    <w:rsid w:val="006932B9"/>
    <w:rsid w:val="00693514"/>
    <w:rsid w:val="00695736"/>
    <w:rsid w:val="00695DE1"/>
    <w:rsid w:val="00697B63"/>
    <w:rsid w:val="00697EFC"/>
    <w:rsid w:val="006A0B93"/>
    <w:rsid w:val="006A2577"/>
    <w:rsid w:val="006A5AC7"/>
    <w:rsid w:val="006A700D"/>
    <w:rsid w:val="006B1FEC"/>
    <w:rsid w:val="006B2276"/>
    <w:rsid w:val="006B38A5"/>
    <w:rsid w:val="006B73B2"/>
    <w:rsid w:val="006C4526"/>
    <w:rsid w:val="006C5FD6"/>
    <w:rsid w:val="006C674D"/>
    <w:rsid w:val="006D2308"/>
    <w:rsid w:val="006D2E7E"/>
    <w:rsid w:val="006E26BF"/>
    <w:rsid w:val="006E3E61"/>
    <w:rsid w:val="006F39E8"/>
    <w:rsid w:val="00701076"/>
    <w:rsid w:val="00702027"/>
    <w:rsid w:val="007045EF"/>
    <w:rsid w:val="0070504A"/>
    <w:rsid w:val="007061B8"/>
    <w:rsid w:val="007102AF"/>
    <w:rsid w:val="00710578"/>
    <w:rsid w:val="00710669"/>
    <w:rsid w:val="00710A58"/>
    <w:rsid w:val="00711D54"/>
    <w:rsid w:val="00712CD4"/>
    <w:rsid w:val="00714993"/>
    <w:rsid w:val="0071515C"/>
    <w:rsid w:val="00720900"/>
    <w:rsid w:val="00724B5D"/>
    <w:rsid w:val="00725D61"/>
    <w:rsid w:val="00726ECC"/>
    <w:rsid w:val="00730ACE"/>
    <w:rsid w:val="007322F4"/>
    <w:rsid w:val="007370BF"/>
    <w:rsid w:val="007374A0"/>
    <w:rsid w:val="00737A4C"/>
    <w:rsid w:val="00737BBB"/>
    <w:rsid w:val="00740B95"/>
    <w:rsid w:val="00740C7B"/>
    <w:rsid w:val="00741883"/>
    <w:rsid w:val="00741BC1"/>
    <w:rsid w:val="00742989"/>
    <w:rsid w:val="00742F33"/>
    <w:rsid w:val="00743900"/>
    <w:rsid w:val="00743A3B"/>
    <w:rsid w:val="007445C9"/>
    <w:rsid w:val="00746814"/>
    <w:rsid w:val="00751E2F"/>
    <w:rsid w:val="007538EC"/>
    <w:rsid w:val="00753B56"/>
    <w:rsid w:val="007563F9"/>
    <w:rsid w:val="00756F0C"/>
    <w:rsid w:val="0076189D"/>
    <w:rsid w:val="00761ECE"/>
    <w:rsid w:val="00762C10"/>
    <w:rsid w:val="00762C15"/>
    <w:rsid w:val="0076354F"/>
    <w:rsid w:val="007645EC"/>
    <w:rsid w:val="00765AA1"/>
    <w:rsid w:val="00772E43"/>
    <w:rsid w:val="007732AB"/>
    <w:rsid w:val="0077559C"/>
    <w:rsid w:val="00775FCE"/>
    <w:rsid w:val="0078054D"/>
    <w:rsid w:val="0078156F"/>
    <w:rsid w:val="00782444"/>
    <w:rsid w:val="00782495"/>
    <w:rsid w:val="00785C43"/>
    <w:rsid w:val="00792303"/>
    <w:rsid w:val="007926CC"/>
    <w:rsid w:val="00793ABA"/>
    <w:rsid w:val="00794FAA"/>
    <w:rsid w:val="00795BE6"/>
    <w:rsid w:val="00795BF2"/>
    <w:rsid w:val="00795D0E"/>
    <w:rsid w:val="007A0844"/>
    <w:rsid w:val="007A0B18"/>
    <w:rsid w:val="007A1B28"/>
    <w:rsid w:val="007A36B5"/>
    <w:rsid w:val="007B0CDF"/>
    <w:rsid w:val="007B1E44"/>
    <w:rsid w:val="007B2F3D"/>
    <w:rsid w:val="007B4BA6"/>
    <w:rsid w:val="007B69EC"/>
    <w:rsid w:val="007B7FDC"/>
    <w:rsid w:val="007C0559"/>
    <w:rsid w:val="007C09FF"/>
    <w:rsid w:val="007C664E"/>
    <w:rsid w:val="007C73F2"/>
    <w:rsid w:val="007D43A7"/>
    <w:rsid w:val="007D55E2"/>
    <w:rsid w:val="007D600E"/>
    <w:rsid w:val="007D6535"/>
    <w:rsid w:val="007E37B4"/>
    <w:rsid w:val="007E7F84"/>
    <w:rsid w:val="007F0686"/>
    <w:rsid w:val="007F231E"/>
    <w:rsid w:val="007F481F"/>
    <w:rsid w:val="008025B6"/>
    <w:rsid w:val="008028DF"/>
    <w:rsid w:val="008031E3"/>
    <w:rsid w:val="00805044"/>
    <w:rsid w:val="00805249"/>
    <w:rsid w:val="00811C8E"/>
    <w:rsid w:val="0081390E"/>
    <w:rsid w:val="008201C5"/>
    <w:rsid w:val="00820FE2"/>
    <w:rsid w:val="0082131E"/>
    <w:rsid w:val="008219D6"/>
    <w:rsid w:val="00821A01"/>
    <w:rsid w:val="00830B81"/>
    <w:rsid w:val="00832261"/>
    <w:rsid w:val="00832FC4"/>
    <w:rsid w:val="00835F07"/>
    <w:rsid w:val="00841EE8"/>
    <w:rsid w:val="00846C3D"/>
    <w:rsid w:val="008479DE"/>
    <w:rsid w:val="00851070"/>
    <w:rsid w:val="00853DC4"/>
    <w:rsid w:val="00856320"/>
    <w:rsid w:val="00862E8C"/>
    <w:rsid w:val="008630BC"/>
    <w:rsid w:val="00866952"/>
    <w:rsid w:val="00866C07"/>
    <w:rsid w:val="00872B73"/>
    <w:rsid w:val="00874371"/>
    <w:rsid w:val="00876716"/>
    <w:rsid w:val="00877673"/>
    <w:rsid w:val="00880A5C"/>
    <w:rsid w:val="0088309A"/>
    <w:rsid w:val="00883B42"/>
    <w:rsid w:val="00884E25"/>
    <w:rsid w:val="008858EC"/>
    <w:rsid w:val="00887AB6"/>
    <w:rsid w:val="00890A09"/>
    <w:rsid w:val="00891112"/>
    <w:rsid w:val="00892AB4"/>
    <w:rsid w:val="008949AC"/>
    <w:rsid w:val="008949E6"/>
    <w:rsid w:val="00895C19"/>
    <w:rsid w:val="008A02DF"/>
    <w:rsid w:val="008A1662"/>
    <w:rsid w:val="008A1747"/>
    <w:rsid w:val="008A1ADB"/>
    <w:rsid w:val="008A1BE8"/>
    <w:rsid w:val="008A2566"/>
    <w:rsid w:val="008B7203"/>
    <w:rsid w:val="008C11FF"/>
    <w:rsid w:val="008C23FF"/>
    <w:rsid w:val="008C4FDB"/>
    <w:rsid w:val="008C6205"/>
    <w:rsid w:val="008C7CDD"/>
    <w:rsid w:val="008D12CD"/>
    <w:rsid w:val="008D2EFE"/>
    <w:rsid w:val="008D36C0"/>
    <w:rsid w:val="008D5364"/>
    <w:rsid w:val="008D550C"/>
    <w:rsid w:val="008D7CA5"/>
    <w:rsid w:val="008E557D"/>
    <w:rsid w:val="008E5657"/>
    <w:rsid w:val="008E6D97"/>
    <w:rsid w:val="008F1F0E"/>
    <w:rsid w:val="008F5323"/>
    <w:rsid w:val="00902C70"/>
    <w:rsid w:val="00902EF3"/>
    <w:rsid w:val="00903748"/>
    <w:rsid w:val="00903874"/>
    <w:rsid w:val="00904DE4"/>
    <w:rsid w:val="00912B42"/>
    <w:rsid w:val="00913044"/>
    <w:rsid w:val="00913166"/>
    <w:rsid w:val="0091451C"/>
    <w:rsid w:val="00916F5D"/>
    <w:rsid w:val="00920FC6"/>
    <w:rsid w:val="00921084"/>
    <w:rsid w:val="00921651"/>
    <w:rsid w:val="00924EF4"/>
    <w:rsid w:val="00926726"/>
    <w:rsid w:val="00932CCF"/>
    <w:rsid w:val="00934F9B"/>
    <w:rsid w:val="0093628D"/>
    <w:rsid w:val="00936FD4"/>
    <w:rsid w:val="0093776A"/>
    <w:rsid w:val="0094139A"/>
    <w:rsid w:val="00943502"/>
    <w:rsid w:val="00943512"/>
    <w:rsid w:val="00950AF2"/>
    <w:rsid w:val="00950DCC"/>
    <w:rsid w:val="0095265D"/>
    <w:rsid w:val="009564F8"/>
    <w:rsid w:val="00956E74"/>
    <w:rsid w:val="00960887"/>
    <w:rsid w:val="00961C19"/>
    <w:rsid w:val="009629ED"/>
    <w:rsid w:val="009629F2"/>
    <w:rsid w:val="00962DD2"/>
    <w:rsid w:val="00967397"/>
    <w:rsid w:val="00967793"/>
    <w:rsid w:val="00971E73"/>
    <w:rsid w:val="00973702"/>
    <w:rsid w:val="00975B77"/>
    <w:rsid w:val="00977256"/>
    <w:rsid w:val="0097764F"/>
    <w:rsid w:val="00981929"/>
    <w:rsid w:val="00990792"/>
    <w:rsid w:val="00991B97"/>
    <w:rsid w:val="009956D5"/>
    <w:rsid w:val="00997CA0"/>
    <w:rsid w:val="009A3E60"/>
    <w:rsid w:val="009A489E"/>
    <w:rsid w:val="009A5FF9"/>
    <w:rsid w:val="009A67F3"/>
    <w:rsid w:val="009A6ADF"/>
    <w:rsid w:val="009B0F83"/>
    <w:rsid w:val="009B1AE6"/>
    <w:rsid w:val="009B1EA4"/>
    <w:rsid w:val="009B2905"/>
    <w:rsid w:val="009B2DE1"/>
    <w:rsid w:val="009B538E"/>
    <w:rsid w:val="009B7028"/>
    <w:rsid w:val="009B7836"/>
    <w:rsid w:val="009C38C1"/>
    <w:rsid w:val="009C48DE"/>
    <w:rsid w:val="009C5B12"/>
    <w:rsid w:val="009C68EB"/>
    <w:rsid w:val="009D129B"/>
    <w:rsid w:val="009D7E76"/>
    <w:rsid w:val="009E010D"/>
    <w:rsid w:val="009E17B0"/>
    <w:rsid w:val="009E2880"/>
    <w:rsid w:val="009E2929"/>
    <w:rsid w:val="009E47B4"/>
    <w:rsid w:val="009E4D9F"/>
    <w:rsid w:val="009E7480"/>
    <w:rsid w:val="009F4008"/>
    <w:rsid w:val="009F4238"/>
    <w:rsid w:val="00A00980"/>
    <w:rsid w:val="00A113A9"/>
    <w:rsid w:val="00A11622"/>
    <w:rsid w:val="00A134DE"/>
    <w:rsid w:val="00A17D70"/>
    <w:rsid w:val="00A21407"/>
    <w:rsid w:val="00A21A05"/>
    <w:rsid w:val="00A22683"/>
    <w:rsid w:val="00A26891"/>
    <w:rsid w:val="00A304B9"/>
    <w:rsid w:val="00A30520"/>
    <w:rsid w:val="00A342D3"/>
    <w:rsid w:val="00A36A37"/>
    <w:rsid w:val="00A374F1"/>
    <w:rsid w:val="00A40C62"/>
    <w:rsid w:val="00A4144A"/>
    <w:rsid w:val="00A43902"/>
    <w:rsid w:val="00A459E0"/>
    <w:rsid w:val="00A4716B"/>
    <w:rsid w:val="00A512C0"/>
    <w:rsid w:val="00A512C5"/>
    <w:rsid w:val="00A54DD4"/>
    <w:rsid w:val="00A567F0"/>
    <w:rsid w:val="00A6718F"/>
    <w:rsid w:val="00A67F82"/>
    <w:rsid w:val="00A714E0"/>
    <w:rsid w:val="00A72CF2"/>
    <w:rsid w:val="00A74588"/>
    <w:rsid w:val="00A7499E"/>
    <w:rsid w:val="00A75B29"/>
    <w:rsid w:val="00A75DF2"/>
    <w:rsid w:val="00A7767B"/>
    <w:rsid w:val="00A80310"/>
    <w:rsid w:val="00A85448"/>
    <w:rsid w:val="00A86184"/>
    <w:rsid w:val="00A94024"/>
    <w:rsid w:val="00A9664A"/>
    <w:rsid w:val="00AA0E00"/>
    <w:rsid w:val="00AA14FC"/>
    <w:rsid w:val="00AA3C57"/>
    <w:rsid w:val="00AA45EF"/>
    <w:rsid w:val="00AA64AF"/>
    <w:rsid w:val="00AA6C3B"/>
    <w:rsid w:val="00AA7A57"/>
    <w:rsid w:val="00AB1B9F"/>
    <w:rsid w:val="00AC0B68"/>
    <w:rsid w:val="00AC5296"/>
    <w:rsid w:val="00AC530A"/>
    <w:rsid w:val="00AC6A39"/>
    <w:rsid w:val="00AD0639"/>
    <w:rsid w:val="00AD113C"/>
    <w:rsid w:val="00AD2E8B"/>
    <w:rsid w:val="00AD3518"/>
    <w:rsid w:val="00AD381B"/>
    <w:rsid w:val="00AD483C"/>
    <w:rsid w:val="00AF2007"/>
    <w:rsid w:val="00AF2429"/>
    <w:rsid w:val="00AF6782"/>
    <w:rsid w:val="00AF6AFA"/>
    <w:rsid w:val="00AF77ED"/>
    <w:rsid w:val="00B06563"/>
    <w:rsid w:val="00B07788"/>
    <w:rsid w:val="00B125B8"/>
    <w:rsid w:val="00B16941"/>
    <w:rsid w:val="00B172DA"/>
    <w:rsid w:val="00B21E7E"/>
    <w:rsid w:val="00B2339D"/>
    <w:rsid w:val="00B24B34"/>
    <w:rsid w:val="00B26DAC"/>
    <w:rsid w:val="00B26FD1"/>
    <w:rsid w:val="00B2724A"/>
    <w:rsid w:val="00B276EB"/>
    <w:rsid w:val="00B305A2"/>
    <w:rsid w:val="00B314DA"/>
    <w:rsid w:val="00B32717"/>
    <w:rsid w:val="00B33F8E"/>
    <w:rsid w:val="00B36CBE"/>
    <w:rsid w:val="00B37AF0"/>
    <w:rsid w:val="00B37EA8"/>
    <w:rsid w:val="00B409C0"/>
    <w:rsid w:val="00B42058"/>
    <w:rsid w:val="00B42237"/>
    <w:rsid w:val="00B42587"/>
    <w:rsid w:val="00B51CD4"/>
    <w:rsid w:val="00B52023"/>
    <w:rsid w:val="00B52E07"/>
    <w:rsid w:val="00B53EF3"/>
    <w:rsid w:val="00B5581B"/>
    <w:rsid w:val="00B55C78"/>
    <w:rsid w:val="00B62772"/>
    <w:rsid w:val="00B64B72"/>
    <w:rsid w:val="00B65FDC"/>
    <w:rsid w:val="00B66DFD"/>
    <w:rsid w:val="00B6768A"/>
    <w:rsid w:val="00B704A8"/>
    <w:rsid w:val="00B71936"/>
    <w:rsid w:val="00B83A11"/>
    <w:rsid w:val="00B85AE7"/>
    <w:rsid w:val="00B8716F"/>
    <w:rsid w:val="00B906E2"/>
    <w:rsid w:val="00B90C3E"/>
    <w:rsid w:val="00B934F5"/>
    <w:rsid w:val="00B960B9"/>
    <w:rsid w:val="00BA2E35"/>
    <w:rsid w:val="00BA56A2"/>
    <w:rsid w:val="00BA67A7"/>
    <w:rsid w:val="00BB0F3B"/>
    <w:rsid w:val="00BB5A3F"/>
    <w:rsid w:val="00BB5AE1"/>
    <w:rsid w:val="00BC0F74"/>
    <w:rsid w:val="00BC3EE5"/>
    <w:rsid w:val="00BC5FA5"/>
    <w:rsid w:val="00BD1061"/>
    <w:rsid w:val="00BD10DF"/>
    <w:rsid w:val="00BD44D2"/>
    <w:rsid w:val="00BD6CB7"/>
    <w:rsid w:val="00BE1156"/>
    <w:rsid w:val="00BE1840"/>
    <w:rsid w:val="00BE19EA"/>
    <w:rsid w:val="00BE4B5C"/>
    <w:rsid w:val="00BE6FD1"/>
    <w:rsid w:val="00BE73AE"/>
    <w:rsid w:val="00BE765F"/>
    <w:rsid w:val="00BF0182"/>
    <w:rsid w:val="00BF5863"/>
    <w:rsid w:val="00BF7C9F"/>
    <w:rsid w:val="00BF7CA1"/>
    <w:rsid w:val="00C0629B"/>
    <w:rsid w:val="00C11196"/>
    <w:rsid w:val="00C209C2"/>
    <w:rsid w:val="00C22701"/>
    <w:rsid w:val="00C26A29"/>
    <w:rsid w:val="00C27447"/>
    <w:rsid w:val="00C27988"/>
    <w:rsid w:val="00C31746"/>
    <w:rsid w:val="00C44D75"/>
    <w:rsid w:val="00C450B4"/>
    <w:rsid w:val="00C50000"/>
    <w:rsid w:val="00C51281"/>
    <w:rsid w:val="00C5363A"/>
    <w:rsid w:val="00C60217"/>
    <w:rsid w:val="00C61EB5"/>
    <w:rsid w:val="00C65B2D"/>
    <w:rsid w:val="00C67097"/>
    <w:rsid w:val="00C75F10"/>
    <w:rsid w:val="00C84398"/>
    <w:rsid w:val="00C85701"/>
    <w:rsid w:val="00C85D70"/>
    <w:rsid w:val="00C9144D"/>
    <w:rsid w:val="00C92A30"/>
    <w:rsid w:val="00C96587"/>
    <w:rsid w:val="00C97496"/>
    <w:rsid w:val="00CA34B2"/>
    <w:rsid w:val="00CA4D0B"/>
    <w:rsid w:val="00CA4F7A"/>
    <w:rsid w:val="00CB5B74"/>
    <w:rsid w:val="00CC19A9"/>
    <w:rsid w:val="00CC2C29"/>
    <w:rsid w:val="00CC40D2"/>
    <w:rsid w:val="00CC44ED"/>
    <w:rsid w:val="00CC55EB"/>
    <w:rsid w:val="00CC7566"/>
    <w:rsid w:val="00CD147C"/>
    <w:rsid w:val="00CD2927"/>
    <w:rsid w:val="00CD3DC7"/>
    <w:rsid w:val="00CD5739"/>
    <w:rsid w:val="00CE11F9"/>
    <w:rsid w:val="00CE34D7"/>
    <w:rsid w:val="00CE5578"/>
    <w:rsid w:val="00CE7BA3"/>
    <w:rsid w:val="00CF4D4C"/>
    <w:rsid w:val="00CF5CD5"/>
    <w:rsid w:val="00CF6596"/>
    <w:rsid w:val="00D027F7"/>
    <w:rsid w:val="00D02D5E"/>
    <w:rsid w:val="00D03F9B"/>
    <w:rsid w:val="00D078D4"/>
    <w:rsid w:val="00D136B3"/>
    <w:rsid w:val="00D15A57"/>
    <w:rsid w:val="00D15EE5"/>
    <w:rsid w:val="00D179BE"/>
    <w:rsid w:val="00D23AF6"/>
    <w:rsid w:val="00D24267"/>
    <w:rsid w:val="00D25B98"/>
    <w:rsid w:val="00D2629A"/>
    <w:rsid w:val="00D26F53"/>
    <w:rsid w:val="00D315C2"/>
    <w:rsid w:val="00D3241C"/>
    <w:rsid w:val="00D42064"/>
    <w:rsid w:val="00D42934"/>
    <w:rsid w:val="00D430F7"/>
    <w:rsid w:val="00D43E61"/>
    <w:rsid w:val="00D45B7E"/>
    <w:rsid w:val="00D45D49"/>
    <w:rsid w:val="00D517E6"/>
    <w:rsid w:val="00D52EC8"/>
    <w:rsid w:val="00D5437C"/>
    <w:rsid w:val="00D55611"/>
    <w:rsid w:val="00D579C1"/>
    <w:rsid w:val="00D57B16"/>
    <w:rsid w:val="00D60677"/>
    <w:rsid w:val="00D633A7"/>
    <w:rsid w:val="00D63779"/>
    <w:rsid w:val="00D65AF9"/>
    <w:rsid w:val="00D67F9A"/>
    <w:rsid w:val="00D70214"/>
    <w:rsid w:val="00D703F6"/>
    <w:rsid w:val="00D70F2B"/>
    <w:rsid w:val="00D71138"/>
    <w:rsid w:val="00D77C3A"/>
    <w:rsid w:val="00D81D66"/>
    <w:rsid w:val="00D83DE1"/>
    <w:rsid w:val="00D86D28"/>
    <w:rsid w:val="00D86FB4"/>
    <w:rsid w:val="00D914B7"/>
    <w:rsid w:val="00D92955"/>
    <w:rsid w:val="00D92998"/>
    <w:rsid w:val="00D92C97"/>
    <w:rsid w:val="00D94D1E"/>
    <w:rsid w:val="00DA058B"/>
    <w:rsid w:val="00DA3B2B"/>
    <w:rsid w:val="00DA5878"/>
    <w:rsid w:val="00DA6721"/>
    <w:rsid w:val="00DA68EA"/>
    <w:rsid w:val="00DA69C4"/>
    <w:rsid w:val="00DB1130"/>
    <w:rsid w:val="00DB3260"/>
    <w:rsid w:val="00DB3377"/>
    <w:rsid w:val="00DB59F5"/>
    <w:rsid w:val="00DB5DD6"/>
    <w:rsid w:val="00DB6AE7"/>
    <w:rsid w:val="00DB7FCA"/>
    <w:rsid w:val="00DC0703"/>
    <w:rsid w:val="00DC188E"/>
    <w:rsid w:val="00DC1EFF"/>
    <w:rsid w:val="00DD1CE5"/>
    <w:rsid w:val="00DD2E0A"/>
    <w:rsid w:val="00DD68A3"/>
    <w:rsid w:val="00DE01B7"/>
    <w:rsid w:val="00DE0B15"/>
    <w:rsid w:val="00DE23EB"/>
    <w:rsid w:val="00DE28F3"/>
    <w:rsid w:val="00DE34B4"/>
    <w:rsid w:val="00DE36F2"/>
    <w:rsid w:val="00DE39E4"/>
    <w:rsid w:val="00DE4056"/>
    <w:rsid w:val="00DE4187"/>
    <w:rsid w:val="00DE692E"/>
    <w:rsid w:val="00DE6BDB"/>
    <w:rsid w:val="00DF0CC5"/>
    <w:rsid w:val="00DF2B7E"/>
    <w:rsid w:val="00DF2E47"/>
    <w:rsid w:val="00DF33A8"/>
    <w:rsid w:val="00DF351A"/>
    <w:rsid w:val="00DF41AC"/>
    <w:rsid w:val="00DF5910"/>
    <w:rsid w:val="00E00D48"/>
    <w:rsid w:val="00E0191D"/>
    <w:rsid w:val="00E10974"/>
    <w:rsid w:val="00E12F01"/>
    <w:rsid w:val="00E13456"/>
    <w:rsid w:val="00E141A1"/>
    <w:rsid w:val="00E142EE"/>
    <w:rsid w:val="00E151E6"/>
    <w:rsid w:val="00E153AF"/>
    <w:rsid w:val="00E15EBA"/>
    <w:rsid w:val="00E22229"/>
    <w:rsid w:val="00E26289"/>
    <w:rsid w:val="00E27404"/>
    <w:rsid w:val="00E37B4C"/>
    <w:rsid w:val="00E4007F"/>
    <w:rsid w:val="00E40125"/>
    <w:rsid w:val="00E41DFF"/>
    <w:rsid w:val="00E4275D"/>
    <w:rsid w:val="00E43636"/>
    <w:rsid w:val="00E43CEF"/>
    <w:rsid w:val="00E4415B"/>
    <w:rsid w:val="00E4460B"/>
    <w:rsid w:val="00E447D2"/>
    <w:rsid w:val="00E47C62"/>
    <w:rsid w:val="00E503CB"/>
    <w:rsid w:val="00E51046"/>
    <w:rsid w:val="00E520B3"/>
    <w:rsid w:val="00E60585"/>
    <w:rsid w:val="00E61E47"/>
    <w:rsid w:val="00E61FE1"/>
    <w:rsid w:val="00E6219E"/>
    <w:rsid w:val="00E643DC"/>
    <w:rsid w:val="00E65248"/>
    <w:rsid w:val="00E652EB"/>
    <w:rsid w:val="00E66A12"/>
    <w:rsid w:val="00E714BD"/>
    <w:rsid w:val="00E73924"/>
    <w:rsid w:val="00E75BBD"/>
    <w:rsid w:val="00E766C0"/>
    <w:rsid w:val="00E76E07"/>
    <w:rsid w:val="00E77CDD"/>
    <w:rsid w:val="00E8431B"/>
    <w:rsid w:val="00E84CEE"/>
    <w:rsid w:val="00E86662"/>
    <w:rsid w:val="00E900F0"/>
    <w:rsid w:val="00E9275C"/>
    <w:rsid w:val="00E931BE"/>
    <w:rsid w:val="00E93A68"/>
    <w:rsid w:val="00E96DA4"/>
    <w:rsid w:val="00E974B8"/>
    <w:rsid w:val="00EA201E"/>
    <w:rsid w:val="00EA64B4"/>
    <w:rsid w:val="00EA6E92"/>
    <w:rsid w:val="00EA76D3"/>
    <w:rsid w:val="00EB0830"/>
    <w:rsid w:val="00EB0B69"/>
    <w:rsid w:val="00EB7210"/>
    <w:rsid w:val="00EC159E"/>
    <w:rsid w:val="00EC468B"/>
    <w:rsid w:val="00EC7B84"/>
    <w:rsid w:val="00ED76DB"/>
    <w:rsid w:val="00EE5089"/>
    <w:rsid w:val="00EF12E8"/>
    <w:rsid w:val="00EF30A9"/>
    <w:rsid w:val="00EF7568"/>
    <w:rsid w:val="00F00003"/>
    <w:rsid w:val="00F00938"/>
    <w:rsid w:val="00F00A9A"/>
    <w:rsid w:val="00F0314A"/>
    <w:rsid w:val="00F05A8B"/>
    <w:rsid w:val="00F06F33"/>
    <w:rsid w:val="00F073B0"/>
    <w:rsid w:val="00F10C35"/>
    <w:rsid w:val="00F12AA8"/>
    <w:rsid w:val="00F134BE"/>
    <w:rsid w:val="00F14AB9"/>
    <w:rsid w:val="00F16280"/>
    <w:rsid w:val="00F20501"/>
    <w:rsid w:val="00F2328A"/>
    <w:rsid w:val="00F2493A"/>
    <w:rsid w:val="00F24E08"/>
    <w:rsid w:val="00F2796D"/>
    <w:rsid w:val="00F30A59"/>
    <w:rsid w:val="00F317BA"/>
    <w:rsid w:val="00F368C9"/>
    <w:rsid w:val="00F400E9"/>
    <w:rsid w:val="00F40FF4"/>
    <w:rsid w:val="00F41FC9"/>
    <w:rsid w:val="00F430A8"/>
    <w:rsid w:val="00F437C8"/>
    <w:rsid w:val="00F43C6E"/>
    <w:rsid w:val="00F43E64"/>
    <w:rsid w:val="00F461D5"/>
    <w:rsid w:val="00F52240"/>
    <w:rsid w:val="00F52C32"/>
    <w:rsid w:val="00F53028"/>
    <w:rsid w:val="00F55711"/>
    <w:rsid w:val="00F627AB"/>
    <w:rsid w:val="00F63030"/>
    <w:rsid w:val="00F6354B"/>
    <w:rsid w:val="00F64102"/>
    <w:rsid w:val="00F654E0"/>
    <w:rsid w:val="00F66230"/>
    <w:rsid w:val="00F713A5"/>
    <w:rsid w:val="00F759CC"/>
    <w:rsid w:val="00F76C4A"/>
    <w:rsid w:val="00F83CF0"/>
    <w:rsid w:val="00F9039F"/>
    <w:rsid w:val="00F91C6A"/>
    <w:rsid w:val="00F939E2"/>
    <w:rsid w:val="00F95127"/>
    <w:rsid w:val="00F961DF"/>
    <w:rsid w:val="00FA2DAE"/>
    <w:rsid w:val="00FA486F"/>
    <w:rsid w:val="00FB0F1F"/>
    <w:rsid w:val="00FB123E"/>
    <w:rsid w:val="00FB4278"/>
    <w:rsid w:val="00FB6032"/>
    <w:rsid w:val="00FB7D31"/>
    <w:rsid w:val="00FC0A11"/>
    <w:rsid w:val="00FC0C06"/>
    <w:rsid w:val="00FC248E"/>
    <w:rsid w:val="00FC2914"/>
    <w:rsid w:val="00FC3672"/>
    <w:rsid w:val="00FC55E9"/>
    <w:rsid w:val="00FC679E"/>
    <w:rsid w:val="00FD0114"/>
    <w:rsid w:val="00FD296D"/>
    <w:rsid w:val="00FD4D69"/>
    <w:rsid w:val="00FD569D"/>
    <w:rsid w:val="00FD5801"/>
    <w:rsid w:val="00FD652B"/>
    <w:rsid w:val="00FD78BF"/>
    <w:rsid w:val="00FE0271"/>
    <w:rsid w:val="00FE089D"/>
    <w:rsid w:val="00FE421E"/>
    <w:rsid w:val="00FE7F17"/>
    <w:rsid w:val="00FF1CA4"/>
    <w:rsid w:val="00FF28A9"/>
    <w:rsid w:val="00FF3B19"/>
    <w:rsid w:val="00FF75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C8B5C947-99CD-48D3-8BB1-F5C18B17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lock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uiPriority w:val="34"/>
    <w:qFormat/>
    <w:rsid w:val="00B21E7E"/>
    <w:pPr>
      <w:ind w:left="720"/>
    </w:pPr>
  </w:style>
  <w:style w:type="character" w:styleId="CommentReference">
    <w:name w:val="annotation reference"/>
    <w:basedOn w:val="DefaultParagraphFont"/>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styleId="NoSpacing">
    <w:name w:val="No Spacing"/>
    <w:uiPriority w:val="1"/>
    <w:qFormat/>
    <w:rsid w:val="008028DF"/>
    <w:rPr>
      <w:rFonts w:ascii="Calibri" w:eastAsia="SimSun"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22300">
      <w:marLeft w:val="0"/>
      <w:marRight w:val="0"/>
      <w:marTop w:val="0"/>
      <w:marBottom w:val="0"/>
      <w:divBdr>
        <w:top w:val="none" w:sz="0" w:space="0" w:color="auto"/>
        <w:left w:val="none" w:sz="0" w:space="0" w:color="auto"/>
        <w:bottom w:val="none" w:sz="0" w:space="0" w:color="auto"/>
        <w:right w:val="none" w:sz="0" w:space="0" w:color="auto"/>
      </w:divBdr>
    </w:div>
    <w:div w:id="9038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ducation.qld.gov.au/schools/stepup/resources/index.html" TargetMode="External"/><Relationship Id="rId2" Type="http://schemas.openxmlformats.org/officeDocument/2006/relationships/customXml" Target="../customXml/item2.xml"/><Relationship Id="rId16" Type="http://schemas.openxmlformats.org/officeDocument/2006/relationships/hyperlink" Target="http://education.qld.gov.au/schools/stepup/educators/school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lb508a4dc5e84436a0fe496b536466aa>
    <IconOverlay xmlns="http://schemas.microsoft.com/sharepoint/v4" xsi:nil="true"/>
    <_dlc_DocId xmlns="0f563589-9cf9-4143-b1eb-fb0534803d38">2020FG-64-73424</_dlc_DocId>
    <TaxCatchAll xmlns="0f563589-9cf9-4143-b1eb-fb0534803d38"/>
    <_dlc_DocIdUrl xmlns="0f563589-9cf9-4143-b1eb-fb0534803d38">
      <Url>http://tweb/sites/fg/csrd/_layouts/15/DocIdRedir.aspx?ID=2020FG-64-73424</Url>
      <Description>2020FG-64-73424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185" ma:contentTypeDescription=" " ma:contentTypeScope="" ma:versionID="ac7d5cd72b7d3879eecaa77836518cd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09D0-D2FE-4DBD-9BC8-81C8647DEDB5}">
  <ds:schemaRefs>
    <ds:schemaRef ds:uri="http://schemas.openxmlformats.org/package/2006/metadata/core-properti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microsoft.com/sharepoint/v4"/>
    <ds:schemaRef ds:uri="e544e5cc-ab70-42e1-849e-1a0f8bb1f4ef"/>
    <ds:schemaRef ds:uri="http://www.w3.org/XML/1998/namespace"/>
    <ds:schemaRef ds:uri="http://purl.org/dc/dcmitype/"/>
  </ds:schemaRefs>
</ds:datastoreItem>
</file>

<file path=customXml/itemProps2.xml><?xml version="1.0" encoding="utf-8"?>
<ds:datastoreItem xmlns:ds="http://schemas.openxmlformats.org/officeDocument/2006/customXml" ds:itemID="{C7B8CA58-2391-4A42-ABBD-1625CA9D63ED}"/>
</file>

<file path=customXml/itemProps3.xml><?xml version="1.0" encoding="utf-8"?>
<ds:datastoreItem xmlns:ds="http://schemas.openxmlformats.org/officeDocument/2006/customXml" ds:itemID="{C7547108-866B-4AF3-B004-909684EDD138}">
  <ds:schemaRefs>
    <ds:schemaRef ds:uri="Microsoft.SharePoint.Taxonomy.ContentTypeSync"/>
  </ds:schemaRefs>
</ds:datastoreItem>
</file>

<file path=customXml/itemProps4.xml><?xml version="1.0" encoding="utf-8"?>
<ds:datastoreItem xmlns:ds="http://schemas.openxmlformats.org/officeDocument/2006/customXml" ds:itemID="{07297D73-7243-498E-BD9F-100F4B53A9A7}"/>
</file>

<file path=customXml/itemProps5.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6.xml><?xml version="1.0" encoding="utf-8"?>
<ds:datastoreItem xmlns:ds="http://schemas.openxmlformats.org/officeDocument/2006/customXml" ds:itemID="{879DD862-8328-4B33-8B5D-984A0C1682CF}">
  <ds:schemaRefs>
    <ds:schemaRef ds:uri="http://schemas.microsoft.com/sharepoint/events"/>
  </ds:schemaRefs>
</ds:datastoreItem>
</file>

<file path=customXml/itemProps7.xml><?xml version="1.0" encoding="utf-8"?>
<ds:datastoreItem xmlns:ds="http://schemas.openxmlformats.org/officeDocument/2006/customXml" ds:itemID="{1EFEB659-38EB-43EB-9C51-A2F6A3EF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3931</Words>
  <Characters>24130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Implementation Plan template</vt:lpstr>
    </vt:vector>
  </TitlesOfParts>
  <Company>Australian Government - The Treasury</Company>
  <LinksUpToDate>false</LinksUpToDate>
  <CharactersWithSpaces>28005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Plan template</dc:title>
  <dc:creator>Council on Federal Financial Relations</dc:creator>
  <cp:lastModifiedBy>TEBBS,Camille</cp:lastModifiedBy>
  <cp:revision>2</cp:revision>
  <cp:lastPrinted>2016-01-04T23:00:00Z</cp:lastPrinted>
  <dcterms:created xsi:type="dcterms:W3CDTF">2020-01-30T01:58:00Z</dcterms:created>
  <dcterms:modified xsi:type="dcterms:W3CDTF">2020-01-30T01:58:00Z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88d3358b-397b-4509-b9c4-25bba8eaf056</vt:lpwstr>
  </property>
  <property fmtid="{D5CDD505-2E9C-101B-9397-08002B2CF9AE}" pid="4" name="ContentTypeId">
    <vt:lpwstr>0x010100348D01E61E107C4DA4B97E380EA20D47005CDF45B49E80F24CAD80DFC012154DA9</vt:lpwstr>
  </property>
  <property fmtid="{D5CDD505-2E9C-101B-9397-08002B2CF9AE}" pid="5" name="TSYRecordClass">
    <vt:lpwstr/>
  </property>
</Properties>
</file>