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4819" w14:textId="77777777" w:rsidR="0036688B" w:rsidRPr="001E7293" w:rsidRDefault="00343FA2" w:rsidP="00A17D70">
      <w:pPr>
        <w:pStyle w:val="Title"/>
      </w:pPr>
      <w:bookmarkStart w:id="0" w:name="_GoBack"/>
      <w:bookmarkEnd w:id="0"/>
      <w:r>
        <w:t>Western Australia’s</w:t>
      </w:r>
      <w:r w:rsidR="00921651" w:rsidRPr="001E7293">
        <w:t xml:space="preserve"> Implementation Plan</w:t>
      </w:r>
    </w:p>
    <w:p w14:paraId="5BB0C27E" w14:textId="0EEAC685"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7B4BA6" w:rsidRPr="001E7293">
        <w:t>2018</w:t>
      </w:r>
      <w:r w:rsidR="00B34032">
        <w:t xml:space="preserve"> </w:t>
      </w:r>
      <w:r w:rsidR="00BD3EC3">
        <w:t>- 2020</w:t>
      </w:r>
    </w:p>
    <w:p w14:paraId="27224CB1" w14:textId="77777777" w:rsidR="0036688B" w:rsidRPr="001E7293" w:rsidRDefault="0036688B" w:rsidP="00354A85">
      <w:pPr>
        <w:pStyle w:val="Heading1"/>
      </w:pPr>
      <w:r w:rsidRPr="001E7293">
        <w:t>Part 1: Preliminaries</w:t>
      </w:r>
    </w:p>
    <w:p w14:paraId="69E4F1DF" w14:textId="77777777" w:rsidR="00354A85" w:rsidRPr="001E7293" w:rsidRDefault="00354A85" w:rsidP="00354A85">
      <w:pPr>
        <w:keepNext/>
        <w:keepLines/>
      </w:pPr>
    </w:p>
    <w:p w14:paraId="0F1FF479" w14:textId="3AC05DE1"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7B4BA6" w:rsidRPr="001E7293">
        <w:t>2018</w:t>
      </w:r>
      <w:r w:rsidR="00B34032">
        <w:t xml:space="preserve"> </w:t>
      </w:r>
      <w:r w:rsidR="005176AC">
        <w:t xml:space="preserve">and </w:t>
      </w:r>
      <w:r w:rsidR="00B34032">
        <w:t>2019</w:t>
      </w:r>
      <w:r w:rsidR="003C4F3C" w:rsidRPr="001E7293">
        <w:t xml:space="preserve"> </w:t>
      </w:r>
      <w:r w:rsidR="00E86662" w:rsidRPr="001E7293">
        <w:t xml:space="preserve">(the National Partnership) </w:t>
      </w:r>
      <w:r w:rsidRPr="001E7293">
        <w:t>and should be read in conjunction with that Agreement.</w:t>
      </w:r>
    </w:p>
    <w:p w14:paraId="57F26E1E"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0A775C87"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87651F">
        <w:rPr>
          <w:szCs w:val="23"/>
        </w:rPr>
        <w:t xml:space="preserve">for all children in the year before full-time school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w:t>
      </w:r>
      <w:r w:rsidR="0087651F">
        <w:rPr>
          <w:szCs w:val="23"/>
        </w:rPr>
        <w:t>Indigenous</w:t>
      </w:r>
      <w:r w:rsidR="009C38C1" w:rsidRPr="001E7293">
        <w:rPr>
          <w:szCs w:val="23"/>
        </w:rPr>
        <w:t xml:space="preserve">,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2025628A"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 xml:space="preserve">Children living in remote </w:t>
      </w:r>
      <w:r w:rsidR="0087651F">
        <w:rPr>
          <w:rFonts w:eastAsia="Calibri"/>
          <w:color w:val="000000"/>
          <w:szCs w:val="23"/>
        </w:rPr>
        <w:t xml:space="preserve">Indigenous </w:t>
      </w:r>
      <w:r w:rsidRPr="001E7293">
        <w:rPr>
          <w:rFonts w:eastAsia="Calibri"/>
          <w:color w:val="000000"/>
          <w:szCs w:val="23"/>
        </w:rPr>
        <w:t>communities remain a focus for universal access.</w:t>
      </w:r>
    </w:p>
    <w:p w14:paraId="55420426" w14:textId="77777777" w:rsidR="003E230C" w:rsidRPr="001E7293" w:rsidRDefault="003E230C" w:rsidP="00A17D70">
      <w:pPr>
        <w:pStyle w:val="Heading1"/>
      </w:pPr>
      <w:r w:rsidRPr="001E7293">
        <w:t xml:space="preserve">Part 2: Terms of this </w:t>
      </w:r>
      <w:r w:rsidR="00E47C62" w:rsidRPr="001E7293">
        <w:t>Implementation Plan</w:t>
      </w:r>
    </w:p>
    <w:p w14:paraId="60A61299" w14:textId="77777777" w:rsidR="003E230C" w:rsidRPr="001E7293" w:rsidRDefault="003E230C" w:rsidP="003E230C"/>
    <w:p w14:paraId="5E246DE4" w14:textId="5CB83154"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Pr="001E7293">
        <w:rPr>
          <w:szCs w:val="23"/>
        </w:rPr>
        <w:t xml:space="preserve">, and the </w:t>
      </w:r>
      <w:r w:rsidR="006B4750">
        <w:rPr>
          <w:szCs w:val="23"/>
        </w:rPr>
        <w:t>S</w:t>
      </w:r>
      <w:r w:rsidR="007B7FDC" w:rsidRPr="001E7293">
        <w:rPr>
          <w:szCs w:val="23"/>
        </w:rPr>
        <w:t xml:space="preserve">tate </w:t>
      </w:r>
      <w:r w:rsidRPr="001E7293">
        <w:rPr>
          <w:szCs w:val="23"/>
        </w:rPr>
        <w:t xml:space="preserve">of </w:t>
      </w:r>
      <w:r w:rsidR="00A12DD5">
        <w:rPr>
          <w:szCs w:val="23"/>
        </w:rPr>
        <w:t>Western Australia</w:t>
      </w:r>
      <w:r w:rsidRPr="001E7293">
        <w:rPr>
          <w:szCs w:val="23"/>
        </w:rPr>
        <w:t>, represented by the Minister</w:t>
      </w:r>
      <w:r w:rsidR="000201B2">
        <w:rPr>
          <w:szCs w:val="23"/>
        </w:rPr>
        <w:t xml:space="preserve"> </w:t>
      </w:r>
      <w:r w:rsidRPr="001E7293">
        <w:rPr>
          <w:szCs w:val="23"/>
        </w:rPr>
        <w:t>for</w:t>
      </w:r>
      <w:r w:rsidR="005F5787" w:rsidRPr="001E7293">
        <w:rPr>
          <w:szCs w:val="23"/>
        </w:rPr>
        <w:t xml:space="preserve"> </w:t>
      </w:r>
      <w:r w:rsidR="000201B2">
        <w:rPr>
          <w:szCs w:val="23"/>
        </w:rPr>
        <w:t xml:space="preserve">Education and Training. </w:t>
      </w:r>
    </w:p>
    <w:p w14:paraId="3698BCC3" w14:textId="77777777" w:rsidR="0036688B" w:rsidRPr="001E7293"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0201B2">
        <w:t>Western Australia</w:t>
      </w:r>
      <w:r w:rsidR="007B7FDC" w:rsidRPr="001E7293">
        <w:t xml:space="preserve">’s capacity to achieve the outcomes of the </w:t>
      </w:r>
      <w:r w:rsidR="002E328E" w:rsidRPr="001E7293">
        <w:t>National Partnership</w:t>
      </w:r>
      <w:r w:rsidRPr="001E7293">
        <w:t>.</w:t>
      </w:r>
    </w:p>
    <w:p w14:paraId="1C8E6520"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xml:space="preserve">, including final performance reporting and processing of final </w:t>
      </w:r>
      <w:proofErr w:type="gramStart"/>
      <w:r w:rsidR="00BC5FA5" w:rsidRPr="001E7293">
        <w:rPr>
          <w:szCs w:val="23"/>
        </w:rPr>
        <w:t>payments</w:t>
      </w:r>
      <w:proofErr w:type="gramEnd"/>
      <w:r w:rsidR="00BC5FA5" w:rsidRPr="001E7293">
        <w:rPr>
          <w:szCs w:val="23"/>
        </w:rPr>
        <w:t xml:space="preserve"> against performance benchmarks or milestones.</w:t>
      </w:r>
    </w:p>
    <w:p w14:paraId="1DCA3FC3"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w:t>
      </w:r>
      <w:r w:rsidR="006B4750">
        <w:rPr>
          <w:szCs w:val="23"/>
        </w:rPr>
        <w:t xml:space="preserve">the </w:t>
      </w:r>
      <w:r w:rsidR="00D3241C" w:rsidRPr="001E7293">
        <w:rPr>
          <w:szCs w:val="23"/>
        </w:rPr>
        <w:t xml:space="preserve">State </w:t>
      </w:r>
      <w:r w:rsidRPr="001E7293">
        <w:rPr>
          <w:szCs w:val="23"/>
        </w:rPr>
        <w:t>Minister</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72FCEC16"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that does not lessen the Parties’ commitment to </w:t>
      </w:r>
      <w:r w:rsidR="00CD5739" w:rsidRPr="001E7293">
        <w:rPr>
          <w:szCs w:val="23"/>
        </w:rPr>
        <w:t xml:space="preserve">the plan and its full </w:t>
      </w:r>
      <w:r w:rsidRPr="001E7293">
        <w:rPr>
          <w:szCs w:val="23"/>
        </w:rPr>
        <w:t>implementation.</w:t>
      </w:r>
    </w:p>
    <w:p w14:paraId="6BF9F66F" w14:textId="77777777" w:rsidR="0036688B" w:rsidRPr="001E7293" w:rsidRDefault="0036688B" w:rsidP="00A17D70">
      <w:pPr>
        <w:pStyle w:val="Heading1"/>
      </w:pPr>
      <w:r w:rsidRPr="001E7293">
        <w:lastRenderedPageBreak/>
        <w:t xml:space="preserve">Part </w:t>
      </w:r>
      <w:r w:rsidR="00C26A29" w:rsidRPr="001E7293">
        <w:t>3</w:t>
      </w:r>
      <w:r w:rsidRPr="001E7293">
        <w:t>: Strategy for implementation</w:t>
      </w:r>
    </w:p>
    <w:p w14:paraId="6F6FF6A2" w14:textId="77777777" w:rsidR="00354A85" w:rsidRPr="001E7293" w:rsidRDefault="00354A85" w:rsidP="00354A85"/>
    <w:p w14:paraId="35559DDD" w14:textId="77777777" w:rsidR="0036688B" w:rsidRPr="001E7293" w:rsidRDefault="0036688B" w:rsidP="00354A85">
      <w:pPr>
        <w:pStyle w:val="Heading2"/>
        <w:spacing w:before="0"/>
      </w:pPr>
      <w:r w:rsidRPr="001E7293">
        <w:t>Project information</w:t>
      </w:r>
    </w:p>
    <w:p w14:paraId="3095E840" w14:textId="77777777" w:rsidR="001A4374"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A5372E">
        <w:t>Indigenous</w:t>
      </w:r>
      <w:r w:rsidR="00DF2E47" w:rsidRPr="001E7293">
        <w:t xml:space="preserve">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01FBA53D" w14:textId="77777777" w:rsidR="00C75F63" w:rsidRDefault="00C75F63" w:rsidP="00C75F63">
      <w:pPr>
        <w:pStyle w:val="Normalnumbered"/>
      </w:pPr>
      <w:r>
        <w:t xml:space="preserve">In </w:t>
      </w:r>
      <w:r w:rsidR="006B4750">
        <w:t>Western Australia</w:t>
      </w:r>
      <w:r>
        <w:t xml:space="preserve">, vulnerable and disadvantaged children are </w:t>
      </w:r>
      <w:r w:rsidR="00CF4AE2">
        <w:t xml:space="preserve">provisionally </w:t>
      </w:r>
      <w:r>
        <w:t xml:space="preserve">defined as children enrolled in schools with an Index of Community Socio-Educational Advantage (ICSEA) value in the lowest socio-economic quintile within </w:t>
      </w:r>
      <w:r w:rsidR="006B4750">
        <w:t>Western Australia</w:t>
      </w:r>
      <w:r>
        <w:t xml:space="preserve">.  Each public and non-government school’s ICSEA is calculated on the basis of the ICSEA profile of every enrolled student of compulsory-age and schools in the bottom quintile are the 20 per cent in </w:t>
      </w:r>
      <w:r w:rsidR="006B4750">
        <w:t>Western Australia</w:t>
      </w:r>
      <w:r>
        <w:t xml:space="preserve"> with lowest ICSEA. </w:t>
      </w:r>
    </w:p>
    <w:p w14:paraId="2DFEBB4D" w14:textId="77777777" w:rsidR="00C75F63" w:rsidRPr="001E7293" w:rsidRDefault="00C75F63" w:rsidP="00C75F63">
      <w:pPr>
        <w:pStyle w:val="Normalnumbered"/>
        <w:numPr>
          <w:ilvl w:val="0"/>
          <w:numId w:val="0"/>
        </w:numPr>
      </w:pPr>
    </w:p>
    <w:p w14:paraId="20643DE9" w14:textId="77777777" w:rsidR="0036688B" w:rsidRPr="001E7293" w:rsidRDefault="0036688B" w:rsidP="001845B6">
      <w:pPr>
        <w:pStyle w:val="Normalnumbered"/>
      </w:pPr>
      <w:r w:rsidRPr="001E7293">
        <w:t>The project</w:t>
      </w:r>
      <w:r w:rsidR="00432B5D" w:rsidRPr="001E7293">
        <w:t xml:space="preserve"> element</w:t>
      </w:r>
      <w:r w:rsidRPr="001E7293">
        <w:t>s planned are</w:t>
      </w:r>
      <w:r w:rsidR="00972C5D">
        <w:t xml:space="preserve"> shown in Table 1</w:t>
      </w:r>
      <w:r w:rsidR="0052412D" w:rsidRPr="001E7293">
        <w:t>:</w:t>
      </w:r>
    </w:p>
    <w:p w14:paraId="40A7E252" w14:textId="77777777" w:rsidR="0036688B" w:rsidRPr="001E7293" w:rsidRDefault="0036688B" w:rsidP="00435B33">
      <w:pPr>
        <w:pStyle w:val="Heading3"/>
        <w:keepLines/>
        <w:spacing w:after="120"/>
      </w:pPr>
      <w:r w:rsidRPr="001E7293">
        <w:t xml:space="preserve">Table 1: Project </w:t>
      </w:r>
      <w:r w:rsidR="00432B5D" w:rsidRPr="001E7293">
        <w:t>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521"/>
        <w:gridCol w:w="2903"/>
        <w:gridCol w:w="1244"/>
        <w:gridCol w:w="1246"/>
        <w:gridCol w:w="1423"/>
      </w:tblGrid>
      <w:tr w:rsidR="001845B6" w:rsidRPr="001E7293" w14:paraId="3A3BFA33" w14:textId="77777777" w:rsidTr="006B4750">
        <w:trPr>
          <w:cantSplit/>
        </w:trPr>
        <w:tc>
          <w:tcPr>
            <w:tcW w:w="296" w:type="pct"/>
            <w:shd w:val="clear" w:color="auto" w:fill="E6E6E6"/>
          </w:tcPr>
          <w:p w14:paraId="03A232FE" w14:textId="77777777" w:rsidR="00432B5D" w:rsidRPr="001845B6" w:rsidRDefault="001845B6" w:rsidP="007563F9">
            <w:pPr>
              <w:keepNext/>
              <w:keepLines/>
              <w:rPr>
                <w:b/>
                <w:sz w:val="22"/>
                <w:szCs w:val="22"/>
              </w:rPr>
            </w:pPr>
            <w:r w:rsidRPr="001845B6">
              <w:rPr>
                <w:b/>
                <w:sz w:val="22"/>
                <w:szCs w:val="22"/>
              </w:rPr>
              <w:t>No</w:t>
            </w:r>
          </w:p>
        </w:tc>
        <w:tc>
          <w:tcPr>
            <w:tcW w:w="858" w:type="pct"/>
            <w:shd w:val="clear" w:color="auto" w:fill="E6E6E6"/>
          </w:tcPr>
          <w:p w14:paraId="008AED87" w14:textId="77777777" w:rsidR="00432B5D" w:rsidRPr="001845B6" w:rsidRDefault="00432B5D" w:rsidP="007563F9">
            <w:pPr>
              <w:keepNext/>
              <w:keepLines/>
              <w:rPr>
                <w:b/>
                <w:sz w:val="22"/>
                <w:szCs w:val="22"/>
              </w:rPr>
            </w:pPr>
            <w:r w:rsidRPr="001845B6">
              <w:rPr>
                <w:b/>
                <w:sz w:val="22"/>
                <w:szCs w:val="22"/>
              </w:rPr>
              <w:t>Title</w:t>
            </w:r>
          </w:p>
        </w:tc>
        <w:tc>
          <w:tcPr>
            <w:tcW w:w="1638" w:type="pct"/>
            <w:shd w:val="clear" w:color="auto" w:fill="E6E6E6"/>
          </w:tcPr>
          <w:p w14:paraId="6CC710CF" w14:textId="77777777" w:rsidR="00432B5D" w:rsidRPr="001845B6" w:rsidRDefault="00432B5D" w:rsidP="007563F9">
            <w:pPr>
              <w:keepNext/>
              <w:keepLines/>
              <w:rPr>
                <w:b/>
                <w:sz w:val="22"/>
                <w:szCs w:val="22"/>
              </w:rPr>
            </w:pPr>
            <w:r w:rsidRPr="001845B6">
              <w:rPr>
                <w:b/>
                <w:sz w:val="22"/>
                <w:szCs w:val="22"/>
              </w:rPr>
              <w:t>Short description</w:t>
            </w:r>
          </w:p>
        </w:tc>
        <w:tc>
          <w:tcPr>
            <w:tcW w:w="702" w:type="pct"/>
            <w:shd w:val="clear" w:color="auto" w:fill="E6E6E6"/>
          </w:tcPr>
          <w:p w14:paraId="2BDCBAF4" w14:textId="77777777" w:rsidR="00432B5D" w:rsidRPr="001845B6" w:rsidRDefault="00432B5D" w:rsidP="007563F9">
            <w:pPr>
              <w:keepNext/>
              <w:keepLines/>
              <w:rPr>
                <w:b/>
                <w:sz w:val="22"/>
                <w:szCs w:val="22"/>
              </w:rPr>
            </w:pPr>
            <w:r w:rsidRPr="001845B6">
              <w:rPr>
                <w:b/>
                <w:sz w:val="22"/>
                <w:szCs w:val="22"/>
              </w:rPr>
              <w:t>Planned start date</w:t>
            </w:r>
          </w:p>
        </w:tc>
        <w:tc>
          <w:tcPr>
            <w:tcW w:w="703" w:type="pct"/>
            <w:shd w:val="clear" w:color="auto" w:fill="E6E6E6"/>
          </w:tcPr>
          <w:p w14:paraId="4DFCFB48" w14:textId="77777777" w:rsidR="00432B5D" w:rsidRPr="001845B6" w:rsidRDefault="00432B5D" w:rsidP="007563F9">
            <w:pPr>
              <w:keepNext/>
              <w:keepLines/>
              <w:rPr>
                <w:b/>
                <w:sz w:val="22"/>
                <w:szCs w:val="22"/>
              </w:rPr>
            </w:pPr>
            <w:r w:rsidRPr="001845B6">
              <w:rPr>
                <w:b/>
                <w:sz w:val="22"/>
                <w:szCs w:val="22"/>
              </w:rPr>
              <w:t>Planned end date</w:t>
            </w:r>
          </w:p>
        </w:tc>
        <w:tc>
          <w:tcPr>
            <w:tcW w:w="803" w:type="pct"/>
            <w:shd w:val="clear" w:color="auto" w:fill="E6E6E6"/>
          </w:tcPr>
          <w:p w14:paraId="7D40CE6C" w14:textId="77777777" w:rsidR="00432B5D" w:rsidRPr="001845B6" w:rsidRDefault="00432B5D" w:rsidP="007563F9">
            <w:pPr>
              <w:keepNext/>
              <w:keepLines/>
              <w:rPr>
                <w:b/>
                <w:sz w:val="22"/>
                <w:szCs w:val="22"/>
              </w:rPr>
            </w:pPr>
            <w:r w:rsidRPr="001845B6">
              <w:rPr>
                <w:b/>
                <w:bCs/>
                <w:spacing w:val="4"/>
                <w:sz w:val="22"/>
                <w:szCs w:val="22"/>
                <w:lang w:eastAsia="en-US"/>
              </w:rPr>
              <w:t>Dependent on projects</w:t>
            </w:r>
          </w:p>
        </w:tc>
      </w:tr>
      <w:tr w:rsidR="001845B6" w:rsidRPr="001E7293" w14:paraId="67AE25C8" w14:textId="77777777" w:rsidTr="006B4750">
        <w:trPr>
          <w:cantSplit/>
        </w:trPr>
        <w:tc>
          <w:tcPr>
            <w:tcW w:w="296" w:type="pct"/>
          </w:tcPr>
          <w:p w14:paraId="29FA3ED6" w14:textId="77777777" w:rsidR="00432B5D" w:rsidRPr="001E7293" w:rsidRDefault="00432B5D" w:rsidP="007563F9">
            <w:pPr>
              <w:keepNext/>
              <w:keepLines/>
            </w:pPr>
            <w:r w:rsidRPr="001E7293">
              <w:t>1</w:t>
            </w:r>
          </w:p>
        </w:tc>
        <w:tc>
          <w:tcPr>
            <w:tcW w:w="858" w:type="pct"/>
          </w:tcPr>
          <w:p w14:paraId="00495616" w14:textId="77777777" w:rsidR="00432B5D" w:rsidRPr="001E7293" w:rsidRDefault="001845B6" w:rsidP="007563F9">
            <w:pPr>
              <w:keepNext/>
              <w:keepLines/>
            </w:pPr>
            <w:r>
              <w:t>Universal Access to Kindergarten at school</w:t>
            </w:r>
          </w:p>
        </w:tc>
        <w:tc>
          <w:tcPr>
            <w:tcW w:w="1638" w:type="pct"/>
          </w:tcPr>
          <w:p w14:paraId="18784244" w14:textId="77777777" w:rsidR="00432B5D" w:rsidRPr="001E7293" w:rsidRDefault="001845B6" w:rsidP="007563F9">
            <w:pPr>
              <w:keepNext/>
              <w:keepLines/>
            </w:pPr>
            <w:r>
              <w:t>Provide funding for public and non-government schools to continue to offer 600 hours of Kindergarten, free of compulsory charges in public schools and significantly subsidised (over 75 per cent of costs) in non-government schools.</w:t>
            </w:r>
          </w:p>
        </w:tc>
        <w:tc>
          <w:tcPr>
            <w:tcW w:w="702" w:type="pct"/>
          </w:tcPr>
          <w:p w14:paraId="5892EDFD" w14:textId="77777777" w:rsidR="00432B5D" w:rsidRPr="001E7293" w:rsidRDefault="001845B6" w:rsidP="007563F9">
            <w:pPr>
              <w:keepNext/>
              <w:keepLines/>
            </w:pPr>
            <w:r>
              <w:t xml:space="preserve">1 January 2018 </w:t>
            </w:r>
          </w:p>
        </w:tc>
        <w:tc>
          <w:tcPr>
            <w:tcW w:w="703" w:type="pct"/>
          </w:tcPr>
          <w:p w14:paraId="17C0EF77" w14:textId="69726109" w:rsidR="00432B5D" w:rsidRPr="001E7293" w:rsidRDefault="001845B6" w:rsidP="00D35CFF">
            <w:pPr>
              <w:keepNext/>
              <w:keepLines/>
            </w:pPr>
            <w:r>
              <w:t xml:space="preserve">31 December </w:t>
            </w:r>
            <w:r w:rsidR="00D35CFF">
              <w:t xml:space="preserve">2020 </w:t>
            </w:r>
          </w:p>
        </w:tc>
        <w:tc>
          <w:tcPr>
            <w:tcW w:w="803" w:type="pct"/>
          </w:tcPr>
          <w:p w14:paraId="5FAF6B24" w14:textId="77777777" w:rsidR="00432B5D" w:rsidRPr="001E7293" w:rsidRDefault="001845B6" w:rsidP="007563F9">
            <w:pPr>
              <w:keepNext/>
              <w:keepLines/>
            </w:pPr>
            <w:r>
              <w:t>NA</w:t>
            </w:r>
          </w:p>
        </w:tc>
      </w:tr>
      <w:tr w:rsidR="001845B6" w:rsidRPr="001E7293" w14:paraId="6F8445A2" w14:textId="77777777" w:rsidTr="006B4750">
        <w:trPr>
          <w:cantSplit/>
        </w:trPr>
        <w:tc>
          <w:tcPr>
            <w:tcW w:w="296" w:type="pct"/>
          </w:tcPr>
          <w:p w14:paraId="1EEC6477" w14:textId="77777777" w:rsidR="00432B5D" w:rsidRPr="001E7293" w:rsidRDefault="00432B5D" w:rsidP="007563F9">
            <w:pPr>
              <w:keepNext/>
              <w:keepLines/>
            </w:pPr>
            <w:r w:rsidRPr="001E7293">
              <w:t>2</w:t>
            </w:r>
          </w:p>
        </w:tc>
        <w:tc>
          <w:tcPr>
            <w:tcW w:w="858" w:type="pct"/>
          </w:tcPr>
          <w:p w14:paraId="6DD6F7E7" w14:textId="77777777" w:rsidR="00432B5D" w:rsidRPr="001E7293" w:rsidRDefault="001845B6" w:rsidP="007563F9">
            <w:pPr>
              <w:keepNext/>
              <w:keepLines/>
            </w:pPr>
            <w:proofErr w:type="spellStart"/>
            <w:r>
              <w:t>KindiLink</w:t>
            </w:r>
            <w:proofErr w:type="spellEnd"/>
            <w:r>
              <w:t xml:space="preserve"> </w:t>
            </w:r>
          </w:p>
        </w:tc>
        <w:tc>
          <w:tcPr>
            <w:tcW w:w="1638" w:type="pct"/>
          </w:tcPr>
          <w:p w14:paraId="6AF14E7A" w14:textId="77777777" w:rsidR="00432B5D" w:rsidRDefault="001845B6" w:rsidP="007563F9">
            <w:pPr>
              <w:keepNext/>
              <w:keepLines/>
            </w:pPr>
            <w:r>
              <w:t xml:space="preserve">To enhance </w:t>
            </w:r>
            <w:r w:rsidR="00DA25BC">
              <w:t>Aboriginal</w:t>
            </w:r>
            <w:r>
              <w:t xml:space="preserve"> children’s transition to Kindergarten at school, the </w:t>
            </w:r>
            <w:proofErr w:type="spellStart"/>
            <w:r>
              <w:t>KindiLink</w:t>
            </w:r>
            <w:proofErr w:type="spellEnd"/>
            <w:r>
              <w:t xml:space="preserve"> program provides three year olds (and parent-caregiver) with supported playgroup sessions for six hours per week, jointly delivered by a teacher and an </w:t>
            </w:r>
            <w:r w:rsidR="00DA25BC">
              <w:t>Aboriginal</w:t>
            </w:r>
            <w:r>
              <w:t xml:space="preserve"> </w:t>
            </w:r>
            <w:r w:rsidR="00D77ED8">
              <w:t>Islander Education Officer</w:t>
            </w:r>
            <w:r>
              <w:t xml:space="preserve">.  </w:t>
            </w:r>
          </w:p>
          <w:p w14:paraId="465C9E5F" w14:textId="77777777" w:rsidR="001845B6" w:rsidRPr="001E7293" w:rsidRDefault="001845B6" w:rsidP="007563F9">
            <w:pPr>
              <w:keepNext/>
              <w:keepLines/>
            </w:pPr>
            <w:proofErr w:type="spellStart"/>
            <w:r>
              <w:t>KindiLink</w:t>
            </w:r>
            <w:proofErr w:type="spellEnd"/>
            <w:r>
              <w:t xml:space="preserve"> operates across </w:t>
            </w:r>
            <w:r w:rsidRPr="00FC1A21">
              <w:t>38</w:t>
            </w:r>
            <w:r>
              <w:t xml:space="preserve"> public schools which have a high number and proportion of </w:t>
            </w:r>
            <w:r w:rsidR="00DA25BC">
              <w:t>Aboriginal</w:t>
            </w:r>
            <w:r>
              <w:t xml:space="preserve"> enrolments – eight of which are in remote localities.</w:t>
            </w:r>
          </w:p>
        </w:tc>
        <w:tc>
          <w:tcPr>
            <w:tcW w:w="702" w:type="pct"/>
          </w:tcPr>
          <w:p w14:paraId="6A348CAF" w14:textId="77777777" w:rsidR="00432B5D" w:rsidRPr="001E7293" w:rsidRDefault="00222B2C" w:rsidP="007563F9">
            <w:pPr>
              <w:keepNext/>
              <w:keepLines/>
            </w:pPr>
            <w:r>
              <w:t>1 January 2018</w:t>
            </w:r>
          </w:p>
        </w:tc>
        <w:tc>
          <w:tcPr>
            <w:tcW w:w="703" w:type="pct"/>
          </w:tcPr>
          <w:p w14:paraId="7D05FE2C" w14:textId="1FC0CD81" w:rsidR="00432B5D" w:rsidRPr="001E7293" w:rsidRDefault="00222B2C" w:rsidP="00D35CFF">
            <w:pPr>
              <w:keepNext/>
              <w:keepLines/>
            </w:pPr>
            <w:r>
              <w:t xml:space="preserve">31 December </w:t>
            </w:r>
            <w:r w:rsidR="00D35CFF">
              <w:t>2020</w:t>
            </w:r>
          </w:p>
        </w:tc>
        <w:tc>
          <w:tcPr>
            <w:tcW w:w="803" w:type="pct"/>
          </w:tcPr>
          <w:p w14:paraId="69F4CDB3" w14:textId="77777777" w:rsidR="00432B5D" w:rsidRPr="001E7293" w:rsidRDefault="00222B2C" w:rsidP="007563F9">
            <w:pPr>
              <w:keepNext/>
              <w:keepLines/>
            </w:pPr>
            <w:r>
              <w:t>NA</w:t>
            </w:r>
          </w:p>
        </w:tc>
      </w:tr>
    </w:tbl>
    <w:p w14:paraId="4070507D" w14:textId="77777777" w:rsidR="006B4750" w:rsidRDefault="006B4750">
      <w: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521"/>
        <w:gridCol w:w="2903"/>
        <w:gridCol w:w="1244"/>
        <w:gridCol w:w="1246"/>
        <w:gridCol w:w="1423"/>
      </w:tblGrid>
      <w:tr w:rsidR="006B4750" w:rsidRPr="001E7293" w14:paraId="6C4DFFA1" w14:textId="77777777" w:rsidTr="00911F1D">
        <w:trPr>
          <w:cantSplit/>
        </w:trPr>
        <w:tc>
          <w:tcPr>
            <w:tcW w:w="296" w:type="pct"/>
            <w:shd w:val="clear" w:color="auto" w:fill="E6E6E6"/>
          </w:tcPr>
          <w:p w14:paraId="2FCC8FF9" w14:textId="77777777" w:rsidR="006B4750" w:rsidRPr="001845B6" w:rsidRDefault="006B4750" w:rsidP="00911F1D">
            <w:pPr>
              <w:keepNext/>
              <w:keepLines/>
              <w:rPr>
                <w:b/>
                <w:sz w:val="22"/>
                <w:szCs w:val="22"/>
              </w:rPr>
            </w:pPr>
            <w:r w:rsidRPr="001845B6">
              <w:rPr>
                <w:b/>
                <w:sz w:val="22"/>
                <w:szCs w:val="22"/>
              </w:rPr>
              <w:lastRenderedPageBreak/>
              <w:t>No</w:t>
            </w:r>
          </w:p>
        </w:tc>
        <w:tc>
          <w:tcPr>
            <w:tcW w:w="858" w:type="pct"/>
            <w:shd w:val="clear" w:color="auto" w:fill="E6E6E6"/>
          </w:tcPr>
          <w:p w14:paraId="55BBFEA6" w14:textId="77777777" w:rsidR="006B4750" w:rsidRPr="001845B6" w:rsidRDefault="006B4750" w:rsidP="00911F1D">
            <w:pPr>
              <w:keepNext/>
              <w:keepLines/>
              <w:rPr>
                <w:b/>
                <w:sz w:val="22"/>
                <w:szCs w:val="22"/>
              </w:rPr>
            </w:pPr>
            <w:r w:rsidRPr="001845B6">
              <w:rPr>
                <w:b/>
                <w:sz w:val="22"/>
                <w:szCs w:val="22"/>
              </w:rPr>
              <w:t>Title</w:t>
            </w:r>
          </w:p>
        </w:tc>
        <w:tc>
          <w:tcPr>
            <w:tcW w:w="1638" w:type="pct"/>
            <w:shd w:val="clear" w:color="auto" w:fill="E6E6E6"/>
          </w:tcPr>
          <w:p w14:paraId="2825132D" w14:textId="77777777" w:rsidR="006B4750" w:rsidRPr="001845B6" w:rsidRDefault="006B4750" w:rsidP="00911F1D">
            <w:pPr>
              <w:keepNext/>
              <w:keepLines/>
              <w:rPr>
                <w:b/>
                <w:sz w:val="22"/>
                <w:szCs w:val="22"/>
              </w:rPr>
            </w:pPr>
            <w:r w:rsidRPr="001845B6">
              <w:rPr>
                <w:b/>
                <w:sz w:val="22"/>
                <w:szCs w:val="22"/>
              </w:rPr>
              <w:t>Short description</w:t>
            </w:r>
          </w:p>
        </w:tc>
        <w:tc>
          <w:tcPr>
            <w:tcW w:w="702" w:type="pct"/>
            <w:shd w:val="clear" w:color="auto" w:fill="E6E6E6"/>
          </w:tcPr>
          <w:p w14:paraId="315D7C44" w14:textId="77777777" w:rsidR="006B4750" w:rsidRPr="001845B6" w:rsidRDefault="006B4750" w:rsidP="00911F1D">
            <w:pPr>
              <w:keepNext/>
              <w:keepLines/>
              <w:rPr>
                <w:b/>
                <w:sz w:val="22"/>
                <w:szCs w:val="22"/>
              </w:rPr>
            </w:pPr>
            <w:r w:rsidRPr="001845B6">
              <w:rPr>
                <w:b/>
                <w:sz w:val="22"/>
                <w:szCs w:val="22"/>
              </w:rPr>
              <w:t>Planned start date</w:t>
            </w:r>
          </w:p>
        </w:tc>
        <w:tc>
          <w:tcPr>
            <w:tcW w:w="703" w:type="pct"/>
            <w:shd w:val="clear" w:color="auto" w:fill="E6E6E6"/>
          </w:tcPr>
          <w:p w14:paraId="6A750B27" w14:textId="77777777" w:rsidR="006B4750" w:rsidRPr="001845B6" w:rsidRDefault="006B4750" w:rsidP="00911F1D">
            <w:pPr>
              <w:keepNext/>
              <w:keepLines/>
              <w:rPr>
                <w:b/>
                <w:sz w:val="22"/>
                <w:szCs w:val="22"/>
              </w:rPr>
            </w:pPr>
            <w:r w:rsidRPr="001845B6">
              <w:rPr>
                <w:b/>
                <w:sz w:val="22"/>
                <w:szCs w:val="22"/>
              </w:rPr>
              <w:t>Planned end date</w:t>
            </w:r>
          </w:p>
        </w:tc>
        <w:tc>
          <w:tcPr>
            <w:tcW w:w="803" w:type="pct"/>
            <w:shd w:val="clear" w:color="auto" w:fill="E6E6E6"/>
          </w:tcPr>
          <w:p w14:paraId="2739B7D4" w14:textId="77777777" w:rsidR="006B4750" w:rsidRPr="001845B6" w:rsidRDefault="006B4750" w:rsidP="00911F1D">
            <w:pPr>
              <w:keepNext/>
              <w:keepLines/>
              <w:rPr>
                <w:b/>
                <w:sz w:val="22"/>
                <w:szCs w:val="22"/>
              </w:rPr>
            </w:pPr>
            <w:r w:rsidRPr="001845B6">
              <w:rPr>
                <w:b/>
                <w:bCs/>
                <w:spacing w:val="4"/>
                <w:sz w:val="22"/>
                <w:szCs w:val="22"/>
                <w:lang w:eastAsia="en-US"/>
              </w:rPr>
              <w:t>Dependent on projects</w:t>
            </w:r>
          </w:p>
        </w:tc>
      </w:tr>
      <w:tr w:rsidR="001845B6" w:rsidRPr="001E7293" w14:paraId="37647649" w14:textId="77777777" w:rsidTr="006B4750">
        <w:trPr>
          <w:cantSplit/>
        </w:trPr>
        <w:tc>
          <w:tcPr>
            <w:tcW w:w="296" w:type="pct"/>
          </w:tcPr>
          <w:p w14:paraId="0754A580" w14:textId="77777777" w:rsidR="00432B5D" w:rsidRPr="001E7293" w:rsidRDefault="000E3162" w:rsidP="007563F9">
            <w:pPr>
              <w:keepNext/>
              <w:keepLines/>
            </w:pPr>
            <w:r>
              <w:t>3</w:t>
            </w:r>
          </w:p>
        </w:tc>
        <w:tc>
          <w:tcPr>
            <w:tcW w:w="858" w:type="pct"/>
          </w:tcPr>
          <w:p w14:paraId="555DC317" w14:textId="77777777" w:rsidR="00432B5D" w:rsidRPr="001E7293" w:rsidRDefault="00222B2C" w:rsidP="007563F9">
            <w:pPr>
              <w:keepNext/>
              <w:keepLines/>
            </w:pPr>
            <w:r>
              <w:t xml:space="preserve">Community Based Playgroups </w:t>
            </w:r>
          </w:p>
        </w:tc>
        <w:tc>
          <w:tcPr>
            <w:tcW w:w="1638" w:type="pct"/>
          </w:tcPr>
          <w:p w14:paraId="09122DEA" w14:textId="77777777" w:rsidR="00432B5D" w:rsidRPr="001E7293" w:rsidRDefault="00222B2C" w:rsidP="007563F9">
            <w:pPr>
              <w:keepNext/>
              <w:keepLines/>
            </w:pPr>
            <w:r>
              <w:t xml:space="preserve">Establish additional community-based </w:t>
            </w:r>
            <w:r w:rsidR="00617387">
              <w:t xml:space="preserve">playgroups on or near school sites – a universal strategy to enhance transition to Kindergarten at school. </w:t>
            </w:r>
          </w:p>
        </w:tc>
        <w:tc>
          <w:tcPr>
            <w:tcW w:w="702" w:type="pct"/>
          </w:tcPr>
          <w:p w14:paraId="19781458" w14:textId="77777777" w:rsidR="00432B5D" w:rsidRPr="001E7293" w:rsidRDefault="00617387" w:rsidP="007563F9">
            <w:pPr>
              <w:keepNext/>
              <w:keepLines/>
            </w:pPr>
            <w:r>
              <w:t>1 January 2018</w:t>
            </w:r>
          </w:p>
        </w:tc>
        <w:tc>
          <w:tcPr>
            <w:tcW w:w="703" w:type="pct"/>
          </w:tcPr>
          <w:p w14:paraId="2EB13F7F" w14:textId="2505FF6F" w:rsidR="00432B5D" w:rsidRPr="001E7293" w:rsidRDefault="00617387" w:rsidP="00D35CFF">
            <w:pPr>
              <w:keepNext/>
              <w:keepLines/>
            </w:pPr>
            <w:r>
              <w:t xml:space="preserve">31 December </w:t>
            </w:r>
            <w:r w:rsidR="00D35CFF">
              <w:t>2020</w:t>
            </w:r>
          </w:p>
        </w:tc>
        <w:tc>
          <w:tcPr>
            <w:tcW w:w="803" w:type="pct"/>
          </w:tcPr>
          <w:p w14:paraId="60DDC892" w14:textId="77777777" w:rsidR="00432B5D" w:rsidRPr="001E7293" w:rsidRDefault="00617387" w:rsidP="007563F9">
            <w:pPr>
              <w:keepNext/>
              <w:keepLines/>
            </w:pPr>
            <w:r>
              <w:t>NA</w:t>
            </w:r>
          </w:p>
        </w:tc>
      </w:tr>
      <w:tr w:rsidR="001845B6" w:rsidRPr="001E7293" w14:paraId="4A0BABF2" w14:textId="77777777" w:rsidTr="006B4750">
        <w:trPr>
          <w:cantSplit/>
        </w:trPr>
        <w:tc>
          <w:tcPr>
            <w:tcW w:w="296" w:type="pct"/>
          </w:tcPr>
          <w:p w14:paraId="241AA1EB" w14:textId="77777777" w:rsidR="00432B5D" w:rsidRPr="001E7293" w:rsidRDefault="00E50E90" w:rsidP="00A17D70">
            <w:r>
              <w:t>4</w:t>
            </w:r>
          </w:p>
        </w:tc>
        <w:tc>
          <w:tcPr>
            <w:tcW w:w="858" w:type="pct"/>
          </w:tcPr>
          <w:p w14:paraId="2CC26E38" w14:textId="77777777" w:rsidR="00432B5D" w:rsidRPr="001E7293" w:rsidRDefault="00617387" w:rsidP="00A17D70">
            <w:r>
              <w:t xml:space="preserve">Education and Care Networks </w:t>
            </w:r>
          </w:p>
        </w:tc>
        <w:tc>
          <w:tcPr>
            <w:tcW w:w="1638" w:type="pct"/>
          </w:tcPr>
          <w:p w14:paraId="3A0B1683" w14:textId="72B084F0" w:rsidR="00432B5D" w:rsidRPr="001E7293" w:rsidRDefault="00617387" w:rsidP="00C61937">
            <w:r>
              <w:t>Establish</w:t>
            </w:r>
            <w:r w:rsidR="008D55E7">
              <w:t xml:space="preserve"> new Education and Care Networks in 2020</w:t>
            </w:r>
            <w:r w:rsidR="00047FCB">
              <w:t>,</w:t>
            </w:r>
            <w:r>
              <w:t xml:space="preserve"> and</w:t>
            </w:r>
            <w:r w:rsidR="003428C0">
              <w:t xml:space="preserve"> </w:t>
            </w:r>
            <w:r w:rsidR="00C61937">
              <w:t>support the</w:t>
            </w:r>
            <w:r>
              <w:t xml:space="preserve"> </w:t>
            </w:r>
            <w:r w:rsidR="00C61937">
              <w:t>6</w:t>
            </w:r>
            <w:r w:rsidR="008D55E7">
              <w:t xml:space="preserve"> </w:t>
            </w:r>
            <w:r w:rsidR="00AA736D">
              <w:t>already established</w:t>
            </w:r>
            <w:r w:rsidR="00127229">
              <w:t xml:space="preserve"> </w:t>
            </w:r>
            <w:r w:rsidR="008D55E7">
              <w:t xml:space="preserve">(2018 – 2019) </w:t>
            </w:r>
            <w:r>
              <w:t>Education and Care Networks</w:t>
            </w:r>
            <w:r w:rsidR="008D55E7">
              <w:t xml:space="preserve">, </w:t>
            </w:r>
            <w:r>
              <w:t>to enhance program quality through shared professional learning (i.e. reciprocal</w:t>
            </w:r>
            <w:r w:rsidR="003428C0">
              <w:t xml:space="preserve"> site visits and shared professional learning on the NQS and EYLF for long day care centres and nearby schools)</w:t>
            </w:r>
            <w:r w:rsidR="008D55E7">
              <w:t>, and children’s transition to school</w:t>
            </w:r>
            <w:r w:rsidR="003428C0">
              <w:t>.</w:t>
            </w:r>
          </w:p>
        </w:tc>
        <w:tc>
          <w:tcPr>
            <w:tcW w:w="702" w:type="pct"/>
          </w:tcPr>
          <w:p w14:paraId="566B73F5" w14:textId="77777777" w:rsidR="00432B5D" w:rsidRPr="001E7293" w:rsidRDefault="003428C0" w:rsidP="00A17D70">
            <w:r>
              <w:t>1 January 2018</w:t>
            </w:r>
          </w:p>
        </w:tc>
        <w:tc>
          <w:tcPr>
            <w:tcW w:w="703" w:type="pct"/>
          </w:tcPr>
          <w:p w14:paraId="734C6C12" w14:textId="58E8D7DB" w:rsidR="00432B5D" w:rsidRPr="001E7293" w:rsidRDefault="003428C0" w:rsidP="00D35CFF">
            <w:r>
              <w:t xml:space="preserve">31 December </w:t>
            </w:r>
            <w:r w:rsidR="00D35CFF">
              <w:t>2020</w:t>
            </w:r>
          </w:p>
        </w:tc>
        <w:tc>
          <w:tcPr>
            <w:tcW w:w="803" w:type="pct"/>
          </w:tcPr>
          <w:p w14:paraId="55DAE839" w14:textId="77777777" w:rsidR="00432B5D" w:rsidRPr="001E7293" w:rsidRDefault="003428C0" w:rsidP="00A17D70">
            <w:r>
              <w:t>NA</w:t>
            </w:r>
          </w:p>
        </w:tc>
      </w:tr>
      <w:tr w:rsidR="00617387" w:rsidRPr="001E7293" w14:paraId="60A72181" w14:textId="77777777" w:rsidTr="006B4750">
        <w:trPr>
          <w:cantSplit/>
        </w:trPr>
        <w:tc>
          <w:tcPr>
            <w:tcW w:w="296" w:type="pct"/>
          </w:tcPr>
          <w:p w14:paraId="3CD04991" w14:textId="77777777" w:rsidR="00617387" w:rsidRPr="001E7293" w:rsidRDefault="00E50E90" w:rsidP="00A17D70">
            <w:r>
              <w:t>5</w:t>
            </w:r>
          </w:p>
        </w:tc>
        <w:tc>
          <w:tcPr>
            <w:tcW w:w="858" w:type="pct"/>
          </w:tcPr>
          <w:p w14:paraId="1DA313AC" w14:textId="77777777" w:rsidR="00617387" w:rsidRDefault="00AA736D" w:rsidP="00A17D70">
            <w:r>
              <w:t>Consolidate Program Quality (NQS)</w:t>
            </w:r>
          </w:p>
        </w:tc>
        <w:tc>
          <w:tcPr>
            <w:tcW w:w="1638" w:type="pct"/>
          </w:tcPr>
          <w:p w14:paraId="143678B7" w14:textId="77777777" w:rsidR="00617387" w:rsidRDefault="00AA736D" w:rsidP="00A17D70">
            <w:r>
              <w:t xml:space="preserve">Ongoing professional learning in the early years of schooling in all public and non-government </w:t>
            </w:r>
            <w:r w:rsidR="00BA2B07">
              <w:t xml:space="preserve">schools, including any changes arising from streamlining the NQS. </w:t>
            </w:r>
          </w:p>
        </w:tc>
        <w:tc>
          <w:tcPr>
            <w:tcW w:w="702" w:type="pct"/>
          </w:tcPr>
          <w:p w14:paraId="08C1C60C" w14:textId="77777777" w:rsidR="00617387" w:rsidRPr="001E7293" w:rsidRDefault="00BA2B07" w:rsidP="00A17D70">
            <w:r>
              <w:t>1 January 2018</w:t>
            </w:r>
          </w:p>
        </w:tc>
        <w:tc>
          <w:tcPr>
            <w:tcW w:w="703" w:type="pct"/>
          </w:tcPr>
          <w:p w14:paraId="0CD76B5E" w14:textId="2B791807" w:rsidR="00617387" w:rsidRPr="001E7293" w:rsidRDefault="00BA2B07" w:rsidP="00D35CFF">
            <w:r>
              <w:t xml:space="preserve">31 December </w:t>
            </w:r>
            <w:r w:rsidR="00D35CFF">
              <w:t>2020</w:t>
            </w:r>
          </w:p>
        </w:tc>
        <w:tc>
          <w:tcPr>
            <w:tcW w:w="803" w:type="pct"/>
          </w:tcPr>
          <w:p w14:paraId="3F3EA0AF" w14:textId="77777777" w:rsidR="00617387" w:rsidRPr="001E7293" w:rsidRDefault="00BA2B07" w:rsidP="00A17D70">
            <w:r>
              <w:t>NA</w:t>
            </w:r>
          </w:p>
        </w:tc>
      </w:tr>
    </w:tbl>
    <w:p w14:paraId="06BD3A18" w14:textId="77777777" w:rsidR="006B4750" w:rsidRDefault="006B4750" w:rsidP="006B4750">
      <w:pPr>
        <w:pStyle w:val="Normalnumbered"/>
        <w:numPr>
          <w:ilvl w:val="0"/>
          <w:numId w:val="0"/>
        </w:numPr>
        <w:spacing w:before="120" w:after="240"/>
        <w:ind w:left="567" w:hanging="567"/>
      </w:pPr>
    </w:p>
    <w:p w14:paraId="246A513C" w14:textId="77777777" w:rsidR="003E21B2" w:rsidRPr="001E7293" w:rsidRDefault="00407A6B" w:rsidP="00C75F63">
      <w:pPr>
        <w:pStyle w:val="Normalnumbered"/>
        <w:spacing w:before="120" w:after="240"/>
      </w:pPr>
      <w:r w:rsidRPr="001E7293">
        <w:t>As required by clause 2</w:t>
      </w:r>
      <w:r w:rsidR="001A7549">
        <w:t>2</w:t>
      </w:r>
      <w:r w:rsidRPr="001E7293">
        <w:t xml:space="preserve"> (d) of the National Partnership, the following strategies are to ensure that funding is directed to support participation by all children in all </w:t>
      </w:r>
      <w:r w:rsidR="000B36D5" w:rsidRPr="001E7293">
        <w:t>quality e</w:t>
      </w:r>
      <w:r w:rsidR="003A24B9" w:rsidRPr="001E7293">
        <w:t>ar</w:t>
      </w:r>
      <w:r w:rsidR="000B36D5" w:rsidRPr="001E7293">
        <w:t xml:space="preserve">ly childhood education </w:t>
      </w:r>
      <w:r w:rsidR="007B4BA6" w:rsidRPr="001E7293">
        <w:t>program</w:t>
      </w:r>
      <w:r w:rsidR="000B36D5" w:rsidRPr="001E7293">
        <w:t>s</w:t>
      </w:r>
      <w:r w:rsidRPr="001E7293">
        <w:t xml:space="preserve">, regardless of whether </w:t>
      </w:r>
      <w:r w:rsidR="007B4BA6" w:rsidRPr="001E7293">
        <w:t>program</w:t>
      </w:r>
      <w:r w:rsidRPr="001E7293">
        <w:t xml:space="preserve">s are delivered through schools (government and non-government), standalone preschools or long day care </w:t>
      </w:r>
      <w:r w:rsidR="00A00BCE">
        <w:t xml:space="preserve">(LDC) </w:t>
      </w:r>
      <w:r w:rsidRPr="001E7293">
        <w:t>centres.</w:t>
      </w:r>
      <w:r w:rsidR="00C75F63">
        <w:t xml:space="preserve"> </w:t>
      </w:r>
      <w:r w:rsidR="006B4750">
        <w:t xml:space="preserve"> </w:t>
      </w:r>
      <w:r w:rsidR="00C75F63">
        <w:t>These strategies are included as project elements throughout this plan.</w:t>
      </w:r>
    </w:p>
    <w:p w14:paraId="1DBB2C36" w14:textId="77777777" w:rsidR="00124D8E" w:rsidRDefault="00124D8E" w:rsidP="001B5382">
      <w:pPr>
        <w:pStyle w:val="Normalnumbered"/>
      </w:pPr>
      <w:r w:rsidRPr="001E7293">
        <w:t xml:space="preserve">As required by clause </w:t>
      </w:r>
      <w:r w:rsidR="001A7549" w:rsidRPr="001E7293">
        <w:t>2</w:t>
      </w:r>
      <w:r w:rsidR="001A7549">
        <w:t>2</w:t>
      </w:r>
      <w:r w:rsidR="001A7549" w:rsidRPr="001E7293">
        <w:t xml:space="preserve"> </w:t>
      </w:r>
      <w:r w:rsidRPr="001E7293">
        <w:t xml:space="preserve">(e)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p>
    <w:p w14:paraId="309BDD0C" w14:textId="72A9B812" w:rsidR="00B62C0D" w:rsidRDefault="00C75F63" w:rsidP="006B4750">
      <w:pPr>
        <w:pStyle w:val="Normalnumbered"/>
        <w:numPr>
          <w:ilvl w:val="1"/>
          <w:numId w:val="9"/>
        </w:numPr>
        <w:tabs>
          <w:tab w:val="clear" w:pos="1440"/>
        </w:tabs>
        <w:spacing w:before="120"/>
        <w:ind w:left="851" w:hanging="284"/>
      </w:pPr>
      <w:r>
        <w:t xml:space="preserve">There is a lack of clarity about the nature of programmes provided to four-year olds by </w:t>
      </w:r>
      <w:r w:rsidR="00D349A0">
        <w:t xml:space="preserve">LDC </w:t>
      </w:r>
      <w:r w:rsidR="00A00BCE">
        <w:t>centres</w:t>
      </w:r>
      <w:r>
        <w:t xml:space="preserve"> in </w:t>
      </w:r>
      <w:r w:rsidR="006B4750">
        <w:t>Western Australia</w:t>
      </w:r>
      <w:r>
        <w:t xml:space="preserve"> (for more information see Western Australia Context)</w:t>
      </w:r>
      <w:r w:rsidR="00A00BCE">
        <w:t xml:space="preserve">, and whether they are </w:t>
      </w:r>
      <w:r>
        <w:t>best characterised as</w:t>
      </w:r>
      <w:r w:rsidR="00B62C0D">
        <w:t>:</w:t>
      </w:r>
    </w:p>
    <w:p w14:paraId="667BEF7F" w14:textId="77777777" w:rsidR="00B62C0D" w:rsidRDefault="00C75F63" w:rsidP="00B62C0D">
      <w:pPr>
        <w:pStyle w:val="Normalnumbered"/>
        <w:numPr>
          <w:ilvl w:val="2"/>
          <w:numId w:val="9"/>
        </w:numPr>
        <w:tabs>
          <w:tab w:val="clear" w:pos="2160"/>
        </w:tabs>
        <w:spacing w:before="120"/>
        <w:ind w:left="1134" w:hanging="283"/>
      </w:pPr>
      <w:r>
        <w:t xml:space="preserve"> </w:t>
      </w:r>
      <w:r w:rsidR="006B4750">
        <w:t>‘</w:t>
      </w:r>
      <w:r>
        <w:t>outside school hours care</w:t>
      </w:r>
      <w:r w:rsidR="006B4750">
        <w:t>’</w:t>
      </w:r>
      <w:r>
        <w:t xml:space="preserve"> </w:t>
      </w:r>
      <w:r w:rsidR="00A00BCE">
        <w:t xml:space="preserve">(OSHC) </w:t>
      </w:r>
      <w:r w:rsidR="00B62C0D">
        <w:t xml:space="preserve">- </w:t>
      </w:r>
      <w:r>
        <w:t>before/after their school based K</w:t>
      </w:r>
      <w:r w:rsidR="006A3A94">
        <w:t>indergarten sessions and</w:t>
      </w:r>
      <w:r>
        <w:t>/or on non-Kindergarten days</w:t>
      </w:r>
      <w:r w:rsidR="00B62C0D">
        <w:t>; or</w:t>
      </w:r>
    </w:p>
    <w:p w14:paraId="3B9FC8AF" w14:textId="77777777" w:rsidR="00B62C0D" w:rsidRDefault="006B4750" w:rsidP="00B62C0D">
      <w:pPr>
        <w:pStyle w:val="Normalnumbered"/>
        <w:numPr>
          <w:ilvl w:val="2"/>
          <w:numId w:val="9"/>
        </w:numPr>
        <w:tabs>
          <w:tab w:val="clear" w:pos="2160"/>
        </w:tabs>
        <w:spacing w:before="120"/>
        <w:ind w:left="1134" w:hanging="283"/>
      </w:pPr>
      <w:r>
        <w:t>‘</w:t>
      </w:r>
      <w:r w:rsidR="00C75F63">
        <w:t>Kindergarten</w:t>
      </w:r>
      <w:r>
        <w:t>’</w:t>
      </w:r>
      <w:r w:rsidR="00B62C0D">
        <w:t xml:space="preserve"> - </w:t>
      </w:r>
      <w:r w:rsidR="00C75F63">
        <w:t>delivered by a qualified early childhood teacher and chosen by families as an alternative to school-based Kindergarten</w:t>
      </w:r>
      <w:r w:rsidR="00B62C0D">
        <w:t>.</w:t>
      </w:r>
    </w:p>
    <w:p w14:paraId="7BE2AA7A" w14:textId="6879B044" w:rsidR="007F572F" w:rsidRPr="001E7293" w:rsidRDefault="00C75F63" w:rsidP="007F572F">
      <w:pPr>
        <w:pStyle w:val="Normalnumbered"/>
        <w:numPr>
          <w:ilvl w:val="0"/>
          <w:numId w:val="0"/>
        </w:numPr>
        <w:spacing w:before="120"/>
        <w:ind w:left="851"/>
      </w:pPr>
      <w:commentRangeStart w:id="1"/>
      <w:r>
        <w:lastRenderedPageBreak/>
        <w:t xml:space="preserve">This issue was </w:t>
      </w:r>
      <w:r w:rsidR="006B4750">
        <w:t>investiga</w:t>
      </w:r>
      <w:r w:rsidR="00A00BCE">
        <w:t xml:space="preserve">ted </w:t>
      </w:r>
      <w:r w:rsidR="006A3A94">
        <w:t>for</w:t>
      </w:r>
      <w:r w:rsidR="00A00BCE">
        <w:t xml:space="preserve"> National Partnership extensions</w:t>
      </w:r>
      <w:r w:rsidR="006B4750">
        <w:t xml:space="preserve"> </w:t>
      </w:r>
      <w:r w:rsidR="00DC19AA">
        <w:t>in 2015 and 2016-2017</w:t>
      </w:r>
      <w:r w:rsidR="00B903A7">
        <w:t xml:space="preserve"> </w:t>
      </w:r>
      <w:r w:rsidR="00B62C0D">
        <w:t xml:space="preserve">by surveying </w:t>
      </w:r>
      <w:r w:rsidR="00D349A0">
        <w:t xml:space="preserve">LDC </w:t>
      </w:r>
      <w:r w:rsidR="00B62C0D">
        <w:t xml:space="preserve">centres about programs provided for four year olds.  </w:t>
      </w:r>
      <w:r w:rsidR="00D349A0">
        <w:t xml:space="preserve">Each time the survey was conducted, </w:t>
      </w:r>
      <w:r w:rsidR="00B903A7">
        <w:t>response rates were low (</w:t>
      </w:r>
      <w:r w:rsidR="00D349A0">
        <w:t>25 to</w:t>
      </w:r>
      <w:r w:rsidR="00B903A7">
        <w:t xml:space="preserve"> 35 per cent)</w:t>
      </w:r>
      <w:r w:rsidR="00D349A0">
        <w:t xml:space="preserve"> and the results were inconclusive.  </w:t>
      </w:r>
      <w:r w:rsidR="00C51374">
        <w:t xml:space="preserve">Given the </w:t>
      </w:r>
      <w:r w:rsidR="007F572F" w:rsidRPr="00A67F12">
        <w:t>unique context of early childhood education policy, infrastructure and legislation in W</w:t>
      </w:r>
      <w:r w:rsidR="005F1C88">
        <w:t xml:space="preserve">estern </w:t>
      </w:r>
      <w:r w:rsidR="007F572F" w:rsidRPr="00A67F12">
        <w:t>A</w:t>
      </w:r>
      <w:r w:rsidR="005F1C88">
        <w:t>ustralia</w:t>
      </w:r>
      <w:r w:rsidR="006D6076">
        <w:t xml:space="preserve"> and the inconclusive results of previous surveys</w:t>
      </w:r>
      <w:r w:rsidR="00C51374">
        <w:t xml:space="preserve">, </w:t>
      </w:r>
      <w:r w:rsidR="006D6076">
        <w:t xml:space="preserve">an </w:t>
      </w:r>
      <w:r w:rsidR="007F572F" w:rsidRPr="00A67F12">
        <w:t>alternative approach to im</w:t>
      </w:r>
      <w:r w:rsidR="006D6076">
        <w:t>plementation of the requirement</w:t>
      </w:r>
      <w:r w:rsidR="007F572F" w:rsidRPr="00A67F12">
        <w:t xml:space="preserve"> at </w:t>
      </w:r>
      <w:r w:rsidR="007F572F">
        <w:t xml:space="preserve">clause </w:t>
      </w:r>
      <w:r w:rsidR="007F572F" w:rsidRPr="00A67F12">
        <w:t>21</w:t>
      </w:r>
      <w:r w:rsidR="007F572F">
        <w:t>(d) of the National Partnership</w:t>
      </w:r>
      <w:r w:rsidR="00C51374">
        <w:t xml:space="preserve"> is required</w:t>
      </w:r>
      <w:r w:rsidR="007F572F" w:rsidRPr="00A67F12">
        <w:t>. The approach taken is outlined at Element </w:t>
      </w:r>
      <w:r w:rsidR="007F572F">
        <w:t>4</w:t>
      </w:r>
      <w:r w:rsidR="007F572F" w:rsidRPr="00A67F12">
        <w:t xml:space="preserve">: Education and Care Networks whereby shared professional learning for educators in </w:t>
      </w:r>
      <w:r w:rsidR="007F572F">
        <w:t>LDC</w:t>
      </w:r>
      <w:r w:rsidR="007F572F" w:rsidRPr="00A67F12">
        <w:t xml:space="preserve"> centres and schools will be funded through this </w:t>
      </w:r>
      <w:commentRangeStart w:id="2"/>
      <w:r w:rsidR="007F572F" w:rsidRPr="00A67F12">
        <w:t>National Partnership.</w:t>
      </w:r>
      <w:commentRangeEnd w:id="1"/>
      <w:r w:rsidR="00981761">
        <w:rPr>
          <w:rStyle w:val="CommentReference"/>
        </w:rPr>
        <w:commentReference w:id="1"/>
      </w:r>
      <w:commentRangeEnd w:id="2"/>
      <w:r w:rsidR="00D07EAF">
        <w:rPr>
          <w:rStyle w:val="CommentReference"/>
        </w:rPr>
        <w:commentReference w:id="2"/>
      </w:r>
    </w:p>
    <w:p w14:paraId="41B30068" w14:textId="77777777" w:rsidR="003E21B2" w:rsidRPr="001E7293" w:rsidRDefault="003E21B2" w:rsidP="00C75F63">
      <w:pPr>
        <w:pStyle w:val="Normalnumbered"/>
        <w:numPr>
          <w:ilvl w:val="0"/>
          <w:numId w:val="0"/>
        </w:numPr>
        <w:ind w:left="567" w:hanging="567"/>
      </w:pPr>
    </w:p>
    <w:p w14:paraId="0B2379D0" w14:textId="77777777" w:rsidR="008A1747" w:rsidRPr="001E7293" w:rsidRDefault="008A1747" w:rsidP="00A17D70">
      <w:pPr>
        <w:pStyle w:val="Heading2"/>
      </w:pPr>
      <w:r w:rsidRPr="001E7293">
        <w:t>Estimated costs</w:t>
      </w:r>
    </w:p>
    <w:p w14:paraId="6B04E6D8" w14:textId="1948B35A" w:rsidR="008A1747" w:rsidRPr="001E7293" w:rsidRDefault="008A1747" w:rsidP="008A1747">
      <w:pPr>
        <w:pStyle w:val="Normalnumbered"/>
        <w:spacing w:after="240" w:line="260" w:lineRule="exact"/>
      </w:pPr>
      <w:r w:rsidRPr="001E7293">
        <w:t xml:space="preserve">The maximum financial contribution to be provided by the Commonwealth for the project </w:t>
      </w:r>
      <w:r w:rsidR="00F06A27">
        <w:t>for 2018</w:t>
      </w:r>
      <w:r w:rsidR="005176AC">
        <w:t xml:space="preserve"> </w:t>
      </w:r>
      <w:r w:rsidR="001D6717">
        <w:t xml:space="preserve">to </w:t>
      </w:r>
      <w:r w:rsidR="00676AC5">
        <w:t xml:space="preserve">2020 </w:t>
      </w:r>
      <w:r w:rsidRPr="001E7293">
        <w:t>to the jurisdiction is</w:t>
      </w:r>
      <w:r w:rsidR="00FE2529">
        <w:t xml:space="preserve"> </w:t>
      </w:r>
      <w:r w:rsidR="00F666FE">
        <w:t>$</w:t>
      </w:r>
      <w:r w:rsidR="00174506">
        <w:t xml:space="preserve"> </w:t>
      </w:r>
      <w:r w:rsidR="00D1284E">
        <w:t>139.6</w:t>
      </w:r>
      <w:r w:rsidR="00F666FE">
        <w:t xml:space="preserve"> million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3618D4D8" w14:textId="77777777" w:rsidR="008A1747" w:rsidRPr="001E7293" w:rsidRDefault="008A1747" w:rsidP="008A1747">
      <w:pPr>
        <w:pStyle w:val="Normalnumbered"/>
        <w:spacing w:after="240" w:line="260" w:lineRule="exact"/>
      </w:pPr>
      <w:r w:rsidRPr="001E7293">
        <w:t xml:space="preserve">The estimated overall budget (exclusive of GST) is set out in Table 2. </w:t>
      </w:r>
      <w:r w:rsidR="00F06A27">
        <w:t xml:space="preserve"> </w:t>
      </w:r>
      <w:r w:rsidRPr="001E7293">
        <w:t xml:space="preserve">The budget is indicative only and </w:t>
      </w:r>
      <w:r w:rsidR="00F36768">
        <w:t>Western Australia</w:t>
      </w:r>
      <w:r w:rsidRPr="001E7293">
        <w:t xml:space="preserve"> retains the flexibility to move funds between components and/or years, as long as outcomes are not affected.  The Commonwealth contribution can only be moved between years with the agreement of the Commonwealth.</w:t>
      </w:r>
    </w:p>
    <w:p w14:paraId="71AA3D5B" w14:textId="77777777" w:rsidR="00477D73" w:rsidRDefault="00477D73" w:rsidP="00DD1CE5">
      <w:pPr>
        <w:rPr>
          <w:rFonts w:cs="Arial"/>
          <w:b/>
          <w:bCs/>
          <w:iCs/>
          <w:color w:val="3D4B67"/>
          <w:sz w:val="16"/>
          <w:szCs w:val="16"/>
          <w:lang w:val="en-GB"/>
        </w:rPr>
      </w:pPr>
    </w:p>
    <w:p w14:paraId="2B00B290" w14:textId="77777777" w:rsidR="00477D73" w:rsidRPr="001E7293" w:rsidRDefault="00477D73" w:rsidP="00477D73">
      <w:pPr>
        <w:pStyle w:val="Heading3"/>
        <w:spacing w:before="0" w:after="120"/>
        <w:rPr>
          <w:i/>
        </w:rPr>
      </w:pPr>
      <w:commentRangeStart w:id="3"/>
      <w:r w:rsidRPr="001E7293">
        <w:t>Table 2: Estimated financial contributions</w:t>
      </w:r>
      <w:commentRangeEnd w:id="3"/>
      <w:r w:rsidR="00300842">
        <w:rPr>
          <w:rStyle w:val="CommentReference"/>
          <w:rFonts w:ascii="Corbel" w:hAnsi="Corbel"/>
          <w:b w:val="0"/>
          <w:color w:val="000000" w:themeColor="text1"/>
        </w:rPr>
        <w:commentReference w:id="3"/>
      </w:r>
    </w:p>
    <w:tbl>
      <w:tblPr>
        <w:tblW w:w="0" w:type="auto"/>
        <w:tblBorders>
          <w:top w:val="single" w:sz="4" w:space="0" w:color="000080"/>
          <w:bottom w:val="single" w:sz="4" w:space="0" w:color="000080"/>
        </w:tblBorders>
        <w:tblLook w:val="01E0" w:firstRow="1" w:lastRow="1" w:firstColumn="1" w:lastColumn="1" w:noHBand="0" w:noVBand="0"/>
      </w:tblPr>
      <w:tblGrid>
        <w:gridCol w:w="3734"/>
        <w:gridCol w:w="1034"/>
        <w:gridCol w:w="1056"/>
        <w:gridCol w:w="1063"/>
        <w:gridCol w:w="1023"/>
        <w:gridCol w:w="1160"/>
      </w:tblGrid>
      <w:tr w:rsidR="00D35CFF" w:rsidRPr="001E7293" w14:paraId="1EDEF5D0" w14:textId="77777777" w:rsidTr="00CF1456">
        <w:tc>
          <w:tcPr>
            <w:tcW w:w="3734" w:type="dxa"/>
            <w:tcBorders>
              <w:top w:val="single" w:sz="4" w:space="0" w:color="000080"/>
            </w:tcBorders>
            <w:vAlign w:val="center"/>
          </w:tcPr>
          <w:p w14:paraId="54CF045F" w14:textId="77777777" w:rsidR="00D35CFF" w:rsidRPr="001E7293" w:rsidRDefault="00D35CFF" w:rsidP="004D447C">
            <w:pPr>
              <w:keepNext/>
              <w:keepLines/>
              <w:spacing w:before="40" w:after="40"/>
              <w:jc w:val="center"/>
              <w:rPr>
                <w:b/>
                <w:bCs/>
              </w:rPr>
            </w:pPr>
            <w:r w:rsidRPr="001E7293">
              <w:rPr>
                <w:b/>
                <w:bCs/>
              </w:rPr>
              <w:t>($ million)</w:t>
            </w:r>
          </w:p>
        </w:tc>
        <w:tc>
          <w:tcPr>
            <w:tcW w:w="1034" w:type="dxa"/>
            <w:tcBorders>
              <w:top w:val="single" w:sz="4" w:space="0" w:color="000080"/>
              <w:bottom w:val="nil"/>
            </w:tcBorders>
          </w:tcPr>
          <w:p w14:paraId="24E783FC" w14:textId="77777777" w:rsidR="00D35CFF" w:rsidRPr="001E7293" w:rsidRDefault="00D35CFF" w:rsidP="00FD6BA4">
            <w:pPr>
              <w:keepNext/>
              <w:keepLines/>
              <w:spacing w:before="40" w:after="40"/>
              <w:jc w:val="center"/>
              <w:rPr>
                <w:b/>
              </w:rPr>
            </w:pPr>
            <w:r>
              <w:rPr>
                <w:b/>
              </w:rPr>
              <w:t>2017-18</w:t>
            </w:r>
          </w:p>
        </w:tc>
        <w:tc>
          <w:tcPr>
            <w:tcW w:w="1056" w:type="dxa"/>
            <w:tcBorders>
              <w:top w:val="single" w:sz="4" w:space="0" w:color="000080"/>
              <w:bottom w:val="single" w:sz="4" w:space="0" w:color="000080"/>
            </w:tcBorders>
            <w:vAlign w:val="center"/>
          </w:tcPr>
          <w:p w14:paraId="60BF1B5C" w14:textId="77777777" w:rsidR="00D35CFF" w:rsidRPr="001E7293" w:rsidRDefault="00D35CFF" w:rsidP="004D447C">
            <w:pPr>
              <w:keepNext/>
              <w:keepLines/>
              <w:spacing w:before="40" w:after="40"/>
              <w:jc w:val="center"/>
              <w:rPr>
                <w:b/>
              </w:rPr>
            </w:pPr>
            <w:r w:rsidRPr="001E7293">
              <w:rPr>
                <w:b/>
              </w:rPr>
              <w:t>201</w:t>
            </w:r>
            <w:r>
              <w:rPr>
                <w:b/>
              </w:rPr>
              <w:t>8-19</w:t>
            </w:r>
          </w:p>
        </w:tc>
        <w:tc>
          <w:tcPr>
            <w:tcW w:w="1063" w:type="dxa"/>
            <w:tcBorders>
              <w:top w:val="single" w:sz="4" w:space="0" w:color="000080"/>
              <w:bottom w:val="single" w:sz="4" w:space="0" w:color="000080"/>
            </w:tcBorders>
            <w:vAlign w:val="center"/>
          </w:tcPr>
          <w:p w14:paraId="1E8976D5" w14:textId="77777777" w:rsidR="00D35CFF" w:rsidRPr="001E7293" w:rsidRDefault="00D35CFF" w:rsidP="004D447C">
            <w:pPr>
              <w:keepNext/>
              <w:keepLines/>
              <w:spacing w:before="40" w:after="40"/>
              <w:jc w:val="center"/>
              <w:rPr>
                <w:b/>
              </w:rPr>
            </w:pPr>
            <w:r w:rsidRPr="001E7293">
              <w:rPr>
                <w:b/>
              </w:rPr>
              <w:t>201</w:t>
            </w:r>
            <w:r>
              <w:rPr>
                <w:b/>
              </w:rPr>
              <w:t>9</w:t>
            </w:r>
            <w:r w:rsidRPr="001E7293">
              <w:rPr>
                <w:b/>
              </w:rPr>
              <w:t>-</w:t>
            </w:r>
            <w:r>
              <w:rPr>
                <w:b/>
              </w:rPr>
              <w:t>20</w:t>
            </w:r>
          </w:p>
        </w:tc>
        <w:tc>
          <w:tcPr>
            <w:tcW w:w="1023" w:type="dxa"/>
            <w:tcBorders>
              <w:top w:val="single" w:sz="4" w:space="0" w:color="000080"/>
              <w:bottom w:val="single" w:sz="4" w:space="0" w:color="000080"/>
            </w:tcBorders>
          </w:tcPr>
          <w:p w14:paraId="0489900F" w14:textId="31EC4759" w:rsidR="00D35CFF" w:rsidRPr="001E7293" w:rsidRDefault="00676AC5" w:rsidP="004D447C">
            <w:pPr>
              <w:keepNext/>
              <w:keepLines/>
              <w:spacing w:before="40" w:after="40"/>
              <w:jc w:val="center"/>
              <w:rPr>
                <w:b/>
              </w:rPr>
            </w:pPr>
            <w:r>
              <w:rPr>
                <w:b/>
              </w:rPr>
              <w:t>2020-21</w:t>
            </w:r>
          </w:p>
        </w:tc>
        <w:tc>
          <w:tcPr>
            <w:tcW w:w="1160" w:type="dxa"/>
            <w:tcBorders>
              <w:top w:val="single" w:sz="4" w:space="0" w:color="000080"/>
              <w:bottom w:val="single" w:sz="4" w:space="0" w:color="000080"/>
            </w:tcBorders>
            <w:vAlign w:val="center"/>
          </w:tcPr>
          <w:p w14:paraId="1AA09E20" w14:textId="60DC7536" w:rsidR="00D35CFF" w:rsidRPr="001E7293" w:rsidRDefault="00D35CFF" w:rsidP="004D447C">
            <w:pPr>
              <w:keepNext/>
              <w:keepLines/>
              <w:spacing w:before="40" w:after="40"/>
              <w:jc w:val="center"/>
              <w:rPr>
                <w:b/>
              </w:rPr>
            </w:pPr>
            <w:r w:rsidRPr="001E7293">
              <w:rPr>
                <w:b/>
              </w:rPr>
              <w:t>Total</w:t>
            </w:r>
          </w:p>
        </w:tc>
      </w:tr>
      <w:tr w:rsidR="00D35CFF" w:rsidRPr="00D02A20" w14:paraId="3F57A9F8" w14:textId="77777777" w:rsidTr="00CF1456">
        <w:tc>
          <w:tcPr>
            <w:tcW w:w="3734" w:type="dxa"/>
          </w:tcPr>
          <w:p w14:paraId="6A88EB46" w14:textId="77777777" w:rsidR="00D35CFF" w:rsidRPr="0051757C" w:rsidRDefault="00D35CFF" w:rsidP="004D447C">
            <w:pPr>
              <w:rPr>
                <w:sz w:val="24"/>
              </w:rPr>
            </w:pPr>
            <w:r w:rsidRPr="0051757C">
              <w:t>Element 1</w:t>
            </w:r>
          </w:p>
        </w:tc>
        <w:tc>
          <w:tcPr>
            <w:tcW w:w="1034" w:type="dxa"/>
            <w:tcBorders>
              <w:top w:val="nil"/>
            </w:tcBorders>
          </w:tcPr>
          <w:p w14:paraId="21B6DDE8" w14:textId="77777777" w:rsidR="00D35CFF" w:rsidRDefault="00D35CFF" w:rsidP="00FD6BA4">
            <w:pPr>
              <w:jc w:val="right"/>
            </w:pPr>
            <w:r>
              <w:t>17.1</w:t>
            </w:r>
          </w:p>
        </w:tc>
        <w:tc>
          <w:tcPr>
            <w:tcW w:w="1056" w:type="dxa"/>
            <w:tcBorders>
              <w:top w:val="single" w:sz="4" w:space="0" w:color="000080"/>
            </w:tcBorders>
          </w:tcPr>
          <w:p w14:paraId="7F6BE252" w14:textId="77777777" w:rsidR="00D35CFF" w:rsidRPr="0051757C" w:rsidRDefault="00D35CFF" w:rsidP="004D447C">
            <w:pPr>
              <w:jc w:val="right"/>
            </w:pPr>
            <w:r>
              <w:t>38.0</w:t>
            </w:r>
          </w:p>
        </w:tc>
        <w:tc>
          <w:tcPr>
            <w:tcW w:w="1063" w:type="dxa"/>
            <w:tcBorders>
              <w:top w:val="single" w:sz="4" w:space="0" w:color="000080"/>
            </w:tcBorders>
          </w:tcPr>
          <w:p w14:paraId="68D66A35" w14:textId="35F1EC4F" w:rsidR="00D35CFF" w:rsidRPr="0051757C" w:rsidRDefault="00B67165" w:rsidP="00B67165">
            <w:pPr>
              <w:jc w:val="right"/>
            </w:pPr>
            <w:r>
              <w:t>37</w:t>
            </w:r>
          </w:p>
        </w:tc>
        <w:tc>
          <w:tcPr>
            <w:tcW w:w="1023" w:type="dxa"/>
            <w:tcBorders>
              <w:top w:val="single" w:sz="4" w:space="0" w:color="000080"/>
            </w:tcBorders>
          </w:tcPr>
          <w:p w14:paraId="34302E8D" w14:textId="5BBFE10A" w:rsidR="00D35CFF" w:rsidRDefault="00086647" w:rsidP="00B67165">
            <w:pPr>
              <w:jc w:val="right"/>
            </w:pPr>
            <w:r>
              <w:t>18.</w:t>
            </w:r>
            <w:r w:rsidR="00B67165">
              <w:t>5</w:t>
            </w:r>
          </w:p>
        </w:tc>
        <w:tc>
          <w:tcPr>
            <w:tcW w:w="1160" w:type="dxa"/>
            <w:tcBorders>
              <w:top w:val="single" w:sz="4" w:space="0" w:color="000080"/>
            </w:tcBorders>
          </w:tcPr>
          <w:p w14:paraId="04B56E5D" w14:textId="1D035A55" w:rsidR="00D35CFF" w:rsidRPr="0051757C" w:rsidRDefault="00086647" w:rsidP="00B67165">
            <w:pPr>
              <w:jc w:val="right"/>
            </w:pPr>
            <w:r>
              <w:t>110.</w:t>
            </w:r>
            <w:r w:rsidR="00B67165">
              <w:t>6</w:t>
            </w:r>
          </w:p>
        </w:tc>
      </w:tr>
      <w:tr w:rsidR="00D35CFF" w:rsidRPr="001E7293" w14:paraId="31103C46" w14:textId="77777777" w:rsidTr="00CF1456">
        <w:tc>
          <w:tcPr>
            <w:tcW w:w="3734" w:type="dxa"/>
          </w:tcPr>
          <w:p w14:paraId="2120742D" w14:textId="77777777" w:rsidR="00D35CFF" w:rsidRPr="0051757C" w:rsidRDefault="00D35CFF" w:rsidP="004D447C">
            <w:pPr>
              <w:rPr>
                <w:sz w:val="24"/>
              </w:rPr>
            </w:pPr>
            <w:r w:rsidRPr="0051757C">
              <w:t>Element 2</w:t>
            </w:r>
          </w:p>
        </w:tc>
        <w:tc>
          <w:tcPr>
            <w:tcW w:w="1034" w:type="dxa"/>
            <w:tcBorders>
              <w:bottom w:val="nil"/>
            </w:tcBorders>
          </w:tcPr>
          <w:p w14:paraId="75159718" w14:textId="77777777" w:rsidR="00D35CFF" w:rsidRDefault="00D35CFF" w:rsidP="00FD6BA4">
            <w:pPr>
              <w:jc w:val="right"/>
            </w:pPr>
            <w:r>
              <w:t>3.0</w:t>
            </w:r>
          </w:p>
        </w:tc>
        <w:tc>
          <w:tcPr>
            <w:tcW w:w="1056" w:type="dxa"/>
          </w:tcPr>
          <w:p w14:paraId="58526F20" w14:textId="77777777" w:rsidR="00D35CFF" w:rsidRPr="0051757C" w:rsidRDefault="00D35CFF" w:rsidP="004D447C">
            <w:pPr>
              <w:jc w:val="right"/>
            </w:pPr>
            <w:r>
              <w:t>6.5</w:t>
            </w:r>
          </w:p>
        </w:tc>
        <w:tc>
          <w:tcPr>
            <w:tcW w:w="1063" w:type="dxa"/>
          </w:tcPr>
          <w:p w14:paraId="6D7DFEC1" w14:textId="24AD3B3C" w:rsidR="00D35CFF" w:rsidRPr="0051757C" w:rsidRDefault="00B67165" w:rsidP="004D447C">
            <w:pPr>
              <w:jc w:val="right"/>
            </w:pPr>
            <w:r>
              <w:t>7.6</w:t>
            </w:r>
          </w:p>
        </w:tc>
        <w:tc>
          <w:tcPr>
            <w:tcW w:w="1023" w:type="dxa"/>
          </w:tcPr>
          <w:p w14:paraId="5CE421F8" w14:textId="64068201" w:rsidR="00D35CFF" w:rsidRDefault="00B67165" w:rsidP="00FC142F">
            <w:pPr>
              <w:jc w:val="right"/>
            </w:pPr>
            <w:r>
              <w:t>3.</w:t>
            </w:r>
            <w:r w:rsidR="00FC142F">
              <w:t>7</w:t>
            </w:r>
          </w:p>
        </w:tc>
        <w:tc>
          <w:tcPr>
            <w:tcW w:w="1160" w:type="dxa"/>
          </w:tcPr>
          <w:p w14:paraId="15A3340B" w14:textId="24C623CC" w:rsidR="00D35CFF" w:rsidRPr="0051757C" w:rsidRDefault="00FC142F" w:rsidP="00B67165">
            <w:pPr>
              <w:jc w:val="right"/>
            </w:pPr>
            <w:r>
              <w:t>20</w:t>
            </w:r>
            <w:r w:rsidR="00B67165">
              <w:t>.8</w:t>
            </w:r>
          </w:p>
        </w:tc>
      </w:tr>
      <w:tr w:rsidR="00D35CFF" w:rsidRPr="001E7293" w14:paraId="52EC5697" w14:textId="77777777" w:rsidTr="00CF1456">
        <w:tc>
          <w:tcPr>
            <w:tcW w:w="3734" w:type="dxa"/>
          </w:tcPr>
          <w:p w14:paraId="56E51EB2" w14:textId="77777777" w:rsidR="00D35CFF" w:rsidRPr="0051757C" w:rsidRDefault="00D35CFF" w:rsidP="004D447C">
            <w:pPr>
              <w:rPr>
                <w:sz w:val="24"/>
              </w:rPr>
            </w:pPr>
            <w:r w:rsidRPr="0051757C">
              <w:t>Elements 3, 4 and 5</w:t>
            </w:r>
          </w:p>
        </w:tc>
        <w:tc>
          <w:tcPr>
            <w:tcW w:w="1034" w:type="dxa"/>
            <w:tcBorders>
              <w:top w:val="nil"/>
              <w:bottom w:val="single" w:sz="4" w:space="0" w:color="auto"/>
            </w:tcBorders>
          </w:tcPr>
          <w:p w14:paraId="2ED787A1" w14:textId="77777777" w:rsidR="00D35CFF" w:rsidRDefault="00D35CFF" w:rsidP="00FD6BA4">
            <w:pPr>
              <w:jc w:val="right"/>
            </w:pPr>
            <w:r>
              <w:t>1.4</w:t>
            </w:r>
          </w:p>
        </w:tc>
        <w:tc>
          <w:tcPr>
            <w:tcW w:w="1056" w:type="dxa"/>
          </w:tcPr>
          <w:p w14:paraId="1D7AF3B9" w14:textId="77777777" w:rsidR="00D35CFF" w:rsidRPr="0051757C" w:rsidRDefault="00D35CFF" w:rsidP="004D447C">
            <w:pPr>
              <w:jc w:val="right"/>
            </w:pPr>
            <w:r>
              <w:t>3.3</w:t>
            </w:r>
          </w:p>
        </w:tc>
        <w:tc>
          <w:tcPr>
            <w:tcW w:w="1063" w:type="dxa"/>
          </w:tcPr>
          <w:p w14:paraId="10E4B795" w14:textId="60580906" w:rsidR="00D35CFF" w:rsidRPr="0051757C" w:rsidRDefault="00FC142F" w:rsidP="00FC142F">
            <w:pPr>
              <w:jc w:val="right"/>
            </w:pPr>
            <w:r>
              <w:t>2.3</w:t>
            </w:r>
          </w:p>
        </w:tc>
        <w:tc>
          <w:tcPr>
            <w:tcW w:w="1023" w:type="dxa"/>
          </w:tcPr>
          <w:p w14:paraId="660BC2AE" w14:textId="4ABD984C" w:rsidR="00D35CFF" w:rsidRDefault="00086647" w:rsidP="00FC142F">
            <w:pPr>
              <w:jc w:val="right"/>
            </w:pPr>
            <w:r>
              <w:t>1.</w:t>
            </w:r>
            <w:r w:rsidR="00FC142F">
              <w:t>2</w:t>
            </w:r>
          </w:p>
        </w:tc>
        <w:tc>
          <w:tcPr>
            <w:tcW w:w="1160" w:type="dxa"/>
          </w:tcPr>
          <w:p w14:paraId="31638B86" w14:textId="2C5F02B3" w:rsidR="00D35CFF" w:rsidRPr="0051757C" w:rsidRDefault="00FC142F" w:rsidP="00FC142F">
            <w:pPr>
              <w:jc w:val="right"/>
            </w:pPr>
            <w:r>
              <w:t>8.2</w:t>
            </w:r>
          </w:p>
        </w:tc>
      </w:tr>
      <w:tr w:rsidR="00D35CFF" w:rsidRPr="001E7293" w14:paraId="7DBDEEE6" w14:textId="77777777" w:rsidTr="00CF1456">
        <w:tc>
          <w:tcPr>
            <w:tcW w:w="3734" w:type="dxa"/>
          </w:tcPr>
          <w:p w14:paraId="4FC2C090" w14:textId="77777777" w:rsidR="00D35CFF" w:rsidRPr="0051757C" w:rsidRDefault="00D35CFF" w:rsidP="004D447C">
            <w:r w:rsidRPr="0051757C">
              <w:t>Total estimated budget</w:t>
            </w:r>
          </w:p>
        </w:tc>
        <w:tc>
          <w:tcPr>
            <w:tcW w:w="1034" w:type="dxa"/>
            <w:tcBorders>
              <w:top w:val="single" w:sz="4" w:space="0" w:color="auto"/>
              <w:bottom w:val="nil"/>
            </w:tcBorders>
          </w:tcPr>
          <w:p w14:paraId="7D6228C1" w14:textId="77777777" w:rsidR="00D35CFF" w:rsidRDefault="00D35CFF" w:rsidP="00FD6BA4">
            <w:pPr>
              <w:jc w:val="right"/>
            </w:pPr>
            <w:r>
              <w:t>21.5</w:t>
            </w:r>
          </w:p>
        </w:tc>
        <w:tc>
          <w:tcPr>
            <w:tcW w:w="1056" w:type="dxa"/>
            <w:tcBorders>
              <w:top w:val="single" w:sz="4" w:space="0" w:color="000080"/>
            </w:tcBorders>
          </w:tcPr>
          <w:p w14:paraId="39C26927" w14:textId="77777777" w:rsidR="00D35CFF" w:rsidRPr="0051757C" w:rsidRDefault="00D35CFF" w:rsidP="004D447C">
            <w:pPr>
              <w:jc w:val="right"/>
            </w:pPr>
            <w:r>
              <w:t>47.8</w:t>
            </w:r>
          </w:p>
        </w:tc>
        <w:tc>
          <w:tcPr>
            <w:tcW w:w="1063" w:type="dxa"/>
            <w:tcBorders>
              <w:top w:val="single" w:sz="4" w:space="0" w:color="000080"/>
            </w:tcBorders>
          </w:tcPr>
          <w:p w14:paraId="7248CC84" w14:textId="53F7467F" w:rsidR="00D35CFF" w:rsidRPr="0051757C" w:rsidRDefault="00FC142F" w:rsidP="004D447C">
            <w:pPr>
              <w:jc w:val="right"/>
            </w:pPr>
            <w:r>
              <w:t>46.9</w:t>
            </w:r>
          </w:p>
        </w:tc>
        <w:tc>
          <w:tcPr>
            <w:tcW w:w="1023" w:type="dxa"/>
            <w:tcBorders>
              <w:top w:val="single" w:sz="4" w:space="0" w:color="000080"/>
            </w:tcBorders>
          </w:tcPr>
          <w:p w14:paraId="4E120A26" w14:textId="744E88D1" w:rsidR="00D35CFF" w:rsidRDefault="00FC142F" w:rsidP="00FC142F">
            <w:pPr>
              <w:jc w:val="right"/>
            </w:pPr>
            <w:r>
              <w:t>23.4</w:t>
            </w:r>
          </w:p>
        </w:tc>
        <w:tc>
          <w:tcPr>
            <w:tcW w:w="1160" w:type="dxa"/>
            <w:tcBorders>
              <w:top w:val="single" w:sz="4" w:space="0" w:color="000080"/>
            </w:tcBorders>
          </w:tcPr>
          <w:p w14:paraId="6DDACB80" w14:textId="50585C30" w:rsidR="00D35CFF" w:rsidRPr="0051757C" w:rsidRDefault="00D1284E" w:rsidP="004D447C">
            <w:pPr>
              <w:jc w:val="right"/>
            </w:pPr>
            <w:r>
              <w:t>139.6</w:t>
            </w:r>
          </w:p>
        </w:tc>
      </w:tr>
      <w:tr w:rsidR="00D35CFF" w:rsidRPr="001E7293" w14:paraId="36A4EBD9" w14:textId="77777777" w:rsidTr="00CF1456">
        <w:tc>
          <w:tcPr>
            <w:tcW w:w="3734" w:type="dxa"/>
          </w:tcPr>
          <w:p w14:paraId="7A82E211" w14:textId="77777777" w:rsidR="00D35CFF" w:rsidRPr="0051757C" w:rsidRDefault="00D35CFF" w:rsidP="004D447C">
            <w:r w:rsidRPr="0051757C">
              <w:rPr>
                <w:i/>
                <w:iCs/>
              </w:rPr>
              <w:t>less</w:t>
            </w:r>
            <w:r w:rsidRPr="0051757C">
              <w:t xml:space="preserve"> estimated Commonwealth contribution</w:t>
            </w:r>
          </w:p>
        </w:tc>
        <w:tc>
          <w:tcPr>
            <w:tcW w:w="1034" w:type="dxa"/>
            <w:tcBorders>
              <w:top w:val="nil"/>
              <w:bottom w:val="single" w:sz="4" w:space="0" w:color="auto"/>
            </w:tcBorders>
          </w:tcPr>
          <w:p w14:paraId="0A279167" w14:textId="77777777" w:rsidR="00D35CFF" w:rsidRDefault="00D35CFF" w:rsidP="00FD6BA4">
            <w:pPr>
              <w:jc w:val="right"/>
            </w:pPr>
            <w:r>
              <w:t>13.8</w:t>
            </w:r>
          </w:p>
        </w:tc>
        <w:tc>
          <w:tcPr>
            <w:tcW w:w="1056" w:type="dxa"/>
            <w:tcBorders>
              <w:bottom w:val="single" w:sz="4" w:space="0" w:color="000080"/>
            </w:tcBorders>
          </w:tcPr>
          <w:p w14:paraId="2B01CD33" w14:textId="77777777" w:rsidR="00D35CFF" w:rsidRPr="0051757C" w:rsidRDefault="00D35CFF" w:rsidP="004D447C">
            <w:pPr>
              <w:jc w:val="right"/>
            </w:pPr>
            <w:r>
              <w:t>46.3</w:t>
            </w:r>
          </w:p>
        </w:tc>
        <w:tc>
          <w:tcPr>
            <w:tcW w:w="1063" w:type="dxa"/>
            <w:tcBorders>
              <w:bottom w:val="single" w:sz="4" w:space="0" w:color="000080"/>
            </w:tcBorders>
          </w:tcPr>
          <w:p w14:paraId="7F29DA84" w14:textId="68D58669" w:rsidR="00D35CFF" w:rsidRPr="0051757C" w:rsidRDefault="00CF1456" w:rsidP="004D447C">
            <w:pPr>
              <w:jc w:val="right"/>
            </w:pPr>
            <w:r>
              <w:t>46.9</w:t>
            </w:r>
          </w:p>
        </w:tc>
        <w:tc>
          <w:tcPr>
            <w:tcW w:w="1023" w:type="dxa"/>
            <w:tcBorders>
              <w:bottom w:val="single" w:sz="4" w:space="0" w:color="000080"/>
            </w:tcBorders>
          </w:tcPr>
          <w:p w14:paraId="456060FE" w14:textId="58FE68AC" w:rsidR="00D35CFF" w:rsidRDefault="00CF1456" w:rsidP="004D447C">
            <w:pPr>
              <w:jc w:val="right"/>
            </w:pPr>
            <w:r>
              <w:t>32.6</w:t>
            </w:r>
          </w:p>
        </w:tc>
        <w:tc>
          <w:tcPr>
            <w:tcW w:w="1160" w:type="dxa"/>
            <w:tcBorders>
              <w:bottom w:val="single" w:sz="4" w:space="0" w:color="000080"/>
            </w:tcBorders>
          </w:tcPr>
          <w:p w14:paraId="03B0F49D" w14:textId="62925657" w:rsidR="00D35CFF" w:rsidRPr="0051757C" w:rsidRDefault="00D1284E" w:rsidP="004D447C">
            <w:pPr>
              <w:jc w:val="right"/>
            </w:pPr>
            <w:r>
              <w:t>139.6</w:t>
            </w:r>
          </w:p>
        </w:tc>
      </w:tr>
      <w:tr w:rsidR="00D35CFF" w:rsidRPr="001E7293" w14:paraId="0C801EBD" w14:textId="77777777" w:rsidTr="00CF1456">
        <w:trPr>
          <w:cantSplit/>
        </w:trPr>
        <w:tc>
          <w:tcPr>
            <w:tcW w:w="3734" w:type="dxa"/>
          </w:tcPr>
          <w:p w14:paraId="6FF8C23D" w14:textId="77777777" w:rsidR="00D35CFF" w:rsidRPr="0051757C" w:rsidRDefault="00D35CFF" w:rsidP="004D447C">
            <w:r w:rsidRPr="0051757C">
              <w:t>equals estimated balance of non</w:t>
            </w:r>
            <w:r w:rsidRPr="0051757C">
              <w:noBreakHyphen/>
              <w:t>Commonwealth contributions</w:t>
            </w:r>
          </w:p>
        </w:tc>
        <w:tc>
          <w:tcPr>
            <w:tcW w:w="1034" w:type="dxa"/>
            <w:tcBorders>
              <w:top w:val="single" w:sz="4" w:space="0" w:color="auto"/>
              <w:bottom w:val="single" w:sz="4" w:space="0" w:color="auto"/>
            </w:tcBorders>
          </w:tcPr>
          <w:p w14:paraId="35409945" w14:textId="77777777" w:rsidR="00D35CFF" w:rsidRPr="0051757C" w:rsidRDefault="00D35CFF" w:rsidP="00FD6BA4">
            <w:pPr>
              <w:jc w:val="right"/>
            </w:pPr>
            <w:r w:rsidRPr="0051757C">
              <w:t>*</w:t>
            </w:r>
          </w:p>
        </w:tc>
        <w:tc>
          <w:tcPr>
            <w:tcW w:w="1056" w:type="dxa"/>
            <w:tcBorders>
              <w:top w:val="single" w:sz="4" w:space="0" w:color="000080"/>
              <w:bottom w:val="single" w:sz="4" w:space="0" w:color="000080"/>
            </w:tcBorders>
          </w:tcPr>
          <w:p w14:paraId="0A44B054" w14:textId="77777777" w:rsidR="00D35CFF" w:rsidRPr="0051757C" w:rsidRDefault="00D35CFF" w:rsidP="004D447C">
            <w:pPr>
              <w:jc w:val="right"/>
            </w:pPr>
            <w:r w:rsidRPr="0051757C">
              <w:t>*</w:t>
            </w:r>
          </w:p>
        </w:tc>
        <w:tc>
          <w:tcPr>
            <w:tcW w:w="1063" w:type="dxa"/>
            <w:tcBorders>
              <w:top w:val="single" w:sz="4" w:space="0" w:color="000080"/>
              <w:bottom w:val="single" w:sz="4" w:space="0" w:color="000080"/>
            </w:tcBorders>
          </w:tcPr>
          <w:p w14:paraId="082D4C34" w14:textId="77777777" w:rsidR="00D35CFF" w:rsidRPr="0051757C" w:rsidRDefault="00D35CFF" w:rsidP="004D447C">
            <w:pPr>
              <w:jc w:val="right"/>
            </w:pPr>
            <w:r w:rsidRPr="0051757C">
              <w:t>*</w:t>
            </w:r>
          </w:p>
        </w:tc>
        <w:tc>
          <w:tcPr>
            <w:tcW w:w="1023" w:type="dxa"/>
            <w:tcBorders>
              <w:top w:val="single" w:sz="4" w:space="0" w:color="000080"/>
              <w:bottom w:val="single" w:sz="4" w:space="0" w:color="000080"/>
            </w:tcBorders>
          </w:tcPr>
          <w:p w14:paraId="4ABACD80" w14:textId="77777777" w:rsidR="00D35CFF" w:rsidRPr="0051757C" w:rsidRDefault="00D35CFF" w:rsidP="004D447C">
            <w:pPr>
              <w:jc w:val="right"/>
            </w:pPr>
          </w:p>
        </w:tc>
        <w:tc>
          <w:tcPr>
            <w:tcW w:w="1160" w:type="dxa"/>
            <w:tcBorders>
              <w:top w:val="single" w:sz="4" w:space="0" w:color="000080"/>
              <w:bottom w:val="single" w:sz="4" w:space="0" w:color="000080"/>
            </w:tcBorders>
          </w:tcPr>
          <w:p w14:paraId="4CD11785" w14:textId="1D75C95E" w:rsidR="00D35CFF" w:rsidRPr="0051757C" w:rsidRDefault="00D35CFF" w:rsidP="004D447C">
            <w:pPr>
              <w:jc w:val="right"/>
            </w:pPr>
            <w:r w:rsidRPr="0051757C">
              <w:t>*</w:t>
            </w:r>
          </w:p>
        </w:tc>
      </w:tr>
      <w:tr w:rsidR="00D35CFF" w:rsidRPr="001E7293" w14:paraId="46E6AE0A" w14:textId="77777777" w:rsidTr="00CF1456">
        <w:trPr>
          <w:cantSplit/>
        </w:trPr>
        <w:tc>
          <w:tcPr>
            <w:tcW w:w="3734" w:type="dxa"/>
            <w:tcBorders>
              <w:bottom w:val="single" w:sz="4" w:space="0" w:color="000080"/>
            </w:tcBorders>
          </w:tcPr>
          <w:p w14:paraId="2A27EED6" w14:textId="77777777" w:rsidR="00D35CFF" w:rsidRPr="0051757C" w:rsidRDefault="00D35CFF" w:rsidP="004D447C">
            <w:r w:rsidRPr="0051757C">
              <w:t xml:space="preserve">Total </w:t>
            </w:r>
            <w:r w:rsidRPr="0051757C">
              <w:rPr>
                <w:b/>
              </w:rPr>
              <w:t>Commonwealth contribution</w:t>
            </w:r>
          </w:p>
        </w:tc>
        <w:tc>
          <w:tcPr>
            <w:tcW w:w="1034" w:type="dxa"/>
            <w:tcBorders>
              <w:top w:val="single" w:sz="4" w:space="0" w:color="auto"/>
              <w:bottom w:val="single" w:sz="4" w:space="0" w:color="000080"/>
            </w:tcBorders>
          </w:tcPr>
          <w:p w14:paraId="590247BB" w14:textId="77777777" w:rsidR="00D35CFF" w:rsidRDefault="00D35CFF" w:rsidP="00FD6BA4">
            <w:pPr>
              <w:jc w:val="right"/>
            </w:pPr>
            <w:r>
              <w:t>13.8</w:t>
            </w:r>
          </w:p>
        </w:tc>
        <w:tc>
          <w:tcPr>
            <w:tcW w:w="1056" w:type="dxa"/>
            <w:tcBorders>
              <w:top w:val="single" w:sz="4" w:space="0" w:color="000080"/>
              <w:bottom w:val="single" w:sz="4" w:space="0" w:color="000080"/>
            </w:tcBorders>
          </w:tcPr>
          <w:p w14:paraId="4786AF6B" w14:textId="77777777" w:rsidR="00D35CFF" w:rsidRPr="0051757C" w:rsidRDefault="00D35CFF" w:rsidP="004D447C">
            <w:pPr>
              <w:jc w:val="right"/>
            </w:pPr>
            <w:r>
              <w:t>46.3</w:t>
            </w:r>
          </w:p>
        </w:tc>
        <w:tc>
          <w:tcPr>
            <w:tcW w:w="1063" w:type="dxa"/>
            <w:tcBorders>
              <w:top w:val="single" w:sz="4" w:space="0" w:color="000080"/>
              <w:bottom w:val="single" w:sz="4" w:space="0" w:color="000080"/>
            </w:tcBorders>
          </w:tcPr>
          <w:p w14:paraId="15047796" w14:textId="23072C89" w:rsidR="00D35CFF" w:rsidRPr="0051757C" w:rsidRDefault="00CF1456" w:rsidP="004D447C">
            <w:pPr>
              <w:jc w:val="right"/>
            </w:pPr>
            <w:r>
              <w:t>46.9</w:t>
            </w:r>
          </w:p>
        </w:tc>
        <w:tc>
          <w:tcPr>
            <w:tcW w:w="1023" w:type="dxa"/>
            <w:tcBorders>
              <w:top w:val="single" w:sz="4" w:space="0" w:color="000080"/>
              <w:bottom w:val="single" w:sz="4" w:space="0" w:color="000080"/>
            </w:tcBorders>
          </w:tcPr>
          <w:p w14:paraId="404CB424" w14:textId="03FE144E" w:rsidR="00D35CFF" w:rsidRDefault="00CF1456" w:rsidP="004D447C">
            <w:pPr>
              <w:jc w:val="right"/>
            </w:pPr>
            <w:r>
              <w:t>32.6</w:t>
            </w:r>
          </w:p>
        </w:tc>
        <w:tc>
          <w:tcPr>
            <w:tcW w:w="1160" w:type="dxa"/>
            <w:tcBorders>
              <w:top w:val="single" w:sz="4" w:space="0" w:color="000080"/>
              <w:bottom w:val="single" w:sz="4" w:space="0" w:color="000080"/>
            </w:tcBorders>
          </w:tcPr>
          <w:p w14:paraId="676C758E" w14:textId="654450F2" w:rsidR="00D35CFF" w:rsidRPr="0051757C" w:rsidRDefault="00CF1456" w:rsidP="004D447C">
            <w:pPr>
              <w:jc w:val="right"/>
            </w:pPr>
            <w:r>
              <w:t>139.6</w:t>
            </w:r>
          </w:p>
        </w:tc>
      </w:tr>
    </w:tbl>
    <w:p w14:paraId="1AAF8D3A" w14:textId="77777777" w:rsidR="00477D73" w:rsidRDefault="00477D73" w:rsidP="00477D73">
      <w:pPr>
        <w:rPr>
          <w:rFonts w:cs="Arial"/>
          <w:b/>
          <w:bCs/>
          <w:iCs/>
          <w:color w:val="3D4B67"/>
          <w:sz w:val="16"/>
          <w:szCs w:val="16"/>
          <w:lang w:val="en-GB"/>
        </w:rPr>
      </w:pPr>
      <w:r>
        <w:rPr>
          <w:rFonts w:cs="Arial"/>
          <w:b/>
          <w:bCs/>
          <w:iCs/>
          <w:color w:val="3D4B67"/>
          <w:sz w:val="16"/>
          <w:szCs w:val="16"/>
          <w:lang w:val="en-GB"/>
        </w:rPr>
        <w:t>* States and territories are responsible for the provision of early childhood education and WA allocates its own source funding accordingly.</w:t>
      </w:r>
    </w:p>
    <w:p w14:paraId="5BC9AA82" w14:textId="77777777" w:rsidR="00477D73" w:rsidRDefault="00477D73" w:rsidP="00DD1CE5">
      <w:pPr>
        <w:rPr>
          <w:rFonts w:cs="Arial"/>
          <w:b/>
          <w:bCs/>
          <w:iCs/>
          <w:color w:val="3D4B67"/>
          <w:sz w:val="16"/>
          <w:szCs w:val="16"/>
          <w:lang w:val="en-GB"/>
        </w:rPr>
      </w:pPr>
    </w:p>
    <w:p w14:paraId="629F1F28" w14:textId="77777777" w:rsidR="00477D73" w:rsidRDefault="00477D73" w:rsidP="00DD1CE5">
      <w:pPr>
        <w:rPr>
          <w:rFonts w:cs="Arial"/>
          <w:b/>
          <w:bCs/>
          <w:iCs/>
          <w:color w:val="3D4B67"/>
          <w:sz w:val="16"/>
          <w:szCs w:val="16"/>
          <w:lang w:val="en-GB"/>
        </w:rPr>
      </w:pPr>
    </w:p>
    <w:p w14:paraId="0D7B2AE2" w14:textId="77777777" w:rsidR="0036688B" w:rsidRPr="001E7293" w:rsidRDefault="007B4BA6" w:rsidP="002D5120">
      <w:pPr>
        <w:pStyle w:val="Heading2"/>
        <w:spacing w:after="120"/>
      </w:pPr>
      <w:r w:rsidRPr="001E7293">
        <w:t>Program</w:t>
      </w:r>
      <w:r w:rsidR="0036688B" w:rsidRPr="001E7293">
        <w:t xml:space="preserve"> logic</w:t>
      </w:r>
    </w:p>
    <w:p w14:paraId="4928E26A"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 xml:space="preserve">including for vulnerable and disadvantaged children and </w:t>
      </w:r>
      <w:r w:rsidR="00217224">
        <w:t xml:space="preserve">Indigenous </w:t>
      </w:r>
      <w:r w:rsidR="005C7691" w:rsidRPr="001E7293">
        <w:t>children</w:t>
      </w:r>
      <w:r w:rsidRPr="001E7293">
        <w:t>.</w:t>
      </w:r>
    </w:p>
    <w:p w14:paraId="4082CCD5" w14:textId="77777777" w:rsidR="0036688B" w:rsidRPr="001E7293" w:rsidRDefault="0036688B" w:rsidP="00E96DA4">
      <w:pPr>
        <w:pStyle w:val="Normalnumbered"/>
        <w:spacing w:after="240" w:line="260" w:lineRule="exact"/>
        <w:jc w:val="both"/>
      </w:pPr>
      <w:r w:rsidRPr="001E7293">
        <w:t xml:space="preserve">The way 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74F8D66D" w14:textId="77777777" w:rsidR="006A3A94" w:rsidRDefault="006A3A94">
      <w:pPr>
        <w:rPr>
          <w:rFonts w:ascii="Consolas" w:hAnsi="Consolas"/>
          <w:b/>
          <w:color w:val="3D4B67"/>
          <w:szCs w:val="20"/>
        </w:rPr>
      </w:pPr>
      <w:r>
        <w:rPr>
          <w:rFonts w:ascii="Consolas" w:hAnsi="Consolas"/>
          <w:b/>
          <w:color w:val="3D4B67"/>
          <w:szCs w:val="20"/>
        </w:rPr>
        <w:br w:type="page"/>
      </w:r>
    </w:p>
    <w:p w14:paraId="094705A4"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lastRenderedPageBreak/>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56"/>
        <w:gridCol w:w="2428"/>
        <w:gridCol w:w="1355"/>
        <w:gridCol w:w="2089"/>
        <w:gridCol w:w="1730"/>
      </w:tblGrid>
      <w:tr w:rsidR="00F2493A" w:rsidRPr="001E7293" w14:paraId="56443644" w14:textId="77777777" w:rsidTr="00C956FB">
        <w:trPr>
          <w:cantSplit/>
        </w:trPr>
        <w:tc>
          <w:tcPr>
            <w:tcW w:w="804" w:type="pct"/>
            <w:shd w:val="clear" w:color="auto" w:fill="E6E6E6"/>
          </w:tcPr>
          <w:p w14:paraId="04B029BE"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340" w:type="pct"/>
            <w:shd w:val="clear" w:color="auto" w:fill="E6E6E6"/>
          </w:tcPr>
          <w:p w14:paraId="753E043C" w14:textId="77777777" w:rsidR="00F2493A" w:rsidRPr="001E7293" w:rsidRDefault="00F2493A" w:rsidP="004C6F59">
            <w:pPr>
              <w:jc w:val="center"/>
              <w:rPr>
                <w:b/>
              </w:rPr>
            </w:pPr>
            <w:r w:rsidRPr="001E7293">
              <w:rPr>
                <w:b/>
              </w:rPr>
              <w:t>Outputs</w:t>
            </w:r>
          </w:p>
          <w:p w14:paraId="6735640F" w14:textId="77777777" w:rsidR="00F2493A" w:rsidRPr="001E7293" w:rsidRDefault="00DC0703" w:rsidP="00217224">
            <w:pPr>
              <w:jc w:val="center"/>
              <w:rPr>
                <w:b/>
              </w:rPr>
            </w:pPr>
            <w:r w:rsidRPr="001E7293">
              <w:t>(</w:t>
            </w:r>
            <w:r w:rsidR="00F2493A" w:rsidRPr="001E7293">
              <w:t>services delivered)</w:t>
            </w:r>
          </w:p>
        </w:tc>
        <w:tc>
          <w:tcPr>
            <w:tcW w:w="748" w:type="pct"/>
            <w:shd w:val="clear" w:color="auto" w:fill="E6E6E6"/>
          </w:tcPr>
          <w:p w14:paraId="064C93CE" w14:textId="77777777" w:rsidR="00F2493A" w:rsidRPr="001E7293" w:rsidRDefault="00F2493A" w:rsidP="004C6F59">
            <w:pPr>
              <w:jc w:val="center"/>
              <w:rPr>
                <w:b/>
              </w:rPr>
            </w:pPr>
            <w:r w:rsidRPr="001E7293">
              <w:rPr>
                <w:b/>
              </w:rPr>
              <w:t>Outcomes</w:t>
            </w:r>
          </w:p>
        </w:tc>
        <w:tc>
          <w:tcPr>
            <w:tcW w:w="1153" w:type="pct"/>
            <w:shd w:val="clear" w:color="auto" w:fill="E6E6E6"/>
          </w:tcPr>
          <w:p w14:paraId="42CEFF15" w14:textId="77777777" w:rsidR="00F2493A" w:rsidRPr="001E7293" w:rsidRDefault="00F2493A" w:rsidP="004C6F59">
            <w:pPr>
              <w:jc w:val="center"/>
              <w:rPr>
                <w:b/>
              </w:rPr>
            </w:pPr>
            <w:r w:rsidRPr="001E7293">
              <w:rPr>
                <w:b/>
              </w:rPr>
              <w:t>Reform</w:t>
            </w:r>
            <w:r w:rsidR="004C6F59" w:rsidRPr="001E7293">
              <w:rPr>
                <w:b/>
              </w:rPr>
              <w:t xml:space="preserve"> </w:t>
            </w:r>
            <w:r w:rsidRPr="001E7293">
              <w:rPr>
                <w:b/>
              </w:rPr>
              <w:t>/ Project Objectives</w:t>
            </w:r>
          </w:p>
        </w:tc>
        <w:tc>
          <w:tcPr>
            <w:tcW w:w="955" w:type="pct"/>
            <w:shd w:val="clear" w:color="auto" w:fill="E6E6E6"/>
          </w:tcPr>
          <w:p w14:paraId="1A1C99C7" w14:textId="77777777" w:rsidR="00F2493A" w:rsidRPr="001E7293" w:rsidRDefault="00F2493A" w:rsidP="004C6F59">
            <w:pPr>
              <w:jc w:val="center"/>
              <w:rPr>
                <w:b/>
              </w:rPr>
            </w:pPr>
            <w:r w:rsidRPr="001E7293">
              <w:rPr>
                <w:b/>
              </w:rPr>
              <w:t>Responsibilities</w:t>
            </w:r>
          </w:p>
        </w:tc>
      </w:tr>
      <w:tr w:rsidR="00F2493A" w:rsidRPr="006A3A94" w14:paraId="40B3DC41" w14:textId="77777777" w:rsidTr="00C956FB">
        <w:trPr>
          <w:cantSplit/>
        </w:trPr>
        <w:tc>
          <w:tcPr>
            <w:tcW w:w="804" w:type="pct"/>
          </w:tcPr>
          <w:p w14:paraId="11E2B9C7" w14:textId="77777777" w:rsidR="00F2493A" w:rsidRPr="006A3A94" w:rsidRDefault="00432B5D" w:rsidP="00191251">
            <w:pPr>
              <w:rPr>
                <w:sz w:val="22"/>
                <w:szCs w:val="22"/>
              </w:rPr>
            </w:pPr>
            <w:r w:rsidRPr="006A3A94">
              <w:rPr>
                <w:sz w:val="22"/>
                <w:szCs w:val="22"/>
              </w:rPr>
              <w:t xml:space="preserve">Element </w:t>
            </w:r>
            <w:r w:rsidR="00F2493A" w:rsidRPr="006A3A94">
              <w:rPr>
                <w:sz w:val="22"/>
                <w:szCs w:val="22"/>
              </w:rPr>
              <w:t>1</w:t>
            </w:r>
            <w:r w:rsidR="00CA45D0" w:rsidRPr="006A3A94">
              <w:rPr>
                <w:sz w:val="22"/>
                <w:szCs w:val="22"/>
              </w:rPr>
              <w:t xml:space="preserve"> – Universal Access to Kindergarten at school </w:t>
            </w:r>
          </w:p>
        </w:tc>
        <w:tc>
          <w:tcPr>
            <w:tcW w:w="1340" w:type="pct"/>
          </w:tcPr>
          <w:p w14:paraId="41FDD06C" w14:textId="77777777" w:rsidR="00CA45D0" w:rsidRPr="006A3A94" w:rsidRDefault="00CA45D0" w:rsidP="00CA45D0">
            <w:pPr>
              <w:pStyle w:val="Default"/>
              <w:rPr>
                <w:rFonts w:eastAsia="Calibri"/>
                <w:sz w:val="22"/>
                <w:szCs w:val="22"/>
              </w:rPr>
            </w:pPr>
            <w:r w:rsidRPr="006A3A94">
              <w:rPr>
                <w:rFonts w:eastAsia="Calibri"/>
                <w:sz w:val="22"/>
                <w:szCs w:val="22"/>
              </w:rPr>
              <w:t>Implementing accessible, quality early childhood education program</w:t>
            </w:r>
            <w:r w:rsidR="00217224">
              <w:rPr>
                <w:rFonts w:eastAsia="Calibri"/>
                <w:sz w:val="22"/>
                <w:szCs w:val="22"/>
              </w:rPr>
              <w:t>s</w:t>
            </w:r>
            <w:r w:rsidRPr="006A3A94">
              <w:rPr>
                <w:rFonts w:eastAsia="Calibri"/>
                <w:sz w:val="22"/>
                <w:szCs w:val="22"/>
              </w:rPr>
              <w:t xml:space="preserve"> which meet the needs of parents and communities at a cost which does not present a barrier to participation, particularly for vulnerable and disadvantaged children</w:t>
            </w:r>
          </w:p>
          <w:p w14:paraId="4131A3DD" w14:textId="77777777" w:rsidR="00CA45D0" w:rsidRPr="006A3A94" w:rsidRDefault="00CA45D0" w:rsidP="00CA45D0">
            <w:pPr>
              <w:pStyle w:val="Default"/>
              <w:rPr>
                <w:rFonts w:eastAsia="Calibri"/>
                <w:sz w:val="22"/>
                <w:szCs w:val="22"/>
              </w:rPr>
            </w:pPr>
          </w:p>
          <w:p w14:paraId="28682CF4" w14:textId="77777777" w:rsidR="00F2493A" w:rsidRPr="006A3A94" w:rsidRDefault="00CA45D0" w:rsidP="005F1C88">
            <w:pPr>
              <w:rPr>
                <w:sz w:val="22"/>
                <w:szCs w:val="22"/>
              </w:rPr>
            </w:pPr>
            <w:r w:rsidRPr="006A3A94">
              <w:rPr>
                <w:rFonts w:eastAsia="Calibri"/>
                <w:sz w:val="22"/>
                <w:szCs w:val="22"/>
              </w:rPr>
              <w:t>Supporting all children’s quality early childhood education participation, regardless of whether quality early childhood education program</w:t>
            </w:r>
            <w:r w:rsidR="00217224">
              <w:rPr>
                <w:rFonts w:eastAsia="Calibri"/>
                <w:sz w:val="22"/>
                <w:szCs w:val="22"/>
              </w:rPr>
              <w:t>s</w:t>
            </w:r>
            <w:r w:rsidRPr="006A3A94">
              <w:rPr>
                <w:rFonts w:eastAsia="Calibri"/>
                <w:sz w:val="22"/>
                <w:szCs w:val="22"/>
              </w:rPr>
              <w:t xml:space="preserve"> are delivered through schools (non-government and government), standalone preschools or </w:t>
            </w:r>
            <w:r w:rsidR="005F1C88">
              <w:rPr>
                <w:rFonts w:eastAsia="Calibri"/>
                <w:sz w:val="22"/>
                <w:szCs w:val="22"/>
              </w:rPr>
              <w:t>LDC</w:t>
            </w:r>
            <w:r w:rsidRPr="006A3A94">
              <w:rPr>
                <w:rFonts w:eastAsia="Calibri"/>
                <w:sz w:val="22"/>
                <w:szCs w:val="22"/>
              </w:rPr>
              <w:t xml:space="preserve"> centres</w:t>
            </w:r>
          </w:p>
        </w:tc>
        <w:tc>
          <w:tcPr>
            <w:tcW w:w="748" w:type="pct"/>
          </w:tcPr>
          <w:p w14:paraId="3F91540C" w14:textId="77777777" w:rsidR="00CA45D0" w:rsidRPr="006A3A94" w:rsidRDefault="00CA45D0" w:rsidP="00CA45D0">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r w:rsidR="00217224">
              <w:rPr>
                <w:rFonts w:eastAsia="Calibri"/>
                <w:sz w:val="22"/>
                <w:szCs w:val="22"/>
              </w:rPr>
              <w:t>s</w:t>
            </w:r>
          </w:p>
          <w:p w14:paraId="45522E2B" w14:textId="77777777" w:rsidR="00CA45D0" w:rsidRPr="006A3A94" w:rsidRDefault="00CA45D0" w:rsidP="00CA45D0">
            <w:pPr>
              <w:pStyle w:val="Default"/>
              <w:rPr>
                <w:rFonts w:eastAsia="Calibri"/>
                <w:sz w:val="22"/>
                <w:szCs w:val="22"/>
              </w:rPr>
            </w:pPr>
          </w:p>
          <w:p w14:paraId="7CC21157" w14:textId="23F0E37F" w:rsidR="00CA45D0" w:rsidRPr="006A3A94" w:rsidRDefault="00CA45D0" w:rsidP="00CA45D0">
            <w:pPr>
              <w:pStyle w:val="Default"/>
              <w:rPr>
                <w:rFonts w:eastAsia="Calibri"/>
                <w:sz w:val="22"/>
                <w:szCs w:val="22"/>
              </w:rPr>
            </w:pPr>
            <w:r w:rsidRPr="006A3A94">
              <w:rPr>
                <w:rFonts w:eastAsia="Calibri"/>
                <w:sz w:val="22"/>
                <w:szCs w:val="22"/>
              </w:rPr>
              <w:t xml:space="preserve">All </w:t>
            </w:r>
            <w:r w:rsidR="00217224">
              <w:rPr>
                <w:rFonts w:eastAsia="Calibri"/>
                <w:sz w:val="22"/>
                <w:szCs w:val="22"/>
              </w:rPr>
              <w:t xml:space="preserve">Indigenous </w:t>
            </w:r>
            <w:r w:rsidRPr="006A3A94">
              <w:rPr>
                <w:rFonts w:eastAsia="Calibri"/>
                <w:sz w:val="22"/>
                <w:szCs w:val="22"/>
              </w:rPr>
              <w:t>children have access to, and participate in, an affordable, quality early childhood education programme</w:t>
            </w:r>
          </w:p>
          <w:p w14:paraId="3C20421F" w14:textId="77777777" w:rsidR="00CA45D0" w:rsidRPr="006A3A94" w:rsidRDefault="00CA45D0" w:rsidP="00CA45D0">
            <w:pPr>
              <w:pStyle w:val="Default"/>
              <w:rPr>
                <w:rFonts w:eastAsia="Calibri"/>
                <w:sz w:val="22"/>
                <w:szCs w:val="22"/>
              </w:rPr>
            </w:pPr>
          </w:p>
          <w:p w14:paraId="3C95817E" w14:textId="41AC9769" w:rsidR="00F2493A" w:rsidRPr="006A3A94" w:rsidRDefault="00CA45D0" w:rsidP="00217224">
            <w:pPr>
              <w:rPr>
                <w:sz w:val="22"/>
                <w:szCs w:val="22"/>
              </w:rPr>
            </w:pPr>
            <w:r w:rsidRPr="006A3A94">
              <w:rPr>
                <w:rFonts w:eastAsia="Calibri"/>
                <w:sz w:val="22"/>
                <w:szCs w:val="22"/>
              </w:rPr>
              <w:t xml:space="preserve">All </w:t>
            </w:r>
            <w:r w:rsidR="00217224">
              <w:rPr>
                <w:rFonts w:eastAsia="Calibri"/>
                <w:sz w:val="22"/>
                <w:szCs w:val="22"/>
              </w:rPr>
              <w:t>Indigenous</w:t>
            </w:r>
            <w:r w:rsidRPr="006A3A94">
              <w:rPr>
                <w:rFonts w:eastAsia="Calibri"/>
                <w:sz w:val="22"/>
                <w:szCs w:val="22"/>
              </w:rPr>
              <w:t xml:space="preserve"> four year-olds in remote communities have access to early childhood education</w:t>
            </w:r>
          </w:p>
        </w:tc>
        <w:tc>
          <w:tcPr>
            <w:tcW w:w="1153" w:type="pct"/>
          </w:tcPr>
          <w:p w14:paraId="4E959DA2" w14:textId="77777777" w:rsidR="00CA45D0" w:rsidRPr="006A3A94" w:rsidRDefault="00CA45D0" w:rsidP="00CA45D0">
            <w:pPr>
              <w:pStyle w:val="Default"/>
              <w:rPr>
                <w:rFonts w:eastAsia="Calibri"/>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w:t>
            </w:r>
            <w:r w:rsidR="00217224">
              <w:rPr>
                <w:rFonts w:eastAsia="Calibri"/>
                <w:sz w:val="22"/>
                <w:szCs w:val="22"/>
              </w:rPr>
              <w:t>s</w:t>
            </w:r>
            <w:r w:rsidRPr="006A3A94">
              <w:rPr>
                <w:rFonts w:eastAsia="Calibri"/>
                <w:sz w:val="22"/>
                <w:szCs w:val="22"/>
              </w:rPr>
              <w:t xml:space="preserve"> for all children</w:t>
            </w:r>
          </w:p>
          <w:p w14:paraId="5CCD280A" w14:textId="77777777" w:rsidR="004C6F59" w:rsidRPr="006A3A94" w:rsidRDefault="004C6F59" w:rsidP="00191251">
            <w:pPr>
              <w:rPr>
                <w:sz w:val="22"/>
                <w:szCs w:val="22"/>
              </w:rPr>
            </w:pPr>
          </w:p>
        </w:tc>
        <w:tc>
          <w:tcPr>
            <w:tcW w:w="955" w:type="pct"/>
          </w:tcPr>
          <w:p w14:paraId="4585FFD1" w14:textId="77777777" w:rsidR="00F2493A" w:rsidRPr="006A3A94" w:rsidRDefault="009952D1" w:rsidP="00191251">
            <w:pPr>
              <w:rPr>
                <w:sz w:val="22"/>
                <w:szCs w:val="22"/>
              </w:rPr>
            </w:pPr>
            <w:r w:rsidRPr="006A3A94">
              <w:rPr>
                <w:sz w:val="22"/>
                <w:szCs w:val="22"/>
              </w:rPr>
              <w:t>W</w:t>
            </w:r>
            <w:r w:rsidR="005F1C88">
              <w:rPr>
                <w:sz w:val="22"/>
                <w:szCs w:val="22"/>
              </w:rPr>
              <w:t xml:space="preserve">estern </w:t>
            </w:r>
            <w:r w:rsidRPr="006A3A94">
              <w:rPr>
                <w:sz w:val="22"/>
                <w:szCs w:val="22"/>
              </w:rPr>
              <w:t>A</w:t>
            </w:r>
            <w:r w:rsidR="005F1C88">
              <w:rPr>
                <w:sz w:val="22"/>
                <w:szCs w:val="22"/>
              </w:rPr>
              <w:t>ustralia</w:t>
            </w:r>
          </w:p>
        </w:tc>
      </w:tr>
      <w:tr w:rsidR="004C6F59" w:rsidRPr="006A3A94" w14:paraId="34433F7B" w14:textId="77777777" w:rsidTr="00C956FB">
        <w:trPr>
          <w:cantSplit/>
        </w:trPr>
        <w:tc>
          <w:tcPr>
            <w:tcW w:w="804" w:type="pct"/>
          </w:tcPr>
          <w:p w14:paraId="4F156F99" w14:textId="77777777" w:rsidR="004C6F59" w:rsidRPr="006A3A94" w:rsidRDefault="004C6F59" w:rsidP="00191251">
            <w:pPr>
              <w:rPr>
                <w:sz w:val="22"/>
                <w:szCs w:val="22"/>
              </w:rPr>
            </w:pPr>
            <w:r w:rsidRPr="006A3A94">
              <w:rPr>
                <w:sz w:val="22"/>
                <w:szCs w:val="22"/>
              </w:rPr>
              <w:lastRenderedPageBreak/>
              <w:t>Element</w:t>
            </w:r>
            <w:r w:rsidRPr="006A3A94" w:rsidDel="00432B5D">
              <w:rPr>
                <w:sz w:val="22"/>
                <w:szCs w:val="22"/>
              </w:rPr>
              <w:t xml:space="preserve"> </w:t>
            </w:r>
            <w:r w:rsidRPr="006A3A94">
              <w:rPr>
                <w:sz w:val="22"/>
                <w:szCs w:val="22"/>
              </w:rPr>
              <w:t>2</w:t>
            </w:r>
            <w:r w:rsidR="009952D1" w:rsidRPr="006A3A94">
              <w:rPr>
                <w:sz w:val="22"/>
                <w:szCs w:val="22"/>
              </w:rPr>
              <w:t>-</w:t>
            </w:r>
          </w:p>
          <w:p w14:paraId="04670D16" w14:textId="77777777" w:rsidR="009952D1" w:rsidRPr="006A3A94" w:rsidRDefault="009952D1" w:rsidP="00191251">
            <w:pPr>
              <w:rPr>
                <w:sz w:val="22"/>
                <w:szCs w:val="22"/>
              </w:rPr>
            </w:pPr>
            <w:proofErr w:type="spellStart"/>
            <w:r w:rsidRPr="006A3A94">
              <w:rPr>
                <w:sz w:val="22"/>
                <w:szCs w:val="22"/>
              </w:rPr>
              <w:t>KindiLink</w:t>
            </w:r>
            <w:proofErr w:type="spellEnd"/>
            <w:r w:rsidRPr="006A3A94">
              <w:rPr>
                <w:sz w:val="22"/>
                <w:szCs w:val="22"/>
              </w:rPr>
              <w:t xml:space="preserve"> </w:t>
            </w:r>
          </w:p>
        </w:tc>
        <w:tc>
          <w:tcPr>
            <w:tcW w:w="1340" w:type="pct"/>
          </w:tcPr>
          <w:p w14:paraId="006DC9EE" w14:textId="77777777" w:rsidR="004C6F59" w:rsidRPr="006A3A94" w:rsidRDefault="009952D1" w:rsidP="00191251">
            <w:pPr>
              <w:rPr>
                <w:sz w:val="22"/>
                <w:szCs w:val="22"/>
              </w:rPr>
            </w:pPr>
            <w:r w:rsidRPr="006A3A94">
              <w:rPr>
                <w:rFonts w:eastAsia="Calibri"/>
                <w:sz w:val="22"/>
                <w:szCs w:val="22"/>
              </w:rPr>
              <w:t xml:space="preserve">Delivering strategies and actions targeting the participation of </w:t>
            </w:r>
            <w:r w:rsidR="00DA25BC">
              <w:rPr>
                <w:rFonts w:eastAsia="Calibri"/>
                <w:sz w:val="22"/>
                <w:szCs w:val="22"/>
              </w:rPr>
              <w:t>Aboriginal</w:t>
            </w:r>
            <w:r w:rsidRPr="006A3A94">
              <w:rPr>
                <w:rFonts w:eastAsia="Calibri"/>
                <w:sz w:val="22"/>
                <w:szCs w:val="22"/>
              </w:rPr>
              <w:t xml:space="preserve"> children, including in remote areas</w:t>
            </w:r>
          </w:p>
        </w:tc>
        <w:tc>
          <w:tcPr>
            <w:tcW w:w="748" w:type="pct"/>
          </w:tcPr>
          <w:p w14:paraId="0EE86723" w14:textId="77777777" w:rsidR="005F6733" w:rsidRPr="006A3A94" w:rsidRDefault="005F6733" w:rsidP="005F6733">
            <w:pPr>
              <w:pStyle w:val="Default"/>
              <w:rPr>
                <w:rFonts w:eastAsia="Calibri"/>
                <w:sz w:val="22"/>
                <w:szCs w:val="22"/>
              </w:rPr>
            </w:pPr>
            <w:r w:rsidRPr="006A3A94">
              <w:rPr>
                <w:rFonts w:eastAsia="Calibri"/>
                <w:sz w:val="22"/>
                <w:szCs w:val="22"/>
              </w:rPr>
              <w:t xml:space="preserve">All </w:t>
            </w:r>
            <w:r w:rsidR="00217224">
              <w:rPr>
                <w:rFonts w:eastAsia="Calibri"/>
                <w:sz w:val="22"/>
                <w:szCs w:val="22"/>
              </w:rPr>
              <w:t>Indigenous</w:t>
            </w:r>
            <w:r w:rsidRPr="006A3A94">
              <w:rPr>
                <w:rFonts w:eastAsia="Calibri"/>
                <w:sz w:val="22"/>
                <w:szCs w:val="22"/>
              </w:rPr>
              <w:t xml:space="preserve"> children have access to, and participate in, an affordable, quality early childhood education program</w:t>
            </w:r>
          </w:p>
          <w:p w14:paraId="04C95B9F" w14:textId="77777777" w:rsidR="004C6F59" w:rsidRPr="006A3A94" w:rsidRDefault="004C6F59" w:rsidP="00191251">
            <w:pPr>
              <w:rPr>
                <w:sz w:val="22"/>
                <w:szCs w:val="22"/>
              </w:rPr>
            </w:pPr>
          </w:p>
        </w:tc>
        <w:tc>
          <w:tcPr>
            <w:tcW w:w="1153" w:type="pct"/>
          </w:tcPr>
          <w:p w14:paraId="3BCCA0B1" w14:textId="77777777" w:rsidR="004C6F59" w:rsidRPr="006A3A94" w:rsidRDefault="005F6733" w:rsidP="00191251">
            <w:pPr>
              <w:rPr>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343D71CB" w14:textId="77777777" w:rsidR="004C6F59" w:rsidRPr="006A3A94" w:rsidRDefault="005F6733" w:rsidP="0093776A">
            <w:pPr>
              <w:rPr>
                <w:sz w:val="22"/>
                <w:szCs w:val="22"/>
              </w:rPr>
            </w:pPr>
            <w:r w:rsidRPr="006A3A94">
              <w:rPr>
                <w:sz w:val="22"/>
                <w:szCs w:val="22"/>
              </w:rPr>
              <w:t>W</w:t>
            </w:r>
            <w:r w:rsidR="005F1C88">
              <w:rPr>
                <w:sz w:val="22"/>
                <w:szCs w:val="22"/>
              </w:rPr>
              <w:t xml:space="preserve">estern </w:t>
            </w:r>
            <w:r w:rsidRPr="006A3A94">
              <w:rPr>
                <w:sz w:val="22"/>
                <w:szCs w:val="22"/>
              </w:rPr>
              <w:t>A</w:t>
            </w:r>
            <w:r w:rsidR="005F1C88">
              <w:rPr>
                <w:sz w:val="22"/>
                <w:szCs w:val="22"/>
              </w:rPr>
              <w:t>ustralia</w:t>
            </w:r>
          </w:p>
        </w:tc>
      </w:tr>
      <w:tr w:rsidR="00F2493A" w:rsidRPr="006A3A94" w14:paraId="71329B08" w14:textId="77777777" w:rsidTr="00C956FB">
        <w:trPr>
          <w:cantSplit/>
        </w:trPr>
        <w:tc>
          <w:tcPr>
            <w:tcW w:w="804" w:type="pct"/>
          </w:tcPr>
          <w:p w14:paraId="12E71725" w14:textId="77777777" w:rsidR="00432B5D" w:rsidRPr="006A3A94" w:rsidRDefault="00432B5D" w:rsidP="00191251">
            <w:pPr>
              <w:rPr>
                <w:sz w:val="22"/>
                <w:szCs w:val="22"/>
              </w:rPr>
            </w:pPr>
            <w:r w:rsidRPr="006A3A94">
              <w:rPr>
                <w:sz w:val="22"/>
                <w:szCs w:val="22"/>
              </w:rPr>
              <w:t>Element</w:t>
            </w:r>
            <w:r w:rsidRPr="006A3A94" w:rsidDel="00432B5D">
              <w:rPr>
                <w:sz w:val="22"/>
                <w:szCs w:val="22"/>
              </w:rPr>
              <w:t xml:space="preserve"> </w:t>
            </w:r>
            <w:r w:rsidR="00F2493A" w:rsidRPr="006A3A94">
              <w:rPr>
                <w:sz w:val="22"/>
                <w:szCs w:val="22"/>
              </w:rPr>
              <w:t>3</w:t>
            </w:r>
            <w:r w:rsidR="00F36768" w:rsidRPr="006A3A94">
              <w:rPr>
                <w:sz w:val="22"/>
                <w:szCs w:val="22"/>
              </w:rPr>
              <w:t xml:space="preserve"> -</w:t>
            </w:r>
          </w:p>
          <w:p w14:paraId="466FA887" w14:textId="77777777" w:rsidR="005F6733" w:rsidRPr="006A3A94" w:rsidRDefault="005F6733" w:rsidP="00191251">
            <w:pPr>
              <w:rPr>
                <w:sz w:val="22"/>
                <w:szCs w:val="22"/>
              </w:rPr>
            </w:pPr>
            <w:r w:rsidRPr="006A3A94">
              <w:rPr>
                <w:sz w:val="22"/>
                <w:szCs w:val="22"/>
              </w:rPr>
              <w:t>Community-based playgroups</w:t>
            </w:r>
          </w:p>
        </w:tc>
        <w:tc>
          <w:tcPr>
            <w:tcW w:w="1340" w:type="pct"/>
          </w:tcPr>
          <w:p w14:paraId="44A124D3" w14:textId="77777777" w:rsidR="005F6733" w:rsidRPr="006A3A94" w:rsidRDefault="005F6733" w:rsidP="005F6733">
            <w:pPr>
              <w:pStyle w:val="Default"/>
              <w:rPr>
                <w:rFonts w:eastAsia="Calibri"/>
                <w:sz w:val="22"/>
                <w:szCs w:val="22"/>
              </w:rPr>
            </w:pPr>
            <w:r w:rsidRPr="006A3A94">
              <w:rPr>
                <w:rFonts w:eastAsia="Calibri"/>
                <w:sz w:val="22"/>
                <w:szCs w:val="22"/>
              </w:rPr>
              <w:t>Implementing accessible, quality early childhood education programs which meet the needs of parents and communities at a cost which does not present a barrier to participation, particularly for vulnerable and disadvantaged children</w:t>
            </w:r>
          </w:p>
          <w:p w14:paraId="750E8E10" w14:textId="77777777" w:rsidR="005F6733" w:rsidRPr="006A3A94" w:rsidRDefault="005F6733" w:rsidP="005F6733">
            <w:pPr>
              <w:pStyle w:val="Default"/>
              <w:rPr>
                <w:sz w:val="22"/>
                <w:szCs w:val="22"/>
              </w:rPr>
            </w:pPr>
          </w:p>
          <w:p w14:paraId="4A6CECBB" w14:textId="77777777" w:rsidR="00F2493A" w:rsidRPr="006A3A94" w:rsidRDefault="00F2493A" w:rsidP="00191251">
            <w:pPr>
              <w:rPr>
                <w:sz w:val="22"/>
                <w:szCs w:val="22"/>
              </w:rPr>
            </w:pPr>
          </w:p>
        </w:tc>
        <w:tc>
          <w:tcPr>
            <w:tcW w:w="748" w:type="pct"/>
          </w:tcPr>
          <w:p w14:paraId="4FC29195"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p w14:paraId="7657DE30" w14:textId="77777777" w:rsidR="00F2493A" w:rsidRPr="006A3A94" w:rsidRDefault="00F2493A" w:rsidP="00191251">
            <w:pPr>
              <w:rPr>
                <w:sz w:val="22"/>
                <w:szCs w:val="22"/>
              </w:rPr>
            </w:pPr>
          </w:p>
        </w:tc>
        <w:tc>
          <w:tcPr>
            <w:tcW w:w="1153" w:type="pct"/>
          </w:tcPr>
          <w:p w14:paraId="23F3C835" w14:textId="77777777" w:rsidR="004C6F59" w:rsidRPr="006A3A94" w:rsidRDefault="005F6733" w:rsidP="00191251">
            <w:pPr>
              <w:rPr>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5A545AF7" w14:textId="77777777" w:rsidR="00432B5D"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r w:rsidR="005F6733" w:rsidRPr="006A3A94" w14:paraId="0D4000A1" w14:textId="77777777" w:rsidTr="00C956FB">
        <w:trPr>
          <w:cantSplit/>
        </w:trPr>
        <w:tc>
          <w:tcPr>
            <w:tcW w:w="804" w:type="pct"/>
          </w:tcPr>
          <w:p w14:paraId="3D7271ED" w14:textId="77777777" w:rsidR="005F6733" w:rsidRPr="006A3A94" w:rsidRDefault="005F6733" w:rsidP="00191251">
            <w:pPr>
              <w:rPr>
                <w:sz w:val="22"/>
                <w:szCs w:val="22"/>
              </w:rPr>
            </w:pPr>
            <w:r w:rsidRPr="006A3A94">
              <w:rPr>
                <w:sz w:val="22"/>
                <w:szCs w:val="22"/>
              </w:rPr>
              <w:t>Element 4 -</w:t>
            </w:r>
          </w:p>
          <w:p w14:paraId="6A8959DA" w14:textId="77777777" w:rsidR="005F6733" w:rsidRPr="006A3A94" w:rsidRDefault="005F6733" w:rsidP="005F6733">
            <w:pPr>
              <w:rPr>
                <w:rFonts w:eastAsia="Calibri"/>
                <w:color w:val="000000"/>
                <w:sz w:val="22"/>
                <w:szCs w:val="22"/>
              </w:rPr>
            </w:pPr>
            <w:r w:rsidRPr="006A3A94">
              <w:rPr>
                <w:rFonts w:eastAsia="Calibri"/>
                <w:color w:val="000000"/>
                <w:sz w:val="22"/>
                <w:szCs w:val="22"/>
              </w:rPr>
              <w:t>Education and Care Networks</w:t>
            </w:r>
          </w:p>
          <w:p w14:paraId="3248E859" w14:textId="77777777" w:rsidR="005F6733" w:rsidRPr="006A3A94" w:rsidRDefault="005F6733" w:rsidP="00191251">
            <w:pPr>
              <w:rPr>
                <w:sz w:val="22"/>
                <w:szCs w:val="22"/>
              </w:rPr>
            </w:pPr>
          </w:p>
        </w:tc>
        <w:tc>
          <w:tcPr>
            <w:tcW w:w="1340" w:type="pct"/>
          </w:tcPr>
          <w:p w14:paraId="3206643E" w14:textId="77777777" w:rsidR="005F6733" w:rsidRPr="006A3A94" w:rsidRDefault="005F6733" w:rsidP="005F1C88">
            <w:pPr>
              <w:pStyle w:val="Default"/>
              <w:rPr>
                <w:rFonts w:eastAsia="Calibri"/>
                <w:sz w:val="22"/>
                <w:szCs w:val="22"/>
              </w:rPr>
            </w:pPr>
            <w:r w:rsidRPr="006A3A94">
              <w:rPr>
                <w:rFonts w:eastAsia="Calibri"/>
                <w:sz w:val="22"/>
                <w:szCs w:val="22"/>
              </w:rPr>
              <w:t xml:space="preserve">Supporting all children’s quality early childhood education participation, regardless of whether quality early childhood education programs are delivered through schools (non-government and government), standalone preschools or </w:t>
            </w:r>
            <w:r w:rsidR="005F1C88">
              <w:rPr>
                <w:rFonts w:eastAsia="Calibri"/>
                <w:sz w:val="22"/>
                <w:szCs w:val="22"/>
              </w:rPr>
              <w:t>LDC</w:t>
            </w:r>
            <w:r w:rsidRPr="006A3A94">
              <w:rPr>
                <w:rFonts w:eastAsia="Calibri"/>
                <w:sz w:val="22"/>
                <w:szCs w:val="22"/>
              </w:rPr>
              <w:t xml:space="preserve"> centres</w:t>
            </w:r>
          </w:p>
        </w:tc>
        <w:tc>
          <w:tcPr>
            <w:tcW w:w="748" w:type="pct"/>
          </w:tcPr>
          <w:p w14:paraId="3A40640F"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p w14:paraId="534B5C81" w14:textId="77777777" w:rsidR="005F6733" w:rsidRPr="006A3A94" w:rsidRDefault="005F6733" w:rsidP="005F6733">
            <w:pPr>
              <w:pStyle w:val="Default"/>
              <w:rPr>
                <w:rFonts w:eastAsia="Calibri"/>
                <w:sz w:val="22"/>
                <w:szCs w:val="22"/>
              </w:rPr>
            </w:pPr>
          </w:p>
        </w:tc>
        <w:tc>
          <w:tcPr>
            <w:tcW w:w="1153" w:type="pct"/>
          </w:tcPr>
          <w:p w14:paraId="0D289E87" w14:textId="77777777" w:rsidR="005F6733" w:rsidRPr="006A3A94" w:rsidRDefault="005F6733" w:rsidP="00191251">
            <w:pPr>
              <w:rPr>
                <w:rFonts w:eastAsia="Calibri"/>
                <w:sz w:val="22"/>
                <w:szCs w:val="22"/>
              </w:rPr>
            </w:pPr>
            <w:r w:rsidRPr="006A3A94">
              <w:rPr>
                <w:rFonts w:eastAsia="Calibri"/>
                <w:sz w:val="22"/>
                <w:szCs w:val="22"/>
              </w:rPr>
              <w:t>To</w:t>
            </w:r>
            <w:r w:rsidRPr="006A3A94">
              <w:rPr>
                <w:rFonts w:eastAsia="Calibri"/>
                <w:color w:val="000000"/>
                <w:sz w:val="22"/>
                <w:szCs w:val="22"/>
              </w:rPr>
              <w:t xml:space="preserve"> facilitate children’s early learning and development and transition to school, by maintaining universal access</w:t>
            </w:r>
            <w:r w:rsidRPr="006A3A94" w:rsidDel="00DC012C">
              <w:rPr>
                <w:rFonts w:eastAsia="Calibri"/>
                <w:color w:val="000000"/>
                <w:sz w:val="22"/>
                <w:szCs w:val="22"/>
              </w:rPr>
              <w:t xml:space="preserve"> </w:t>
            </w:r>
            <w:r w:rsidRPr="006A3A94">
              <w:rPr>
                <w:rFonts w:eastAsia="Calibri"/>
                <w:color w:val="000000"/>
                <w:sz w:val="22"/>
                <w:szCs w:val="22"/>
              </w:rPr>
              <w:t>to, and improving participation in, affordable, quality early childhood education programs for all children</w:t>
            </w:r>
          </w:p>
        </w:tc>
        <w:tc>
          <w:tcPr>
            <w:tcW w:w="955" w:type="pct"/>
          </w:tcPr>
          <w:p w14:paraId="6A565677" w14:textId="77777777" w:rsidR="005F6733"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r w:rsidR="005F6733" w:rsidRPr="006A3A94" w14:paraId="1FA19EBB" w14:textId="77777777" w:rsidTr="00C956FB">
        <w:trPr>
          <w:cantSplit/>
        </w:trPr>
        <w:tc>
          <w:tcPr>
            <w:tcW w:w="804" w:type="pct"/>
          </w:tcPr>
          <w:p w14:paraId="6B64DB74" w14:textId="77777777" w:rsidR="005F6733" w:rsidRPr="006A3A94" w:rsidRDefault="005F6733" w:rsidP="00191251">
            <w:pPr>
              <w:rPr>
                <w:sz w:val="22"/>
                <w:szCs w:val="22"/>
              </w:rPr>
            </w:pPr>
            <w:r w:rsidRPr="006A3A94">
              <w:rPr>
                <w:sz w:val="22"/>
                <w:szCs w:val="22"/>
              </w:rPr>
              <w:lastRenderedPageBreak/>
              <w:t xml:space="preserve">Element 5 </w:t>
            </w:r>
            <w:r w:rsidR="00F36768" w:rsidRPr="006A3A94">
              <w:rPr>
                <w:sz w:val="22"/>
                <w:szCs w:val="22"/>
              </w:rPr>
              <w:t>-</w:t>
            </w:r>
          </w:p>
          <w:p w14:paraId="1743EF79" w14:textId="77777777" w:rsidR="005F6733" w:rsidRPr="006A3A94" w:rsidRDefault="005F6733" w:rsidP="00191251">
            <w:pPr>
              <w:rPr>
                <w:sz w:val="22"/>
                <w:szCs w:val="22"/>
              </w:rPr>
            </w:pPr>
            <w:r w:rsidRPr="006A3A94">
              <w:rPr>
                <w:rFonts w:eastAsia="Calibri"/>
                <w:color w:val="000000"/>
                <w:sz w:val="22"/>
                <w:szCs w:val="22"/>
              </w:rPr>
              <w:t>Consolidate the NQS</w:t>
            </w:r>
          </w:p>
        </w:tc>
        <w:tc>
          <w:tcPr>
            <w:tcW w:w="1340" w:type="pct"/>
          </w:tcPr>
          <w:p w14:paraId="2446B207" w14:textId="77777777" w:rsidR="005F6733" w:rsidRPr="006A3A94" w:rsidRDefault="005F6733" w:rsidP="005F6733">
            <w:pPr>
              <w:pStyle w:val="Default"/>
              <w:rPr>
                <w:rFonts w:eastAsia="Calibri"/>
                <w:sz w:val="22"/>
                <w:szCs w:val="22"/>
              </w:rPr>
            </w:pPr>
            <w:r w:rsidRPr="006A3A94">
              <w:rPr>
                <w:rFonts w:eastAsia="Calibri"/>
                <w:sz w:val="22"/>
                <w:szCs w:val="22"/>
              </w:rPr>
              <w:t>Implementing accessible, quality early childhood education programs which meet the needs of parents and communities at a cost which does not present a barrier to participation, particularly for vulnerable and disadvantaged children</w:t>
            </w:r>
          </w:p>
          <w:p w14:paraId="47286B71" w14:textId="77777777" w:rsidR="005F6733" w:rsidRPr="006A3A94" w:rsidRDefault="005F6733" w:rsidP="005F6733">
            <w:pPr>
              <w:pStyle w:val="Default"/>
              <w:rPr>
                <w:rFonts w:eastAsia="Calibri"/>
                <w:sz w:val="22"/>
                <w:szCs w:val="22"/>
              </w:rPr>
            </w:pPr>
          </w:p>
          <w:p w14:paraId="74AEB107" w14:textId="733EF25B" w:rsidR="005F6733" w:rsidRPr="006A3A94" w:rsidRDefault="005F6733" w:rsidP="005F1C88">
            <w:pPr>
              <w:pStyle w:val="Default"/>
              <w:rPr>
                <w:rFonts w:eastAsia="Calibri"/>
                <w:sz w:val="22"/>
                <w:szCs w:val="22"/>
              </w:rPr>
            </w:pPr>
            <w:r w:rsidRPr="006A3A94">
              <w:rPr>
                <w:rFonts w:eastAsia="Calibri"/>
                <w:sz w:val="22"/>
                <w:szCs w:val="22"/>
              </w:rPr>
              <w:t>Supporting all children’s quality early childhood education participation, regardless of whether quality early childhood education programs are delivered through schools (non-government and government), standalone preschools or</w:t>
            </w:r>
            <w:r w:rsidR="006A0749">
              <w:rPr>
                <w:rFonts w:eastAsia="Calibri"/>
                <w:sz w:val="22"/>
                <w:szCs w:val="22"/>
              </w:rPr>
              <w:t xml:space="preserve"> </w:t>
            </w:r>
            <w:r w:rsidR="005F1C88">
              <w:rPr>
                <w:rFonts w:eastAsia="Calibri"/>
                <w:sz w:val="22"/>
                <w:szCs w:val="22"/>
              </w:rPr>
              <w:t>LDC</w:t>
            </w:r>
            <w:r w:rsidRPr="006A3A94">
              <w:rPr>
                <w:rFonts w:eastAsia="Calibri"/>
                <w:sz w:val="22"/>
                <w:szCs w:val="22"/>
              </w:rPr>
              <w:t xml:space="preserve"> centres</w:t>
            </w:r>
          </w:p>
        </w:tc>
        <w:tc>
          <w:tcPr>
            <w:tcW w:w="748" w:type="pct"/>
          </w:tcPr>
          <w:p w14:paraId="6CCA57B8"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tc>
        <w:tc>
          <w:tcPr>
            <w:tcW w:w="1153" w:type="pct"/>
          </w:tcPr>
          <w:p w14:paraId="2994298D" w14:textId="77777777" w:rsidR="005F6733" w:rsidRPr="006A3A94" w:rsidRDefault="005F6733" w:rsidP="00191251">
            <w:pPr>
              <w:rPr>
                <w:rFonts w:eastAsia="Calibri"/>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340ADBDE" w14:textId="77777777" w:rsidR="005F6733"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bl>
    <w:p w14:paraId="16531F90" w14:textId="77777777" w:rsidR="00610DE0" w:rsidRPr="001E7293" w:rsidRDefault="0036688B" w:rsidP="00C75F63">
      <w:pPr>
        <w:pStyle w:val="Heading2"/>
        <w:spacing w:after="120"/>
      </w:pPr>
      <w:r w:rsidRPr="001E7293">
        <w:t>Risk management</w:t>
      </w:r>
    </w:p>
    <w:p w14:paraId="0DEE9090" w14:textId="77777777" w:rsidR="00CE621A" w:rsidRDefault="00187966" w:rsidP="00CE621A">
      <w:pPr>
        <w:pStyle w:val="Normalnumbered"/>
        <w:spacing w:after="240"/>
      </w:pPr>
      <w:r w:rsidRPr="001E7293">
        <w:t xml:space="preserve">The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6733">
        <w:t xml:space="preserve"> Department of Education </w:t>
      </w:r>
      <w:r w:rsidRPr="001E7293">
        <w:t>has a</w:t>
      </w:r>
      <w:r w:rsidR="007374A0" w:rsidRPr="001E7293">
        <w:t xml:space="preserve"> risk management plan in place.  Risks have been actively identified, entered into a risk log and categorised in terms of impact and </w:t>
      </w:r>
      <w:r w:rsidR="001C56EC" w:rsidRPr="001E7293">
        <w:t>likelihood</w:t>
      </w:r>
      <w:r w:rsidR="007374A0" w:rsidRPr="001E7293">
        <w:t>.</w:t>
      </w:r>
    </w:p>
    <w:p w14:paraId="142C8F19" w14:textId="77777777" w:rsidR="00CE621A" w:rsidRPr="001E7293" w:rsidRDefault="00CE621A" w:rsidP="00CE621A">
      <w:pPr>
        <w:pStyle w:val="Heading2"/>
      </w:pPr>
      <w:r>
        <w:t>Western Australia’s</w:t>
      </w:r>
      <w:r w:rsidRPr="001E7293">
        <w:t xml:space="preserve"> Context</w:t>
      </w:r>
    </w:p>
    <w:p w14:paraId="0C7A810F" w14:textId="117920B0" w:rsidR="00CE621A" w:rsidRDefault="005F1C88" w:rsidP="00CE5B9A">
      <w:pPr>
        <w:pStyle w:val="Normalnumbered"/>
      </w:pPr>
      <w:r w:rsidRPr="006A3A94">
        <w:rPr>
          <w:sz w:val="22"/>
          <w:szCs w:val="22"/>
        </w:rPr>
        <w:t>W</w:t>
      </w:r>
      <w:r>
        <w:rPr>
          <w:sz w:val="22"/>
          <w:szCs w:val="22"/>
        </w:rPr>
        <w:t xml:space="preserve">estern </w:t>
      </w:r>
      <w:r w:rsidRPr="006A3A94">
        <w:rPr>
          <w:sz w:val="22"/>
          <w:szCs w:val="22"/>
        </w:rPr>
        <w:t>A</w:t>
      </w:r>
      <w:r>
        <w:rPr>
          <w:sz w:val="22"/>
          <w:szCs w:val="22"/>
        </w:rPr>
        <w:t>ustralia</w:t>
      </w:r>
      <w:r w:rsidR="00CE621A" w:rsidRPr="008936A8">
        <w:t xml:space="preserve"> </w:t>
      </w:r>
      <w:r w:rsidR="005054F7">
        <w:t>offers</w:t>
      </w:r>
      <w:r w:rsidR="00CE621A" w:rsidRPr="008936A8">
        <w:t xml:space="preserve"> free Kindergarten for 600 hours per year at </w:t>
      </w:r>
      <w:r w:rsidR="00DA25BC">
        <w:t>6</w:t>
      </w:r>
      <w:r w:rsidR="009B2631">
        <w:t>65</w:t>
      </w:r>
      <w:r w:rsidR="00CE621A" w:rsidRPr="008936A8">
        <w:t xml:space="preserve"> public schools</w:t>
      </w:r>
      <w:r w:rsidR="009B2631">
        <w:t xml:space="preserve"> and </w:t>
      </w:r>
      <w:r w:rsidR="00981DFB">
        <w:t xml:space="preserve">18 </w:t>
      </w:r>
      <w:r w:rsidR="009B2631">
        <w:t>community kindergartens</w:t>
      </w:r>
      <w:r w:rsidR="00CE621A" w:rsidRPr="008936A8">
        <w:t xml:space="preserve">, and subsidises over 75 per cent of the cost of Kindergarten in </w:t>
      </w:r>
      <w:r w:rsidR="00DA25BC">
        <w:t>25</w:t>
      </w:r>
      <w:r w:rsidR="0061178C">
        <w:t>3</w:t>
      </w:r>
      <w:r w:rsidR="00CE621A" w:rsidRPr="008936A8">
        <w:t xml:space="preserve"> non-government schools. Four hours per week of Kindergarten are funded through this National Partnership while 11 hours per week are funded by the State. Funds for the extra four hours are allocated to public schools in accordance</w:t>
      </w:r>
      <w:r w:rsidR="00CE621A">
        <w:t xml:space="preserve"> with the </w:t>
      </w:r>
      <w:r w:rsidRPr="006A3A94">
        <w:rPr>
          <w:sz w:val="22"/>
          <w:szCs w:val="22"/>
        </w:rPr>
        <w:t>W</w:t>
      </w:r>
      <w:r>
        <w:rPr>
          <w:sz w:val="22"/>
          <w:szCs w:val="22"/>
        </w:rPr>
        <w:t xml:space="preserve">estern </w:t>
      </w:r>
      <w:r w:rsidRPr="006A3A94">
        <w:rPr>
          <w:sz w:val="22"/>
          <w:szCs w:val="22"/>
        </w:rPr>
        <w:t>A</w:t>
      </w:r>
      <w:r>
        <w:rPr>
          <w:sz w:val="22"/>
          <w:szCs w:val="22"/>
        </w:rPr>
        <w:t>ustralia</w:t>
      </w:r>
      <w:r>
        <w:t xml:space="preserve"> </w:t>
      </w:r>
      <w:r w:rsidR="00CE621A">
        <w:t>Department of Education’s Student Centred Funding Model, and a pro-rata allocation based on market share is provided to each of the Catholic and independent school sectors.</w:t>
      </w:r>
    </w:p>
    <w:p w14:paraId="52B5E128" w14:textId="77777777" w:rsidR="005054F7" w:rsidRDefault="005054F7" w:rsidP="001C7558">
      <w:pPr>
        <w:pStyle w:val="Normalnumbered"/>
        <w:numPr>
          <w:ilvl w:val="0"/>
          <w:numId w:val="0"/>
        </w:numPr>
        <w:ind w:left="567"/>
      </w:pPr>
    </w:p>
    <w:p w14:paraId="268BAB07" w14:textId="6ECC5EC3" w:rsidR="00CE621A" w:rsidRDefault="00CE621A" w:rsidP="00CE621A">
      <w:pPr>
        <w:pStyle w:val="Normalnumbered"/>
        <w:spacing w:after="240"/>
      </w:pPr>
      <w:r w:rsidRPr="001C7558">
        <w:rPr>
          <w:color w:val="auto"/>
        </w:rPr>
        <w:t xml:space="preserve">The </w:t>
      </w:r>
      <w:commentRangeStart w:id="4"/>
      <w:r w:rsidRPr="001C7558">
        <w:rPr>
          <w:color w:val="auto"/>
        </w:rPr>
        <w:t xml:space="preserve">estimated resident population of four-year olds </w:t>
      </w:r>
      <w:commentRangeEnd w:id="4"/>
      <w:r w:rsidR="00DF4EB6">
        <w:rPr>
          <w:rStyle w:val="CommentReference"/>
        </w:rPr>
        <w:commentReference w:id="4"/>
      </w:r>
      <w:r w:rsidRPr="001C7558">
        <w:rPr>
          <w:color w:val="auto"/>
        </w:rPr>
        <w:t xml:space="preserve">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1C7558">
        <w:rPr>
          <w:color w:val="auto"/>
        </w:rPr>
        <w:t xml:space="preserve"> </w:t>
      </w:r>
      <w:r w:rsidRPr="001C7558">
        <w:rPr>
          <w:color w:val="auto"/>
        </w:rPr>
        <w:t xml:space="preserve">in 2017 was 34,612 </w:t>
      </w:r>
      <w:r w:rsidRPr="001C7558">
        <w:rPr>
          <w:color w:val="auto"/>
          <w:szCs w:val="23"/>
        </w:rPr>
        <w:t>of whom it is estimated that</w:t>
      </w:r>
      <w:r w:rsidR="00DA25BC" w:rsidRPr="001C7558">
        <w:rPr>
          <w:color w:val="auto"/>
          <w:szCs w:val="23"/>
        </w:rPr>
        <w:t xml:space="preserve"> 2,109</w:t>
      </w:r>
      <w:r w:rsidRPr="001C7558">
        <w:rPr>
          <w:color w:val="auto"/>
          <w:szCs w:val="23"/>
          <w:vertAlign w:val="superscript"/>
        </w:rPr>
        <w:footnoteReference w:id="1"/>
      </w:r>
      <w:r w:rsidRPr="001C7558">
        <w:rPr>
          <w:color w:val="auto"/>
          <w:szCs w:val="23"/>
        </w:rPr>
        <w:t xml:space="preserve"> were </w:t>
      </w:r>
      <w:r w:rsidR="00DA25BC" w:rsidRPr="001C7558">
        <w:rPr>
          <w:color w:val="auto"/>
          <w:szCs w:val="23"/>
        </w:rPr>
        <w:t>Aboriginal</w:t>
      </w:r>
      <w:r w:rsidR="00C74830">
        <w:rPr>
          <w:color w:val="auto"/>
          <w:szCs w:val="23"/>
        </w:rPr>
        <w:t>, in 2018 it was 34,336</w:t>
      </w:r>
      <w:r w:rsidR="00C74830">
        <w:rPr>
          <w:rStyle w:val="FootnoteReference"/>
          <w:color w:val="auto"/>
        </w:rPr>
        <w:footnoteReference w:id="2"/>
      </w:r>
      <w:r w:rsidR="00C74830">
        <w:rPr>
          <w:color w:val="auto"/>
          <w:szCs w:val="23"/>
        </w:rPr>
        <w:t>, of whom around 2,355 were Aboriginal</w:t>
      </w:r>
      <w:r w:rsidR="00C74830">
        <w:rPr>
          <w:rStyle w:val="FootnoteReference"/>
          <w:color w:val="auto"/>
          <w:szCs w:val="23"/>
        </w:rPr>
        <w:footnoteReference w:id="3"/>
      </w:r>
      <w:r w:rsidRPr="00653684">
        <w:rPr>
          <w:color w:val="auto"/>
        </w:rPr>
        <w:t xml:space="preserve">. </w:t>
      </w:r>
      <w:r w:rsidR="00425477">
        <w:t xml:space="preserve">In 2017, Western Australia’s preschool participation rate for four year olds was 100 per cent, with 96 per cent participating in at least 600 hours </w:t>
      </w:r>
      <w:r w:rsidR="00425477">
        <w:lastRenderedPageBreak/>
        <w:t>of preschool</w:t>
      </w:r>
      <w:r w:rsidR="00DF4EB6">
        <w:t>—these results remained steady for 2018</w:t>
      </w:r>
      <w:r w:rsidR="00425477">
        <w:t>.</w:t>
      </w:r>
      <w:r w:rsidR="00585698">
        <w:rPr>
          <w:rStyle w:val="FootnoteReference"/>
        </w:rPr>
        <w:footnoteReference w:id="4"/>
      </w:r>
      <w:r w:rsidR="00425477">
        <w:t xml:space="preserve"> The overwhelming majority (96%) of preschool was delivered by a public or non-government school</w:t>
      </w:r>
      <w:commentRangeStart w:id="5"/>
      <w:r w:rsidR="00425477">
        <w:rPr>
          <w:rStyle w:val="FootnoteReference"/>
        </w:rPr>
        <w:footnoteReference w:id="5"/>
      </w:r>
      <w:r w:rsidR="00425477">
        <w:t>.</w:t>
      </w:r>
      <w:commentRangeEnd w:id="5"/>
      <w:r w:rsidR="00275F24">
        <w:rPr>
          <w:rStyle w:val="CommentReference"/>
        </w:rPr>
        <w:commentReference w:id="5"/>
      </w:r>
    </w:p>
    <w:p w14:paraId="572CE9CF" w14:textId="77777777" w:rsidR="005F6733" w:rsidRPr="005F6733" w:rsidRDefault="00CE621A" w:rsidP="00CE621A">
      <w:pPr>
        <w:pStyle w:val="Normalnumbered"/>
        <w:spacing w:after="240"/>
      </w:pPr>
      <w:r w:rsidRPr="005F6733">
        <w:t xml:space="preserve">In developing this Implementation Plan, consideration has been given to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ustralia’s</w:t>
      </w:r>
      <w:r w:rsidR="005F1C88" w:rsidRPr="005F6733">
        <w:t xml:space="preserve"> </w:t>
      </w:r>
      <w:r w:rsidRPr="005F6733">
        <w:t>context. Key factors that have influenced the proposed direction are listed below:</w:t>
      </w:r>
    </w:p>
    <w:p w14:paraId="711281DD" w14:textId="77777777" w:rsidR="005F6733" w:rsidRPr="005F6733" w:rsidRDefault="005F6733" w:rsidP="0003449F">
      <w:pPr>
        <w:numPr>
          <w:ilvl w:val="0"/>
          <w:numId w:val="19"/>
        </w:numPr>
        <w:tabs>
          <w:tab w:val="clear" w:pos="1440"/>
          <w:tab w:val="num" w:pos="927"/>
        </w:tabs>
        <w:spacing w:before="120"/>
        <w:ind w:left="927"/>
      </w:pPr>
      <w:r w:rsidRPr="005F6733">
        <w:rPr>
          <w:i/>
        </w:rPr>
        <w:t xml:space="preserve">Historical context regarding Kindergarten policy and provision </w:t>
      </w:r>
      <w:r w:rsidRPr="005F6733">
        <w:t xml:space="preserve">- Since 2001, all </w:t>
      </w:r>
      <w:r w:rsidRPr="005F6733">
        <w:br/>
        <w:t xml:space="preserve">four-year-olds have been entitled to enrol, free of charge in a public school. Further, to facilitate parent choice, </w:t>
      </w:r>
      <w:r w:rsidR="00022BED">
        <w:t xml:space="preserve">over </w:t>
      </w:r>
      <w:r w:rsidRPr="005F6733">
        <w:t>75 per cent of Kindergarten fees at non-government schools have been subsidised by the State. All programs in schools are delivered by degree-qualified teachers.</w:t>
      </w:r>
    </w:p>
    <w:p w14:paraId="6E0CE90D" w14:textId="77777777" w:rsidR="005F6733" w:rsidRPr="005F6733" w:rsidRDefault="005F6733" w:rsidP="0003449F">
      <w:pPr>
        <w:spacing w:before="120" w:after="120"/>
        <w:ind w:left="927"/>
      </w:pPr>
      <w:r w:rsidRPr="005F6733">
        <w:t xml:space="preserve">Over the past two decades, Kindergarten participation has been normalised among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ustralian</w:t>
      </w:r>
      <w:r w:rsidR="005F1C88" w:rsidRPr="005F6733">
        <w:t xml:space="preserve"> </w:t>
      </w:r>
      <w:r w:rsidRPr="005F6733">
        <w:t>families and is widely known as the first year of school (albeit part-time and pre-compulsory). Families have confidence in the quality of the learning programs provided in Kindergarten at schools</w:t>
      </w:r>
      <w:r w:rsidRPr="005F6733">
        <w:rPr>
          <w:vertAlign w:val="superscript"/>
        </w:rPr>
        <w:footnoteReference w:id="6"/>
      </w:r>
      <w:r w:rsidRPr="005F6733">
        <w:t xml:space="preserve"> and typically organise their work and child care arrangements around this provision.</w:t>
      </w:r>
    </w:p>
    <w:p w14:paraId="00559BFA" w14:textId="77777777" w:rsidR="005F6733" w:rsidRDefault="005F6733" w:rsidP="0003449F">
      <w:pPr>
        <w:spacing w:after="120"/>
        <w:ind w:left="927"/>
      </w:pPr>
      <w:r w:rsidRPr="005F6733">
        <w:t xml:space="preserve">Introduction of the National Partnership on Early Childhood Education in 2008 (and subsequent National Partnerships) enabled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5F6733">
        <w:t xml:space="preserve"> </w:t>
      </w:r>
      <w:r w:rsidRPr="005F6733">
        <w:t>to augment school-based delivery of Kindergarten by an extra four hours per week to efficiently expand provision to 15 hours per week in all public and non-government schools. Schools consult with their parent communities to determine the most convenient schedules for delivery of their 15 hour programs.</w:t>
      </w:r>
    </w:p>
    <w:p w14:paraId="6F4D69DC" w14:textId="7D75C59F" w:rsidR="005F6733" w:rsidRPr="005F6733" w:rsidRDefault="005F6733" w:rsidP="0003449F">
      <w:pPr>
        <w:spacing w:after="120"/>
        <w:ind w:left="927"/>
        <w:rPr>
          <w:color w:val="auto"/>
        </w:rPr>
      </w:pPr>
      <w:r w:rsidRPr="005F6733">
        <w:t xml:space="preserve">Despite the pre-compulsory nature of Kindergarten enrolment, </w:t>
      </w:r>
      <w:r w:rsidR="003C234E">
        <w:t xml:space="preserve">Western Australia achieved a 100 per cent preschool participation rate for four year olds in 2016 and 2017, with </w:t>
      </w:r>
      <w:r w:rsidRPr="005F6733">
        <w:t xml:space="preserve">96 per cent </w:t>
      </w:r>
      <w:r w:rsidR="009B2631">
        <w:t xml:space="preserve">enrolled at schools which provide </w:t>
      </w:r>
      <w:r w:rsidR="00846A8B">
        <w:t xml:space="preserve">quality preschool delivered by qualified early childhood teachers </w:t>
      </w:r>
      <w:r w:rsidR="009B2631">
        <w:t xml:space="preserve">for </w:t>
      </w:r>
      <w:r w:rsidR="003C234E">
        <w:t>at least 600 hours per year</w:t>
      </w:r>
      <w:r w:rsidR="003A2960">
        <w:rPr>
          <w:rStyle w:val="FootnoteReference"/>
        </w:rPr>
        <w:footnoteReference w:id="7"/>
      </w:r>
      <w:r w:rsidRPr="005F6733">
        <w:t>.</w:t>
      </w:r>
      <w:r w:rsidR="00275F24">
        <w:t xml:space="preserve"> </w:t>
      </w:r>
      <w:commentRangeStart w:id="6"/>
      <w:r w:rsidR="00275F24">
        <w:t>These rates were maintained in 2018.</w:t>
      </w:r>
      <w:commentRangeEnd w:id="6"/>
      <w:r w:rsidR="00275F24">
        <w:rPr>
          <w:rStyle w:val="CommentReference"/>
        </w:rPr>
        <w:commentReference w:id="6"/>
      </w:r>
      <w:r w:rsidR="00846A8B">
        <w:t xml:space="preserve"> </w:t>
      </w:r>
      <w:r w:rsidR="00614357">
        <w:t>Of the 1,126 Western Australian preschool children in 2018 who did not participate in at least 15 hours of preschool per week, 518 (46%) participated in 10 – 14 hours per week of preschool</w:t>
      </w:r>
      <w:r w:rsidR="00FB63D0">
        <w:t>,</w:t>
      </w:r>
      <w:r w:rsidR="00614357">
        <w:t xml:space="preserve"> and 608 (54%) participated up to 10 hours of preschool per week – mostly in centre-based day care programs.  </w:t>
      </w:r>
      <w:commentRangeStart w:id="7"/>
      <w:r w:rsidR="00846A8B">
        <w:rPr>
          <w:rStyle w:val="FootnoteReference"/>
        </w:rPr>
        <w:footnoteReference w:id="8"/>
      </w:r>
      <w:r w:rsidR="00846A8B">
        <w:t xml:space="preserve">. </w:t>
      </w:r>
      <w:commentRangeEnd w:id="7"/>
      <w:r w:rsidR="00275F24">
        <w:rPr>
          <w:rStyle w:val="CommentReference"/>
        </w:rPr>
        <w:commentReference w:id="7"/>
      </w:r>
      <w:r w:rsidR="00846A8B">
        <w:t xml:space="preserve"> </w:t>
      </w:r>
      <w:r w:rsidR="003A2960">
        <w:t>There is very limited information available to</w:t>
      </w:r>
      <w:r w:rsidR="003A2960" w:rsidRPr="005F6733" w:rsidDel="003A2960">
        <w:t xml:space="preserve"> </w:t>
      </w:r>
      <w:r w:rsidR="003A2960">
        <w:t xml:space="preserve">the State </w:t>
      </w:r>
      <w:r w:rsidRPr="005F6733">
        <w:rPr>
          <w:color w:val="auto"/>
        </w:rPr>
        <w:t xml:space="preserve">about the </w:t>
      </w:r>
      <w:r w:rsidRPr="005F6733">
        <w:rPr>
          <w:i/>
          <w:iCs/>
          <w:color w:val="auto"/>
        </w:rPr>
        <w:t>nature</w:t>
      </w:r>
      <w:r w:rsidRPr="005F6733">
        <w:rPr>
          <w:color w:val="auto"/>
        </w:rPr>
        <w:t xml:space="preserve"> of programs</w:t>
      </w:r>
      <w:r w:rsidR="003A2960">
        <w:rPr>
          <w:color w:val="auto"/>
        </w:rPr>
        <w:t xml:space="preserve"> for four year olds</w:t>
      </w:r>
      <w:r w:rsidRPr="005F6733">
        <w:rPr>
          <w:color w:val="auto"/>
        </w:rPr>
        <w:t xml:space="preserve"> provided </w:t>
      </w:r>
      <w:r w:rsidR="003A2960">
        <w:rPr>
          <w:color w:val="auto"/>
        </w:rPr>
        <w:t>by</w:t>
      </w:r>
      <w:r w:rsidRPr="005F6733">
        <w:rPr>
          <w:color w:val="auto"/>
        </w:rPr>
        <w:t xml:space="preserve"> </w:t>
      </w:r>
      <w:r w:rsidR="005F1C88">
        <w:rPr>
          <w:color w:val="auto"/>
        </w:rPr>
        <w:t>LDC</w:t>
      </w:r>
      <w:r w:rsidRPr="005F6733">
        <w:rPr>
          <w:color w:val="auto"/>
        </w:rPr>
        <w:t xml:space="preserve"> centres</w:t>
      </w:r>
      <w:r w:rsidR="00846A8B">
        <w:rPr>
          <w:color w:val="auto"/>
        </w:rPr>
        <w:t>, including the number of hours those programs are delivered by qualified early childhood teachers</w:t>
      </w:r>
      <w:r w:rsidRPr="005F6733">
        <w:rPr>
          <w:color w:val="auto"/>
        </w:rPr>
        <w:t>.</w:t>
      </w:r>
      <w:r w:rsidR="00846A8B">
        <w:rPr>
          <w:color w:val="auto"/>
        </w:rPr>
        <w:t xml:space="preserve"> </w:t>
      </w:r>
      <w:r w:rsidRPr="005F6733">
        <w:rPr>
          <w:color w:val="auto"/>
        </w:rPr>
        <w:t xml:space="preserve"> </w:t>
      </w:r>
      <w:r w:rsidR="003A2960">
        <w:rPr>
          <w:color w:val="auto"/>
        </w:rPr>
        <w:t>The State conducted a survey in</w:t>
      </w:r>
      <w:r w:rsidR="00022BED" w:rsidRPr="00022BED">
        <w:rPr>
          <w:color w:val="auto"/>
        </w:rPr>
        <w:t xml:space="preserve"> 2016</w:t>
      </w:r>
      <w:r w:rsidR="003A2960">
        <w:rPr>
          <w:color w:val="auto"/>
        </w:rPr>
        <w:t xml:space="preserve"> to address this but </w:t>
      </w:r>
      <w:r w:rsidRPr="00022BED">
        <w:rPr>
          <w:color w:val="auto"/>
        </w:rPr>
        <w:t xml:space="preserve">only </w:t>
      </w:r>
      <w:r w:rsidR="0085727C">
        <w:rPr>
          <w:color w:val="auto"/>
        </w:rPr>
        <w:t>35</w:t>
      </w:r>
      <w:r w:rsidRPr="00022BED">
        <w:rPr>
          <w:color w:val="auto"/>
        </w:rPr>
        <w:t xml:space="preserve"> per cent of </w:t>
      </w:r>
      <w:r w:rsidR="005F1C88">
        <w:rPr>
          <w:color w:val="auto"/>
        </w:rPr>
        <w:t>LDC</w:t>
      </w:r>
      <w:r w:rsidRPr="00022BED">
        <w:rPr>
          <w:color w:val="auto"/>
        </w:rPr>
        <w:t xml:space="preserve"> centres responded. The reason for this low response rate is unclear, however it may be because most </w:t>
      </w:r>
      <w:r w:rsidR="005F1C88">
        <w:rPr>
          <w:color w:val="auto"/>
        </w:rPr>
        <w:t>LDC</w:t>
      </w:r>
      <w:r w:rsidRPr="00022BED">
        <w:rPr>
          <w:color w:val="auto"/>
        </w:rPr>
        <w:t xml:space="preserve"> centres in </w:t>
      </w:r>
      <w:r w:rsidR="005F1C88" w:rsidRPr="006A3A94">
        <w:rPr>
          <w:sz w:val="22"/>
          <w:szCs w:val="22"/>
        </w:rPr>
        <w:t>W</w:t>
      </w:r>
      <w:r w:rsidR="005F1C88">
        <w:rPr>
          <w:sz w:val="22"/>
          <w:szCs w:val="22"/>
        </w:rPr>
        <w:t xml:space="preserve">estern </w:t>
      </w:r>
      <w:r w:rsidR="005F1C88" w:rsidRPr="006A3A94">
        <w:rPr>
          <w:sz w:val="22"/>
          <w:szCs w:val="22"/>
        </w:rPr>
        <w:lastRenderedPageBreak/>
        <w:t>A</w:t>
      </w:r>
      <w:r w:rsidR="005F1C88">
        <w:rPr>
          <w:sz w:val="22"/>
          <w:szCs w:val="22"/>
        </w:rPr>
        <w:t>ustralia</w:t>
      </w:r>
      <w:r w:rsidR="005F1C88" w:rsidRPr="00022BED">
        <w:rPr>
          <w:color w:val="auto"/>
        </w:rPr>
        <w:t xml:space="preserve"> </w:t>
      </w:r>
      <w:r w:rsidRPr="00022BED">
        <w:rPr>
          <w:color w:val="auto"/>
        </w:rPr>
        <w:t>attribute Kindergarten provision to the schooling sector and did not think the survey was relevant for them.</w:t>
      </w:r>
    </w:p>
    <w:p w14:paraId="07E304ED" w14:textId="726FF683" w:rsidR="00F36768" w:rsidRDefault="005F6733" w:rsidP="0003449F">
      <w:pPr>
        <w:pStyle w:val="Normalnumbered"/>
        <w:numPr>
          <w:ilvl w:val="0"/>
          <w:numId w:val="19"/>
        </w:numPr>
        <w:tabs>
          <w:tab w:val="clear" w:pos="1440"/>
        </w:tabs>
        <w:spacing w:before="120" w:after="240"/>
        <w:ind w:left="993" w:hanging="426"/>
      </w:pPr>
      <w:r>
        <w:rPr>
          <w:i/>
        </w:rPr>
        <w:t xml:space="preserve">Long day care </w:t>
      </w:r>
      <w:r w:rsidRPr="0014447C">
        <w:rPr>
          <w:i/>
        </w:rPr>
        <w:t xml:space="preserve">centres </w:t>
      </w:r>
      <w:r w:rsidRPr="0046780B">
        <w:t xml:space="preserve">- </w:t>
      </w:r>
      <w:r w:rsidRPr="00A67F12">
        <w:t xml:space="preserve">The unique context of early childhood education policy, infrastructure and legislation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A67F12">
        <w:t xml:space="preserve"> </w:t>
      </w:r>
      <w:r w:rsidRPr="00A67F12">
        <w:t xml:space="preserve">requires an alternative approach to implementation of the requirement, at </w:t>
      </w:r>
      <w:r>
        <w:t xml:space="preserve">clause </w:t>
      </w:r>
      <w:r w:rsidRPr="00A67F12">
        <w:t>21</w:t>
      </w:r>
      <w:r w:rsidR="00CE621A">
        <w:t>(d) of the National Partnership</w:t>
      </w:r>
      <w:r w:rsidRPr="00A67F12">
        <w:t>. The approach taken is outlined at Element </w:t>
      </w:r>
      <w:r w:rsidR="000201B2">
        <w:t>4</w:t>
      </w:r>
      <w:r w:rsidRPr="00A67F12">
        <w:t xml:space="preserve">: Education and Care Networks whereby shared professional learning for educators in </w:t>
      </w:r>
      <w:r w:rsidR="00E249B9">
        <w:t>LDC</w:t>
      </w:r>
      <w:r w:rsidRPr="00A67F12">
        <w:t xml:space="preserve"> centres and schools will be funded through this National Partnership. Clear legislative separation exists between </w:t>
      </w:r>
      <w:r w:rsidR="00E249B9">
        <w:t>LDC</w:t>
      </w:r>
      <w:r w:rsidRPr="00A67F12">
        <w:t xml:space="preserve"> centres that operate under provisions of the Education and Care Services National Law (WA) 2012 and Kindergartens that operate under the </w:t>
      </w:r>
      <w:r w:rsidRPr="008C6A4E">
        <w:rPr>
          <w:i/>
        </w:rPr>
        <w:t>School Education Act 1999</w:t>
      </w:r>
      <w:r w:rsidRPr="00A67F12">
        <w:t xml:space="preserve">. It follows that the direct provision of funds to approved </w:t>
      </w:r>
      <w:r w:rsidR="00E249B9">
        <w:t>LDC centres</w:t>
      </w:r>
      <w:r w:rsidRPr="00A67F12">
        <w:t xml:space="preserve"> to provide Kindergarten to children in the pre-compulsory period (four-year-olds) is uncertain.</w:t>
      </w:r>
    </w:p>
    <w:p w14:paraId="2B40BE75" w14:textId="77777777" w:rsidR="00F36768" w:rsidRDefault="00E249B9" w:rsidP="0003449F">
      <w:pPr>
        <w:pStyle w:val="Normalnumbered"/>
        <w:numPr>
          <w:ilvl w:val="0"/>
          <w:numId w:val="0"/>
        </w:numPr>
        <w:spacing w:before="120" w:after="240"/>
        <w:ind w:left="993"/>
      </w:pPr>
      <w:r>
        <w:t>As noted above at paragraph 14, s</w:t>
      </w:r>
      <w:r w:rsidR="00F36768" w:rsidRPr="00022BED">
        <w:t>urvey</w:t>
      </w:r>
      <w:r>
        <w:t>s</w:t>
      </w:r>
      <w:r w:rsidR="00F36768" w:rsidRPr="00022BED">
        <w:t xml:space="preserve"> of </w:t>
      </w:r>
      <w:r>
        <w:t>LDC centres undertaken in the past have found</w:t>
      </w:r>
      <w:r w:rsidR="00F36768" w:rsidRPr="00022BED">
        <w:t xml:space="preserve"> that the majority of four-year-old children who attend centre-based services in W</w:t>
      </w:r>
      <w:r>
        <w:t xml:space="preserve">estern Australia </w:t>
      </w:r>
      <w:r w:rsidR="00F36768" w:rsidRPr="00022BED">
        <w:t xml:space="preserve">do so to access </w:t>
      </w:r>
      <w:r>
        <w:t>OSHC</w:t>
      </w:r>
      <w:r w:rsidR="00F36768" w:rsidRPr="00022BED">
        <w:t xml:space="preserve"> rather than Kindergarten, and are already beneficiaries of the National Partnership through the Kindergarten program they access at school.</w:t>
      </w:r>
    </w:p>
    <w:p w14:paraId="6DD7577B" w14:textId="07CC5243" w:rsidR="00F36768" w:rsidRPr="0003449F" w:rsidRDefault="00F36768" w:rsidP="0003449F">
      <w:pPr>
        <w:pStyle w:val="Normalnumbered"/>
        <w:numPr>
          <w:ilvl w:val="0"/>
          <w:numId w:val="19"/>
        </w:numPr>
        <w:tabs>
          <w:tab w:val="clear" w:pos="1440"/>
        </w:tabs>
        <w:spacing w:before="120"/>
        <w:ind w:left="993" w:hanging="426"/>
      </w:pPr>
      <w:r>
        <w:rPr>
          <w:i/>
        </w:rPr>
        <w:t>D</w:t>
      </w:r>
      <w:r w:rsidRPr="00317899">
        <w:rPr>
          <w:i/>
        </w:rPr>
        <w:t xml:space="preserve">emographic </w:t>
      </w:r>
      <w:r>
        <w:rPr>
          <w:i/>
        </w:rPr>
        <w:t>and</w:t>
      </w:r>
      <w:r w:rsidRPr="00317899">
        <w:rPr>
          <w:i/>
        </w:rPr>
        <w:t xml:space="preserve"> geographic </w:t>
      </w:r>
      <w:r>
        <w:rPr>
          <w:i/>
        </w:rPr>
        <w:t xml:space="preserve">context </w:t>
      </w:r>
      <w:r w:rsidRPr="00A67F12">
        <w:t xml:space="preserve">-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A67F12">
        <w:t xml:space="preserve"> </w:t>
      </w:r>
      <w:r w:rsidRPr="00A67F12">
        <w:t xml:space="preserve">occupies approximately </w:t>
      </w:r>
      <w:r w:rsidR="005F1C88">
        <w:br/>
      </w:r>
      <w:r w:rsidRPr="00A67F12">
        <w:t>2.5 million square kilometres.</w:t>
      </w:r>
      <w:r w:rsidR="005F1C88">
        <w:t xml:space="preserve"> </w:t>
      </w:r>
      <w:r w:rsidRPr="00A67F12">
        <w:t xml:space="preserve"> Most of the State’s population live in the greater Perth area and the south west corner of the State, with the remaining 15 per cent in regional and remote areas. </w:t>
      </w:r>
      <w:r>
        <w:t>Approximately 3.</w:t>
      </w:r>
      <w:r w:rsidR="005054F7">
        <w:t>9</w:t>
      </w:r>
      <w:r>
        <w:t xml:space="preserve"> per cent</w:t>
      </w:r>
      <w:r>
        <w:rPr>
          <w:rStyle w:val="FootnoteReference"/>
        </w:rPr>
        <w:footnoteReference w:id="9"/>
      </w:r>
      <w:r>
        <w:t xml:space="preserv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t xml:space="preserve">’s population identifies as </w:t>
      </w:r>
      <w:r w:rsidR="00022BED">
        <w:t>A</w:t>
      </w:r>
      <w:r w:rsidR="00C959BA">
        <w:t>boriginal</w:t>
      </w:r>
      <w:r>
        <w:t xml:space="preserve">. The concentration of </w:t>
      </w:r>
      <w:r w:rsidR="00DA25BC">
        <w:t>Aboriginal</w:t>
      </w:r>
      <w:r>
        <w:t xml:space="preserve"> families is highest in remote localities, however the number of </w:t>
      </w:r>
      <w:r w:rsidR="00DA25BC">
        <w:t>Aboriginal</w:t>
      </w:r>
      <w:r>
        <w:t xml:space="preserve"> families is highest in greater Perth and towns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t xml:space="preserve">’s south-west.  </w:t>
      </w:r>
      <w:r w:rsidRPr="00A67F12">
        <w:t xml:space="preserve">The dispersed nature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Pr="00A67F12">
        <w:t xml:space="preserve">’s population in regional areas presents particular challenges (and costs) to the delivery of universal education programs, including Kindergarten. This has necessitated partnerships across the public and non-government school sectors to ensure economies of scale and avoid duplication and gaps. This is evident in cross-sectoral expansion of universal access to Kindergarten and implementation of the NQS across the early years of school. </w:t>
      </w:r>
      <w:commentRangeStart w:id="8"/>
      <w:r w:rsidRPr="00A67F12">
        <w:t xml:space="preserve">The opportunity to include providers of formal child care services in these partnerships via shared professional learning, especially in remote and rural localities, </w:t>
      </w:r>
      <w:r w:rsidR="001222CA">
        <w:t>has been</w:t>
      </w:r>
      <w:r w:rsidRPr="00A67F12">
        <w:t xml:space="preserve"> pursued through implementation of this National Partnership in </w:t>
      </w:r>
      <w:r w:rsidR="001222CA">
        <w:t>2019, and will continue into 2020</w:t>
      </w:r>
      <w:r w:rsidRPr="00A67F12">
        <w:t>.</w:t>
      </w:r>
      <w:commentRangeEnd w:id="8"/>
      <w:r w:rsidR="00981761">
        <w:rPr>
          <w:rStyle w:val="CommentReference"/>
        </w:rPr>
        <w:commentReference w:id="8"/>
      </w:r>
    </w:p>
    <w:p w14:paraId="794406BC" w14:textId="77777777" w:rsidR="00F36768" w:rsidRPr="0003449F" w:rsidRDefault="00F36768" w:rsidP="0003449F">
      <w:pPr>
        <w:pStyle w:val="Normalnumbered"/>
        <w:numPr>
          <w:ilvl w:val="0"/>
          <w:numId w:val="19"/>
        </w:numPr>
        <w:tabs>
          <w:tab w:val="clear" w:pos="1440"/>
        </w:tabs>
        <w:spacing w:before="120"/>
        <w:ind w:left="993" w:hanging="426"/>
      </w:pPr>
      <w:r w:rsidRPr="002B1488">
        <w:rPr>
          <w:i/>
        </w:rPr>
        <w:t>Existing State initiatives to target vulnerable and disadvantaged children</w:t>
      </w:r>
      <w:r>
        <w:rPr>
          <w:i/>
        </w:rPr>
        <w:t xml:space="preserve"> </w:t>
      </w:r>
      <w:r w:rsidRPr="0046780B">
        <w:t xml:space="preserve">- </w:t>
      </w:r>
      <w:r w:rsidR="00007B8D">
        <w:t>C</w:t>
      </w:r>
      <w:r w:rsidRPr="00A67F12">
        <w:t xml:space="preserve">ompared with other jurisdictions, a </w:t>
      </w:r>
      <w:r w:rsidR="00007B8D">
        <w:t xml:space="preserve">markedly </w:t>
      </w:r>
      <w:r w:rsidRPr="00A67F12">
        <w:t xml:space="preserve">lower percentage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ustralian</w:t>
      </w:r>
      <w:r w:rsidRPr="00A67F12">
        <w:t xml:space="preserve"> children attend formal child care services prior to school entry</w:t>
      </w:r>
      <w:r>
        <w:rPr>
          <w:rStyle w:val="FootnoteReference"/>
        </w:rPr>
        <w:footnoteReference w:id="10"/>
      </w:r>
      <w:r w:rsidRPr="00A67F12">
        <w:t xml:space="preserve">. </w:t>
      </w:r>
      <w:r w:rsidR="005F1C88">
        <w:t xml:space="preserve"> </w:t>
      </w:r>
      <w:r w:rsidRPr="00A67F12">
        <w:t xml:space="preserve">In recognition of this, the State’s strategy to support children’s learning prior to school entry is focused on forging partnerships with families and community-based non-government organisations to deliver an integrated suite of family-focused initiatives. These initiatives adopt a ‘two-generational’ approach to empower families, forge home-school links and build local networks to optimise children’s learning, especially </w:t>
      </w:r>
      <w:r w:rsidR="00DA25BC">
        <w:t>Aboriginal</w:t>
      </w:r>
      <w:r w:rsidRPr="00A67F12">
        <w:t>, disadvantaged and vulnerable children prior to school entry.</w:t>
      </w:r>
      <w:r w:rsidRPr="0003449F">
        <w:t xml:space="preserve"> </w:t>
      </w:r>
    </w:p>
    <w:p w14:paraId="41C360A5" w14:textId="77777777" w:rsidR="0036688B" w:rsidRPr="001E7293" w:rsidRDefault="0036688B" w:rsidP="00D55611">
      <w:pPr>
        <w:pStyle w:val="Heading1"/>
        <w:spacing w:after="120"/>
      </w:pPr>
      <w:r w:rsidRPr="001E7293">
        <w:lastRenderedPageBreak/>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7F5F67A3" w14:textId="77777777" w:rsidR="00186FF4" w:rsidRPr="001E7293" w:rsidRDefault="00186FF4" w:rsidP="00EC159E">
      <w:pPr>
        <w:pStyle w:val="Heading2"/>
        <w:spacing w:after="120"/>
      </w:pPr>
      <w:r w:rsidRPr="001E7293">
        <w:t>Performance indicators, benchmarks and targets</w:t>
      </w:r>
    </w:p>
    <w:p w14:paraId="0A17E648"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51EA1A9E" w14:textId="77777777" w:rsidR="00C11196" w:rsidRPr="001E7293" w:rsidRDefault="00C11196" w:rsidP="004B4464">
      <w:pPr>
        <w:pStyle w:val="Normalnumbered"/>
        <w:spacing w:after="240"/>
      </w:pPr>
      <w:r w:rsidRPr="001E7293">
        <w:t xml:space="preserve">With regard to reporting on attendance, </w:t>
      </w:r>
      <w:r w:rsidR="00EF1F5C">
        <w:rPr>
          <w:color w:val="auto"/>
        </w:rPr>
        <w:t>Western Australia</w:t>
      </w:r>
      <w:r w:rsidRPr="001E7293">
        <w:t xml:space="preserve"> has agreed a target for </w:t>
      </w:r>
      <w:r w:rsidR="000D6F25" w:rsidRPr="001E7293">
        <w:t>2018</w:t>
      </w:r>
      <w:r w:rsidRPr="001E7293">
        <w:t xml:space="preserve"> </w:t>
      </w:r>
      <w:r w:rsidR="0003449F">
        <w:t xml:space="preserve">and 2019 </w:t>
      </w:r>
      <w:r w:rsidRPr="001E7293">
        <w:t>with the Commonwealth, as set out in Table 5 below, and will report on progress towards this target as part of the National Early Childhood Education and Care Collection.</w:t>
      </w:r>
    </w:p>
    <w:p w14:paraId="1D0BFDA9" w14:textId="77777777"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D05180">
        <w:rPr>
          <w:rFonts w:ascii="Consolas" w:hAnsi="Consolas"/>
          <w:b/>
          <w:color w:val="3D4B67"/>
          <w:szCs w:val="20"/>
        </w:rPr>
        <w:t>4</w:t>
      </w:r>
      <w:r w:rsidRPr="001E7293">
        <w:rPr>
          <w:rFonts w:ascii="Consolas" w:hAnsi="Consolas"/>
          <w:b/>
          <w:color w:val="3D4B67"/>
          <w:szCs w:val="20"/>
        </w:rPr>
        <w:t>: Bilaterally agreed attendance targets</w:t>
      </w:r>
    </w:p>
    <w:p w14:paraId="700F0333" w14:textId="77777777" w:rsidR="00835F07" w:rsidRPr="001E7293" w:rsidRDefault="00835F07" w:rsidP="00835F07">
      <w:pPr>
        <w:rPr>
          <w:i/>
          <w:sz w:val="22"/>
        </w:rPr>
      </w:pPr>
    </w:p>
    <w:tbl>
      <w:tblPr>
        <w:tblStyle w:val="TableGrid"/>
        <w:tblW w:w="9060" w:type="dxa"/>
        <w:tblLayout w:type="fixed"/>
        <w:tblLook w:val="04A0" w:firstRow="1" w:lastRow="0" w:firstColumn="1" w:lastColumn="0" w:noHBand="0" w:noVBand="1"/>
      </w:tblPr>
      <w:tblGrid>
        <w:gridCol w:w="1660"/>
        <w:gridCol w:w="1660"/>
        <w:gridCol w:w="1660"/>
        <w:gridCol w:w="1660"/>
        <w:gridCol w:w="2420"/>
      </w:tblGrid>
      <w:tr w:rsidR="00CC74CF" w:rsidRPr="001E7293" w:rsidDel="00DA15BC" w14:paraId="32F93851" w14:textId="77777777" w:rsidTr="002B2AFB">
        <w:trPr>
          <w:trHeight w:val="568"/>
        </w:trPr>
        <w:tc>
          <w:tcPr>
            <w:tcW w:w="1660" w:type="dxa"/>
            <w:shd w:val="pct5" w:color="auto" w:fill="auto"/>
            <w:tcMar>
              <w:top w:w="57" w:type="dxa"/>
              <w:left w:w="57" w:type="dxa"/>
              <w:right w:w="57" w:type="dxa"/>
            </w:tcMar>
            <w:vAlign w:val="center"/>
          </w:tcPr>
          <w:p w14:paraId="0AFAAE52" w14:textId="6461FCC1" w:rsidR="00CC74CF" w:rsidRPr="001E7293" w:rsidRDefault="00CC74CF" w:rsidP="002B2AFB">
            <w:pPr>
              <w:keepNext/>
              <w:keepLines/>
              <w:jc w:val="center"/>
              <w:rPr>
                <w:b/>
                <w:szCs w:val="23"/>
              </w:rPr>
            </w:pPr>
            <w:r w:rsidRPr="001E7293">
              <w:rPr>
                <w:b/>
                <w:szCs w:val="23"/>
              </w:rPr>
              <w:t>201</w:t>
            </w:r>
            <w:r>
              <w:rPr>
                <w:b/>
                <w:szCs w:val="23"/>
              </w:rPr>
              <w:t>7</w:t>
            </w:r>
            <w:r w:rsidRPr="001E7293">
              <w:rPr>
                <w:b/>
                <w:szCs w:val="23"/>
              </w:rPr>
              <w:t xml:space="preserve"> performance</w:t>
            </w:r>
          </w:p>
        </w:tc>
        <w:tc>
          <w:tcPr>
            <w:tcW w:w="1660" w:type="dxa"/>
            <w:shd w:val="pct5" w:color="auto" w:fill="auto"/>
            <w:vAlign w:val="center"/>
          </w:tcPr>
          <w:p w14:paraId="4DFE3DC1" w14:textId="15FF7C22" w:rsidR="00CC74CF" w:rsidRPr="001E7293" w:rsidRDefault="00CC74CF" w:rsidP="002B2AFB">
            <w:pPr>
              <w:keepNext/>
              <w:keepLines/>
              <w:jc w:val="center"/>
              <w:rPr>
                <w:b/>
                <w:szCs w:val="23"/>
              </w:rPr>
            </w:pPr>
            <w:r>
              <w:rPr>
                <w:b/>
                <w:szCs w:val="23"/>
              </w:rPr>
              <w:t>2018 performance</w:t>
            </w:r>
          </w:p>
        </w:tc>
        <w:tc>
          <w:tcPr>
            <w:tcW w:w="1660" w:type="dxa"/>
            <w:shd w:val="pct5" w:color="auto" w:fill="auto"/>
            <w:tcMar>
              <w:left w:w="57" w:type="dxa"/>
              <w:right w:w="57" w:type="dxa"/>
            </w:tcMar>
            <w:vAlign w:val="center"/>
          </w:tcPr>
          <w:p w14:paraId="2D93F745" w14:textId="77777777" w:rsidR="00CC74CF" w:rsidRPr="001E7293" w:rsidRDefault="00CC74CF" w:rsidP="002B2AFB">
            <w:pPr>
              <w:keepNext/>
              <w:keepLines/>
              <w:jc w:val="center"/>
              <w:rPr>
                <w:b/>
                <w:szCs w:val="23"/>
              </w:rPr>
            </w:pPr>
            <w:r>
              <w:rPr>
                <w:b/>
                <w:szCs w:val="23"/>
              </w:rPr>
              <w:t>2019</w:t>
            </w:r>
            <w:r w:rsidRPr="001E7293">
              <w:rPr>
                <w:b/>
                <w:szCs w:val="23"/>
              </w:rPr>
              <w:t xml:space="preserve"> Target</w:t>
            </w:r>
          </w:p>
        </w:tc>
        <w:tc>
          <w:tcPr>
            <w:tcW w:w="1660" w:type="dxa"/>
            <w:shd w:val="pct5" w:color="auto" w:fill="auto"/>
            <w:vAlign w:val="center"/>
          </w:tcPr>
          <w:p w14:paraId="670866D6" w14:textId="750FB829" w:rsidR="00CC74CF" w:rsidRPr="001E7293" w:rsidRDefault="00CC74CF">
            <w:pPr>
              <w:keepNext/>
              <w:keepLines/>
              <w:jc w:val="center"/>
              <w:rPr>
                <w:b/>
                <w:szCs w:val="23"/>
              </w:rPr>
            </w:pPr>
            <w:r>
              <w:rPr>
                <w:b/>
                <w:szCs w:val="23"/>
              </w:rPr>
              <w:t>2020</w:t>
            </w:r>
            <w:r w:rsidRPr="00CC74CF">
              <w:rPr>
                <w:b/>
                <w:szCs w:val="23"/>
              </w:rPr>
              <w:t xml:space="preserve"> Target</w:t>
            </w:r>
          </w:p>
        </w:tc>
        <w:tc>
          <w:tcPr>
            <w:tcW w:w="2420" w:type="dxa"/>
            <w:shd w:val="pct5" w:color="auto" w:fill="auto"/>
            <w:tcMar>
              <w:top w:w="57" w:type="dxa"/>
              <w:left w:w="57" w:type="dxa"/>
              <w:right w:w="57" w:type="dxa"/>
            </w:tcMar>
            <w:vAlign w:val="center"/>
          </w:tcPr>
          <w:p w14:paraId="2081E9F6" w14:textId="35B11F3E" w:rsidR="00CC74CF" w:rsidRPr="001E7293" w:rsidDel="00DA15BC" w:rsidRDefault="00CC74CF">
            <w:pPr>
              <w:keepNext/>
              <w:keepLines/>
              <w:jc w:val="center"/>
              <w:rPr>
                <w:b/>
                <w:szCs w:val="23"/>
              </w:rPr>
            </w:pPr>
            <w:r w:rsidRPr="001E7293">
              <w:rPr>
                <w:b/>
                <w:szCs w:val="23"/>
              </w:rPr>
              <w:t>Performance Benchmark/Target</w:t>
            </w:r>
          </w:p>
        </w:tc>
      </w:tr>
      <w:tr w:rsidR="00CC74CF" w:rsidRPr="001E7293" w14:paraId="579EEDD5" w14:textId="77777777" w:rsidTr="002B2AFB">
        <w:trPr>
          <w:trHeight w:val="861"/>
        </w:trPr>
        <w:tc>
          <w:tcPr>
            <w:tcW w:w="1660" w:type="dxa"/>
            <w:tcMar>
              <w:left w:w="57" w:type="dxa"/>
              <w:right w:w="57" w:type="dxa"/>
            </w:tcMar>
            <w:vAlign w:val="center"/>
          </w:tcPr>
          <w:p w14:paraId="1DF24CE0" w14:textId="4D4357FB" w:rsidR="00CC74CF" w:rsidRPr="001E7293" w:rsidRDefault="00CC74CF" w:rsidP="002B2AFB">
            <w:pPr>
              <w:jc w:val="center"/>
            </w:pPr>
            <w:commentRangeStart w:id="9"/>
            <w:r>
              <w:t>96.0%</w:t>
            </w:r>
          </w:p>
        </w:tc>
        <w:tc>
          <w:tcPr>
            <w:tcW w:w="1660" w:type="dxa"/>
            <w:vAlign w:val="center"/>
          </w:tcPr>
          <w:p w14:paraId="737BF1DB" w14:textId="514454A2" w:rsidR="00CC74CF" w:rsidRPr="001E7293" w:rsidRDefault="00F02179" w:rsidP="002B2AFB">
            <w:pPr>
              <w:jc w:val="center"/>
            </w:pPr>
            <w:r>
              <w:t>96.7%</w:t>
            </w:r>
          </w:p>
        </w:tc>
        <w:tc>
          <w:tcPr>
            <w:tcW w:w="1660" w:type="dxa"/>
            <w:tcMar>
              <w:left w:w="57" w:type="dxa"/>
              <w:right w:w="57" w:type="dxa"/>
            </w:tcMar>
            <w:vAlign w:val="center"/>
          </w:tcPr>
          <w:p w14:paraId="74FA5F82" w14:textId="2B9317A5" w:rsidR="00CC74CF" w:rsidRPr="001E7293" w:rsidRDefault="00CC74CF" w:rsidP="002B2AFB">
            <w:pPr>
              <w:jc w:val="center"/>
            </w:pPr>
            <w:r>
              <w:t>90</w:t>
            </w:r>
            <w:r w:rsidRPr="001E7293">
              <w:t>%</w:t>
            </w:r>
          </w:p>
        </w:tc>
        <w:tc>
          <w:tcPr>
            <w:tcW w:w="1660" w:type="dxa"/>
            <w:vAlign w:val="center"/>
          </w:tcPr>
          <w:p w14:paraId="5B3378A8" w14:textId="3560DC5A" w:rsidR="00CC74CF" w:rsidRPr="001E7293" w:rsidRDefault="00CC74CF" w:rsidP="002B2AFB">
            <w:pPr>
              <w:jc w:val="center"/>
            </w:pPr>
            <w:r>
              <w:t>90%</w:t>
            </w:r>
          </w:p>
        </w:tc>
        <w:tc>
          <w:tcPr>
            <w:tcW w:w="2420" w:type="dxa"/>
          </w:tcPr>
          <w:p w14:paraId="442EEF4B" w14:textId="485E0D5D" w:rsidR="00CC74CF" w:rsidRPr="001E7293" w:rsidRDefault="00CC74CF" w:rsidP="00191684">
            <w:r w:rsidRPr="001E7293">
              <w:t xml:space="preserve">Annual targets agreed in Implementation Plans taking into account a jurisdiction’s starting point and moving to 90 per cent over time. </w:t>
            </w:r>
            <w:commentRangeEnd w:id="9"/>
            <w:r>
              <w:rPr>
                <w:rStyle w:val="CommentReference"/>
              </w:rPr>
              <w:commentReference w:id="9"/>
            </w:r>
          </w:p>
        </w:tc>
      </w:tr>
    </w:tbl>
    <w:p w14:paraId="0716D934" w14:textId="77777777" w:rsidR="00E47C9C" w:rsidRDefault="00E47C9C" w:rsidP="00E47C9C">
      <w:pPr>
        <w:rPr>
          <w:sz w:val="16"/>
          <w:szCs w:val="16"/>
        </w:rPr>
      </w:pPr>
      <w:r>
        <w:rPr>
          <w:sz w:val="16"/>
          <w:szCs w:val="16"/>
        </w:rPr>
        <w:t xml:space="preserve">Payments under this agreement are not tied to achievement of attendance targets. </w:t>
      </w:r>
    </w:p>
    <w:p w14:paraId="129744AF" w14:textId="77777777" w:rsidR="00BB2857" w:rsidRDefault="00BB2857" w:rsidP="00E47C9C">
      <w:pPr>
        <w:rPr>
          <w:sz w:val="16"/>
          <w:szCs w:val="16"/>
        </w:rPr>
      </w:pPr>
      <w:r>
        <w:rPr>
          <w:sz w:val="16"/>
          <w:szCs w:val="16"/>
        </w:rPr>
        <w:t>As per previous agreements, the methodology for calculation of performance related to attendance targets will be where a child has participated in a quality preschool program</w:t>
      </w:r>
      <w:r w:rsidR="0003449F">
        <w:rPr>
          <w:sz w:val="16"/>
          <w:szCs w:val="16"/>
        </w:rPr>
        <w:t xml:space="preserve"> delivered by a degree-qualified teacher</w:t>
      </w:r>
      <w:r>
        <w:rPr>
          <w:sz w:val="16"/>
          <w:szCs w:val="16"/>
        </w:rPr>
        <w:t xml:space="preserve"> for a minimum of one hour during the collection period.</w:t>
      </w:r>
    </w:p>
    <w:p w14:paraId="5032A82B" w14:textId="77777777" w:rsidR="00D05180" w:rsidRDefault="0003449F" w:rsidP="00E47C9C">
      <w:pPr>
        <w:rPr>
          <w:sz w:val="16"/>
          <w:szCs w:val="16"/>
        </w:rPr>
      </w:pPr>
      <w:r>
        <w:rPr>
          <w:sz w:val="16"/>
          <w:szCs w:val="16"/>
        </w:rPr>
        <w:t>In Western Australia, all hours of Kindergarten received by children in schools are delivered by teachers with qualifications that meet requirements of the National Quality Framework.</w:t>
      </w:r>
    </w:p>
    <w:p w14:paraId="426A551C" w14:textId="77777777" w:rsidR="00835F07" w:rsidRPr="001E7293" w:rsidRDefault="00835F07" w:rsidP="00835F07"/>
    <w:p w14:paraId="044FE4B3" w14:textId="77777777" w:rsidR="004B4464" w:rsidRPr="001E7293" w:rsidRDefault="004B4464" w:rsidP="00243F4E">
      <w:pPr>
        <w:pStyle w:val="Heading2"/>
        <w:spacing w:before="120" w:after="120"/>
      </w:pPr>
      <w:r w:rsidRPr="001E7293">
        <w:t>Monitoring and reporting</w:t>
      </w:r>
    </w:p>
    <w:p w14:paraId="08054C1F" w14:textId="77777777"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4E45F15D" w14:textId="77777777" w:rsidR="004B4464" w:rsidRPr="001E7293" w:rsidRDefault="004B4464" w:rsidP="004B4464">
      <w:pPr>
        <w:pStyle w:val="Normalnumbered"/>
        <w:spacing w:after="240"/>
      </w:pPr>
      <w:r w:rsidRPr="001E7293">
        <w:t xml:space="preserve">These data and performance specifications will be used to report </w:t>
      </w:r>
      <w:r w:rsidR="00C959BA">
        <w:t>Western Australia’s</w:t>
      </w:r>
      <w:r w:rsidRPr="001E7293">
        <w:t xml:space="preserve"> performance, except for the supplementary data agreed by the Parties to this </w:t>
      </w:r>
      <w:r w:rsidR="007926CC" w:rsidRPr="001E7293">
        <w:t xml:space="preserve">Implementation </w:t>
      </w:r>
      <w:r w:rsidRPr="001E7293">
        <w:t>Plan</w:t>
      </w:r>
      <w:r w:rsidR="0091064C">
        <w:t>.</w:t>
      </w:r>
    </w:p>
    <w:p w14:paraId="6C496E26"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cator</w:t>
      </w:r>
      <w:r w:rsidR="00BB2857">
        <w:t xml:space="preserve"> (PI)</w:t>
      </w:r>
      <w:r w:rsidR="00B42237" w:rsidRPr="001E7293">
        <w:t xml:space="preserve"> where the method is not </w:t>
      </w:r>
      <w:r w:rsidRPr="001E7293">
        <w:t>consistent with the Early Childhood Education a</w:t>
      </w:r>
      <w:r w:rsidR="00EB0B69" w:rsidRPr="001E7293">
        <w:t xml:space="preserve">nd Care </w:t>
      </w:r>
      <w:r w:rsidR="00E677DC">
        <w:t xml:space="preserve">National </w:t>
      </w:r>
      <w:r w:rsidR="00EB0B69" w:rsidRPr="001E7293">
        <w:t>Minimal Data Set (NMDS):</w:t>
      </w:r>
    </w:p>
    <w:p w14:paraId="5813A130" w14:textId="77777777" w:rsidR="00EB0B69" w:rsidRPr="001E7293" w:rsidRDefault="00BB2857" w:rsidP="00CC1729">
      <w:pPr>
        <w:pStyle w:val="Normalnumbered"/>
        <w:numPr>
          <w:ilvl w:val="0"/>
          <w:numId w:val="16"/>
        </w:numPr>
        <w:ind w:left="1040"/>
      </w:pPr>
      <w:r>
        <w:t xml:space="preserve">PI </w:t>
      </w:r>
      <w:r w:rsidR="00EB0B69" w:rsidRPr="001E7293">
        <w:t>calculation description (numerator, denominator, computation and presentation)</w:t>
      </w:r>
    </w:p>
    <w:p w14:paraId="041B922C" w14:textId="77777777" w:rsidR="00EB0B69" w:rsidRPr="001E7293" w:rsidRDefault="00765AA1" w:rsidP="00CC1729">
      <w:pPr>
        <w:pStyle w:val="Normalnumbered"/>
        <w:numPr>
          <w:ilvl w:val="0"/>
          <w:numId w:val="16"/>
        </w:numPr>
        <w:ind w:left="1040"/>
      </w:pPr>
      <w:r w:rsidRPr="001E7293">
        <w:t>n</w:t>
      </w:r>
      <w:r w:rsidR="00EB0B69" w:rsidRPr="001E7293">
        <w:t xml:space="preserve">umerator </w:t>
      </w:r>
      <w:r w:rsidR="00BB2857">
        <w:t>i</w:t>
      </w:r>
      <w:r w:rsidR="00EB0B69" w:rsidRPr="001E7293">
        <w:t xml:space="preserve">nformation (collection name and population description) </w:t>
      </w:r>
    </w:p>
    <w:p w14:paraId="30C34C65" w14:textId="77777777" w:rsidR="00EB0B69" w:rsidRPr="001E7293" w:rsidRDefault="00765AA1" w:rsidP="00CC1729">
      <w:pPr>
        <w:pStyle w:val="Normalnumbered"/>
        <w:numPr>
          <w:ilvl w:val="0"/>
          <w:numId w:val="16"/>
        </w:numPr>
        <w:ind w:left="1040"/>
      </w:pPr>
      <w:r w:rsidRPr="001E7293">
        <w:t>d</w:t>
      </w:r>
      <w:r w:rsidR="00EB0B69" w:rsidRPr="001E7293">
        <w:t xml:space="preserve">enominator </w:t>
      </w:r>
      <w:r w:rsidR="00BB2857">
        <w:t>i</w:t>
      </w:r>
      <w:r w:rsidR="00EB0B69" w:rsidRPr="001E7293">
        <w:t xml:space="preserve">nformation (collection name and population description) </w:t>
      </w:r>
    </w:p>
    <w:p w14:paraId="4F569130" w14:textId="77777777" w:rsidR="00EB0B69" w:rsidRPr="001E7293" w:rsidRDefault="00765AA1" w:rsidP="00CC1729">
      <w:pPr>
        <w:pStyle w:val="Normalnumbered"/>
        <w:numPr>
          <w:ilvl w:val="0"/>
          <w:numId w:val="16"/>
        </w:numPr>
        <w:ind w:left="1040"/>
      </w:pPr>
      <w:r w:rsidRPr="001E7293">
        <w:t>c</w:t>
      </w:r>
      <w:r w:rsidR="00EB0B69" w:rsidRPr="001E7293">
        <w:t xml:space="preserve">alculation </w:t>
      </w:r>
      <w:r w:rsidR="00BB2857">
        <w:t>n</w:t>
      </w:r>
      <w:r w:rsidR="00EB0B69" w:rsidRPr="001E7293">
        <w:t>otes (including any information about how the PI is calculated)</w:t>
      </w:r>
    </w:p>
    <w:p w14:paraId="470CB7C0" w14:textId="77777777" w:rsidR="00EB0B69" w:rsidRPr="001E7293" w:rsidRDefault="00765AA1" w:rsidP="00CC1729">
      <w:pPr>
        <w:pStyle w:val="Normalnumbered"/>
        <w:numPr>
          <w:ilvl w:val="0"/>
          <w:numId w:val="16"/>
        </w:numPr>
        <w:ind w:left="1040"/>
      </w:pPr>
      <w:r w:rsidRPr="001E7293">
        <w:t>m</w:t>
      </w:r>
      <w:r w:rsidR="00EB0B69" w:rsidRPr="001E7293">
        <w:t>ethodology</w:t>
      </w:r>
    </w:p>
    <w:p w14:paraId="4DF22E5F" w14:textId="77777777" w:rsidR="00EB0B69" w:rsidRPr="001E7293" w:rsidRDefault="00765AA1" w:rsidP="00CC1729">
      <w:pPr>
        <w:pStyle w:val="Normalnumbered"/>
        <w:numPr>
          <w:ilvl w:val="0"/>
          <w:numId w:val="16"/>
        </w:numPr>
        <w:ind w:left="1040"/>
      </w:pPr>
      <w:proofErr w:type="gramStart"/>
      <w:r w:rsidRPr="001E7293">
        <w:t>r</w:t>
      </w:r>
      <w:r w:rsidR="00EB0B69" w:rsidRPr="001E7293">
        <w:t>ationale</w:t>
      </w:r>
      <w:proofErr w:type="gramEnd"/>
      <w:r w:rsidR="00EB0B69" w:rsidRPr="001E7293">
        <w:t xml:space="preserve"> for supplementary data and reporting (including any additional information to explain how and why the specifications for the supplementary data differ from the specifications in the NMDS).</w:t>
      </w:r>
    </w:p>
    <w:p w14:paraId="5EE9C262" w14:textId="77777777" w:rsidR="005D4CB2" w:rsidRPr="001E7293" w:rsidRDefault="005D4CB2" w:rsidP="005D4CB2"/>
    <w:p w14:paraId="48D31B91" w14:textId="77777777" w:rsidR="0036688B" w:rsidRPr="001E7293" w:rsidRDefault="0036688B" w:rsidP="005D4CB2">
      <w:pPr>
        <w:pStyle w:val="Heading2"/>
        <w:pageBreakBefore/>
      </w:pPr>
      <w:r w:rsidRPr="001E7293">
        <w:lastRenderedPageBreak/>
        <w:t>Sign off</w:t>
      </w:r>
    </w:p>
    <w:p w14:paraId="65D56E14"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651C7619" w14:textId="77777777" w:rsidTr="00B32717">
        <w:trPr>
          <w:trHeight w:val="1247"/>
        </w:trPr>
        <w:tc>
          <w:tcPr>
            <w:tcW w:w="9464" w:type="dxa"/>
            <w:gridSpan w:val="3"/>
            <w:tcBorders>
              <w:top w:val="nil"/>
              <w:bottom w:val="dashed" w:sz="4" w:space="0" w:color="auto"/>
            </w:tcBorders>
            <w:vAlign w:val="center"/>
          </w:tcPr>
          <w:p w14:paraId="47ECDE64" w14:textId="77777777" w:rsidR="00B32717" w:rsidRPr="001E7293" w:rsidRDefault="00B32717" w:rsidP="00B32717">
            <w:pPr>
              <w:keepNext/>
              <w:keepLines/>
              <w:spacing w:before="120" w:after="120" w:line="280" w:lineRule="exact"/>
              <w:rPr>
                <w:b/>
                <w:bCs/>
                <w:color w:val="C00000"/>
              </w:rPr>
            </w:pPr>
          </w:p>
        </w:tc>
      </w:tr>
      <w:tr w:rsidR="0036688B" w:rsidRPr="001E7293" w14:paraId="2C86D5EB" w14:textId="77777777" w:rsidTr="001E7293">
        <w:tc>
          <w:tcPr>
            <w:tcW w:w="5192" w:type="dxa"/>
            <w:tcBorders>
              <w:top w:val="dashed" w:sz="4" w:space="0" w:color="auto"/>
              <w:bottom w:val="nil"/>
              <w:right w:val="nil"/>
            </w:tcBorders>
            <w:vAlign w:val="center"/>
          </w:tcPr>
          <w:p w14:paraId="0FEB79C6"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57AB487E"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6108E004"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38476DD8" w14:textId="77777777" w:rsidTr="001E7293">
        <w:tc>
          <w:tcPr>
            <w:tcW w:w="5192" w:type="dxa"/>
            <w:tcBorders>
              <w:top w:val="nil"/>
              <w:bottom w:val="nil"/>
              <w:right w:val="nil"/>
            </w:tcBorders>
            <w:vAlign w:val="center"/>
          </w:tcPr>
          <w:p w14:paraId="4BC95164"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05444BF0"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2821EB2A" w14:textId="77777777" w:rsidR="001E7293" w:rsidRPr="001E7293" w:rsidRDefault="001E7293" w:rsidP="00B32717">
            <w:pPr>
              <w:keepNext/>
              <w:keepLines/>
              <w:spacing w:before="120" w:after="120" w:line="280" w:lineRule="exact"/>
              <w:rPr>
                <w:b/>
                <w:bCs/>
                <w:color w:val="C00000"/>
              </w:rPr>
            </w:pPr>
          </w:p>
        </w:tc>
      </w:tr>
      <w:tr w:rsidR="0036688B" w:rsidRPr="001E7293" w14:paraId="6E77DFF9" w14:textId="77777777" w:rsidTr="001E7293">
        <w:tc>
          <w:tcPr>
            <w:tcW w:w="9464" w:type="dxa"/>
            <w:gridSpan w:val="3"/>
            <w:tcBorders>
              <w:top w:val="nil"/>
            </w:tcBorders>
          </w:tcPr>
          <w:p w14:paraId="274DCB2A" w14:textId="0A31E775" w:rsidR="00E677DC" w:rsidRPr="00E677DC" w:rsidRDefault="00E677DC" w:rsidP="00503044">
            <w:pPr>
              <w:keepNext/>
              <w:keepLines/>
              <w:spacing w:after="960" w:line="280" w:lineRule="exact"/>
              <w:rPr>
                <w:b/>
                <w:bCs/>
                <w:color w:val="365F91"/>
              </w:rPr>
            </w:pPr>
            <w:r>
              <w:rPr>
                <w:b/>
                <w:bCs/>
                <w:color w:val="365F91"/>
              </w:rPr>
              <w:t>The Hon Sue Ellery</w:t>
            </w:r>
            <w:r w:rsidR="00E412C2">
              <w:rPr>
                <w:b/>
                <w:bCs/>
                <w:color w:val="365F91"/>
              </w:rPr>
              <w:t xml:space="preserve"> MLC</w:t>
            </w:r>
            <w:r>
              <w:rPr>
                <w:b/>
                <w:bCs/>
                <w:color w:val="365F91"/>
              </w:rPr>
              <w:br/>
              <w:t>Minister for Education and Training</w:t>
            </w:r>
          </w:p>
        </w:tc>
      </w:tr>
      <w:tr w:rsidR="0036688B" w:rsidRPr="001E7293" w14:paraId="7653BAB3" w14:textId="77777777" w:rsidTr="001E7293">
        <w:tc>
          <w:tcPr>
            <w:tcW w:w="5192" w:type="dxa"/>
            <w:tcBorders>
              <w:top w:val="nil"/>
              <w:bottom w:val="nil"/>
              <w:right w:val="nil"/>
            </w:tcBorders>
            <w:vAlign w:val="center"/>
          </w:tcPr>
          <w:p w14:paraId="07D84BDF"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0FE35998"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1FF0DCCF"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61052D8F" w14:textId="77777777" w:rsidTr="001E7293">
        <w:trPr>
          <w:trHeight w:val="822"/>
        </w:trPr>
        <w:tc>
          <w:tcPr>
            <w:tcW w:w="9464" w:type="dxa"/>
            <w:gridSpan w:val="3"/>
            <w:tcBorders>
              <w:top w:val="nil"/>
              <w:bottom w:val="nil"/>
            </w:tcBorders>
          </w:tcPr>
          <w:p w14:paraId="052E6C80" w14:textId="77777777" w:rsidR="001E7293" w:rsidRPr="001E7293" w:rsidRDefault="001E7293" w:rsidP="00503044">
            <w:pPr>
              <w:rPr>
                <w:b/>
                <w:bCs/>
                <w:color w:val="365F91"/>
              </w:rPr>
            </w:pPr>
          </w:p>
        </w:tc>
      </w:tr>
      <w:tr w:rsidR="001E7293" w:rsidRPr="001E7293" w14:paraId="22B6B16C" w14:textId="77777777" w:rsidTr="001E7293">
        <w:trPr>
          <w:trHeight w:val="822"/>
        </w:trPr>
        <w:tc>
          <w:tcPr>
            <w:tcW w:w="9464" w:type="dxa"/>
            <w:gridSpan w:val="3"/>
            <w:tcBorders>
              <w:top w:val="nil"/>
            </w:tcBorders>
          </w:tcPr>
          <w:p w14:paraId="1EB1B698" w14:textId="77777777" w:rsidR="001E7293" w:rsidRPr="001E7293" w:rsidRDefault="001E7293" w:rsidP="00503044">
            <w:pPr>
              <w:rPr>
                <w:b/>
                <w:bCs/>
                <w:color w:val="365F91"/>
              </w:rPr>
            </w:pPr>
          </w:p>
        </w:tc>
      </w:tr>
      <w:tr w:rsidR="0036688B" w:rsidRPr="00317899" w14:paraId="1E1EA9FE" w14:textId="77777777" w:rsidTr="00B32717">
        <w:trPr>
          <w:trHeight w:val="822"/>
        </w:trPr>
        <w:tc>
          <w:tcPr>
            <w:tcW w:w="9464" w:type="dxa"/>
            <w:gridSpan w:val="3"/>
          </w:tcPr>
          <w:p w14:paraId="55C14BA8" w14:textId="3D2B47C5" w:rsidR="00503044" w:rsidRPr="001E7293" w:rsidRDefault="005665F7" w:rsidP="00503044">
            <w:pPr>
              <w:rPr>
                <w:b/>
                <w:bCs/>
                <w:color w:val="365F91"/>
              </w:rPr>
            </w:pPr>
            <w:r>
              <w:rPr>
                <w:b/>
                <w:bCs/>
                <w:color w:val="365F91"/>
              </w:rPr>
              <w:t xml:space="preserve">The </w:t>
            </w:r>
            <w:r w:rsidR="00503044" w:rsidRPr="001E7293">
              <w:rPr>
                <w:b/>
                <w:bCs/>
                <w:color w:val="365F91"/>
              </w:rPr>
              <w:t xml:space="preserve">Hon </w:t>
            </w:r>
            <w:r w:rsidR="001862CB">
              <w:rPr>
                <w:b/>
                <w:bCs/>
                <w:color w:val="365F91"/>
              </w:rPr>
              <w:t xml:space="preserve">Dan </w:t>
            </w:r>
            <w:proofErr w:type="spellStart"/>
            <w:r w:rsidR="001862CB">
              <w:rPr>
                <w:b/>
                <w:bCs/>
                <w:color w:val="365F91"/>
              </w:rPr>
              <w:t>Tehan</w:t>
            </w:r>
            <w:proofErr w:type="spellEnd"/>
            <w:r w:rsidR="001862CB">
              <w:rPr>
                <w:b/>
                <w:bCs/>
                <w:color w:val="365F91"/>
              </w:rPr>
              <w:t xml:space="preserve"> MP</w:t>
            </w:r>
          </w:p>
          <w:p w14:paraId="73805A8C" w14:textId="77777777" w:rsidR="0036688B" w:rsidRPr="00317899" w:rsidRDefault="00503044" w:rsidP="001862CB">
            <w:pPr>
              <w:spacing w:line="280" w:lineRule="exact"/>
              <w:rPr>
                <w:b/>
                <w:bCs/>
                <w:color w:val="365F91"/>
              </w:rPr>
            </w:pPr>
            <w:r w:rsidRPr="001E7293">
              <w:rPr>
                <w:b/>
                <w:bCs/>
                <w:color w:val="365F91"/>
              </w:rPr>
              <w:t xml:space="preserve">Minister for Education </w:t>
            </w:r>
          </w:p>
        </w:tc>
      </w:tr>
    </w:tbl>
    <w:p w14:paraId="196C35F0" w14:textId="77777777" w:rsidR="0036688B" w:rsidRDefault="0036688B" w:rsidP="00695DE1"/>
    <w:p w14:paraId="675E08A9" w14:textId="77777777" w:rsidR="00F55711" w:rsidRDefault="00F55711" w:rsidP="00695DE1"/>
    <w:p w14:paraId="1D7F1862" w14:textId="77777777" w:rsidR="00F55711" w:rsidRDefault="00F55711" w:rsidP="00695DE1"/>
    <w:p w14:paraId="2FD72B0A" w14:textId="77777777" w:rsidR="00F55711" w:rsidRPr="00317899" w:rsidRDefault="00F55711" w:rsidP="00695DE1"/>
    <w:sectPr w:rsidR="00F55711" w:rsidRPr="00317899" w:rsidSect="00FB7D31">
      <w:headerReference w:type="default" r:id="rId10"/>
      <w:footerReference w:type="default" r:id="rId11"/>
      <w:pgSz w:w="11906" w:h="16838" w:code="9"/>
      <w:pgMar w:top="851" w:right="1418" w:bottom="102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8CF1458" w14:textId="7E291CA2" w:rsidR="00981761" w:rsidRDefault="00981761">
      <w:pPr>
        <w:pStyle w:val="CommentText"/>
      </w:pPr>
      <w:r>
        <w:rPr>
          <w:rStyle w:val="CommentReference"/>
        </w:rPr>
        <w:annotationRef/>
      </w:r>
      <w:r>
        <w:t>Is this issue still the same and therefore no change is required here?</w:t>
      </w:r>
    </w:p>
  </w:comment>
  <w:comment w:id="2" w:author="Author" w:initials="A">
    <w:p w14:paraId="16E34C47" w14:textId="4ED94123" w:rsidR="00D07EAF" w:rsidRPr="00D24850" w:rsidRDefault="00D07EAF">
      <w:pPr>
        <w:pStyle w:val="CommentText"/>
        <w:rPr>
          <w:b/>
          <w:color w:val="00B050"/>
          <w:sz w:val="24"/>
          <w:szCs w:val="24"/>
        </w:rPr>
      </w:pPr>
      <w:r>
        <w:rPr>
          <w:rStyle w:val="CommentReference"/>
        </w:rPr>
        <w:annotationRef/>
      </w:r>
      <w:r w:rsidRPr="00D24850">
        <w:rPr>
          <w:b/>
          <w:color w:val="00B050"/>
          <w:sz w:val="24"/>
          <w:szCs w:val="24"/>
        </w:rPr>
        <w:t xml:space="preserve">This issue is ongoing and is still the same and therefore no change is required.  </w:t>
      </w:r>
    </w:p>
  </w:comment>
  <w:comment w:id="3" w:author="Author" w:initials="A">
    <w:p w14:paraId="3C74EC72" w14:textId="6D9E5725" w:rsidR="00300842" w:rsidRDefault="00300842">
      <w:pPr>
        <w:pStyle w:val="CommentText"/>
      </w:pPr>
      <w:r>
        <w:rPr>
          <w:rStyle w:val="CommentReference"/>
        </w:rPr>
        <w:annotationRef/>
      </w:r>
      <w:r w:rsidR="001D6717">
        <w:t>Numbers checked against UANP</w:t>
      </w:r>
    </w:p>
    <w:p w14:paraId="6E8216D5" w14:textId="51E5D962" w:rsidR="00D24850" w:rsidRPr="00D24850" w:rsidRDefault="00D24850">
      <w:pPr>
        <w:pStyle w:val="CommentText"/>
        <w:rPr>
          <w:b/>
          <w:sz w:val="24"/>
          <w:szCs w:val="24"/>
        </w:rPr>
      </w:pPr>
      <w:r w:rsidRPr="00D24850">
        <w:rPr>
          <w:b/>
          <w:color w:val="00B050"/>
          <w:sz w:val="24"/>
          <w:szCs w:val="24"/>
        </w:rPr>
        <w:t>Thanks</w:t>
      </w:r>
    </w:p>
  </w:comment>
  <w:comment w:id="4" w:author="Author" w:initials="A">
    <w:p w14:paraId="6797C80D" w14:textId="6C57C7FD" w:rsidR="00275F24" w:rsidRDefault="00DF4EB6">
      <w:pPr>
        <w:pStyle w:val="CommentText"/>
      </w:pPr>
      <w:r>
        <w:rPr>
          <w:rStyle w:val="CommentReference"/>
        </w:rPr>
        <w:annotationRef/>
      </w:r>
      <w:r>
        <w:t>Suggested additions for more recent data relating to WA population and participation rates</w:t>
      </w:r>
      <w:r w:rsidR="00275F24">
        <w:t xml:space="preserve">. </w:t>
      </w:r>
    </w:p>
    <w:p w14:paraId="7EA02EE4" w14:textId="37B35E9F" w:rsidR="00E059F9" w:rsidRPr="00E059F9" w:rsidRDefault="00E059F9">
      <w:pPr>
        <w:pStyle w:val="CommentText"/>
        <w:rPr>
          <w:b/>
        </w:rPr>
      </w:pPr>
      <w:r w:rsidRPr="00E059F9">
        <w:rPr>
          <w:b/>
          <w:color w:val="00B050"/>
        </w:rPr>
        <w:t>OK</w:t>
      </w:r>
    </w:p>
  </w:comment>
  <w:comment w:id="5" w:author="Author" w:initials="A">
    <w:p w14:paraId="260C65C4" w14:textId="1F9B1CBF" w:rsidR="00275F24" w:rsidRDefault="00275F24">
      <w:pPr>
        <w:pStyle w:val="CommentText"/>
      </w:pPr>
      <w:r>
        <w:rPr>
          <w:rStyle w:val="CommentReference"/>
        </w:rPr>
        <w:annotationRef/>
      </w:r>
      <w:r>
        <w:t>Confirmed – this rate remains the same in the 2018 National Collection</w:t>
      </w:r>
    </w:p>
    <w:p w14:paraId="1CAA9857" w14:textId="594F7C47" w:rsidR="00E059F9" w:rsidRPr="00E059F9" w:rsidRDefault="00E059F9">
      <w:pPr>
        <w:pStyle w:val="CommentText"/>
        <w:rPr>
          <w:b/>
        </w:rPr>
      </w:pPr>
      <w:r w:rsidRPr="00E059F9">
        <w:rPr>
          <w:b/>
          <w:color w:val="00B050"/>
        </w:rPr>
        <w:t>Thank you</w:t>
      </w:r>
    </w:p>
  </w:comment>
  <w:comment w:id="6" w:author="Author" w:initials="A">
    <w:p w14:paraId="2CA1513F" w14:textId="3B1A3D7B" w:rsidR="00275F24" w:rsidRDefault="00275F24">
      <w:pPr>
        <w:pStyle w:val="CommentText"/>
      </w:pPr>
      <w:r>
        <w:rPr>
          <w:rStyle w:val="CommentReference"/>
        </w:rPr>
        <w:annotationRef/>
      </w:r>
      <w:r>
        <w:t>Suggested addition to reflect these results were same in 2018.</w:t>
      </w:r>
      <w:r w:rsidR="00D24850">
        <w:t xml:space="preserve"> </w:t>
      </w:r>
      <w:r w:rsidR="00D24850" w:rsidRPr="00D24850">
        <w:rPr>
          <w:b/>
          <w:color w:val="00B050"/>
        </w:rPr>
        <w:t>Thanks</w:t>
      </w:r>
    </w:p>
  </w:comment>
  <w:comment w:id="7" w:author="Author" w:initials="A">
    <w:p w14:paraId="3D11A661" w14:textId="1BD3F2C9" w:rsidR="00275F24" w:rsidRDefault="00275F24">
      <w:pPr>
        <w:pStyle w:val="CommentText"/>
      </w:pPr>
      <w:r>
        <w:rPr>
          <w:rStyle w:val="CommentReference"/>
        </w:rPr>
        <w:annotationRef/>
      </w:r>
      <w:r w:rsidR="00F02179">
        <w:t>Not able to recreate this from the published ABS data – maybe it was done in the microdata? Can this be updated to cover 2018?</w:t>
      </w:r>
    </w:p>
    <w:p w14:paraId="2D15BAD9" w14:textId="17114D70" w:rsidR="00614357" w:rsidRPr="00614357" w:rsidRDefault="00614357">
      <w:pPr>
        <w:pStyle w:val="CommentText"/>
        <w:rPr>
          <w:b/>
          <w:color w:val="00B050"/>
          <w:sz w:val="24"/>
          <w:szCs w:val="24"/>
        </w:rPr>
      </w:pPr>
      <w:r w:rsidRPr="00614357">
        <w:rPr>
          <w:b/>
          <w:color w:val="00B050"/>
          <w:sz w:val="24"/>
          <w:szCs w:val="24"/>
        </w:rPr>
        <w:t>Updated</w:t>
      </w:r>
    </w:p>
  </w:comment>
  <w:comment w:id="8" w:author="Author" w:initials="A">
    <w:p w14:paraId="53E879AD" w14:textId="4C217069" w:rsidR="00981761" w:rsidRDefault="00981761">
      <w:pPr>
        <w:pStyle w:val="CommentText"/>
      </w:pPr>
      <w:r>
        <w:rPr>
          <w:rStyle w:val="CommentReference"/>
        </w:rPr>
        <w:annotationRef/>
      </w:r>
      <w:r>
        <w:t>Has this been pursued and could we includ</w:t>
      </w:r>
      <w:r w:rsidR="00F02179">
        <w:t>e updated information here also?</w:t>
      </w:r>
    </w:p>
    <w:p w14:paraId="39E253B2" w14:textId="7B595DEE" w:rsidR="001222CA" w:rsidRPr="00397197" w:rsidRDefault="001222CA">
      <w:pPr>
        <w:pStyle w:val="CommentText"/>
        <w:rPr>
          <w:b/>
        </w:rPr>
      </w:pPr>
      <w:r w:rsidRPr="00397197">
        <w:rPr>
          <w:b/>
          <w:color w:val="00B050"/>
        </w:rPr>
        <w:t>YES</w:t>
      </w:r>
      <w:r w:rsidR="00E31286">
        <w:rPr>
          <w:b/>
          <w:color w:val="00B050"/>
        </w:rPr>
        <w:t xml:space="preserve"> – changes made to wording. </w:t>
      </w:r>
    </w:p>
  </w:comment>
  <w:comment w:id="9" w:author="Author" w:initials="A">
    <w:p w14:paraId="3E565320" w14:textId="77777777" w:rsidR="00CC74CF" w:rsidRDefault="00CC74CF">
      <w:pPr>
        <w:pStyle w:val="CommentText"/>
      </w:pPr>
      <w:r>
        <w:rPr>
          <w:rStyle w:val="CommentReference"/>
        </w:rPr>
        <w:annotationRef/>
      </w:r>
      <w:r>
        <w:t>We have included the 2018 performance and 2020 target here.</w:t>
      </w:r>
    </w:p>
    <w:p w14:paraId="2D9D5E8A" w14:textId="0261A3CE" w:rsidR="001222CA" w:rsidRPr="00397197" w:rsidRDefault="001222CA">
      <w:pPr>
        <w:pStyle w:val="CommentText"/>
        <w:rPr>
          <w:b/>
        </w:rPr>
      </w:pPr>
      <w:r w:rsidRPr="00397197">
        <w:rPr>
          <w:b/>
          <w:color w:val="00B050"/>
        </w:rP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F1458" w15:done="0"/>
  <w15:commentEx w15:paraId="16E34C47" w15:done="0"/>
  <w15:commentEx w15:paraId="6E8216D5" w15:done="0"/>
  <w15:commentEx w15:paraId="7EA02EE4" w15:done="0"/>
  <w15:commentEx w15:paraId="1CAA9857" w15:done="0"/>
  <w15:commentEx w15:paraId="2CA1513F" w15:done="0"/>
  <w15:commentEx w15:paraId="2D15BAD9" w15:done="0"/>
  <w15:commentEx w15:paraId="39E253B2" w15:done="0"/>
  <w15:commentEx w15:paraId="2D9D5E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0B67" w14:textId="77777777" w:rsidR="005A3BC9" w:rsidRDefault="005A3BC9" w:rsidP="00520331">
      <w:r>
        <w:separator/>
      </w:r>
    </w:p>
  </w:endnote>
  <w:endnote w:type="continuationSeparator" w:id="0">
    <w:p w14:paraId="52A1D033" w14:textId="77777777" w:rsidR="005A3BC9" w:rsidRDefault="005A3BC9"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3A86" w14:textId="0A6CFF1A"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292C9F">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AE452" w14:textId="77777777" w:rsidR="005A3BC9" w:rsidRDefault="005A3BC9" w:rsidP="00520331">
      <w:r>
        <w:separator/>
      </w:r>
    </w:p>
  </w:footnote>
  <w:footnote w:type="continuationSeparator" w:id="0">
    <w:p w14:paraId="3CFD606E" w14:textId="77777777" w:rsidR="005A3BC9" w:rsidRDefault="005A3BC9" w:rsidP="00520331">
      <w:r>
        <w:continuationSeparator/>
      </w:r>
    </w:p>
  </w:footnote>
  <w:footnote w:id="1">
    <w:p w14:paraId="5818AD4C" w14:textId="10FB827D" w:rsidR="00CE621A" w:rsidRPr="00CA695E" w:rsidRDefault="00CE621A" w:rsidP="00CE621A">
      <w:pPr>
        <w:pStyle w:val="FootnoteText"/>
        <w:rPr>
          <w:lang w:val="en-US"/>
        </w:rPr>
      </w:pPr>
      <w:r>
        <w:rPr>
          <w:rStyle w:val="FootnoteReference"/>
        </w:rPr>
        <w:footnoteRef/>
      </w:r>
      <w:r w:rsidR="00061571">
        <w:t xml:space="preserve"> </w:t>
      </w:r>
      <w:r w:rsidR="00061571" w:rsidRPr="00061571">
        <w:t>Australian Bureau of Statistics</w:t>
      </w:r>
      <w:r w:rsidR="00C74830">
        <w:t xml:space="preserve"> (ABS)</w:t>
      </w:r>
      <w:r w:rsidR="00061571" w:rsidRPr="00061571">
        <w:t xml:space="preserve">, </w:t>
      </w:r>
      <w:r w:rsidR="00061571" w:rsidRPr="00425477">
        <w:rPr>
          <w:i/>
        </w:rPr>
        <w:t>Estimates and Projections, Aboriginal and Torres Strait Islander Australians, 2001 to 2026</w:t>
      </w:r>
      <w:r w:rsidR="00061571">
        <w:t xml:space="preserve">, </w:t>
      </w:r>
      <w:r w:rsidR="00061571" w:rsidRPr="00061571">
        <w:t>released 3</w:t>
      </w:r>
      <w:r w:rsidR="00A0085F">
        <w:t>0 April 2014</w:t>
      </w:r>
      <w:r w:rsidR="00061571" w:rsidRPr="00061571">
        <w:t>, 3238.0</w:t>
      </w:r>
      <w:r w:rsidR="00A0085F">
        <w:t xml:space="preserve"> </w:t>
      </w:r>
    </w:p>
  </w:footnote>
  <w:footnote w:id="2">
    <w:p w14:paraId="0768A19A" w14:textId="51372944" w:rsidR="00C74830" w:rsidRPr="000C7A5B" w:rsidRDefault="00C74830" w:rsidP="00C74830">
      <w:pPr>
        <w:pStyle w:val="FootnoteText"/>
      </w:pPr>
      <w:r>
        <w:rPr>
          <w:rStyle w:val="FootnoteReference"/>
        </w:rPr>
        <w:footnoteRef/>
      </w:r>
      <w:r>
        <w:t xml:space="preserve"> ABS, </w:t>
      </w:r>
      <w:r>
        <w:rPr>
          <w:i/>
        </w:rPr>
        <w:t>Australian Demographic Statistics, Mar 2019</w:t>
      </w:r>
      <w:r>
        <w:t>, released 19 September 2019, 3101.0</w:t>
      </w:r>
    </w:p>
  </w:footnote>
  <w:footnote w:id="3">
    <w:p w14:paraId="74229D30" w14:textId="55B9E418" w:rsidR="00C74830" w:rsidRDefault="00C74830">
      <w:pPr>
        <w:pStyle w:val="FootnoteText"/>
      </w:pPr>
      <w:r>
        <w:rPr>
          <w:rStyle w:val="FootnoteReference"/>
        </w:rPr>
        <w:footnoteRef/>
      </w:r>
      <w:r>
        <w:t xml:space="preserve"> ABS</w:t>
      </w:r>
      <w:r w:rsidRPr="00061571">
        <w:t xml:space="preserve">, </w:t>
      </w:r>
      <w:r w:rsidRPr="00425477">
        <w:rPr>
          <w:i/>
        </w:rPr>
        <w:t>Estimates and Projections, Aboriginal and Torres Strait Islander Australians, 2001 to 20</w:t>
      </w:r>
      <w:r>
        <w:rPr>
          <w:i/>
        </w:rPr>
        <w:t>31</w:t>
      </w:r>
      <w:r>
        <w:t xml:space="preserve">, </w:t>
      </w:r>
      <w:r w:rsidRPr="00061571">
        <w:t xml:space="preserve">released </w:t>
      </w:r>
      <w:r>
        <w:t>11 July 2019</w:t>
      </w:r>
      <w:r w:rsidRPr="00061571">
        <w:t>, 3238.0</w:t>
      </w:r>
    </w:p>
  </w:footnote>
  <w:footnote w:id="4">
    <w:p w14:paraId="798CC020" w14:textId="508C63F9" w:rsidR="00585698" w:rsidRDefault="00585698">
      <w:pPr>
        <w:pStyle w:val="FootnoteText"/>
      </w:pPr>
      <w:r>
        <w:rPr>
          <w:rStyle w:val="FootnoteReference"/>
        </w:rPr>
        <w:footnoteRef/>
      </w:r>
      <w:r>
        <w:t xml:space="preserve"> Department of Education and Training (2018). </w:t>
      </w:r>
      <w:r w:rsidRPr="00425477">
        <w:rPr>
          <w:i/>
        </w:rPr>
        <w:t>National Report on the National Partnership Agreement on Universal Access to Early Childhood Education 2016 – 2017</w:t>
      </w:r>
      <w:r>
        <w:t>;</w:t>
      </w:r>
      <w:r w:rsidRPr="00585698">
        <w:t xml:space="preserve"> </w:t>
      </w:r>
      <w:r>
        <w:t>Australian Government Department of Education</w:t>
      </w:r>
      <w:r w:rsidR="004615A7">
        <w:t>—administrative data (performance results for 2018)</w:t>
      </w:r>
    </w:p>
  </w:footnote>
  <w:footnote w:id="5">
    <w:p w14:paraId="45BD194C" w14:textId="1CAFC126" w:rsidR="00425477" w:rsidRDefault="00425477">
      <w:pPr>
        <w:pStyle w:val="FootnoteText"/>
      </w:pPr>
      <w:r>
        <w:rPr>
          <w:rStyle w:val="FootnoteReference"/>
        </w:rPr>
        <w:footnoteRef/>
      </w:r>
      <w:r>
        <w:t xml:space="preserve"> </w:t>
      </w:r>
      <w:r w:rsidR="00275F24">
        <w:t>ABS</w:t>
      </w:r>
      <w:r w:rsidRPr="00061571">
        <w:t xml:space="preserve">, </w:t>
      </w:r>
      <w:r w:rsidRPr="00425477">
        <w:rPr>
          <w:i/>
        </w:rPr>
        <w:t>Preschool Education Australia 2017</w:t>
      </w:r>
      <w:r>
        <w:t xml:space="preserve">, </w:t>
      </w:r>
      <w:r w:rsidRPr="00061571">
        <w:t xml:space="preserve">released </w:t>
      </w:r>
      <w:r>
        <w:t>15 February 2018</w:t>
      </w:r>
      <w:r w:rsidRPr="00061571">
        <w:t xml:space="preserve">, </w:t>
      </w:r>
      <w:r w:rsidR="00275F24">
        <w:t xml:space="preserve">and </w:t>
      </w:r>
      <w:r w:rsidR="00275F24">
        <w:rPr>
          <w:i/>
        </w:rPr>
        <w:t xml:space="preserve">Preschool Education Australia 2018, </w:t>
      </w:r>
      <w:r w:rsidR="00275F24">
        <w:t xml:space="preserve">released 13 February 2019, </w:t>
      </w:r>
      <w:r>
        <w:t>4240.0.</w:t>
      </w:r>
    </w:p>
  </w:footnote>
  <w:footnote w:id="6">
    <w:p w14:paraId="0280468A" w14:textId="77777777" w:rsidR="005F6733" w:rsidRDefault="005F6733" w:rsidP="005F6733">
      <w:pPr>
        <w:pStyle w:val="FootnoteText"/>
      </w:pPr>
      <w:r>
        <w:rPr>
          <w:rStyle w:val="FootnoteReference"/>
        </w:rPr>
        <w:footnoteRef/>
      </w:r>
      <w:r>
        <w:t xml:space="preserve"> Hand, K. Baxter, J. </w:t>
      </w:r>
      <w:proofErr w:type="spellStart"/>
      <w:r>
        <w:t>Sweid</w:t>
      </w:r>
      <w:proofErr w:type="spellEnd"/>
      <w:r>
        <w:t xml:space="preserve">, R., </w:t>
      </w:r>
      <w:proofErr w:type="spellStart"/>
      <w:r>
        <w:t>Bluett</w:t>
      </w:r>
      <w:proofErr w:type="spellEnd"/>
      <w:r>
        <w:t xml:space="preserve">-Boyd, N. &amp; Price-Robertson, R. (2014).  </w:t>
      </w:r>
      <w:r w:rsidRPr="00AB6D6E">
        <w:rPr>
          <w:i/>
        </w:rPr>
        <w:t xml:space="preserve">Access to early childhood education in Australia: </w:t>
      </w:r>
      <w:r>
        <w:rPr>
          <w:i/>
        </w:rPr>
        <w:t>I</w:t>
      </w:r>
      <w:r w:rsidRPr="00AB6D6E">
        <w:rPr>
          <w:i/>
        </w:rPr>
        <w:t>nsights from a qualitative study</w:t>
      </w:r>
      <w:r>
        <w:t xml:space="preserve"> (Research Report No. 28). Melbourne: Australian Institute of Family Studies.</w:t>
      </w:r>
    </w:p>
  </w:footnote>
  <w:footnote w:id="7">
    <w:p w14:paraId="0E1ECC04" w14:textId="7738248B" w:rsidR="003A2960" w:rsidRDefault="003A2960">
      <w:pPr>
        <w:pStyle w:val="FootnoteText"/>
      </w:pPr>
      <w:r>
        <w:rPr>
          <w:rStyle w:val="FootnoteReference"/>
        </w:rPr>
        <w:footnoteRef/>
      </w:r>
      <w:r>
        <w:t xml:space="preserve"> </w:t>
      </w:r>
      <w:r w:rsidRPr="00061571">
        <w:t>Australian Bureau of Statistics</w:t>
      </w:r>
      <w:r w:rsidR="00D1736D">
        <w:t xml:space="preserve"> (2019)</w:t>
      </w:r>
      <w:r w:rsidRPr="00061571">
        <w:t xml:space="preserve">, </w:t>
      </w:r>
      <w:r w:rsidR="00D1736D">
        <w:t xml:space="preserve">4240.0 </w:t>
      </w:r>
      <w:r w:rsidRPr="00425477">
        <w:rPr>
          <w:i/>
        </w:rPr>
        <w:t xml:space="preserve">Preschool Education Australia </w:t>
      </w:r>
      <w:r w:rsidR="00D1736D">
        <w:rPr>
          <w:i/>
        </w:rPr>
        <w:t>2018</w:t>
      </w:r>
      <w:r>
        <w:t xml:space="preserve">, </w:t>
      </w:r>
      <w:r w:rsidR="00D1736D">
        <w:t>Table</w:t>
      </w:r>
      <w:r w:rsidR="002813EB">
        <w:t xml:space="preserve"> 13.</w:t>
      </w:r>
    </w:p>
  </w:footnote>
  <w:footnote w:id="8">
    <w:p w14:paraId="4E856B8E" w14:textId="77777777" w:rsidR="00846A8B" w:rsidRDefault="00846A8B" w:rsidP="00846A8B">
      <w:pPr>
        <w:pStyle w:val="FootnoteText"/>
      </w:pPr>
      <w:r>
        <w:rPr>
          <w:rStyle w:val="FootnoteReference"/>
        </w:rPr>
        <w:footnoteRef/>
      </w:r>
      <w:r>
        <w:t xml:space="preserve"> Ibid.</w:t>
      </w:r>
    </w:p>
  </w:footnote>
  <w:footnote w:id="9">
    <w:p w14:paraId="6F7BF69B" w14:textId="4B5566F5" w:rsidR="00F36768" w:rsidRPr="002D00DB" w:rsidRDefault="00F36768" w:rsidP="00F36768">
      <w:pPr>
        <w:pStyle w:val="FootnoteText"/>
      </w:pPr>
      <w:r>
        <w:rPr>
          <w:rStyle w:val="FootnoteReference"/>
        </w:rPr>
        <w:footnoteRef/>
      </w:r>
      <w:r>
        <w:t xml:space="preserve"> </w:t>
      </w:r>
      <w:r w:rsidR="005054F7">
        <w:t xml:space="preserve">Australian Bureau of Statistics, </w:t>
      </w:r>
      <w:r w:rsidRPr="005F1C88">
        <w:rPr>
          <w:i/>
        </w:rPr>
        <w:t>Estimates of Aboriginal and Torres Strait Islander Australians</w:t>
      </w:r>
      <w:r>
        <w:t>, June 20</w:t>
      </w:r>
      <w:r w:rsidR="005054F7">
        <w:t>16, released 31 August 2018, 3238.0.55.001.</w:t>
      </w:r>
    </w:p>
  </w:footnote>
  <w:footnote w:id="10">
    <w:p w14:paraId="01B09837" w14:textId="77777777" w:rsidR="00F36768" w:rsidRPr="00581506" w:rsidRDefault="00F36768" w:rsidP="00F36768">
      <w:pPr>
        <w:pStyle w:val="FootnoteText"/>
        <w:rPr>
          <w:lang w:val="en-US"/>
        </w:rPr>
      </w:pPr>
      <w:r>
        <w:rPr>
          <w:rStyle w:val="FootnoteReference"/>
        </w:rPr>
        <w:footnoteRef/>
      </w:r>
      <w:r>
        <w:t xml:space="preserve"> </w:t>
      </w:r>
      <w:r w:rsidR="00007B8D">
        <w:t xml:space="preserve">Productivity Commission (2018). </w:t>
      </w:r>
      <w:r w:rsidR="00007B8D">
        <w:rPr>
          <w:i/>
        </w:rPr>
        <w:t xml:space="preserve">Report on Government Services </w:t>
      </w:r>
      <w:r w:rsidR="00007B8D" w:rsidRPr="006C6B7E">
        <w:rPr>
          <w:i/>
        </w:rPr>
        <w:t>2018</w:t>
      </w:r>
      <w:r w:rsidR="00007B8D" w:rsidRPr="005F1C88">
        <w:rPr>
          <w:i/>
        </w:rPr>
        <w:t>,</w:t>
      </w:r>
      <w:r w:rsidR="00007B8D">
        <w:t xml:space="preserve"> Child care, education and training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707" w14:textId="77777777" w:rsidR="0047083A" w:rsidRDefault="0047083A"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33C83CF4"/>
    <w:multiLevelType w:val="hybridMultilevel"/>
    <w:tmpl w:val="DE4A7B0E"/>
    <w:lvl w:ilvl="0" w:tplc="660EB736">
      <w:start w:val="1"/>
      <w:numFmt w:val="lowerLetter"/>
      <w:lvlText w:val="(%1)"/>
      <w:lvlJc w:val="left"/>
      <w:pPr>
        <w:tabs>
          <w:tab w:val="num" w:pos="1440"/>
        </w:tabs>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5" w15:restartNumberingAfterBreak="0">
    <w:nsid w:val="37D47DD9"/>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6" w15:restartNumberingAfterBreak="0">
    <w:nsid w:val="700F3AD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78854AAC"/>
    <w:multiLevelType w:val="hybridMultilevel"/>
    <w:tmpl w:val="BC941E4E"/>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5">
      <w:start w:val="1"/>
      <w:numFmt w:val="bullet"/>
      <w:lvlText w:val=""/>
      <w:lvlJc w:val="left"/>
      <w:pPr>
        <w:tabs>
          <w:tab w:val="num" w:pos="2160"/>
        </w:tabs>
        <w:ind w:left="2160" w:hanging="180"/>
      </w:pPr>
      <w:rPr>
        <w:rFonts w:ascii="Wingdings" w:hAnsi="Wingdings" w:hint="default"/>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11"/>
  </w:num>
  <w:num w:numId="6">
    <w:abstractNumId w:val="0"/>
  </w:num>
  <w:num w:numId="7">
    <w:abstractNumId w:val="12"/>
  </w:num>
  <w:num w:numId="8">
    <w:abstractNumId w:val="6"/>
  </w:num>
  <w:num w:numId="9">
    <w:abstractNumId w:val="17"/>
  </w:num>
  <w:num w:numId="10">
    <w:abstractNumId w:val="14"/>
  </w:num>
  <w:num w:numId="11">
    <w:abstractNumId w:val="15"/>
  </w:num>
  <w:num w:numId="12">
    <w:abstractNumId w:val="18"/>
  </w:num>
  <w:num w:numId="13">
    <w:abstractNumId w:val="13"/>
  </w:num>
  <w:num w:numId="14">
    <w:abstractNumId w:val="4"/>
  </w:num>
  <w:num w:numId="15">
    <w:abstractNumId w:val="8"/>
  </w:num>
  <w:num w:numId="16">
    <w:abstractNumId w:val="9"/>
  </w:num>
  <w:num w:numId="17">
    <w:abstractNumId w:val="5"/>
  </w:num>
  <w:num w:numId="18">
    <w:abstractNumId w:val="1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revisionView w:markup="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CAD"/>
    <w:rsid w:val="00003DE7"/>
    <w:rsid w:val="00003EAE"/>
    <w:rsid w:val="000049EB"/>
    <w:rsid w:val="00007B8D"/>
    <w:rsid w:val="00011DA2"/>
    <w:rsid w:val="00012AAE"/>
    <w:rsid w:val="00013A91"/>
    <w:rsid w:val="000201B2"/>
    <w:rsid w:val="00022BED"/>
    <w:rsid w:val="00023C24"/>
    <w:rsid w:val="000240B5"/>
    <w:rsid w:val="00024B99"/>
    <w:rsid w:val="0002586A"/>
    <w:rsid w:val="00025F50"/>
    <w:rsid w:val="00030F67"/>
    <w:rsid w:val="0003449F"/>
    <w:rsid w:val="00034877"/>
    <w:rsid w:val="000375F8"/>
    <w:rsid w:val="00040405"/>
    <w:rsid w:val="00041625"/>
    <w:rsid w:val="00041D4C"/>
    <w:rsid w:val="0004432A"/>
    <w:rsid w:val="00044E74"/>
    <w:rsid w:val="00045778"/>
    <w:rsid w:val="00045AD7"/>
    <w:rsid w:val="00047FCB"/>
    <w:rsid w:val="00047FE7"/>
    <w:rsid w:val="00050B41"/>
    <w:rsid w:val="00054A8D"/>
    <w:rsid w:val="0005527C"/>
    <w:rsid w:val="00055E03"/>
    <w:rsid w:val="00056C4B"/>
    <w:rsid w:val="00061571"/>
    <w:rsid w:val="00062172"/>
    <w:rsid w:val="00062FD7"/>
    <w:rsid w:val="000713FA"/>
    <w:rsid w:val="000758BF"/>
    <w:rsid w:val="00086647"/>
    <w:rsid w:val="00086B8C"/>
    <w:rsid w:val="000873E5"/>
    <w:rsid w:val="00091BA8"/>
    <w:rsid w:val="000925CD"/>
    <w:rsid w:val="00093235"/>
    <w:rsid w:val="000939BF"/>
    <w:rsid w:val="00097950"/>
    <w:rsid w:val="000A1323"/>
    <w:rsid w:val="000A2E01"/>
    <w:rsid w:val="000A72D2"/>
    <w:rsid w:val="000B09BC"/>
    <w:rsid w:val="000B36D5"/>
    <w:rsid w:val="000C017B"/>
    <w:rsid w:val="000C1698"/>
    <w:rsid w:val="000C78CE"/>
    <w:rsid w:val="000C7A5B"/>
    <w:rsid w:val="000D4B5B"/>
    <w:rsid w:val="000D5B5B"/>
    <w:rsid w:val="000D5B7F"/>
    <w:rsid w:val="000D5C4C"/>
    <w:rsid w:val="000D6F25"/>
    <w:rsid w:val="000D7C4C"/>
    <w:rsid w:val="000E3092"/>
    <w:rsid w:val="000E3162"/>
    <w:rsid w:val="000E78C0"/>
    <w:rsid w:val="000F354C"/>
    <w:rsid w:val="000F3D79"/>
    <w:rsid w:val="000F56FD"/>
    <w:rsid w:val="000F5EB9"/>
    <w:rsid w:val="00102898"/>
    <w:rsid w:val="00102DDE"/>
    <w:rsid w:val="00105402"/>
    <w:rsid w:val="00105FB1"/>
    <w:rsid w:val="001108F3"/>
    <w:rsid w:val="00111A97"/>
    <w:rsid w:val="0011223F"/>
    <w:rsid w:val="00113524"/>
    <w:rsid w:val="00113BAA"/>
    <w:rsid w:val="0011673E"/>
    <w:rsid w:val="001168E4"/>
    <w:rsid w:val="00120218"/>
    <w:rsid w:val="0012049E"/>
    <w:rsid w:val="00120B80"/>
    <w:rsid w:val="001222CA"/>
    <w:rsid w:val="00124D8E"/>
    <w:rsid w:val="00127229"/>
    <w:rsid w:val="001273B5"/>
    <w:rsid w:val="001311E3"/>
    <w:rsid w:val="001328AA"/>
    <w:rsid w:val="001331EC"/>
    <w:rsid w:val="00136F02"/>
    <w:rsid w:val="00137155"/>
    <w:rsid w:val="00141ACB"/>
    <w:rsid w:val="001445F3"/>
    <w:rsid w:val="00146B46"/>
    <w:rsid w:val="00150526"/>
    <w:rsid w:val="00153BCD"/>
    <w:rsid w:val="00155B7D"/>
    <w:rsid w:val="001637AC"/>
    <w:rsid w:val="00164CEE"/>
    <w:rsid w:val="00166312"/>
    <w:rsid w:val="00166B80"/>
    <w:rsid w:val="00170639"/>
    <w:rsid w:val="00170688"/>
    <w:rsid w:val="00170B1A"/>
    <w:rsid w:val="00171B14"/>
    <w:rsid w:val="00172229"/>
    <w:rsid w:val="00172B12"/>
    <w:rsid w:val="00173BEB"/>
    <w:rsid w:val="00174506"/>
    <w:rsid w:val="00174BD4"/>
    <w:rsid w:val="001755D1"/>
    <w:rsid w:val="0018013A"/>
    <w:rsid w:val="00184292"/>
    <w:rsid w:val="001845B6"/>
    <w:rsid w:val="00184CDC"/>
    <w:rsid w:val="001862CB"/>
    <w:rsid w:val="00186FF4"/>
    <w:rsid w:val="00187966"/>
    <w:rsid w:val="00187A15"/>
    <w:rsid w:val="00191251"/>
    <w:rsid w:val="00191684"/>
    <w:rsid w:val="001918B1"/>
    <w:rsid w:val="00192CDE"/>
    <w:rsid w:val="00196A06"/>
    <w:rsid w:val="001A4374"/>
    <w:rsid w:val="001A652E"/>
    <w:rsid w:val="001A715E"/>
    <w:rsid w:val="001A7549"/>
    <w:rsid w:val="001B4635"/>
    <w:rsid w:val="001B5382"/>
    <w:rsid w:val="001B5415"/>
    <w:rsid w:val="001B662F"/>
    <w:rsid w:val="001C1144"/>
    <w:rsid w:val="001C49A4"/>
    <w:rsid w:val="001C56EC"/>
    <w:rsid w:val="001C6B67"/>
    <w:rsid w:val="001C7558"/>
    <w:rsid w:val="001D14B8"/>
    <w:rsid w:val="001D3134"/>
    <w:rsid w:val="001D47EA"/>
    <w:rsid w:val="001D5134"/>
    <w:rsid w:val="001D6717"/>
    <w:rsid w:val="001E0FB8"/>
    <w:rsid w:val="001E4E1F"/>
    <w:rsid w:val="001E67A2"/>
    <w:rsid w:val="001E7293"/>
    <w:rsid w:val="001E74D0"/>
    <w:rsid w:val="001F45C6"/>
    <w:rsid w:val="001F5305"/>
    <w:rsid w:val="001F68F6"/>
    <w:rsid w:val="001F7A0E"/>
    <w:rsid w:val="001F7CB8"/>
    <w:rsid w:val="002010E0"/>
    <w:rsid w:val="00206671"/>
    <w:rsid w:val="002103AE"/>
    <w:rsid w:val="00217224"/>
    <w:rsid w:val="00221363"/>
    <w:rsid w:val="00222B2C"/>
    <w:rsid w:val="0022349C"/>
    <w:rsid w:val="002268B0"/>
    <w:rsid w:val="00227BC0"/>
    <w:rsid w:val="002311B1"/>
    <w:rsid w:val="002330D9"/>
    <w:rsid w:val="00234CD8"/>
    <w:rsid w:val="00241B51"/>
    <w:rsid w:val="00243E8B"/>
    <w:rsid w:val="00243F4E"/>
    <w:rsid w:val="0024418C"/>
    <w:rsid w:val="00247279"/>
    <w:rsid w:val="002514DE"/>
    <w:rsid w:val="00252DB3"/>
    <w:rsid w:val="00253731"/>
    <w:rsid w:val="00254BF5"/>
    <w:rsid w:val="0025586C"/>
    <w:rsid w:val="0025647D"/>
    <w:rsid w:val="00256AB0"/>
    <w:rsid w:val="00257088"/>
    <w:rsid w:val="00261564"/>
    <w:rsid w:val="002616A0"/>
    <w:rsid w:val="002648E8"/>
    <w:rsid w:val="0026503A"/>
    <w:rsid w:val="002678DE"/>
    <w:rsid w:val="00267B81"/>
    <w:rsid w:val="00270D9D"/>
    <w:rsid w:val="00275F24"/>
    <w:rsid w:val="0027757C"/>
    <w:rsid w:val="002813EB"/>
    <w:rsid w:val="00281AE3"/>
    <w:rsid w:val="00282641"/>
    <w:rsid w:val="00285609"/>
    <w:rsid w:val="00285BBC"/>
    <w:rsid w:val="00286FA2"/>
    <w:rsid w:val="00292C9F"/>
    <w:rsid w:val="00292CB8"/>
    <w:rsid w:val="00292F4F"/>
    <w:rsid w:val="00296268"/>
    <w:rsid w:val="002A0B94"/>
    <w:rsid w:val="002A53DD"/>
    <w:rsid w:val="002A7553"/>
    <w:rsid w:val="002B2AFB"/>
    <w:rsid w:val="002B5BE3"/>
    <w:rsid w:val="002C39DE"/>
    <w:rsid w:val="002C5FEA"/>
    <w:rsid w:val="002D0CB9"/>
    <w:rsid w:val="002D3A37"/>
    <w:rsid w:val="002D3ACC"/>
    <w:rsid w:val="002D46C5"/>
    <w:rsid w:val="002D5120"/>
    <w:rsid w:val="002D76C5"/>
    <w:rsid w:val="002E061E"/>
    <w:rsid w:val="002E328E"/>
    <w:rsid w:val="002F5890"/>
    <w:rsid w:val="00300842"/>
    <w:rsid w:val="003020F6"/>
    <w:rsid w:val="00305B5A"/>
    <w:rsid w:val="00306502"/>
    <w:rsid w:val="00306791"/>
    <w:rsid w:val="00307C5E"/>
    <w:rsid w:val="0031129A"/>
    <w:rsid w:val="00312179"/>
    <w:rsid w:val="00314D9E"/>
    <w:rsid w:val="00315A6F"/>
    <w:rsid w:val="00316F21"/>
    <w:rsid w:val="003173BF"/>
    <w:rsid w:val="00317899"/>
    <w:rsid w:val="003258BF"/>
    <w:rsid w:val="003259CC"/>
    <w:rsid w:val="00326136"/>
    <w:rsid w:val="00326AD1"/>
    <w:rsid w:val="00326B13"/>
    <w:rsid w:val="003310F1"/>
    <w:rsid w:val="003321B6"/>
    <w:rsid w:val="00334C02"/>
    <w:rsid w:val="00335D89"/>
    <w:rsid w:val="00336199"/>
    <w:rsid w:val="003422D5"/>
    <w:rsid w:val="003428C0"/>
    <w:rsid w:val="00343FA2"/>
    <w:rsid w:val="003478BB"/>
    <w:rsid w:val="00347F6D"/>
    <w:rsid w:val="00350A40"/>
    <w:rsid w:val="00353735"/>
    <w:rsid w:val="00354A85"/>
    <w:rsid w:val="00355CFF"/>
    <w:rsid w:val="00357F8E"/>
    <w:rsid w:val="0036282A"/>
    <w:rsid w:val="0036301F"/>
    <w:rsid w:val="0036688B"/>
    <w:rsid w:val="00370E31"/>
    <w:rsid w:val="003737A2"/>
    <w:rsid w:val="0037461F"/>
    <w:rsid w:val="00376922"/>
    <w:rsid w:val="00377F3C"/>
    <w:rsid w:val="003815E5"/>
    <w:rsid w:val="003820C9"/>
    <w:rsid w:val="003847F7"/>
    <w:rsid w:val="00384D6E"/>
    <w:rsid w:val="00386C4E"/>
    <w:rsid w:val="00391D0E"/>
    <w:rsid w:val="00394698"/>
    <w:rsid w:val="00397197"/>
    <w:rsid w:val="003976F6"/>
    <w:rsid w:val="003A1A3E"/>
    <w:rsid w:val="003A24B9"/>
    <w:rsid w:val="003A2957"/>
    <w:rsid w:val="003A2960"/>
    <w:rsid w:val="003A2E07"/>
    <w:rsid w:val="003A6B67"/>
    <w:rsid w:val="003B1409"/>
    <w:rsid w:val="003B149C"/>
    <w:rsid w:val="003B1B7B"/>
    <w:rsid w:val="003B21D1"/>
    <w:rsid w:val="003B6C45"/>
    <w:rsid w:val="003B7DE3"/>
    <w:rsid w:val="003C0687"/>
    <w:rsid w:val="003C234E"/>
    <w:rsid w:val="003C4F3C"/>
    <w:rsid w:val="003C590D"/>
    <w:rsid w:val="003C6FEC"/>
    <w:rsid w:val="003C7037"/>
    <w:rsid w:val="003D0FF5"/>
    <w:rsid w:val="003D4457"/>
    <w:rsid w:val="003E14C4"/>
    <w:rsid w:val="003E21B2"/>
    <w:rsid w:val="003E230C"/>
    <w:rsid w:val="003E2CD7"/>
    <w:rsid w:val="003E3308"/>
    <w:rsid w:val="003E59CF"/>
    <w:rsid w:val="003F5357"/>
    <w:rsid w:val="003F59CD"/>
    <w:rsid w:val="00403BD6"/>
    <w:rsid w:val="00403F2E"/>
    <w:rsid w:val="004058AB"/>
    <w:rsid w:val="00406094"/>
    <w:rsid w:val="00407A6B"/>
    <w:rsid w:val="00411AEC"/>
    <w:rsid w:val="00411F49"/>
    <w:rsid w:val="0041257A"/>
    <w:rsid w:val="00413763"/>
    <w:rsid w:val="00413980"/>
    <w:rsid w:val="00413EC6"/>
    <w:rsid w:val="00415245"/>
    <w:rsid w:val="00416F87"/>
    <w:rsid w:val="00423987"/>
    <w:rsid w:val="00424699"/>
    <w:rsid w:val="00425477"/>
    <w:rsid w:val="00426754"/>
    <w:rsid w:val="00432B5D"/>
    <w:rsid w:val="00435169"/>
    <w:rsid w:val="00435B33"/>
    <w:rsid w:val="004425F7"/>
    <w:rsid w:val="00450CC7"/>
    <w:rsid w:val="0045119E"/>
    <w:rsid w:val="004529C7"/>
    <w:rsid w:val="00454D37"/>
    <w:rsid w:val="004554D1"/>
    <w:rsid w:val="00455FF8"/>
    <w:rsid w:val="0045685E"/>
    <w:rsid w:val="00456FE1"/>
    <w:rsid w:val="0045732B"/>
    <w:rsid w:val="00460368"/>
    <w:rsid w:val="004615A7"/>
    <w:rsid w:val="00464B1D"/>
    <w:rsid w:val="00466411"/>
    <w:rsid w:val="00466976"/>
    <w:rsid w:val="0046735E"/>
    <w:rsid w:val="0047083A"/>
    <w:rsid w:val="00470E82"/>
    <w:rsid w:val="00473439"/>
    <w:rsid w:val="004739FC"/>
    <w:rsid w:val="00477D73"/>
    <w:rsid w:val="00477E9A"/>
    <w:rsid w:val="00480653"/>
    <w:rsid w:val="00481B0B"/>
    <w:rsid w:val="00482C9D"/>
    <w:rsid w:val="004864A4"/>
    <w:rsid w:val="0048752C"/>
    <w:rsid w:val="004901D3"/>
    <w:rsid w:val="00497DC1"/>
    <w:rsid w:val="004A23CE"/>
    <w:rsid w:val="004A3502"/>
    <w:rsid w:val="004A5B0C"/>
    <w:rsid w:val="004B12B3"/>
    <w:rsid w:val="004B1483"/>
    <w:rsid w:val="004B2FF6"/>
    <w:rsid w:val="004B4105"/>
    <w:rsid w:val="004B4464"/>
    <w:rsid w:val="004B69BF"/>
    <w:rsid w:val="004B764C"/>
    <w:rsid w:val="004C2BF9"/>
    <w:rsid w:val="004C6399"/>
    <w:rsid w:val="004C6F59"/>
    <w:rsid w:val="004D44DF"/>
    <w:rsid w:val="004D4FD7"/>
    <w:rsid w:val="004D78CB"/>
    <w:rsid w:val="004E1366"/>
    <w:rsid w:val="004E4069"/>
    <w:rsid w:val="004E5C62"/>
    <w:rsid w:val="004F6F15"/>
    <w:rsid w:val="00500237"/>
    <w:rsid w:val="00503044"/>
    <w:rsid w:val="005052EB"/>
    <w:rsid w:val="005054F7"/>
    <w:rsid w:val="00507553"/>
    <w:rsid w:val="00511EAA"/>
    <w:rsid w:val="0051547D"/>
    <w:rsid w:val="005160EA"/>
    <w:rsid w:val="00516681"/>
    <w:rsid w:val="0051757C"/>
    <w:rsid w:val="005176AC"/>
    <w:rsid w:val="00520331"/>
    <w:rsid w:val="005215AD"/>
    <w:rsid w:val="0052412D"/>
    <w:rsid w:val="0052492E"/>
    <w:rsid w:val="00524DF0"/>
    <w:rsid w:val="005252BB"/>
    <w:rsid w:val="0052720F"/>
    <w:rsid w:val="00527ED4"/>
    <w:rsid w:val="005304E0"/>
    <w:rsid w:val="00532D46"/>
    <w:rsid w:val="0053368B"/>
    <w:rsid w:val="00534699"/>
    <w:rsid w:val="0053594B"/>
    <w:rsid w:val="00536679"/>
    <w:rsid w:val="005371C5"/>
    <w:rsid w:val="0053794F"/>
    <w:rsid w:val="00543CF2"/>
    <w:rsid w:val="00551830"/>
    <w:rsid w:val="00554ECC"/>
    <w:rsid w:val="00557E9F"/>
    <w:rsid w:val="00564642"/>
    <w:rsid w:val="00564F39"/>
    <w:rsid w:val="005665F7"/>
    <w:rsid w:val="00576D34"/>
    <w:rsid w:val="0058036E"/>
    <w:rsid w:val="00582B9D"/>
    <w:rsid w:val="00585698"/>
    <w:rsid w:val="00585F88"/>
    <w:rsid w:val="005944CD"/>
    <w:rsid w:val="005971F4"/>
    <w:rsid w:val="005A0BC4"/>
    <w:rsid w:val="005A2826"/>
    <w:rsid w:val="005A3BC9"/>
    <w:rsid w:val="005A409C"/>
    <w:rsid w:val="005A5C86"/>
    <w:rsid w:val="005A71F5"/>
    <w:rsid w:val="005A785C"/>
    <w:rsid w:val="005B43AC"/>
    <w:rsid w:val="005B6897"/>
    <w:rsid w:val="005B7422"/>
    <w:rsid w:val="005C5BE0"/>
    <w:rsid w:val="005C5F3F"/>
    <w:rsid w:val="005C67B8"/>
    <w:rsid w:val="005C7691"/>
    <w:rsid w:val="005D34CF"/>
    <w:rsid w:val="005D354B"/>
    <w:rsid w:val="005D4CB2"/>
    <w:rsid w:val="005D6AAA"/>
    <w:rsid w:val="005E0B1E"/>
    <w:rsid w:val="005E36CD"/>
    <w:rsid w:val="005F1C88"/>
    <w:rsid w:val="005F5787"/>
    <w:rsid w:val="005F6733"/>
    <w:rsid w:val="006016C6"/>
    <w:rsid w:val="006051B7"/>
    <w:rsid w:val="00610DE0"/>
    <w:rsid w:val="0061178C"/>
    <w:rsid w:val="00612BDE"/>
    <w:rsid w:val="006131E0"/>
    <w:rsid w:val="00614357"/>
    <w:rsid w:val="0061450D"/>
    <w:rsid w:val="00614C99"/>
    <w:rsid w:val="00615F14"/>
    <w:rsid w:val="00617387"/>
    <w:rsid w:val="00621AC0"/>
    <w:rsid w:val="00623A09"/>
    <w:rsid w:val="0062417D"/>
    <w:rsid w:val="00625882"/>
    <w:rsid w:val="006260DA"/>
    <w:rsid w:val="0062623F"/>
    <w:rsid w:val="00626E51"/>
    <w:rsid w:val="00634EA2"/>
    <w:rsid w:val="006353DA"/>
    <w:rsid w:val="00640E2D"/>
    <w:rsid w:val="00641F6C"/>
    <w:rsid w:val="006421A1"/>
    <w:rsid w:val="00642796"/>
    <w:rsid w:val="00645CF3"/>
    <w:rsid w:val="00646513"/>
    <w:rsid w:val="00651117"/>
    <w:rsid w:val="00652198"/>
    <w:rsid w:val="00653179"/>
    <w:rsid w:val="00653684"/>
    <w:rsid w:val="006557F7"/>
    <w:rsid w:val="00657AC0"/>
    <w:rsid w:val="0066045D"/>
    <w:rsid w:val="0066417F"/>
    <w:rsid w:val="00664926"/>
    <w:rsid w:val="00664B5C"/>
    <w:rsid w:val="00664BCD"/>
    <w:rsid w:val="006663CA"/>
    <w:rsid w:val="00670C93"/>
    <w:rsid w:val="00672EF8"/>
    <w:rsid w:val="006744F3"/>
    <w:rsid w:val="00674BD1"/>
    <w:rsid w:val="00676AC5"/>
    <w:rsid w:val="006835A1"/>
    <w:rsid w:val="0069039D"/>
    <w:rsid w:val="006932B9"/>
    <w:rsid w:val="00693514"/>
    <w:rsid w:val="00695736"/>
    <w:rsid w:val="00695DE1"/>
    <w:rsid w:val="00697B63"/>
    <w:rsid w:val="00697EFC"/>
    <w:rsid w:val="006A0749"/>
    <w:rsid w:val="006A2577"/>
    <w:rsid w:val="006A3A94"/>
    <w:rsid w:val="006A42A6"/>
    <w:rsid w:val="006A5AC7"/>
    <w:rsid w:val="006A700D"/>
    <w:rsid w:val="006B1F9D"/>
    <w:rsid w:val="006B1FEC"/>
    <w:rsid w:val="006B2276"/>
    <w:rsid w:val="006B3814"/>
    <w:rsid w:val="006B38A5"/>
    <w:rsid w:val="006B3C24"/>
    <w:rsid w:val="006B4750"/>
    <w:rsid w:val="006B5814"/>
    <w:rsid w:val="006B73B2"/>
    <w:rsid w:val="006C4526"/>
    <w:rsid w:val="006C5FD6"/>
    <w:rsid w:val="006C674D"/>
    <w:rsid w:val="006C6B7E"/>
    <w:rsid w:val="006D2308"/>
    <w:rsid w:val="006D2E7E"/>
    <w:rsid w:val="006D6076"/>
    <w:rsid w:val="006E26BF"/>
    <w:rsid w:val="006E3E61"/>
    <w:rsid w:val="006E5F7B"/>
    <w:rsid w:val="006F39E8"/>
    <w:rsid w:val="00701076"/>
    <w:rsid w:val="00702027"/>
    <w:rsid w:val="007045EF"/>
    <w:rsid w:val="0070504A"/>
    <w:rsid w:val="007102AF"/>
    <w:rsid w:val="00710578"/>
    <w:rsid w:val="00710A58"/>
    <w:rsid w:val="00711D54"/>
    <w:rsid w:val="00712CD4"/>
    <w:rsid w:val="0071515C"/>
    <w:rsid w:val="00720900"/>
    <w:rsid w:val="00724B5D"/>
    <w:rsid w:val="00725D61"/>
    <w:rsid w:val="00726CFF"/>
    <w:rsid w:val="00726ECC"/>
    <w:rsid w:val="00730ACE"/>
    <w:rsid w:val="007322F4"/>
    <w:rsid w:val="007374A0"/>
    <w:rsid w:val="00737A4C"/>
    <w:rsid w:val="00737BBB"/>
    <w:rsid w:val="00740B95"/>
    <w:rsid w:val="00740C7B"/>
    <w:rsid w:val="00741883"/>
    <w:rsid w:val="00741BC1"/>
    <w:rsid w:val="00742F33"/>
    <w:rsid w:val="00743A3B"/>
    <w:rsid w:val="007445C9"/>
    <w:rsid w:val="00746814"/>
    <w:rsid w:val="007538EC"/>
    <w:rsid w:val="00753B56"/>
    <w:rsid w:val="007563F9"/>
    <w:rsid w:val="00756F0C"/>
    <w:rsid w:val="0076189D"/>
    <w:rsid w:val="00761ECE"/>
    <w:rsid w:val="00762C10"/>
    <w:rsid w:val="00762C15"/>
    <w:rsid w:val="0076354F"/>
    <w:rsid w:val="00765AA1"/>
    <w:rsid w:val="00772C29"/>
    <w:rsid w:val="007732AB"/>
    <w:rsid w:val="0077559C"/>
    <w:rsid w:val="00775FCE"/>
    <w:rsid w:val="0078054D"/>
    <w:rsid w:val="0078156F"/>
    <w:rsid w:val="00782444"/>
    <w:rsid w:val="00782495"/>
    <w:rsid w:val="00785C43"/>
    <w:rsid w:val="00792303"/>
    <w:rsid w:val="007926CC"/>
    <w:rsid w:val="00793ABA"/>
    <w:rsid w:val="00794FAA"/>
    <w:rsid w:val="00795BE6"/>
    <w:rsid w:val="00795BF2"/>
    <w:rsid w:val="007963E8"/>
    <w:rsid w:val="007A0844"/>
    <w:rsid w:val="007A089D"/>
    <w:rsid w:val="007A0B18"/>
    <w:rsid w:val="007A1B28"/>
    <w:rsid w:val="007A36B5"/>
    <w:rsid w:val="007B0CDF"/>
    <w:rsid w:val="007B1E44"/>
    <w:rsid w:val="007B4BA6"/>
    <w:rsid w:val="007B69EC"/>
    <w:rsid w:val="007B7FDC"/>
    <w:rsid w:val="007C0559"/>
    <w:rsid w:val="007C664E"/>
    <w:rsid w:val="007D43A7"/>
    <w:rsid w:val="007D55E2"/>
    <w:rsid w:val="007D600E"/>
    <w:rsid w:val="007E37B4"/>
    <w:rsid w:val="007E48F1"/>
    <w:rsid w:val="007E7F84"/>
    <w:rsid w:val="007F02CC"/>
    <w:rsid w:val="007F0686"/>
    <w:rsid w:val="007F112C"/>
    <w:rsid w:val="007F231E"/>
    <w:rsid w:val="007F379D"/>
    <w:rsid w:val="007F445A"/>
    <w:rsid w:val="007F481F"/>
    <w:rsid w:val="007F572F"/>
    <w:rsid w:val="008031E3"/>
    <w:rsid w:val="00805249"/>
    <w:rsid w:val="00811C8E"/>
    <w:rsid w:val="00812A04"/>
    <w:rsid w:val="0081390E"/>
    <w:rsid w:val="008156BE"/>
    <w:rsid w:val="008173B2"/>
    <w:rsid w:val="008201C5"/>
    <w:rsid w:val="00821A01"/>
    <w:rsid w:val="0082489F"/>
    <w:rsid w:val="00832261"/>
    <w:rsid w:val="00835F07"/>
    <w:rsid w:val="008464B9"/>
    <w:rsid w:val="00846A8B"/>
    <w:rsid w:val="00846C3D"/>
    <w:rsid w:val="008479DE"/>
    <w:rsid w:val="00851070"/>
    <w:rsid w:val="00853DC4"/>
    <w:rsid w:val="00856320"/>
    <w:rsid w:val="0085727C"/>
    <w:rsid w:val="00862E8C"/>
    <w:rsid w:val="008630BC"/>
    <w:rsid w:val="00866C07"/>
    <w:rsid w:val="00874371"/>
    <w:rsid w:val="0087651F"/>
    <w:rsid w:val="00880A5C"/>
    <w:rsid w:val="0088309A"/>
    <w:rsid w:val="00883B42"/>
    <w:rsid w:val="00884E25"/>
    <w:rsid w:val="008858EC"/>
    <w:rsid w:val="00887AB6"/>
    <w:rsid w:val="00890A09"/>
    <w:rsid w:val="00892AB4"/>
    <w:rsid w:val="008936A8"/>
    <w:rsid w:val="008949AC"/>
    <w:rsid w:val="00895C19"/>
    <w:rsid w:val="00897F82"/>
    <w:rsid w:val="008A02DF"/>
    <w:rsid w:val="008A1747"/>
    <w:rsid w:val="008A1ADB"/>
    <w:rsid w:val="008A2566"/>
    <w:rsid w:val="008A5AA1"/>
    <w:rsid w:val="008C11FF"/>
    <w:rsid w:val="008C23FF"/>
    <w:rsid w:val="008C6205"/>
    <w:rsid w:val="008C7CDD"/>
    <w:rsid w:val="008D12CD"/>
    <w:rsid w:val="008D1ED5"/>
    <w:rsid w:val="008D2EFE"/>
    <w:rsid w:val="008D36C0"/>
    <w:rsid w:val="008D55E7"/>
    <w:rsid w:val="008D64C8"/>
    <w:rsid w:val="008D6589"/>
    <w:rsid w:val="008E3C0F"/>
    <w:rsid w:val="008E5657"/>
    <w:rsid w:val="008E652F"/>
    <w:rsid w:val="008E6D97"/>
    <w:rsid w:val="008F1F0E"/>
    <w:rsid w:val="008F5323"/>
    <w:rsid w:val="00902899"/>
    <w:rsid w:val="00902C70"/>
    <w:rsid w:val="00902EF3"/>
    <w:rsid w:val="00903748"/>
    <w:rsid w:val="00903874"/>
    <w:rsid w:val="0090415A"/>
    <w:rsid w:val="00904DE4"/>
    <w:rsid w:val="0091064C"/>
    <w:rsid w:val="00912B42"/>
    <w:rsid w:val="00913044"/>
    <w:rsid w:val="00913166"/>
    <w:rsid w:val="0091451C"/>
    <w:rsid w:val="00916F5D"/>
    <w:rsid w:val="00920FC6"/>
    <w:rsid w:val="00921651"/>
    <w:rsid w:val="00924EF4"/>
    <w:rsid w:val="00926726"/>
    <w:rsid w:val="00934F9B"/>
    <w:rsid w:val="0093628D"/>
    <w:rsid w:val="00936FD4"/>
    <w:rsid w:val="0093776A"/>
    <w:rsid w:val="00943502"/>
    <w:rsid w:val="00943512"/>
    <w:rsid w:val="009476F0"/>
    <w:rsid w:val="00950AF2"/>
    <w:rsid w:val="00950DCC"/>
    <w:rsid w:val="0095265D"/>
    <w:rsid w:val="00953531"/>
    <w:rsid w:val="009564F8"/>
    <w:rsid w:val="00956E74"/>
    <w:rsid w:val="00961C19"/>
    <w:rsid w:val="009629ED"/>
    <w:rsid w:val="009629F2"/>
    <w:rsid w:val="00967793"/>
    <w:rsid w:val="00971E73"/>
    <w:rsid w:val="00972C5D"/>
    <w:rsid w:val="00973DD4"/>
    <w:rsid w:val="00975B77"/>
    <w:rsid w:val="00977256"/>
    <w:rsid w:val="00981761"/>
    <w:rsid w:val="00981929"/>
    <w:rsid w:val="00981DFB"/>
    <w:rsid w:val="00990792"/>
    <w:rsid w:val="00991B97"/>
    <w:rsid w:val="009952D1"/>
    <w:rsid w:val="009956D5"/>
    <w:rsid w:val="00997CA0"/>
    <w:rsid w:val="009A3E60"/>
    <w:rsid w:val="009A489E"/>
    <w:rsid w:val="009A4EE8"/>
    <w:rsid w:val="009A5FF9"/>
    <w:rsid w:val="009A67F3"/>
    <w:rsid w:val="009A6ADF"/>
    <w:rsid w:val="009B0F83"/>
    <w:rsid w:val="009B1EA4"/>
    <w:rsid w:val="009B2631"/>
    <w:rsid w:val="009B2905"/>
    <w:rsid w:val="009B2DE1"/>
    <w:rsid w:val="009B538E"/>
    <w:rsid w:val="009B7028"/>
    <w:rsid w:val="009C38C1"/>
    <w:rsid w:val="009C48DE"/>
    <w:rsid w:val="009C68EB"/>
    <w:rsid w:val="009E010D"/>
    <w:rsid w:val="009E17B0"/>
    <w:rsid w:val="009E2880"/>
    <w:rsid w:val="009E2929"/>
    <w:rsid w:val="009E47B4"/>
    <w:rsid w:val="009E4D9F"/>
    <w:rsid w:val="009E7480"/>
    <w:rsid w:val="009F4008"/>
    <w:rsid w:val="009F4238"/>
    <w:rsid w:val="00A0085F"/>
    <w:rsid w:val="00A00980"/>
    <w:rsid w:val="00A00BCE"/>
    <w:rsid w:val="00A113A9"/>
    <w:rsid w:val="00A11622"/>
    <w:rsid w:val="00A12DD5"/>
    <w:rsid w:val="00A134DE"/>
    <w:rsid w:val="00A14715"/>
    <w:rsid w:val="00A17D70"/>
    <w:rsid w:val="00A21407"/>
    <w:rsid w:val="00A21A05"/>
    <w:rsid w:val="00A22683"/>
    <w:rsid w:val="00A304B9"/>
    <w:rsid w:val="00A30520"/>
    <w:rsid w:val="00A334E2"/>
    <w:rsid w:val="00A342D3"/>
    <w:rsid w:val="00A36A37"/>
    <w:rsid w:val="00A374F1"/>
    <w:rsid w:val="00A40C62"/>
    <w:rsid w:val="00A4144A"/>
    <w:rsid w:val="00A43902"/>
    <w:rsid w:val="00A459E0"/>
    <w:rsid w:val="00A512C0"/>
    <w:rsid w:val="00A5372E"/>
    <w:rsid w:val="00A54DD4"/>
    <w:rsid w:val="00A567F0"/>
    <w:rsid w:val="00A65105"/>
    <w:rsid w:val="00A6718F"/>
    <w:rsid w:val="00A74588"/>
    <w:rsid w:val="00A75DF2"/>
    <w:rsid w:val="00A7767B"/>
    <w:rsid w:val="00A86184"/>
    <w:rsid w:val="00A94024"/>
    <w:rsid w:val="00A9664A"/>
    <w:rsid w:val="00AA0E00"/>
    <w:rsid w:val="00AA45EF"/>
    <w:rsid w:val="00AA64AF"/>
    <w:rsid w:val="00AA736D"/>
    <w:rsid w:val="00AB1B9F"/>
    <w:rsid w:val="00AC0B68"/>
    <w:rsid w:val="00AC5296"/>
    <w:rsid w:val="00AC530A"/>
    <w:rsid w:val="00AC6A39"/>
    <w:rsid w:val="00AD0639"/>
    <w:rsid w:val="00AD2E8B"/>
    <w:rsid w:val="00AD3518"/>
    <w:rsid w:val="00AD381B"/>
    <w:rsid w:val="00AD483C"/>
    <w:rsid w:val="00AF14EE"/>
    <w:rsid w:val="00AF2007"/>
    <w:rsid w:val="00AF2429"/>
    <w:rsid w:val="00AF6782"/>
    <w:rsid w:val="00AF6AFA"/>
    <w:rsid w:val="00AF77ED"/>
    <w:rsid w:val="00B06563"/>
    <w:rsid w:val="00B07788"/>
    <w:rsid w:val="00B132CF"/>
    <w:rsid w:val="00B16941"/>
    <w:rsid w:val="00B172DA"/>
    <w:rsid w:val="00B17341"/>
    <w:rsid w:val="00B21E7E"/>
    <w:rsid w:val="00B2277F"/>
    <w:rsid w:val="00B24B34"/>
    <w:rsid w:val="00B26695"/>
    <w:rsid w:val="00B26DAC"/>
    <w:rsid w:val="00B2724A"/>
    <w:rsid w:val="00B276EB"/>
    <w:rsid w:val="00B314DA"/>
    <w:rsid w:val="00B32717"/>
    <w:rsid w:val="00B33F8E"/>
    <w:rsid w:val="00B34032"/>
    <w:rsid w:val="00B36CBE"/>
    <w:rsid w:val="00B37AF0"/>
    <w:rsid w:val="00B37EA8"/>
    <w:rsid w:val="00B42237"/>
    <w:rsid w:val="00B42587"/>
    <w:rsid w:val="00B5581B"/>
    <w:rsid w:val="00B55C78"/>
    <w:rsid w:val="00B62772"/>
    <w:rsid w:val="00B62C0D"/>
    <w:rsid w:val="00B64B72"/>
    <w:rsid w:val="00B65FDC"/>
    <w:rsid w:val="00B66254"/>
    <w:rsid w:val="00B66DFD"/>
    <w:rsid w:val="00B67165"/>
    <w:rsid w:val="00B6768A"/>
    <w:rsid w:val="00B704A8"/>
    <w:rsid w:val="00B71936"/>
    <w:rsid w:val="00B83A11"/>
    <w:rsid w:val="00B8716F"/>
    <w:rsid w:val="00B903A7"/>
    <w:rsid w:val="00B906E2"/>
    <w:rsid w:val="00B9187D"/>
    <w:rsid w:val="00B934F5"/>
    <w:rsid w:val="00B941A5"/>
    <w:rsid w:val="00B960B9"/>
    <w:rsid w:val="00BA2B07"/>
    <w:rsid w:val="00BA2E35"/>
    <w:rsid w:val="00BA56A2"/>
    <w:rsid w:val="00BA67A7"/>
    <w:rsid w:val="00BB0F3B"/>
    <w:rsid w:val="00BB2857"/>
    <w:rsid w:val="00BB4175"/>
    <w:rsid w:val="00BB5A3F"/>
    <w:rsid w:val="00BB5AE1"/>
    <w:rsid w:val="00BB6D44"/>
    <w:rsid w:val="00BC0F74"/>
    <w:rsid w:val="00BC3EE5"/>
    <w:rsid w:val="00BC5FA5"/>
    <w:rsid w:val="00BD1061"/>
    <w:rsid w:val="00BD10DF"/>
    <w:rsid w:val="00BD3EC3"/>
    <w:rsid w:val="00BD44D2"/>
    <w:rsid w:val="00BD6CB7"/>
    <w:rsid w:val="00BE032B"/>
    <w:rsid w:val="00BE1840"/>
    <w:rsid w:val="00BE19EA"/>
    <w:rsid w:val="00BE4B5C"/>
    <w:rsid w:val="00BE6FD1"/>
    <w:rsid w:val="00BE73AE"/>
    <w:rsid w:val="00BE765F"/>
    <w:rsid w:val="00BF0182"/>
    <w:rsid w:val="00BF410D"/>
    <w:rsid w:val="00BF5863"/>
    <w:rsid w:val="00BF7C9F"/>
    <w:rsid w:val="00BF7CA1"/>
    <w:rsid w:val="00C041CD"/>
    <w:rsid w:val="00C0629B"/>
    <w:rsid w:val="00C11196"/>
    <w:rsid w:val="00C2248A"/>
    <w:rsid w:val="00C22701"/>
    <w:rsid w:val="00C2529F"/>
    <w:rsid w:val="00C26A29"/>
    <w:rsid w:val="00C27447"/>
    <w:rsid w:val="00C31746"/>
    <w:rsid w:val="00C34CC3"/>
    <w:rsid w:val="00C44D75"/>
    <w:rsid w:val="00C450B4"/>
    <w:rsid w:val="00C50000"/>
    <w:rsid w:val="00C51281"/>
    <w:rsid w:val="00C51374"/>
    <w:rsid w:val="00C5363A"/>
    <w:rsid w:val="00C5792E"/>
    <w:rsid w:val="00C60217"/>
    <w:rsid w:val="00C61937"/>
    <w:rsid w:val="00C61EB5"/>
    <w:rsid w:val="00C62A67"/>
    <w:rsid w:val="00C65B2D"/>
    <w:rsid w:val="00C71138"/>
    <w:rsid w:val="00C74830"/>
    <w:rsid w:val="00C75B6E"/>
    <w:rsid w:val="00C75F10"/>
    <w:rsid w:val="00C75F63"/>
    <w:rsid w:val="00C84398"/>
    <w:rsid w:val="00C85701"/>
    <w:rsid w:val="00C85D70"/>
    <w:rsid w:val="00C9144D"/>
    <w:rsid w:val="00C92A30"/>
    <w:rsid w:val="00C956FB"/>
    <w:rsid w:val="00C959BA"/>
    <w:rsid w:val="00CA34B2"/>
    <w:rsid w:val="00CA45D0"/>
    <w:rsid w:val="00CA4D0B"/>
    <w:rsid w:val="00CA4F7A"/>
    <w:rsid w:val="00CB5B74"/>
    <w:rsid w:val="00CC1729"/>
    <w:rsid w:val="00CC19A9"/>
    <w:rsid w:val="00CC2C29"/>
    <w:rsid w:val="00CC44ED"/>
    <w:rsid w:val="00CC55EB"/>
    <w:rsid w:val="00CC74CF"/>
    <w:rsid w:val="00CC7566"/>
    <w:rsid w:val="00CD147C"/>
    <w:rsid w:val="00CD2927"/>
    <w:rsid w:val="00CD3DC7"/>
    <w:rsid w:val="00CD5739"/>
    <w:rsid w:val="00CE11F9"/>
    <w:rsid w:val="00CE34D7"/>
    <w:rsid w:val="00CE5578"/>
    <w:rsid w:val="00CE5B9A"/>
    <w:rsid w:val="00CE621A"/>
    <w:rsid w:val="00CF1456"/>
    <w:rsid w:val="00CF4AE2"/>
    <w:rsid w:val="00CF5CD5"/>
    <w:rsid w:val="00CF6155"/>
    <w:rsid w:val="00CF6596"/>
    <w:rsid w:val="00D027F7"/>
    <w:rsid w:val="00D02A20"/>
    <w:rsid w:val="00D02D5E"/>
    <w:rsid w:val="00D03F9B"/>
    <w:rsid w:val="00D050B6"/>
    <w:rsid w:val="00D05180"/>
    <w:rsid w:val="00D0780B"/>
    <w:rsid w:val="00D07EAF"/>
    <w:rsid w:val="00D1284E"/>
    <w:rsid w:val="00D136B3"/>
    <w:rsid w:val="00D15A57"/>
    <w:rsid w:val="00D1736D"/>
    <w:rsid w:val="00D179BE"/>
    <w:rsid w:val="00D23AF6"/>
    <w:rsid w:val="00D24267"/>
    <w:rsid w:val="00D24850"/>
    <w:rsid w:val="00D25B98"/>
    <w:rsid w:val="00D2629A"/>
    <w:rsid w:val="00D26F53"/>
    <w:rsid w:val="00D300FB"/>
    <w:rsid w:val="00D3241C"/>
    <w:rsid w:val="00D349A0"/>
    <w:rsid w:val="00D35CFF"/>
    <w:rsid w:val="00D42064"/>
    <w:rsid w:val="00D42934"/>
    <w:rsid w:val="00D430F7"/>
    <w:rsid w:val="00D43E61"/>
    <w:rsid w:val="00D45B7E"/>
    <w:rsid w:val="00D45D49"/>
    <w:rsid w:val="00D517E6"/>
    <w:rsid w:val="00D52EC8"/>
    <w:rsid w:val="00D5437C"/>
    <w:rsid w:val="00D55611"/>
    <w:rsid w:val="00D579C1"/>
    <w:rsid w:val="00D57B16"/>
    <w:rsid w:val="00D60677"/>
    <w:rsid w:val="00D633A7"/>
    <w:rsid w:val="00D63779"/>
    <w:rsid w:val="00D6460A"/>
    <w:rsid w:val="00D67F9A"/>
    <w:rsid w:val="00D70214"/>
    <w:rsid w:val="00D703F6"/>
    <w:rsid w:val="00D70F2B"/>
    <w:rsid w:val="00D71EA8"/>
    <w:rsid w:val="00D762CE"/>
    <w:rsid w:val="00D77C3A"/>
    <w:rsid w:val="00D77ED8"/>
    <w:rsid w:val="00D8169F"/>
    <w:rsid w:val="00D81D66"/>
    <w:rsid w:val="00D83307"/>
    <w:rsid w:val="00D83DE1"/>
    <w:rsid w:val="00D86FB4"/>
    <w:rsid w:val="00D92955"/>
    <w:rsid w:val="00D92998"/>
    <w:rsid w:val="00D92C97"/>
    <w:rsid w:val="00DA058B"/>
    <w:rsid w:val="00DA25BC"/>
    <w:rsid w:val="00DA3B2B"/>
    <w:rsid w:val="00DA5878"/>
    <w:rsid w:val="00DA68EA"/>
    <w:rsid w:val="00DA69C4"/>
    <w:rsid w:val="00DB3260"/>
    <w:rsid w:val="00DB3377"/>
    <w:rsid w:val="00DB3579"/>
    <w:rsid w:val="00DB59F5"/>
    <w:rsid w:val="00DB5DD6"/>
    <w:rsid w:val="00DB6AE7"/>
    <w:rsid w:val="00DB7FCA"/>
    <w:rsid w:val="00DC0703"/>
    <w:rsid w:val="00DC188E"/>
    <w:rsid w:val="00DC19AA"/>
    <w:rsid w:val="00DD1CE5"/>
    <w:rsid w:val="00DD2BE9"/>
    <w:rsid w:val="00DD2E0A"/>
    <w:rsid w:val="00DD68A3"/>
    <w:rsid w:val="00DE0B15"/>
    <w:rsid w:val="00DE23EB"/>
    <w:rsid w:val="00DE28F3"/>
    <w:rsid w:val="00DE34B4"/>
    <w:rsid w:val="00DE36F2"/>
    <w:rsid w:val="00DE39E4"/>
    <w:rsid w:val="00DE4056"/>
    <w:rsid w:val="00DE692E"/>
    <w:rsid w:val="00DE6BDB"/>
    <w:rsid w:val="00DE6C06"/>
    <w:rsid w:val="00DF0CC5"/>
    <w:rsid w:val="00DF2B7E"/>
    <w:rsid w:val="00DF2E47"/>
    <w:rsid w:val="00DF33A8"/>
    <w:rsid w:val="00DF351A"/>
    <w:rsid w:val="00DF41AC"/>
    <w:rsid w:val="00DF4EB6"/>
    <w:rsid w:val="00DF74F8"/>
    <w:rsid w:val="00E00D48"/>
    <w:rsid w:val="00E025C5"/>
    <w:rsid w:val="00E0451F"/>
    <w:rsid w:val="00E059F9"/>
    <w:rsid w:val="00E10974"/>
    <w:rsid w:val="00E12F01"/>
    <w:rsid w:val="00E13456"/>
    <w:rsid w:val="00E141A1"/>
    <w:rsid w:val="00E142EE"/>
    <w:rsid w:val="00E151E6"/>
    <w:rsid w:val="00E153AF"/>
    <w:rsid w:val="00E22229"/>
    <w:rsid w:val="00E249B9"/>
    <w:rsid w:val="00E27404"/>
    <w:rsid w:val="00E31286"/>
    <w:rsid w:val="00E37B4C"/>
    <w:rsid w:val="00E4007F"/>
    <w:rsid w:val="00E40125"/>
    <w:rsid w:val="00E412C2"/>
    <w:rsid w:val="00E41DFF"/>
    <w:rsid w:val="00E4275D"/>
    <w:rsid w:val="00E43636"/>
    <w:rsid w:val="00E43CEF"/>
    <w:rsid w:val="00E4415B"/>
    <w:rsid w:val="00E447D2"/>
    <w:rsid w:val="00E4573E"/>
    <w:rsid w:val="00E46797"/>
    <w:rsid w:val="00E47C62"/>
    <w:rsid w:val="00E47C9C"/>
    <w:rsid w:val="00E503CB"/>
    <w:rsid w:val="00E50E90"/>
    <w:rsid w:val="00E51046"/>
    <w:rsid w:val="00E520B3"/>
    <w:rsid w:val="00E60585"/>
    <w:rsid w:val="00E61E47"/>
    <w:rsid w:val="00E61FE1"/>
    <w:rsid w:val="00E6219E"/>
    <w:rsid w:val="00E65248"/>
    <w:rsid w:val="00E652EB"/>
    <w:rsid w:val="00E66A12"/>
    <w:rsid w:val="00E677DC"/>
    <w:rsid w:val="00E714BD"/>
    <w:rsid w:val="00E73924"/>
    <w:rsid w:val="00E75BBD"/>
    <w:rsid w:val="00E766C0"/>
    <w:rsid w:val="00E76E07"/>
    <w:rsid w:val="00E77CDD"/>
    <w:rsid w:val="00E815A7"/>
    <w:rsid w:val="00E8431B"/>
    <w:rsid w:val="00E84CEE"/>
    <w:rsid w:val="00E86662"/>
    <w:rsid w:val="00E931BE"/>
    <w:rsid w:val="00E93A68"/>
    <w:rsid w:val="00E96DA4"/>
    <w:rsid w:val="00E973DB"/>
    <w:rsid w:val="00EA201E"/>
    <w:rsid w:val="00EA76D3"/>
    <w:rsid w:val="00EB0830"/>
    <w:rsid w:val="00EB0B69"/>
    <w:rsid w:val="00EB6345"/>
    <w:rsid w:val="00EB6E5A"/>
    <w:rsid w:val="00EC1580"/>
    <w:rsid w:val="00EC159E"/>
    <w:rsid w:val="00EC468B"/>
    <w:rsid w:val="00EC7B84"/>
    <w:rsid w:val="00ED1BA1"/>
    <w:rsid w:val="00ED76DB"/>
    <w:rsid w:val="00EE15C7"/>
    <w:rsid w:val="00EF12E8"/>
    <w:rsid w:val="00EF1F5C"/>
    <w:rsid w:val="00F00003"/>
    <w:rsid w:val="00F00938"/>
    <w:rsid w:val="00F02179"/>
    <w:rsid w:val="00F0314A"/>
    <w:rsid w:val="00F05A8B"/>
    <w:rsid w:val="00F06A27"/>
    <w:rsid w:val="00F06F33"/>
    <w:rsid w:val="00F073B0"/>
    <w:rsid w:val="00F10C35"/>
    <w:rsid w:val="00F110DC"/>
    <w:rsid w:val="00F12AA8"/>
    <w:rsid w:val="00F14AB9"/>
    <w:rsid w:val="00F16280"/>
    <w:rsid w:val="00F20501"/>
    <w:rsid w:val="00F2328A"/>
    <w:rsid w:val="00F2493A"/>
    <w:rsid w:val="00F2691D"/>
    <w:rsid w:val="00F2796D"/>
    <w:rsid w:val="00F30A59"/>
    <w:rsid w:val="00F36768"/>
    <w:rsid w:val="00F368C9"/>
    <w:rsid w:val="00F40FF4"/>
    <w:rsid w:val="00F41FC9"/>
    <w:rsid w:val="00F437C8"/>
    <w:rsid w:val="00F43C6E"/>
    <w:rsid w:val="00F43E64"/>
    <w:rsid w:val="00F461D5"/>
    <w:rsid w:val="00F52240"/>
    <w:rsid w:val="00F53028"/>
    <w:rsid w:val="00F55711"/>
    <w:rsid w:val="00F627AB"/>
    <w:rsid w:val="00F6354B"/>
    <w:rsid w:val="00F64102"/>
    <w:rsid w:val="00F654E0"/>
    <w:rsid w:val="00F666FE"/>
    <w:rsid w:val="00F7033F"/>
    <w:rsid w:val="00F713A5"/>
    <w:rsid w:val="00F759CC"/>
    <w:rsid w:val="00F83186"/>
    <w:rsid w:val="00F9039F"/>
    <w:rsid w:val="00F91C6A"/>
    <w:rsid w:val="00F939E2"/>
    <w:rsid w:val="00F95127"/>
    <w:rsid w:val="00F95DF0"/>
    <w:rsid w:val="00F961DF"/>
    <w:rsid w:val="00FA2DAE"/>
    <w:rsid w:val="00FA486F"/>
    <w:rsid w:val="00FB0F1F"/>
    <w:rsid w:val="00FB6032"/>
    <w:rsid w:val="00FB63D0"/>
    <w:rsid w:val="00FB7D31"/>
    <w:rsid w:val="00FC0A11"/>
    <w:rsid w:val="00FC0C06"/>
    <w:rsid w:val="00FC10CF"/>
    <w:rsid w:val="00FC142F"/>
    <w:rsid w:val="00FC1A21"/>
    <w:rsid w:val="00FC248E"/>
    <w:rsid w:val="00FC3672"/>
    <w:rsid w:val="00FC55E9"/>
    <w:rsid w:val="00FC7DB9"/>
    <w:rsid w:val="00FD296D"/>
    <w:rsid w:val="00FD4D69"/>
    <w:rsid w:val="00FD569D"/>
    <w:rsid w:val="00FD5801"/>
    <w:rsid w:val="00FD652B"/>
    <w:rsid w:val="00FD6BA4"/>
    <w:rsid w:val="00FD78BF"/>
    <w:rsid w:val="00FE0271"/>
    <w:rsid w:val="00FE089D"/>
    <w:rsid w:val="00FE2529"/>
    <w:rsid w:val="00FE421E"/>
    <w:rsid w:val="00FE7F17"/>
    <w:rsid w:val="00FF1CA4"/>
    <w:rsid w:val="00FF2849"/>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BD1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customStyle="1" w:styleId="Style">
    <w:name w:val="Style"/>
    <w:basedOn w:val="Normal"/>
    <w:rsid w:val="007F02CC"/>
    <w:rPr>
      <w:rFonts w:ascii="Arial" w:hAnsi="Arial"/>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4027">
      <w:bodyDiv w:val="1"/>
      <w:marLeft w:val="0"/>
      <w:marRight w:val="0"/>
      <w:marTop w:val="0"/>
      <w:marBottom w:val="0"/>
      <w:divBdr>
        <w:top w:val="none" w:sz="0" w:space="0" w:color="auto"/>
        <w:left w:val="none" w:sz="0" w:space="0" w:color="auto"/>
        <w:bottom w:val="none" w:sz="0" w:space="0" w:color="auto"/>
        <w:right w:val="none" w:sz="0" w:space="0" w:color="auto"/>
      </w:divBdr>
    </w:div>
    <w:div w:id="765537018">
      <w:bodyDiv w:val="1"/>
      <w:marLeft w:val="0"/>
      <w:marRight w:val="0"/>
      <w:marTop w:val="0"/>
      <w:marBottom w:val="0"/>
      <w:divBdr>
        <w:top w:val="none" w:sz="0" w:space="0" w:color="auto"/>
        <w:left w:val="none" w:sz="0" w:space="0" w:color="auto"/>
        <w:bottom w:val="none" w:sz="0" w:space="0" w:color="auto"/>
        <w:right w:val="none" w:sz="0" w:space="0" w:color="auto"/>
      </w:divBdr>
    </w:div>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9306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9B2D-D389-4713-B446-CF17E857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2020-03-06T05:40:00Z</dcterms:created>
  <dcterms:modified xsi:type="dcterms:W3CDTF">2020-03-09T21:43:00Z</dcterms:modified>
</cp:coreProperties>
</file>