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82692" w14:textId="77777777" w:rsidR="00AD59CF" w:rsidRDefault="00A745FF" w:rsidP="007C1916">
      <w:pPr>
        <w:pStyle w:val="Heading9"/>
        <w:numPr>
          <w:ilvl w:val="0"/>
          <w:numId w:val="0"/>
        </w:numPr>
        <w:tabs>
          <w:tab w:val="clear" w:pos="5103"/>
          <w:tab w:val="clear" w:pos="5670"/>
          <w:tab w:val="clear" w:pos="6480"/>
        </w:tabs>
        <w:spacing w:after="0"/>
      </w:pPr>
      <w:r>
        <w:t>Schedule B</w:t>
      </w:r>
    </w:p>
    <w:p w14:paraId="565C6A02" w14:textId="77777777" w:rsidR="00AD59CF" w:rsidRDefault="00AD59CF" w:rsidP="00E729F2">
      <w:pPr>
        <w:pStyle w:val="Title"/>
      </w:pPr>
      <w:r>
        <w:t>MoneySmart Teaching</w:t>
      </w:r>
    </w:p>
    <w:p w14:paraId="325BA6B2" w14:textId="77777777" w:rsidR="00AD59CF" w:rsidRDefault="00AD59CF" w:rsidP="00E729F2">
      <w:pPr>
        <w:pStyle w:val="Subtitle"/>
        <w:spacing w:after="0"/>
      </w:pPr>
      <w:r>
        <w:t>National Partnership Agreement on specified projects</w:t>
      </w:r>
    </w:p>
    <w:p w14:paraId="0116B796" w14:textId="77777777" w:rsidR="008B66CE" w:rsidRDefault="008B66CE" w:rsidP="00E729F2">
      <w:pPr>
        <w:pStyle w:val="Heading1"/>
        <w:spacing w:before="240" w:after="120"/>
      </w:pPr>
      <w:r>
        <w:t>preliminaries</w:t>
      </w:r>
    </w:p>
    <w:p w14:paraId="5F8D9C74" w14:textId="38BC7AA3" w:rsidR="008B66CE" w:rsidRDefault="008B66CE" w:rsidP="008974FE">
      <w:pPr>
        <w:pStyle w:val="Normalnumbered"/>
        <w:numPr>
          <w:ilvl w:val="0"/>
          <w:numId w:val="16"/>
        </w:numPr>
        <w:jc w:val="left"/>
      </w:pPr>
      <w:r>
        <w:t xml:space="preserve">This Schedule will support the delivery of </w:t>
      </w:r>
      <w:r w:rsidR="00AB7BB2">
        <w:t>MoneySmart Teaching</w:t>
      </w:r>
      <w:r w:rsidR="00AC355C">
        <w:t xml:space="preserve"> </w:t>
      </w:r>
      <w:r>
        <w:t xml:space="preserve">professional learning </w:t>
      </w:r>
      <w:r w:rsidR="00FF7EFA">
        <w:t xml:space="preserve">through </w:t>
      </w:r>
      <w:r>
        <w:t xml:space="preserve">a minimum of </w:t>
      </w:r>
      <w:r w:rsidR="00603292">
        <w:t>52,581</w:t>
      </w:r>
      <w:r w:rsidR="006D62B4">
        <w:t xml:space="preserve"> </w:t>
      </w:r>
      <w:r w:rsidR="00FF7EFA">
        <w:t xml:space="preserve">teacher module completions </w:t>
      </w:r>
      <w:r>
        <w:t>over four years in primary and secon</w:t>
      </w:r>
      <w:r w:rsidR="006D62B4">
        <w:t>dary schools across Australia.</w:t>
      </w:r>
    </w:p>
    <w:p w14:paraId="56B7F95D" w14:textId="77777777" w:rsidR="008974FE" w:rsidRDefault="008974FE" w:rsidP="008974FE">
      <w:pPr>
        <w:pStyle w:val="Normalnumbered"/>
        <w:numPr>
          <w:ilvl w:val="0"/>
          <w:numId w:val="16"/>
        </w:numPr>
        <w:jc w:val="left"/>
      </w:pPr>
      <w:r>
        <w:t>It continues the previous Schedule B to the Project Agreement on Specified Projects which supported delivery of MoneySmart Teaching from 2013-14 to 2016-17</w:t>
      </w:r>
      <w:r w:rsidR="00701F54">
        <w:t>.</w:t>
      </w:r>
    </w:p>
    <w:p w14:paraId="6AE64750" w14:textId="77777777" w:rsidR="008B66CE" w:rsidRDefault="008B66CE" w:rsidP="00E729F2">
      <w:pPr>
        <w:pStyle w:val="Heading1"/>
        <w:spacing w:before="240" w:after="120"/>
      </w:pPr>
      <w:r>
        <w:t>Formalities</w:t>
      </w:r>
    </w:p>
    <w:p w14:paraId="1F4AC2CC" w14:textId="77777777" w:rsidR="008B66CE" w:rsidRDefault="008B66CE" w:rsidP="008B66CE">
      <w:pPr>
        <w:pStyle w:val="Heading2"/>
      </w:pPr>
      <w:r>
        <w:t>Parties to this Schedule</w:t>
      </w:r>
    </w:p>
    <w:p w14:paraId="121FD3D2" w14:textId="77777777" w:rsidR="008B66CE" w:rsidRDefault="008B66CE" w:rsidP="008974FE">
      <w:pPr>
        <w:pStyle w:val="Normalnumbered"/>
        <w:numPr>
          <w:ilvl w:val="0"/>
          <w:numId w:val="16"/>
        </w:numPr>
        <w:jc w:val="left"/>
      </w:pPr>
      <w:r>
        <w:t>This Schedule is between the Commonwealth of Australia (the Commonwealth) and New South Wales, Victoria, Queensland, Wes</w:t>
      </w:r>
      <w:r w:rsidR="006D62B4">
        <w:t xml:space="preserve">tern Australia, South Australia, Australian Capital Territory, Tasmania </w:t>
      </w:r>
      <w:r>
        <w:t>and the Northern Territory (the States).</w:t>
      </w:r>
    </w:p>
    <w:p w14:paraId="6A0DCC3E" w14:textId="77777777" w:rsidR="008B66CE" w:rsidRDefault="008B66CE" w:rsidP="008B66CE">
      <w:pPr>
        <w:pStyle w:val="Heading2"/>
      </w:pPr>
      <w:r>
        <w:t>Term of this Schedule</w:t>
      </w:r>
    </w:p>
    <w:p w14:paraId="2E616621" w14:textId="77777777" w:rsidR="008B66CE" w:rsidRDefault="008B66CE" w:rsidP="008974FE">
      <w:pPr>
        <w:pStyle w:val="Normalnumbered"/>
        <w:numPr>
          <w:ilvl w:val="0"/>
          <w:numId w:val="16"/>
        </w:numPr>
        <w:jc w:val="left"/>
      </w:pPr>
      <w:r>
        <w:t>This Sched</w:t>
      </w:r>
      <w:r w:rsidR="006D62B4">
        <w:t>ule will commence</w:t>
      </w:r>
      <w:r w:rsidR="0093509A">
        <w:t xml:space="preserve"> as soon as the Commonwealth and one other</w:t>
      </w:r>
      <w:r w:rsidR="008974FE">
        <w:t xml:space="preserve"> P</w:t>
      </w:r>
      <w:r w:rsidR="0093509A">
        <w:t xml:space="preserve">arty sign </w:t>
      </w:r>
      <w:r w:rsidR="00701F54">
        <w:t xml:space="preserve">it </w:t>
      </w:r>
      <w:r w:rsidR="006D62B4">
        <w:t>and will expire on 30 June 2021</w:t>
      </w:r>
      <w:r>
        <w:t xml:space="preserve"> or on completion of the project, including final performance reporting and processing of final payments against performance milestones, unless terminated earlier or extended as agreed in writing by the Parties.</w:t>
      </w:r>
    </w:p>
    <w:p w14:paraId="6997C046" w14:textId="77777777" w:rsidR="008B66CE" w:rsidRDefault="008B66CE" w:rsidP="00E729F2">
      <w:pPr>
        <w:pStyle w:val="Heading1"/>
        <w:spacing w:before="100" w:after="120"/>
      </w:pPr>
      <w:r>
        <w:t>output</w:t>
      </w:r>
    </w:p>
    <w:p w14:paraId="29061FB9" w14:textId="77777777" w:rsidR="00CB786F" w:rsidRDefault="008B66CE" w:rsidP="00CB786F">
      <w:pPr>
        <w:pStyle w:val="Normalnumbered"/>
        <w:numPr>
          <w:ilvl w:val="0"/>
          <w:numId w:val="16"/>
        </w:numPr>
        <w:jc w:val="left"/>
      </w:pPr>
      <w:r w:rsidRPr="00BC4A09">
        <w:t>The output of this Schedule will be the delivery of MoneySmart Teaching</w:t>
      </w:r>
      <w:r w:rsidR="00564DEB">
        <w:t xml:space="preserve"> </w:t>
      </w:r>
      <w:r w:rsidRPr="00BC4A09">
        <w:t xml:space="preserve">professional </w:t>
      </w:r>
      <w:r w:rsidR="00704987">
        <w:t>learning</w:t>
      </w:r>
      <w:r w:rsidR="00913BFE">
        <w:t xml:space="preserve"> modules </w:t>
      </w:r>
      <w:r w:rsidR="0014518B" w:rsidRPr="00BC4A09">
        <w:t xml:space="preserve">(approximately </w:t>
      </w:r>
      <w:r w:rsidR="003C3529">
        <w:t>1</w:t>
      </w:r>
      <w:r w:rsidR="007325E7">
        <w:t>—1.5</w:t>
      </w:r>
      <w:r w:rsidRPr="00BC4A09">
        <w:t xml:space="preserve"> hours in length) </w:t>
      </w:r>
      <w:r w:rsidR="00FF7EFA">
        <w:t>through</w:t>
      </w:r>
      <w:r w:rsidR="00FF7EFA" w:rsidRPr="00BC4A09">
        <w:t xml:space="preserve"> </w:t>
      </w:r>
      <w:r w:rsidRPr="00BC4A09">
        <w:t xml:space="preserve">a minimum of </w:t>
      </w:r>
      <w:r w:rsidR="000E342D">
        <w:t>52,58</w:t>
      </w:r>
      <w:r w:rsidR="00603292">
        <w:t>1</w:t>
      </w:r>
      <w:r w:rsidR="0046494B" w:rsidRPr="00C56C36">
        <w:t xml:space="preserve"> </w:t>
      </w:r>
      <w:r w:rsidR="00FF7EFA">
        <w:t xml:space="preserve">module completions </w:t>
      </w:r>
      <w:r w:rsidRPr="00BC4A09">
        <w:t>over four years across Australia, in acc</w:t>
      </w:r>
      <w:r w:rsidR="0014518B" w:rsidRPr="00BC4A09">
        <w:t>ordance with Table 1</w:t>
      </w:r>
      <w:r w:rsidR="00FF7EFA">
        <w:t xml:space="preserve">. </w:t>
      </w:r>
      <w:r w:rsidR="00821428">
        <w:t>In the first year of the Agreement 2017-18, d</w:t>
      </w:r>
      <w:r w:rsidR="00FF7EFA">
        <w:t xml:space="preserve">elivery </w:t>
      </w:r>
      <w:r w:rsidR="00936DF9">
        <w:t>will</w:t>
      </w:r>
      <w:r w:rsidR="00FF7EFA">
        <w:t xml:space="preserve"> be in person or online</w:t>
      </w:r>
      <w:r w:rsidR="00821428">
        <w:t xml:space="preserve">. In subsequent years all professional learning will be online </w:t>
      </w:r>
      <w:r w:rsidR="0014518B" w:rsidRPr="00BC4A09">
        <w:t xml:space="preserve">using </w:t>
      </w:r>
      <w:r w:rsidRPr="00BC4A09">
        <w:t>the Australian Securities and Investments Commission’s (ASIC</w:t>
      </w:r>
      <w:r w:rsidR="00701F54">
        <w:t>’</w:t>
      </w:r>
      <w:r w:rsidRPr="00BC4A09">
        <w:t xml:space="preserve">s) online MoneySmart Teaching professional </w:t>
      </w:r>
      <w:r w:rsidR="00F2400E">
        <w:t xml:space="preserve">learning </w:t>
      </w:r>
      <w:r w:rsidR="0014518B" w:rsidRPr="00BC4A09">
        <w:t>modules</w:t>
      </w:r>
      <w:r w:rsidR="00821428">
        <w:t>.</w:t>
      </w:r>
      <w:r w:rsidR="00FF7EFA">
        <w:t xml:space="preserve"> </w:t>
      </w:r>
    </w:p>
    <w:p w14:paraId="1F410B9D" w14:textId="6AFBC8C8" w:rsidR="008B66CE" w:rsidRPr="00821428" w:rsidRDefault="008B66CE" w:rsidP="00CB786F">
      <w:pPr>
        <w:pStyle w:val="Normalnumbered"/>
        <w:tabs>
          <w:tab w:val="clear" w:pos="283"/>
          <w:tab w:val="clear" w:pos="543"/>
        </w:tabs>
        <w:spacing w:after="120" w:line="240" w:lineRule="exact"/>
        <w:ind w:left="0" w:firstLine="0"/>
        <w:jc w:val="left"/>
        <w:rPr>
          <w:rFonts w:cs="Consolas"/>
          <w:b/>
          <w:bCs/>
          <w:szCs w:val="23"/>
        </w:rPr>
      </w:pPr>
      <w:r w:rsidRPr="00821428">
        <w:rPr>
          <w:rFonts w:cs="Consolas"/>
          <w:b/>
          <w:bCs/>
          <w:szCs w:val="23"/>
        </w:rPr>
        <w:t xml:space="preserve">Table 1: Total minimum number of teacher </w:t>
      </w:r>
      <w:r w:rsidR="00FF7EFA" w:rsidRPr="00821428">
        <w:rPr>
          <w:rFonts w:cs="Consolas"/>
          <w:b/>
          <w:bCs/>
          <w:szCs w:val="23"/>
        </w:rPr>
        <w:t xml:space="preserve">module completions of </w:t>
      </w:r>
      <w:r w:rsidRPr="00821428">
        <w:rPr>
          <w:rFonts w:cs="Consolas"/>
          <w:b/>
          <w:bCs/>
          <w:szCs w:val="23"/>
        </w:rPr>
        <w:t>MoneySmart Teaching pro</w:t>
      </w:r>
      <w:r w:rsidR="0046494B" w:rsidRPr="00821428">
        <w:rPr>
          <w:rFonts w:cs="Consolas"/>
          <w:b/>
          <w:bCs/>
          <w:szCs w:val="23"/>
        </w:rPr>
        <w:t>fessional learning over the 2017-18 to 2020-21</w:t>
      </w:r>
      <w:r w:rsidRPr="00821428">
        <w:rPr>
          <w:rFonts w:cs="Consolas"/>
          <w:b/>
          <w:bCs/>
          <w:szCs w:val="23"/>
        </w:rPr>
        <w:t xml:space="preserve"> period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8B66CE" w:rsidRPr="00BC4A09" w14:paraId="14C92F2D" w14:textId="77777777" w:rsidTr="00913BFE">
        <w:trPr>
          <w:trHeight w:val="158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  <w:hideMark/>
          </w:tcPr>
          <w:p w14:paraId="1D67479A" w14:textId="77777777" w:rsidR="008B66CE" w:rsidRPr="00BC4A09" w:rsidRDefault="00701F54" w:rsidP="001F44A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Jurisdiction</w:t>
            </w:r>
            <w:r w:rsidRPr="00BC4A0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  <w:hideMark/>
          </w:tcPr>
          <w:p w14:paraId="1E328FF3" w14:textId="77777777" w:rsidR="008B66CE" w:rsidRPr="00BC4A09" w:rsidRDefault="008B66CE" w:rsidP="001F44A7">
            <w:pPr>
              <w:pStyle w:val="Default"/>
              <w:jc w:val="center"/>
              <w:rPr>
                <w:sz w:val="22"/>
                <w:szCs w:val="22"/>
              </w:rPr>
            </w:pPr>
            <w:r w:rsidRPr="00BC4A09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8B66CE" w:rsidRPr="00BC4A09" w14:paraId="694B89B1" w14:textId="77777777" w:rsidTr="00913BFE">
        <w:trPr>
          <w:trHeight w:val="167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5239948" w14:textId="77777777" w:rsidR="008B66CE" w:rsidRPr="00BC4A09" w:rsidRDefault="008B66CE" w:rsidP="001F44A7">
            <w:pPr>
              <w:pStyle w:val="Default"/>
              <w:rPr>
                <w:sz w:val="22"/>
                <w:szCs w:val="22"/>
              </w:rPr>
            </w:pPr>
            <w:r w:rsidRPr="00BC4A09">
              <w:rPr>
                <w:sz w:val="22"/>
                <w:szCs w:val="22"/>
              </w:rPr>
              <w:t>N</w:t>
            </w:r>
            <w:r w:rsidR="00701F54">
              <w:rPr>
                <w:sz w:val="22"/>
                <w:szCs w:val="22"/>
              </w:rPr>
              <w:t xml:space="preserve">ew </w:t>
            </w:r>
            <w:r w:rsidRPr="00BC4A09">
              <w:rPr>
                <w:sz w:val="22"/>
                <w:szCs w:val="22"/>
              </w:rPr>
              <w:t>S</w:t>
            </w:r>
            <w:r w:rsidR="00701F54">
              <w:rPr>
                <w:sz w:val="22"/>
                <w:szCs w:val="22"/>
              </w:rPr>
              <w:t xml:space="preserve">outh </w:t>
            </w:r>
            <w:r w:rsidRPr="00BC4A09">
              <w:rPr>
                <w:sz w:val="22"/>
                <w:szCs w:val="22"/>
              </w:rPr>
              <w:t>W</w:t>
            </w:r>
            <w:r w:rsidR="00701F54">
              <w:rPr>
                <w:sz w:val="22"/>
                <w:szCs w:val="22"/>
              </w:rPr>
              <w:t>ales</w:t>
            </w:r>
            <w:r w:rsidRPr="00BC4A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BC2105" w14:textId="513E545A" w:rsidR="008B66CE" w:rsidRPr="00BC4A09" w:rsidRDefault="000E342D" w:rsidP="00070D8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15,90</w:t>
            </w:r>
            <w:r w:rsidR="00070D8B">
              <w:rPr>
                <w:sz w:val="22"/>
                <w:szCs w:val="22"/>
              </w:rPr>
              <w:t>5</w:t>
            </w:r>
          </w:p>
        </w:tc>
      </w:tr>
      <w:tr w:rsidR="008B66CE" w:rsidRPr="00BC4A09" w14:paraId="444039CE" w14:textId="77777777" w:rsidTr="00913BFE">
        <w:trPr>
          <w:trHeight w:val="165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1EE3314" w14:textId="4AE1BDE2" w:rsidR="008B66CE" w:rsidRPr="00BC4A09" w:rsidRDefault="008B66CE" w:rsidP="00701F54">
            <w:pPr>
              <w:pStyle w:val="Default"/>
              <w:rPr>
                <w:sz w:val="22"/>
                <w:szCs w:val="22"/>
              </w:rPr>
            </w:pPr>
            <w:r w:rsidRPr="00BC4A09">
              <w:rPr>
                <w:sz w:val="22"/>
                <w:szCs w:val="22"/>
              </w:rPr>
              <w:t>V</w:t>
            </w:r>
            <w:r w:rsidR="00701F54">
              <w:rPr>
                <w:sz w:val="22"/>
                <w:szCs w:val="22"/>
              </w:rPr>
              <w:t>ictoria</w:t>
            </w:r>
            <w:r w:rsidRPr="00BC4A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2A4FB1" w14:textId="033BEB4C" w:rsidR="008B66CE" w:rsidRPr="00BC4A09" w:rsidRDefault="000E342D" w:rsidP="001F44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13,631</w:t>
            </w:r>
          </w:p>
        </w:tc>
      </w:tr>
      <w:tr w:rsidR="008B66CE" w:rsidRPr="00BC4A09" w14:paraId="4525CDD2" w14:textId="77777777" w:rsidTr="00913BFE">
        <w:trPr>
          <w:trHeight w:val="166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EF65B17" w14:textId="77777777" w:rsidR="008B66CE" w:rsidRPr="00BC4A09" w:rsidRDefault="008B66CE" w:rsidP="00701F54">
            <w:pPr>
              <w:pStyle w:val="Default"/>
              <w:rPr>
                <w:sz w:val="22"/>
                <w:szCs w:val="22"/>
              </w:rPr>
            </w:pPr>
            <w:r w:rsidRPr="00BC4A09">
              <w:rPr>
                <w:sz w:val="22"/>
                <w:szCs w:val="22"/>
              </w:rPr>
              <w:t>Q</w:t>
            </w:r>
            <w:r w:rsidR="00701F54">
              <w:rPr>
                <w:sz w:val="22"/>
                <w:szCs w:val="22"/>
              </w:rPr>
              <w:t>ueensland</w:t>
            </w:r>
            <w:r w:rsidRPr="00BC4A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117797" w14:textId="3782CB10" w:rsidR="008B66CE" w:rsidRPr="00BC4A09" w:rsidRDefault="000E342D" w:rsidP="001F44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10,82</w:t>
            </w:r>
            <w:r w:rsidR="00603292">
              <w:rPr>
                <w:sz w:val="22"/>
                <w:szCs w:val="22"/>
              </w:rPr>
              <w:t>6</w:t>
            </w:r>
          </w:p>
        </w:tc>
      </w:tr>
      <w:tr w:rsidR="008B66CE" w:rsidRPr="00BC4A09" w14:paraId="53D62342" w14:textId="77777777" w:rsidTr="00913BFE">
        <w:trPr>
          <w:trHeight w:val="166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655D5C4" w14:textId="77777777" w:rsidR="008B66CE" w:rsidRPr="00BC4A09" w:rsidRDefault="008B66CE" w:rsidP="001F44A7">
            <w:pPr>
              <w:pStyle w:val="Default"/>
              <w:rPr>
                <w:sz w:val="22"/>
                <w:szCs w:val="22"/>
              </w:rPr>
            </w:pPr>
            <w:r w:rsidRPr="00BC4A09">
              <w:rPr>
                <w:sz w:val="22"/>
                <w:szCs w:val="22"/>
              </w:rPr>
              <w:t>W</w:t>
            </w:r>
            <w:r w:rsidR="00701F54">
              <w:rPr>
                <w:sz w:val="22"/>
                <w:szCs w:val="22"/>
              </w:rPr>
              <w:t xml:space="preserve">estern </w:t>
            </w:r>
            <w:r w:rsidRPr="00BC4A09">
              <w:rPr>
                <w:sz w:val="22"/>
                <w:szCs w:val="22"/>
              </w:rPr>
              <w:t>A</w:t>
            </w:r>
            <w:r w:rsidR="00701F54">
              <w:rPr>
                <w:sz w:val="22"/>
                <w:szCs w:val="22"/>
              </w:rPr>
              <w:t>ustralia</w:t>
            </w:r>
            <w:r w:rsidRPr="00BC4A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F6B04C" w14:textId="07C057C2" w:rsidR="008B66CE" w:rsidRPr="00BC4A09" w:rsidRDefault="00CA45A2" w:rsidP="001F44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5,80</w:t>
            </w:r>
            <w:r w:rsidR="00603292">
              <w:rPr>
                <w:sz w:val="22"/>
                <w:szCs w:val="22"/>
              </w:rPr>
              <w:t>7</w:t>
            </w:r>
          </w:p>
        </w:tc>
      </w:tr>
      <w:tr w:rsidR="0046494B" w:rsidRPr="00BC4A09" w14:paraId="661C5B45" w14:textId="77777777" w:rsidTr="00913BFE">
        <w:trPr>
          <w:trHeight w:val="165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137809" w14:textId="574BB2AE" w:rsidR="0046494B" w:rsidRPr="00BC4A09" w:rsidRDefault="0046494B" w:rsidP="00701F54">
            <w:pPr>
              <w:pStyle w:val="Default"/>
              <w:rPr>
                <w:sz w:val="22"/>
                <w:szCs w:val="22"/>
              </w:rPr>
            </w:pPr>
            <w:r w:rsidRPr="00BC4A09">
              <w:rPr>
                <w:sz w:val="22"/>
                <w:szCs w:val="22"/>
              </w:rPr>
              <w:t>S</w:t>
            </w:r>
            <w:r w:rsidR="00701F54">
              <w:rPr>
                <w:sz w:val="22"/>
                <w:szCs w:val="22"/>
              </w:rPr>
              <w:t xml:space="preserve">outh </w:t>
            </w:r>
            <w:r w:rsidRPr="00BC4A09">
              <w:rPr>
                <w:sz w:val="22"/>
                <w:szCs w:val="22"/>
              </w:rPr>
              <w:t>A</w:t>
            </w:r>
            <w:r w:rsidR="00701F54">
              <w:rPr>
                <w:sz w:val="22"/>
                <w:szCs w:val="22"/>
              </w:rPr>
              <w:t>ustralia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F0E209" w14:textId="6F4BF96B" w:rsidR="0046494B" w:rsidRPr="00BC4A09" w:rsidRDefault="00603292" w:rsidP="00CA45A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3,679</w:t>
            </w:r>
          </w:p>
        </w:tc>
      </w:tr>
      <w:tr w:rsidR="00701F54" w:rsidRPr="00BC4A09" w14:paraId="3E63D378" w14:textId="77777777" w:rsidTr="00913BFE">
        <w:trPr>
          <w:trHeight w:val="165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E64466" w14:textId="77777777" w:rsidR="00701F54" w:rsidRPr="00BC4A09" w:rsidRDefault="00701F54" w:rsidP="00701F54">
            <w:pPr>
              <w:pStyle w:val="Default"/>
              <w:rPr>
                <w:sz w:val="22"/>
                <w:szCs w:val="22"/>
              </w:rPr>
            </w:pPr>
            <w:r w:rsidRPr="00BC4A09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asmania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DAF131" w14:textId="7BA8B4B3" w:rsidR="00701F54" w:rsidRPr="00BC4A09" w:rsidRDefault="000E342D" w:rsidP="001F44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1,200</w:t>
            </w:r>
          </w:p>
        </w:tc>
      </w:tr>
      <w:tr w:rsidR="00701F54" w:rsidRPr="00BC4A09" w14:paraId="611B2D2C" w14:textId="77777777" w:rsidTr="00913BFE">
        <w:trPr>
          <w:trHeight w:val="165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B4874D" w14:textId="77777777" w:rsidR="00701F54" w:rsidRPr="00BC4A09" w:rsidRDefault="00701F54" w:rsidP="001F44A7">
            <w:pPr>
              <w:pStyle w:val="Default"/>
              <w:rPr>
                <w:sz w:val="22"/>
                <w:szCs w:val="22"/>
              </w:rPr>
            </w:pPr>
            <w:r w:rsidRPr="00BC4A09">
              <w:rPr>
                <w:sz w:val="22"/>
                <w:szCs w:val="22"/>
              </w:rPr>
              <w:t>ACT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B74D3F" w14:textId="12294312" w:rsidR="00701F54" w:rsidRPr="00BC4A09" w:rsidRDefault="00FD0985" w:rsidP="001F44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</w:t>
            </w:r>
          </w:p>
        </w:tc>
      </w:tr>
      <w:tr w:rsidR="00701F54" w:rsidRPr="00BC4A09" w14:paraId="32329134" w14:textId="77777777" w:rsidTr="00913BFE">
        <w:trPr>
          <w:trHeight w:val="165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A0CF2B" w14:textId="77777777" w:rsidR="00701F54" w:rsidRPr="00BC4A09" w:rsidRDefault="00701F54" w:rsidP="001F44A7">
            <w:pPr>
              <w:pStyle w:val="Default"/>
              <w:rPr>
                <w:sz w:val="22"/>
                <w:szCs w:val="22"/>
              </w:rPr>
            </w:pPr>
            <w:r w:rsidRPr="00BC4A09">
              <w:rPr>
                <w:sz w:val="22"/>
                <w:szCs w:val="22"/>
              </w:rPr>
              <w:t>NT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388AD3" w14:textId="221727B3" w:rsidR="00701F54" w:rsidRPr="00BC4A09" w:rsidRDefault="00FD0985" w:rsidP="001F44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603292">
              <w:rPr>
                <w:sz w:val="22"/>
                <w:szCs w:val="22"/>
              </w:rPr>
              <w:t>5</w:t>
            </w:r>
          </w:p>
        </w:tc>
      </w:tr>
      <w:tr w:rsidR="00701F54" w:rsidRPr="00BC4A09" w14:paraId="7EBFD6EA" w14:textId="77777777" w:rsidTr="00913BFE">
        <w:trPr>
          <w:trHeight w:val="156"/>
        </w:trPr>
        <w:tc>
          <w:tcPr>
            <w:tcW w:w="4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  <w:hideMark/>
          </w:tcPr>
          <w:p w14:paraId="58F9357B" w14:textId="77777777" w:rsidR="00701F54" w:rsidRPr="00BC4A09" w:rsidRDefault="00701F54" w:rsidP="001F44A7">
            <w:pPr>
              <w:pStyle w:val="Default"/>
              <w:rPr>
                <w:sz w:val="22"/>
                <w:szCs w:val="22"/>
              </w:rPr>
            </w:pPr>
            <w:r w:rsidRPr="00BC4A09"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b/>
                <w:bCs/>
                <w:sz w:val="22"/>
                <w:szCs w:val="22"/>
              </w:rPr>
              <w:t>all jurisdictions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6B85955C" w14:textId="2AE97A9B" w:rsidR="00701F54" w:rsidRPr="00BC4A09" w:rsidRDefault="000E342D" w:rsidP="006C388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52,58</w:t>
            </w:r>
            <w:r w:rsidR="00603292">
              <w:rPr>
                <w:sz w:val="22"/>
                <w:szCs w:val="22"/>
              </w:rPr>
              <w:t>1</w:t>
            </w:r>
          </w:p>
        </w:tc>
      </w:tr>
    </w:tbl>
    <w:p w14:paraId="20A4CFD0" w14:textId="77777777" w:rsidR="008B66CE" w:rsidRPr="00BC4A09" w:rsidRDefault="008B66CE" w:rsidP="00701F54">
      <w:pPr>
        <w:pStyle w:val="Normalnumbered"/>
        <w:keepNext/>
        <w:numPr>
          <w:ilvl w:val="0"/>
          <w:numId w:val="16"/>
        </w:numPr>
        <w:spacing w:before="240"/>
      </w:pPr>
      <w:r w:rsidRPr="00BC4A09">
        <w:lastRenderedPageBreak/>
        <w:t>Where possible, teacher professional learning should have representation across:</w:t>
      </w:r>
    </w:p>
    <w:p w14:paraId="6DC51B54" w14:textId="77777777" w:rsidR="008B66CE" w:rsidRDefault="008B66CE" w:rsidP="00913BFE">
      <w:pPr>
        <w:pStyle w:val="AlphaParagraph"/>
        <w:numPr>
          <w:ilvl w:val="0"/>
          <w:numId w:val="17"/>
        </w:numPr>
        <w:tabs>
          <w:tab w:val="clear" w:pos="1418"/>
          <w:tab w:val="clear" w:pos="1701"/>
        </w:tabs>
        <w:ind w:left="1134" w:hanging="567"/>
        <w:rPr>
          <w:color w:val="auto"/>
        </w:rPr>
      </w:pPr>
      <w:r>
        <w:rPr>
          <w:color w:val="auto"/>
        </w:rPr>
        <w:t>primary, secondary and combined schools;</w:t>
      </w:r>
    </w:p>
    <w:p w14:paraId="4658AA28" w14:textId="099FC505" w:rsidR="00DB1A97" w:rsidRDefault="00DB1A97" w:rsidP="00913BFE">
      <w:pPr>
        <w:pStyle w:val="AlphaParagraph"/>
        <w:numPr>
          <w:ilvl w:val="0"/>
          <w:numId w:val="17"/>
        </w:numPr>
        <w:tabs>
          <w:tab w:val="clear" w:pos="1418"/>
          <w:tab w:val="clear" w:pos="1701"/>
        </w:tabs>
        <w:ind w:left="1134" w:hanging="567"/>
        <w:rPr>
          <w:color w:val="auto"/>
        </w:rPr>
      </w:pPr>
      <w:r>
        <w:rPr>
          <w:color w:val="auto"/>
        </w:rPr>
        <w:t>pre-service teachers;</w:t>
      </w:r>
    </w:p>
    <w:p w14:paraId="3DB64B45" w14:textId="77777777" w:rsidR="008B66CE" w:rsidRDefault="008B66CE" w:rsidP="00913BFE">
      <w:pPr>
        <w:pStyle w:val="AlphaParagraph"/>
        <w:numPr>
          <w:ilvl w:val="0"/>
          <w:numId w:val="17"/>
        </w:numPr>
        <w:tabs>
          <w:tab w:val="clear" w:pos="1418"/>
          <w:tab w:val="clear" w:pos="1701"/>
        </w:tabs>
        <w:ind w:left="1134" w:hanging="567"/>
        <w:rPr>
          <w:color w:val="auto"/>
        </w:rPr>
      </w:pPr>
      <w:r>
        <w:rPr>
          <w:color w:val="auto"/>
        </w:rPr>
        <w:t>the three school sectors (Government, Catholic and Independent);</w:t>
      </w:r>
    </w:p>
    <w:p w14:paraId="1572632C" w14:textId="77777777" w:rsidR="008B66CE" w:rsidRDefault="008B66CE" w:rsidP="00913BFE">
      <w:pPr>
        <w:pStyle w:val="AlphaParagraph"/>
        <w:numPr>
          <w:ilvl w:val="0"/>
          <w:numId w:val="17"/>
        </w:numPr>
        <w:tabs>
          <w:tab w:val="clear" w:pos="1418"/>
          <w:tab w:val="clear" w:pos="1701"/>
        </w:tabs>
        <w:ind w:left="1134" w:hanging="567"/>
        <w:rPr>
          <w:color w:val="auto"/>
        </w:rPr>
      </w:pPr>
      <w:r>
        <w:rPr>
          <w:color w:val="auto"/>
        </w:rPr>
        <w:t>urban, rural, regional and remote regions; and</w:t>
      </w:r>
    </w:p>
    <w:p w14:paraId="60533EF0" w14:textId="77777777" w:rsidR="008B66CE" w:rsidRDefault="008B66CE" w:rsidP="00913BFE">
      <w:pPr>
        <w:pStyle w:val="AlphaParagraph"/>
        <w:numPr>
          <w:ilvl w:val="0"/>
          <w:numId w:val="17"/>
        </w:numPr>
        <w:tabs>
          <w:tab w:val="clear" w:pos="1418"/>
          <w:tab w:val="clear" w:pos="1701"/>
        </w:tabs>
        <w:ind w:left="1134" w:hanging="567"/>
        <w:rPr>
          <w:color w:val="auto"/>
        </w:rPr>
      </w:pPr>
      <w:r>
        <w:rPr>
          <w:color w:val="auto"/>
        </w:rPr>
        <w:t>schools in low socio-economic areas and schools with high numbers of Aboriginal and Torres Strait Islander students, culturally and linguistically diverse students and students with special learning needs.</w:t>
      </w:r>
    </w:p>
    <w:p w14:paraId="74A2609D" w14:textId="77777777" w:rsidR="008B66CE" w:rsidRDefault="008B66CE" w:rsidP="007C1916">
      <w:pPr>
        <w:pStyle w:val="Heading1"/>
        <w:spacing w:before="240" w:after="120"/>
      </w:pPr>
      <w:r>
        <w:t xml:space="preserve">roles and responsibilities </w:t>
      </w:r>
    </w:p>
    <w:p w14:paraId="146168AA" w14:textId="77777777" w:rsidR="008B66CE" w:rsidRDefault="008B66CE" w:rsidP="008974FE">
      <w:pPr>
        <w:pStyle w:val="Normalnumbered"/>
        <w:numPr>
          <w:ilvl w:val="0"/>
          <w:numId w:val="16"/>
        </w:numPr>
        <w:jc w:val="left"/>
      </w:pPr>
      <w:r>
        <w:t>To realise the output in this Schedule, each Party has specific roles and responsibilities in addition to those in the Agreement, as outlined below.</w:t>
      </w:r>
    </w:p>
    <w:p w14:paraId="77F8FE5F" w14:textId="77777777" w:rsidR="008B66CE" w:rsidRDefault="008B66CE" w:rsidP="008B66CE">
      <w:pPr>
        <w:pStyle w:val="Heading2"/>
      </w:pPr>
      <w:r>
        <w:t xml:space="preserve">Role of the Commonwealth </w:t>
      </w:r>
    </w:p>
    <w:p w14:paraId="264380B1" w14:textId="77777777" w:rsidR="008B66CE" w:rsidRDefault="008B66CE" w:rsidP="008974FE">
      <w:pPr>
        <w:pStyle w:val="Normalnumbered"/>
        <w:numPr>
          <w:ilvl w:val="0"/>
          <w:numId w:val="16"/>
        </w:numPr>
        <w:jc w:val="left"/>
        <w:rPr>
          <w:color w:val="auto"/>
        </w:rPr>
      </w:pPr>
      <w:r>
        <w:t>Under this Schedule, t</w:t>
      </w:r>
      <w:r>
        <w:rPr>
          <w:color w:val="auto"/>
        </w:rPr>
        <w:t>he Commonwealth agrees to be accountable for the following additional roles and responsibilities:</w:t>
      </w:r>
    </w:p>
    <w:p w14:paraId="06ACDBA6" w14:textId="77777777" w:rsidR="008B66CE" w:rsidRDefault="008B66CE" w:rsidP="00716D99">
      <w:pPr>
        <w:pStyle w:val="AlphaParagraph"/>
        <w:numPr>
          <w:ilvl w:val="0"/>
          <w:numId w:val="18"/>
        </w:numPr>
        <w:tabs>
          <w:tab w:val="clear" w:pos="1418"/>
          <w:tab w:val="clear" w:pos="1701"/>
          <w:tab w:val="num" w:pos="1134"/>
        </w:tabs>
        <w:ind w:hanging="567"/>
        <w:rPr>
          <w:color w:val="auto"/>
        </w:rPr>
      </w:pPr>
      <w:r>
        <w:rPr>
          <w:color w:val="auto"/>
        </w:rPr>
        <w:t xml:space="preserve">developing MoneySmart Teaching </w:t>
      </w:r>
      <w:r w:rsidR="000D23D7">
        <w:rPr>
          <w:color w:val="auto"/>
        </w:rPr>
        <w:t xml:space="preserve">professional development online modules and </w:t>
      </w:r>
      <w:r>
        <w:rPr>
          <w:color w:val="auto"/>
        </w:rPr>
        <w:t>resources;</w:t>
      </w:r>
    </w:p>
    <w:p w14:paraId="30731E83" w14:textId="77777777" w:rsidR="008B66CE" w:rsidRDefault="008B66CE" w:rsidP="00716D99">
      <w:pPr>
        <w:pStyle w:val="AlphaParagraph"/>
        <w:numPr>
          <w:ilvl w:val="0"/>
          <w:numId w:val="18"/>
        </w:numPr>
        <w:tabs>
          <w:tab w:val="clear" w:pos="1418"/>
          <w:tab w:val="clear" w:pos="1701"/>
          <w:tab w:val="num" w:pos="1134"/>
        </w:tabs>
        <w:ind w:hanging="567"/>
        <w:rPr>
          <w:color w:val="auto"/>
        </w:rPr>
      </w:pPr>
      <w:r>
        <w:rPr>
          <w:color w:val="auto"/>
        </w:rPr>
        <w:t xml:space="preserve">providing support to the States, as requested, to assist them in meeting the output of this Schedule; </w:t>
      </w:r>
    </w:p>
    <w:p w14:paraId="4B664BB3" w14:textId="77777777" w:rsidR="008B66CE" w:rsidRDefault="008B66CE" w:rsidP="00716D99">
      <w:pPr>
        <w:pStyle w:val="AlphaParagraph"/>
        <w:numPr>
          <w:ilvl w:val="0"/>
          <w:numId w:val="18"/>
        </w:numPr>
        <w:tabs>
          <w:tab w:val="clear" w:pos="1418"/>
          <w:tab w:val="clear" w:pos="1701"/>
          <w:tab w:val="num" w:pos="1134"/>
        </w:tabs>
        <w:ind w:hanging="567"/>
        <w:rPr>
          <w:color w:val="auto"/>
        </w:rPr>
      </w:pPr>
      <w:r>
        <w:rPr>
          <w:color w:val="auto"/>
        </w:rPr>
        <w:t>delivering all elements in relation to the Programme for International Student Assessment (PISA) testing (financial literacy component);</w:t>
      </w:r>
    </w:p>
    <w:p w14:paraId="2E72F024" w14:textId="77777777" w:rsidR="008B66CE" w:rsidRDefault="008B66CE" w:rsidP="00716D99">
      <w:pPr>
        <w:pStyle w:val="AlphaParagraph"/>
        <w:numPr>
          <w:ilvl w:val="0"/>
          <w:numId w:val="18"/>
        </w:numPr>
        <w:tabs>
          <w:tab w:val="clear" w:pos="1418"/>
          <w:tab w:val="clear" w:pos="1701"/>
          <w:tab w:val="num" w:pos="1134"/>
        </w:tabs>
        <w:ind w:hanging="567"/>
        <w:rPr>
          <w:color w:val="auto"/>
        </w:rPr>
      </w:pPr>
      <w:r>
        <w:rPr>
          <w:color w:val="auto"/>
        </w:rPr>
        <w:t xml:space="preserve">conducting </w:t>
      </w:r>
      <w:r w:rsidR="00FB576A">
        <w:rPr>
          <w:color w:val="auto"/>
        </w:rPr>
        <w:t xml:space="preserve">ongoing </w:t>
      </w:r>
      <w:r w:rsidR="001E0697">
        <w:rPr>
          <w:color w:val="auto"/>
        </w:rPr>
        <w:t xml:space="preserve">independent </w:t>
      </w:r>
      <w:r>
        <w:rPr>
          <w:color w:val="auto"/>
        </w:rPr>
        <w:t xml:space="preserve">evaluation of the MoneySmart Teaching program </w:t>
      </w:r>
      <w:r w:rsidR="00FB576A">
        <w:rPr>
          <w:color w:val="auto"/>
        </w:rPr>
        <w:t>with the support of</w:t>
      </w:r>
      <w:r>
        <w:rPr>
          <w:color w:val="auto"/>
        </w:rPr>
        <w:t xml:space="preserve"> the States;</w:t>
      </w:r>
    </w:p>
    <w:p w14:paraId="0A734DF4" w14:textId="77777777" w:rsidR="008B66CE" w:rsidRPr="000D23D7" w:rsidRDefault="008B66CE" w:rsidP="00716D99">
      <w:pPr>
        <w:pStyle w:val="AlphaParagraph"/>
        <w:numPr>
          <w:ilvl w:val="0"/>
          <w:numId w:val="18"/>
        </w:numPr>
        <w:tabs>
          <w:tab w:val="clear" w:pos="1418"/>
          <w:tab w:val="clear" w:pos="1701"/>
          <w:tab w:val="num" w:pos="1134"/>
        </w:tabs>
        <w:ind w:hanging="567"/>
        <w:rPr>
          <w:color w:val="auto"/>
        </w:rPr>
      </w:pPr>
      <w:r w:rsidRPr="000D23D7">
        <w:rPr>
          <w:color w:val="auto"/>
        </w:rPr>
        <w:t xml:space="preserve">providing data reports to </w:t>
      </w:r>
      <w:r w:rsidR="009E11EC">
        <w:rPr>
          <w:color w:val="auto"/>
        </w:rPr>
        <w:t>the</w:t>
      </w:r>
      <w:r w:rsidRPr="000D23D7">
        <w:rPr>
          <w:color w:val="auto"/>
        </w:rPr>
        <w:t xml:space="preserve"> States </w:t>
      </w:r>
      <w:r w:rsidR="009E11EC">
        <w:rPr>
          <w:color w:val="auto"/>
        </w:rPr>
        <w:t>to verify</w:t>
      </w:r>
      <w:r w:rsidRPr="000D23D7">
        <w:rPr>
          <w:color w:val="auto"/>
        </w:rPr>
        <w:t xml:space="preserve"> every six months, or as reasonably requested, on their:</w:t>
      </w:r>
    </w:p>
    <w:p w14:paraId="048237F3" w14:textId="77777777" w:rsidR="008B66CE" w:rsidRPr="000D23D7" w:rsidRDefault="008B66CE" w:rsidP="00716D99">
      <w:pPr>
        <w:pStyle w:val="Normalnumbered"/>
        <w:numPr>
          <w:ilvl w:val="0"/>
          <w:numId w:val="20"/>
        </w:numPr>
        <w:tabs>
          <w:tab w:val="clear" w:pos="543"/>
        </w:tabs>
        <w:ind w:left="1701" w:hanging="567"/>
      </w:pPr>
      <w:r w:rsidRPr="000D23D7">
        <w:t>online professional learning numbers</w:t>
      </w:r>
      <w:r w:rsidR="00AC355C">
        <w:t>;</w:t>
      </w:r>
    </w:p>
    <w:p w14:paraId="12A9227F" w14:textId="77777777" w:rsidR="008B66CE" w:rsidRPr="000D23D7" w:rsidRDefault="008B66CE" w:rsidP="00716D99">
      <w:pPr>
        <w:pStyle w:val="Normalnumbered"/>
        <w:numPr>
          <w:ilvl w:val="0"/>
          <w:numId w:val="20"/>
        </w:numPr>
        <w:tabs>
          <w:tab w:val="clear" w:pos="543"/>
        </w:tabs>
        <w:ind w:left="1701" w:hanging="567"/>
      </w:pPr>
      <w:r w:rsidRPr="000D23D7">
        <w:t>resources downloads</w:t>
      </w:r>
      <w:r w:rsidR="00AC355C">
        <w:t>;</w:t>
      </w:r>
      <w:r w:rsidRPr="000D23D7">
        <w:t xml:space="preserve"> and</w:t>
      </w:r>
    </w:p>
    <w:p w14:paraId="7D9D24F8" w14:textId="77777777" w:rsidR="008B66CE" w:rsidRPr="000D23D7" w:rsidRDefault="000D23D7" w:rsidP="00716D99">
      <w:pPr>
        <w:pStyle w:val="Normalnumbered"/>
        <w:numPr>
          <w:ilvl w:val="0"/>
          <w:numId w:val="20"/>
        </w:numPr>
        <w:tabs>
          <w:tab w:val="clear" w:pos="543"/>
        </w:tabs>
        <w:ind w:left="1701" w:hanging="567"/>
      </w:pPr>
      <w:r w:rsidRPr="000D23D7">
        <w:t>other related activity</w:t>
      </w:r>
      <w:r w:rsidR="00913BFE">
        <w:t>.</w:t>
      </w:r>
    </w:p>
    <w:p w14:paraId="10A03F33" w14:textId="77777777" w:rsidR="008B66CE" w:rsidRDefault="00913BFE" w:rsidP="008974FE">
      <w:pPr>
        <w:pStyle w:val="AlphaParagraph"/>
        <w:numPr>
          <w:ilvl w:val="0"/>
          <w:numId w:val="18"/>
        </w:numPr>
        <w:tabs>
          <w:tab w:val="clear" w:pos="1418"/>
        </w:tabs>
        <w:ind w:hanging="567"/>
        <w:rPr>
          <w:color w:val="auto"/>
        </w:rPr>
      </w:pPr>
      <w:r>
        <w:rPr>
          <w:color w:val="auto"/>
        </w:rPr>
        <w:t>p</w:t>
      </w:r>
      <w:r w:rsidR="008B66CE">
        <w:rPr>
          <w:color w:val="auto"/>
        </w:rPr>
        <w:t>roviding</w:t>
      </w:r>
      <w:r w:rsidR="00AC355C">
        <w:rPr>
          <w:color w:val="auto"/>
        </w:rPr>
        <w:t xml:space="preserve"> the</w:t>
      </w:r>
      <w:r w:rsidR="008B66CE">
        <w:rPr>
          <w:color w:val="auto"/>
        </w:rPr>
        <w:t xml:space="preserve"> States with an annual report on MoneySmart Teaching, including resource development and strategic initiatives.</w:t>
      </w:r>
    </w:p>
    <w:p w14:paraId="6EA539CD" w14:textId="77777777" w:rsidR="008B66CE" w:rsidRDefault="008B66CE" w:rsidP="008B66CE">
      <w:pPr>
        <w:pStyle w:val="Heading2"/>
      </w:pPr>
      <w:r>
        <w:t>Role of the States</w:t>
      </w:r>
    </w:p>
    <w:p w14:paraId="53A7691A" w14:textId="77777777" w:rsidR="008B66CE" w:rsidRDefault="008B66CE" w:rsidP="008974FE">
      <w:pPr>
        <w:pStyle w:val="Normalnumbered"/>
        <w:numPr>
          <w:ilvl w:val="0"/>
          <w:numId w:val="16"/>
        </w:numPr>
        <w:jc w:val="left"/>
      </w:pPr>
      <w:r>
        <w:t>Under this Schedule, the States agree to be accountable for the following roles and responsibilities:</w:t>
      </w:r>
    </w:p>
    <w:p w14:paraId="76451C22" w14:textId="6CFB90D6" w:rsidR="00F2400E" w:rsidRDefault="00882649" w:rsidP="008974FE">
      <w:pPr>
        <w:pStyle w:val="AlphaParagraph"/>
        <w:numPr>
          <w:ilvl w:val="0"/>
          <w:numId w:val="19"/>
        </w:numPr>
        <w:tabs>
          <w:tab w:val="clear" w:pos="1418"/>
        </w:tabs>
        <w:ind w:hanging="567"/>
        <w:rPr>
          <w:color w:val="auto"/>
        </w:rPr>
      </w:pPr>
      <w:r>
        <w:rPr>
          <w:color w:val="auto"/>
        </w:rPr>
        <w:t>d</w:t>
      </w:r>
      <w:r w:rsidR="00F2400E">
        <w:rPr>
          <w:color w:val="auto"/>
        </w:rPr>
        <w:t>evelop a strategy to facilitate the transition from face-to-face professional learning delivery to online professional learning modules</w:t>
      </w:r>
      <w:r>
        <w:rPr>
          <w:color w:val="auto"/>
        </w:rPr>
        <w:t>;</w:t>
      </w:r>
    </w:p>
    <w:p w14:paraId="5877FF68" w14:textId="55907E5C" w:rsidR="00716D99" w:rsidRDefault="00012BCD" w:rsidP="008974FE">
      <w:pPr>
        <w:pStyle w:val="AlphaParagraph"/>
        <w:numPr>
          <w:ilvl w:val="0"/>
          <w:numId w:val="19"/>
        </w:numPr>
        <w:tabs>
          <w:tab w:val="clear" w:pos="1418"/>
        </w:tabs>
        <w:ind w:hanging="567"/>
        <w:rPr>
          <w:color w:val="auto"/>
        </w:rPr>
      </w:pPr>
      <w:r>
        <w:rPr>
          <w:color w:val="auto"/>
        </w:rPr>
        <w:lastRenderedPageBreak/>
        <w:t>ensuring</w:t>
      </w:r>
      <w:r w:rsidR="00716D99">
        <w:rPr>
          <w:color w:val="auto"/>
        </w:rPr>
        <w:t xml:space="preserve"> the MoneySmart Teaching professional </w:t>
      </w:r>
      <w:r w:rsidR="00F2400E">
        <w:rPr>
          <w:color w:val="auto"/>
        </w:rPr>
        <w:t>learning</w:t>
      </w:r>
      <w:r w:rsidR="00882649">
        <w:rPr>
          <w:color w:val="auto"/>
        </w:rPr>
        <w:t xml:space="preserve"> </w:t>
      </w:r>
      <w:r w:rsidR="00716D99">
        <w:rPr>
          <w:color w:val="auto"/>
        </w:rPr>
        <w:t xml:space="preserve">modules </w:t>
      </w:r>
      <w:r w:rsidR="00E20D0A">
        <w:rPr>
          <w:color w:val="auto"/>
        </w:rPr>
        <w:t xml:space="preserve">are </w:t>
      </w:r>
      <w:r w:rsidR="00F2400E">
        <w:rPr>
          <w:color w:val="auto"/>
        </w:rPr>
        <w:t xml:space="preserve">available </w:t>
      </w:r>
      <w:r w:rsidR="00C028B8">
        <w:rPr>
          <w:color w:val="auto"/>
        </w:rPr>
        <w:t>to</w:t>
      </w:r>
      <w:r w:rsidR="00F2400E">
        <w:rPr>
          <w:color w:val="auto"/>
        </w:rPr>
        <w:t xml:space="preserve"> teachers in their jurisdiction</w:t>
      </w:r>
      <w:r w:rsidR="00C028B8">
        <w:rPr>
          <w:color w:val="auto"/>
        </w:rPr>
        <w:t xml:space="preserve"> and </w:t>
      </w:r>
      <w:r w:rsidR="00F2400E">
        <w:rPr>
          <w:color w:val="auto"/>
        </w:rPr>
        <w:t xml:space="preserve">that a minimum number of modules are </w:t>
      </w:r>
      <w:r w:rsidR="00E20D0A">
        <w:rPr>
          <w:color w:val="auto"/>
        </w:rPr>
        <w:t>completed</w:t>
      </w:r>
      <w:r w:rsidR="006C2111">
        <w:rPr>
          <w:color w:val="auto"/>
        </w:rPr>
        <w:t xml:space="preserve"> by engaging teachers through approaches relevant to each jurisdiction,</w:t>
      </w:r>
      <w:r w:rsidR="0047749C">
        <w:rPr>
          <w:color w:val="auto"/>
        </w:rPr>
        <w:t xml:space="preserve"> includ</w:t>
      </w:r>
      <w:r w:rsidR="006C2111">
        <w:rPr>
          <w:color w:val="auto"/>
        </w:rPr>
        <w:t>ing</w:t>
      </w:r>
      <w:r w:rsidR="0047749C">
        <w:rPr>
          <w:color w:val="auto"/>
        </w:rPr>
        <w:t xml:space="preserve"> but not </w:t>
      </w:r>
      <w:r w:rsidR="006C2111">
        <w:rPr>
          <w:color w:val="auto"/>
        </w:rPr>
        <w:t xml:space="preserve">limited </w:t>
      </w:r>
      <w:r w:rsidR="0047749C">
        <w:rPr>
          <w:color w:val="auto"/>
        </w:rPr>
        <w:t>to</w:t>
      </w:r>
      <w:r w:rsidR="002A167C">
        <w:rPr>
          <w:color w:val="auto"/>
        </w:rPr>
        <w:t>:</w:t>
      </w:r>
    </w:p>
    <w:p w14:paraId="0E8E2761" w14:textId="77777777" w:rsidR="00C90204" w:rsidRDefault="00C90204" w:rsidP="002A167C">
      <w:pPr>
        <w:pStyle w:val="Normalnumbered"/>
        <w:numPr>
          <w:ilvl w:val="0"/>
          <w:numId w:val="22"/>
        </w:numPr>
        <w:tabs>
          <w:tab w:val="clear" w:pos="543"/>
        </w:tabs>
        <w:ind w:left="1701" w:hanging="567"/>
      </w:pPr>
      <w:r>
        <w:t>facilit</w:t>
      </w:r>
      <w:r w:rsidR="006C2111">
        <w:t>ating access to online modules;</w:t>
      </w:r>
    </w:p>
    <w:p w14:paraId="7E896B9B" w14:textId="77777777" w:rsidR="002A167C" w:rsidRDefault="002A167C" w:rsidP="002A167C">
      <w:pPr>
        <w:pStyle w:val="Normalnumbered"/>
        <w:numPr>
          <w:ilvl w:val="0"/>
          <w:numId w:val="22"/>
        </w:numPr>
        <w:tabs>
          <w:tab w:val="clear" w:pos="543"/>
        </w:tabs>
        <w:ind w:left="1701" w:hanging="567"/>
      </w:pPr>
      <w:r>
        <w:t>communicati</w:t>
      </w:r>
      <w:r w:rsidR="007C0A1E">
        <w:t>ng</w:t>
      </w:r>
      <w:r w:rsidR="003812E5">
        <w:t xml:space="preserve"> promotion </w:t>
      </w:r>
      <w:r>
        <w:t>strategies</w:t>
      </w:r>
      <w:r w:rsidR="00DD3281">
        <w:t xml:space="preserve"> to </w:t>
      </w:r>
      <w:r w:rsidR="003812E5">
        <w:t xml:space="preserve">support </w:t>
      </w:r>
      <w:r w:rsidR="00ED68D5">
        <w:t>teacher engagement with</w:t>
      </w:r>
      <w:r w:rsidR="003812E5">
        <w:t xml:space="preserve"> professional development modules</w:t>
      </w:r>
      <w:r>
        <w:t>;</w:t>
      </w:r>
      <w:r w:rsidR="00ED68D5">
        <w:t xml:space="preserve"> or</w:t>
      </w:r>
    </w:p>
    <w:p w14:paraId="78F2226D" w14:textId="77777777" w:rsidR="002A167C" w:rsidRDefault="007C0A1E" w:rsidP="002A167C">
      <w:pPr>
        <w:pStyle w:val="Normalnumbered"/>
        <w:numPr>
          <w:ilvl w:val="0"/>
          <w:numId w:val="22"/>
        </w:numPr>
        <w:tabs>
          <w:tab w:val="clear" w:pos="543"/>
        </w:tabs>
        <w:ind w:left="1701" w:hanging="567"/>
      </w:pPr>
      <w:r>
        <w:t>a</w:t>
      </w:r>
      <w:r w:rsidR="002A167C">
        <w:t>lign</w:t>
      </w:r>
      <w:r>
        <w:t xml:space="preserve">ing </w:t>
      </w:r>
      <w:r w:rsidR="00220558">
        <w:t>MoneySmart Teaching</w:t>
      </w:r>
      <w:r w:rsidR="002A167C">
        <w:t xml:space="preserve"> with other educational st</w:t>
      </w:r>
      <w:r w:rsidR="00ED68D5">
        <w:t>rategies in their jurisdiction</w:t>
      </w:r>
      <w:r w:rsidR="006C2111">
        <w:t>;</w:t>
      </w:r>
    </w:p>
    <w:p w14:paraId="7C1F98DE" w14:textId="77777777" w:rsidR="00716D99" w:rsidRDefault="00012BCD" w:rsidP="008974FE">
      <w:pPr>
        <w:pStyle w:val="AlphaParagraph"/>
        <w:numPr>
          <w:ilvl w:val="0"/>
          <w:numId w:val="19"/>
        </w:numPr>
        <w:tabs>
          <w:tab w:val="clear" w:pos="1418"/>
        </w:tabs>
        <w:ind w:hanging="567"/>
        <w:rPr>
          <w:color w:val="auto"/>
        </w:rPr>
      </w:pPr>
      <w:r>
        <w:rPr>
          <w:color w:val="auto"/>
        </w:rPr>
        <w:t>s</w:t>
      </w:r>
      <w:r w:rsidR="00716D99">
        <w:rPr>
          <w:color w:val="auto"/>
        </w:rPr>
        <w:t>upporting schools that access and engage with MoneySmart Teaching</w:t>
      </w:r>
      <w:r w:rsidR="005D48DB">
        <w:rPr>
          <w:color w:val="auto"/>
        </w:rPr>
        <w:t xml:space="preserve"> professional learning</w:t>
      </w:r>
      <w:r w:rsidR="006B3555">
        <w:rPr>
          <w:color w:val="auto"/>
        </w:rPr>
        <w:t xml:space="preserve"> and</w:t>
      </w:r>
      <w:r w:rsidR="00716D99">
        <w:rPr>
          <w:color w:val="auto"/>
        </w:rPr>
        <w:t xml:space="preserve"> resources to implement </w:t>
      </w:r>
      <w:r w:rsidR="00951031">
        <w:rPr>
          <w:color w:val="auto"/>
        </w:rPr>
        <w:t>the program</w:t>
      </w:r>
      <w:r w:rsidR="00716D99">
        <w:rPr>
          <w:color w:val="auto"/>
        </w:rPr>
        <w:t xml:space="preserve"> effectively in classroom</w:t>
      </w:r>
      <w:r w:rsidR="0036437C">
        <w:rPr>
          <w:color w:val="auto"/>
        </w:rPr>
        <w:t>s</w:t>
      </w:r>
      <w:r w:rsidR="00716D99">
        <w:rPr>
          <w:color w:val="auto"/>
        </w:rPr>
        <w:t xml:space="preserve"> and </w:t>
      </w:r>
      <w:r w:rsidR="00B04EAB">
        <w:rPr>
          <w:color w:val="auto"/>
        </w:rPr>
        <w:t>school</w:t>
      </w:r>
      <w:r w:rsidR="0036437C">
        <w:rPr>
          <w:color w:val="auto"/>
        </w:rPr>
        <w:t>s</w:t>
      </w:r>
      <w:r w:rsidR="00716D99">
        <w:rPr>
          <w:color w:val="auto"/>
        </w:rPr>
        <w:t>;</w:t>
      </w:r>
    </w:p>
    <w:p w14:paraId="633884CB" w14:textId="77777777" w:rsidR="00E15AEE" w:rsidRDefault="00E15AEE" w:rsidP="008974FE">
      <w:pPr>
        <w:pStyle w:val="AlphaParagraph"/>
        <w:numPr>
          <w:ilvl w:val="0"/>
          <w:numId w:val="19"/>
        </w:numPr>
        <w:tabs>
          <w:tab w:val="clear" w:pos="1418"/>
        </w:tabs>
        <w:ind w:hanging="567"/>
        <w:rPr>
          <w:color w:val="auto"/>
        </w:rPr>
      </w:pPr>
      <w:r>
        <w:rPr>
          <w:color w:val="auto"/>
        </w:rPr>
        <w:t>supporting ASIC engagement with schools for the development of resources to supp</w:t>
      </w:r>
      <w:r w:rsidR="006C2111">
        <w:rPr>
          <w:color w:val="auto"/>
        </w:rPr>
        <w:t>ort educational priorities; and</w:t>
      </w:r>
    </w:p>
    <w:p w14:paraId="0A4B3B3D" w14:textId="77777777" w:rsidR="00012BCD" w:rsidRDefault="00012BCD" w:rsidP="008974FE">
      <w:pPr>
        <w:pStyle w:val="AlphaParagraph"/>
        <w:numPr>
          <w:ilvl w:val="0"/>
          <w:numId w:val="19"/>
        </w:numPr>
        <w:tabs>
          <w:tab w:val="clear" w:pos="1418"/>
        </w:tabs>
        <w:ind w:hanging="567"/>
        <w:rPr>
          <w:color w:val="auto"/>
        </w:rPr>
      </w:pPr>
      <w:r>
        <w:rPr>
          <w:color w:val="auto"/>
        </w:rPr>
        <w:t xml:space="preserve">supporting the participation of teachers in ongoing evaluation of MoneySmart Teaching </w:t>
      </w:r>
      <w:r w:rsidR="006C2111">
        <w:rPr>
          <w:color w:val="auto"/>
        </w:rPr>
        <w:t>together with the Commonwealth.</w:t>
      </w:r>
    </w:p>
    <w:p w14:paraId="032C3E53" w14:textId="77777777" w:rsidR="008B66CE" w:rsidRDefault="008B66CE" w:rsidP="008B66CE">
      <w:pPr>
        <w:pStyle w:val="Heading1"/>
      </w:pPr>
      <w:r>
        <w:t>Performance monitoring and reporting</w:t>
      </w:r>
    </w:p>
    <w:p w14:paraId="535F9B3E" w14:textId="234C62E5" w:rsidR="00F53788" w:rsidRDefault="00951031" w:rsidP="00E955FD">
      <w:pPr>
        <w:pStyle w:val="Normalnumbered"/>
        <w:numPr>
          <w:ilvl w:val="0"/>
          <w:numId w:val="16"/>
        </w:numPr>
        <w:tabs>
          <w:tab w:val="clear" w:pos="567"/>
          <w:tab w:val="left" w:pos="720"/>
        </w:tabs>
        <w:spacing w:before="120" w:line="240" w:lineRule="auto"/>
        <w:jc w:val="left"/>
      </w:pPr>
      <w:r>
        <w:t>Annual performance reports will be provided in accordance with Table 2. The Commonwealth will make payments subject to the annual performance report demonstrating the relevant milestone has been met.</w:t>
      </w:r>
    </w:p>
    <w:p w14:paraId="541527F9" w14:textId="77777777" w:rsidR="00F53788" w:rsidRDefault="00F53788">
      <w:pPr>
        <w:spacing w:after="0" w:line="240" w:lineRule="auto"/>
        <w:jc w:val="left"/>
      </w:pPr>
      <w:r>
        <w:br w:type="page"/>
      </w:r>
    </w:p>
    <w:p w14:paraId="4D9C30DB" w14:textId="77777777" w:rsidR="00E955FD" w:rsidRDefault="00E955FD" w:rsidP="00E955FD">
      <w:pPr>
        <w:pStyle w:val="Normalnumbered"/>
        <w:numPr>
          <w:ilvl w:val="0"/>
          <w:numId w:val="16"/>
        </w:numPr>
        <w:tabs>
          <w:tab w:val="clear" w:pos="567"/>
          <w:tab w:val="left" w:pos="720"/>
        </w:tabs>
        <w:spacing w:before="120" w:line="240" w:lineRule="auto"/>
        <w:jc w:val="left"/>
      </w:pPr>
    </w:p>
    <w:p w14:paraId="15D36FFF" w14:textId="447AAC01" w:rsidR="005C0482" w:rsidRDefault="005C0482" w:rsidP="005C0482">
      <w:pPr>
        <w:pStyle w:val="Normalnumbered"/>
        <w:tabs>
          <w:tab w:val="clear" w:pos="283"/>
          <w:tab w:val="clear" w:pos="543"/>
          <w:tab w:val="left" w:pos="720"/>
        </w:tabs>
        <w:spacing w:before="120" w:line="240" w:lineRule="auto"/>
        <w:ind w:left="0" w:firstLine="0"/>
        <w:jc w:val="left"/>
        <w:rPr>
          <w:b/>
        </w:rPr>
      </w:pPr>
      <w:r w:rsidRPr="004444D8">
        <w:rPr>
          <w:b/>
        </w:rPr>
        <w:t>Table 2:</w:t>
      </w:r>
      <w:r w:rsidRPr="004444D8">
        <w:t xml:space="preserve"> </w:t>
      </w:r>
      <w:r w:rsidRPr="004444D8">
        <w:rPr>
          <w:b/>
        </w:rPr>
        <w:t>Performance requirements, reporting and payment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3031"/>
        <w:gridCol w:w="1842"/>
        <w:gridCol w:w="1843"/>
      </w:tblGrid>
      <w:tr w:rsidR="00E955FD" w14:paraId="083AFB7D" w14:textId="77777777" w:rsidTr="005D48DB">
        <w:trPr>
          <w:trHeight w:val="615"/>
        </w:trPr>
        <w:tc>
          <w:tcPr>
            <w:tcW w:w="3031" w:type="dxa"/>
            <w:tcBorders>
              <w:bottom w:val="single" w:sz="18" w:space="0" w:color="4F81BD"/>
            </w:tcBorders>
            <w:hideMark/>
          </w:tcPr>
          <w:p w14:paraId="6B7C4547" w14:textId="6385408F" w:rsidR="00E955FD" w:rsidRDefault="00E955FD" w:rsidP="005D48DB">
            <w:pPr>
              <w:pStyle w:val="Heading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Output</w:t>
            </w:r>
          </w:p>
        </w:tc>
        <w:tc>
          <w:tcPr>
            <w:tcW w:w="3031" w:type="dxa"/>
            <w:tcBorders>
              <w:bottom w:val="single" w:sz="18" w:space="0" w:color="4F81BD"/>
            </w:tcBorders>
            <w:hideMark/>
          </w:tcPr>
          <w:p w14:paraId="197AA51D" w14:textId="40D5F187" w:rsidR="00E955FD" w:rsidRDefault="00E955FD" w:rsidP="004D600A">
            <w:pPr>
              <w:pStyle w:val="Heading2"/>
              <w:spacing w:after="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Performance milestones</w:t>
            </w:r>
            <w:r>
              <w:rPr>
                <w:bCs w:val="0"/>
                <w:sz w:val="22"/>
                <w:szCs w:val="22"/>
              </w:rPr>
              <w:br/>
            </w:r>
          </w:p>
        </w:tc>
        <w:tc>
          <w:tcPr>
            <w:tcW w:w="1842" w:type="dxa"/>
            <w:tcBorders>
              <w:bottom w:val="single" w:sz="18" w:space="0" w:color="4F81BD"/>
            </w:tcBorders>
            <w:hideMark/>
          </w:tcPr>
          <w:p w14:paraId="111D07CE" w14:textId="77777777" w:rsidR="00E955FD" w:rsidRDefault="00E955FD" w:rsidP="005D48DB">
            <w:pPr>
              <w:pStyle w:val="Heading2"/>
              <w:rPr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Report</w:t>
            </w:r>
            <w:r w:rsidR="004D3484">
              <w:rPr>
                <w:bCs w:val="0"/>
                <w:sz w:val="22"/>
                <w:szCs w:val="22"/>
              </w:rPr>
              <w:t>s</w:t>
            </w:r>
            <w:r>
              <w:rPr>
                <w:bCs w:val="0"/>
                <w:sz w:val="22"/>
                <w:szCs w:val="22"/>
              </w:rPr>
              <w:t xml:space="preserve"> due</w:t>
            </w:r>
          </w:p>
        </w:tc>
        <w:tc>
          <w:tcPr>
            <w:tcW w:w="1843" w:type="dxa"/>
            <w:tcBorders>
              <w:bottom w:val="single" w:sz="18" w:space="0" w:color="4F81BD"/>
            </w:tcBorders>
            <w:hideMark/>
          </w:tcPr>
          <w:p w14:paraId="21C11B24" w14:textId="77777777" w:rsidR="00E955FD" w:rsidRDefault="00E955FD" w:rsidP="005D48DB">
            <w:pPr>
              <w:pStyle w:val="Heading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Payment</w:t>
            </w:r>
          </w:p>
        </w:tc>
      </w:tr>
      <w:tr w:rsidR="004D600A" w14:paraId="4BF6D911" w14:textId="77777777" w:rsidTr="005D48DB">
        <w:tc>
          <w:tcPr>
            <w:tcW w:w="3031" w:type="dxa"/>
            <w:vMerge w:val="restart"/>
            <w:shd w:val="clear" w:color="auto" w:fill="FFFFFF" w:themeFill="background1"/>
          </w:tcPr>
          <w:p w14:paraId="7F22DFCB" w14:textId="312580C6" w:rsidR="004D600A" w:rsidRDefault="004D600A" w:rsidP="00FF7EFA">
            <w:pPr>
              <w:pStyle w:val="Heading2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Delivery</w:t>
            </w:r>
            <w:r w:rsidRPr="00AB7BB2">
              <w:rPr>
                <w:b w:val="0"/>
                <w:color w:val="auto"/>
                <w:sz w:val="22"/>
                <w:szCs w:val="22"/>
              </w:rPr>
              <w:t xml:space="preserve"> of MoneySmart Teaching Professional Development learning modules</w:t>
            </w:r>
            <w:r>
              <w:rPr>
                <w:b w:val="0"/>
                <w:color w:val="auto"/>
                <w:sz w:val="22"/>
                <w:szCs w:val="22"/>
              </w:rPr>
              <w:t xml:space="preserve"> annually from 2017-18 to </w:t>
            </w:r>
            <w:r w:rsidRPr="00E955FD">
              <w:rPr>
                <w:b w:val="0"/>
                <w:color w:val="auto"/>
                <w:sz w:val="22"/>
                <w:szCs w:val="22"/>
              </w:rPr>
              <w:t>2020-21</w:t>
            </w:r>
            <w:r>
              <w:rPr>
                <w:b w:val="0"/>
                <w:color w:val="auto"/>
                <w:sz w:val="22"/>
                <w:szCs w:val="22"/>
              </w:rPr>
              <w:t xml:space="preserve"> inclusive</w:t>
            </w:r>
          </w:p>
        </w:tc>
        <w:tc>
          <w:tcPr>
            <w:tcW w:w="3031" w:type="dxa"/>
            <w:shd w:val="clear" w:color="auto" w:fill="FFFFFF" w:themeFill="background1"/>
          </w:tcPr>
          <w:p w14:paraId="14A9784B" w14:textId="0E88B109" w:rsidR="004D600A" w:rsidRPr="006853EF" w:rsidRDefault="001708C3" w:rsidP="004D600A">
            <w:pPr>
              <w:pStyle w:val="Heading2"/>
              <w:spacing w:before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 Delivery of a</w:t>
            </w:r>
            <w:r w:rsidR="00821428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4D600A" w:rsidRPr="006853EF">
              <w:rPr>
                <w:b w:val="0"/>
                <w:color w:val="auto"/>
                <w:sz w:val="22"/>
                <w:szCs w:val="22"/>
              </w:rPr>
              <w:t>strategy to facilitate the transition to online professional learning modules and;</w:t>
            </w:r>
          </w:p>
          <w:p w14:paraId="3FE33D7E" w14:textId="74653A67" w:rsidR="004D600A" w:rsidRDefault="00F01019" w:rsidP="0054113F">
            <w:pPr>
              <w:spacing w:after="0"/>
              <w:jc w:val="left"/>
              <w:rPr>
                <w:rFonts w:cs="Arial"/>
                <w:bCs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auto"/>
                <w:sz w:val="22"/>
                <w:szCs w:val="22"/>
              </w:rPr>
              <w:t>M</w:t>
            </w:r>
            <w:r w:rsidR="004D600A" w:rsidRPr="004D600A">
              <w:rPr>
                <w:rFonts w:cs="Arial"/>
                <w:bCs/>
                <w:iCs/>
                <w:color w:val="auto"/>
                <w:sz w:val="22"/>
                <w:szCs w:val="22"/>
              </w:rPr>
              <w:t xml:space="preserve">inimum number of professional learning </w:t>
            </w:r>
            <w:r w:rsidR="00FF7EFA">
              <w:rPr>
                <w:rFonts w:cs="Arial"/>
                <w:bCs/>
                <w:iCs/>
                <w:color w:val="auto"/>
                <w:sz w:val="22"/>
                <w:szCs w:val="22"/>
              </w:rPr>
              <w:t xml:space="preserve">module </w:t>
            </w:r>
            <w:r w:rsidR="00882649">
              <w:rPr>
                <w:rFonts w:cs="Arial"/>
                <w:bCs/>
                <w:iCs/>
                <w:color w:val="auto"/>
                <w:sz w:val="22"/>
                <w:szCs w:val="22"/>
              </w:rPr>
              <w:t>completions</w:t>
            </w:r>
            <w:r w:rsidR="00FF7EFA">
              <w:rPr>
                <w:rFonts w:cs="Arial"/>
                <w:bCs/>
                <w:iCs/>
                <w:color w:val="auto"/>
                <w:sz w:val="22"/>
                <w:szCs w:val="22"/>
              </w:rPr>
              <w:t xml:space="preserve"> in person or online </w:t>
            </w:r>
            <w:r w:rsidR="00227B70">
              <w:rPr>
                <w:rFonts w:cs="Arial"/>
                <w:bCs/>
                <w:iCs/>
                <w:color w:val="auto"/>
                <w:sz w:val="22"/>
                <w:szCs w:val="22"/>
              </w:rPr>
              <w:t>in 2017-18</w:t>
            </w:r>
            <w:r>
              <w:rPr>
                <w:rFonts w:cs="Arial"/>
                <w:bCs/>
                <w:iCs/>
                <w:color w:val="auto"/>
                <w:sz w:val="22"/>
                <w:szCs w:val="22"/>
              </w:rPr>
              <w:t>:</w:t>
            </w:r>
          </w:p>
          <w:p w14:paraId="07C6FA60" w14:textId="77777777" w:rsidR="000B5450" w:rsidRPr="004D600A" w:rsidRDefault="000B5450" w:rsidP="0054113F">
            <w:pPr>
              <w:spacing w:after="0"/>
              <w:jc w:val="left"/>
              <w:rPr>
                <w:rFonts w:cs="Arial"/>
                <w:bCs/>
                <w:iCs/>
                <w:color w:val="auto"/>
                <w:sz w:val="22"/>
                <w:szCs w:val="22"/>
              </w:rPr>
            </w:pPr>
          </w:p>
          <w:p w14:paraId="51879F5E" w14:textId="5D42748E" w:rsidR="004D600A" w:rsidRPr="00CF20F1" w:rsidRDefault="004D600A" w:rsidP="0054113F">
            <w:pPr>
              <w:spacing w:after="0"/>
              <w:jc w:val="left"/>
              <w:rPr>
                <w:sz w:val="22"/>
                <w:szCs w:val="22"/>
                <w:lang w:val="fr-FR"/>
              </w:rPr>
            </w:pPr>
            <w:r w:rsidRPr="00CF20F1">
              <w:rPr>
                <w:sz w:val="22"/>
                <w:szCs w:val="22"/>
                <w:lang w:val="fr-FR"/>
              </w:rPr>
              <w:t>NSW 1,871</w:t>
            </w:r>
          </w:p>
          <w:p w14:paraId="3BF1FBF1" w14:textId="248A033E" w:rsidR="004D600A" w:rsidRPr="004D600A" w:rsidRDefault="004D600A" w:rsidP="0054113F">
            <w:pPr>
              <w:spacing w:after="0"/>
              <w:jc w:val="lef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VIC 1,604</w:t>
            </w:r>
          </w:p>
          <w:p w14:paraId="396743D5" w14:textId="09E1AB84" w:rsidR="004D600A" w:rsidRPr="004D600A" w:rsidRDefault="00925023" w:rsidP="0054113F">
            <w:pPr>
              <w:spacing w:after="0"/>
              <w:jc w:val="lef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QLD</w:t>
            </w:r>
            <w:r w:rsidR="004D600A" w:rsidRPr="004D600A">
              <w:rPr>
                <w:sz w:val="22"/>
                <w:szCs w:val="22"/>
                <w:lang w:val="fr-FR"/>
              </w:rPr>
              <w:t xml:space="preserve"> 1,274</w:t>
            </w:r>
          </w:p>
          <w:p w14:paraId="1CD8EA55" w14:textId="77777777" w:rsidR="004D600A" w:rsidRPr="004D600A" w:rsidRDefault="004D600A" w:rsidP="00FD0985">
            <w:pPr>
              <w:spacing w:after="0"/>
              <w:jc w:val="lef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WA 683</w:t>
            </w:r>
          </w:p>
          <w:p w14:paraId="6B8E9D19" w14:textId="060C2709" w:rsidR="004D600A" w:rsidRPr="004D600A" w:rsidRDefault="004D600A" w:rsidP="0054113F">
            <w:pPr>
              <w:spacing w:after="0"/>
              <w:jc w:val="lef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SA 433</w:t>
            </w:r>
          </w:p>
          <w:p w14:paraId="28AD8D2F" w14:textId="1F806357" w:rsidR="004D600A" w:rsidRPr="004D600A" w:rsidRDefault="004D600A" w:rsidP="0054113F">
            <w:pPr>
              <w:spacing w:after="0"/>
              <w:jc w:val="lef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Tas 141</w:t>
            </w:r>
          </w:p>
          <w:p w14:paraId="6B879FF4" w14:textId="77777777" w:rsidR="004D600A" w:rsidRDefault="004D600A" w:rsidP="0054113F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109</w:t>
            </w:r>
          </w:p>
          <w:p w14:paraId="77F05D90" w14:textId="731FF84B" w:rsidR="004D600A" w:rsidRPr="00C56C36" w:rsidRDefault="004D600A" w:rsidP="0054113F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NT 71</w:t>
            </w:r>
          </w:p>
        </w:tc>
        <w:tc>
          <w:tcPr>
            <w:tcW w:w="1842" w:type="dxa"/>
            <w:shd w:val="clear" w:color="auto" w:fill="FFFFFF" w:themeFill="background1"/>
          </w:tcPr>
          <w:p w14:paraId="5B425007" w14:textId="2CEE6D16" w:rsidR="004D600A" w:rsidRDefault="004D600A" w:rsidP="00C1193E">
            <w:pPr>
              <w:pStyle w:val="Heading2"/>
              <w:spacing w:before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15 May 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585FB68F" w14:textId="77777777" w:rsidR="004D600A" w:rsidRPr="004D600A" w:rsidRDefault="004D600A" w:rsidP="006C388D">
            <w:pPr>
              <w:pStyle w:val="Defaul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 xml:space="preserve">NSW $203,488 </w:t>
            </w:r>
          </w:p>
          <w:p w14:paraId="6AEB7299" w14:textId="77777777" w:rsidR="004D600A" w:rsidRPr="004D600A" w:rsidRDefault="004D600A" w:rsidP="006C388D">
            <w:pPr>
              <w:pStyle w:val="Defaul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VIC $203,488</w:t>
            </w:r>
          </w:p>
          <w:p w14:paraId="659851F0" w14:textId="77777777" w:rsidR="004D600A" w:rsidRPr="004D600A" w:rsidRDefault="004D600A" w:rsidP="006C388D">
            <w:pPr>
              <w:pStyle w:val="Defaul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QLD $203,487</w:t>
            </w:r>
          </w:p>
          <w:p w14:paraId="1F8C55DB" w14:textId="77777777" w:rsidR="004D600A" w:rsidRPr="004D600A" w:rsidRDefault="004D600A" w:rsidP="006C388D">
            <w:pPr>
              <w:pStyle w:val="Defaul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WA $140,000</w:t>
            </w:r>
          </w:p>
          <w:p w14:paraId="65C67B16" w14:textId="77777777" w:rsidR="004D600A" w:rsidRPr="004D600A" w:rsidRDefault="004D600A" w:rsidP="006C388D">
            <w:pPr>
              <w:pStyle w:val="Defaul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SA $140,000</w:t>
            </w:r>
          </w:p>
          <w:p w14:paraId="0A6CF49B" w14:textId="77777777" w:rsidR="004D600A" w:rsidRPr="004D600A" w:rsidRDefault="004D600A" w:rsidP="006C388D">
            <w:pPr>
              <w:pStyle w:val="Defaul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TAS $140,000</w:t>
            </w:r>
          </w:p>
          <w:p w14:paraId="10F08A38" w14:textId="77777777" w:rsidR="004D600A" w:rsidRDefault="004D600A" w:rsidP="006C38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$140,000</w:t>
            </w:r>
          </w:p>
          <w:p w14:paraId="1A04F9FB" w14:textId="76F34AC0" w:rsidR="004D600A" w:rsidRPr="00A3305E" w:rsidRDefault="004D600A" w:rsidP="006C38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NT $140,000</w:t>
            </w:r>
          </w:p>
        </w:tc>
      </w:tr>
      <w:tr w:rsidR="004D600A" w14:paraId="5A02C613" w14:textId="77777777" w:rsidTr="005D48DB">
        <w:tc>
          <w:tcPr>
            <w:tcW w:w="3031" w:type="dxa"/>
            <w:vMerge/>
            <w:shd w:val="clear" w:color="auto" w:fill="FFFFFF" w:themeFill="background1"/>
            <w:hideMark/>
          </w:tcPr>
          <w:p w14:paraId="59CEA1DB" w14:textId="59B9F53C" w:rsidR="004D600A" w:rsidRPr="00AB7BB2" w:rsidRDefault="004D600A" w:rsidP="00A8580B">
            <w:pPr>
              <w:pStyle w:val="Heading2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031" w:type="dxa"/>
            <w:shd w:val="clear" w:color="auto" w:fill="FFFFFF" w:themeFill="background1"/>
            <w:hideMark/>
          </w:tcPr>
          <w:p w14:paraId="2098D57C" w14:textId="385C32BF" w:rsidR="004D600A" w:rsidRPr="00C32960" w:rsidRDefault="004D600A" w:rsidP="004D600A">
            <w:pPr>
              <w:spacing w:after="0"/>
              <w:jc w:val="left"/>
              <w:rPr>
                <w:rFonts w:cs="Arial"/>
                <w:bCs/>
                <w:iCs/>
                <w:color w:val="auto"/>
                <w:sz w:val="22"/>
                <w:szCs w:val="22"/>
              </w:rPr>
            </w:pPr>
            <w:r w:rsidRPr="00C32960">
              <w:rPr>
                <w:rFonts w:cs="Arial"/>
                <w:bCs/>
                <w:iCs/>
                <w:color w:val="auto"/>
                <w:sz w:val="22"/>
                <w:szCs w:val="22"/>
              </w:rPr>
              <w:t xml:space="preserve">Minimum number of </w:t>
            </w:r>
            <w:r w:rsidR="00C73F8A">
              <w:rPr>
                <w:rFonts w:cs="Arial"/>
                <w:bCs/>
                <w:iCs/>
                <w:color w:val="auto"/>
                <w:sz w:val="22"/>
                <w:szCs w:val="22"/>
              </w:rPr>
              <w:t>online module completions</w:t>
            </w:r>
            <w:r w:rsidR="00C32960">
              <w:rPr>
                <w:rFonts w:cs="Arial"/>
                <w:bCs/>
                <w:iCs/>
                <w:color w:val="auto"/>
                <w:sz w:val="22"/>
                <w:szCs w:val="22"/>
              </w:rPr>
              <w:t xml:space="preserve"> in the relevant year:</w:t>
            </w:r>
          </w:p>
          <w:p w14:paraId="13872962" w14:textId="75AA47FE" w:rsidR="004D600A" w:rsidRDefault="004D600A" w:rsidP="0054113F">
            <w:pPr>
              <w:spacing w:after="0"/>
              <w:jc w:val="left"/>
              <w:rPr>
                <w:sz w:val="22"/>
                <w:szCs w:val="22"/>
              </w:rPr>
            </w:pPr>
          </w:p>
          <w:p w14:paraId="67243848" w14:textId="10F5A49E" w:rsidR="004D600A" w:rsidRPr="00C56C36" w:rsidRDefault="004D600A" w:rsidP="0054113F">
            <w:pPr>
              <w:spacing w:after="0"/>
              <w:jc w:val="left"/>
              <w:rPr>
                <w:sz w:val="22"/>
                <w:szCs w:val="22"/>
              </w:rPr>
            </w:pPr>
            <w:r w:rsidRPr="00C56C36">
              <w:rPr>
                <w:sz w:val="22"/>
                <w:szCs w:val="22"/>
              </w:rPr>
              <w:t xml:space="preserve">NSW </w:t>
            </w:r>
            <w:r>
              <w:rPr>
                <w:sz w:val="22"/>
                <w:szCs w:val="22"/>
              </w:rPr>
              <w:t>4,678</w:t>
            </w:r>
            <w:r w:rsidRPr="00C56C36">
              <w:rPr>
                <w:sz w:val="22"/>
                <w:szCs w:val="22"/>
              </w:rPr>
              <w:br/>
              <w:t xml:space="preserve">VIC </w:t>
            </w:r>
            <w:r>
              <w:rPr>
                <w:sz w:val="22"/>
                <w:szCs w:val="22"/>
              </w:rPr>
              <w:t>4,009</w:t>
            </w:r>
            <w:r w:rsidRPr="00C56C36">
              <w:rPr>
                <w:sz w:val="22"/>
                <w:szCs w:val="22"/>
              </w:rPr>
              <w:br/>
              <w:t xml:space="preserve">QLD </w:t>
            </w:r>
            <w:r>
              <w:rPr>
                <w:sz w:val="22"/>
                <w:szCs w:val="22"/>
              </w:rPr>
              <w:t>3,184</w:t>
            </w:r>
            <w:r w:rsidRPr="00C56C36">
              <w:rPr>
                <w:sz w:val="22"/>
                <w:szCs w:val="22"/>
              </w:rPr>
              <w:br/>
              <w:t xml:space="preserve">WA </w:t>
            </w:r>
            <w:r>
              <w:rPr>
                <w:sz w:val="22"/>
                <w:szCs w:val="22"/>
              </w:rPr>
              <w:t>1,708</w:t>
            </w:r>
            <w:r w:rsidRPr="00C56C36">
              <w:rPr>
                <w:sz w:val="22"/>
                <w:szCs w:val="22"/>
              </w:rPr>
              <w:br/>
              <w:t xml:space="preserve">SA </w:t>
            </w:r>
            <w:r>
              <w:rPr>
                <w:sz w:val="22"/>
                <w:szCs w:val="22"/>
              </w:rPr>
              <w:t>1,082</w:t>
            </w:r>
            <w:r w:rsidRPr="00C56C36">
              <w:rPr>
                <w:sz w:val="22"/>
                <w:szCs w:val="22"/>
              </w:rPr>
              <w:br/>
              <w:t xml:space="preserve">TAS </w:t>
            </w:r>
            <w:r>
              <w:rPr>
                <w:sz w:val="22"/>
                <w:szCs w:val="22"/>
              </w:rPr>
              <w:t>353</w:t>
            </w:r>
            <w:r w:rsidRPr="00C56C36">
              <w:rPr>
                <w:sz w:val="22"/>
                <w:szCs w:val="22"/>
              </w:rPr>
              <w:br/>
              <w:t xml:space="preserve">ACT </w:t>
            </w:r>
            <w:r>
              <w:rPr>
                <w:sz w:val="22"/>
                <w:szCs w:val="22"/>
              </w:rPr>
              <w:t>273</w:t>
            </w:r>
          </w:p>
          <w:p w14:paraId="7390074E" w14:textId="2236528B" w:rsidR="004D600A" w:rsidRDefault="004D600A" w:rsidP="00C56C36">
            <w:pPr>
              <w:spacing w:after="0"/>
              <w:jc w:val="left"/>
              <w:rPr>
                <w:sz w:val="22"/>
                <w:szCs w:val="22"/>
              </w:rPr>
            </w:pPr>
            <w:r w:rsidRPr="00C56C36">
              <w:rPr>
                <w:sz w:val="22"/>
                <w:szCs w:val="22"/>
              </w:rPr>
              <w:t xml:space="preserve">NT </w:t>
            </w:r>
            <w:r>
              <w:rPr>
                <w:sz w:val="22"/>
                <w:szCs w:val="22"/>
              </w:rPr>
              <w:t>178</w:t>
            </w:r>
          </w:p>
        </w:tc>
        <w:tc>
          <w:tcPr>
            <w:tcW w:w="1842" w:type="dxa"/>
            <w:shd w:val="clear" w:color="auto" w:fill="FFFFFF" w:themeFill="background1"/>
            <w:hideMark/>
          </w:tcPr>
          <w:p w14:paraId="777543C7" w14:textId="245F2F3E" w:rsidR="004D600A" w:rsidRDefault="004D600A" w:rsidP="00A8580B">
            <w:pPr>
              <w:pStyle w:val="Heading2"/>
              <w:spacing w:before="0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Annually from</w:t>
            </w:r>
            <w:r>
              <w:rPr>
                <w:b w:val="0"/>
                <w:color w:val="auto"/>
                <w:sz w:val="22"/>
                <w:szCs w:val="22"/>
              </w:rPr>
              <w:br/>
              <w:t>15 May 2019 to 15 May 2021 inclusive</w:t>
            </w:r>
          </w:p>
        </w:tc>
        <w:tc>
          <w:tcPr>
            <w:tcW w:w="1843" w:type="dxa"/>
            <w:shd w:val="clear" w:color="auto" w:fill="FFFFFF" w:themeFill="background1"/>
          </w:tcPr>
          <w:p w14:paraId="68B620A7" w14:textId="77777777" w:rsidR="004D600A" w:rsidRPr="004D600A" w:rsidRDefault="004D600A" w:rsidP="005D48DB">
            <w:pPr>
              <w:pStyle w:val="Defaul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 xml:space="preserve">NSW $203,488 </w:t>
            </w:r>
          </w:p>
          <w:p w14:paraId="2E0F8E25" w14:textId="77777777" w:rsidR="004D600A" w:rsidRPr="004D600A" w:rsidRDefault="004D600A" w:rsidP="005D48DB">
            <w:pPr>
              <w:pStyle w:val="Defaul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VIC $203,488</w:t>
            </w:r>
          </w:p>
          <w:p w14:paraId="25CCF55D" w14:textId="77777777" w:rsidR="004D600A" w:rsidRPr="004D600A" w:rsidRDefault="004D600A" w:rsidP="005D48DB">
            <w:pPr>
              <w:pStyle w:val="Defaul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QLD $203,487</w:t>
            </w:r>
          </w:p>
          <w:p w14:paraId="42EDB50C" w14:textId="77777777" w:rsidR="004D600A" w:rsidRPr="004D600A" w:rsidRDefault="004D600A" w:rsidP="005D48DB">
            <w:pPr>
              <w:pStyle w:val="Defaul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WA $140,000</w:t>
            </w:r>
          </w:p>
          <w:p w14:paraId="3447530B" w14:textId="77777777" w:rsidR="004D600A" w:rsidRPr="004D600A" w:rsidRDefault="004D600A" w:rsidP="005D48DB">
            <w:pPr>
              <w:pStyle w:val="Defaul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SA $140,000</w:t>
            </w:r>
          </w:p>
          <w:p w14:paraId="2F49A3FD" w14:textId="77777777" w:rsidR="004D600A" w:rsidRPr="004D600A" w:rsidRDefault="004D600A" w:rsidP="0054113F">
            <w:pPr>
              <w:pStyle w:val="Default"/>
              <w:rPr>
                <w:sz w:val="22"/>
                <w:szCs w:val="22"/>
                <w:lang w:val="fr-FR"/>
              </w:rPr>
            </w:pPr>
            <w:r w:rsidRPr="004D600A">
              <w:rPr>
                <w:sz w:val="22"/>
                <w:szCs w:val="22"/>
                <w:lang w:val="fr-FR"/>
              </w:rPr>
              <w:t>TAS $140,000</w:t>
            </w:r>
          </w:p>
          <w:p w14:paraId="3724F654" w14:textId="77777777" w:rsidR="004D600A" w:rsidRDefault="004D600A" w:rsidP="005D48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 $140,000</w:t>
            </w:r>
          </w:p>
          <w:p w14:paraId="200AD10E" w14:textId="77777777" w:rsidR="004D600A" w:rsidRDefault="004D600A" w:rsidP="005D48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NT $140,000</w:t>
            </w:r>
          </w:p>
        </w:tc>
      </w:tr>
    </w:tbl>
    <w:p w14:paraId="3756A2AE" w14:textId="514899E1" w:rsidR="008B66CE" w:rsidRDefault="00763B9F" w:rsidP="008B66CE">
      <w:pPr>
        <w:pStyle w:val="Heading1"/>
      </w:pPr>
      <w:r>
        <w:t>F</w:t>
      </w:r>
      <w:r w:rsidR="008B66CE">
        <w:t>inancial arrangements</w:t>
      </w:r>
    </w:p>
    <w:p w14:paraId="11ABAD47" w14:textId="78925CAE" w:rsidR="008B66CE" w:rsidRDefault="008B66CE" w:rsidP="008974FE">
      <w:pPr>
        <w:pStyle w:val="Normalnumbered"/>
        <w:keepNext/>
        <w:keepLines/>
        <w:numPr>
          <w:ilvl w:val="0"/>
          <w:numId w:val="16"/>
        </w:numPr>
        <w:jc w:val="left"/>
        <w:rPr>
          <w:color w:val="auto"/>
        </w:rPr>
      </w:pPr>
      <w:r>
        <w:rPr>
          <w:color w:val="auto"/>
        </w:rPr>
        <w:t>The Commonwealth’s estimated financial contribution to this Project</w:t>
      </w:r>
      <w:r w:rsidR="00060E04">
        <w:rPr>
          <w:color w:val="auto"/>
        </w:rPr>
        <w:t xml:space="preserve"> of $5</w:t>
      </w:r>
      <w:r w:rsidR="00763B9F">
        <w:rPr>
          <w:color w:val="auto"/>
        </w:rPr>
        <w:t>.2 million</w:t>
      </w:r>
      <w:r>
        <w:rPr>
          <w:color w:val="auto"/>
        </w:rPr>
        <w:t>, including through National Partnership payments to the States paid in accordance with Schedule D — Payment Arrangements of the</w:t>
      </w:r>
      <w:r w:rsidR="00491020">
        <w:rPr>
          <w:color w:val="auto"/>
        </w:rPr>
        <w:t xml:space="preserve"> IGA FFR, are shown in Table 3</w:t>
      </w:r>
      <w:r>
        <w:rPr>
          <w:color w:val="auto"/>
        </w:rPr>
        <w:t>.</w:t>
      </w:r>
    </w:p>
    <w:p w14:paraId="02233BE3" w14:textId="77777777" w:rsidR="008B66CE" w:rsidRDefault="008B66CE" w:rsidP="007C1916">
      <w:pPr>
        <w:pStyle w:val="TableMainHeading"/>
        <w:keepLines/>
        <w:spacing w:after="120"/>
        <w:rPr>
          <w:rFonts w:ascii="Corbel" w:hAnsi="Corbel"/>
          <w:color w:val="000000"/>
          <w:sz w:val="23"/>
        </w:rPr>
      </w:pPr>
      <w:r>
        <w:rPr>
          <w:rFonts w:ascii="Corbel" w:hAnsi="Corbel"/>
          <w:color w:val="000000"/>
          <w:sz w:val="23"/>
        </w:rPr>
        <w:t>Table 3: Estimated financial contributions</w:t>
      </w:r>
      <w:r w:rsidR="004157BB">
        <w:rPr>
          <w:rFonts w:ascii="Corbel" w:hAnsi="Corbel"/>
          <w:color w:val="000000"/>
          <w:sz w:val="23"/>
        </w:rPr>
        <w:t>:</w:t>
      </w:r>
      <w:r w:rsidR="00B67495">
        <w:rPr>
          <w:rFonts w:ascii="Corbel" w:hAnsi="Corbel"/>
          <w:color w:val="000000"/>
          <w:sz w:val="23"/>
        </w:rPr>
        <w:t xml:space="preserve"> 2017-</w:t>
      </w:r>
      <w:r w:rsidR="004157BB">
        <w:rPr>
          <w:rFonts w:ascii="Corbel" w:hAnsi="Corbel"/>
          <w:color w:val="000000"/>
          <w:sz w:val="23"/>
        </w:rPr>
        <w:t xml:space="preserve">18 to </w:t>
      </w:r>
      <w:r w:rsidR="00B67495">
        <w:rPr>
          <w:rFonts w:ascii="Corbel" w:hAnsi="Corbel"/>
          <w:color w:val="000000"/>
          <w:sz w:val="23"/>
        </w:rPr>
        <w:t>2</w:t>
      </w:r>
      <w:r w:rsidR="004157BB">
        <w:rPr>
          <w:rFonts w:ascii="Corbel" w:hAnsi="Corbel"/>
          <w:color w:val="000000"/>
          <w:sz w:val="23"/>
        </w:rPr>
        <w:t>020-2</w:t>
      </w:r>
      <w:r w:rsidR="00B67495">
        <w:rPr>
          <w:rFonts w:ascii="Corbel" w:hAnsi="Corbel"/>
          <w:color w:val="000000"/>
          <w:sz w:val="23"/>
        </w:rPr>
        <w:t>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1013"/>
        <w:gridCol w:w="1014"/>
        <w:gridCol w:w="1013"/>
        <w:gridCol w:w="1014"/>
        <w:gridCol w:w="1014"/>
      </w:tblGrid>
      <w:tr w:rsidR="0054113F" w14:paraId="7798676D" w14:textId="77777777" w:rsidTr="009963DA">
        <w:trPr>
          <w:cantSplit/>
        </w:trPr>
        <w:tc>
          <w:tcPr>
            <w:tcW w:w="4786" w:type="dxa"/>
            <w:tcBorders>
              <w:top w:val="single" w:sz="4" w:space="0" w:color="000080"/>
            </w:tcBorders>
          </w:tcPr>
          <w:p w14:paraId="1CBD24B2" w14:textId="77777777" w:rsidR="0054113F" w:rsidRPr="00C2711B" w:rsidRDefault="0054113F" w:rsidP="00880A95">
            <w:pPr>
              <w:keepNext/>
              <w:keepLines/>
              <w:spacing w:before="40" w:after="40"/>
              <w:jc w:val="left"/>
              <w:rPr>
                <w:b/>
              </w:rPr>
            </w:pPr>
            <w:r w:rsidRPr="00C2711B">
              <w:rPr>
                <w:b/>
              </w:rPr>
              <w:t>($ million)</w:t>
            </w:r>
          </w:p>
        </w:tc>
        <w:tc>
          <w:tcPr>
            <w:tcW w:w="1013" w:type="dxa"/>
            <w:tcBorders>
              <w:top w:val="single" w:sz="4" w:space="0" w:color="000080"/>
              <w:bottom w:val="single" w:sz="4" w:space="0" w:color="000080"/>
            </w:tcBorders>
          </w:tcPr>
          <w:p w14:paraId="1F35811B" w14:textId="77777777" w:rsidR="0054113F" w:rsidRDefault="0054113F" w:rsidP="00880A95">
            <w:pPr>
              <w:keepNext/>
              <w:keepLines/>
              <w:spacing w:before="40" w:after="40"/>
              <w:jc w:val="right"/>
            </w:pPr>
            <w:r>
              <w:t>2017-18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</w:tcPr>
          <w:p w14:paraId="62A6BB61" w14:textId="77777777" w:rsidR="0054113F" w:rsidRDefault="0054113F" w:rsidP="00880A95">
            <w:pPr>
              <w:keepNext/>
              <w:keepLines/>
              <w:spacing w:before="40" w:after="40"/>
              <w:jc w:val="right"/>
            </w:pPr>
            <w:r>
              <w:t>2018-19</w:t>
            </w:r>
          </w:p>
        </w:tc>
        <w:tc>
          <w:tcPr>
            <w:tcW w:w="1013" w:type="dxa"/>
            <w:tcBorders>
              <w:top w:val="single" w:sz="4" w:space="0" w:color="000080"/>
              <w:bottom w:val="single" w:sz="4" w:space="0" w:color="000080"/>
            </w:tcBorders>
          </w:tcPr>
          <w:p w14:paraId="316F5886" w14:textId="77777777" w:rsidR="0054113F" w:rsidRDefault="0054113F" w:rsidP="00880A95">
            <w:pPr>
              <w:keepNext/>
              <w:keepLines/>
              <w:spacing w:before="40" w:after="40"/>
              <w:jc w:val="right"/>
            </w:pPr>
            <w:r>
              <w:t>2019-20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</w:tcPr>
          <w:p w14:paraId="17A3CFD1" w14:textId="77777777" w:rsidR="0054113F" w:rsidRDefault="0054113F" w:rsidP="00880A95">
            <w:pPr>
              <w:keepNext/>
              <w:keepLines/>
              <w:spacing w:before="40" w:after="40"/>
              <w:jc w:val="right"/>
            </w:pPr>
            <w:r>
              <w:t>2020-21</w:t>
            </w:r>
          </w:p>
        </w:tc>
        <w:tc>
          <w:tcPr>
            <w:tcW w:w="1014" w:type="dxa"/>
            <w:tcBorders>
              <w:top w:val="single" w:sz="4" w:space="0" w:color="000080"/>
              <w:bottom w:val="single" w:sz="4" w:space="0" w:color="000080"/>
            </w:tcBorders>
          </w:tcPr>
          <w:p w14:paraId="0268552E" w14:textId="77777777" w:rsidR="0054113F" w:rsidRDefault="0054113F" w:rsidP="00880A95">
            <w:pPr>
              <w:keepNext/>
              <w:keepLines/>
              <w:spacing w:before="40" w:after="40"/>
              <w:jc w:val="right"/>
            </w:pPr>
            <w:r>
              <w:t>Total</w:t>
            </w:r>
          </w:p>
        </w:tc>
      </w:tr>
      <w:tr w:rsidR="0054113F" w:rsidRPr="005B4C1B" w14:paraId="53F713D8" w14:textId="77777777" w:rsidTr="009963DA">
        <w:trPr>
          <w:cantSplit/>
        </w:trPr>
        <w:tc>
          <w:tcPr>
            <w:tcW w:w="4786" w:type="dxa"/>
          </w:tcPr>
          <w:p w14:paraId="2CC4B6C3" w14:textId="77777777" w:rsidR="0054113F" w:rsidRPr="005B4C1B" w:rsidRDefault="0054113F" w:rsidP="00880A95">
            <w:pPr>
              <w:keepNext/>
              <w:keepLines/>
              <w:spacing w:before="60" w:after="60"/>
              <w:rPr>
                <w:b/>
              </w:rPr>
            </w:pPr>
            <w:r w:rsidRPr="005B4C1B">
              <w:rPr>
                <w:b/>
              </w:rPr>
              <w:t>Estimated total budget</w:t>
            </w:r>
          </w:p>
        </w:tc>
        <w:tc>
          <w:tcPr>
            <w:tcW w:w="1013" w:type="dxa"/>
            <w:tcBorders>
              <w:top w:val="single" w:sz="4" w:space="0" w:color="000080"/>
            </w:tcBorders>
          </w:tcPr>
          <w:p w14:paraId="11A4327B" w14:textId="46F0DC52" w:rsidR="0054113F" w:rsidRPr="005B4C1B" w:rsidRDefault="00D84183" w:rsidP="0054113F">
            <w:pPr>
              <w:keepNext/>
              <w:keepLines/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014" w:type="dxa"/>
            <w:tcBorders>
              <w:top w:val="single" w:sz="4" w:space="0" w:color="000080"/>
            </w:tcBorders>
          </w:tcPr>
          <w:p w14:paraId="633151C7" w14:textId="77777777" w:rsidR="0054113F" w:rsidRPr="005B4C1B" w:rsidRDefault="0054113F" w:rsidP="0054113F">
            <w:pPr>
              <w:keepNext/>
              <w:keepLines/>
              <w:spacing w:before="40" w:after="40"/>
              <w:jc w:val="right"/>
              <w:rPr>
                <w:b/>
              </w:rPr>
            </w:pPr>
            <w:r w:rsidRPr="005B4C1B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80"/>
            </w:tcBorders>
          </w:tcPr>
          <w:p w14:paraId="761B28DD" w14:textId="77777777" w:rsidR="0054113F" w:rsidRPr="005B4C1B" w:rsidRDefault="0054113F" w:rsidP="0054113F">
            <w:pPr>
              <w:keepNext/>
              <w:keepLines/>
              <w:spacing w:before="40" w:after="40"/>
              <w:jc w:val="right"/>
              <w:rPr>
                <w:b/>
              </w:rPr>
            </w:pPr>
            <w:r w:rsidRPr="005B4C1B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80"/>
            </w:tcBorders>
          </w:tcPr>
          <w:p w14:paraId="0AFBA3DE" w14:textId="77777777" w:rsidR="0054113F" w:rsidRPr="005B4C1B" w:rsidRDefault="0054113F" w:rsidP="0054113F">
            <w:pPr>
              <w:keepNext/>
              <w:keepLines/>
              <w:spacing w:before="40" w:after="40"/>
              <w:jc w:val="right"/>
              <w:rPr>
                <w:b/>
              </w:rPr>
            </w:pPr>
            <w:r w:rsidRPr="005B4C1B">
              <w:rPr>
                <w:b/>
              </w:rPr>
              <w:t>1.</w:t>
            </w:r>
            <w:r>
              <w:rPr>
                <w:b/>
              </w:rPr>
              <w:t>3</w:t>
            </w:r>
          </w:p>
        </w:tc>
        <w:tc>
          <w:tcPr>
            <w:tcW w:w="1014" w:type="dxa"/>
            <w:tcBorders>
              <w:top w:val="single" w:sz="4" w:space="0" w:color="000080"/>
            </w:tcBorders>
          </w:tcPr>
          <w:p w14:paraId="72CA3F9B" w14:textId="5914FAD6" w:rsidR="0054113F" w:rsidRPr="005B4C1B" w:rsidRDefault="00D84183" w:rsidP="0054113F">
            <w:pPr>
              <w:keepNext/>
              <w:keepLines/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5.2</w:t>
            </w:r>
          </w:p>
        </w:tc>
      </w:tr>
      <w:tr w:rsidR="0054113F" w:rsidRPr="005B4C1B" w14:paraId="68EDC2F1" w14:textId="77777777" w:rsidTr="009963DA">
        <w:trPr>
          <w:cantSplit/>
        </w:trPr>
        <w:tc>
          <w:tcPr>
            <w:tcW w:w="4786" w:type="dxa"/>
          </w:tcPr>
          <w:p w14:paraId="48C12CF2" w14:textId="77777777" w:rsidR="0054113F" w:rsidRPr="004A673A" w:rsidRDefault="0054113F" w:rsidP="00880A95">
            <w:pPr>
              <w:keepNext/>
              <w:keepLines/>
              <w:spacing w:before="60" w:after="60"/>
            </w:pPr>
            <w:r>
              <w:t>Less estimated National Partnership Payments</w:t>
            </w:r>
          </w:p>
        </w:tc>
        <w:tc>
          <w:tcPr>
            <w:tcW w:w="1013" w:type="dxa"/>
            <w:tcBorders>
              <w:bottom w:val="single" w:sz="4" w:space="0" w:color="000080"/>
            </w:tcBorders>
          </w:tcPr>
          <w:p w14:paraId="35E613D6" w14:textId="1084B01E" w:rsidR="0054113F" w:rsidRPr="005B4C1B" w:rsidRDefault="00D84183" w:rsidP="0054113F">
            <w:pPr>
              <w:keepNext/>
              <w:keepLines/>
              <w:spacing w:before="40" w:after="40"/>
              <w:jc w:val="right"/>
            </w:pPr>
            <w:r>
              <w:t>1.3</w:t>
            </w:r>
          </w:p>
        </w:tc>
        <w:tc>
          <w:tcPr>
            <w:tcW w:w="1014" w:type="dxa"/>
            <w:tcBorders>
              <w:bottom w:val="single" w:sz="4" w:space="0" w:color="000080"/>
            </w:tcBorders>
          </w:tcPr>
          <w:p w14:paraId="5693BD00" w14:textId="77777777" w:rsidR="0054113F" w:rsidRPr="005B4C1B" w:rsidRDefault="0054113F" w:rsidP="0054113F">
            <w:pPr>
              <w:keepNext/>
              <w:keepLines/>
              <w:spacing w:before="40" w:after="40"/>
              <w:jc w:val="right"/>
            </w:pPr>
            <w:r w:rsidRPr="005B4C1B">
              <w:t>1.</w:t>
            </w:r>
            <w:r>
              <w:t>3</w:t>
            </w:r>
          </w:p>
        </w:tc>
        <w:tc>
          <w:tcPr>
            <w:tcW w:w="1013" w:type="dxa"/>
            <w:tcBorders>
              <w:bottom w:val="single" w:sz="4" w:space="0" w:color="000080"/>
            </w:tcBorders>
          </w:tcPr>
          <w:p w14:paraId="7CC6950B" w14:textId="77777777" w:rsidR="0054113F" w:rsidRPr="005B4C1B" w:rsidRDefault="0054113F" w:rsidP="0054113F">
            <w:pPr>
              <w:keepNext/>
              <w:keepLines/>
              <w:spacing w:before="40" w:after="40"/>
              <w:jc w:val="right"/>
            </w:pPr>
            <w:r>
              <w:t>1.3</w:t>
            </w:r>
          </w:p>
        </w:tc>
        <w:tc>
          <w:tcPr>
            <w:tcW w:w="1014" w:type="dxa"/>
            <w:tcBorders>
              <w:bottom w:val="single" w:sz="4" w:space="0" w:color="000080"/>
            </w:tcBorders>
          </w:tcPr>
          <w:p w14:paraId="6950C459" w14:textId="77777777" w:rsidR="0054113F" w:rsidRPr="005B4C1B" w:rsidRDefault="0054113F" w:rsidP="0054113F">
            <w:pPr>
              <w:keepNext/>
              <w:keepLines/>
              <w:spacing w:before="40" w:after="40"/>
              <w:jc w:val="right"/>
            </w:pPr>
            <w:r>
              <w:t>1.3</w:t>
            </w:r>
          </w:p>
        </w:tc>
        <w:tc>
          <w:tcPr>
            <w:tcW w:w="1014" w:type="dxa"/>
            <w:tcBorders>
              <w:bottom w:val="single" w:sz="4" w:space="0" w:color="000080"/>
            </w:tcBorders>
          </w:tcPr>
          <w:p w14:paraId="5A898630" w14:textId="0F2AF158" w:rsidR="0054113F" w:rsidRPr="005B4C1B" w:rsidRDefault="00D84183" w:rsidP="0054113F">
            <w:pPr>
              <w:keepNext/>
              <w:keepLines/>
              <w:spacing w:before="40" w:after="40"/>
              <w:jc w:val="right"/>
            </w:pPr>
            <w:r>
              <w:t>5.2</w:t>
            </w:r>
          </w:p>
        </w:tc>
      </w:tr>
      <w:tr w:rsidR="0054113F" w14:paraId="27036C50" w14:textId="77777777" w:rsidTr="009963DA">
        <w:trPr>
          <w:cantSplit/>
        </w:trPr>
        <w:tc>
          <w:tcPr>
            <w:tcW w:w="4786" w:type="dxa"/>
            <w:tcBorders>
              <w:bottom w:val="single" w:sz="4" w:space="0" w:color="000080"/>
            </w:tcBorders>
          </w:tcPr>
          <w:p w14:paraId="045C79C9" w14:textId="77777777" w:rsidR="0054113F" w:rsidRPr="006146F2" w:rsidRDefault="0054113F" w:rsidP="00880A95">
            <w:pPr>
              <w:keepNext/>
              <w:keepLines/>
              <w:spacing w:before="40" w:after="40"/>
            </w:pPr>
            <w:r w:rsidRPr="006146F2">
              <w:t>Balance of non-Commonwealth contribution</w:t>
            </w:r>
            <w:r>
              <w:t>s</w:t>
            </w:r>
          </w:p>
        </w:tc>
        <w:tc>
          <w:tcPr>
            <w:tcW w:w="1013" w:type="dxa"/>
            <w:tcBorders>
              <w:bottom w:val="single" w:sz="4" w:space="0" w:color="000080"/>
            </w:tcBorders>
          </w:tcPr>
          <w:p w14:paraId="6AB8CC83" w14:textId="77777777" w:rsidR="0054113F" w:rsidRDefault="0054113F" w:rsidP="00880A95">
            <w:pPr>
              <w:keepNext/>
              <w:keepLines/>
              <w:spacing w:before="40" w:after="40"/>
              <w:jc w:val="right"/>
            </w:pPr>
            <w:r>
              <w:t>0.0</w:t>
            </w:r>
          </w:p>
        </w:tc>
        <w:tc>
          <w:tcPr>
            <w:tcW w:w="1014" w:type="dxa"/>
            <w:tcBorders>
              <w:bottom w:val="single" w:sz="4" w:space="0" w:color="000080"/>
            </w:tcBorders>
          </w:tcPr>
          <w:p w14:paraId="4E8ABC25" w14:textId="77777777" w:rsidR="0054113F" w:rsidRDefault="0054113F" w:rsidP="00880A95">
            <w:pPr>
              <w:keepNext/>
              <w:keepLines/>
              <w:spacing w:before="40" w:after="40"/>
              <w:jc w:val="right"/>
            </w:pPr>
            <w:r>
              <w:t>0.0</w:t>
            </w:r>
          </w:p>
        </w:tc>
        <w:tc>
          <w:tcPr>
            <w:tcW w:w="1013" w:type="dxa"/>
            <w:tcBorders>
              <w:bottom w:val="single" w:sz="4" w:space="0" w:color="000080"/>
            </w:tcBorders>
          </w:tcPr>
          <w:p w14:paraId="3B60A944" w14:textId="77777777" w:rsidR="0054113F" w:rsidRDefault="00060E04" w:rsidP="00880A95">
            <w:pPr>
              <w:keepNext/>
              <w:keepLines/>
              <w:spacing w:before="40" w:after="40"/>
              <w:jc w:val="right"/>
            </w:pPr>
            <w:r>
              <w:t>0</w:t>
            </w:r>
            <w:r w:rsidR="0054113F">
              <w:t>.0</w:t>
            </w:r>
          </w:p>
        </w:tc>
        <w:tc>
          <w:tcPr>
            <w:tcW w:w="1014" w:type="dxa"/>
            <w:tcBorders>
              <w:bottom w:val="single" w:sz="4" w:space="0" w:color="000080"/>
            </w:tcBorders>
          </w:tcPr>
          <w:p w14:paraId="064A56AB" w14:textId="77777777" w:rsidR="0054113F" w:rsidRDefault="00060E04" w:rsidP="00880A95">
            <w:pPr>
              <w:keepNext/>
              <w:keepLines/>
              <w:spacing w:before="40" w:after="40"/>
              <w:jc w:val="right"/>
            </w:pPr>
            <w:r>
              <w:t>0</w:t>
            </w:r>
            <w:r w:rsidR="0054113F">
              <w:t>.0</w:t>
            </w:r>
          </w:p>
        </w:tc>
        <w:tc>
          <w:tcPr>
            <w:tcW w:w="1014" w:type="dxa"/>
            <w:tcBorders>
              <w:bottom w:val="single" w:sz="4" w:space="0" w:color="000080"/>
            </w:tcBorders>
          </w:tcPr>
          <w:p w14:paraId="6CEBA41A" w14:textId="77777777" w:rsidR="0054113F" w:rsidRDefault="00060E04" w:rsidP="00880A95">
            <w:pPr>
              <w:keepNext/>
              <w:keepLines/>
              <w:spacing w:before="40" w:after="40"/>
              <w:jc w:val="right"/>
            </w:pPr>
            <w:r>
              <w:t>0</w:t>
            </w:r>
            <w:r w:rsidR="0054113F">
              <w:t>.0</w:t>
            </w:r>
          </w:p>
        </w:tc>
      </w:tr>
    </w:tbl>
    <w:p w14:paraId="495EFE12" w14:textId="77777777" w:rsidR="0054113F" w:rsidRPr="0054113F" w:rsidRDefault="0054113F" w:rsidP="0054113F">
      <w:pPr>
        <w:pStyle w:val="TableGraphic"/>
      </w:pPr>
    </w:p>
    <w:p w14:paraId="7F50F1A3" w14:textId="77777777" w:rsidR="007C1916" w:rsidRDefault="007C1916">
      <w:pPr>
        <w:spacing w:after="0" w:line="240" w:lineRule="auto"/>
        <w:jc w:val="left"/>
        <w:rPr>
          <w:rFonts w:cs="Arial"/>
          <w:color w:val="3D4B67"/>
          <w:sz w:val="36"/>
          <w:szCs w:val="22"/>
        </w:rPr>
      </w:pPr>
      <w:r>
        <w:br w:type="page"/>
      </w:r>
    </w:p>
    <w:p w14:paraId="5F52F9BE" w14:textId="77777777" w:rsidR="00E77954" w:rsidRPr="00A50751" w:rsidRDefault="00E77954" w:rsidP="00E77954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agreement as follows: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E77954" w:rsidRPr="00A50751" w14:paraId="14144CE9" w14:textId="77777777" w:rsidTr="00880A95">
        <w:trPr>
          <w:cantSplit/>
          <w:jc w:val="center"/>
        </w:trPr>
        <w:tc>
          <w:tcPr>
            <w:tcW w:w="4536" w:type="dxa"/>
          </w:tcPr>
          <w:p w14:paraId="0D43CDB6" w14:textId="77777777" w:rsidR="00E77954" w:rsidRPr="004A0AE7" w:rsidRDefault="00E77954" w:rsidP="00880A9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7D3770DE" w14:textId="77777777" w:rsidR="00E77954" w:rsidRPr="00A50751" w:rsidRDefault="00E77954" w:rsidP="00880A95">
            <w:pPr>
              <w:pStyle w:val="LineForSignature"/>
            </w:pPr>
            <w:r>
              <w:tab/>
            </w:r>
          </w:p>
          <w:p w14:paraId="52F1E5DD" w14:textId="244194CB" w:rsidR="00E77954" w:rsidRDefault="00E77954" w:rsidP="00880A9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810C41">
              <w:rPr>
                <w:rStyle w:val="Bold"/>
              </w:rPr>
              <w:t xml:space="preserve">Kelly O'Dwyer </w:t>
            </w:r>
            <w:r>
              <w:rPr>
                <w:rStyle w:val="Bold"/>
              </w:rPr>
              <w:t>MP</w:t>
            </w:r>
          </w:p>
          <w:p w14:paraId="250C3ACF" w14:textId="27CE7994" w:rsidR="00E77954" w:rsidRDefault="00E77954" w:rsidP="00880A9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810C41">
              <w:rPr>
                <w:lang w:val="en-GB"/>
              </w:rPr>
              <w:t>Revenue and Financial Services</w:t>
            </w:r>
            <w:r>
              <w:rPr>
                <w:lang w:val="en-GB"/>
              </w:rPr>
              <w:t xml:space="preserve"> </w:t>
            </w:r>
          </w:p>
          <w:p w14:paraId="6138E3C6" w14:textId="7CF4D355" w:rsidR="00E77954" w:rsidRDefault="00782359" w:rsidP="00782359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 w:rsidRPr="00782359">
              <w:rPr>
                <w:lang w:val="en-GB"/>
              </w:rPr>
              <w:t xml:space="preserve">Date: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5E871532" w14:textId="77777777" w:rsidR="00E77954" w:rsidRPr="00A50751" w:rsidRDefault="00E77954" w:rsidP="00880A9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7F44F913" w14:textId="77777777" w:rsidR="00E77954" w:rsidRPr="00A50751" w:rsidRDefault="00E77954" w:rsidP="00880A95">
            <w:pPr>
              <w:rPr>
                <w:rFonts w:ascii="Book Antiqua" w:hAnsi="Book Antiqua"/>
                <w:lang w:val="en-GB"/>
              </w:rPr>
            </w:pPr>
          </w:p>
        </w:tc>
      </w:tr>
      <w:tr w:rsidR="00E77954" w:rsidRPr="00A50751" w14:paraId="2273CA0B" w14:textId="77777777" w:rsidTr="00880A95">
        <w:trPr>
          <w:cantSplit/>
          <w:jc w:val="center"/>
        </w:trPr>
        <w:tc>
          <w:tcPr>
            <w:tcW w:w="4536" w:type="dxa"/>
          </w:tcPr>
          <w:p w14:paraId="69D7359F" w14:textId="77777777" w:rsidR="00E77954" w:rsidRPr="00A50751" w:rsidRDefault="00E77954" w:rsidP="00880A95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003110B3" w14:textId="77777777" w:rsidR="00E77954" w:rsidRPr="00A50751" w:rsidRDefault="00E77954" w:rsidP="00880A95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755A40C5" w14:textId="77777777" w:rsidR="00E77954" w:rsidRPr="00A50751" w:rsidRDefault="00E77954" w:rsidP="00880A95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E77954" w:rsidRPr="00A50751" w14:paraId="132A329A" w14:textId="77777777" w:rsidTr="00880A95">
        <w:trPr>
          <w:cantSplit/>
          <w:jc w:val="center"/>
        </w:trPr>
        <w:tc>
          <w:tcPr>
            <w:tcW w:w="4536" w:type="dxa"/>
          </w:tcPr>
          <w:p w14:paraId="4F1ACF41" w14:textId="77777777" w:rsidR="00E77954" w:rsidRPr="004A0AE7" w:rsidRDefault="00E77954" w:rsidP="00880A9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of New South Wales by</w:t>
            </w:r>
          </w:p>
          <w:p w14:paraId="528DC07C" w14:textId="77777777" w:rsidR="00E77954" w:rsidRPr="00A50751" w:rsidRDefault="00E77954" w:rsidP="00880A95">
            <w:pPr>
              <w:pStyle w:val="LineForSignature"/>
            </w:pPr>
            <w:r w:rsidRPr="00A50751">
              <w:tab/>
            </w:r>
          </w:p>
          <w:p w14:paraId="231E4704" w14:textId="6EFC9FF5" w:rsidR="00E77954" w:rsidRDefault="00E77954" w:rsidP="00880A9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810C41">
              <w:rPr>
                <w:rStyle w:val="Bold"/>
              </w:rPr>
              <w:t>Rob Stokes</w:t>
            </w:r>
            <w:r>
              <w:rPr>
                <w:rStyle w:val="Bold"/>
              </w:rPr>
              <w:t xml:space="preserve"> MP</w:t>
            </w:r>
          </w:p>
          <w:p w14:paraId="5B97227E" w14:textId="5065168C" w:rsidR="00E77954" w:rsidRDefault="00E77954" w:rsidP="00880A9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810C41">
              <w:rPr>
                <w:lang w:val="en-GB"/>
              </w:rPr>
              <w:t>Education</w:t>
            </w:r>
          </w:p>
          <w:p w14:paraId="501324E6" w14:textId="53E41CDE" w:rsidR="00E77954" w:rsidRPr="00A50751" w:rsidRDefault="00782359" w:rsidP="00782359">
            <w:pPr>
              <w:pStyle w:val="SingleParagraph"/>
              <w:tabs>
                <w:tab w:val="num" w:pos="1134"/>
              </w:tabs>
              <w:spacing w:after="240"/>
              <w:rPr>
                <w:szCs w:val="22"/>
                <w:lang w:val="en-GB"/>
              </w:rPr>
            </w:pPr>
            <w:r>
              <w:rPr>
                <w:bCs/>
                <w:lang w:val="en-GB"/>
              </w:rPr>
              <w:t xml:space="preserve">Date: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097B5F54" w14:textId="77777777" w:rsidR="00E77954" w:rsidRPr="00A50751" w:rsidRDefault="00E77954" w:rsidP="00880A9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D04CFD6" w14:textId="77777777" w:rsidR="00E77954" w:rsidRPr="004A0AE7" w:rsidRDefault="00E77954" w:rsidP="00880A9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>State of Victoria by</w:t>
            </w:r>
          </w:p>
          <w:p w14:paraId="1CA63909" w14:textId="77777777" w:rsidR="00E77954" w:rsidRPr="00A50751" w:rsidRDefault="00E77954" w:rsidP="00880A95">
            <w:pPr>
              <w:pStyle w:val="LineForSignature"/>
            </w:pPr>
            <w:r w:rsidRPr="00A50751">
              <w:tab/>
            </w:r>
          </w:p>
          <w:p w14:paraId="2FE6BE26" w14:textId="31C5DEAF" w:rsidR="00E77954" w:rsidRDefault="00E77954" w:rsidP="00880A9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810C41">
              <w:rPr>
                <w:rStyle w:val="Bold"/>
              </w:rPr>
              <w:t xml:space="preserve">James Merlino </w:t>
            </w:r>
            <w:r>
              <w:rPr>
                <w:rStyle w:val="Bold"/>
              </w:rPr>
              <w:t>MP</w:t>
            </w:r>
          </w:p>
          <w:p w14:paraId="42199444" w14:textId="6B0FD95B" w:rsidR="00E77954" w:rsidRDefault="00E77954" w:rsidP="00880A9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810C41">
              <w:rPr>
                <w:lang w:val="en-GB"/>
              </w:rPr>
              <w:t>Education</w:t>
            </w:r>
          </w:p>
          <w:p w14:paraId="6A59D416" w14:textId="56A0A89C" w:rsidR="00E77954" w:rsidRPr="00A50751" w:rsidRDefault="00782359" w:rsidP="00782359">
            <w:pPr>
              <w:pStyle w:val="SingleParagraph"/>
              <w:tabs>
                <w:tab w:val="num" w:pos="1134"/>
              </w:tabs>
              <w:spacing w:after="240"/>
              <w:rPr>
                <w:lang w:val="en-GB"/>
              </w:rPr>
            </w:pPr>
            <w:r w:rsidRPr="00782359">
              <w:rPr>
                <w:lang w:val="en-GB"/>
              </w:rPr>
              <w:t xml:space="preserve">Date: </w:t>
            </w:r>
          </w:p>
        </w:tc>
      </w:tr>
      <w:tr w:rsidR="00E77954" w:rsidRPr="00A50751" w14:paraId="613796C3" w14:textId="77777777" w:rsidTr="00880A95">
        <w:trPr>
          <w:cantSplit/>
          <w:jc w:val="center"/>
        </w:trPr>
        <w:tc>
          <w:tcPr>
            <w:tcW w:w="4536" w:type="dxa"/>
          </w:tcPr>
          <w:p w14:paraId="54E3F2EB" w14:textId="77777777" w:rsidR="00E77954" w:rsidRPr="00A50751" w:rsidRDefault="00E77954" w:rsidP="00880A95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47EB0B52" w14:textId="77777777" w:rsidR="00E77954" w:rsidRPr="00A50751" w:rsidRDefault="00E77954" w:rsidP="00880A95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F1E1C7C" w14:textId="77777777" w:rsidR="00E77954" w:rsidRPr="00A50751" w:rsidRDefault="00E77954" w:rsidP="00880A95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E77954" w:rsidRPr="00A50751" w14:paraId="3F585FF2" w14:textId="77777777" w:rsidTr="00880A95">
        <w:trPr>
          <w:cantSplit/>
          <w:jc w:val="center"/>
        </w:trPr>
        <w:tc>
          <w:tcPr>
            <w:tcW w:w="4536" w:type="dxa"/>
          </w:tcPr>
          <w:p w14:paraId="2C9FAF40" w14:textId="77777777" w:rsidR="00E77954" w:rsidRPr="004A0AE7" w:rsidRDefault="00E77954" w:rsidP="00880A9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>State of Queensland by</w:t>
            </w:r>
          </w:p>
          <w:p w14:paraId="0513001F" w14:textId="77777777" w:rsidR="00E77954" w:rsidRPr="00A50751" w:rsidRDefault="00E77954" w:rsidP="00880A95">
            <w:pPr>
              <w:pStyle w:val="LineForSignature"/>
            </w:pPr>
            <w:r w:rsidRPr="00A50751">
              <w:tab/>
            </w:r>
          </w:p>
          <w:p w14:paraId="44F85EE2" w14:textId="512C3B42" w:rsidR="00E77954" w:rsidRDefault="00E77954" w:rsidP="00880A95">
            <w:pPr>
              <w:pStyle w:val="SingleParagraph"/>
              <w:rPr>
                <w:b/>
              </w:rPr>
            </w:pPr>
            <w:r>
              <w:rPr>
                <w:b/>
              </w:rPr>
              <w:t xml:space="preserve">The Honourable </w:t>
            </w:r>
            <w:r w:rsidR="00810C41" w:rsidRPr="00782359">
              <w:rPr>
                <w:rStyle w:val="Bold"/>
              </w:rPr>
              <w:t>Grace Grace</w:t>
            </w:r>
            <w:r w:rsidR="00810C41">
              <w:rPr>
                <w:rStyle w:val="Bold"/>
              </w:rPr>
              <w:t xml:space="preserve"> </w:t>
            </w:r>
            <w:r>
              <w:rPr>
                <w:b/>
              </w:rPr>
              <w:t>MP</w:t>
            </w:r>
          </w:p>
          <w:p w14:paraId="075CD1BB" w14:textId="7600BC01" w:rsidR="00E77954" w:rsidRDefault="00E77954" w:rsidP="00880A9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810C41">
              <w:rPr>
                <w:lang w:val="en-GB"/>
              </w:rPr>
              <w:t>Education</w:t>
            </w:r>
            <w:r>
              <w:rPr>
                <w:lang w:val="en-GB"/>
              </w:rPr>
              <w:t xml:space="preserve"> </w:t>
            </w:r>
          </w:p>
          <w:p w14:paraId="0EE6AD4E" w14:textId="7148CEC7" w:rsidR="00E77954" w:rsidRPr="00A50751" w:rsidRDefault="00782359" w:rsidP="00782359">
            <w:pPr>
              <w:pStyle w:val="SingleParagraph"/>
              <w:tabs>
                <w:tab w:val="num" w:pos="1134"/>
              </w:tabs>
              <w:spacing w:after="240"/>
              <w:rPr>
                <w:lang w:val="en-GB"/>
              </w:rPr>
            </w:pPr>
            <w:r>
              <w:rPr>
                <w:bCs/>
                <w:lang w:val="en-GB"/>
              </w:rPr>
              <w:t xml:space="preserve">Date: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42934FEB" w14:textId="77777777" w:rsidR="00E77954" w:rsidRPr="00A50751" w:rsidRDefault="00E77954" w:rsidP="00880A9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286DC842" w14:textId="77777777" w:rsidR="00E77954" w:rsidRPr="004A0AE7" w:rsidRDefault="00E77954" w:rsidP="00880A9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>State of Western Australia by</w:t>
            </w:r>
          </w:p>
          <w:p w14:paraId="16A8564F" w14:textId="77777777" w:rsidR="00E77954" w:rsidRPr="00A50751" w:rsidRDefault="00E77954" w:rsidP="00880A95">
            <w:pPr>
              <w:pStyle w:val="LineForSignature"/>
            </w:pPr>
            <w:r w:rsidRPr="00A50751">
              <w:tab/>
            </w:r>
          </w:p>
          <w:p w14:paraId="5303CF5E" w14:textId="2C3A185E" w:rsidR="00E77954" w:rsidRDefault="00810C41" w:rsidP="00880A9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2C43DF">
              <w:rPr>
                <w:rStyle w:val="Bold"/>
              </w:rPr>
              <w:t>Suzanne</w:t>
            </w:r>
            <w:r w:rsidR="00487F3A">
              <w:rPr>
                <w:rStyle w:val="Bold"/>
              </w:rPr>
              <w:t xml:space="preserve"> Ellery</w:t>
            </w:r>
            <w:r w:rsidR="00E77954">
              <w:rPr>
                <w:rStyle w:val="Bold"/>
              </w:rPr>
              <w:t xml:space="preserve"> </w:t>
            </w:r>
            <w:r w:rsidR="00487F3A">
              <w:rPr>
                <w:rStyle w:val="Bold"/>
              </w:rPr>
              <w:t>MLC</w:t>
            </w:r>
          </w:p>
          <w:p w14:paraId="54372B9A" w14:textId="56A8BBB3" w:rsidR="00E77954" w:rsidRDefault="00E77954" w:rsidP="00880A9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810C41">
              <w:rPr>
                <w:lang w:val="en-GB"/>
              </w:rPr>
              <w:t>Education and Training</w:t>
            </w:r>
            <w:r>
              <w:rPr>
                <w:lang w:val="en-GB"/>
              </w:rPr>
              <w:t xml:space="preserve"> </w:t>
            </w:r>
          </w:p>
          <w:p w14:paraId="6390A6B5" w14:textId="5C2BE025" w:rsidR="00E77954" w:rsidRPr="00A50751" w:rsidRDefault="00782359" w:rsidP="00782359">
            <w:pPr>
              <w:pStyle w:val="SingleParagraph"/>
              <w:tabs>
                <w:tab w:val="num" w:pos="1134"/>
              </w:tabs>
              <w:spacing w:after="240"/>
              <w:rPr>
                <w:lang w:val="en-GB"/>
              </w:rPr>
            </w:pPr>
            <w:r>
              <w:rPr>
                <w:bCs/>
                <w:lang w:val="en-GB"/>
              </w:rPr>
              <w:t>Date:</w:t>
            </w:r>
          </w:p>
        </w:tc>
      </w:tr>
      <w:tr w:rsidR="00E77954" w:rsidRPr="00A50751" w14:paraId="456654B7" w14:textId="77777777" w:rsidTr="00880A95">
        <w:trPr>
          <w:cantSplit/>
          <w:jc w:val="center"/>
        </w:trPr>
        <w:tc>
          <w:tcPr>
            <w:tcW w:w="4536" w:type="dxa"/>
          </w:tcPr>
          <w:p w14:paraId="3C6599DC" w14:textId="77777777" w:rsidR="00E77954" w:rsidRPr="00A50751" w:rsidRDefault="00E77954" w:rsidP="00880A95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20CC69AF" w14:textId="77777777" w:rsidR="00E77954" w:rsidRPr="00A50751" w:rsidRDefault="00E77954" w:rsidP="00880A95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CFF3377" w14:textId="77777777" w:rsidR="00E77954" w:rsidRPr="00A50751" w:rsidRDefault="00E77954" w:rsidP="00880A95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E77954" w:rsidRPr="00A50751" w14:paraId="3B7D4FD4" w14:textId="77777777" w:rsidTr="00880A95">
        <w:trPr>
          <w:cantSplit/>
          <w:trHeight w:val="143"/>
          <w:jc w:val="center"/>
        </w:trPr>
        <w:tc>
          <w:tcPr>
            <w:tcW w:w="4536" w:type="dxa"/>
          </w:tcPr>
          <w:p w14:paraId="01CCCD52" w14:textId="77777777" w:rsidR="00E77954" w:rsidRPr="004A0AE7" w:rsidRDefault="00E77954" w:rsidP="00880A9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>State of South Australia by</w:t>
            </w:r>
          </w:p>
          <w:p w14:paraId="28ED784A" w14:textId="77777777" w:rsidR="00E77954" w:rsidRPr="00A50751" w:rsidRDefault="00E77954" w:rsidP="00880A95">
            <w:pPr>
              <w:pStyle w:val="LineForSignature"/>
            </w:pPr>
            <w:r w:rsidRPr="00A50751">
              <w:tab/>
            </w:r>
          </w:p>
          <w:p w14:paraId="392C7CE3" w14:textId="1442CA79" w:rsidR="00E77954" w:rsidRDefault="00E77954" w:rsidP="00880A9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487F3A">
              <w:rPr>
                <w:rStyle w:val="Bold"/>
              </w:rPr>
              <w:t>Susan Close MP</w:t>
            </w:r>
          </w:p>
          <w:p w14:paraId="7ABFDE50" w14:textId="3C55FB07" w:rsidR="00E77954" w:rsidRDefault="00E77954" w:rsidP="00880A9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810C41">
              <w:rPr>
                <w:lang w:val="en-GB"/>
              </w:rPr>
              <w:t xml:space="preserve">Education and </w:t>
            </w:r>
            <w:r w:rsidR="00487F3A">
              <w:rPr>
                <w:lang w:val="en-GB"/>
              </w:rPr>
              <w:t>Child Development</w:t>
            </w:r>
          </w:p>
          <w:p w14:paraId="2DC098B4" w14:textId="250C66AF" w:rsidR="00E77954" w:rsidRPr="00A50751" w:rsidRDefault="00782359" w:rsidP="00782359">
            <w:pPr>
              <w:pStyle w:val="SingleParagraph"/>
              <w:tabs>
                <w:tab w:val="num" w:pos="1134"/>
              </w:tabs>
              <w:spacing w:after="240"/>
              <w:rPr>
                <w:lang w:val="en-GB"/>
              </w:rPr>
            </w:pPr>
            <w:r>
              <w:rPr>
                <w:bCs/>
                <w:lang w:val="en-GB"/>
              </w:rPr>
              <w:t>Date: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50AEEB9C" w14:textId="77777777" w:rsidR="00E77954" w:rsidRPr="00A50751" w:rsidRDefault="00E77954" w:rsidP="00880A9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61919EAE" w14:textId="77777777" w:rsidR="00E77954" w:rsidRPr="004A0AE7" w:rsidRDefault="00E77954" w:rsidP="00880A9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 w:rsidRPr="004A0AE7">
              <w:br/>
              <w:t>State of Tasmania by</w:t>
            </w:r>
          </w:p>
          <w:p w14:paraId="2A815F57" w14:textId="77777777" w:rsidR="00E77954" w:rsidRPr="00A50751" w:rsidRDefault="00E77954" w:rsidP="00880A95">
            <w:pPr>
              <w:pStyle w:val="LineForSignature"/>
            </w:pPr>
            <w:r w:rsidRPr="00A50751">
              <w:tab/>
            </w:r>
          </w:p>
          <w:p w14:paraId="4033562F" w14:textId="50364C82" w:rsidR="00E77954" w:rsidRDefault="00E77954" w:rsidP="00880A9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487F3A">
              <w:rPr>
                <w:rStyle w:val="Bold"/>
              </w:rPr>
              <w:t>Jeremy Rockliff MP</w:t>
            </w:r>
          </w:p>
          <w:p w14:paraId="0C7E3127" w14:textId="4E21FA0E" w:rsidR="00E77954" w:rsidRDefault="00E77954" w:rsidP="00487F3A">
            <w:pPr>
              <w:pStyle w:val="Position"/>
              <w:tabs>
                <w:tab w:val="left" w:pos="3443"/>
              </w:tabs>
              <w:rPr>
                <w:lang w:val="en-GB"/>
              </w:rPr>
            </w:pPr>
            <w:r>
              <w:rPr>
                <w:lang w:val="en-GB"/>
              </w:rPr>
              <w:t xml:space="preserve">Minister for </w:t>
            </w:r>
            <w:r w:rsidR="00487F3A">
              <w:rPr>
                <w:lang w:val="en-GB"/>
              </w:rPr>
              <w:t>Education</w:t>
            </w:r>
            <w:r>
              <w:rPr>
                <w:lang w:val="en-GB"/>
              </w:rPr>
              <w:t xml:space="preserve"> </w:t>
            </w:r>
            <w:r w:rsidR="00487F3A">
              <w:rPr>
                <w:lang w:val="en-GB"/>
              </w:rPr>
              <w:t>and Training</w:t>
            </w:r>
            <w:r w:rsidR="00487F3A">
              <w:rPr>
                <w:lang w:val="en-GB"/>
              </w:rPr>
              <w:tab/>
            </w:r>
          </w:p>
          <w:p w14:paraId="6030641B" w14:textId="14CDA16B" w:rsidR="00E77954" w:rsidRPr="00A50751" w:rsidRDefault="00782359" w:rsidP="00782359">
            <w:pPr>
              <w:pStyle w:val="SingleParagraph"/>
              <w:tabs>
                <w:tab w:val="num" w:pos="1134"/>
              </w:tabs>
              <w:spacing w:after="240"/>
              <w:rPr>
                <w:lang w:val="en-GB"/>
              </w:rPr>
            </w:pPr>
            <w:r>
              <w:rPr>
                <w:bCs/>
                <w:lang w:val="en-GB"/>
              </w:rPr>
              <w:t>Date:</w:t>
            </w:r>
          </w:p>
        </w:tc>
      </w:tr>
      <w:tr w:rsidR="00E77954" w:rsidRPr="00A50751" w14:paraId="557B2E71" w14:textId="77777777" w:rsidTr="00880A95">
        <w:trPr>
          <w:cantSplit/>
          <w:jc w:val="center"/>
        </w:trPr>
        <w:tc>
          <w:tcPr>
            <w:tcW w:w="4536" w:type="dxa"/>
          </w:tcPr>
          <w:p w14:paraId="516C40B2" w14:textId="77777777" w:rsidR="00E77954" w:rsidRPr="00A50751" w:rsidRDefault="00E77954" w:rsidP="00880A95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40FACDD9" w14:textId="77777777" w:rsidR="00E77954" w:rsidRPr="00A50751" w:rsidRDefault="00E77954" w:rsidP="00880A95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70B7C7DC" w14:textId="77777777" w:rsidR="00E77954" w:rsidRPr="00A50751" w:rsidRDefault="00E77954" w:rsidP="00880A95">
            <w:pPr>
              <w:pStyle w:val="SingleParagraph"/>
              <w:rPr>
                <w:rFonts w:ascii="Book Antiqua" w:hAnsi="Book Antiqua"/>
                <w:lang w:val="en-GB"/>
              </w:rPr>
            </w:pPr>
          </w:p>
        </w:tc>
      </w:tr>
      <w:tr w:rsidR="00E77954" w:rsidRPr="00A50751" w14:paraId="075C688B" w14:textId="77777777" w:rsidTr="00880A95">
        <w:trPr>
          <w:cantSplit/>
          <w:jc w:val="center"/>
        </w:trPr>
        <w:tc>
          <w:tcPr>
            <w:tcW w:w="4536" w:type="dxa"/>
          </w:tcPr>
          <w:p w14:paraId="71B19810" w14:textId="77777777" w:rsidR="00E77954" w:rsidRPr="00A50751" w:rsidRDefault="00E77954" w:rsidP="00880A9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rPr>
                <w:i w:val="0"/>
              </w:rPr>
              <w:t xml:space="preserve"> </w:t>
            </w:r>
            <w:r w:rsidRPr="004A0AE7">
              <w:t xml:space="preserve">for and on behalf of </w:t>
            </w:r>
            <w:r>
              <w:t xml:space="preserve">the </w:t>
            </w:r>
            <w:r w:rsidRPr="004A0AE7">
              <w:t>Australian Capital Territory by</w:t>
            </w:r>
          </w:p>
          <w:p w14:paraId="4523970C" w14:textId="77777777" w:rsidR="00E77954" w:rsidRPr="00A50751" w:rsidRDefault="00E77954" w:rsidP="00880A95">
            <w:pPr>
              <w:pStyle w:val="LineForSignature"/>
            </w:pPr>
            <w:r w:rsidRPr="00A50751">
              <w:tab/>
            </w:r>
          </w:p>
          <w:p w14:paraId="45B3CD40" w14:textId="77777777" w:rsidR="00487F3A" w:rsidRDefault="00487F3A" w:rsidP="00487F3A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Yvette Berry  MLA</w:t>
            </w:r>
          </w:p>
          <w:p w14:paraId="1DD5E273" w14:textId="77777777" w:rsidR="00487F3A" w:rsidRDefault="00487F3A" w:rsidP="00487F3A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Minister for Education and Early Childhood Development</w:t>
            </w:r>
          </w:p>
          <w:p w14:paraId="3DE54ED3" w14:textId="2FF515F3" w:rsidR="00E77954" w:rsidRPr="00A50751" w:rsidRDefault="00782359" w:rsidP="00782359">
            <w:pPr>
              <w:pStyle w:val="SingleParagraph"/>
              <w:tabs>
                <w:tab w:val="num" w:pos="1134"/>
              </w:tabs>
              <w:spacing w:after="240"/>
              <w:rPr>
                <w:szCs w:val="22"/>
                <w:lang w:val="en-GB"/>
              </w:rPr>
            </w:pPr>
            <w:r>
              <w:rPr>
                <w:bCs/>
                <w:lang w:val="en-GB"/>
              </w:rPr>
              <w:t xml:space="preserve">Date: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210DBA1D" w14:textId="77777777" w:rsidR="00E77954" w:rsidRPr="00A50751" w:rsidRDefault="00E77954" w:rsidP="00880A9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26A9ACA0" w14:textId="77777777" w:rsidR="00E77954" w:rsidRPr="00A50751" w:rsidRDefault="00E77954" w:rsidP="00880A9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rPr>
                <w:i w:val="0"/>
              </w:rPr>
              <w:t xml:space="preserve"> </w:t>
            </w:r>
            <w:r w:rsidRPr="004A0AE7">
              <w:t xml:space="preserve">for and on behalf of </w:t>
            </w:r>
            <w:r>
              <w:t xml:space="preserve">the </w:t>
            </w:r>
            <w:r w:rsidRPr="004A0AE7">
              <w:t>Northern Territory by</w:t>
            </w:r>
          </w:p>
          <w:p w14:paraId="5650318B" w14:textId="77777777" w:rsidR="00E77954" w:rsidRPr="00A50751" w:rsidRDefault="00E77954" w:rsidP="00880A95">
            <w:pPr>
              <w:pStyle w:val="LineForSignature"/>
            </w:pPr>
            <w:r w:rsidRPr="00A50751">
              <w:tab/>
            </w:r>
          </w:p>
          <w:p w14:paraId="0797059B" w14:textId="77777777" w:rsidR="00487F3A" w:rsidRDefault="00487F3A" w:rsidP="00487F3A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Eva Dina Lawler MLA</w:t>
            </w:r>
          </w:p>
          <w:p w14:paraId="47BEB605" w14:textId="77777777" w:rsidR="00487F3A" w:rsidRDefault="00487F3A" w:rsidP="00487F3A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Education </w:t>
            </w:r>
          </w:p>
          <w:p w14:paraId="05C5911B" w14:textId="04C79D8D" w:rsidR="00E77954" w:rsidRPr="00A50751" w:rsidRDefault="00782359" w:rsidP="00782359">
            <w:pPr>
              <w:pStyle w:val="SingleParagraph"/>
              <w:tabs>
                <w:tab w:val="num" w:pos="1134"/>
              </w:tabs>
              <w:spacing w:after="240"/>
              <w:rPr>
                <w:lang w:val="en-GB"/>
              </w:rPr>
            </w:pPr>
            <w:r>
              <w:rPr>
                <w:bCs/>
                <w:lang w:val="en-GB"/>
              </w:rPr>
              <w:t>Date:</w:t>
            </w:r>
          </w:p>
        </w:tc>
      </w:tr>
    </w:tbl>
    <w:p w14:paraId="7F2344A7" w14:textId="77777777" w:rsidR="00AD59CF" w:rsidRDefault="00AD59CF" w:rsidP="002C43DF">
      <w:pPr>
        <w:pStyle w:val="Heading9"/>
        <w:numPr>
          <w:ilvl w:val="0"/>
          <w:numId w:val="0"/>
        </w:numPr>
        <w:jc w:val="both"/>
      </w:pPr>
      <w:bookmarkStart w:id="0" w:name="_GoBack"/>
      <w:bookmarkEnd w:id="0"/>
    </w:p>
    <w:sectPr w:rsidR="00AD59CF" w:rsidSect="00AD59CF">
      <w:headerReference w:type="default" r:id="rId12"/>
      <w:headerReference w:type="first" r:id="rId13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BBFAF" w14:textId="77777777" w:rsidR="008A7527" w:rsidRDefault="008A7527">
      <w:r>
        <w:separator/>
      </w:r>
    </w:p>
  </w:endnote>
  <w:endnote w:type="continuationSeparator" w:id="0">
    <w:p w14:paraId="07829864" w14:textId="77777777" w:rsidR="008A7527" w:rsidRDefault="008A7527">
      <w:r>
        <w:continuationSeparator/>
      </w:r>
    </w:p>
  </w:endnote>
  <w:endnote w:type="continuationNotice" w:id="1">
    <w:p w14:paraId="48CA51F0" w14:textId="77777777" w:rsidR="008A7527" w:rsidRDefault="008A75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FA53C" w14:textId="77777777" w:rsidR="008A7527" w:rsidRDefault="008A7527">
      <w:r>
        <w:separator/>
      </w:r>
    </w:p>
  </w:footnote>
  <w:footnote w:type="continuationSeparator" w:id="0">
    <w:p w14:paraId="04C5BF76" w14:textId="77777777" w:rsidR="008A7527" w:rsidRDefault="008A7527">
      <w:r>
        <w:continuationSeparator/>
      </w:r>
    </w:p>
  </w:footnote>
  <w:footnote w:type="continuationNotice" w:id="1">
    <w:p w14:paraId="383FF842" w14:textId="77777777" w:rsidR="008A7527" w:rsidRDefault="008A75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8811" w14:textId="77777777" w:rsidR="00376AED" w:rsidRPr="00814590" w:rsidRDefault="00376AED" w:rsidP="00403B4C">
    <w:pPr>
      <w:pStyle w:val="HeaderOdd"/>
      <w:tabs>
        <w:tab w:val="num" w:pos="1134"/>
      </w:tabs>
      <w:rPr>
        <w:color w:val="800000"/>
      </w:rPr>
    </w:pPr>
    <w:r w:rsidRPr="00814590">
      <w:rPr>
        <w:color w:val="800000"/>
      </w:rPr>
      <w:t xml:space="preserve">National Partnership Agreement on </w:t>
    </w:r>
    <w:r>
      <w:rPr>
        <w:color w:val="800000"/>
      </w:rPr>
      <w:t>Specified Projects – Schedule B</w:t>
    </w:r>
  </w:p>
  <w:p w14:paraId="7B99C7A5" w14:textId="77777777" w:rsidR="00376AED" w:rsidRDefault="00376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2E586" w14:textId="77777777" w:rsidR="00376AED" w:rsidRPr="00814590" w:rsidRDefault="00376AED" w:rsidP="00D133BC">
    <w:pPr>
      <w:pStyle w:val="HeaderOdd"/>
      <w:tabs>
        <w:tab w:val="num" w:pos="1134"/>
      </w:tabs>
      <w:rPr>
        <w:color w:val="800000"/>
      </w:rPr>
    </w:pPr>
    <w:r w:rsidRPr="00814590">
      <w:rPr>
        <w:color w:val="800000"/>
      </w:rPr>
      <w:t xml:space="preserve">National Partnership Agreement on </w:t>
    </w:r>
    <w:r>
      <w:rPr>
        <w:color w:val="800000"/>
      </w:rPr>
      <w:t>Specified Projects – Schedule B</w:t>
    </w:r>
  </w:p>
  <w:p w14:paraId="362C09B7" w14:textId="77777777" w:rsidR="00376AED" w:rsidRPr="00751725" w:rsidRDefault="00376AED" w:rsidP="00751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7E57B4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C2C99"/>
    <w:multiLevelType w:val="multilevel"/>
    <w:tmpl w:val="DAD6066E"/>
    <w:lvl w:ilvl="0">
      <w:start w:val="1"/>
      <w:numFmt w:val="lowerLetter"/>
      <w:lvlText w:val="(%1)"/>
      <w:lvlJc w:val="left"/>
      <w:pPr>
        <w:tabs>
          <w:tab w:val="num" w:pos="1134"/>
        </w:tabs>
        <w:ind w:left="567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</w:abstractNum>
  <w:abstractNum w:abstractNumId="2">
    <w:nsid w:val="04BE1469"/>
    <w:multiLevelType w:val="multilevel"/>
    <w:tmpl w:val="4F9EF4A2"/>
    <w:name w:val="StandardBulletedList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4">
    <w:nsid w:val="0EC42909"/>
    <w:multiLevelType w:val="multilevel"/>
    <w:tmpl w:val="753AC1FE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5">
    <w:nsid w:val="19C960FD"/>
    <w:multiLevelType w:val="multilevel"/>
    <w:tmpl w:val="F9EA08CE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6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1FAC2E6F"/>
    <w:multiLevelType w:val="hybridMultilevel"/>
    <w:tmpl w:val="469AD774"/>
    <w:name w:val="OneLevelNumberedParagraphList"/>
    <w:lvl w:ilvl="0" w:tplc="80E42D8A">
      <w:start w:val="1"/>
      <w:numFmt w:val="decimal"/>
      <w:lvlText w:val="A%1."/>
      <w:lvlJc w:val="left"/>
      <w:pPr>
        <w:tabs>
          <w:tab w:val="num" w:pos="680"/>
        </w:tabs>
        <w:ind w:left="680" w:hanging="680"/>
      </w:pPr>
      <w:rPr>
        <w:rFonts w:ascii="Corbel" w:hAnsi="Corbel" w:cs="Corbel" w:hint="default"/>
        <w:b w:val="0"/>
        <w:bCs w:val="0"/>
        <w:i w:val="0"/>
        <w:iCs w:val="0"/>
        <w:color w:val="000000"/>
        <w:sz w:val="23"/>
        <w:szCs w:val="23"/>
      </w:rPr>
    </w:lvl>
    <w:lvl w:ilvl="1" w:tplc="8166A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6655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A84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04DD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8A2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D630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62E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86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9">
    <w:nsid w:val="2418638B"/>
    <w:multiLevelType w:val="hybridMultilevel"/>
    <w:tmpl w:val="8D6E1A28"/>
    <w:lvl w:ilvl="0" w:tplc="0C09001B">
      <w:start w:val="1"/>
      <w:numFmt w:val="lowerRoman"/>
      <w:lvlText w:val="%1."/>
      <w:lvlJc w:val="right"/>
      <w:pPr>
        <w:ind w:left="28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244237C5"/>
    <w:multiLevelType w:val="multilevel"/>
    <w:tmpl w:val="58FC54CC"/>
    <w:name w:val="AGSTableDash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1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2">
    <w:nsid w:val="278D78E7"/>
    <w:multiLevelType w:val="multilevel"/>
    <w:tmpl w:val="5C4AE05C"/>
    <w:name w:val="StandardNumberedList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3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4">
    <w:nsid w:val="39DD0BA8"/>
    <w:multiLevelType w:val="multilevel"/>
    <w:tmpl w:val="6E5AF110"/>
    <w:lvl w:ilvl="0">
      <w:start w:val="1"/>
      <w:numFmt w:val="lowerLetter"/>
      <w:lvlText w:val="(%1)"/>
      <w:lvlJc w:val="left"/>
      <w:pPr>
        <w:tabs>
          <w:tab w:val="num" w:pos="1701"/>
        </w:tabs>
        <w:ind w:left="1134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/>
        <w:b w:val="0"/>
        <w:i w:val="0"/>
        <w:color w:val="000000"/>
      </w:rPr>
    </w:lvl>
  </w:abstractNum>
  <w:abstractNum w:abstractNumId="15">
    <w:nsid w:val="3ABA1F25"/>
    <w:multiLevelType w:val="hybridMultilevel"/>
    <w:tmpl w:val="B6BE1B6C"/>
    <w:name w:val="AGSDash"/>
    <w:lvl w:ilvl="0" w:tplc="3838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A2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B48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E3E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86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F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56F4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2E60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434C6"/>
    <w:multiLevelType w:val="hybridMultilevel"/>
    <w:tmpl w:val="8D6E1A28"/>
    <w:lvl w:ilvl="0" w:tplc="0C09001B">
      <w:start w:val="1"/>
      <w:numFmt w:val="lowerRoman"/>
      <w:lvlText w:val="%1."/>
      <w:lvlJc w:val="right"/>
      <w:pPr>
        <w:ind w:left="3798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4518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523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595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667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739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811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883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9558" w:hanging="180"/>
      </w:pPr>
      <w:rPr>
        <w:rFonts w:cs="Times New Roman"/>
      </w:rPr>
    </w:lvl>
  </w:abstractNum>
  <w:abstractNum w:abstractNumId="17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8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9">
    <w:nsid w:val="6BB12F6F"/>
    <w:multiLevelType w:val="hybridMultilevel"/>
    <w:tmpl w:val="8D6E1A28"/>
    <w:lvl w:ilvl="0" w:tplc="0C09001B">
      <w:start w:val="1"/>
      <w:numFmt w:val="lowerRoman"/>
      <w:lvlText w:val="%1."/>
      <w:lvlJc w:val="right"/>
      <w:pPr>
        <w:ind w:left="1494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6D7A39BC"/>
    <w:multiLevelType w:val="multilevel"/>
    <w:tmpl w:val="88905E3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24"/>
      <w:numFmt w:val="upperLetter"/>
      <w:lvlRestart w:val="0"/>
      <w:suff w:val="space"/>
      <w:lvlText w:val="Schedule %9"/>
      <w:lvlJc w:val="left"/>
      <w:pPr>
        <w:ind w:left="0" w:firstLine="0"/>
      </w:pPr>
      <w:rPr>
        <w:rFonts w:cs="Times New Roman" w:hint="default"/>
        <w:color w:val="800000"/>
      </w:rPr>
    </w:lvl>
  </w:abstractNum>
  <w:abstractNum w:abstractNumId="21">
    <w:nsid w:val="75A466C4"/>
    <w:multiLevelType w:val="hybridMultilevel"/>
    <w:tmpl w:val="6E309172"/>
    <w:lvl w:ilvl="0" w:tplc="0D2EF8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D68D3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34F1D8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ACDC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9AA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547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8ACA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05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743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23">
    <w:nsid w:val="79CE2A12"/>
    <w:multiLevelType w:val="multilevel"/>
    <w:tmpl w:val="6E5AF110"/>
    <w:lvl w:ilvl="0">
      <w:start w:val="1"/>
      <w:numFmt w:val="lowerLetter"/>
      <w:lvlText w:val="(%1)"/>
      <w:lvlJc w:val="left"/>
      <w:pPr>
        <w:tabs>
          <w:tab w:val="num" w:pos="1701"/>
        </w:tabs>
        <w:ind w:left="113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5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7"/>
  </w:num>
  <w:num w:numId="12">
    <w:abstractNumId w:val="22"/>
  </w:num>
  <w:num w:numId="13">
    <w:abstractNumId w:val="8"/>
  </w:num>
  <w:num w:numId="14">
    <w:abstractNumId w:val="13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7"/>
    <w:rsid w:val="0000238A"/>
    <w:rsid w:val="00005A5D"/>
    <w:rsid w:val="000064E1"/>
    <w:rsid w:val="000076D9"/>
    <w:rsid w:val="00012BCD"/>
    <w:rsid w:val="00012EF4"/>
    <w:rsid w:val="0001339F"/>
    <w:rsid w:val="000135D9"/>
    <w:rsid w:val="000142EA"/>
    <w:rsid w:val="00015173"/>
    <w:rsid w:val="00017E7B"/>
    <w:rsid w:val="00021708"/>
    <w:rsid w:val="0002432A"/>
    <w:rsid w:val="00025387"/>
    <w:rsid w:val="00025539"/>
    <w:rsid w:val="000256CF"/>
    <w:rsid w:val="00026ED2"/>
    <w:rsid w:val="0003074A"/>
    <w:rsid w:val="000373D8"/>
    <w:rsid w:val="00042DBF"/>
    <w:rsid w:val="00047F6E"/>
    <w:rsid w:val="00051895"/>
    <w:rsid w:val="00054E8C"/>
    <w:rsid w:val="00057EB1"/>
    <w:rsid w:val="00060E04"/>
    <w:rsid w:val="0006140E"/>
    <w:rsid w:val="00062DE7"/>
    <w:rsid w:val="0006451A"/>
    <w:rsid w:val="00064BB7"/>
    <w:rsid w:val="0006689E"/>
    <w:rsid w:val="0007004C"/>
    <w:rsid w:val="00070D8B"/>
    <w:rsid w:val="000724F6"/>
    <w:rsid w:val="00073A8D"/>
    <w:rsid w:val="0007457C"/>
    <w:rsid w:val="00074611"/>
    <w:rsid w:val="000768EA"/>
    <w:rsid w:val="000801A6"/>
    <w:rsid w:val="00080983"/>
    <w:rsid w:val="0008433E"/>
    <w:rsid w:val="00085966"/>
    <w:rsid w:val="000869CA"/>
    <w:rsid w:val="000870F1"/>
    <w:rsid w:val="00087EA8"/>
    <w:rsid w:val="00091DF8"/>
    <w:rsid w:val="000933A1"/>
    <w:rsid w:val="00093DD8"/>
    <w:rsid w:val="000971AA"/>
    <w:rsid w:val="000A0C9E"/>
    <w:rsid w:val="000A2C32"/>
    <w:rsid w:val="000A5191"/>
    <w:rsid w:val="000A5250"/>
    <w:rsid w:val="000A72D2"/>
    <w:rsid w:val="000A7553"/>
    <w:rsid w:val="000B5450"/>
    <w:rsid w:val="000B5B99"/>
    <w:rsid w:val="000B6E23"/>
    <w:rsid w:val="000C087C"/>
    <w:rsid w:val="000C2FE1"/>
    <w:rsid w:val="000C4342"/>
    <w:rsid w:val="000C714F"/>
    <w:rsid w:val="000C7DE1"/>
    <w:rsid w:val="000D19D8"/>
    <w:rsid w:val="000D1C37"/>
    <w:rsid w:val="000D23D7"/>
    <w:rsid w:val="000D3CD9"/>
    <w:rsid w:val="000D4377"/>
    <w:rsid w:val="000D6874"/>
    <w:rsid w:val="000E0898"/>
    <w:rsid w:val="000E1954"/>
    <w:rsid w:val="000E19C0"/>
    <w:rsid w:val="000E2AF6"/>
    <w:rsid w:val="000E342D"/>
    <w:rsid w:val="000E3C70"/>
    <w:rsid w:val="000E48C3"/>
    <w:rsid w:val="000E57D6"/>
    <w:rsid w:val="000F0880"/>
    <w:rsid w:val="000F33CD"/>
    <w:rsid w:val="000F3508"/>
    <w:rsid w:val="000F6CF6"/>
    <w:rsid w:val="00102414"/>
    <w:rsid w:val="001032CF"/>
    <w:rsid w:val="00103FA5"/>
    <w:rsid w:val="00103FD6"/>
    <w:rsid w:val="001065EE"/>
    <w:rsid w:val="00110F5D"/>
    <w:rsid w:val="00112331"/>
    <w:rsid w:val="00112617"/>
    <w:rsid w:val="00113ADB"/>
    <w:rsid w:val="0011453C"/>
    <w:rsid w:val="00114AA5"/>
    <w:rsid w:val="001165C0"/>
    <w:rsid w:val="00116D32"/>
    <w:rsid w:val="001211D7"/>
    <w:rsid w:val="00122DBA"/>
    <w:rsid w:val="00124DD9"/>
    <w:rsid w:val="0012525A"/>
    <w:rsid w:val="0013023E"/>
    <w:rsid w:val="00132378"/>
    <w:rsid w:val="00132587"/>
    <w:rsid w:val="00132B12"/>
    <w:rsid w:val="0013646D"/>
    <w:rsid w:val="00136744"/>
    <w:rsid w:val="001404A9"/>
    <w:rsid w:val="00140F43"/>
    <w:rsid w:val="00141912"/>
    <w:rsid w:val="00141DA6"/>
    <w:rsid w:val="00143DCA"/>
    <w:rsid w:val="0014518B"/>
    <w:rsid w:val="00145D5C"/>
    <w:rsid w:val="0015073F"/>
    <w:rsid w:val="00150CEF"/>
    <w:rsid w:val="00153DE8"/>
    <w:rsid w:val="00160506"/>
    <w:rsid w:val="00163C3F"/>
    <w:rsid w:val="00166312"/>
    <w:rsid w:val="00166581"/>
    <w:rsid w:val="00167BB8"/>
    <w:rsid w:val="001708C3"/>
    <w:rsid w:val="00170A8C"/>
    <w:rsid w:val="0017116E"/>
    <w:rsid w:val="0017198E"/>
    <w:rsid w:val="00171AC1"/>
    <w:rsid w:val="00172002"/>
    <w:rsid w:val="00172108"/>
    <w:rsid w:val="00172A20"/>
    <w:rsid w:val="00173F81"/>
    <w:rsid w:val="00174A60"/>
    <w:rsid w:val="00174C2A"/>
    <w:rsid w:val="00175FB9"/>
    <w:rsid w:val="00181240"/>
    <w:rsid w:val="00183A80"/>
    <w:rsid w:val="00183EAB"/>
    <w:rsid w:val="00185657"/>
    <w:rsid w:val="00185CC1"/>
    <w:rsid w:val="00187B0E"/>
    <w:rsid w:val="00187BEB"/>
    <w:rsid w:val="00191CFE"/>
    <w:rsid w:val="001928F5"/>
    <w:rsid w:val="001931E8"/>
    <w:rsid w:val="0019357B"/>
    <w:rsid w:val="00194232"/>
    <w:rsid w:val="00196866"/>
    <w:rsid w:val="0019788A"/>
    <w:rsid w:val="001A1422"/>
    <w:rsid w:val="001A3527"/>
    <w:rsid w:val="001A3A9A"/>
    <w:rsid w:val="001A4093"/>
    <w:rsid w:val="001A65BD"/>
    <w:rsid w:val="001A668D"/>
    <w:rsid w:val="001A7A15"/>
    <w:rsid w:val="001B19A0"/>
    <w:rsid w:val="001B1CA3"/>
    <w:rsid w:val="001B5BE8"/>
    <w:rsid w:val="001B7933"/>
    <w:rsid w:val="001C1F7B"/>
    <w:rsid w:val="001C346E"/>
    <w:rsid w:val="001C3717"/>
    <w:rsid w:val="001C3766"/>
    <w:rsid w:val="001C3A45"/>
    <w:rsid w:val="001C5CC5"/>
    <w:rsid w:val="001D3CAD"/>
    <w:rsid w:val="001D472E"/>
    <w:rsid w:val="001D4852"/>
    <w:rsid w:val="001D6C45"/>
    <w:rsid w:val="001D7C0B"/>
    <w:rsid w:val="001E0697"/>
    <w:rsid w:val="001E20EC"/>
    <w:rsid w:val="001E2591"/>
    <w:rsid w:val="001E3CAF"/>
    <w:rsid w:val="001E4055"/>
    <w:rsid w:val="001E56FF"/>
    <w:rsid w:val="001E6EF9"/>
    <w:rsid w:val="001E7173"/>
    <w:rsid w:val="001E74D0"/>
    <w:rsid w:val="001F1078"/>
    <w:rsid w:val="001F1D48"/>
    <w:rsid w:val="001F2739"/>
    <w:rsid w:val="001F27D4"/>
    <w:rsid w:val="001F44A7"/>
    <w:rsid w:val="001F4549"/>
    <w:rsid w:val="001F6F39"/>
    <w:rsid w:val="001F6FE8"/>
    <w:rsid w:val="00203681"/>
    <w:rsid w:val="00203BD2"/>
    <w:rsid w:val="00205E18"/>
    <w:rsid w:val="00205E89"/>
    <w:rsid w:val="00206B84"/>
    <w:rsid w:val="002106A6"/>
    <w:rsid w:val="002116A1"/>
    <w:rsid w:val="002126E2"/>
    <w:rsid w:val="002204CF"/>
    <w:rsid w:val="00220558"/>
    <w:rsid w:val="00221308"/>
    <w:rsid w:val="00222C97"/>
    <w:rsid w:val="00226D19"/>
    <w:rsid w:val="00227B70"/>
    <w:rsid w:val="00231FBD"/>
    <w:rsid w:val="0023212B"/>
    <w:rsid w:val="00234B20"/>
    <w:rsid w:val="00240716"/>
    <w:rsid w:val="00242E4A"/>
    <w:rsid w:val="00246ED4"/>
    <w:rsid w:val="002477A4"/>
    <w:rsid w:val="00247D45"/>
    <w:rsid w:val="00254106"/>
    <w:rsid w:val="00254AF8"/>
    <w:rsid w:val="0025696E"/>
    <w:rsid w:val="00262E18"/>
    <w:rsid w:val="0026455E"/>
    <w:rsid w:val="002665E5"/>
    <w:rsid w:val="0027078E"/>
    <w:rsid w:val="00272AED"/>
    <w:rsid w:val="00277646"/>
    <w:rsid w:val="00277A25"/>
    <w:rsid w:val="00281F3D"/>
    <w:rsid w:val="00282C25"/>
    <w:rsid w:val="00283C73"/>
    <w:rsid w:val="002847F2"/>
    <w:rsid w:val="00285003"/>
    <w:rsid w:val="00287DCC"/>
    <w:rsid w:val="00291CF1"/>
    <w:rsid w:val="00296082"/>
    <w:rsid w:val="002A143D"/>
    <w:rsid w:val="002A167C"/>
    <w:rsid w:val="002A493A"/>
    <w:rsid w:val="002A49B0"/>
    <w:rsid w:val="002A530A"/>
    <w:rsid w:val="002A61A4"/>
    <w:rsid w:val="002A69B0"/>
    <w:rsid w:val="002A6E3A"/>
    <w:rsid w:val="002B192E"/>
    <w:rsid w:val="002B7538"/>
    <w:rsid w:val="002B7922"/>
    <w:rsid w:val="002B7E1B"/>
    <w:rsid w:val="002C04DA"/>
    <w:rsid w:val="002C2529"/>
    <w:rsid w:val="002C43DF"/>
    <w:rsid w:val="002C523B"/>
    <w:rsid w:val="002C62B3"/>
    <w:rsid w:val="002C64AC"/>
    <w:rsid w:val="002C7620"/>
    <w:rsid w:val="002C78AF"/>
    <w:rsid w:val="002D0EF4"/>
    <w:rsid w:val="002D1A33"/>
    <w:rsid w:val="002D1A59"/>
    <w:rsid w:val="002D1D66"/>
    <w:rsid w:val="002D2A6E"/>
    <w:rsid w:val="002D3BD3"/>
    <w:rsid w:val="002D51B8"/>
    <w:rsid w:val="002D7115"/>
    <w:rsid w:val="002D73D7"/>
    <w:rsid w:val="002D7CF9"/>
    <w:rsid w:val="002E2593"/>
    <w:rsid w:val="002E2610"/>
    <w:rsid w:val="002E2B50"/>
    <w:rsid w:val="002E4B66"/>
    <w:rsid w:val="002F0286"/>
    <w:rsid w:val="002F0CE7"/>
    <w:rsid w:val="002F576E"/>
    <w:rsid w:val="002F5C6C"/>
    <w:rsid w:val="002F7CCE"/>
    <w:rsid w:val="002F7E40"/>
    <w:rsid w:val="003012DA"/>
    <w:rsid w:val="00301A73"/>
    <w:rsid w:val="003056FE"/>
    <w:rsid w:val="00307C5C"/>
    <w:rsid w:val="003105F2"/>
    <w:rsid w:val="003111AA"/>
    <w:rsid w:val="00312922"/>
    <w:rsid w:val="00313480"/>
    <w:rsid w:val="0031392D"/>
    <w:rsid w:val="003155BD"/>
    <w:rsid w:val="00315B25"/>
    <w:rsid w:val="00315E33"/>
    <w:rsid w:val="0032079C"/>
    <w:rsid w:val="00321DF9"/>
    <w:rsid w:val="00321E0A"/>
    <w:rsid w:val="00325F86"/>
    <w:rsid w:val="00326883"/>
    <w:rsid w:val="0033011E"/>
    <w:rsid w:val="00331553"/>
    <w:rsid w:val="00331FA7"/>
    <w:rsid w:val="00332E5D"/>
    <w:rsid w:val="00333506"/>
    <w:rsid w:val="00333EE4"/>
    <w:rsid w:val="00335B4C"/>
    <w:rsid w:val="00336371"/>
    <w:rsid w:val="00336F12"/>
    <w:rsid w:val="003410AA"/>
    <w:rsid w:val="00342F0D"/>
    <w:rsid w:val="00351503"/>
    <w:rsid w:val="003517EC"/>
    <w:rsid w:val="0035198B"/>
    <w:rsid w:val="00352A6B"/>
    <w:rsid w:val="00352EC1"/>
    <w:rsid w:val="003573B3"/>
    <w:rsid w:val="00362394"/>
    <w:rsid w:val="0036437C"/>
    <w:rsid w:val="00364CF3"/>
    <w:rsid w:val="003654BD"/>
    <w:rsid w:val="00365A66"/>
    <w:rsid w:val="00367EAB"/>
    <w:rsid w:val="00372573"/>
    <w:rsid w:val="003744DE"/>
    <w:rsid w:val="00376AED"/>
    <w:rsid w:val="00377AB2"/>
    <w:rsid w:val="003812E5"/>
    <w:rsid w:val="003814B3"/>
    <w:rsid w:val="00385F42"/>
    <w:rsid w:val="00391AAB"/>
    <w:rsid w:val="00391D29"/>
    <w:rsid w:val="0039201F"/>
    <w:rsid w:val="0039283B"/>
    <w:rsid w:val="003929D5"/>
    <w:rsid w:val="003935ED"/>
    <w:rsid w:val="00396EA4"/>
    <w:rsid w:val="003A167D"/>
    <w:rsid w:val="003A22B3"/>
    <w:rsid w:val="003A3363"/>
    <w:rsid w:val="003A36AA"/>
    <w:rsid w:val="003A3905"/>
    <w:rsid w:val="003A3CC1"/>
    <w:rsid w:val="003A5067"/>
    <w:rsid w:val="003A6635"/>
    <w:rsid w:val="003A6B0E"/>
    <w:rsid w:val="003B073D"/>
    <w:rsid w:val="003B2804"/>
    <w:rsid w:val="003B3DC0"/>
    <w:rsid w:val="003B5562"/>
    <w:rsid w:val="003B5DFE"/>
    <w:rsid w:val="003B737F"/>
    <w:rsid w:val="003C044E"/>
    <w:rsid w:val="003C179F"/>
    <w:rsid w:val="003C2450"/>
    <w:rsid w:val="003C3529"/>
    <w:rsid w:val="003C618B"/>
    <w:rsid w:val="003C7A42"/>
    <w:rsid w:val="003D1BEF"/>
    <w:rsid w:val="003D2C19"/>
    <w:rsid w:val="003D5CED"/>
    <w:rsid w:val="003E15A5"/>
    <w:rsid w:val="003E55B2"/>
    <w:rsid w:val="003E6BA0"/>
    <w:rsid w:val="003E73DB"/>
    <w:rsid w:val="003E7F07"/>
    <w:rsid w:val="003F0ECE"/>
    <w:rsid w:val="003F59E6"/>
    <w:rsid w:val="003F6C08"/>
    <w:rsid w:val="00400B7E"/>
    <w:rsid w:val="00403B4C"/>
    <w:rsid w:val="0040426D"/>
    <w:rsid w:val="004043B6"/>
    <w:rsid w:val="00404A4A"/>
    <w:rsid w:val="00410A38"/>
    <w:rsid w:val="004120B1"/>
    <w:rsid w:val="00413585"/>
    <w:rsid w:val="0041421D"/>
    <w:rsid w:val="00414A5C"/>
    <w:rsid w:val="004156B4"/>
    <w:rsid w:val="004157BB"/>
    <w:rsid w:val="0041697F"/>
    <w:rsid w:val="004176D9"/>
    <w:rsid w:val="004210B7"/>
    <w:rsid w:val="00421F66"/>
    <w:rsid w:val="004223AA"/>
    <w:rsid w:val="00423104"/>
    <w:rsid w:val="004267D3"/>
    <w:rsid w:val="00427BA8"/>
    <w:rsid w:val="00433B2E"/>
    <w:rsid w:val="00433E65"/>
    <w:rsid w:val="004374B2"/>
    <w:rsid w:val="00440A90"/>
    <w:rsid w:val="00442AB8"/>
    <w:rsid w:val="004436EA"/>
    <w:rsid w:val="004444D8"/>
    <w:rsid w:val="00450B39"/>
    <w:rsid w:val="00453AE5"/>
    <w:rsid w:val="00454498"/>
    <w:rsid w:val="00454F25"/>
    <w:rsid w:val="00456C59"/>
    <w:rsid w:val="0046494B"/>
    <w:rsid w:val="00466FC6"/>
    <w:rsid w:val="00470CC9"/>
    <w:rsid w:val="0047109F"/>
    <w:rsid w:val="00472C5A"/>
    <w:rsid w:val="00472CA4"/>
    <w:rsid w:val="00476034"/>
    <w:rsid w:val="0047749C"/>
    <w:rsid w:val="00480A4E"/>
    <w:rsid w:val="004829C1"/>
    <w:rsid w:val="0048408B"/>
    <w:rsid w:val="0048535D"/>
    <w:rsid w:val="00487F3A"/>
    <w:rsid w:val="00487FE4"/>
    <w:rsid w:val="00490198"/>
    <w:rsid w:val="00490A93"/>
    <w:rsid w:val="00490E28"/>
    <w:rsid w:val="00491020"/>
    <w:rsid w:val="00494435"/>
    <w:rsid w:val="00497362"/>
    <w:rsid w:val="00497E2A"/>
    <w:rsid w:val="004A04CC"/>
    <w:rsid w:val="004A0AE7"/>
    <w:rsid w:val="004A37A3"/>
    <w:rsid w:val="004A6062"/>
    <w:rsid w:val="004A770F"/>
    <w:rsid w:val="004B1AC6"/>
    <w:rsid w:val="004B1F38"/>
    <w:rsid w:val="004B2EF6"/>
    <w:rsid w:val="004C1697"/>
    <w:rsid w:val="004C1A03"/>
    <w:rsid w:val="004C3975"/>
    <w:rsid w:val="004C5EFB"/>
    <w:rsid w:val="004C665A"/>
    <w:rsid w:val="004D1936"/>
    <w:rsid w:val="004D310E"/>
    <w:rsid w:val="004D3484"/>
    <w:rsid w:val="004D37D8"/>
    <w:rsid w:val="004D4B81"/>
    <w:rsid w:val="004D5BD9"/>
    <w:rsid w:val="004D600A"/>
    <w:rsid w:val="004E0430"/>
    <w:rsid w:val="004E0BAB"/>
    <w:rsid w:val="004E2BF1"/>
    <w:rsid w:val="004E5F1B"/>
    <w:rsid w:val="004E6528"/>
    <w:rsid w:val="004F0471"/>
    <w:rsid w:val="004F1A05"/>
    <w:rsid w:val="004F270C"/>
    <w:rsid w:val="004F6683"/>
    <w:rsid w:val="004F6B2B"/>
    <w:rsid w:val="005005DF"/>
    <w:rsid w:val="00500B17"/>
    <w:rsid w:val="00505045"/>
    <w:rsid w:val="00511501"/>
    <w:rsid w:val="005132B2"/>
    <w:rsid w:val="005134AF"/>
    <w:rsid w:val="00514505"/>
    <w:rsid w:val="0051602E"/>
    <w:rsid w:val="0051640E"/>
    <w:rsid w:val="00516741"/>
    <w:rsid w:val="0051697E"/>
    <w:rsid w:val="005175A3"/>
    <w:rsid w:val="00520C15"/>
    <w:rsid w:val="00522E7B"/>
    <w:rsid w:val="00525719"/>
    <w:rsid w:val="00526868"/>
    <w:rsid w:val="00527ABC"/>
    <w:rsid w:val="005301B9"/>
    <w:rsid w:val="005303F3"/>
    <w:rsid w:val="0053094D"/>
    <w:rsid w:val="00531B88"/>
    <w:rsid w:val="00532E36"/>
    <w:rsid w:val="00532F99"/>
    <w:rsid w:val="005350F1"/>
    <w:rsid w:val="0054113F"/>
    <w:rsid w:val="005413A6"/>
    <w:rsid w:val="0054193D"/>
    <w:rsid w:val="005427B7"/>
    <w:rsid w:val="00542A8C"/>
    <w:rsid w:val="00542D59"/>
    <w:rsid w:val="005462A5"/>
    <w:rsid w:val="00552455"/>
    <w:rsid w:val="00552D86"/>
    <w:rsid w:val="0055503F"/>
    <w:rsid w:val="00557418"/>
    <w:rsid w:val="00560C03"/>
    <w:rsid w:val="00560D16"/>
    <w:rsid w:val="005624A6"/>
    <w:rsid w:val="005630AF"/>
    <w:rsid w:val="00564DEB"/>
    <w:rsid w:val="00566234"/>
    <w:rsid w:val="00567371"/>
    <w:rsid w:val="0057262B"/>
    <w:rsid w:val="00577721"/>
    <w:rsid w:val="00581A66"/>
    <w:rsid w:val="00582390"/>
    <w:rsid w:val="0058297B"/>
    <w:rsid w:val="00582A03"/>
    <w:rsid w:val="00582D80"/>
    <w:rsid w:val="00583BD6"/>
    <w:rsid w:val="00583BDB"/>
    <w:rsid w:val="00586B92"/>
    <w:rsid w:val="00586D6F"/>
    <w:rsid w:val="00596E88"/>
    <w:rsid w:val="005A0969"/>
    <w:rsid w:val="005A09B1"/>
    <w:rsid w:val="005A14EB"/>
    <w:rsid w:val="005A37FF"/>
    <w:rsid w:val="005A3A38"/>
    <w:rsid w:val="005A4B86"/>
    <w:rsid w:val="005A53F6"/>
    <w:rsid w:val="005B0DA7"/>
    <w:rsid w:val="005B0F9B"/>
    <w:rsid w:val="005B30C5"/>
    <w:rsid w:val="005B344F"/>
    <w:rsid w:val="005B7AAE"/>
    <w:rsid w:val="005C0482"/>
    <w:rsid w:val="005C0619"/>
    <w:rsid w:val="005C2111"/>
    <w:rsid w:val="005C2684"/>
    <w:rsid w:val="005C2DDC"/>
    <w:rsid w:val="005C5620"/>
    <w:rsid w:val="005C7AFF"/>
    <w:rsid w:val="005D055D"/>
    <w:rsid w:val="005D22F7"/>
    <w:rsid w:val="005D388D"/>
    <w:rsid w:val="005D41F9"/>
    <w:rsid w:val="005D48DB"/>
    <w:rsid w:val="005D4B1F"/>
    <w:rsid w:val="005E1297"/>
    <w:rsid w:val="005E201C"/>
    <w:rsid w:val="005E3387"/>
    <w:rsid w:val="005E4BEA"/>
    <w:rsid w:val="005E724B"/>
    <w:rsid w:val="005F105A"/>
    <w:rsid w:val="005F50DC"/>
    <w:rsid w:val="005F7CC6"/>
    <w:rsid w:val="00600353"/>
    <w:rsid w:val="006005FE"/>
    <w:rsid w:val="00602635"/>
    <w:rsid w:val="006027F9"/>
    <w:rsid w:val="00602EF7"/>
    <w:rsid w:val="00603292"/>
    <w:rsid w:val="00607B03"/>
    <w:rsid w:val="0061059D"/>
    <w:rsid w:val="00610954"/>
    <w:rsid w:val="00613F91"/>
    <w:rsid w:val="00614393"/>
    <w:rsid w:val="00614A4D"/>
    <w:rsid w:val="0062066C"/>
    <w:rsid w:val="00622EF3"/>
    <w:rsid w:val="00623567"/>
    <w:rsid w:val="00625F2E"/>
    <w:rsid w:val="00633F72"/>
    <w:rsid w:val="00636069"/>
    <w:rsid w:val="00636FFC"/>
    <w:rsid w:val="00637DF1"/>
    <w:rsid w:val="0064006A"/>
    <w:rsid w:val="006412B5"/>
    <w:rsid w:val="00641932"/>
    <w:rsid w:val="0064477C"/>
    <w:rsid w:val="00646842"/>
    <w:rsid w:val="00650903"/>
    <w:rsid w:val="00651441"/>
    <w:rsid w:val="00652966"/>
    <w:rsid w:val="00656743"/>
    <w:rsid w:val="00662399"/>
    <w:rsid w:val="00664688"/>
    <w:rsid w:val="006679C0"/>
    <w:rsid w:val="00673AB2"/>
    <w:rsid w:val="0068018A"/>
    <w:rsid w:val="006804DF"/>
    <w:rsid w:val="00680ED5"/>
    <w:rsid w:val="0068149E"/>
    <w:rsid w:val="00681608"/>
    <w:rsid w:val="00681956"/>
    <w:rsid w:val="00681B7A"/>
    <w:rsid w:val="00682893"/>
    <w:rsid w:val="00682FBA"/>
    <w:rsid w:val="00683370"/>
    <w:rsid w:val="00683AD9"/>
    <w:rsid w:val="00684E54"/>
    <w:rsid w:val="006865A8"/>
    <w:rsid w:val="006911BE"/>
    <w:rsid w:val="0069148C"/>
    <w:rsid w:val="00691C2E"/>
    <w:rsid w:val="006923C8"/>
    <w:rsid w:val="00693141"/>
    <w:rsid w:val="0069372F"/>
    <w:rsid w:val="00693F0E"/>
    <w:rsid w:val="00696AB4"/>
    <w:rsid w:val="006976BF"/>
    <w:rsid w:val="006A05D7"/>
    <w:rsid w:val="006A0C61"/>
    <w:rsid w:val="006A2472"/>
    <w:rsid w:val="006A4628"/>
    <w:rsid w:val="006A55F2"/>
    <w:rsid w:val="006A7D19"/>
    <w:rsid w:val="006B2D1B"/>
    <w:rsid w:val="006B3555"/>
    <w:rsid w:val="006B4213"/>
    <w:rsid w:val="006B44D0"/>
    <w:rsid w:val="006B4DF0"/>
    <w:rsid w:val="006B573F"/>
    <w:rsid w:val="006B7D6A"/>
    <w:rsid w:val="006C1013"/>
    <w:rsid w:val="006C2111"/>
    <w:rsid w:val="006C228B"/>
    <w:rsid w:val="006C2931"/>
    <w:rsid w:val="006C388D"/>
    <w:rsid w:val="006C4142"/>
    <w:rsid w:val="006C7FA2"/>
    <w:rsid w:val="006D0B3E"/>
    <w:rsid w:val="006D0E3B"/>
    <w:rsid w:val="006D1288"/>
    <w:rsid w:val="006D2345"/>
    <w:rsid w:val="006D2D33"/>
    <w:rsid w:val="006D466E"/>
    <w:rsid w:val="006D4B70"/>
    <w:rsid w:val="006D62B4"/>
    <w:rsid w:val="006D6848"/>
    <w:rsid w:val="006D6BF9"/>
    <w:rsid w:val="006E32D7"/>
    <w:rsid w:val="006E3B48"/>
    <w:rsid w:val="006E3E81"/>
    <w:rsid w:val="006E53C0"/>
    <w:rsid w:val="006E6184"/>
    <w:rsid w:val="006E64B4"/>
    <w:rsid w:val="006F03AA"/>
    <w:rsid w:val="006F096A"/>
    <w:rsid w:val="006F3095"/>
    <w:rsid w:val="006F3AC2"/>
    <w:rsid w:val="006F5455"/>
    <w:rsid w:val="006F5CB6"/>
    <w:rsid w:val="00701F54"/>
    <w:rsid w:val="00703194"/>
    <w:rsid w:val="0070472E"/>
    <w:rsid w:val="00704987"/>
    <w:rsid w:val="00706CD3"/>
    <w:rsid w:val="00706D54"/>
    <w:rsid w:val="0070737C"/>
    <w:rsid w:val="007100A1"/>
    <w:rsid w:val="007108E0"/>
    <w:rsid w:val="007110E9"/>
    <w:rsid w:val="00711229"/>
    <w:rsid w:val="00711AE6"/>
    <w:rsid w:val="00715018"/>
    <w:rsid w:val="007150FD"/>
    <w:rsid w:val="00715D38"/>
    <w:rsid w:val="00716645"/>
    <w:rsid w:val="00716D99"/>
    <w:rsid w:val="00717F25"/>
    <w:rsid w:val="007201B1"/>
    <w:rsid w:val="0072026D"/>
    <w:rsid w:val="0072371D"/>
    <w:rsid w:val="00724E14"/>
    <w:rsid w:val="00725AD5"/>
    <w:rsid w:val="00725D45"/>
    <w:rsid w:val="00726271"/>
    <w:rsid w:val="00726DB5"/>
    <w:rsid w:val="00726EB4"/>
    <w:rsid w:val="00726FF5"/>
    <w:rsid w:val="00731945"/>
    <w:rsid w:val="007325E7"/>
    <w:rsid w:val="0073698D"/>
    <w:rsid w:val="00736C0B"/>
    <w:rsid w:val="007452AE"/>
    <w:rsid w:val="00746531"/>
    <w:rsid w:val="00751725"/>
    <w:rsid w:val="0075316F"/>
    <w:rsid w:val="0075349C"/>
    <w:rsid w:val="0075450A"/>
    <w:rsid w:val="00755B01"/>
    <w:rsid w:val="00757E7E"/>
    <w:rsid w:val="0076017E"/>
    <w:rsid w:val="00760DB6"/>
    <w:rsid w:val="00761302"/>
    <w:rsid w:val="00762558"/>
    <w:rsid w:val="00763B9F"/>
    <w:rsid w:val="007661AE"/>
    <w:rsid w:val="00766A51"/>
    <w:rsid w:val="00772F1C"/>
    <w:rsid w:val="00774288"/>
    <w:rsid w:val="00775C1A"/>
    <w:rsid w:val="00775DE5"/>
    <w:rsid w:val="00777610"/>
    <w:rsid w:val="0077788E"/>
    <w:rsid w:val="007778F4"/>
    <w:rsid w:val="00782359"/>
    <w:rsid w:val="00782B32"/>
    <w:rsid w:val="00784439"/>
    <w:rsid w:val="00787E75"/>
    <w:rsid w:val="007921B7"/>
    <w:rsid w:val="00793420"/>
    <w:rsid w:val="007939DD"/>
    <w:rsid w:val="007A250A"/>
    <w:rsid w:val="007A3157"/>
    <w:rsid w:val="007A3F86"/>
    <w:rsid w:val="007A4E30"/>
    <w:rsid w:val="007A6E20"/>
    <w:rsid w:val="007B080D"/>
    <w:rsid w:val="007B0AB2"/>
    <w:rsid w:val="007B10ED"/>
    <w:rsid w:val="007B3BFC"/>
    <w:rsid w:val="007B3FBE"/>
    <w:rsid w:val="007B4B03"/>
    <w:rsid w:val="007B4FC0"/>
    <w:rsid w:val="007B5197"/>
    <w:rsid w:val="007C0A1E"/>
    <w:rsid w:val="007C1433"/>
    <w:rsid w:val="007C1916"/>
    <w:rsid w:val="007C22E1"/>
    <w:rsid w:val="007D14EE"/>
    <w:rsid w:val="007D20FF"/>
    <w:rsid w:val="007D5572"/>
    <w:rsid w:val="007D615D"/>
    <w:rsid w:val="007E02F1"/>
    <w:rsid w:val="007E0740"/>
    <w:rsid w:val="007E10C3"/>
    <w:rsid w:val="007E3547"/>
    <w:rsid w:val="007E5D3E"/>
    <w:rsid w:val="007F2BAD"/>
    <w:rsid w:val="007F4538"/>
    <w:rsid w:val="007F5245"/>
    <w:rsid w:val="00800FEB"/>
    <w:rsid w:val="00801723"/>
    <w:rsid w:val="00803053"/>
    <w:rsid w:val="00804357"/>
    <w:rsid w:val="00807AD8"/>
    <w:rsid w:val="00810C41"/>
    <w:rsid w:val="00813CFF"/>
    <w:rsid w:val="00813FC2"/>
    <w:rsid w:val="00814590"/>
    <w:rsid w:val="00814667"/>
    <w:rsid w:val="00814EAD"/>
    <w:rsid w:val="008156B7"/>
    <w:rsid w:val="00816464"/>
    <w:rsid w:val="00817D90"/>
    <w:rsid w:val="00821428"/>
    <w:rsid w:val="0082402C"/>
    <w:rsid w:val="00824D15"/>
    <w:rsid w:val="008262F1"/>
    <w:rsid w:val="00826C90"/>
    <w:rsid w:val="008311FA"/>
    <w:rsid w:val="008317EF"/>
    <w:rsid w:val="008325D4"/>
    <w:rsid w:val="00835C8E"/>
    <w:rsid w:val="00837090"/>
    <w:rsid w:val="00837A93"/>
    <w:rsid w:val="00844F11"/>
    <w:rsid w:val="00845BCC"/>
    <w:rsid w:val="00851465"/>
    <w:rsid w:val="00852ED8"/>
    <w:rsid w:val="0085426A"/>
    <w:rsid w:val="0085533A"/>
    <w:rsid w:val="00855543"/>
    <w:rsid w:val="00856F5F"/>
    <w:rsid w:val="0085738D"/>
    <w:rsid w:val="00857DC6"/>
    <w:rsid w:val="008605A8"/>
    <w:rsid w:val="00862395"/>
    <w:rsid w:val="0086474E"/>
    <w:rsid w:val="008669BA"/>
    <w:rsid w:val="008708D6"/>
    <w:rsid w:val="00872093"/>
    <w:rsid w:val="008760D0"/>
    <w:rsid w:val="008761A8"/>
    <w:rsid w:val="00876D3A"/>
    <w:rsid w:val="00881317"/>
    <w:rsid w:val="00882649"/>
    <w:rsid w:val="008843EE"/>
    <w:rsid w:val="0088568C"/>
    <w:rsid w:val="00896477"/>
    <w:rsid w:val="00896F5A"/>
    <w:rsid w:val="008974FE"/>
    <w:rsid w:val="008A2519"/>
    <w:rsid w:val="008A3184"/>
    <w:rsid w:val="008A3C37"/>
    <w:rsid w:val="008A458C"/>
    <w:rsid w:val="008A47F8"/>
    <w:rsid w:val="008A5B8A"/>
    <w:rsid w:val="008A5FB8"/>
    <w:rsid w:val="008A6E23"/>
    <w:rsid w:val="008A7527"/>
    <w:rsid w:val="008B1840"/>
    <w:rsid w:val="008B1C10"/>
    <w:rsid w:val="008B2F63"/>
    <w:rsid w:val="008B44F6"/>
    <w:rsid w:val="008B5985"/>
    <w:rsid w:val="008B66CE"/>
    <w:rsid w:val="008B6A2C"/>
    <w:rsid w:val="008B73A2"/>
    <w:rsid w:val="008C41F1"/>
    <w:rsid w:val="008C6A7B"/>
    <w:rsid w:val="008C7F5B"/>
    <w:rsid w:val="008D079A"/>
    <w:rsid w:val="008D5632"/>
    <w:rsid w:val="008D5B52"/>
    <w:rsid w:val="008E22D4"/>
    <w:rsid w:val="008E48FC"/>
    <w:rsid w:val="008F2350"/>
    <w:rsid w:val="008F2AD6"/>
    <w:rsid w:val="008F4BA8"/>
    <w:rsid w:val="008F55CC"/>
    <w:rsid w:val="008F5C07"/>
    <w:rsid w:val="008F63CA"/>
    <w:rsid w:val="008F696D"/>
    <w:rsid w:val="008F7ACE"/>
    <w:rsid w:val="00901740"/>
    <w:rsid w:val="00901CF5"/>
    <w:rsid w:val="00902097"/>
    <w:rsid w:val="009062A7"/>
    <w:rsid w:val="009065E7"/>
    <w:rsid w:val="00910EA9"/>
    <w:rsid w:val="00913276"/>
    <w:rsid w:val="009139F9"/>
    <w:rsid w:val="00913BFE"/>
    <w:rsid w:val="00917E53"/>
    <w:rsid w:val="0092152B"/>
    <w:rsid w:val="0092191A"/>
    <w:rsid w:val="009221DF"/>
    <w:rsid w:val="009224FD"/>
    <w:rsid w:val="00925023"/>
    <w:rsid w:val="00926CA7"/>
    <w:rsid w:val="009321DF"/>
    <w:rsid w:val="0093296C"/>
    <w:rsid w:val="0093509A"/>
    <w:rsid w:val="009353FC"/>
    <w:rsid w:val="00935450"/>
    <w:rsid w:val="00935CC7"/>
    <w:rsid w:val="00936DF9"/>
    <w:rsid w:val="0094002F"/>
    <w:rsid w:val="0094129D"/>
    <w:rsid w:val="009419E8"/>
    <w:rsid w:val="00941D34"/>
    <w:rsid w:val="0094444B"/>
    <w:rsid w:val="00944AF7"/>
    <w:rsid w:val="00945923"/>
    <w:rsid w:val="00946896"/>
    <w:rsid w:val="00946A91"/>
    <w:rsid w:val="00951031"/>
    <w:rsid w:val="00951BAD"/>
    <w:rsid w:val="00955B16"/>
    <w:rsid w:val="00956C81"/>
    <w:rsid w:val="00960EBA"/>
    <w:rsid w:val="00961AB4"/>
    <w:rsid w:val="00963957"/>
    <w:rsid w:val="00965ACC"/>
    <w:rsid w:val="0096611C"/>
    <w:rsid w:val="00967E4D"/>
    <w:rsid w:val="00970DDE"/>
    <w:rsid w:val="0097198A"/>
    <w:rsid w:val="00974AFD"/>
    <w:rsid w:val="00975B60"/>
    <w:rsid w:val="0097618C"/>
    <w:rsid w:val="00983D1C"/>
    <w:rsid w:val="00983DC2"/>
    <w:rsid w:val="00983DF0"/>
    <w:rsid w:val="00987BEA"/>
    <w:rsid w:val="0099279C"/>
    <w:rsid w:val="00994C10"/>
    <w:rsid w:val="009963DA"/>
    <w:rsid w:val="009A0446"/>
    <w:rsid w:val="009A062C"/>
    <w:rsid w:val="009A0913"/>
    <w:rsid w:val="009A0A54"/>
    <w:rsid w:val="009A48AF"/>
    <w:rsid w:val="009A522D"/>
    <w:rsid w:val="009B0D73"/>
    <w:rsid w:val="009B3A35"/>
    <w:rsid w:val="009B3BCE"/>
    <w:rsid w:val="009B3F77"/>
    <w:rsid w:val="009B5132"/>
    <w:rsid w:val="009B644D"/>
    <w:rsid w:val="009B76E5"/>
    <w:rsid w:val="009C0B4E"/>
    <w:rsid w:val="009C166A"/>
    <w:rsid w:val="009C4AE8"/>
    <w:rsid w:val="009C4C39"/>
    <w:rsid w:val="009C4E8F"/>
    <w:rsid w:val="009C6FFB"/>
    <w:rsid w:val="009C7EF5"/>
    <w:rsid w:val="009D2CF4"/>
    <w:rsid w:val="009D2FAC"/>
    <w:rsid w:val="009D62CF"/>
    <w:rsid w:val="009E10CC"/>
    <w:rsid w:val="009E11EC"/>
    <w:rsid w:val="009E1311"/>
    <w:rsid w:val="009E151E"/>
    <w:rsid w:val="009E3967"/>
    <w:rsid w:val="009E5DB6"/>
    <w:rsid w:val="009E733B"/>
    <w:rsid w:val="009E7462"/>
    <w:rsid w:val="009F7F52"/>
    <w:rsid w:val="00A00A4D"/>
    <w:rsid w:val="00A0202C"/>
    <w:rsid w:val="00A0227E"/>
    <w:rsid w:val="00A04C30"/>
    <w:rsid w:val="00A12800"/>
    <w:rsid w:val="00A14966"/>
    <w:rsid w:val="00A14A73"/>
    <w:rsid w:val="00A17CCB"/>
    <w:rsid w:val="00A20B31"/>
    <w:rsid w:val="00A23692"/>
    <w:rsid w:val="00A2422A"/>
    <w:rsid w:val="00A24361"/>
    <w:rsid w:val="00A24365"/>
    <w:rsid w:val="00A263D1"/>
    <w:rsid w:val="00A27700"/>
    <w:rsid w:val="00A303A1"/>
    <w:rsid w:val="00A3212A"/>
    <w:rsid w:val="00A3305E"/>
    <w:rsid w:val="00A4030E"/>
    <w:rsid w:val="00A4077B"/>
    <w:rsid w:val="00A407D3"/>
    <w:rsid w:val="00A42386"/>
    <w:rsid w:val="00A42D76"/>
    <w:rsid w:val="00A44699"/>
    <w:rsid w:val="00A469B9"/>
    <w:rsid w:val="00A50751"/>
    <w:rsid w:val="00A50E72"/>
    <w:rsid w:val="00A53189"/>
    <w:rsid w:val="00A54051"/>
    <w:rsid w:val="00A54BE7"/>
    <w:rsid w:val="00A564EB"/>
    <w:rsid w:val="00A57244"/>
    <w:rsid w:val="00A620C4"/>
    <w:rsid w:val="00A62AB7"/>
    <w:rsid w:val="00A631F9"/>
    <w:rsid w:val="00A64312"/>
    <w:rsid w:val="00A6500A"/>
    <w:rsid w:val="00A671D3"/>
    <w:rsid w:val="00A705E3"/>
    <w:rsid w:val="00A71016"/>
    <w:rsid w:val="00A739F1"/>
    <w:rsid w:val="00A745FF"/>
    <w:rsid w:val="00A7568A"/>
    <w:rsid w:val="00A8058F"/>
    <w:rsid w:val="00A81350"/>
    <w:rsid w:val="00A81DDF"/>
    <w:rsid w:val="00A81EC4"/>
    <w:rsid w:val="00A8478F"/>
    <w:rsid w:val="00A8580B"/>
    <w:rsid w:val="00A858C4"/>
    <w:rsid w:val="00A86328"/>
    <w:rsid w:val="00A92F0B"/>
    <w:rsid w:val="00A9341B"/>
    <w:rsid w:val="00A95106"/>
    <w:rsid w:val="00A974CA"/>
    <w:rsid w:val="00AA0CA6"/>
    <w:rsid w:val="00AA0DAE"/>
    <w:rsid w:val="00AA2CD5"/>
    <w:rsid w:val="00AA4E92"/>
    <w:rsid w:val="00AA4F6C"/>
    <w:rsid w:val="00AA5E2B"/>
    <w:rsid w:val="00AB16AE"/>
    <w:rsid w:val="00AB1889"/>
    <w:rsid w:val="00AB2011"/>
    <w:rsid w:val="00AB22D0"/>
    <w:rsid w:val="00AB4337"/>
    <w:rsid w:val="00AB4440"/>
    <w:rsid w:val="00AB468E"/>
    <w:rsid w:val="00AB5A64"/>
    <w:rsid w:val="00AB79E9"/>
    <w:rsid w:val="00AB7BB2"/>
    <w:rsid w:val="00AC1CD5"/>
    <w:rsid w:val="00AC276B"/>
    <w:rsid w:val="00AC355C"/>
    <w:rsid w:val="00AC6FC7"/>
    <w:rsid w:val="00AC6FFC"/>
    <w:rsid w:val="00AD04F4"/>
    <w:rsid w:val="00AD0CE6"/>
    <w:rsid w:val="00AD42CE"/>
    <w:rsid w:val="00AD44BD"/>
    <w:rsid w:val="00AD59CF"/>
    <w:rsid w:val="00AD670F"/>
    <w:rsid w:val="00AE1E54"/>
    <w:rsid w:val="00AE478A"/>
    <w:rsid w:val="00AE4B91"/>
    <w:rsid w:val="00AE7406"/>
    <w:rsid w:val="00AF0D99"/>
    <w:rsid w:val="00AF3412"/>
    <w:rsid w:val="00B00778"/>
    <w:rsid w:val="00B009FE"/>
    <w:rsid w:val="00B02FA3"/>
    <w:rsid w:val="00B04A99"/>
    <w:rsid w:val="00B04EAB"/>
    <w:rsid w:val="00B050C0"/>
    <w:rsid w:val="00B05642"/>
    <w:rsid w:val="00B06097"/>
    <w:rsid w:val="00B10514"/>
    <w:rsid w:val="00B10AC0"/>
    <w:rsid w:val="00B10CAE"/>
    <w:rsid w:val="00B12190"/>
    <w:rsid w:val="00B14635"/>
    <w:rsid w:val="00B1516B"/>
    <w:rsid w:val="00B153A3"/>
    <w:rsid w:val="00B171BB"/>
    <w:rsid w:val="00B2247A"/>
    <w:rsid w:val="00B2435D"/>
    <w:rsid w:val="00B3051C"/>
    <w:rsid w:val="00B33E91"/>
    <w:rsid w:val="00B36551"/>
    <w:rsid w:val="00B3669E"/>
    <w:rsid w:val="00B377A4"/>
    <w:rsid w:val="00B37EEF"/>
    <w:rsid w:val="00B40E38"/>
    <w:rsid w:val="00B41883"/>
    <w:rsid w:val="00B51ACE"/>
    <w:rsid w:val="00B55061"/>
    <w:rsid w:val="00B5526D"/>
    <w:rsid w:val="00B61AB8"/>
    <w:rsid w:val="00B623D7"/>
    <w:rsid w:val="00B627F2"/>
    <w:rsid w:val="00B66623"/>
    <w:rsid w:val="00B66E7A"/>
    <w:rsid w:val="00B67495"/>
    <w:rsid w:val="00B67720"/>
    <w:rsid w:val="00B72927"/>
    <w:rsid w:val="00B75477"/>
    <w:rsid w:val="00B80BD7"/>
    <w:rsid w:val="00B82205"/>
    <w:rsid w:val="00B84275"/>
    <w:rsid w:val="00B908B7"/>
    <w:rsid w:val="00B9206A"/>
    <w:rsid w:val="00B95B5F"/>
    <w:rsid w:val="00B96C09"/>
    <w:rsid w:val="00BA18BE"/>
    <w:rsid w:val="00BA1CFA"/>
    <w:rsid w:val="00BA1D21"/>
    <w:rsid w:val="00BA3066"/>
    <w:rsid w:val="00BA5100"/>
    <w:rsid w:val="00BA7603"/>
    <w:rsid w:val="00BA7DF0"/>
    <w:rsid w:val="00BB1D7B"/>
    <w:rsid w:val="00BB56E2"/>
    <w:rsid w:val="00BB6903"/>
    <w:rsid w:val="00BB7183"/>
    <w:rsid w:val="00BB76BA"/>
    <w:rsid w:val="00BB7A5C"/>
    <w:rsid w:val="00BC1A83"/>
    <w:rsid w:val="00BC2E80"/>
    <w:rsid w:val="00BC4A09"/>
    <w:rsid w:val="00BC4BF4"/>
    <w:rsid w:val="00BD2C8C"/>
    <w:rsid w:val="00BD6599"/>
    <w:rsid w:val="00BE042D"/>
    <w:rsid w:val="00BE0482"/>
    <w:rsid w:val="00BE219C"/>
    <w:rsid w:val="00BE349E"/>
    <w:rsid w:val="00BE4802"/>
    <w:rsid w:val="00BE7212"/>
    <w:rsid w:val="00BF0671"/>
    <w:rsid w:val="00BF331F"/>
    <w:rsid w:val="00BF5036"/>
    <w:rsid w:val="00BF52C9"/>
    <w:rsid w:val="00BF729B"/>
    <w:rsid w:val="00C00D7C"/>
    <w:rsid w:val="00C011BF"/>
    <w:rsid w:val="00C028B8"/>
    <w:rsid w:val="00C046A4"/>
    <w:rsid w:val="00C04AD3"/>
    <w:rsid w:val="00C05CC6"/>
    <w:rsid w:val="00C068C7"/>
    <w:rsid w:val="00C073C2"/>
    <w:rsid w:val="00C07AC7"/>
    <w:rsid w:val="00C07C52"/>
    <w:rsid w:val="00C07EFF"/>
    <w:rsid w:val="00C10395"/>
    <w:rsid w:val="00C1193E"/>
    <w:rsid w:val="00C14922"/>
    <w:rsid w:val="00C160F4"/>
    <w:rsid w:val="00C20F99"/>
    <w:rsid w:val="00C2120D"/>
    <w:rsid w:val="00C21B12"/>
    <w:rsid w:val="00C233E9"/>
    <w:rsid w:val="00C255D1"/>
    <w:rsid w:val="00C26A3D"/>
    <w:rsid w:val="00C26C5B"/>
    <w:rsid w:val="00C303B4"/>
    <w:rsid w:val="00C307BA"/>
    <w:rsid w:val="00C32960"/>
    <w:rsid w:val="00C33CE6"/>
    <w:rsid w:val="00C36FAF"/>
    <w:rsid w:val="00C406BC"/>
    <w:rsid w:val="00C40EBC"/>
    <w:rsid w:val="00C41FE1"/>
    <w:rsid w:val="00C4202E"/>
    <w:rsid w:val="00C42ACA"/>
    <w:rsid w:val="00C42BA5"/>
    <w:rsid w:val="00C42F2E"/>
    <w:rsid w:val="00C4349A"/>
    <w:rsid w:val="00C47261"/>
    <w:rsid w:val="00C51308"/>
    <w:rsid w:val="00C539F8"/>
    <w:rsid w:val="00C53A47"/>
    <w:rsid w:val="00C5540C"/>
    <w:rsid w:val="00C56C36"/>
    <w:rsid w:val="00C57BB9"/>
    <w:rsid w:val="00C61699"/>
    <w:rsid w:val="00C62B02"/>
    <w:rsid w:val="00C639E7"/>
    <w:rsid w:val="00C64908"/>
    <w:rsid w:val="00C64A88"/>
    <w:rsid w:val="00C666AC"/>
    <w:rsid w:val="00C705B5"/>
    <w:rsid w:val="00C7093C"/>
    <w:rsid w:val="00C7097F"/>
    <w:rsid w:val="00C73658"/>
    <w:rsid w:val="00C738BD"/>
    <w:rsid w:val="00C73F8A"/>
    <w:rsid w:val="00C75D40"/>
    <w:rsid w:val="00C80204"/>
    <w:rsid w:val="00C83627"/>
    <w:rsid w:val="00C8634F"/>
    <w:rsid w:val="00C876D9"/>
    <w:rsid w:val="00C90204"/>
    <w:rsid w:val="00C92AFE"/>
    <w:rsid w:val="00C95CB8"/>
    <w:rsid w:val="00C95D81"/>
    <w:rsid w:val="00C960AA"/>
    <w:rsid w:val="00C96384"/>
    <w:rsid w:val="00C96705"/>
    <w:rsid w:val="00C9684D"/>
    <w:rsid w:val="00CA121E"/>
    <w:rsid w:val="00CA45A2"/>
    <w:rsid w:val="00CA501D"/>
    <w:rsid w:val="00CA55C4"/>
    <w:rsid w:val="00CA59EC"/>
    <w:rsid w:val="00CB1789"/>
    <w:rsid w:val="00CB1CB2"/>
    <w:rsid w:val="00CB1EDE"/>
    <w:rsid w:val="00CB477A"/>
    <w:rsid w:val="00CB57C1"/>
    <w:rsid w:val="00CB76EE"/>
    <w:rsid w:val="00CB786F"/>
    <w:rsid w:val="00CC1727"/>
    <w:rsid w:val="00CC39B1"/>
    <w:rsid w:val="00CC47A6"/>
    <w:rsid w:val="00CD526B"/>
    <w:rsid w:val="00CD5B93"/>
    <w:rsid w:val="00CE57A8"/>
    <w:rsid w:val="00CE7B86"/>
    <w:rsid w:val="00CF0826"/>
    <w:rsid w:val="00CF0D8A"/>
    <w:rsid w:val="00CF1839"/>
    <w:rsid w:val="00CF20F1"/>
    <w:rsid w:val="00CF267F"/>
    <w:rsid w:val="00CF776B"/>
    <w:rsid w:val="00CF7DA0"/>
    <w:rsid w:val="00D01318"/>
    <w:rsid w:val="00D01F5E"/>
    <w:rsid w:val="00D0312C"/>
    <w:rsid w:val="00D04614"/>
    <w:rsid w:val="00D10092"/>
    <w:rsid w:val="00D12172"/>
    <w:rsid w:val="00D133BC"/>
    <w:rsid w:val="00D13ABF"/>
    <w:rsid w:val="00D13F30"/>
    <w:rsid w:val="00D17144"/>
    <w:rsid w:val="00D171EC"/>
    <w:rsid w:val="00D1723F"/>
    <w:rsid w:val="00D21ACA"/>
    <w:rsid w:val="00D26B64"/>
    <w:rsid w:val="00D271FA"/>
    <w:rsid w:val="00D30AA4"/>
    <w:rsid w:val="00D3225B"/>
    <w:rsid w:val="00D35894"/>
    <w:rsid w:val="00D36590"/>
    <w:rsid w:val="00D3674A"/>
    <w:rsid w:val="00D4085D"/>
    <w:rsid w:val="00D4437A"/>
    <w:rsid w:val="00D47742"/>
    <w:rsid w:val="00D51210"/>
    <w:rsid w:val="00D522D3"/>
    <w:rsid w:val="00D52914"/>
    <w:rsid w:val="00D55F5C"/>
    <w:rsid w:val="00D57190"/>
    <w:rsid w:val="00D57346"/>
    <w:rsid w:val="00D61911"/>
    <w:rsid w:val="00D63E84"/>
    <w:rsid w:val="00D664AA"/>
    <w:rsid w:val="00D6772E"/>
    <w:rsid w:val="00D677F9"/>
    <w:rsid w:val="00D71019"/>
    <w:rsid w:val="00D7319F"/>
    <w:rsid w:val="00D73591"/>
    <w:rsid w:val="00D76A97"/>
    <w:rsid w:val="00D802FC"/>
    <w:rsid w:val="00D83A59"/>
    <w:rsid w:val="00D840D1"/>
    <w:rsid w:val="00D84183"/>
    <w:rsid w:val="00D84D4C"/>
    <w:rsid w:val="00D8532B"/>
    <w:rsid w:val="00D9568A"/>
    <w:rsid w:val="00D96E82"/>
    <w:rsid w:val="00D973A5"/>
    <w:rsid w:val="00DA126A"/>
    <w:rsid w:val="00DA1D33"/>
    <w:rsid w:val="00DA1D99"/>
    <w:rsid w:val="00DA3AA7"/>
    <w:rsid w:val="00DA4F21"/>
    <w:rsid w:val="00DB1640"/>
    <w:rsid w:val="00DB1A97"/>
    <w:rsid w:val="00DB4DA8"/>
    <w:rsid w:val="00DB4FAC"/>
    <w:rsid w:val="00DB6E95"/>
    <w:rsid w:val="00DC30AD"/>
    <w:rsid w:val="00DC4018"/>
    <w:rsid w:val="00DC50E5"/>
    <w:rsid w:val="00DC5109"/>
    <w:rsid w:val="00DC635C"/>
    <w:rsid w:val="00DD0516"/>
    <w:rsid w:val="00DD0D43"/>
    <w:rsid w:val="00DD1898"/>
    <w:rsid w:val="00DD3281"/>
    <w:rsid w:val="00DD4E48"/>
    <w:rsid w:val="00DD57CD"/>
    <w:rsid w:val="00DE1ED0"/>
    <w:rsid w:val="00DE2B4D"/>
    <w:rsid w:val="00DE36EB"/>
    <w:rsid w:val="00DE4A6C"/>
    <w:rsid w:val="00DE4CFE"/>
    <w:rsid w:val="00DE5A0C"/>
    <w:rsid w:val="00DE64C1"/>
    <w:rsid w:val="00DE7480"/>
    <w:rsid w:val="00E0210E"/>
    <w:rsid w:val="00E0263C"/>
    <w:rsid w:val="00E11ACC"/>
    <w:rsid w:val="00E13217"/>
    <w:rsid w:val="00E15AEE"/>
    <w:rsid w:val="00E209BD"/>
    <w:rsid w:val="00E20D0A"/>
    <w:rsid w:val="00E21E55"/>
    <w:rsid w:val="00E220BC"/>
    <w:rsid w:val="00E23352"/>
    <w:rsid w:val="00E24621"/>
    <w:rsid w:val="00E30CD1"/>
    <w:rsid w:val="00E31062"/>
    <w:rsid w:val="00E314C0"/>
    <w:rsid w:val="00E31BCF"/>
    <w:rsid w:val="00E32E94"/>
    <w:rsid w:val="00E33938"/>
    <w:rsid w:val="00E33F03"/>
    <w:rsid w:val="00E34AFB"/>
    <w:rsid w:val="00E354D8"/>
    <w:rsid w:val="00E35E39"/>
    <w:rsid w:val="00E3658A"/>
    <w:rsid w:val="00E36625"/>
    <w:rsid w:val="00E3706A"/>
    <w:rsid w:val="00E3738B"/>
    <w:rsid w:val="00E37446"/>
    <w:rsid w:val="00E4099E"/>
    <w:rsid w:val="00E42085"/>
    <w:rsid w:val="00E426E0"/>
    <w:rsid w:val="00E44464"/>
    <w:rsid w:val="00E456AA"/>
    <w:rsid w:val="00E506BB"/>
    <w:rsid w:val="00E50963"/>
    <w:rsid w:val="00E51D1B"/>
    <w:rsid w:val="00E52A39"/>
    <w:rsid w:val="00E54197"/>
    <w:rsid w:val="00E548A2"/>
    <w:rsid w:val="00E55D2D"/>
    <w:rsid w:val="00E566FF"/>
    <w:rsid w:val="00E56C3D"/>
    <w:rsid w:val="00E576E8"/>
    <w:rsid w:val="00E579FF"/>
    <w:rsid w:val="00E60780"/>
    <w:rsid w:val="00E611DF"/>
    <w:rsid w:val="00E61294"/>
    <w:rsid w:val="00E64E26"/>
    <w:rsid w:val="00E65B8B"/>
    <w:rsid w:val="00E7195E"/>
    <w:rsid w:val="00E729F2"/>
    <w:rsid w:val="00E72F4A"/>
    <w:rsid w:val="00E73341"/>
    <w:rsid w:val="00E73FDA"/>
    <w:rsid w:val="00E749B7"/>
    <w:rsid w:val="00E77954"/>
    <w:rsid w:val="00E82115"/>
    <w:rsid w:val="00E82D60"/>
    <w:rsid w:val="00E83448"/>
    <w:rsid w:val="00E84E44"/>
    <w:rsid w:val="00E92C8A"/>
    <w:rsid w:val="00E9346D"/>
    <w:rsid w:val="00E95450"/>
    <w:rsid w:val="00E955FD"/>
    <w:rsid w:val="00E95DA3"/>
    <w:rsid w:val="00E968F6"/>
    <w:rsid w:val="00EA594C"/>
    <w:rsid w:val="00EA6359"/>
    <w:rsid w:val="00EA6C3F"/>
    <w:rsid w:val="00EB7EDA"/>
    <w:rsid w:val="00EC10EB"/>
    <w:rsid w:val="00EC5206"/>
    <w:rsid w:val="00EC56AD"/>
    <w:rsid w:val="00ED0175"/>
    <w:rsid w:val="00ED0AC8"/>
    <w:rsid w:val="00ED249A"/>
    <w:rsid w:val="00ED4036"/>
    <w:rsid w:val="00ED409F"/>
    <w:rsid w:val="00ED4471"/>
    <w:rsid w:val="00ED6043"/>
    <w:rsid w:val="00ED68D5"/>
    <w:rsid w:val="00ED7647"/>
    <w:rsid w:val="00EE2D31"/>
    <w:rsid w:val="00EE57AC"/>
    <w:rsid w:val="00EE6D9D"/>
    <w:rsid w:val="00EF2400"/>
    <w:rsid w:val="00EF2BD0"/>
    <w:rsid w:val="00EF49DF"/>
    <w:rsid w:val="00EF56A7"/>
    <w:rsid w:val="00EF5F43"/>
    <w:rsid w:val="00EF6486"/>
    <w:rsid w:val="00EF72D4"/>
    <w:rsid w:val="00F01019"/>
    <w:rsid w:val="00F015C3"/>
    <w:rsid w:val="00F068C3"/>
    <w:rsid w:val="00F11A23"/>
    <w:rsid w:val="00F12ACD"/>
    <w:rsid w:val="00F14BA1"/>
    <w:rsid w:val="00F16589"/>
    <w:rsid w:val="00F16654"/>
    <w:rsid w:val="00F16D53"/>
    <w:rsid w:val="00F173BE"/>
    <w:rsid w:val="00F2068C"/>
    <w:rsid w:val="00F21B9D"/>
    <w:rsid w:val="00F2400E"/>
    <w:rsid w:val="00F2540F"/>
    <w:rsid w:val="00F266B1"/>
    <w:rsid w:val="00F3245D"/>
    <w:rsid w:val="00F3326D"/>
    <w:rsid w:val="00F35C0D"/>
    <w:rsid w:val="00F404C2"/>
    <w:rsid w:val="00F4377A"/>
    <w:rsid w:val="00F46237"/>
    <w:rsid w:val="00F47765"/>
    <w:rsid w:val="00F47B60"/>
    <w:rsid w:val="00F53788"/>
    <w:rsid w:val="00F538AE"/>
    <w:rsid w:val="00F56568"/>
    <w:rsid w:val="00F6403E"/>
    <w:rsid w:val="00F65E00"/>
    <w:rsid w:val="00F66C0C"/>
    <w:rsid w:val="00F721D0"/>
    <w:rsid w:val="00F72F74"/>
    <w:rsid w:val="00F74B41"/>
    <w:rsid w:val="00F76C87"/>
    <w:rsid w:val="00F775CF"/>
    <w:rsid w:val="00F83D17"/>
    <w:rsid w:val="00F84503"/>
    <w:rsid w:val="00F863A7"/>
    <w:rsid w:val="00F87F60"/>
    <w:rsid w:val="00F90436"/>
    <w:rsid w:val="00F9063F"/>
    <w:rsid w:val="00F90838"/>
    <w:rsid w:val="00F910DB"/>
    <w:rsid w:val="00F9558B"/>
    <w:rsid w:val="00F95D26"/>
    <w:rsid w:val="00F96113"/>
    <w:rsid w:val="00F979C5"/>
    <w:rsid w:val="00FA0CBF"/>
    <w:rsid w:val="00FA0E45"/>
    <w:rsid w:val="00FA0FE4"/>
    <w:rsid w:val="00FA1227"/>
    <w:rsid w:val="00FA529E"/>
    <w:rsid w:val="00FA64FD"/>
    <w:rsid w:val="00FB2DD9"/>
    <w:rsid w:val="00FB4200"/>
    <w:rsid w:val="00FB5750"/>
    <w:rsid w:val="00FB576A"/>
    <w:rsid w:val="00FB6A2E"/>
    <w:rsid w:val="00FC1C7A"/>
    <w:rsid w:val="00FC664E"/>
    <w:rsid w:val="00FC76E1"/>
    <w:rsid w:val="00FD0985"/>
    <w:rsid w:val="00FD16D1"/>
    <w:rsid w:val="00FD4437"/>
    <w:rsid w:val="00FD6D43"/>
    <w:rsid w:val="00FE3214"/>
    <w:rsid w:val="00FE555C"/>
    <w:rsid w:val="00FF2C8B"/>
    <w:rsid w:val="00FF3CB9"/>
    <w:rsid w:val="00FF5758"/>
    <w:rsid w:val="00FF62FF"/>
    <w:rsid w:val="00FF678A"/>
    <w:rsid w:val="00FF7C37"/>
    <w:rsid w:val="00FF7C8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340BF4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"/>
      </w:numPr>
      <w:tabs>
        <w:tab w:val="clear" w:pos="360"/>
        <w:tab w:val="num" w:pos="3240"/>
        <w:tab w:val="num" w:pos="5103"/>
        <w:tab w:val="num" w:pos="5670"/>
        <w:tab w:val="num" w:pos="6480"/>
      </w:tabs>
      <w:spacing w:before="120" w:after="120"/>
      <w:ind w:left="5670" w:hanging="567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8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8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8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5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5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5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360"/>
        <w:tab w:val="num" w:pos="1418"/>
        <w:tab w:val="num" w:pos="1701"/>
      </w:tabs>
      <w:ind w:left="360" w:hanging="360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tabs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6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tabs>
        <w:tab w:val="num" w:pos="283"/>
        <w:tab w:val="num" w:pos="543"/>
      </w:tabs>
      <w:ind w:left="283" w:hanging="283"/>
    </w:pPr>
  </w:style>
  <w:style w:type="paragraph" w:customStyle="1" w:styleId="BoxDash">
    <w:name w:val="Box Dash"/>
    <w:basedOn w:val="Normal"/>
    <w:rsid w:val="000373D8"/>
    <w:pPr>
      <w:tabs>
        <w:tab w:val="num" w:pos="283"/>
        <w:tab w:val="num" w:pos="567"/>
        <w:tab w:val="num" w:pos="1086"/>
      </w:tabs>
      <w:ind w:left="567" w:hanging="284"/>
    </w:pPr>
  </w:style>
  <w:style w:type="paragraph" w:customStyle="1" w:styleId="BoxDoubleDot">
    <w:name w:val="Box Double Dot"/>
    <w:basedOn w:val="BoxTextBase"/>
    <w:rsid w:val="000373D8"/>
    <w:pPr>
      <w:tabs>
        <w:tab w:val="num" w:pos="283"/>
        <w:tab w:val="num" w:pos="850"/>
        <w:tab w:val="num" w:pos="1629"/>
      </w:tabs>
      <w:ind w:left="850" w:hanging="283"/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7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7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7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tabs>
        <w:tab w:val="num" w:pos="283"/>
        <w:tab w:val="num" w:pos="543"/>
      </w:tabs>
      <w:ind w:left="283" w:hanging="283"/>
    </w:pPr>
  </w:style>
  <w:style w:type="paragraph" w:customStyle="1" w:styleId="Romannumeral">
    <w:name w:val="Roman numeral"/>
    <w:basedOn w:val="Normal"/>
    <w:rsid w:val="000373D8"/>
    <w:pPr>
      <w:numPr>
        <w:numId w:val="10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1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9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tabs>
        <w:tab w:val="clear" w:pos="283"/>
        <w:tab w:val="clear" w:pos="567"/>
        <w:tab w:val="clear" w:pos="1134"/>
        <w:tab w:val="clear" w:pos="1701"/>
      </w:tabs>
      <w:ind w:left="1560" w:firstLine="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1"/>
      </w:numPr>
      <w:tabs>
        <w:tab w:val="num" w:pos="1086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numId w:val="0"/>
      </w:numPr>
      <w:tabs>
        <w:tab w:val="num" w:pos="283"/>
        <w:tab w:val="num" w:pos="567"/>
        <w:tab w:val="num" w:pos="1086"/>
        <w:tab w:val="num" w:pos="1134"/>
        <w:tab w:val="num" w:pos="2268"/>
        <w:tab w:val="num" w:pos="2574"/>
      </w:tabs>
      <w:ind w:left="2268" w:hanging="360"/>
    </w:pPr>
  </w:style>
  <w:style w:type="paragraph" w:customStyle="1" w:styleId="AgreementParties">
    <w:name w:val="AgreementParties"/>
    <w:rsid w:val="000373D8"/>
    <w:pPr>
      <w:tabs>
        <w:tab w:val="num" w:pos="283"/>
        <w:tab w:val="num" w:pos="567"/>
        <w:tab w:val="num" w:pos="1134"/>
        <w:tab w:val="num" w:pos="1701"/>
      </w:tabs>
      <w:spacing w:before="120" w:after="120"/>
      <w:ind w:left="567" w:hanging="567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2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3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4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4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4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4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4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4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4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paragraph" w:styleId="Revision">
    <w:name w:val="Revision"/>
    <w:hidden/>
    <w:uiPriority w:val="99"/>
    <w:semiHidden/>
    <w:rsid w:val="00B1516B"/>
    <w:rPr>
      <w:rFonts w:ascii="Corbel" w:hAnsi="Corbel"/>
      <w:color w:val="000000"/>
      <w:sz w:val="23"/>
    </w:rPr>
  </w:style>
  <w:style w:type="table" w:styleId="LightGrid-Accent1">
    <w:name w:val="Light Grid Accent 1"/>
    <w:basedOn w:val="TableNormal"/>
    <w:uiPriority w:val="62"/>
    <w:rsid w:val="00B377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3D8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0373D8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0373D8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0373D8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0373D8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0373D8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0373D8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0373D8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0373D8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0373D8"/>
    <w:pPr>
      <w:numPr>
        <w:ilvl w:val="8"/>
        <w:numId w:val="1"/>
      </w:numPr>
      <w:tabs>
        <w:tab w:val="clear" w:pos="360"/>
        <w:tab w:val="num" w:pos="3240"/>
        <w:tab w:val="num" w:pos="5103"/>
        <w:tab w:val="num" w:pos="5670"/>
        <w:tab w:val="num" w:pos="6480"/>
      </w:tabs>
      <w:spacing w:before="120" w:after="120"/>
      <w:ind w:left="5670" w:hanging="567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373D8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0373D8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0373D8"/>
    <w:rPr>
      <w:rFonts w:ascii="Calibri" w:hAnsi="Calibri" w:cs="Times New Roman"/>
      <w:b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0373D8"/>
    <w:rPr>
      <w:rFonts w:ascii="Calibri" w:hAnsi="Calibri" w:cs="Times New Roman"/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0373D8"/>
    <w:rPr>
      <w:rFonts w:ascii="Calibri" w:hAnsi="Calibri" w:cs="Times New Roman"/>
      <w:i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0373D8"/>
    <w:rPr>
      <w:rFonts w:ascii="Corbel" w:hAnsi="Corbel" w:cs="Arial"/>
      <w:color w:val="3D4B67"/>
      <w:sz w:val="22"/>
      <w:szCs w:val="22"/>
    </w:rPr>
  </w:style>
  <w:style w:type="paragraph" w:customStyle="1" w:styleId="SingleParagraph">
    <w:name w:val="Single Paragraph"/>
    <w:basedOn w:val="Normal"/>
    <w:rsid w:val="000373D8"/>
    <w:pPr>
      <w:spacing w:after="0"/>
    </w:pPr>
  </w:style>
  <w:style w:type="character" w:styleId="Hyperlink">
    <w:name w:val="Hyperlink"/>
    <w:basedOn w:val="DefaultParagraphFont"/>
    <w:uiPriority w:val="99"/>
    <w:rsid w:val="000373D8"/>
    <w:rPr>
      <w:rFonts w:cs="Times New Roman"/>
      <w:color w:val="auto"/>
      <w:u w:val="none"/>
    </w:rPr>
  </w:style>
  <w:style w:type="character" w:customStyle="1" w:styleId="BoldandItalic">
    <w:name w:val="Bold and Italic"/>
    <w:rsid w:val="000373D8"/>
    <w:rPr>
      <w:rFonts w:ascii="Corbel" w:hAnsi="Corbel"/>
      <w:b/>
      <w:i/>
    </w:rPr>
  </w:style>
  <w:style w:type="table" w:styleId="TableGrid">
    <w:name w:val="Table Grid"/>
    <w:basedOn w:val="TableNormal"/>
    <w:uiPriority w:val="59"/>
    <w:rsid w:val="000373D8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0373D8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0373D8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0373D8"/>
    <w:pPr>
      <w:numPr>
        <w:numId w:val="8"/>
      </w:numPr>
    </w:pPr>
  </w:style>
  <w:style w:type="paragraph" w:customStyle="1" w:styleId="Dash">
    <w:name w:val="Dash"/>
    <w:basedOn w:val="Normal"/>
    <w:rsid w:val="000373D8"/>
    <w:pPr>
      <w:numPr>
        <w:ilvl w:val="1"/>
        <w:numId w:val="8"/>
      </w:numPr>
    </w:pPr>
  </w:style>
  <w:style w:type="paragraph" w:customStyle="1" w:styleId="DoubleDot">
    <w:name w:val="Double Dot"/>
    <w:basedOn w:val="Normal"/>
    <w:rsid w:val="000373D8"/>
    <w:pPr>
      <w:numPr>
        <w:ilvl w:val="2"/>
        <w:numId w:val="8"/>
      </w:numPr>
    </w:pPr>
  </w:style>
  <w:style w:type="paragraph" w:customStyle="1" w:styleId="OutlineNumbered1">
    <w:name w:val="Outline Numbered 1"/>
    <w:basedOn w:val="Normal"/>
    <w:rsid w:val="000373D8"/>
    <w:pPr>
      <w:numPr>
        <w:numId w:val="5"/>
      </w:numPr>
    </w:pPr>
  </w:style>
  <w:style w:type="paragraph" w:customStyle="1" w:styleId="OutlineNumbered2">
    <w:name w:val="Outline Numbered 2"/>
    <w:basedOn w:val="Normal"/>
    <w:rsid w:val="000373D8"/>
    <w:pPr>
      <w:numPr>
        <w:ilvl w:val="1"/>
        <w:numId w:val="5"/>
      </w:numPr>
    </w:pPr>
  </w:style>
  <w:style w:type="paragraph" w:customStyle="1" w:styleId="OutlineNumbered3">
    <w:name w:val="Outline Numbered 3"/>
    <w:basedOn w:val="Normal"/>
    <w:rsid w:val="000373D8"/>
    <w:pPr>
      <w:numPr>
        <w:ilvl w:val="2"/>
        <w:numId w:val="5"/>
      </w:numPr>
    </w:pPr>
  </w:style>
  <w:style w:type="paragraph" w:customStyle="1" w:styleId="AlphaParagraph">
    <w:name w:val="Alpha Paragraph"/>
    <w:basedOn w:val="Normal"/>
    <w:link w:val="AlphaParagraphCharChar"/>
    <w:rsid w:val="000373D8"/>
    <w:pPr>
      <w:tabs>
        <w:tab w:val="num" w:pos="360"/>
        <w:tab w:val="num" w:pos="1418"/>
        <w:tab w:val="num" w:pos="1701"/>
      </w:tabs>
      <w:ind w:left="360" w:hanging="360"/>
    </w:pPr>
  </w:style>
  <w:style w:type="paragraph" w:customStyle="1" w:styleId="HeadingBase">
    <w:name w:val="Heading Base"/>
    <w:next w:val="Normal"/>
    <w:link w:val="HeadingBaseChar"/>
    <w:rsid w:val="000373D8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0373D8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0373D8"/>
    <w:rPr>
      <w:b/>
    </w:rPr>
  </w:style>
  <w:style w:type="paragraph" w:customStyle="1" w:styleId="BoxHeading">
    <w:name w:val="Box Heading"/>
    <w:basedOn w:val="HeadingBase"/>
    <w:next w:val="BoxText"/>
    <w:rsid w:val="000373D8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0373D8"/>
  </w:style>
  <w:style w:type="paragraph" w:customStyle="1" w:styleId="ChartandTableFootnoteAlpha">
    <w:name w:val="Chart and Table Footnote Alpha"/>
    <w:rsid w:val="000373D8"/>
    <w:pPr>
      <w:tabs>
        <w:tab w:val="num" w:pos="283"/>
        <w:tab w:val="num" w:pos="543"/>
      </w:tabs>
      <w:ind w:left="283" w:hanging="283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0373D8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0373D8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0373D8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0373D8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0373D8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0373D8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0373D8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0373D8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0373D8"/>
    <w:rPr>
      <w:color w:val="FFFFFF"/>
      <w:sz w:val="36"/>
    </w:rPr>
  </w:style>
  <w:style w:type="paragraph" w:customStyle="1" w:styleId="FooterCentered">
    <w:name w:val="Footer Centered"/>
    <w:basedOn w:val="Footer"/>
    <w:rsid w:val="000373D8"/>
    <w:pPr>
      <w:jc w:val="center"/>
    </w:pPr>
  </w:style>
  <w:style w:type="paragraph" w:customStyle="1" w:styleId="FooterEven">
    <w:name w:val="Footer Even"/>
    <w:basedOn w:val="Footer"/>
    <w:rsid w:val="000373D8"/>
    <w:pPr>
      <w:keepNext w:val="0"/>
    </w:pPr>
  </w:style>
  <w:style w:type="paragraph" w:customStyle="1" w:styleId="FooterOdd">
    <w:name w:val="Footer Odd"/>
    <w:basedOn w:val="Footer"/>
    <w:rsid w:val="000373D8"/>
    <w:pPr>
      <w:keepNext w:val="0"/>
      <w:jc w:val="right"/>
    </w:pPr>
  </w:style>
  <w:style w:type="character" w:customStyle="1" w:styleId="FramedFooter">
    <w:name w:val="Framed Footer"/>
    <w:rsid w:val="000373D8"/>
    <w:rPr>
      <w:rFonts w:ascii="Arial" w:hAnsi="Arial"/>
      <w:sz w:val="18"/>
    </w:rPr>
  </w:style>
  <w:style w:type="character" w:customStyle="1" w:styleId="FramedHeader">
    <w:name w:val="Framed Header"/>
    <w:rsid w:val="000373D8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0373D8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3D8"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0373D8"/>
    <w:pPr>
      <w:keepNext w:val="0"/>
    </w:pPr>
  </w:style>
  <w:style w:type="paragraph" w:customStyle="1" w:styleId="HeaderOdd">
    <w:name w:val="Header Odd"/>
    <w:basedOn w:val="Header"/>
    <w:rsid w:val="000373D8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0373D8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0373D8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0373D8"/>
    <w:rPr>
      <w:i/>
    </w:rPr>
  </w:style>
  <w:style w:type="paragraph" w:customStyle="1" w:styleId="RecommendationText">
    <w:name w:val="Recommendation Text"/>
    <w:basedOn w:val="RecommendationTextBase"/>
    <w:rsid w:val="000373D8"/>
  </w:style>
  <w:style w:type="paragraph" w:customStyle="1" w:styleId="TableTextBase">
    <w:name w:val="Table Text Base"/>
    <w:rsid w:val="000373D8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0373D8"/>
    <w:pPr>
      <w:jc w:val="center"/>
    </w:pPr>
  </w:style>
  <w:style w:type="paragraph" w:customStyle="1" w:styleId="TableColumnHeadingLeft">
    <w:name w:val="Table Column Heading Left"/>
    <w:basedOn w:val="TableColumnHeadingBase"/>
    <w:rsid w:val="000373D8"/>
  </w:style>
  <w:style w:type="paragraph" w:customStyle="1" w:styleId="TableColumnHeadingRight">
    <w:name w:val="Table Column Heading Right"/>
    <w:basedOn w:val="TableColumnHeadingBase"/>
    <w:rsid w:val="000373D8"/>
    <w:pPr>
      <w:jc w:val="right"/>
    </w:pPr>
  </w:style>
  <w:style w:type="paragraph" w:customStyle="1" w:styleId="TableGraphic">
    <w:name w:val="Table Graphic"/>
    <w:basedOn w:val="HeadingBase"/>
    <w:next w:val="Normal"/>
    <w:rsid w:val="000373D8"/>
  </w:style>
  <w:style w:type="paragraph" w:customStyle="1" w:styleId="TableMainHeading">
    <w:name w:val="Table Main Heading"/>
    <w:basedOn w:val="HeadingBase"/>
    <w:next w:val="TableGraphic"/>
    <w:rsid w:val="000373D8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0373D8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0373D8"/>
    <w:pPr>
      <w:spacing w:after="20"/>
    </w:pPr>
  </w:style>
  <w:style w:type="paragraph" w:customStyle="1" w:styleId="TableTextCentered">
    <w:name w:val="Table Text Centered"/>
    <w:basedOn w:val="TableTextBase"/>
    <w:rsid w:val="000373D8"/>
    <w:pPr>
      <w:jc w:val="center"/>
    </w:pPr>
  </w:style>
  <w:style w:type="paragraph" w:customStyle="1" w:styleId="TableTextIndented">
    <w:name w:val="Table Text Indented"/>
    <w:basedOn w:val="TableTextBase"/>
    <w:rsid w:val="000373D8"/>
    <w:pPr>
      <w:ind w:left="284"/>
    </w:pPr>
  </w:style>
  <w:style w:type="paragraph" w:customStyle="1" w:styleId="TableTextLeft">
    <w:name w:val="Table Text Left"/>
    <w:basedOn w:val="TableTextBase"/>
    <w:rsid w:val="000373D8"/>
  </w:style>
  <w:style w:type="paragraph" w:customStyle="1" w:styleId="TableTextRight">
    <w:name w:val="Table Text Right"/>
    <w:basedOn w:val="TableTextBase"/>
    <w:rsid w:val="000373D8"/>
    <w:pPr>
      <w:jc w:val="right"/>
    </w:pPr>
  </w:style>
  <w:style w:type="paragraph" w:styleId="TOC1">
    <w:name w:val="toc 1"/>
    <w:basedOn w:val="HeadingBase"/>
    <w:next w:val="Normal"/>
    <w:uiPriority w:val="39"/>
    <w:rsid w:val="000373D8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0373D8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0373D8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0373D8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0373D8"/>
    <w:rPr>
      <w:i/>
    </w:rPr>
  </w:style>
  <w:style w:type="paragraph" w:customStyle="1" w:styleId="OneLevelNumberedParagraph">
    <w:name w:val="One Level Numbered Paragraph"/>
    <w:basedOn w:val="Normal"/>
    <w:rsid w:val="000373D8"/>
    <w:pPr>
      <w:numPr>
        <w:numId w:val="6"/>
      </w:numPr>
    </w:pPr>
  </w:style>
  <w:style w:type="paragraph" w:customStyle="1" w:styleId="BoxText">
    <w:name w:val="Box Text"/>
    <w:basedOn w:val="BoxTextBase"/>
    <w:rsid w:val="000373D8"/>
  </w:style>
  <w:style w:type="paragraph" w:customStyle="1" w:styleId="BoxBullet">
    <w:name w:val="Box Bullet"/>
    <w:basedOn w:val="BoxTextBase"/>
    <w:rsid w:val="000373D8"/>
    <w:pPr>
      <w:tabs>
        <w:tab w:val="num" w:pos="283"/>
        <w:tab w:val="num" w:pos="543"/>
      </w:tabs>
      <w:ind w:left="283" w:hanging="283"/>
    </w:pPr>
  </w:style>
  <w:style w:type="paragraph" w:customStyle="1" w:styleId="BoxDash">
    <w:name w:val="Box Dash"/>
    <w:basedOn w:val="Normal"/>
    <w:rsid w:val="000373D8"/>
    <w:pPr>
      <w:tabs>
        <w:tab w:val="num" w:pos="283"/>
        <w:tab w:val="num" w:pos="567"/>
        <w:tab w:val="num" w:pos="1086"/>
      </w:tabs>
      <w:ind w:left="567" w:hanging="284"/>
    </w:pPr>
  </w:style>
  <w:style w:type="paragraph" w:customStyle="1" w:styleId="BoxDoubleDot">
    <w:name w:val="Box Double Dot"/>
    <w:basedOn w:val="BoxTextBase"/>
    <w:rsid w:val="000373D8"/>
    <w:pPr>
      <w:tabs>
        <w:tab w:val="num" w:pos="283"/>
        <w:tab w:val="num" w:pos="850"/>
        <w:tab w:val="num" w:pos="1629"/>
      </w:tabs>
      <w:ind w:left="850" w:hanging="283"/>
    </w:pPr>
  </w:style>
  <w:style w:type="paragraph" w:customStyle="1" w:styleId="RecommendationBullet">
    <w:name w:val="Recommendation Bullet"/>
    <w:basedOn w:val="RecommendationTextBase"/>
    <w:rsid w:val="000373D8"/>
    <w:pPr>
      <w:numPr>
        <w:numId w:val="7"/>
      </w:numPr>
    </w:pPr>
  </w:style>
  <w:style w:type="paragraph" w:customStyle="1" w:styleId="RecommendationDash">
    <w:name w:val="Recommendation Dash"/>
    <w:basedOn w:val="RecommendationTextBase"/>
    <w:rsid w:val="000373D8"/>
    <w:pPr>
      <w:numPr>
        <w:ilvl w:val="1"/>
        <w:numId w:val="7"/>
      </w:numPr>
    </w:pPr>
  </w:style>
  <w:style w:type="paragraph" w:customStyle="1" w:styleId="RecommendationDoubleDot">
    <w:name w:val="Recommendation Double Dot"/>
    <w:basedOn w:val="RecommendationTextBase"/>
    <w:rsid w:val="000373D8"/>
    <w:pPr>
      <w:numPr>
        <w:ilvl w:val="2"/>
        <w:numId w:val="7"/>
      </w:numPr>
    </w:pPr>
  </w:style>
  <w:style w:type="character" w:styleId="FollowedHyperlink">
    <w:name w:val="FollowedHyperlink"/>
    <w:basedOn w:val="DefaultParagraphFont"/>
    <w:uiPriority w:val="99"/>
    <w:rsid w:val="000373D8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0373D8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0373D8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0373D8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0373D8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037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037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0373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3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73D8"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73D8"/>
    <w:rPr>
      <w:rFonts w:ascii="Corbel" w:hAnsi="Corbel" w:cs="Times New Roman"/>
      <w:b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0373D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73D8"/>
    <w:rPr>
      <w:rFonts w:ascii="Tahoma" w:hAnsi="Tahoma" w:cs="Times New Roman"/>
      <w:color w:val="000000"/>
      <w:sz w:val="16"/>
    </w:rPr>
  </w:style>
  <w:style w:type="character" w:styleId="EndnoteReference">
    <w:name w:val="endnote reference"/>
    <w:basedOn w:val="DefaultParagraphFont"/>
    <w:uiPriority w:val="99"/>
    <w:semiHidden/>
    <w:rsid w:val="000373D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373D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373D8"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0373D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0373D8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0373D8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0373D8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0373D8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0373D8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0373D8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0373D8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0373D8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0373D8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0373D8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0373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373D8"/>
    <w:rPr>
      <w:rFonts w:ascii="Courier New" w:hAnsi="Courier New" w:cs="Times New Roman"/>
      <w:color w:val="000000"/>
      <w:lang w:val="en-AU" w:eastAsia="en-AU"/>
    </w:rPr>
  </w:style>
  <w:style w:type="paragraph" w:styleId="TableofAuthorities">
    <w:name w:val="table of authorities"/>
    <w:basedOn w:val="Normal"/>
    <w:next w:val="Normal"/>
    <w:uiPriority w:val="99"/>
    <w:rsid w:val="000373D8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0373D8"/>
  </w:style>
  <w:style w:type="paragraph" w:styleId="TOAHeading">
    <w:name w:val="toa heading"/>
    <w:basedOn w:val="Normal"/>
    <w:next w:val="Normal"/>
    <w:uiPriority w:val="99"/>
    <w:semiHidden/>
    <w:rsid w:val="000373D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0373D8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373D8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373D8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373D8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373D8"/>
    <w:pPr>
      <w:ind w:left="1600"/>
    </w:pPr>
  </w:style>
  <w:style w:type="paragraph" w:customStyle="1" w:styleId="Heading5NotNumbered">
    <w:name w:val="Heading 5 Not Numbered"/>
    <w:basedOn w:val="HeadingBase"/>
    <w:rsid w:val="000373D8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rsid w:val="000373D8"/>
    <w:pPr>
      <w:tabs>
        <w:tab w:val="num" w:pos="283"/>
        <w:tab w:val="num" w:pos="543"/>
      </w:tabs>
      <w:ind w:left="283" w:hanging="283"/>
    </w:pPr>
  </w:style>
  <w:style w:type="paragraph" w:customStyle="1" w:styleId="Romannumeral">
    <w:name w:val="Roman numeral"/>
    <w:basedOn w:val="Normal"/>
    <w:rsid w:val="000373D8"/>
    <w:pPr>
      <w:numPr>
        <w:numId w:val="10"/>
      </w:numPr>
    </w:pPr>
  </w:style>
  <w:style w:type="paragraph" w:customStyle="1" w:styleId="FileProperties">
    <w:name w:val="File Properties"/>
    <w:basedOn w:val="Normal"/>
    <w:rsid w:val="000373D8"/>
    <w:rPr>
      <w:i/>
      <w:color w:val="auto"/>
    </w:rPr>
  </w:style>
  <w:style w:type="paragraph" w:customStyle="1" w:styleId="StatesList">
    <w:name w:val="StatesList"/>
    <w:basedOn w:val="AgreementParties"/>
    <w:rsid w:val="000373D8"/>
  </w:style>
  <w:style w:type="paragraph" w:customStyle="1" w:styleId="Abstract">
    <w:name w:val="Abstract"/>
    <w:basedOn w:val="Normal"/>
    <w:rsid w:val="000373D8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0373D8"/>
    <w:pPr>
      <w:numPr>
        <w:numId w:val="11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0373D8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0373D8"/>
    <w:pPr>
      <w:numPr>
        <w:numId w:val="9"/>
      </w:numPr>
    </w:pPr>
    <w:rPr>
      <w:b/>
    </w:rPr>
  </w:style>
  <w:style w:type="paragraph" w:customStyle="1" w:styleId="ScheduleListSubHeading">
    <w:name w:val="ScheduleListSubHeading"/>
    <w:basedOn w:val="ScheduleList"/>
    <w:rsid w:val="000373D8"/>
    <w:pPr>
      <w:numPr>
        <w:ilvl w:val="1"/>
      </w:numPr>
      <w:tabs>
        <w:tab w:val="num" w:pos="567"/>
        <w:tab w:val="num" w:pos="2574"/>
      </w:tabs>
      <w:ind w:hanging="360"/>
    </w:pPr>
  </w:style>
  <w:style w:type="paragraph" w:customStyle="1" w:styleId="Signed">
    <w:name w:val="Signed"/>
    <w:basedOn w:val="Normal"/>
    <w:rsid w:val="000373D8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0373D8"/>
    <w:pPr>
      <w:tabs>
        <w:tab w:val="clear" w:pos="283"/>
        <w:tab w:val="clear" w:pos="567"/>
        <w:tab w:val="clear" w:pos="1134"/>
        <w:tab w:val="clear" w:pos="1701"/>
      </w:tabs>
      <w:ind w:left="1560" w:firstLine="0"/>
    </w:pPr>
  </w:style>
  <w:style w:type="character" w:styleId="PageNumber">
    <w:name w:val="page number"/>
    <w:basedOn w:val="DefaultParagraphFont"/>
    <w:uiPriority w:val="99"/>
    <w:rsid w:val="000373D8"/>
    <w:rPr>
      <w:rFonts w:cs="Times New Roman"/>
    </w:rPr>
  </w:style>
  <w:style w:type="paragraph" w:customStyle="1" w:styleId="CoverStatesList">
    <w:name w:val="CoverStatesList"/>
    <w:basedOn w:val="Normal"/>
    <w:rsid w:val="000373D8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0373D8"/>
    <w:pPr>
      <w:spacing w:after="120"/>
    </w:pPr>
    <w:rPr>
      <w:bCs/>
      <w:sz w:val="20"/>
    </w:rPr>
  </w:style>
  <w:style w:type="character" w:customStyle="1" w:styleId="SignedBold">
    <w:name w:val="SignedBold"/>
    <w:rsid w:val="000373D8"/>
    <w:rPr>
      <w:b/>
      <w:i/>
    </w:rPr>
  </w:style>
  <w:style w:type="paragraph" w:customStyle="1" w:styleId="LineForSignature">
    <w:name w:val="LineForSignature"/>
    <w:basedOn w:val="Normal"/>
    <w:rsid w:val="000373D8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0373D8"/>
    <w:pPr>
      <w:numPr>
        <w:ilvl w:val="1"/>
        <w:numId w:val="11"/>
      </w:numPr>
      <w:tabs>
        <w:tab w:val="num" w:pos="1086"/>
      </w:tabs>
    </w:pPr>
  </w:style>
  <w:style w:type="paragraph" w:customStyle="1" w:styleId="Heading1Red">
    <w:name w:val="Heading 1 Red"/>
    <w:basedOn w:val="Heading1"/>
    <w:rsid w:val="000373D8"/>
    <w:rPr>
      <w:color w:val="980033"/>
    </w:rPr>
  </w:style>
  <w:style w:type="paragraph" w:customStyle="1" w:styleId="Indentednumberpara">
    <w:name w:val="Indented number para"/>
    <w:basedOn w:val="Romannumeral"/>
    <w:rsid w:val="000373D8"/>
    <w:pPr>
      <w:numPr>
        <w:numId w:val="0"/>
      </w:numPr>
      <w:tabs>
        <w:tab w:val="num" w:pos="283"/>
        <w:tab w:val="num" w:pos="567"/>
        <w:tab w:val="num" w:pos="1086"/>
        <w:tab w:val="num" w:pos="1134"/>
        <w:tab w:val="num" w:pos="2268"/>
        <w:tab w:val="num" w:pos="2574"/>
      </w:tabs>
      <w:ind w:left="2268" w:hanging="360"/>
    </w:pPr>
  </w:style>
  <w:style w:type="paragraph" w:customStyle="1" w:styleId="AgreementParties">
    <w:name w:val="AgreementParties"/>
    <w:rsid w:val="000373D8"/>
    <w:pPr>
      <w:tabs>
        <w:tab w:val="num" w:pos="283"/>
        <w:tab w:val="num" w:pos="567"/>
        <w:tab w:val="num" w:pos="1134"/>
        <w:tab w:val="num" w:pos="1701"/>
      </w:tabs>
      <w:spacing w:before="120" w:after="120"/>
      <w:ind w:left="567" w:hanging="567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0373D8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0373D8"/>
    <w:rPr>
      <w:i/>
    </w:rPr>
  </w:style>
  <w:style w:type="paragraph" w:customStyle="1" w:styleId="HeaderEvenRed">
    <w:name w:val="Header Even Red"/>
    <w:basedOn w:val="HeaderEven"/>
    <w:rsid w:val="000373D8"/>
    <w:rPr>
      <w:color w:val="980033"/>
    </w:rPr>
  </w:style>
  <w:style w:type="paragraph" w:customStyle="1" w:styleId="HeaderOddRed">
    <w:name w:val="Header Odd Red"/>
    <w:basedOn w:val="HeaderOdd"/>
    <w:rsid w:val="000373D8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lang w:val="x-none"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link w:val="NumberedParagraphChar"/>
    <w:uiPriority w:val="99"/>
    <w:rsid w:val="004B1F38"/>
    <w:pPr>
      <w:numPr>
        <w:numId w:val="12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3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4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4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4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4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4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4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4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4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character" w:customStyle="1" w:styleId="NumberedParagraphChar">
    <w:name w:val="Numbered Paragraph Char"/>
    <w:link w:val="NumberedParagraph"/>
    <w:uiPriority w:val="99"/>
    <w:locked/>
    <w:rsid w:val="00E21E55"/>
    <w:rPr>
      <w:sz w:val="24"/>
    </w:rPr>
  </w:style>
  <w:style w:type="character" w:styleId="Strong">
    <w:name w:val="Strong"/>
    <w:basedOn w:val="DefaultParagraphFont"/>
    <w:uiPriority w:val="22"/>
    <w:qFormat/>
    <w:rsid w:val="00A620C4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unhideWhenUsed/>
    <w:rsid w:val="00706D54"/>
    <w:pPr>
      <w:spacing w:after="0" w:line="240" w:lineRule="auto"/>
      <w:jc w:val="left"/>
    </w:pPr>
    <w:rPr>
      <w:rFonts w:ascii="Consolas" w:hAnsi="Consolas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6D54"/>
    <w:rPr>
      <w:rFonts w:ascii="Consolas" w:hAnsi="Consolas" w:cs="Times New Roman"/>
      <w:sz w:val="21"/>
      <w:lang w:val="x-none" w:eastAsia="en-US"/>
    </w:rPr>
  </w:style>
  <w:style w:type="paragraph" w:styleId="Revision">
    <w:name w:val="Revision"/>
    <w:hidden/>
    <w:uiPriority w:val="99"/>
    <w:semiHidden/>
    <w:rsid w:val="00B1516B"/>
    <w:rPr>
      <w:rFonts w:ascii="Corbel" w:hAnsi="Corbel"/>
      <w:color w:val="000000"/>
      <w:sz w:val="23"/>
    </w:rPr>
  </w:style>
  <w:style w:type="table" w:styleId="LightGrid-Accent1">
    <w:name w:val="Light Grid Accent 1"/>
    <w:basedOn w:val="TableNormal"/>
    <w:uiPriority w:val="62"/>
    <w:rsid w:val="00B377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2020FG-64-73420</_dlc_DocId>
    <_dlc_DocIdUrl xmlns="0f563589-9cf9-4143-b1eb-fb0534803d38">
      <Url>http://tweb/sites/fg/csrd/_layouts/15/DocIdRedir.aspx?ID=2020FG-64-73420</Url>
      <Description>2020FG-64-73420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28185" ma:contentTypeDescription=" " ma:contentTypeScope="" ma:versionID="ac7d5cd72b7d3879eecaa77836518cd6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12B06175-F8EE-40E9-8205-CADFF7E37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CEAEB-31FB-4B17-9250-A660BD6DCBAB}">
  <ds:schemaRefs>
    <ds:schemaRef ds:uri="http://purl.org/dc/elements/1.1/"/>
    <ds:schemaRef ds:uri="http://purl.org/dc/dcmitype/"/>
    <ds:schemaRef ds:uri="http://schemas.microsoft.com/sharepoint/v4"/>
    <ds:schemaRef ds:uri="17f478ab-373e-4295-9ff0-9b833ad01319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6e19911-ba3e-4686-93c2-86a9c9769b53"/>
    <ds:schemaRef ds:uri="da7a9ac0-bc47-4684-84e6-3a8e9ac80c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1C51C08-75BF-4428-9D85-B48367AAB5C8}"/>
</file>

<file path=customXml/itemProps4.xml><?xml version="1.0" encoding="utf-8"?>
<ds:datastoreItem xmlns:ds="http://schemas.openxmlformats.org/officeDocument/2006/customXml" ds:itemID="{350A0475-03CE-425D-B6D5-CE7A429F96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6A7141-0E69-4C34-A73E-001623A48860}"/>
</file>

<file path=customXml/itemProps6.xml><?xml version="1.0" encoding="utf-8"?>
<ds:datastoreItem xmlns:ds="http://schemas.openxmlformats.org/officeDocument/2006/customXml" ds:itemID="{42F6355F-97B7-4A7A-9F7E-441B4498B843}"/>
</file>

<file path=customXml/itemProps7.xml><?xml version="1.0" encoding="utf-8"?>
<ds:datastoreItem xmlns:ds="http://schemas.openxmlformats.org/officeDocument/2006/customXml" ds:itemID="{AE4D6A82-FA35-43EC-B4FC-44C1FD8D37EB}"/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6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Partnership Agreement - Specified Projects - NSW Schedules</vt:lpstr>
    </vt:vector>
  </TitlesOfParts>
  <Company>Australian Government - The Treasury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Partnership Agreement - Specified Projects - NSW Schedules</dc:title>
  <dc:creator>Council of Australian Governments</dc:creator>
  <cp:lastModifiedBy>barton.hoyle</cp:lastModifiedBy>
  <cp:revision>3</cp:revision>
  <cp:lastPrinted>2018-01-08T02:21:00Z</cp:lastPrinted>
  <dcterms:created xsi:type="dcterms:W3CDTF">2018-01-08T02:18:00Z</dcterms:created>
  <dcterms:modified xsi:type="dcterms:W3CDTF">2018-01-08T02:24:00Z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RecordPoint_WorkflowType">
    <vt:lpwstr>ActiveSubmitStub</vt:lpwstr>
  </property>
  <property fmtid="{D5CDD505-2E9C-101B-9397-08002B2CF9AE}" pid="4" name="SecurityClassification">
    <vt:lpwstr>8;#Unclassified|130890fe-834f-4e13-bf5c-d9bccac902a4</vt:lpwstr>
  </property>
  <property fmtid="{D5CDD505-2E9C-101B-9397-08002B2CF9AE}" pid="5" name="TSYRecordClass">
    <vt:lpwstr>2;#TSY RA-8748 - Retain as national archives|243f2231-dbfc-4282-b24a-c9b768286bd0</vt:lpwstr>
  </property>
  <property fmtid="{D5CDD505-2E9C-101B-9397-08002B2CF9AE}" pid="6" name="_dlc_DocIdItemGuid">
    <vt:lpwstr>ffc90457-383b-4dc0-9e9c-47503f9e50da</vt:lpwstr>
  </property>
  <property fmtid="{D5CDD505-2E9C-101B-9397-08002B2CF9AE}" pid="7" name="RecordPoint_ActiveItemSiteId">
    <vt:lpwstr>{a3a280d1-e8f1-4ce7-94f0-aaa2322da0dd}</vt:lpwstr>
  </property>
  <property fmtid="{D5CDD505-2E9C-101B-9397-08002B2CF9AE}" pid="8" name="RecordPoint_ActiveItemListId">
    <vt:lpwstr>{4435c73b-6585-4bc2-a76a-5d21b1a02e06}</vt:lpwstr>
  </property>
  <property fmtid="{D5CDD505-2E9C-101B-9397-08002B2CF9AE}" pid="9" name="RecordPoint_ActiveItemUniqueId">
    <vt:lpwstr>{ffc90457-383b-4dc0-9e9c-47503f9e50da}</vt:lpwstr>
  </property>
  <property fmtid="{D5CDD505-2E9C-101B-9397-08002B2CF9AE}" pid="10" name="RecordPoint_ActiveItemWebId">
    <vt:lpwstr>{a4589788-615f-4b8b-8296-7f9f6dfbab44}</vt:lpwstr>
  </property>
  <property fmtid="{D5CDD505-2E9C-101B-9397-08002B2CF9AE}" pid="11" name="RecordPoint_RecordNumberSubmitted">
    <vt:lpwstr>R0002256637</vt:lpwstr>
  </property>
  <property fmtid="{D5CDD505-2E9C-101B-9397-08002B2CF9AE}" pid="12" name="RecordPoint_SubmissionCompleted">
    <vt:lpwstr>2020-04-24T12:40:58.3558643+10:00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AdHocReviewCycleID">
    <vt:i4>552946187</vt:i4>
  </property>
  <property fmtid="{D5CDD505-2E9C-101B-9397-08002B2CF9AE}" pid="17" name="_NewReviewCycle">
    <vt:lpwstr/>
  </property>
  <property fmtid="{D5CDD505-2E9C-101B-9397-08002B2CF9AE}" pid="18" name="_EmailSubject">
    <vt:lpwstr>Updated NPA text [SEC=UNCLASSIFIED]</vt:lpwstr>
  </property>
  <property fmtid="{D5CDD505-2E9C-101B-9397-08002B2CF9AE}" pid="19" name="_AuthorEmail">
    <vt:lpwstr>Charlotte.Grover-Johnson@treasury.gov.au</vt:lpwstr>
  </property>
  <property fmtid="{D5CDD505-2E9C-101B-9397-08002B2CF9AE}" pid="20" name="_AuthorEmailDisplayName">
    <vt:lpwstr>Grover-Johnson, Charlotte</vt:lpwstr>
  </property>
  <property fmtid="{D5CDD505-2E9C-101B-9397-08002B2CF9AE}" pid="21" name="_PreviousAdHocReviewCycleID">
    <vt:i4>358168160</vt:i4>
  </property>
  <property fmtid="{D5CDD505-2E9C-101B-9397-08002B2CF9AE}" pid="22" name="_ReviewingToolsShownOnce">
    <vt:lpwstr/>
  </property>
</Properties>
</file>