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942"/>
        <w:tblW w:w="5000" w:type="pct"/>
        <w:tblLook w:val="01E0" w:firstRow="1" w:lastRow="1" w:firstColumn="1" w:lastColumn="1" w:noHBand="0" w:noVBand="0"/>
      </w:tblPr>
      <w:tblGrid>
        <w:gridCol w:w="1525"/>
        <w:gridCol w:w="7807"/>
      </w:tblGrid>
      <w:tr w:rsidR="00520331" w14:paraId="0A2450C7" w14:textId="77777777" w:rsidTr="007F3428">
        <w:tc>
          <w:tcPr>
            <w:tcW w:w="817" w:type="pct"/>
          </w:tcPr>
          <w:p w14:paraId="0A2450C5" w14:textId="77777777" w:rsidR="00520331" w:rsidRPr="001E74D0" w:rsidRDefault="00520331" w:rsidP="00520331">
            <w:bookmarkStart w:id="0" w:name="_GoBack"/>
            <w:bookmarkEnd w:id="0"/>
          </w:p>
        </w:tc>
        <w:tc>
          <w:tcPr>
            <w:tcW w:w="4183" w:type="pct"/>
          </w:tcPr>
          <w:p w14:paraId="0A2450C6" w14:textId="77777777" w:rsidR="00520331" w:rsidRPr="00FC55E9" w:rsidRDefault="00520331" w:rsidP="00520331">
            <w:pPr>
              <w:pStyle w:val="AgreementParties"/>
              <w:numPr>
                <w:ilvl w:val="0"/>
                <w:numId w:val="0"/>
              </w:numPr>
              <w:ind w:left="49"/>
            </w:pPr>
          </w:p>
        </w:tc>
      </w:tr>
    </w:tbl>
    <w:p w14:paraId="0A2450C8" w14:textId="77777777" w:rsidR="00A21A05" w:rsidRPr="007F3428" w:rsidRDefault="00A21A05" w:rsidP="00A17D70">
      <w:pPr>
        <w:pStyle w:val="Title"/>
        <w:rPr>
          <w:rFonts w:ascii="Lato" w:hAnsi="Lato"/>
        </w:rPr>
      </w:pPr>
    </w:p>
    <w:p w14:paraId="0A2450C9" w14:textId="77777777" w:rsidR="0036688B" w:rsidRPr="007F3428" w:rsidRDefault="00D83863" w:rsidP="00A17D70">
      <w:pPr>
        <w:pStyle w:val="Title"/>
        <w:rPr>
          <w:rFonts w:ascii="Lato" w:hAnsi="Lato"/>
        </w:rPr>
      </w:pPr>
      <w:r w:rsidRPr="007F3428">
        <w:rPr>
          <w:rFonts w:ascii="Lato" w:hAnsi="Lato"/>
        </w:rPr>
        <w:t xml:space="preserve">Children and Schooling </w:t>
      </w:r>
      <w:r w:rsidR="0036688B" w:rsidRPr="007F3428">
        <w:rPr>
          <w:rFonts w:ascii="Lato" w:hAnsi="Lato"/>
        </w:rPr>
        <w:t xml:space="preserve">Implementation Plan </w:t>
      </w:r>
    </w:p>
    <w:p w14:paraId="0A2450CA" w14:textId="77777777" w:rsidR="00BB36CB" w:rsidRPr="007F3428" w:rsidRDefault="00B934F5" w:rsidP="00BB36CB">
      <w:pPr>
        <w:pStyle w:val="Subtitle"/>
        <w:rPr>
          <w:rFonts w:ascii="Lato" w:hAnsi="Lato"/>
          <w:sz w:val="22"/>
        </w:rPr>
      </w:pPr>
      <w:r w:rsidRPr="007F3428">
        <w:rPr>
          <w:rFonts w:ascii="Lato" w:hAnsi="Lato"/>
          <w:sz w:val="22"/>
        </w:rPr>
        <w:t xml:space="preserve">National Partnership </w:t>
      </w:r>
      <w:r w:rsidR="0036688B" w:rsidRPr="007F3428">
        <w:rPr>
          <w:rFonts w:ascii="Lato" w:hAnsi="Lato"/>
          <w:sz w:val="22"/>
        </w:rPr>
        <w:t>on</w:t>
      </w:r>
      <w:r w:rsidR="0036688B" w:rsidRPr="007F3428">
        <w:rPr>
          <w:rFonts w:ascii="Lato" w:hAnsi="Lato"/>
          <w:sz w:val="22"/>
        </w:rPr>
        <w:br/>
      </w:r>
      <w:r w:rsidR="00D83863" w:rsidRPr="007F3428">
        <w:rPr>
          <w:rFonts w:ascii="Lato" w:hAnsi="Lato"/>
          <w:sz w:val="22"/>
        </w:rPr>
        <w:t>NORTHERN TERRITORY REMOTE ABORIGINAL INVESTMENT</w:t>
      </w:r>
    </w:p>
    <w:p w14:paraId="0A2450CB" w14:textId="77777777" w:rsidR="00BB36CB" w:rsidRPr="007F3428" w:rsidRDefault="0036688B" w:rsidP="00BB36CB">
      <w:pPr>
        <w:pStyle w:val="Subtitle"/>
        <w:rPr>
          <w:rFonts w:ascii="Lato" w:hAnsi="Lato"/>
          <w:b w:val="0"/>
          <w:color w:val="3D4B67"/>
          <w:spacing w:val="0"/>
          <w:kern w:val="32"/>
          <w:sz w:val="32"/>
        </w:rPr>
      </w:pPr>
      <w:r w:rsidRPr="007F3428">
        <w:rPr>
          <w:rFonts w:ascii="Lato" w:hAnsi="Lato"/>
          <w:b w:val="0"/>
          <w:color w:val="3D4B67"/>
          <w:spacing w:val="0"/>
          <w:kern w:val="32"/>
          <w:sz w:val="32"/>
        </w:rPr>
        <w:t>Part 1: Preliminaries</w:t>
      </w:r>
    </w:p>
    <w:p w14:paraId="0A2450CC"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 xml:space="preserve">This Implementation Plan sits under the National Partnership on Northern Territory Remote Aboriginal Investment </w:t>
      </w:r>
      <w:r w:rsidR="00A02BD1">
        <w:rPr>
          <w:rFonts w:ascii="Lato" w:hAnsi="Lato"/>
          <w:b w:val="0"/>
          <w:caps w:val="0"/>
          <w:color w:val="000000" w:themeColor="text1"/>
          <w:spacing w:val="0"/>
          <w:sz w:val="22"/>
        </w:rPr>
        <w:t xml:space="preserve">(the Agreement) </w:t>
      </w:r>
      <w:r w:rsidRPr="007F3428">
        <w:rPr>
          <w:rFonts w:ascii="Lato" w:hAnsi="Lato"/>
          <w:b w:val="0"/>
          <w:caps w:val="0"/>
          <w:color w:val="000000" w:themeColor="text1"/>
          <w:spacing w:val="0"/>
          <w:sz w:val="22"/>
        </w:rPr>
        <w:t>and should be read in conjunction with that Agreement. This Implementation Plan will support the achievement of the objectives of the Agreement to improve schooling for Aboriginal children.</w:t>
      </w:r>
    </w:p>
    <w:p w14:paraId="0A2450CD"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This Implementation Plan will contribute to the achievement of outcomes under the Agreement by improving the school readiness, attendance, attainment, engagement and educational achievement of Aboriginal students from remote or very remote areas in the Northern Territory.</w:t>
      </w:r>
    </w:p>
    <w:p w14:paraId="0A2450CE"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The Council of Australian Governments (COAG) and the COAG Education Council have agreed to improve Indigenous school attendance outcomes by 2018</w:t>
      </w:r>
      <w:r w:rsidR="000263CE" w:rsidRPr="007F3428">
        <w:rPr>
          <w:rFonts w:ascii="Lato" w:hAnsi="Lato"/>
          <w:b w:val="0"/>
          <w:caps w:val="0"/>
          <w:color w:val="000000" w:themeColor="text1"/>
          <w:spacing w:val="0"/>
          <w:sz w:val="22"/>
        </w:rPr>
        <w:t>,</w:t>
      </w:r>
      <w:r w:rsidRPr="007F3428">
        <w:rPr>
          <w:rFonts w:ascii="Lato" w:hAnsi="Lato"/>
          <w:b w:val="0"/>
          <w:caps w:val="0"/>
          <w:color w:val="000000" w:themeColor="text1"/>
          <w:spacing w:val="0"/>
          <w:sz w:val="22"/>
        </w:rPr>
        <w:t xml:space="preserve"> halve the gap in literacy and numeracy achievement by 2018 and halve the gap in Year 12 or equivalent attainment by 2020.</w:t>
      </w:r>
    </w:p>
    <w:p w14:paraId="0A2450CF"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 xml:space="preserve">The Northern Territory is committed to achieving the COAG benchmark of 90 </w:t>
      </w:r>
      <w:r w:rsidR="00F92208" w:rsidRPr="007F3428">
        <w:rPr>
          <w:rFonts w:ascii="Lato" w:hAnsi="Lato"/>
          <w:b w:val="0"/>
          <w:caps w:val="0"/>
          <w:color w:val="000000" w:themeColor="text1"/>
          <w:spacing w:val="0"/>
          <w:sz w:val="22"/>
        </w:rPr>
        <w:t>per</w:t>
      </w:r>
      <w:r w:rsidR="00F92208" w:rsidRPr="00535722">
        <w:rPr>
          <w:rFonts w:ascii="Lato" w:hAnsi="Lato" w:cs="Times New Roman"/>
          <w:b w:val="0"/>
          <w:bCs w:val="0"/>
          <w:caps w:val="0"/>
          <w:color w:val="000000" w:themeColor="text1"/>
          <w:spacing w:val="0"/>
          <w:sz w:val="22"/>
          <w:szCs w:val="22"/>
          <w:lang w:eastAsia="en-AU"/>
        </w:rPr>
        <w:t> </w:t>
      </w:r>
      <w:r w:rsidRPr="007F3428">
        <w:rPr>
          <w:rFonts w:ascii="Lato" w:hAnsi="Lato"/>
          <w:b w:val="0"/>
          <w:caps w:val="0"/>
          <w:color w:val="000000" w:themeColor="text1"/>
          <w:spacing w:val="0"/>
          <w:sz w:val="22"/>
        </w:rPr>
        <w:t>cent attendance for Indigenous students and recognises the importance of engaging and retaining students in education, particularly in early childhood and the primary years, to establish strong patterns of attendance and contribute to improvements in literacy and numeracy outcomes and Year 12 or equivalent completions. The activities under this Implementation Plan are part of a larger series of approaches by both Parties that contribute to the achievement of the agreed COAG targets.</w:t>
      </w:r>
    </w:p>
    <w:p w14:paraId="0A2450D0"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Th</w:t>
      </w:r>
      <w:r w:rsidR="002F3761">
        <w:rPr>
          <w:rFonts w:ascii="Lato" w:hAnsi="Lato"/>
          <w:b w:val="0"/>
          <w:caps w:val="0"/>
          <w:color w:val="000000" w:themeColor="text1"/>
          <w:spacing w:val="0"/>
          <w:sz w:val="22"/>
        </w:rPr>
        <w:t>is</w:t>
      </w:r>
      <w:r w:rsidRPr="007F3428">
        <w:rPr>
          <w:rFonts w:ascii="Lato" w:hAnsi="Lato"/>
          <w:b w:val="0"/>
          <w:caps w:val="0"/>
          <w:color w:val="000000" w:themeColor="text1"/>
          <w:spacing w:val="0"/>
          <w:sz w:val="22"/>
        </w:rPr>
        <w:t xml:space="preserve"> Implementation Plan will support increased local </w:t>
      </w:r>
      <w:r w:rsidR="00EE09D8">
        <w:rPr>
          <w:rFonts w:ascii="Lato" w:hAnsi="Lato"/>
          <w:b w:val="0"/>
          <w:caps w:val="0"/>
          <w:color w:val="000000" w:themeColor="text1"/>
          <w:spacing w:val="0"/>
          <w:sz w:val="22"/>
        </w:rPr>
        <w:t>Aboriginal</w:t>
      </w:r>
      <w:r w:rsidR="00EE09D8" w:rsidRPr="007F3428">
        <w:rPr>
          <w:rFonts w:ascii="Lato" w:hAnsi="Lato"/>
          <w:b w:val="0"/>
          <w:caps w:val="0"/>
          <w:color w:val="000000" w:themeColor="text1"/>
          <w:spacing w:val="0"/>
          <w:sz w:val="22"/>
        </w:rPr>
        <w:t xml:space="preserve"> </w:t>
      </w:r>
      <w:r w:rsidRPr="007F3428">
        <w:rPr>
          <w:rFonts w:ascii="Lato" w:hAnsi="Lato"/>
          <w:b w:val="0"/>
          <w:caps w:val="0"/>
          <w:color w:val="000000" w:themeColor="text1"/>
          <w:spacing w:val="0"/>
          <w:sz w:val="22"/>
        </w:rPr>
        <w:t xml:space="preserve">employment, </w:t>
      </w:r>
      <w:proofErr w:type="spellStart"/>
      <w:r w:rsidRPr="007F3428">
        <w:rPr>
          <w:rFonts w:ascii="Lato" w:hAnsi="Lato"/>
          <w:b w:val="0"/>
          <w:caps w:val="0"/>
          <w:color w:val="000000" w:themeColor="text1"/>
          <w:spacing w:val="0"/>
          <w:sz w:val="22"/>
        </w:rPr>
        <w:t>professionalisation</w:t>
      </w:r>
      <w:proofErr w:type="spellEnd"/>
      <w:r w:rsidRPr="007F3428">
        <w:rPr>
          <w:rFonts w:ascii="Lato" w:hAnsi="Lato"/>
          <w:b w:val="0"/>
          <w:caps w:val="0"/>
          <w:color w:val="000000" w:themeColor="text1"/>
          <w:spacing w:val="0"/>
          <w:sz w:val="22"/>
        </w:rPr>
        <w:t xml:space="preserve"> and career development in the delivery of government funded services. The goal of increasing local </w:t>
      </w:r>
      <w:r w:rsidR="00EE09D8">
        <w:rPr>
          <w:rFonts w:ascii="Lato" w:hAnsi="Lato"/>
          <w:b w:val="0"/>
          <w:caps w:val="0"/>
          <w:color w:val="000000" w:themeColor="text1"/>
          <w:spacing w:val="0"/>
          <w:sz w:val="22"/>
        </w:rPr>
        <w:t>Aboriginal</w:t>
      </w:r>
      <w:r w:rsidR="00EE09D8" w:rsidRPr="007F3428">
        <w:rPr>
          <w:rFonts w:ascii="Lato" w:hAnsi="Lato"/>
          <w:b w:val="0"/>
          <w:caps w:val="0"/>
          <w:color w:val="000000" w:themeColor="text1"/>
          <w:spacing w:val="0"/>
          <w:sz w:val="22"/>
        </w:rPr>
        <w:t xml:space="preserve"> </w:t>
      </w:r>
      <w:r w:rsidRPr="007F3428">
        <w:rPr>
          <w:rFonts w:ascii="Lato" w:hAnsi="Lato"/>
          <w:b w:val="0"/>
          <w:caps w:val="0"/>
          <w:color w:val="000000" w:themeColor="text1"/>
          <w:spacing w:val="0"/>
          <w:sz w:val="22"/>
        </w:rPr>
        <w:t xml:space="preserve">employment needs to be undertaken in the context of improving </w:t>
      </w:r>
      <w:r w:rsidR="00EE09D8">
        <w:rPr>
          <w:rFonts w:ascii="Lato" w:hAnsi="Lato"/>
          <w:b w:val="0"/>
          <w:caps w:val="0"/>
          <w:color w:val="000000" w:themeColor="text1"/>
          <w:spacing w:val="0"/>
          <w:sz w:val="22"/>
        </w:rPr>
        <w:t>Aboriginal</w:t>
      </w:r>
      <w:r w:rsidR="00EE09D8" w:rsidRPr="007F3428">
        <w:rPr>
          <w:rFonts w:ascii="Lato" w:hAnsi="Lato"/>
          <w:b w:val="0"/>
          <w:caps w:val="0"/>
          <w:color w:val="000000" w:themeColor="text1"/>
          <w:spacing w:val="0"/>
          <w:sz w:val="22"/>
        </w:rPr>
        <w:t xml:space="preserve"> </w:t>
      </w:r>
      <w:r w:rsidRPr="007F3428">
        <w:rPr>
          <w:rFonts w:ascii="Lato" w:hAnsi="Lato"/>
          <w:b w:val="0"/>
          <w:caps w:val="0"/>
          <w:color w:val="000000" w:themeColor="text1"/>
          <w:spacing w:val="0"/>
          <w:sz w:val="22"/>
        </w:rPr>
        <w:t>student outcomes as the first priority of this Implementation Plan.</w:t>
      </w:r>
    </w:p>
    <w:p w14:paraId="0A2450D1" w14:textId="77777777" w:rsidR="00BB36CB" w:rsidRPr="007F3428" w:rsidRDefault="00BB36CB" w:rsidP="00BD09BB">
      <w:pPr>
        <w:pStyle w:val="Subtitle"/>
        <w:numPr>
          <w:ilvl w:val="0"/>
          <w:numId w:val="16"/>
        </w:numPr>
        <w:spacing w:after="240" w:line="260" w:lineRule="exact"/>
        <w:ind w:left="714" w:hanging="357"/>
        <w:rPr>
          <w:rFonts w:ascii="Lato" w:hAnsi="Lato"/>
          <w:b w:val="0"/>
          <w:caps w:val="0"/>
          <w:color w:val="000000" w:themeColor="text1"/>
          <w:spacing w:val="0"/>
          <w:sz w:val="22"/>
        </w:rPr>
      </w:pPr>
      <w:r w:rsidRPr="007F3428">
        <w:rPr>
          <w:rFonts w:ascii="Lato" w:hAnsi="Lato"/>
          <w:b w:val="0"/>
          <w:caps w:val="0"/>
          <w:color w:val="000000" w:themeColor="text1"/>
          <w:spacing w:val="0"/>
          <w:sz w:val="22"/>
        </w:rPr>
        <w:t>The Northern Territory will seek to provide opportunities for the participation of Indigenous businesses in the roll out of the capital works funded under this Implementation Plan.</w:t>
      </w:r>
    </w:p>
    <w:p w14:paraId="0A2450D2" w14:textId="77777777" w:rsidR="00BB36CB" w:rsidRPr="007F3428" w:rsidRDefault="00BB36CB" w:rsidP="000263CE">
      <w:pPr>
        <w:pStyle w:val="Heading1"/>
        <w:spacing w:after="120"/>
        <w:rPr>
          <w:rFonts w:ascii="Lato" w:hAnsi="Lato"/>
          <w:b/>
          <w:caps w:val="0"/>
          <w:kern w:val="0"/>
          <w:sz w:val="29"/>
        </w:rPr>
      </w:pPr>
      <w:r w:rsidRPr="007F3428">
        <w:rPr>
          <w:rFonts w:ascii="Lato" w:hAnsi="Lato"/>
          <w:b/>
          <w:caps w:val="0"/>
          <w:kern w:val="0"/>
          <w:sz w:val="29"/>
        </w:rPr>
        <w:lastRenderedPageBreak/>
        <w:t>Dependencies</w:t>
      </w:r>
    </w:p>
    <w:p w14:paraId="0A2450D3" w14:textId="77777777" w:rsidR="00BB36CB" w:rsidRPr="007F3428" w:rsidRDefault="00BB36CB" w:rsidP="00BD09BB">
      <w:pPr>
        <w:pStyle w:val="Heading1"/>
        <w:numPr>
          <w:ilvl w:val="0"/>
          <w:numId w:val="16"/>
        </w:numPr>
        <w:spacing w:before="0" w:after="240" w:line="260" w:lineRule="exact"/>
        <w:ind w:left="714" w:hanging="357"/>
        <w:rPr>
          <w:rFonts w:ascii="Lato" w:hAnsi="Lato"/>
          <w:caps w:val="0"/>
          <w:color w:val="000000" w:themeColor="text1"/>
          <w:kern w:val="0"/>
          <w:sz w:val="22"/>
        </w:rPr>
      </w:pPr>
      <w:r w:rsidRPr="007F3428">
        <w:rPr>
          <w:rFonts w:ascii="Lato" w:hAnsi="Lato"/>
          <w:caps w:val="0"/>
          <w:color w:val="000000" w:themeColor="text1"/>
          <w:kern w:val="0"/>
          <w:sz w:val="22"/>
        </w:rPr>
        <w:t xml:space="preserve">The 2014 review of Indigenous education in the Northern Territory, </w:t>
      </w:r>
      <w:r w:rsidR="008B2C3C" w:rsidRPr="007F3428">
        <w:rPr>
          <w:rFonts w:ascii="Lato" w:hAnsi="Lato"/>
          <w:caps w:val="0"/>
          <w:color w:val="000000" w:themeColor="text1"/>
          <w:kern w:val="0"/>
          <w:sz w:val="22"/>
        </w:rPr>
        <w:t>‘</w:t>
      </w:r>
      <w:r w:rsidRPr="007F3428">
        <w:rPr>
          <w:rFonts w:ascii="Lato" w:hAnsi="Lato"/>
          <w:caps w:val="0"/>
          <w:color w:val="000000" w:themeColor="text1"/>
          <w:kern w:val="0"/>
          <w:sz w:val="22"/>
        </w:rPr>
        <w:t>A Share in the Future</w:t>
      </w:r>
      <w:r w:rsidR="008B2C3C" w:rsidRPr="007F3428">
        <w:rPr>
          <w:rFonts w:ascii="Lato" w:hAnsi="Lato"/>
          <w:caps w:val="0"/>
          <w:color w:val="000000" w:themeColor="text1"/>
          <w:kern w:val="0"/>
          <w:sz w:val="22"/>
        </w:rPr>
        <w:t>’</w:t>
      </w:r>
      <w:r w:rsidRPr="007F3428">
        <w:rPr>
          <w:rFonts w:ascii="Lato" w:hAnsi="Lato"/>
          <w:caps w:val="0"/>
          <w:color w:val="000000" w:themeColor="text1"/>
          <w:kern w:val="0"/>
          <w:sz w:val="22"/>
        </w:rPr>
        <w:t>, shows that outcomes for</w:t>
      </w:r>
      <w:r w:rsidR="00995DF4" w:rsidRPr="007F3428">
        <w:rPr>
          <w:rFonts w:ascii="Lato" w:hAnsi="Lato"/>
          <w:caps w:val="0"/>
          <w:color w:val="000000" w:themeColor="text1"/>
          <w:kern w:val="0"/>
          <w:sz w:val="22"/>
        </w:rPr>
        <w:t xml:space="preserve"> </w:t>
      </w:r>
      <w:r w:rsidRPr="007F3428">
        <w:rPr>
          <w:rFonts w:ascii="Lato" w:hAnsi="Lato"/>
          <w:caps w:val="0"/>
          <w:color w:val="000000" w:themeColor="text1"/>
          <w:kern w:val="0"/>
          <w:sz w:val="22"/>
        </w:rPr>
        <w:t>the Northern Territory's Indigenous s</w:t>
      </w:r>
      <w:r w:rsidR="00995DF4" w:rsidRPr="007F3428">
        <w:rPr>
          <w:rFonts w:ascii="Lato" w:hAnsi="Lato"/>
          <w:caps w:val="0"/>
          <w:color w:val="000000" w:themeColor="text1"/>
          <w:kern w:val="0"/>
          <w:sz w:val="22"/>
        </w:rPr>
        <w:t xml:space="preserve">tudents remain well below </w:t>
      </w:r>
      <w:r w:rsidR="00301382">
        <w:rPr>
          <w:rFonts w:ascii="Lato" w:hAnsi="Lato"/>
          <w:caps w:val="0"/>
          <w:color w:val="000000" w:themeColor="text1"/>
          <w:kern w:val="0"/>
          <w:sz w:val="22"/>
        </w:rPr>
        <w:br/>
      </w:r>
      <w:r w:rsidR="00995DF4" w:rsidRPr="007F3428">
        <w:rPr>
          <w:rFonts w:ascii="Lato" w:hAnsi="Lato"/>
          <w:caps w:val="0"/>
          <w:color w:val="000000" w:themeColor="text1"/>
          <w:kern w:val="0"/>
          <w:sz w:val="22"/>
        </w:rPr>
        <w:t>non-I</w:t>
      </w:r>
      <w:r w:rsidRPr="007F3428">
        <w:rPr>
          <w:rFonts w:ascii="Lato" w:hAnsi="Lato"/>
          <w:caps w:val="0"/>
          <w:color w:val="000000" w:themeColor="text1"/>
          <w:kern w:val="0"/>
          <w:sz w:val="22"/>
        </w:rPr>
        <w:t xml:space="preserve">ndigenous students </w:t>
      </w:r>
      <w:r w:rsidR="00E721AC">
        <w:rPr>
          <w:rFonts w:ascii="Lato" w:hAnsi="Lato"/>
          <w:caps w:val="0"/>
          <w:color w:val="000000" w:themeColor="text1"/>
          <w:kern w:val="0"/>
          <w:sz w:val="22"/>
        </w:rPr>
        <w:t>nationally</w:t>
      </w:r>
      <w:r w:rsidRPr="007F3428">
        <w:rPr>
          <w:rFonts w:ascii="Lato" w:hAnsi="Lato"/>
          <w:caps w:val="0"/>
          <w:color w:val="000000" w:themeColor="text1"/>
          <w:kern w:val="0"/>
          <w:sz w:val="22"/>
        </w:rPr>
        <w:t xml:space="preserve">. In response to the </w:t>
      </w:r>
      <w:r w:rsidR="00301382">
        <w:rPr>
          <w:rFonts w:ascii="Lato" w:hAnsi="Lato"/>
          <w:caps w:val="0"/>
          <w:color w:val="000000" w:themeColor="text1"/>
          <w:kern w:val="0"/>
          <w:sz w:val="22"/>
        </w:rPr>
        <w:t>2014 ‘</w:t>
      </w:r>
      <w:r w:rsidR="00E721AC">
        <w:rPr>
          <w:rFonts w:ascii="Lato" w:hAnsi="Lato"/>
          <w:caps w:val="0"/>
          <w:color w:val="000000" w:themeColor="text1"/>
          <w:kern w:val="0"/>
          <w:sz w:val="22"/>
        </w:rPr>
        <w:t xml:space="preserve">A Share in the Future’ </w:t>
      </w:r>
      <w:r w:rsidRPr="007F3428">
        <w:rPr>
          <w:rFonts w:ascii="Lato" w:hAnsi="Lato"/>
          <w:caps w:val="0"/>
          <w:color w:val="000000" w:themeColor="text1"/>
          <w:kern w:val="0"/>
          <w:sz w:val="22"/>
        </w:rPr>
        <w:t>Review's recommendation</w:t>
      </w:r>
      <w:r w:rsidR="00995DF4" w:rsidRPr="007F3428">
        <w:rPr>
          <w:rFonts w:ascii="Lato" w:hAnsi="Lato"/>
          <w:caps w:val="0"/>
          <w:color w:val="000000" w:themeColor="text1"/>
          <w:kern w:val="0"/>
          <w:sz w:val="22"/>
        </w:rPr>
        <w:t>s, the Northern Territory is implementing a 10-yea</w:t>
      </w:r>
      <w:r w:rsidRPr="007F3428">
        <w:rPr>
          <w:rFonts w:ascii="Lato" w:hAnsi="Lato"/>
          <w:caps w:val="0"/>
          <w:color w:val="000000" w:themeColor="text1"/>
          <w:kern w:val="0"/>
          <w:sz w:val="22"/>
        </w:rPr>
        <w:t xml:space="preserve">r strategy titled </w:t>
      </w:r>
      <w:r w:rsidR="008B2C3C" w:rsidRPr="007F3428">
        <w:rPr>
          <w:rFonts w:ascii="Lato" w:hAnsi="Lato"/>
          <w:caps w:val="0"/>
          <w:color w:val="000000" w:themeColor="text1"/>
          <w:kern w:val="0"/>
          <w:sz w:val="22"/>
        </w:rPr>
        <w:t xml:space="preserve">‘A </w:t>
      </w:r>
      <w:r w:rsidRPr="007F3428">
        <w:rPr>
          <w:rFonts w:ascii="Lato" w:hAnsi="Lato"/>
          <w:caps w:val="0"/>
          <w:color w:val="000000" w:themeColor="text1"/>
          <w:kern w:val="0"/>
          <w:sz w:val="22"/>
        </w:rPr>
        <w:t>Share in the Future - Indigenous Education Strategy 2015</w:t>
      </w:r>
      <w:r w:rsidR="009B041B" w:rsidRPr="007F3428">
        <w:rPr>
          <w:rFonts w:ascii="Lato" w:hAnsi="Lato"/>
          <w:caps w:val="0"/>
          <w:color w:val="000000" w:themeColor="text1"/>
          <w:kern w:val="0"/>
          <w:sz w:val="22"/>
        </w:rPr>
        <w:noBreakHyphen/>
      </w:r>
      <w:r w:rsidR="008B2C3C" w:rsidRPr="007F3428">
        <w:rPr>
          <w:rFonts w:ascii="Lato" w:hAnsi="Lato"/>
          <w:caps w:val="0"/>
          <w:color w:val="000000" w:themeColor="text1"/>
          <w:kern w:val="0"/>
          <w:sz w:val="22"/>
        </w:rPr>
        <w:t xml:space="preserve">2024’ </w:t>
      </w:r>
      <w:r w:rsidRPr="007F3428">
        <w:rPr>
          <w:rFonts w:ascii="Lato" w:hAnsi="Lato"/>
          <w:caps w:val="0"/>
          <w:color w:val="000000" w:themeColor="text1"/>
          <w:kern w:val="0"/>
          <w:sz w:val="22"/>
        </w:rPr>
        <w:t>(the Strategy) to ensure the effective alignment of resources, focusing on actions that will have a direct and measu</w:t>
      </w:r>
      <w:r w:rsidR="00995DF4" w:rsidRPr="007F3428">
        <w:rPr>
          <w:rFonts w:ascii="Lato" w:hAnsi="Lato"/>
          <w:caps w:val="0"/>
          <w:color w:val="000000" w:themeColor="text1"/>
          <w:kern w:val="0"/>
          <w:sz w:val="22"/>
        </w:rPr>
        <w:t>ra</w:t>
      </w:r>
      <w:r w:rsidRPr="007F3428">
        <w:rPr>
          <w:rFonts w:ascii="Lato" w:hAnsi="Lato"/>
          <w:caps w:val="0"/>
          <w:color w:val="000000" w:themeColor="text1"/>
          <w:kern w:val="0"/>
          <w:sz w:val="22"/>
        </w:rPr>
        <w:t>ble impact on educational outcomes for Indigenous students. The Northern Territory remains responsible for implementatio</w:t>
      </w:r>
      <w:r w:rsidR="00995DF4" w:rsidRPr="007F3428">
        <w:rPr>
          <w:rFonts w:ascii="Lato" w:hAnsi="Lato"/>
          <w:caps w:val="0"/>
          <w:color w:val="000000" w:themeColor="text1"/>
          <w:kern w:val="0"/>
          <w:sz w:val="22"/>
        </w:rPr>
        <w:t>n and achievement of outcomes u</w:t>
      </w:r>
      <w:r w:rsidRPr="007F3428">
        <w:rPr>
          <w:rFonts w:ascii="Lato" w:hAnsi="Lato"/>
          <w:caps w:val="0"/>
          <w:color w:val="000000" w:themeColor="text1"/>
          <w:kern w:val="0"/>
          <w:sz w:val="22"/>
        </w:rPr>
        <w:t>nder the broader strategy.</w:t>
      </w:r>
    </w:p>
    <w:p w14:paraId="0A2450D4" w14:textId="77777777" w:rsidR="00BB36CB" w:rsidRPr="007F3428" w:rsidRDefault="00BB36CB" w:rsidP="00225E9B">
      <w:pPr>
        <w:pStyle w:val="Heading1"/>
        <w:numPr>
          <w:ilvl w:val="0"/>
          <w:numId w:val="16"/>
        </w:numPr>
        <w:spacing w:before="0" w:line="260" w:lineRule="exact"/>
        <w:ind w:left="714" w:hanging="357"/>
        <w:rPr>
          <w:rFonts w:ascii="Lato" w:hAnsi="Lato"/>
          <w:caps w:val="0"/>
          <w:color w:val="000000" w:themeColor="text1"/>
          <w:kern w:val="0"/>
          <w:sz w:val="22"/>
        </w:rPr>
      </w:pPr>
      <w:r w:rsidRPr="007F3428">
        <w:rPr>
          <w:rFonts w:ascii="Lato" w:hAnsi="Lato"/>
          <w:caps w:val="0"/>
          <w:color w:val="000000" w:themeColor="text1"/>
          <w:kern w:val="0"/>
          <w:sz w:val="22"/>
        </w:rPr>
        <w:t>Funding under this Implementation Plan will supplement</w:t>
      </w:r>
      <w:r w:rsidR="00995DF4" w:rsidRPr="007F3428">
        <w:rPr>
          <w:rFonts w:ascii="Lato" w:hAnsi="Lato"/>
          <w:caps w:val="0"/>
          <w:color w:val="000000" w:themeColor="text1"/>
          <w:kern w:val="0"/>
          <w:sz w:val="22"/>
        </w:rPr>
        <w:t xml:space="preserve"> </w:t>
      </w:r>
      <w:r w:rsidRPr="007F3428">
        <w:rPr>
          <w:rFonts w:ascii="Lato" w:hAnsi="Lato"/>
          <w:caps w:val="0"/>
          <w:color w:val="000000" w:themeColor="text1"/>
          <w:kern w:val="0"/>
          <w:sz w:val="22"/>
        </w:rPr>
        <w:t xml:space="preserve">the Northern Territory's investment in this reform </w:t>
      </w:r>
      <w:r w:rsidR="00E721AC">
        <w:rPr>
          <w:rFonts w:ascii="Lato" w:hAnsi="Lato"/>
          <w:caps w:val="0"/>
          <w:color w:val="000000" w:themeColor="text1"/>
          <w:kern w:val="0"/>
          <w:sz w:val="22"/>
        </w:rPr>
        <w:t xml:space="preserve">and will contribute to Stage 2 of the Strategy.  Funding will also </w:t>
      </w:r>
      <w:r w:rsidRPr="007F3428">
        <w:rPr>
          <w:rFonts w:ascii="Lato" w:hAnsi="Lato"/>
          <w:caps w:val="0"/>
          <w:color w:val="000000" w:themeColor="text1"/>
          <w:kern w:val="0"/>
          <w:sz w:val="22"/>
        </w:rPr>
        <w:t xml:space="preserve">provide additional program capacity in recognition of the complexity and size of educational issues. </w:t>
      </w:r>
      <w:r w:rsidR="007418C0">
        <w:rPr>
          <w:rFonts w:ascii="Lato" w:hAnsi="Lato"/>
          <w:caps w:val="0"/>
          <w:color w:val="000000" w:themeColor="text1"/>
          <w:kern w:val="0"/>
          <w:sz w:val="22"/>
        </w:rPr>
        <w:t xml:space="preserve">The </w:t>
      </w:r>
      <w:r w:rsidR="007418C0" w:rsidRPr="007418C0">
        <w:rPr>
          <w:rFonts w:ascii="Lato" w:hAnsi="Lato"/>
          <w:caps w:val="0"/>
          <w:color w:val="000000" w:themeColor="text1"/>
          <w:kern w:val="0"/>
          <w:sz w:val="22"/>
        </w:rPr>
        <w:t>mid-term review of the Agreement has assessed the degree to which the agreed objectives, outcomes and/or outputs have been achieved, and the interim findings of that review have informed negotiations for this Implementation Plan.</w:t>
      </w:r>
      <w:r w:rsidR="007418C0">
        <w:rPr>
          <w:rFonts w:ascii="Lato" w:hAnsi="Lato"/>
          <w:caps w:val="0"/>
          <w:color w:val="000000" w:themeColor="text1"/>
          <w:kern w:val="0"/>
          <w:sz w:val="22"/>
        </w:rPr>
        <w:t xml:space="preserve">  </w:t>
      </w:r>
      <w:r w:rsidRPr="007F3428">
        <w:rPr>
          <w:rFonts w:ascii="Lato" w:hAnsi="Lato"/>
          <w:caps w:val="0"/>
          <w:color w:val="000000" w:themeColor="text1"/>
          <w:kern w:val="0"/>
          <w:sz w:val="22"/>
        </w:rPr>
        <w:t>Reforms progressed under this Implementation Plan will be developed in such a way that they will be sustainable beyond the term of the Agreement.</w:t>
      </w:r>
      <w:r w:rsidR="00901DB8">
        <w:rPr>
          <w:rFonts w:ascii="Lato" w:hAnsi="Lato"/>
          <w:caps w:val="0"/>
          <w:color w:val="000000" w:themeColor="text1"/>
          <w:kern w:val="0"/>
          <w:sz w:val="22"/>
        </w:rPr>
        <w:t xml:space="preserve">  In particular, </w:t>
      </w:r>
      <w:r w:rsidR="00AE16BB">
        <w:rPr>
          <w:rFonts w:ascii="Lato" w:hAnsi="Lato"/>
          <w:caps w:val="0"/>
          <w:color w:val="000000" w:themeColor="text1"/>
          <w:kern w:val="0"/>
          <w:sz w:val="22"/>
        </w:rPr>
        <w:t xml:space="preserve">activities </w:t>
      </w:r>
      <w:r w:rsidR="00901DB8">
        <w:rPr>
          <w:rFonts w:ascii="Lato" w:hAnsi="Lato"/>
          <w:caps w:val="0"/>
          <w:color w:val="000000" w:themeColor="text1"/>
          <w:kern w:val="0"/>
          <w:sz w:val="22"/>
        </w:rPr>
        <w:t xml:space="preserve">focus on </w:t>
      </w:r>
      <w:r w:rsidR="005F2AA4">
        <w:rPr>
          <w:rFonts w:ascii="Lato" w:hAnsi="Lato"/>
          <w:caps w:val="0"/>
          <w:color w:val="000000" w:themeColor="text1"/>
          <w:kern w:val="0"/>
          <w:sz w:val="22"/>
        </w:rPr>
        <w:t xml:space="preserve">feedback received under the Evaluation and Consultations </w:t>
      </w:r>
      <w:r w:rsidR="007A21EE">
        <w:rPr>
          <w:rFonts w:ascii="Lato" w:hAnsi="Lato"/>
          <w:caps w:val="0"/>
          <w:color w:val="000000" w:themeColor="text1"/>
          <w:kern w:val="0"/>
          <w:sz w:val="22"/>
        </w:rPr>
        <w:t xml:space="preserve">process </w:t>
      </w:r>
      <w:r w:rsidR="005F2AA4">
        <w:rPr>
          <w:rFonts w:ascii="Lato" w:hAnsi="Lato"/>
          <w:caps w:val="0"/>
          <w:color w:val="000000" w:themeColor="text1"/>
          <w:kern w:val="0"/>
          <w:sz w:val="22"/>
        </w:rPr>
        <w:t xml:space="preserve">of Stage 1 </w:t>
      </w:r>
      <w:r w:rsidR="00AE16BB">
        <w:rPr>
          <w:rFonts w:ascii="Lato" w:hAnsi="Lato"/>
          <w:caps w:val="0"/>
          <w:color w:val="000000" w:themeColor="text1"/>
          <w:kern w:val="0"/>
          <w:sz w:val="22"/>
        </w:rPr>
        <w:t xml:space="preserve">of the </w:t>
      </w:r>
      <w:r w:rsidR="003437FB">
        <w:rPr>
          <w:rFonts w:ascii="Lato" w:hAnsi="Lato"/>
          <w:caps w:val="0"/>
          <w:color w:val="000000" w:themeColor="text1"/>
          <w:kern w:val="0"/>
          <w:sz w:val="22"/>
        </w:rPr>
        <w:t xml:space="preserve">Strategy </w:t>
      </w:r>
      <w:r w:rsidR="00E721AC">
        <w:rPr>
          <w:rFonts w:ascii="Lato" w:hAnsi="Lato"/>
          <w:caps w:val="0"/>
          <w:color w:val="000000" w:themeColor="text1"/>
          <w:kern w:val="0"/>
          <w:sz w:val="22"/>
        </w:rPr>
        <w:t xml:space="preserve">recently completed by the Northern Territory government </w:t>
      </w:r>
      <w:r w:rsidR="005F2AA4">
        <w:rPr>
          <w:rFonts w:ascii="Lato" w:hAnsi="Lato"/>
          <w:caps w:val="0"/>
          <w:color w:val="000000" w:themeColor="text1"/>
          <w:kern w:val="0"/>
          <w:sz w:val="22"/>
        </w:rPr>
        <w:t>and the</w:t>
      </w:r>
      <w:r w:rsidR="00E721AC">
        <w:rPr>
          <w:rFonts w:ascii="Lato" w:hAnsi="Lato"/>
          <w:caps w:val="0"/>
          <w:color w:val="000000" w:themeColor="text1"/>
          <w:kern w:val="0"/>
          <w:sz w:val="22"/>
        </w:rPr>
        <w:t>ir</w:t>
      </w:r>
      <w:r w:rsidR="005F2AA4">
        <w:rPr>
          <w:rFonts w:ascii="Lato" w:hAnsi="Lato"/>
          <w:caps w:val="0"/>
          <w:color w:val="000000" w:themeColor="text1"/>
          <w:kern w:val="0"/>
          <w:sz w:val="22"/>
        </w:rPr>
        <w:t xml:space="preserve"> </w:t>
      </w:r>
      <w:r w:rsidR="00901DB8">
        <w:rPr>
          <w:rFonts w:ascii="Lato" w:hAnsi="Lato"/>
          <w:caps w:val="0"/>
          <w:color w:val="000000" w:themeColor="text1"/>
          <w:kern w:val="0"/>
          <w:sz w:val="22"/>
        </w:rPr>
        <w:t>strong commitment to community engagement and local decision making</w:t>
      </w:r>
      <w:r w:rsidR="005F2AA4">
        <w:rPr>
          <w:rFonts w:ascii="Lato" w:hAnsi="Lato"/>
          <w:caps w:val="0"/>
          <w:color w:val="000000" w:themeColor="text1"/>
          <w:kern w:val="0"/>
          <w:sz w:val="22"/>
        </w:rPr>
        <w:t xml:space="preserve">. </w:t>
      </w:r>
    </w:p>
    <w:p w14:paraId="0A2450D5" w14:textId="77777777" w:rsidR="00BB36CB" w:rsidRPr="007F3428" w:rsidRDefault="00BB36CB" w:rsidP="00225E9B">
      <w:pPr>
        <w:pStyle w:val="Heading1"/>
        <w:spacing w:before="240" w:after="120"/>
        <w:rPr>
          <w:rFonts w:ascii="Lato" w:hAnsi="Lato"/>
          <w:b/>
          <w:caps w:val="0"/>
          <w:kern w:val="0"/>
          <w:sz w:val="29"/>
        </w:rPr>
      </w:pPr>
      <w:r w:rsidRPr="007F3428">
        <w:rPr>
          <w:rFonts w:ascii="Lato" w:hAnsi="Lato"/>
          <w:b/>
          <w:caps w:val="0"/>
          <w:kern w:val="0"/>
          <w:sz w:val="29"/>
        </w:rPr>
        <w:t>Scope of this Implementation Plan</w:t>
      </w:r>
    </w:p>
    <w:p w14:paraId="0A2450D6" w14:textId="77777777" w:rsidR="00BB36CB" w:rsidRPr="007F3428" w:rsidRDefault="004C0E2F" w:rsidP="00BD09BB">
      <w:pPr>
        <w:pStyle w:val="Heading1"/>
        <w:numPr>
          <w:ilvl w:val="0"/>
          <w:numId w:val="16"/>
        </w:numPr>
        <w:spacing w:before="0" w:after="240" w:line="260" w:lineRule="exact"/>
        <w:ind w:left="714" w:hanging="357"/>
        <w:rPr>
          <w:rFonts w:ascii="Lato" w:hAnsi="Lato"/>
          <w:caps w:val="0"/>
          <w:color w:val="000000" w:themeColor="text1"/>
          <w:kern w:val="0"/>
          <w:sz w:val="22"/>
        </w:rPr>
      </w:pPr>
      <w:r>
        <w:rPr>
          <w:rFonts w:ascii="Lato" w:hAnsi="Lato"/>
          <w:caps w:val="0"/>
          <w:color w:val="000000" w:themeColor="text1"/>
          <w:kern w:val="0"/>
          <w:sz w:val="22"/>
        </w:rPr>
        <w:t>This Implementation Plan formalises</w:t>
      </w:r>
      <w:r w:rsidR="00A0024E">
        <w:rPr>
          <w:rFonts w:ascii="Lato" w:hAnsi="Lato"/>
          <w:caps w:val="0"/>
          <w:color w:val="000000" w:themeColor="text1"/>
          <w:kern w:val="0"/>
          <w:sz w:val="22"/>
        </w:rPr>
        <w:t xml:space="preserve"> </w:t>
      </w:r>
      <w:r w:rsidR="00DE5F1A">
        <w:rPr>
          <w:rFonts w:ascii="Lato" w:hAnsi="Lato"/>
          <w:caps w:val="0"/>
          <w:color w:val="000000" w:themeColor="text1"/>
          <w:kern w:val="0"/>
          <w:sz w:val="22"/>
        </w:rPr>
        <w:t xml:space="preserve">Stage 2 </w:t>
      </w:r>
      <w:r w:rsidR="007A21EE">
        <w:rPr>
          <w:rFonts w:ascii="Lato" w:hAnsi="Lato"/>
          <w:caps w:val="0"/>
          <w:color w:val="000000" w:themeColor="text1"/>
          <w:kern w:val="0"/>
          <w:sz w:val="22"/>
        </w:rPr>
        <w:t xml:space="preserve">of the Strategy and </w:t>
      </w:r>
      <w:r w:rsidR="005F2AA4">
        <w:rPr>
          <w:rFonts w:ascii="Lato" w:hAnsi="Lato"/>
          <w:caps w:val="0"/>
          <w:color w:val="000000" w:themeColor="text1"/>
          <w:kern w:val="0"/>
          <w:sz w:val="22"/>
        </w:rPr>
        <w:t xml:space="preserve">investment and effort under </w:t>
      </w:r>
      <w:r w:rsidR="00A0024E" w:rsidRPr="004C0E2F">
        <w:rPr>
          <w:rFonts w:ascii="Lato" w:hAnsi="Lato"/>
          <w:caps w:val="0"/>
          <w:color w:val="000000" w:themeColor="text1"/>
          <w:kern w:val="0"/>
          <w:sz w:val="22"/>
        </w:rPr>
        <w:t xml:space="preserve">the current </w:t>
      </w:r>
      <w:r w:rsidR="00A02BD1">
        <w:rPr>
          <w:rFonts w:ascii="Lato" w:hAnsi="Lato"/>
          <w:caps w:val="0"/>
          <w:color w:val="000000" w:themeColor="text1"/>
          <w:sz w:val="22"/>
        </w:rPr>
        <w:t>Agreement</w:t>
      </w:r>
      <w:r>
        <w:rPr>
          <w:rFonts w:ascii="Lato" w:hAnsi="Lato"/>
          <w:caps w:val="0"/>
          <w:color w:val="000000" w:themeColor="text1"/>
          <w:kern w:val="0"/>
          <w:sz w:val="22"/>
        </w:rPr>
        <w:t xml:space="preserve"> </w:t>
      </w:r>
      <w:r w:rsidR="00A0024E">
        <w:rPr>
          <w:rFonts w:ascii="Lato" w:hAnsi="Lato"/>
          <w:caps w:val="0"/>
          <w:color w:val="000000" w:themeColor="text1"/>
          <w:kern w:val="0"/>
          <w:sz w:val="22"/>
        </w:rPr>
        <w:t xml:space="preserve">between the Commonwealth and </w:t>
      </w:r>
      <w:r w:rsidR="0030267C">
        <w:rPr>
          <w:rFonts w:ascii="Lato" w:hAnsi="Lato"/>
          <w:caps w:val="0"/>
          <w:color w:val="000000" w:themeColor="text1"/>
          <w:kern w:val="0"/>
          <w:sz w:val="22"/>
        </w:rPr>
        <w:t xml:space="preserve">the </w:t>
      </w:r>
      <w:r w:rsidR="00A0024E">
        <w:rPr>
          <w:rFonts w:ascii="Lato" w:hAnsi="Lato"/>
          <w:caps w:val="0"/>
          <w:color w:val="000000" w:themeColor="text1"/>
          <w:kern w:val="0"/>
          <w:sz w:val="22"/>
        </w:rPr>
        <w:t>Northern</w:t>
      </w:r>
      <w:r>
        <w:rPr>
          <w:rFonts w:ascii="Lato" w:hAnsi="Lato"/>
          <w:caps w:val="0"/>
          <w:color w:val="000000" w:themeColor="text1"/>
          <w:kern w:val="0"/>
          <w:sz w:val="22"/>
        </w:rPr>
        <w:t xml:space="preserve"> Territory</w:t>
      </w:r>
      <w:r w:rsidR="00A0024E">
        <w:rPr>
          <w:rFonts w:ascii="Lato" w:hAnsi="Lato"/>
          <w:caps w:val="0"/>
          <w:color w:val="000000" w:themeColor="text1"/>
          <w:kern w:val="0"/>
          <w:sz w:val="22"/>
        </w:rPr>
        <w:t xml:space="preserve">.  </w:t>
      </w:r>
      <w:r w:rsidR="00BB36CB" w:rsidRPr="007F3428">
        <w:rPr>
          <w:rFonts w:ascii="Lato" w:hAnsi="Lato"/>
          <w:caps w:val="0"/>
          <w:color w:val="000000" w:themeColor="text1"/>
          <w:kern w:val="0"/>
          <w:sz w:val="22"/>
        </w:rPr>
        <w:t xml:space="preserve">This Implementation Plan details agreed activities for government schools in the Northern Territory as part of five overarching project activities: Foundations; Essentials; Pathways; Engagement; and Workforce. The activities focus on </w:t>
      </w:r>
      <w:r w:rsidR="00EE09D8">
        <w:rPr>
          <w:rFonts w:ascii="Lato" w:hAnsi="Lato"/>
          <w:caps w:val="0"/>
          <w:color w:val="000000" w:themeColor="text1"/>
          <w:kern w:val="0"/>
          <w:sz w:val="22"/>
        </w:rPr>
        <w:t>Aboriginal</w:t>
      </w:r>
      <w:r w:rsidR="00EE09D8" w:rsidRPr="007F3428">
        <w:rPr>
          <w:rFonts w:ascii="Lato" w:hAnsi="Lato"/>
          <w:caps w:val="0"/>
          <w:color w:val="000000" w:themeColor="text1"/>
          <w:kern w:val="0"/>
          <w:sz w:val="22"/>
        </w:rPr>
        <w:t xml:space="preserve"> </w:t>
      </w:r>
      <w:r w:rsidR="00BB36CB" w:rsidRPr="007F3428">
        <w:rPr>
          <w:rFonts w:ascii="Lato" w:hAnsi="Lato"/>
          <w:caps w:val="0"/>
          <w:color w:val="000000" w:themeColor="text1"/>
          <w:kern w:val="0"/>
          <w:sz w:val="22"/>
        </w:rPr>
        <w:t xml:space="preserve">students with the highest need-students in or from a remote or very remote area who are attending school in a remote or very remote </w:t>
      </w:r>
      <w:r w:rsidR="000263CE" w:rsidRPr="007F3428">
        <w:rPr>
          <w:rFonts w:ascii="Lato" w:hAnsi="Lato"/>
          <w:caps w:val="0"/>
          <w:color w:val="000000" w:themeColor="text1"/>
          <w:kern w:val="0"/>
          <w:sz w:val="22"/>
        </w:rPr>
        <w:t>area</w:t>
      </w:r>
      <w:r w:rsidR="00BB36CB" w:rsidRPr="007F3428">
        <w:rPr>
          <w:rFonts w:ascii="Lato" w:hAnsi="Lato"/>
          <w:caps w:val="0"/>
          <w:color w:val="000000" w:themeColor="text1"/>
          <w:kern w:val="0"/>
          <w:sz w:val="22"/>
        </w:rPr>
        <w:t xml:space="preserve"> and in some circumstances a provincial school.</w:t>
      </w:r>
    </w:p>
    <w:p w14:paraId="0A2450D7" w14:textId="77777777" w:rsidR="00BB36CB" w:rsidRPr="007F3428" w:rsidRDefault="00BB36CB" w:rsidP="00BD09BB">
      <w:pPr>
        <w:pStyle w:val="Heading1"/>
        <w:numPr>
          <w:ilvl w:val="0"/>
          <w:numId w:val="16"/>
        </w:numPr>
        <w:spacing w:before="0" w:after="240" w:line="260" w:lineRule="exact"/>
        <w:ind w:left="714" w:hanging="357"/>
        <w:rPr>
          <w:rFonts w:ascii="Lato" w:hAnsi="Lato"/>
          <w:caps w:val="0"/>
          <w:color w:val="000000" w:themeColor="text1"/>
          <w:kern w:val="0"/>
          <w:sz w:val="22"/>
        </w:rPr>
      </w:pPr>
      <w:r w:rsidRPr="007F3428">
        <w:rPr>
          <w:rFonts w:ascii="Lato" w:hAnsi="Lato"/>
          <w:caps w:val="0"/>
          <w:color w:val="000000" w:themeColor="text1"/>
          <w:kern w:val="0"/>
          <w:sz w:val="22"/>
        </w:rPr>
        <w:t>Refer</w:t>
      </w:r>
      <w:r w:rsidR="00995DF4" w:rsidRPr="007F3428">
        <w:rPr>
          <w:rFonts w:ascii="Lato" w:hAnsi="Lato"/>
          <w:caps w:val="0"/>
          <w:color w:val="000000" w:themeColor="text1"/>
          <w:kern w:val="0"/>
          <w:sz w:val="22"/>
        </w:rPr>
        <w:t>ences to schools within this Im</w:t>
      </w:r>
      <w:r w:rsidRPr="007F3428">
        <w:rPr>
          <w:rFonts w:ascii="Lato" w:hAnsi="Lato"/>
          <w:caps w:val="0"/>
          <w:color w:val="000000" w:themeColor="text1"/>
          <w:kern w:val="0"/>
          <w:sz w:val="22"/>
        </w:rPr>
        <w:t>plementation Plan mean schools located in remote and very remote areas,</w:t>
      </w:r>
      <w:r w:rsidR="00535722" w:rsidRPr="007F3428">
        <w:rPr>
          <w:rFonts w:ascii="Lato" w:hAnsi="Lato"/>
          <w:caps w:val="0"/>
          <w:color w:val="000000" w:themeColor="text1"/>
          <w:kern w:val="0"/>
          <w:sz w:val="22"/>
        </w:rPr>
        <w:t xml:space="preserve"> </w:t>
      </w:r>
      <w:r w:rsidR="00535722">
        <w:rPr>
          <w:rFonts w:ascii="Lato" w:hAnsi="Lato" w:cs="Times New Roman"/>
          <w:bCs w:val="0"/>
          <w:caps w:val="0"/>
          <w:color w:val="000000" w:themeColor="text1"/>
          <w:kern w:val="0"/>
          <w:sz w:val="22"/>
          <w:szCs w:val="22"/>
        </w:rPr>
        <w:t>as defined by the Australian Bureau of Statistics.</w:t>
      </w:r>
      <w:r w:rsidRPr="007F3428">
        <w:rPr>
          <w:rFonts w:ascii="Lato" w:hAnsi="Lato"/>
          <w:caps w:val="0"/>
          <w:color w:val="000000" w:themeColor="text1"/>
          <w:kern w:val="0"/>
          <w:sz w:val="22"/>
        </w:rPr>
        <w:t xml:space="preserve"> Reference</w:t>
      </w:r>
      <w:r w:rsidR="004C58FA" w:rsidRPr="007F3428">
        <w:rPr>
          <w:rFonts w:ascii="Lato" w:hAnsi="Lato"/>
          <w:caps w:val="0"/>
          <w:color w:val="000000" w:themeColor="text1"/>
          <w:kern w:val="0"/>
          <w:sz w:val="22"/>
        </w:rPr>
        <w:t>s</w:t>
      </w:r>
      <w:r w:rsidRPr="007F3428">
        <w:rPr>
          <w:rFonts w:ascii="Lato" w:hAnsi="Lato"/>
          <w:caps w:val="0"/>
          <w:color w:val="000000" w:themeColor="text1"/>
          <w:kern w:val="0"/>
          <w:sz w:val="22"/>
        </w:rPr>
        <w:t xml:space="preserve"> to students within this </w:t>
      </w:r>
      <w:r w:rsidR="004C58FA" w:rsidRPr="007F3428">
        <w:rPr>
          <w:rFonts w:ascii="Lato" w:hAnsi="Lato"/>
          <w:caps w:val="0"/>
          <w:color w:val="000000" w:themeColor="text1"/>
          <w:kern w:val="0"/>
          <w:sz w:val="22"/>
        </w:rPr>
        <w:t xml:space="preserve">Implementation Plan </w:t>
      </w:r>
      <w:r w:rsidRPr="007F3428">
        <w:rPr>
          <w:rFonts w:ascii="Lato" w:hAnsi="Lato"/>
          <w:caps w:val="0"/>
          <w:color w:val="000000" w:themeColor="text1"/>
          <w:kern w:val="0"/>
          <w:sz w:val="22"/>
        </w:rPr>
        <w:t xml:space="preserve">mean Aboriginal </w:t>
      </w:r>
      <w:r w:rsidR="000263CE" w:rsidRPr="007F3428">
        <w:rPr>
          <w:rFonts w:ascii="Lato" w:hAnsi="Lato"/>
          <w:caps w:val="0"/>
          <w:color w:val="000000" w:themeColor="text1"/>
          <w:kern w:val="0"/>
          <w:sz w:val="22"/>
        </w:rPr>
        <w:t>and</w:t>
      </w:r>
      <w:r w:rsidR="004C58FA" w:rsidRPr="007F3428">
        <w:rPr>
          <w:rFonts w:ascii="Lato" w:hAnsi="Lato"/>
          <w:caps w:val="0"/>
          <w:color w:val="000000" w:themeColor="text1"/>
          <w:kern w:val="0"/>
          <w:sz w:val="22"/>
        </w:rPr>
        <w:t>/or</w:t>
      </w:r>
      <w:r w:rsidR="000263CE" w:rsidRPr="007F3428">
        <w:rPr>
          <w:rFonts w:ascii="Lato" w:hAnsi="Lato"/>
          <w:caps w:val="0"/>
          <w:color w:val="000000" w:themeColor="text1"/>
          <w:kern w:val="0"/>
          <w:sz w:val="22"/>
        </w:rPr>
        <w:t xml:space="preserve"> Torres Strait Islander </w:t>
      </w:r>
      <w:r w:rsidRPr="007F3428">
        <w:rPr>
          <w:rFonts w:ascii="Lato" w:hAnsi="Lato"/>
          <w:caps w:val="0"/>
          <w:color w:val="000000" w:themeColor="text1"/>
          <w:kern w:val="0"/>
          <w:sz w:val="22"/>
        </w:rPr>
        <w:t xml:space="preserve">students attending schools in remote or very remote communities, as well as </w:t>
      </w:r>
      <w:r w:rsidR="004C58FA" w:rsidRPr="007F3428">
        <w:rPr>
          <w:rFonts w:ascii="Lato" w:hAnsi="Lato"/>
          <w:caps w:val="0"/>
          <w:color w:val="000000" w:themeColor="text1"/>
          <w:kern w:val="0"/>
          <w:sz w:val="22"/>
        </w:rPr>
        <w:t xml:space="preserve">Aboriginal and/or Torres Strait Islander </w:t>
      </w:r>
      <w:r w:rsidRPr="007F3428">
        <w:rPr>
          <w:rFonts w:ascii="Lato" w:hAnsi="Lato"/>
          <w:caps w:val="0"/>
          <w:color w:val="000000" w:themeColor="text1"/>
          <w:kern w:val="0"/>
          <w:sz w:val="22"/>
        </w:rPr>
        <w:t xml:space="preserve">students from remote </w:t>
      </w:r>
      <w:r w:rsidR="004C58FA" w:rsidRPr="007F3428">
        <w:rPr>
          <w:rFonts w:ascii="Lato" w:hAnsi="Lato"/>
          <w:caps w:val="0"/>
          <w:color w:val="000000" w:themeColor="text1"/>
          <w:kern w:val="0"/>
          <w:sz w:val="22"/>
        </w:rPr>
        <w:t xml:space="preserve">or </w:t>
      </w:r>
      <w:r w:rsidRPr="007F3428">
        <w:rPr>
          <w:rFonts w:ascii="Lato" w:hAnsi="Lato"/>
          <w:caps w:val="0"/>
          <w:color w:val="000000" w:themeColor="text1"/>
          <w:kern w:val="0"/>
          <w:sz w:val="22"/>
        </w:rPr>
        <w:t>very remote communities who may be attending school in a provincial area (e.g. boarding school).</w:t>
      </w:r>
    </w:p>
    <w:p w14:paraId="0A2450D8" w14:textId="77777777" w:rsidR="00BB36CB" w:rsidRPr="007F3428" w:rsidRDefault="00BB36CB" w:rsidP="00BD09BB">
      <w:pPr>
        <w:pStyle w:val="Heading1"/>
        <w:numPr>
          <w:ilvl w:val="0"/>
          <w:numId w:val="16"/>
        </w:numPr>
        <w:spacing w:before="0" w:after="240" w:line="260" w:lineRule="exact"/>
        <w:ind w:left="714" w:hanging="357"/>
        <w:rPr>
          <w:rFonts w:ascii="Lato" w:hAnsi="Lato"/>
          <w:caps w:val="0"/>
          <w:color w:val="000000" w:themeColor="text1"/>
          <w:kern w:val="0"/>
          <w:sz w:val="22"/>
        </w:rPr>
      </w:pPr>
      <w:r w:rsidRPr="007F3428">
        <w:rPr>
          <w:rFonts w:ascii="Lato" w:hAnsi="Lato"/>
          <w:caps w:val="0"/>
          <w:color w:val="000000" w:themeColor="text1"/>
          <w:kern w:val="0"/>
          <w:sz w:val="22"/>
        </w:rPr>
        <w:t xml:space="preserve">The Parties acknowledge that some issues </w:t>
      </w:r>
      <w:r w:rsidR="00EE09D8" w:rsidRPr="007F3428">
        <w:rPr>
          <w:rFonts w:ascii="Lato" w:hAnsi="Lato"/>
          <w:caps w:val="0"/>
          <w:color w:val="000000" w:themeColor="text1"/>
          <w:kern w:val="0"/>
          <w:sz w:val="22"/>
        </w:rPr>
        <w:t>affecting</w:t>
      </w:r>
      <w:r w:rsidRPr="007F3428">
        <w:rPr>
          <w:rFonts w:ascii="Lato" w:hAnsi="Lato"/>
          <w:caps w:val="0"/>
          <w:color w:val="000000" w:themeColor="text1"/>
          <w:kern w:val="0"/>
          <w:sz w:val="22"/>
        </w:rPr>
        <w:t xml:space="preserve"> education</w:t>
      </w:r>
      <w:r w:rsidR="009B041B" w:rsidRPr="007F3428">
        <w:rPr>
          <w:rFonts w:ascii="Lato" w:hAnsi="Lato"/>
          <w:caps w:val="0"/>
          <w:color w:val="000000" w:themeColor="text1"/>
          <w:kern w:val="0"/>
          <w:sz w:val="22"/>
        </w:rPr>
        <w:t>al</w:t>
      </w:r>
      <w:r w:rsidRPr="007F3428">
        <w:rPr>
          <w:rFonts w:ascii="Lato" w:hAnsi="Lato"/>
          <w:caps w:val="0"/>
          <w:color w:val="000000" w:themeColor="text1"/>
          <w:kern w:val="0"/>
          <w:sz w:val="22"/>
        </w:rPr>
        <w:t xml:space="preserve"> outcomes are outside the control of schools and the education system, such as health and development of the</w:t>
      </w:r>
      <w:r w:rsidR="00995DF4" w:rsidRPr="007F3428">
        <w:rPr>
          <w:rFonts w:ascii="Lato" w:hAnsi="Lato"/>
          <w:caps w:val="0"/>
          <w:color w:val="000000" w:themeColor="text1"/>
          <w:kern w:val="0"/>
          <w:sz w:val="22"/>
        </w:rPr>
        <w:t xml:space="preserve"> </w:t>
      </w:r>
      <w:r w:rsidRPr="007F3428">
        <w:rPr>
          <w:rFonts w:ascii="Lato" w:hAnsi="Lato"/>
          <w:caps w:val="0"/>
          <w:color w:val="000000" w:themeColor="text1"/>
          <w:kern w:val="0"/>
          <w:sz w:val="22"/>
        </w:rPr>
        <w:t>community and limited economic opportunity in many remote communities. The Parties are committed to progressing holistic responses and are committed to working with</w:t>
      </w:r>
      <w:r w:rsidR="00995DF4" w:rsidRPr="007F3428">
        <w:rPr>
          <w:rFonts w:ascii="Lato" w:hAnsi="Lato"/>
          <w:caps w:val="0"/>
          <w:color w:val="000000" w:themeColor="text1"/>
          <w:kern w:val="0"/>
          <w:sz w:val="22"/>
        </w:rPr>
        <w:t xml:space="preserve"> </w:t>
      </w:r>
      <w:r w:rsidRPr="007F3428">
        <w:rPr>
          <w:rFonts w:ascii="Lato" w:hAnsi="Lato"/>
          <w:caps w:val="0"/>
          <w:color w:val="000000" w:themeColor="text1"/>
          <w:kern w:val="0"/>
          <w:sz w:val="22"/>
        </w:rPr>
        <w:t>communities, the not-for-profit sector and businesses to make a contribution to addressing these issues.</w:t>
      </w:r>
    </w:p>
    <w:p w14:paraId="0A2450D9" w14:textId="77777777" w:rsidR="00535722" w:rsidRPr="007F3428" w:rsidRDefault="00535722">
      <w:pPr>
        <w:rPr>
          <w:rFonts w:ascii="Lato" w:hAnsi="Lato"/>
          <w:sz w:val="22"/>
        </w:rPr>
      </w:pPr>
      <w:r w:rsidRPr="007F3428">
        <w:rPr>
          <w:rFonts w:ascii="Lato" w:hAnsi="Lato"/>
          <w:caps/>
          <w:sz w:val="22"/>
        </w:rPr>
        <w:br w:type="page"/>
      </w:r>
    </w:p>
    <w:p w14:paraId="0A2450DA" w14:textId="77777777" w:rsidR="003E230C" w:rsidRPr="007F3428" w:rsidRDefault="003E230C" w:rsidP="00A17D70">
      <w:pPr>
        <w:pStyle w:val="Heading1"/>
        <w:rPr>
          <w:rFonts w:ascii="Lato" w:hAnsi="Lato"/>
        </w:rPr>
      </w:pPr>
      <w:r w:rsidRPr="007F3428">
        <w:rPr>
          <w:rFonts w:ascii="Lato" w:hAnsi="Lato"/>
        </w:rPr>
        <w:lastRenderedPageBreak/>
        <w:t xml:space="preserve">Part 2: Terms of this </w:t>
      </w:r>
      <w:r w:rsidR="00E47C62" w:rsidRPr="007F3428">
        <w:rPr>
          <w:rFonts w:ascii="Lato" w:hAnsi="Lato"/>
        </w:rPr>
        <w:t>Implementation Plan</w:t>
      </w:r>
      <w:r w:rsidR="004D78CB" w:rsidRPr="007F3428">
        <w:rPr>
          <w:rFonts w:ascii="Lato" w:hAnsi="Lato"/>
        </w:rPr>
        <w:tab/>
      </w:r>
    </w:p>
    <w:p w14:paraId="0A2450DB" w14:textId="77777777" w:rsidR="003E230C" w:rsidRPr="007F3428" w:rsidRDefault="003E230C" w:rsidP="003E230C">
      <w:pPr>
        <w:rPr>
          <w:rFonts w:ascii="Lato" w:hAnsi="Lato"/>
        </w:rPr>
      </w:pPr>
    </w:p>
    <w:p w14:paraId="0A2450DC" w14:textId="77777777" w:rsidR="0036688B" w:rsidRPr="007F3428" w:rsidRDefault="0036688B" w:rsidP="007F3428">
      <w:pPr>
        <w:pStyle w:val="Heading1"/>
        <w:numPr>
          <w:ilvl w:val="0"/>
          <w:numId w:val="16"/>
        </w:numPr>
        <w:spacing w:before="0" w:after="240" w:line="260" w:lineRule="exact"/>
        <w:ind w:left="714" w:hanging="357"/>
        <w:rPr>
          <w:rFonts w:ascii="Lato" w:hAnsi="Lato"/>
          <w:sz w:val="22"/>
        </w:rPr>
      </w:pPr>
      <w:r w:rsidRPr="007F3428">
        <w:rPr>
          <w:rFonts w:ascii="Lato" w:hAnsi="Lato"/>
          <w:caps w:val="0"/>
          <w:color w:val="000000" w:themeColor="text1"/>
          <w:kern w:val="0"/>
          <w:sz w:val="22"/>
        </w:rPr>
        <w:t xml:space="preserve">This </w:t>
      </w:r>
      <w:r w:rsidR="00E47C62" w:rsidRPr="007F3428">
        <w:rPr>
          <w:rFonts w:ascii="Lato" w:hAnsi="Lato"/>
          <w:caps w:val="0"/>
          <w:color w:val="000000" w:themeColor="text1"/>
          <w:kern w:val="0"/>
          <w:sz w:val="22"/>
        </w:rPr>
        <w:t>Implementation Plan</w:t>
      </w:r>
      <w:r w:rsidRPr="007F3428">
        <w:rPr>
          <w:rFonts w:ascii="Lato" w:hAnsi="Lato"/>
          <w:caps w:val="0"/>
          <w:color w:val="000000" w:themeColor="text1"/>
          <w:kern w:val="0"/>
          <w:sz w:val="22"/>
        </w:rPr>
        <w:t xml:space="preserve"> will commence as soon as it is agreed between the Commonwealth of Australia, represented by </w:t>
      </w:r>
      <w:r w:rsidR="00995DF4" w:rsidRPr="007F3428">
        <w:rPr>
          <w:rFonts w:ascii="Lato" w:hAnsi="Lato"/>
          <w:caps w:val="0"/>
          <w:color w:val="000000" w:themeColor="text1"/>
          <w:kern w:val="0"/>
          <w:sz w:val="22"/>
        </w:rPr>
        <w:t xml:space="preserve">the </w:t>
      </w:r>
      <w:r w:rsidR="00F74759">
        <w:rPr>
          <w:rFonts w:ascii="Lato" w:hAnsi="Lato"/>
          <w:caps w:val="0"/>
          <w:color w:val="000000" w:themeColor="text1"/>
          <w:kern w:val="0"/>
          <w:sz w:val="22"/>
        </w:rPr>
        <w:t>Minister for Indigenous Affairs</w:t>
      </w:r>
      <w:r w:rsidRPr="007F3428">
        <w:rPr>
          <w:rFonts w:ascii="Lato" w:hAnsi="Lato"/>
          <w:caps w:val="0"/>
          <w:color w:val="000000" w:themeColor="text1"/>
          <w:kern w:val="0"/>
          <w:sz w:val="22"/>
        </w:rPr>
        <w:t xml:space="preserve">, and the </w:t>
      </w:r>
      <w:r w:rsidR="00995DF4" w:rsidRPr="007F3428">
        <w:rPr>
          <w:rFonts w:ascii="Lato" w:hAnsi="Lato"/>
          <w:caps w:val="0"/>
          <w:color w:val="000000" w:themeColor="text1"/>
          <w:kern w:val="0"/>
          <w:sz w:val="22"/>
        </w:rPr>
        <w:t xml:space="preserve">Northern Territory </w:t>
      </w:r>
      <w:r w:rsidRPr="007F3428">
        <w:rPr>
          <w:rFonts w:ascii="Lato" w:hAnsi="Lato"/>
          <w:caps w:val="0"/>
          <w:color w:val="000000" w:themeColor="text1"/>
          <w:kern w:val="0"/>
          <w:sz w:val="22"/>
        </w:rPr>
        <w:t xml:space="preserve">represented by </w:t>
      </w:r>
      <w:r w:rsidR="00995DF4" w:rsidRPr="007F3428">
        <w:rPr>
          <w:rFonts w:ascii="Lato" w:hAnsi="Lato"/>
          <w:caps w:val="0"/>
          <w:color w:val="000000" w:themeColor="text1"/>
          <w:kern w:val="0"/>
          <w:sz w:val="22"/>
        </w:rPr>
        <w:t xml:space="preserve">the </w:t>
      </w:r>
      <w:r w:rsidRPr="007F3428">
        <w:rPr>
          <w:rFonts w:ascii="Lato" w:hAnsi="Lato"/>
          <w:caps w:val="0"/>
          <w:color w:val="000000" w:themeColor="text1"/>
          <w:kern w:val="0"/>
          <w:sz w:val="22"/>
        </w:rPr>
        <w:t xml:space="preserve">Minister for </w:t>
      </w:r>
      <w:r w:rsidR="00995DF4" w:rsidRPr="007F3428">
        <w:rPr>
          <w:rFonts w:ascii="Lato" w:hAnsi="Lato"/>
          <w:caps w:val="0"/>
          <w:color w:val="000000" w:themeColor="text1"/>
          <w:kern w:val="0"/>
          <w:sz w:val="22"/>
        </w:rPr>
        <w:t>Education</w:t>
      </w:r>
      <w:r w:rsidRPr="007F3428">
        <w:rPr>
          <w:rFonts w:ascii="Lato" w:hAnsi="Lato"/>
          <w:caps w:val="0"/>
          <w:color w:val="000000" w:themeColor="text1"/>
          <w:kern w:val="0"/>
          <w:sz w:val="22"/>
        </w:rPr>
        <w:t>.</w:t>
      </w:r>
    </w:p>
    <w:p w14:paraId="0A2450DD" w14:textId="77777777" w:rsidR="00995DF4" w:rsidRPr="007F3428" w:rsidRDefault="0036688B" w:rsidP="007F3428">
      <w:pPr>
        <w:pStyle w:val="Heading1"/>
        <w:numPr>
          <w:ilvl w:val="0"/>
          <w:numId w:val="16"/>
        </w:numPr>
        <w:spacing w:before="0" w:after="240" w:line="260" w:lineRule="exact"/>
        <w:ind w:left="714" w:hanging="357"/>
        <w:rPr>
          <w:rFonts w:ascii="Lato" w:hAnsi="Lato"/>
          <w:sz w:val="22"/>
        </w:rPr>
      </w:pPr>
      <w:r w:rsidRPr="007F3428">
        <w:rPr>
          <w:rFonts w:ascii="Lato" w:hAnsi="Lato"/>
          <w:caps w:val="0"/>
          <w:color w:val="000000" w:themeColor="text1"/>
          <w:kern w:val="0"/>
          <w:sz w:val="22"/>
        </w:rPr>
        <w:t xml:space="preserve">As a schedule to the </w:t>
      </w:r>
      <w:r w:rsidR="00A02BD1">
        <w:rPr>
          <w:rFonts w:ascii="Lato" w:hAnsi="Lato"/>
          <w:caps w:val="0"/>
          <w:color w:val="000000" w:themeColor="text1"/>
          <w:kern w:val="0"/>
          <w:sz w:val="22"/>
        </w:rPr>
        <w:t>Agreement</w:t>
      </w:r>
      <w:r w:rsidRPr="007F3428">
        <w:rPr>
          <w:rFonts w:ascii="Lato" w:hAnsi="Lato"/>
          <w:caps w:val="0"/>
          <w:color w:val="000000" w:themeColor="text1"/>
          <w:kern w:val="0"/>
          <w:sz w:val="22"/>
        </w:rPr>
        <w:t xml:space="preserve">, the purpose of this </w:t>
      </w:r>
      <w:r w:rsidR="00E47C62" w:rsidRPr="007F3428">
        <w:rPr>
          <w:rFonts w:ascii="Lato" w:hAnsi="Lato"/>
          <w:caps w:val="0"/>
          <w:color w:val="000000" w:themeColor="text1"/>
          <w:kern w:val="0"/>
          <w:sz w:val="22"/>
        </w:rPr>
        <w:t>Implementation Plan</w:t>
      </w:r>
      <w:r w:rsidRPr="007F3428">
        <w:rPr>
          <w:rFonts w:ascii="Lato" w:hAnsi="Lato"/>
          <w:caps w:val="0"/>
          <w:color w:val="000000" w:themeColor="text1"/>
          <w:kern w:val="0"/>
          <w:sz w:val="22"/>
        </w:rPr>
        <w:t xml:space="preserve"> is to provide the public with </w:t>
      </w:r>
      <w:r w:rsidR="007B7FDC" w:rsidRPr="007F3428">
        <w:rPr>
          <w:rFonts w:ascii="Lato" w:hAnsi="Lato"/>
          <w:caps w:val="0"/>
          <w:color w:val="000000" w:themeColor="text1"/>
          <w:kern w:val="0"/>
          <w:sz w:val="22"/>
        </w:rPr>
        <w:t xml:space="preserve">an indication </w:t>
      </w:r>
      <w:r w:rsidR="00995DF4" w:rsidRPr="007F3428">
        <w:rPr>
          <w:rFonts w:ascii="Lato" w:hAnsi="Lato"/>
          <w:caps w:val="0"/>
          <w:color w:val="000000" w:themeColor="text1"/>
          <w:kern w:val="0"/>
          <w:sz w:val="22"/>
        </w:rPr>
        <w:t>of Commonwealth and Northern Territory effort in relation to the aims that:</w:t>
      </w:r>
    </w:p>
    <w:p w14:paraId="0A2450DE" w14:textId="77777777" w:rsidR="00C120F6" w:rsidRPr="007F3428" w:rsidRDefault="00C120F6" w:rsidP="00301382">
      <w:pPr>
        <w:pStyle w:val="Normalnumbered"/>
        <w:numPr>
          <w:ilvl w:val="0"/>
          <w:numId w:val="18"/>
        </w:numPr>
        <w:spacing w:after="240" w:line="260" w:lineRule="exact"/>
        <w:jc w:val="both"/>
        <w:rPr>
          <w:rFonts w:ascii="Lato" w:hAnsi="Lato"/>
          <w:sz w:val="22"/>
        </w:rPr>
      </w:pPr>
      <w:r w:rsidRPr="007F3428">
        <w:rPr>
          <w:rFonts w:ascii="Lato" w:hAnsi="Lato"/>
          <w:sz w:val="22"/>
        </w:rPr>
        <w:t>Aboriginal children entering primary schooling have the skills and attributes they need to succeed in their education;</w:t>
      </w:r>
    </w:p>
    <w:p w14:paraId="0A2450DF" w14:textId="77777777" w:rsidR="00C120F6" w:rsidRPr="007F3428" w:rsidRDefault="00C120F6" w:rsidP="00301382">
      <w:pPr>
        <w:pStyle w:val="Normalnumbered"/>
        <w:numPr>
          <w:ilvl w:val="0"/>
          <w:numId w:val="18"/>
        </w:numPr>
        <w:spacing w:after="240" w:line="260" w:lineRule="exact"/>
        <w:jc w:val="both"/>
        <w:rPr>
          <w:rFonts w:ascii="Lato" w:hAnsi="Lato"/>
          <w:sz w:val="22"/>
        </w:rPr>
      </w:pPr>
      <w:r w:rsidRPr="007F3428">
        <w:rPr>
          <w:rFonts w:ascii="Lato" w:hAnsi="Lato"/>
          <w:sz w:val="22"/>
        </w:rPr>
        <w:t>Aboriginal children at all stages of schooling attend school regularly and are supported in their education by their families and community;</w:t>
      </w:r>
    </w:p>
    <w:p w14:paraId="0A2450E0" w14:textId="77777777" w:rsidR="00C120F6" w:rsidRPr="007F3428" w:rsidRDefault="00C120F6" w:rsidP="00301382">
      <w:pPr>
        <w:pStyle w:val="Normalnumbered"/>
        <w:numPr>
          <w:ilvl w:val="0"/>
          <w:numId w:val="18"/>
        </w:numPr>
        <w:spacing w:after="240" w:line="260" w:lineRule="exact"/>
        <w:jc w:val="both"/>
        <w:rPr>
          <w:rFonts w:ascii="Lato" w:hAnsi="Lato"/>
          <w:sz w:val="22"/>
        </w:rPr>
      </w:pPr>
      <w:r w:rsidRPr="007F3428">
        <w:rPr>
          <w:rFonts w:ascii="Lato" w:hAnsi="Lato"/>
          <w:sz w:val="22"/>
        </w:rPr>
        <w:t>Aboriginal student outcomes are improved through a consistent, system-wide approach to providing highly skilled and motivated educators and leaders in our schools;</w:t>
      </w:r>
    </w:p>
    <w:p w14:paraId="0A2450E1" w14:textId="77777777" w:rsidR="00C120F6" w:rsidRPr="007F3428" w:rsidRDefault="00C120F6" w:rsidP="00301382">
      <w:pPr>
        <w:pStyle w:val="Normalnumbered"/>
        <w:numPr>
          <w:ilvl w:val="0"/>
          <w:numId w:val="18"/>
        </w:numPr>
        <w:spacing w:after="240" w:line="260" w:lineRule="exact"/>
        <w:jc w:val="both"/>
        <w:rPr>
          <w:rFonts w:ascii="Lato" w:hAnsi="Lato"/>
          <w:sz w:val="22"/>
        </w:rPr>
      </w:pPr>
      <w:r w:rsidRPr="007F3428">
        <w:rPr>
          <w:rFonts w:ascii="Lato" w:hAnsi="Lato"/>
          <w:sz w:val="22"/>
        </w:rPr>
        <w:t>Aboriginal students complete schooling well equipped to take up employment, training and higher education opportunities; and</w:t>
      </w:r>
    </w:p>
    <w:p w14:paraId="0A2450E2" w14:textId="77777777" w:rsidR="00C120F6" w:rsidRPr="007F3428" w:rsidRDefault="00C120F6" w:rsidP="00301382">
      <w:pPr>
        <w:pStyle w:val="Normalnumbered"/>
        <w:numPr>
          <w:ilvl w:val="0"/>
          <w:numId w:val="18"/>
        </w:numPr>
        <w:spacing w:after="240" w:line="260" w:lineRule="exact"/>
        <w:jc w:val="both"/>
        <w:rPr>
          <w:rFonts w:ascii="Lato" w:hAnsi="Lato"/>
          <w:sz w:val="22"/>
        </w:rPr>
      </w:pPr>
      <w:r w:rsidRPr="007F3428">
        <w:rPr>
          <w:rFonts w:ascii="Lato" w:hAnsi="Lato"/>
          <w:sz w:val="22"/>
        </w:rPr>
        <w:t>Aboriginal students achieve age benchmarks in literacy and numeracy in their primary years of schooling, and plan for their secondary education with confidence.</w:t>
      </w:r>
    </w:p>
    <w:p w14:paraId="0A2450E3" w14:textId="77777777" w:rsidR="0036688B" w:rsidRPr="00DE1881" w:rsidRDefault="0036688B" w:rsidP="00BD09BB">
      <w:pPr>
        <w:pStyle w:val="Normalnumbered"/>
        <w:numPr>
          <w:ilvl w:val="0"/>
          <w:numId w:val="16"/>
        </w:numPr>
        <w:spacing w:after="240" w:line="260" w:lineRule="exact"/>
        <w:rPr>
          <w:rFonts w:ascii="Lato" w:hAnsi="Lato"/>
          <w:sz w:val="22"/>
        </w:rPr>
      </w:pPr>
      <w:r w:rsidRPr="007F3428">
        <w:rPr>
          <w:rFonts w:ascii="Lato" w:hAnsi="Lato"/>
          <w:sz w:val="22"/>
        </w:rPr>
        <w:t xml:space="preserve">This </w:t>
      </w:r>
      <w:r w:rsidR="00E47C62" w:rsidRPr="007F3428">
        <w:rPr>
          <w:rFonts w:ascii="Lato" w:hAnsi="Lato"/>
          <w:sz w:val="22"/>
        </w:rPr>
        <w:t>Implementation Plan</w:t>
      </w:r>
      <w:r w:rsidRPr="007F3428">
        <w:rPr>
          <w:rFonts w:ascii="Lato" w:hAnsi="Lato"/>
          <w:sz w:val="22"/>
        </w:rPr>
        <w:t xml:space="preserve"> will cease on completion </w:t>
      </w:r>
      <w:r w:rsidR="00F9039F" w:rsidRPr="007F3428">
        <w:rPr>
          <w:rFonts w:ascii="Lato" w:hAnsi="Lato"/>
          <w:sz w:val="22"/>
        </w:rPr>
        <w:t xml:space="preserve">or termination </w:t>
      </w:r>
      <w:r w:rsidRPr="007F3428">
        <w:rPr>
          <w:rFonts w:ascii="Lato" w:hAnsi="Lato"/>
          <w:sz w:val="22"/>
        </w:rPr>
        <w:t xml:space="preserve">of </w:t>
      </w:r>
      <w:r w:rsidR="00AC5296" w:rsidRPr="007F3428">
        <w:rPr>
          <w:rFonts w:ascii="Lato" w:hAnsi="Lato"/>
          <w:sz w:val="22"/>
        </w:rPr>
        <w:t xml:space="preserve">the </w:t>
      </w:r>
      <w:r w:rsidR="00A02BD1">
        <w:rPr>
          <w:rFonts w:ascii="Lato" w:hAnsi="Lato"/>
          <w:sz w:val="22"/>
        </w:rPr>
        <w:t>Agreement</w:t>
      </w:r>
      <w:r w:rsidR="00BC5FA5" w:rsidRPr="007F3428">
        <w:rPr>
          <w:rFonts w:ascii="Lato" w:hAnsi="Lato"/>
          <w:sz w:val="22"/>
        </w:rPr>
        <w:t>, including final performance reporting and processing of final payments against performance benchmarks or milestones.</w:t>
      </w:r>
      <w:r w:rsidR="006469DB" w:rsidRPr="007F3428">
        <w:rPr>
          <w:rFonts w:ascii="Lato" w:hAnsi="Lato"/>
          <w:sz w:val="22"/>
        </w:rPr>
        <w:t xml:space="preserve"> T</w:t>
      </w:r>
      <w:r w:rsidRPr="007F3428">
        <w:rPr>
          <w:rFonts w:ascii="Lato" w:hAnsi="Lato"/>
          <w:sz w:val="22"/>
        </w:rPr>
        <w:t xml:space="preserve">his </w:t>
      </w:r>
      <w:r w:rsidR="00E47C62" w:rsidRPr="007F3428">
        <w:rPr>
          <w:rFonts w:ascii="Lato" w:hAnsi="Lato"/>
          <w:sz w:val="22"/>
        </w:rPr>
        <w:t>Implementation Plan</w:t>
      </w:r>
      <w:r w:rsidRPr="007F3428">
        <w:rPr>
          <w:rFonts w:ascii="Lato" w:hAnsi="Lato"/>
          <w:sz w:val="22"/>
        </w:rPr>
        <w:t xml:space="preserve"> may be varied by written agreement between the </w:t>
      </w:r>
      <w:r w:rsidR="00D3241C" w:rsidRPr="007F3428">
        <w:rPr>
          <w:rFonts w:ascii="Lato" w:hAnsi="Lato"/>
          <w:sz w:val="22"/>
        </w:rPr>
        <w:t xml:space="preserve">Commonwealth and </w:t>
      </w:r>
      <w:r w:rsidR="00F74759">
        <w:rPr>
          <w:rFonts w:ascii="Lato" w:hAnsi="Lato"/>
          <w:sz w:val="22"/>
        </w:rPr>
        <w:t xml:space="preserve">Northern </w:t>
      </w:r>
      <w:r w:rsidR="001D43E8" w:rsidRPr="00BD5E05">
        <w:rPr>
          <w:rFonts w:ascii="Lato" w:hAnsi="Lato"/>
          <w:sz w:val="22"/>
          <w:szCs w:val="22"/>
        </w:rPr>
        <w:t>Territory</w:t>
      </w:r>
      <w:r w:rsidR="00D3241C" w:rsidRPr="00DE1881">
        <w:rPr>
          <w:rFonts w:ascii="Lato" w:hAnsi="Lato"/>
          <w:sz w:val="22"/>
        </w:rPr>
        <w:t xml:space="preserve"> </w:t>
      </w:r>
      <w:r w:rsidRPr="00DE1881">
        <w:rPr>
          <w:rFonts w:ascii="Lato" w:hAnsi="Lato"/>
          <w:sz w:val="22"/>
        </w:rPr>
        <w:t>Ministers</w:t>
      </w:r>
      <w:r w:rsidR="00D3241C" w:rsidRPr="00DE1881">
        <w:rPr>
          <w:rFonts w:ascii="Lato" w:hAnsi="Lato"/>
          <w:sz w:val="22"/>
        </w:rPr>
        <w:t xml:space="preserve"> responsible for it under the overarching </w:t>
      </w:r>
      <w:r w:rsidR="006469DB" w:rsidRPr="00DE1881">
        <w:rPr>
          <w:rFonts w:ascii="Lato" w:hAnsi="Lato"/>
          <w:sz w:val="22"/>
        </w:rPr>
        <w:t>Agreement</w:t>
      </w:r>
      <w:r w:rsidRPr="00DE1881">
        <w:rPr>
          <w:rFonts w:ascii="Lato" w:hAnsi="Lato"/>
          <w:sz w:val="22"/>
        </w:rPr>
        <w:t xml:space="preserve">. </w:t>
      </w:r>
    </w:p>
    <w:p w14:paraId="0A2450E4" w14:textId="77777777" w:rsidR="0036688B" w:rsidRPr="00DE1881" w:rsidRDefault="0036688B" w:rsidP="00664722">
      <w:pPr>
        <w:pStyle w:val="Normalnumbered"/>
        <w:numPr>
          <w:ilvl w:val="0"/>
          <w:numId w:val="16"/>
        </w:numPr>
        <w:spacing w:after="240" w:line="260" w:lineRule="exact"/>
        <w:rPr>
          <w:rFonts w:ascii="Lato" w:hAnsi="Lato"/>
          <w:sz w:val="22"/>
        </w:rPr>
      </w:pPr>
      <w:r w:rsidRPr="00DE1881">
        <w:rPr>
          <w:rFonts w:ascii="Lato" w:hAnsi="Lato"/>
          <w:sz w:val="22"/>
        </w:rPr>
        <w:t xml:space="preserve">The Parties to this </w:t>
      </w:r>
      <w:r w:rsidR="00E47C62" w:rsidRPr="00DE1881">
        <w:rPr>
          <w:rFonts w:ascii="Lato" w:hAnsi="Lato"/>
          <w:sz w:val="22"/>
        </w:rPr>
        <w:t>Implementation Plan</w:t>
      </w:r>
      <w:r w:rsidRPr="00DE1881">
        <w:rPr>
          <w:rFonts w:ascii="Lato" w:hAnsi="Lato"/>
          <w:sz w:val="22"/>
        </w:rPr>
        <w:t xml:space="preserve"> do not intend any of the provisions to be legally enforceable. However, that does not lessen the Parties’ commitment to </w:t>
      </w:r>
      <w:r w:rsidR="00CD5739" w:rsidRPr="00DE1881">
        <w:rPr>
          <w:rFonts w:ascii="Lato" w:hAnsi="Lato"/>
          <w:sz w:val="22"/>
        </w:rPr>
        <w:t xml:space="preserve">the plan and its full </w:t>
      </w:r>
      <w:r w:rsidRPr="00DE1881">
        <w:rPr>
          <w:rFonts w:ascii="Lato" w:hAnsi="Lato"/>
          <w:sz w:val="22"/>
        </w:rPr>
        <w:t>implementation.</w:t>
      </w:r>
    </w:p>
    <w:p w14:paraId="0A2450E5" w14:textId="77777777" w:rsidR="00535722" w:rsidRDefault="00535722">
      <w:pPr>
        <w:rPr>
          <w:rFonts w:ascii="Lato" w:hAnsi="Lato" w:cs="Arial"/>
          <w:bCs/>
          <w:caps/>
          <w:color w:val="3D4B67"/>
          <w:kern w:val="32"/>
          <w:sz w:val="32"/>
          <w:szCs w:val="36"/>
        </w:rPr>
      </w:pPr>
      <w:r>
        <w:rPr>
          <w:rFonts w:ascii="Lato" w:hAnsi="Lato"/>
        </w:rPr>
        <w:br w:type="page"/>
      </w:r>
    </w:p>
    <w:p w14:paraId="0A2450E6" w14:textId="77777777" w:rsidR="0036688B" w:rsidRPr="00DE1881" w:rsidRDefault="0036688B" w:rsidP="00A17D70">
      <w:pPr>
        <w:pStyle w:val="Heading1"/>
        <w:rPr>
          <w:rFonts w:ascii="Lato" w:hAnsi="Lato"/>
        </w:rPr>
      </w:pPr>
      <w:r w:rsidRPr="00DE1881">
        <w:rPr>
          <w:rFonts w:ascii="Lato" w:hAnsi="Lato"/>
        </w:rPr>
        <w:lastRenderedPageBreak/>
        <w:t xml:space="preserve">Part </w:t>
      </w:r>
      <w:r w:rsidR="00C26A29" w:rsidRPr="00DE1881">
        <w:rPr>
          <w:rFonts w:ascii="Lato" w:hAnsi="Lato"/>
        </w:rPr>
        <w:t>3</w:t>
      </w:r>
      <w:r w:rsidRPr="00DE1881">
        <w:rPr>
          <w:rFonts w:ascii="Lato" w:hAnsi="Lato"/>
        </w:rPr>
        <w:t>: Strategy for implementation</w:t>
      </w:r>
    </w:p>
    <w:p w14:paraId="0A2450E7" w14:textId="77777777" w:rsidR="00BB28A8" w:rsidRPr="00DE1881" w:rsidRDefault="00BB28A8" w:rsidP="00F76351">
      <w:pPr>
        <w:pStyle w:val="Heading2"/>
        <w:spacing w:after="120"/>
        <w:rPr>
          <w:rFonts w:ascii="Lato" w:hAnsi="Lato"/>
        </w:rPr>
      </w:pPr>
      <w:r w:rsidRPr="00DE1881">
        <w:rPr>
          <w:rFonts w:ascii="Lato" w:hAnsi="Lato"/>
        </w:rPr>
        <w:t xml:space="preserve">Relevant Northern Territory </w:t>
      </w:r>
      <w:r w:rsidR="00F76351" w:rsidRPr="00DE1881">
        <w:rPr>
          <w:rFonts w:ascii="Lato" w:hAnsi="Lato"/>
        </w:rPr>
        <w:t>C</w:t>
      </w:r>
      <w:r w:rsidRPr="00DE1881">
        <w:rPr>
          <w:rFonts w:ascii="Lato" w:hAnsi="Lato"/>
        </w:rPr>
        <w:t>ontext</w:t>
      </w:r>
    </w:p>
    <w:p w14:paraId="0A2450E8" w14:textId="77777777" w:rsidR="00BB28A8" w:rsidRPr="00DE1881" w:rsidRDefault="00BB28A8" w:rsidP="00BD09BB">
      <w:pPr>
        <w:pStyle w:val="Normalnumbered"/>
        <w:numPr>
          <w:ilvl w:val="0"/>
          <w:numId w:val="16"/>
        </w:numPr>
        <w:spacing w:after="240" w:line="260" w:lineRule="exact"/>
        <w:rPr>
          <w:rFonts w:ascii="Lato" w:hAnsi="Lato"/>
          <w:sz w:val="22"/>
        </w:rPr>
      </w:pPr>
      <w:r w:rsidRPr="00DE1881">
        <w:rPr>
          <w:rFonts w:ascii="Lato" w:hAnsi="Lato"/>
          <w:sz w:val="22"/>
        </w:rPr>
        <w:t>In developing this Implementation Plan consideration has been given to relevant Northern Territory context.</w:t>
      </w:r>
    </w:p>
    <w:p w14:paraId="0A2450E9" w14:textId="77777777" w:rsidR="00BB28A8" w:rsidRPr="00DE1881" w:rsidRDefault="00BB28A8" w:rsidP="00BD09BB">
      <w:pPr>
        <w:pStyle w:val="Normalnumbered"/>
        <w:numPr>
          <w:ilvl w:val="0"/>
          <w:numId w:val="16"/>
        </w:numPr>
        <w:spacing w:after="240" w:line="260" w:lineRule="exact"/>
        <w:rPr>
          <w:rFonts w:ascii="Lato" w:hAnsi="Lato"/>
          <w:sz w:val="22"/>
        </w:rPr>
      </w:pPr>
      <w:r w:rsidRPr="00DE1881">
        <w:rPr>
          <w:rFonts w:ascii="Lato" w:hAnsi="Lato"/>
          <w:sz w:val="22"/>
        </w:rPr>
        <w:t>The Northern Territory's school age population differs in profile from all other jurisdictions. The differences demonstrated in Table 1</w:t>
      </w:r>
      <w:r w:rsidR="000263CE" w:rsidRPr="00DE1881">
        <w:rPr>
          <w:rFonts w:ascii="Lato" w:hAnsi="Lato"/>
          <w:sz w:val="22"/>
        </w:rPr>
        <w:t xml:space="preserve"> </w:t>
      </w:r>
      <w:r w:rsidRPr="00DE1881">
        <w:rPr>
          <w:rFonts w:ascii="Lato" w:hAnsi="Lato"/>
          <w:sz w:val="22"/>
        </w:rPr>
        <w:t>impact on the costs and challenges of effective and quality education service delivery in the Northern Territory.</w:t>
      </w:r>
    </w:p>
    <w:p w14:paraId="0A2450EA" w14:textId="77777777" w:rsidR="00BB28A8" w:rsidRPr="00DE1881" w:rsidRDefault="00BB28A8" w:rsidP="00BB28A8">
      <w:pPr>
        <w:pStyle w:val="Normalnumbered"/>
        <w:numPr>
          <w:ilvl w:val="0"/>
          <w:numId w:val="0"/>
        </w:numPr>
        <w:ind w:left="567"/>
        <w:rPr>
          <w:rFonts w:ascii="Lato" w:hAnsi="Lato"/>
          <w:b/>
          <w:color w:val="3D4B67"/>
        </w:rPr>
      </w:pPr>
      <w:r w:rsidRPr="00DE1881">
        <w:rPr>
          <w:rFonts w:ascii="Lato" w:hAnsi="Lato"/>
          <w:b/>
          <w:color w:val="3D4B67"/>
        </w:rPr>
        <w:t>Table 1: Characteristics of the Northern Territory School Aged Population</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55"/>
        <w:gridCol w:w="1559"/>
        <w:gridCol w:w="1276"/>
      </w:tblGrid>
      <w:tr w:rsidR="00EE5D3E" w:rsidRPr="00BD5E05" w14:paraId="0A2450F0" w14:textId="77777777" w:rsidTr="001F141A">
        <w:trPr>
          <w:trHeight w:hRule="exact" w:val="1039"/>
        </w:trPr>
        <w:tc>
          <w:tcPr>
            <w:tcW w:w="5555" w:type="dxa"/>
            <w:shd w:val="clear" w:color="auto" w:fill="D9D9D9" w:themeFill="background1" w:themeFillShade="D9"/>
          </w:tcPr>
          <w:p w14:paraId="0A2450EB" w14:textId="77777777" w:rsidR="00EE5D3E" w:rsidRPr="00DE1881" w:rsidRDefault="00EE5D3E" w:rsidP="000C0614">
            <w:pPr>
              <w:pStyle w:val="TableParagraph"/>
              <w:spacing w:before="40"/>
              <w:ind w:left="208"/>
              <w:rPr>
                <w:rFonts w:ascii="Lato" w:hAnsi="Lato"/>
              </w:rPr>
            </w:pPr>
            <w:r w:rsidRPr="00DE1881">
              <w:rPr>
                <w:rFonts w:ascii="Lato" w:hAnsi="Lato"/>
              </w:rPr>
              <w:t>Dimension</w:t>
            </w:r>
          </w:p>
        </w:tc>
        <w:tc>
          <w:tcPr>
            <w:tcW w:w="1559" w:type="dxa"/>
            <w:shd w:val="clear" w:color="auto" w:fill="D9D9D9" w:themeFill="background1" w:themeFillShade="D9"/>
          </w:tcPr>
          <w:p w14:paraId="0A2450EC" w14:textId="77777777" w:rsidR="00EE5D3E" w:rsidRPr="00DE1881" w:rsidRDefault="00EE5D3E" w:rsidP="000C0614">
            <w:pPr>
              <w:pStyle w:val="TableParagraph"/>
              <w:spacing w:before="45" w:line="247" w:lineRule="auto"/>
              <w:ind w:left="212" w:right="192"/>
              <w:jc w:val="center"/>
              <w:rPr>
                <w:rFonts w:ascii="Lato" w:hAnsi="Lato"/>
              </w:rPr>
            </w:pPr>
            <w:r w:rsidRPr="00DE1881">
              <w:rPr>
                <w:rFonts w:ascii="Lato" w:hAnsi="Lato"/>
              </w:rPr>
              <w:t>Northern</w:t>
            </w:r>
            <w:r w:rsidRPr="00DE1881">
              <w:rPr>
                <w:rFonts w:ascii="Lato" w:hAnsi="Lato"/>
                <w:w w:val="103"/>
              </w:rPr>
              <w:t xml:space="preserve"> </w:t>
            </w:r>
            <w:r w:rsidRPr="00DE1881">
              <w:rPr>
                <w:rFonts w:ascii="Lato" w:hAnsi="Lato"/>
                <w:w w:val="105"/>
              </w:rPr>
              <w:t>Territory</w:t>
            </w:r>
          </w:p>
          <w:p w14:paraId="0A2450ED" w14:textId="77777777" w:rsidR="00EE5D3E" w:rsidRPr="00DE1881" w:rsidRDefault="00EE5D3E" w:rsidP="000C0614">
            <w:pPr>
              <w:pStyle w:val="TableParagraph"/>
              <w:spacing w:before="13" w:line="178" w:lineRule="exact"/>
              <w:ind w:left="40"/>
              <w:jc w:val="center"/>
              <w:rPr>
                <w:rFonts w:ascii="Lato" w:hAnsi="Lato"/>
              </w:rPr>
            </w:pPr>
            <w:r w:rsidRPr="00DE1881">
              <w:rPr>
                <w:rFonts w:ascii="Lato" w:hAnsi="Lato"/>
                <w:w w:val="105"/>
              </w:rPr>
              <w:t>%</w:t>
            </w:r>
          </w:p>
        </w:tc>
        <w:tc>
          <w:tcPr>
            <w:tcW w:w="1276" w:type="dxa"/>
            <w:shd w:val="clear" w:color="auto" w:fill="D9D9D9" w:themeFill="background1" w:themeFillShade="D9"/>
          </w:tcPr>
          <w:p w14:paraId="0A2450EE" w14:textId="77777777" w:rsidR="00EE5D3E" w:rsidRPr="00DE1881" w:rsidRDefault="00EE5D3E" w:rsidP="000C0614">
            <w:pPr>
              <w:pStyle w:val="TableParagraph"/>
              <w:spacing w:before="50"/>
              <w:ind w:right="44"/>
              <w:jc w:val="center"/>
              <w:rPr>
                <w:rFonts w:ascii="Lato" w:hAnsi="Lato"/>
              </w:rPr>
            </w:pPr>
            <w:r w:rsidRPr="00DE1881">
              <w:rPr>
                <w:rFonts w:ascii="Lato" w:hAnsi="Lato"/>
              </w:rPr>
              <w:t>Australia</w:t>
            </w:r>
          </w:p>
          <w:p w14:paraId="0A2450EF" w14:textId="77777777" w:rsidR="00EE5D3E" w:rsidRPr="00DE1881" w:rsidRDefault="00EE5D3E" w:rsidP="000C0614">
            <w:pPr>
              <w:pStyle w:val="TableParagraph"/>
              <w:spacing w:before="24"/>
              <w:ind w:left="2"/>
              <w:jc w:val="center"/>
              <w:rPr>
                <w:rFonts w:ascii="Lato" w:hAnsi="Lato"/>
              </w:rPr>
            </w:pPr>
            <w:r w:rsidRPr="00DE1881">
              <w:rPr>
                <w:rFonts w:ascii="Lato" w:hAnsi="Lato"/>
                <w:w w:val="105"/>
              </w:rPr>
              <w:t>%</w:t>
            </w:r>
          </w:p>
        </w:tc>
      </w:tr>
      <w:tr w:rsidR="00EE5D3E" w:rsidRPr="00BD5E05" w14:paraId="0A2450F4" w14:textId="77777777" w:rsidTr="001F141A">
        <w:trPr>
          <w:trHeight w:hRule="exact" w:val="662"/>
        </w:trPr>
        <w:tc>
          <w:tcPr>
            <w:tcW w:w="5555" w:type="dxa"/>
          </w:tcPr>
          <w:p w14:paraId="0A2450F1" w14:textId="77777777" w:rsidR="00EE5D3E" w:rsidRPr="00DE1881" w:rsidRDefault="00EE5D3E" w:rsidP="000C0614">
            <w:pPr>
              <w:pStyle w:val="TableParagraph"/>
              <w:spacing w:before="40" w:after="120"/>
              <w:ind w:left="189" w:right="66" w:firstLine="9"/>
              <w:rPr>
                <w:rFonts w:ascii="Lato" w:hAnsi="Lato"/>
              </w:rPr>
            </w:pPr>
            <w:r w:rsidRPr="00DE1881">
              <w:rPr>
                <w:rFonts w:ascii="Lato" w:hAnsi="Lato"/>
              </w:rPr>
              <w:t>School age</w:t>
            </w:r>
            <w:r w:rsidRPr="00DE1881">
              <w:rPr>
                <w:rFonts w:ascii="Lato" w:hAnsi="Lato"/>
                <w:spacing w:val="10"/>
              </w:rPr>
              <w:t xml:space="preserve"> </w:t>
            </w:r>
            <w:r w:rsidRPr="00DE1881">
              <w:rPr>
                <w:rFonts w:ascii="Lato" w:hAnsi="Lato"/>
              </w:rPr>
              <w:t>population in the most disadvantaged socio-economic group</w:t>
            </w:r>
            <w:r w:rsidRPr="00DE1881">
              <w:rPr>
                <w:rFonts w:ascii="Lato" w:hAnsi="Lato"/>
                <w:w w:val="101"/>
              </w:rPr>
              <w:t xml:space="preserve"> </w:t>
            </w:r>
            <w:r w:rsidRPr="00DE1881">
              <w:rPr>
                <w:rFonts w:ascii="Lato" w:hAnsi="Lato"/>
              </w:rPr>
              <w:t>(lowest</w:t>
            </w:r>
            <w:r w:rsidRPr="00DE1881">
              <w:rPr>
                <w:rFonts w:ascii="Lato" w:hAnsi="Lato"/>
                <w:spacing w:val="5"/>
              </w:rPr>
              <w:t xml:space="preserve"> </w:t>
            </w:r>
            <w:r w:rsidRPr="00DE1881">
              <w:rPr>
                <w:rFonts w:ascii="Lato" w:hAnsi="Lato"/>
              </w:rPr>
              <w:t>decile)</w:t>
            </w:r>
            <w:r w:rsidRPr="00DE1881">
              <w:rPr>
                <w:rFonts w:ascii="Lato" w:hAnsi="Lato"/>
                <w:vertAlign w:val="superscript"/>
              </w:rPr>
              <w:t>1</w:t>
            </w:r>
          </w:p>
        </w:tc>
        <w:tc>
          <w:tcPr>
            <w:tcW w:w="1559" w:type="dxa"/>
            <w:vAlign w:val="center"/>
          </w:tcPr>
          <w:p w14:paraId="0A2450F2" w14:textId="77777777" w:rsidR="00EE5D3E" w:rsidRPr="00DE1881" w:rsidRDefault="00EE5D3E" w:rsidP="000C0614">
            <w:pPr>
              <w:pStyle w:val="TableParagraph"/>
              <w:spacing w:after="120"/>
              <w:ind w:left="34"/>
              <w:jc w:val="center"/>
              <w:rPr>
                <w:rFonts w:ascii="Lato" w:hAnsi="Lato"/>
              </w:rPr>
            </w:pPr>
            <w:r w:rsidRPr="00DE1881">
              <w:rPr>
                <w:rFonts w:ascii="Lato" w:hAnsi="Lato"/>
              </w:rPr>
              <w:t>19.5</w:t>
            </w:r>
          </w:p>
        </w:tc>
        <w:tc>
          <w:tcPr>
            <w:tcW w:w="1276" w:type="dxa"/>
            <w:vAlign w:val="center"/>
          </w:tcPr>
          <w:p w14:paraId="0A2450F3" w14:textId="77777777" w:rsidR="00EE5D3E" w:rsidRPr="00DE1881" w:rsidRDefault="00EE5D3E" w:rsidP="000C0614">
            <w:pPr>
              <w:pStyle w:val="TableParagraph"/>
              <w:spacing w:after="120"/>
              <w:ind w:right="25"/>
              <w:jc w:val="center"/>
              <w:rPr>
                <w:rFonts w:ascii="Lato" w:hAnsi="Lato"/>
              </w:rPr>
            </w:pPr>
            <w:r w:rsidRPr="00DE1881">
              <w:rPr>
                <w:rFonts w:ascii="Lato" w:hAnsi="Lato"/>
              </w:rPr>
              <w:t>10</w:t>
            </w:r>
            <w:r w:rsidR="000F39A3">
              <w:rPr>
                <w:rFonts w:ascii="Lato" w:hAnsi="Lato"/>
              </w:rPr>
              <w:t>.0</w:t>
            </w:r>
          </w:p>
        </w:tc>
      </w:tr>
      <w:tr w:rsidR="00EE5D3E" w:rsidRPr="00BD5E05" w14:paraId="0A2450F8" w14:textId="77777777" w:rsidTr="001F141A">
        <w:trPr>
          <w:trHeight w:hRule="exact" w:val="574"/>
        </w:trPr>
        <w:tc>
          <w:tcPr>
            <w:tcW w:w="5555" w:type="dxa"/>
          </w:tcPr>
          <w:p w14:paraId="0A2450F5" w14:textId="77777777" w:rsidR="00EE5D3E" w:rsidRPr="00DE1881" w:rsidRDefault="00EE5D3E" w:rsidP="000C0614">
            <w:pPr>
              <w:pStyle w:val="TableParagraph"/>
              <w:spacing w:before="38" w:after="120"/>
              <w:ind w:left="194"/>
              <w:rPr>
                <w:rFonts w:ascii="Lato" w:hAnsi="Lato"/>
              </w:rPr>
            </w:pPr>
            <w:r w:rsidRPr="00DE1881">
              <w:rPr>
                <w:rFonts w:ascii="Lato" w:hAnsi="Lato"/>
              </w:rPr>
              <w:t>Population under 15 years of age</w:t>
            </w:r>
            <w:r w:rsidRPr="00DE1881">
              <w:rPr>
                <w:rFonts w:ascii="Lato" w:hAnsi="Lato"/>
                <w:vertAlign w:val="superscript"/>
              </w:rPr>
              <w:t>2</w:t>
            </w:r>
          </w:p>
        </w:tc>
        <w:tc>
          <w:tcPr>
            <w:tcW w:w="1559" w:type="dxa"/>
            <w:vAlign w:val="center"/>
          </w:tcPr>
          <w:p w14:paraId="0A2450F6" w14:textId="77777777" w:rsidR="00EE5D3E" w:rsidRPr="00DE1881" w:rsidRDefault="00EE5D3E" w:rsidP="000C0614">
            <w:pPr>
              <w:pStyle w:val="TableParagraph"/>
              <w:spacing w:after="120"/>
              <w:ind w:left="10"/>
              <w:jc w:val="center"/>
              <w:rPr>
                <w:rFonts w:ascii="Lato" w:hAnsi="Lato"/>
              </w:rPr>
            </w:pPr>
            <w:r w:rsidRPr="00DE1881">
              <w:rPr>
                <w:rFonts w:ascii="Lato" w:hAnsi="Lato"/>
              </w:rPr>
              <w:t>22.</w:t>
            </w:r>
            <w:r w:rsidRPr="00BD5E05">
              <w:rPr>
                <w:rFonts w:ascii="Lato" w:hAnsi="Lato"/>
              </w:rPr>
              <w:t>0</w:t>
            </w:r>
          </w:p>
        </w:tc>
        <w:tc>
          <w:tcPr>
            <w:tcW w:w="1276" w:type="dxa"/>
            <w:vAlign w:val="center"/>
          </w:tcPr>
          <w:p w14:paraId="0A2450F7" w14:textId="77777777" w:rsidR="00EE5D3E" w:rsidRPr="00DE1881" w:rsidRDefault="00EE5D3E" w:rsidP="000C0614">
            <w:pPr>
              <w:pStyle w:val="TableParagraph"/>
              <w:spacing w:after="120"/>
              <w:ind w:right="29"/>
              <w:jc w:val="center"/>
              <w:rPr>
                <w:rFonts w:ascii="Lato" w:hAnsi="Lato"/>
              </w:rPr>
            </w:pPr>
            <w:r w:rsidRPr="00BD5E05">
              <w:rPr>
                <w:rFonts w:ascii="Lato" w:hAnsi="Lato"/>
              </w:rPr>
              <w:t>19.0</w:t>
            </w:r>
          </w:p>
        </w:tc>
      </w:tr>
      <w:tr w:rsidR="00EE5D3E" w:rsidRPr="00BD5E05" w14:paraId="0A2450FC" w14:textId="77777777" w:rsidTr="001F141A">
        <w:trPr>
          <w:trHeight w:hRule="exact" w:val="721"/>
        </w:trPr>
        <w:tc>
          <w:tcPr>
            <w:tcW w:w="5555" w:type="dxa"/>
          </w:tcPr>
          <w:p w14:paraId="0A2450F9" w14:textId="77777777" w:rsidR="00EE5D3E" w:rsidRPr="00DE1881" w:rsidRDefault="00EE5D3E" w:rsidP="000C0614">
            <w:pPr>
              <w:pStyle w:val="TableParagraph"/>
              <w:spacing w:before="35" w:after="120"/>
              <w:ind w:left="175"/>
              <w:rPr>
                <w:rFonts w:ascii="Lato" w:hAnsi="Lato"/>
              </w:rPr>
            </w:pPr>
            <w:r w:rsidRPr="00DE1881">
              <w:rPr>
                <w:rFonts w:ascii="Lato" w:hAnsi="Lato"/>
              </w:rPr>
              <w:t>Aboriginal</w:t>
            </w:r>
            <w:r w:rsidRPr="00DE1881">
              <w:rPr>
                <w:rFonts w:ascii="Lato" w:hAnsi="Lato"/>
                <w:spacing w:val="-7"/>
              </w:rPr>
              <w:t xml:space="preserve"> </w:t>
            </w:r>
            <w:r w:rsidRPr="00DE1881">
              <w:rPr>
                <w:rFonts w:ascii="Lato" w:hAnsi="Lato"/>
              </w:rPr>
              <w:t>and</w:t>
            </w:r>
            <w:r w:rsidRPr="00DE1881">
              <w:rPr>
                <w:rFonts w:ascii="Lato" w:hAnsi="Lato"/>
                <w:spacing w:val="-18"/>
              </w:rPr>
              <w:t xml:space="preserve"> </w:t>
            </w:r>
            <w:r w:rsidRPr="00DE1881">
              <w:rPr>
                <w:rFonts w:ascii="Lato" w:hAnsi="Lato"/>
              </w:rPr>
              <w:t>Torres</w:t>
            </w:r>
            <w:r w:rsidRPr="00DE1881">
              <w:rPr>
                <w:rFonts w:ascii="Lato" w:hAnsi="Lato"/>
                <w:spacing w:val="-16"/>
              </w:rPr>
              <w:t xml:space="preserve"> </w:t>
            </w:r>
            <w:r w:rsidRPr="00DE1881">
              <w:rPr>
                <w:rFonts w:ascii="Lato" w:hAnsi="Lato"/>
              </w:rPr>
              <w:t>Strait</w:t>
            </w:r>
            <w:r w:rsidRPr="00DE1881">
              <w:rPr>
                <w:rFonts w:ascii="Lato" w:hAnsi="Lato"/>
                <w:spacing w:val="-19"/>
              </w:rPr>
              <w:t xml:space="preserve"> </w:t>
            </w:r>
            <w:r w:rsidRPr="00DE1881">
              <w:rPr>
                <w:rFonts w:ascii="Lato" w:hAnsi="Lato"/>
              </w:rPr>
              <w:t>Islander</w:t>
            </w:r>
            <w:r w:rsidRPr="00DE1881">
              <w:rPr>
                <w:rFonts w:ascii="Lato" w:hAnsi="Lato"/>
                <w:spacing w:val="-19"/>
              </w:rPr>
              <w:t xml:space="preserve"> </w:t>
            </w:r>
            <w:r w:rsidRPr="00DE1881">
              <w:rPr>
                <w:rFonts w:ascii="Lato" w:hAnsi="Lato"/>
              </w:rPr>
              <w:t>students</w:t>
            </w:r>
            <w:r w:rsidRPr="00DE1881">
              <w:rPr>
                <w:rFonts w:ascii="Lato" w:hAnsi="Lato"/>
                <w:vertAlign w:val="superscript"/>
              </w:rPr>
              <w:t>3</w:t>
            </w:r>
          </w:p>
        </w:tc>
        <w:tc>
          <w:tcPr>
            <w:tcW w:w="1559" w:type="dxa"/>
            <w:vAlign w:val="center"/>
          </w:tcPr>
          <w:p w14:paraId="0A2450FA" w14:textId="77777777" w:rsidR="00EE5D3E" w:rsidRPr="00DE1881" w:rsidRDefault="00EE5D3E" w:rsidP="001F141A">
            <w:pPr>
              <w:pStyle w:val="TableParagraph"/>
              <w:spacing w:before="31" w:after="120"/>
              <w:jc w:val="center"/>
              <w:rPr>
                <w:rFonts w:ascii="Lato" w:hAnsi="Lato"/>
              </w:rPr>
            </w:pPr>
            <w:r w:rsidRPr="00DE1881">
              <w:rPr>
                <w:rFonts w:ascii="Lato" w:hAnsi="Lato"/>
              </w:rPr>
              <w:t>40.</w:t>
            </w:r>
            <w:r w:rsidRPr="00BD5E05">
              <w:rPr>
                <w:rFonts w:ascii="Lato" w:hAnsi="Lato"/>
              </w:rPr>
              <w:t>5</w:t>
            </w:r>
          </w:p>
        </w:tc>
        <w:tc>
          <w:tcPr>
            <w:tcW w:w="1276" w:type="dxa"/>
            <w:vAlign w:val="center"/>
          </w:tcPr>
          <w:p w14:paraId="0A2450FB" w14:textId="77777777" w:rsidR="00EE5D3E" w:rsidRPr="00DE1881" w:rsidRDefault="00EE5D3E" w:rsidP="001F141A">
            <w:pPr>
              <w:pStyle w:val="TableParagraph"/>
              <w:tabs>
                <w:tab w:val="left" w:pos="420"/>
                <w:tab w:val="center" w:pos="549"/>
              </w:tabs>
              <w:spacing w:before="31" w:after="120"/>
              <w:ind w:right="52"/>
              <w:jc w:val="center"/>
              <w:rPr>
                <w:rFonts w:ascii="Lato" w:hAnsi="Lato"/>
              </w:rPr>
            </w:pPr>
            <w:r w:rsidRPr="00BD5E05">
              <w:rPr>
                <w:rFonts w:ascii="Lato" w:hAnsi="Lato"/>
              </w:rPr>
              <w:t>5.</w:t>
            </w:r>
            <w:r w:rsidRPr="00DE1881">
              <w:rPr>
                <w:rFonts w:ascii="Lato" w:hAnsi="Lato"/>
              </w:rPr>
              <w:t>5</w:t>
            </w:r>
          </w:p>
        </w:tc>
      </w:tr>
      <w:tr w:rsidR="00EE5D3E" w:rsidRPr="00BD5E05" w14:paraId="0A245100" w14:textId="77777777" w:rsidTr="001F141A">
        <w:trPr>
          <w:trHeight w:hRule="exact" w:val="715"/>
        </w:trPr>
        <w:tc>
          <w:tcPr>
            <w:tcW w:w="5555" w:type="dxa"/>
          </w:tcPr>
          <w:p w14:paraId="0A2450FD" w14:textId="77777777" w:rsidR="00EE5D3E" w:rsidRPr="00DE1881" w:rsidRDefault="00EE5D3E" w:rsidP="000C0614">
            <w:pPr>
              <w:pStyle w:val="TableParagraph"/>
              <w:spacing w:before="31" w:after="120"/>
              <w:ind w:left="175"/>
              <w:rPr>
                <w:rFonts w:ascii="Lato" w:hAnsi="Lato"/>
              </w:rPr>
            </w:pPr>
            <w:r w:rsidRPr="00DE1881">
              <w:rPr>
                <w:rFonts w:ascii="Lato" w:hAnsi="Lato"/>
              </w:rPr>
              <w:t xml:space="preserve">Population from a language background other than </w:t>
            </w:r>
            <w:r w:rsidRPr="00BD5E05">
              <w:rPr>
                <w:rFonts w:ascii="Lato" w:hAnsi="Lato"/>
              </w:rPr>
              <w:t>English</w:t>
            </w:r>
            <w:r w:rsidRPr="00BD5E05">
              <w:rPr>
                <w:rFonts w:ascii="Lato" w:hAnsi="Lato"/>
                <w:vertAlign w:val="superscript"/>
              </w:rPr>
              <w:t>1</w:t>
            </w:r>
          </w:p>
        </w:tc>
        <w:tc>
          <w:tcPr>
            <w:tcW w:w="1559" w:type="dxa"/>
            <w:vAlign w:val="center"/>
          </w:tcPr>
          <w:p w14:paraId="0A2450FE" w14:textId="77777777" w:rsidR="00EE5D3E" w:rsidRPr="00DE1881" w:rsidRDefault="00EE5D3E" w:rsidP="001F141A">
            <w:pPr>
              <w:pStyle w:val="TableParagraph"/>
              <w:spacing w:before="31" w:after="120"/>
              <w:ind w:right="18"/>
              <w:jc w:val="center"/>
              <w:rPr>
                <w:rFonts w:ascii="Lato" w:hAnsi="Lato"/>
              </w:rPr>
            </w:pPr>
            <w:r w:rsidRPr="00DE1881">
              <w:rPr>
                <w:rFonts w:ascii="Lato" w:hAnsi="Lato"/>
              </w:rPr>
              <w:t>37.2</w:t>
            </w:r>
          </w:p>
        </w:tc>
        <w:tc>
          <w:tcPr>
            <w:tcW w:w="1276" w:type="dxa"/>
            <w:vAlign w:val="center"/>
          </w:tcPr>
          <w:p w14:paraId="0A2450FF" w14:textId="77777777" w:rsidR="00EE5D3E" w:rsidRPr="00DE1881" w:rsidRDefault="00EE5D3E" w:rsidP="001F141A">
            <w:pPr>
              <w:pStyle w:val="TableParagraph"/>
              <w:spacing w:before="31" w:after="120"/>
              <w:ind w:right="53"/>
              <w:jc w:val="center"/>
              <w:rPr>
                <w:rFonts w:ascii="Lato" w:hAnsi="Lato"/>
              </w:rPr>
            </w:pPr>
            <w:r w:rsidRPr="00DE1881">
              <w:rPr>
                <w:rFonts w:ascii="Lato" w:hAnsi="Lato"/>
              </w:rPr>
              <w:t>23.2</w:t>
            </w:r>
          </w:p>
        </w:tc>
      </w:tr>
      <w:tr w:rsidR="00EE5D3E" w:rsidRPr="00BD5E05" w14:paraId="0A245104" w14:textId="77777777" w:rsidTr="001F141A">
        <w:trPr>
          <w:trHeight w:hRule="exact" w:val="622"/>
        </w:trPr>
        <w:tc>
          <w:tcPr>
            <w:tcW w:w="5555" w:type="dxa"/>
          </w:tcPr>
          <w:p w14:paraId="0A245101" w14:textId="77777777" w:rsidR="00EE5D3E" w:rsidRPr="00DE1881" w:rsidRDefault="00EE5D3E" w:rsidP="00224997">
            <w:pPr>
              <w:pStyle w:val="TableParagraph"/>
              <w:spacing w:before="31" w:after="120"/>
              <w:ind w:left="156"/>
              <w:rPr>
                <w:rFonts w:ascii="Lato" w:hAnsi="Lato"/>
              </w:rPr>
            </w:pPr>
            <w:r w:rsidRPr="00DE1881">
              <w:rPr>
                <w:rFonts w:ascii="Lato" w:hAnsi="Lato"/>
              </w:rPr>
              <w:t xml:space="preserve">Young people living </w:t>
            </w:r>
            <w:r w:rsidR="00535722">
              <w:rPr>
                <w:rFonts w:ascii="Lato" w:hAnsi="Lato"/>
              </w:rPr>
              <w:t>i</w:t>
            </w:r>
            <w:r w:rsidRPr="00BD5E05">
              <w:rPr>
                <w:rFonts w:ascii="Lato" w:hAnsi="Lato"/>
              </w:rPr>
              <w:t>n</w:t>
            </w:r>
            <w:r w:rsidRPr="00DE1881">
              <w:rPr>
                <w:rFonts w:ascii="Lato" w:hAnsi="Lato"/>
              </w:rPr>
              <w:t xml:space="preserve"> remote and very remote </w:t>
            </w:r>
            <w:r w:rsidRPr="00BD5E05">
              <w:rPr>
                <w:rFonts w:ascii="Lato" w:hAnsi="Lato"/>
              </w:rPr>
              <w:t>areas</w:t>
            </w:r>
            <w:r w:rsidRPr="00BD5E05">
              <w:rPr>
                <w:rFonts w:ascii="Lato" w:hAnsi="Lato"/>
                <w:vertAlign w:val="superscript"/>
              </w:rPr>
              <w:t>4</w:t>
            </w:r>
          </w:p>
        </w:tc>
        <w:tc>
          <w:tcPr>
            <w:tcW w:w="1559" w:type="dxa"/>
            <w:vAlign w:val="center"/>
          </w:tcPr>
          <w:p w14:paraId="0A245102" w14:textId="77777777" w:rsidR="00EE5D3E" w:rsidRPr="00DE1881" w:rsidRDefault="00EE5D3E" w:rsidP="001F141A">
            <w:pPr>
              <w:pStyle w:val="TableParagraph"/>
              <w:spacing w:before="31" w:after="120"/>
              <w:ind w:right="16"/>
              <w:jc w:val="center"/>
              <w:rPr>
                <w:rFonts w:ascii="Lato" w:hAnsi="Lato"/>
              </w:rPr>
            </w:pPr>
            <w:r w:rsidRPr="00DE1881">
              <w:rPr>
                <w:rFonts w:ascii="Lato" w:hAnsi="Lato"/>
              </w:rPr>
              <w:t>44.8</w:t>
            </w:r>
          </w:p>
        </w:tc>
        <w:tc>
          <w:tcPr>
            <w:tcW w:w="1276" w:type="dxa"/>
            <w:vAlign w:val="center"/>
          </w:tcPr>
          <w:p w14:paraId="0A245103" w14:textId="77777777" w:rsidR="00EE5D3E" w:rsidRPr="00DE1881" w:rsidRDefault="00EE5D3E" w:rsidP="001F141A">
            <w:pPr>
              <w:pStyle w:val="TableParagraph"/>
              <w:spacing w:before="31" w:after="120"/>
              <w:ind w:right="61"/>
              <w:jc w:val="center"/>
              <w:rPr>
                <w:rFonts w:ascii="Lato" w:hAnsi="Lato"/>
              </w:rPr>
            </w:pPr>
            <w:r w:rsidRPr="00DE1881">
              <w:rPr>
                <w:rFonts w:ascii="Lato" w:hAnsi="Lato"/>
              </w:rPr>
              <w:t>2.3</w:t>
            </w:r>
          </w:p>
        </w:tc>
      </w:tr>
      <w:tr w:rsidR="00EE5D3E" w:rsidRPr="00BD5E05" w14:paraId="0A245108" w14:textId="77777777" w:rsidTr="001F141A">
        <w:trPr>
          <w:trHeight w:hRule="exact" w:val="661"/>
        </w:trPr>
        <w:tc>
          <w:tcPr>
            <w:tcW w:w="5555" w:type="dxa"/>
          </w:tcPr>
          <w:p w14:paraId="0A245105" w14:textId="77777777" w:rsidR="00EE5D3E" w:rsidRPr="00DE1881" w:rsidRDefault="00EE5D3E" w:rsidP="000C0614">
            <w:pPr>
              <w:pStyle w:val="TableParagraph"/>
              <w:spacing w:after="120"/>
              <w:ind w:left="141" w:right="93" w:firstLine="9"/>
              <w:rPr>
                <w:rFonts w:ascii="Lato" w:hAnsi="Lato"/>
              </w:rPr>
            </w:pPr>
            <w:r w:rsidRPr="00DE1881">
              <w:rPr>
                <w:rFonts w:ascii="Lato" w:hAnsi="Lato"/>
              </w:rPr>
              <w:t xml:space="preserve">Developmentally vulnerable on 2 or more Australian Early Development </w:t>
            </w:r>
            <w:r w:rsidRPr="00BD5E05">
              <w:rPr>
                <w:rFonts w:ascii="Lato" w:hAnsi="Lato"/>
              </w:rPr>
              <w:t>Census (AEDC) domains</w:t>
            </w:r>
            <w:r w:rsidRPr="00BD5E05">
              <w:rPr>
                <w:rFonts w:ascii="Lato" w:hAnsi="Lato"/>
                <w:vertAlign w:val="superscript"/>
              </w:rPr>
              <w:t>5</w:t>
            </w:r>
          </w:p>
        </w:tc>
        <w:tc>
          <w:tcPr>
            <w:tcW w:w="1559" w:type="dxa"/>
            <w:vAlign w:val="center"/>
          </w:tcPr>
          <w:p w14:paraId="0A245106" w14:textId="77777777" w:rsidR="00EE5D3E" w:rsidRPr="00DE1881" w:rsidRDefault="00EE5D3E" w:rsidP="001F141A">
            <w:pPr>
              <w:pStyle w:val="TableParagraph"/>
              <w:spacing w:before="31" w:after="120"/>
              <w:jc w:val="center"/>
              <w:rPr>
                <w:rFonts w:ascii="Lato" w:hAnsi="Lato"/>
              </w:rPr>
            </w:pPr>
            <w:r w:rsidRPr="00BD5E05">
              <w:rPr>
                <w:rFonts w:ascii="Lato" w:hAnsi="Lato"/>
              </w:rPr>
              <w:t>23.1</w:t>
            </w:r>
          </w:p>
        </w:tc>
        <w:tc>
          <w:tcPr>
            <w:tcW w:w="1276" w:type="dxa"/>
            <w:vAlign w:val="center"/>
          </w:tcPr>
          <w:p w14:paraId="0A245107" w14:textId="77777777" w:rsidR="00EE5D3E" w:rsidRPr="00DE1881" w:rsidRDefault="00EE5D3E" w:rsidP="001F141A">
            <w:pPr>
              <w:pStyle w:val="TableParagraph"/>
              <w:spacing w:before="31" w:after="120"/>
              <w:jc w:val="center"/>
              <w:rPr>
                <w:rFonts w:ascii="Lato" w:hAnsi="Lato"/>
              </w:rPr>
            </w:pPr>
            <w:r w:rsidRPr="00BD5E05">
              <w:rPr>
                <w:rFonts w:ascii="Lato" w:hAnsi="Lato"/>
              </w:rPr>
              <w:t>11.1</w:t>
            </w:r>
          </w:p>
        </w:tc>
      </w:tr>
    </w:tbl>
    <w:p w14:paraId="0A245109" w14:textId="77777777" w:rsidR="00BB28A8" w:rsidRPr="00DE1881" w:rsidRDefault="00EE5D3E" w:rsidP="00820835">
      <w:pPr>
        <w:pStyle w:val="Normalnumbered"/>
        <w:numPr>
          <w:ilvl w:val="0"/>
          <w:numId w:val="0"/>
        </w:numPr>
        <w:ind w:left="567"/>
        <w:rPr>
          <w:rFonts w:ascii="Lato" w:hAnsi="Lato"/>
          <w:sz w:val="22"/>
        </w:rPr>
      </w:pPr>
      <w:r w:rsidRPr="00DE1881">
        <w:rPr>
          <w:rFonts w:ascii="Lato" w:hAnsi="Lato"/>
          <w:sz w:val="18"/>
        </w:rPr>
        <w:t xml:space="preserve">Sources: </w:t>
      </w:r>
      <w:r w:rsidRPr="00BD5E05">
        <w:rPr>
          <w:rFonts w:ascii="Lato" w:hAnsi="Lato"/>
          <w:sz w:val="18"/>
          <w:szCs w:val="22"/>
          <w:vertAlign w:val="superscript"/>
        </w:rPr>
        <w:t>1</w:t>
      </w:r>
      <w:r w:rsidRPr="00BD5E05">
        <w:rPr>
          <w:rFonts w:ascii="Lato" w:hAnsi="Lato"/>
          <w:sz w:val="18"/>
          <w:szCs w:val="22"/>
        </w:rPr>
        <w:t>ABS</w:t>
      </w:r>
      <w:r w:rsidRPr="00DE1881">
        <w:rPr>
          <w:rFonts w:ascii="Lato" w:hAnsi="Lato"/>
          <w:sz w:val="18"/>
        </w:rPr>
        <w:t xml:space="preserve"> 2011</w:t>
      </w:r>
      <w:r w:rsidRPr="00BD5E05">
        <w:rPr>
          <w:rFonts w:ascii="Lato" w:hAnsi="Lato"/>
          <w:sz w:val="18"/>
          <w:szCs w:val="22"/>
        </w:rPr>
        <w:t xml:space="preserve"> Census</w:t>
      </w:r>
      <w:r w:rsidRPr="00DE1881">
        <w:rPr>
          <w:rFonts w:ascii="Lato" w:hAnsi="Lato"/>
          <w:sz w:val="18"/>
        </w:rPr>
        <w:t xml:space="preserve"> (Basic Community Profile); </w:t>
      </w:r>
      <w:r w:rsidRPr="00BD5E05">
        <w:rPr>
          <w:rFonts w:ascii="Lato" w:hAnsi="Lato"/>
          <w:sz w:val="18"/>
          <w:szCs w:val="22"/>
          <w:vertAlign w:val="superscript"/>
        </w:rPr>
        <w:t>2</w:t>
      </w:r>
      <w:r w:rsidRPr="00BD5E05">
        <w:rPr>
          <w:rFonts w:ascii="Lato" w:hAnsi="Lato"/>
          <w:sz w:val="18"/>
          <w:szCs w:val="22"/>
        </w:rPr>
        <w:t xml:space="preserve">ABS 2016 </w:t>
      </w:r>
      <w:proofErr w:type="spellStart"/>
      <w:r w:rsidRPr="00BD5E05">
        <w:rPr>
          <w:rFonts w:ascii="Lato" w:hAnsi="Lato"/>
          <w:sz w:val="18"/>
          <w:szCs w:val="22"/>
        </w:rPr>
        <w:t>QuickStats</w:t>
      </w:r>
      <w:proofErr w:type="spellEnd"/>
      <w:r w:rsidRPr="00BD5E05">
        <w:rPr>
          <w:rFonts w:ascii="Lato" w:hAnsi="Lato"/>
          <w:sz w:val="18"/>
          <w:szCs w:val="22"/>
        </w:rPr>
        <w:t xml:space="preserve">: People, Demographics &amp; Education; </w:t>
      </w:r>
      <w:r w:rsidRPr="00BD5E05">
        <w:rPr>
          <w:rFonts w:ascii="Lato" w:hAnsi="Lato"/>
          <w:sz w:val="18"/>
          <w:szCs w:val="22"/>
          <w:vertAlign w:val="superscript"/>
        </w:rPr>
        <w:t>3</w:t>
      </w:r>
      <w:r w:rsidRPr="00BD5E05">
        <w:rPr>
          <w:rFonts w:ascii="Lato" w:hAnsi="Lato"/>
          <w:sz w:val="18"/>
          <w:szCs w:val="22"/>
        </w:rPr>
        <w:t xml:space="preserve">Schools Australia 2016 excludes preschool students; </w:t>
      </w:r>
      <w:r w:rsidRPr="00BD5E05">
        <w:rPr>
          <w:rFonts w:ascii="Lato" w:hAnsi="Lato"/>
          <w:sz w:val="18"/>
          <w:szCs w:val="22"/>
          <w:vertAlign w:val="superscript"/>
        </w:rPr>
        <w:t>4</w:t>
      </w:r>
      <w:r w:rsidRPr="00BD5E05">
        <w:rPr>
          <w:rFonts w:ascii="Lato" w:hAnsi="Lato"/>
          <w:sz w:val="18"/>
          <w:szCs w:val="22"/>
        </w:rPr>
        <w:t>DEEWR</w:t>
      </w:r>
      <w:r w:rsidRPr="00DE1881">
        <w:rPr>
          <w:rFonts w:ascii="Lato" w:hAnsi="Lato"/>
          <w:sz w:val="18"/>
        </w:rPr>
        <w:t xml:space="preserve"> unpublished; </w:t>
      </w:r>
      <w:r w:rsidRPr="00BD5E05">
        <w:rPr>
          <w:rFonts w:ascii="Lato" w:hAnsi="Lato"/>
          <w:sz w:val="18"/>
          <w:szCs w:val="22"/>
          <w:vertAlign w:val="superscript"/>
        </w:rPr>
        <w:t>5</w:t>
      </w:r>
      <w:r w:rsidRPr="00BD5E05">
        <w:rPr>
          <w:rFonts w:ascii="Lato" w:hAnsi="Lato"/>
          <w:sz w:val="18"/>
          <w:szCs w:val="22"/>
        </w:rPr>
        <w:t xml:space="preserve">AEDC National report 2015 </w:t>
      </w:r>
    </w:p>
    <w:p w14:paraId="0A24510A" w14:textId="77777777" w:rsidR="005637C4" w:rsidRPr="00DE1881" w:rsidRDefault="005637C4" w:rsidP="00225E9B">
      <w:pPr>
        <w:pStyle w:val="Normalnumbered"/>
        <w:numPr>
          <w:ilvl w:val="0"/>
          <w:numId w:val="0"/>
        </w:numPr>
        <w:spacing w:line="260" w:lineRule="exact"/>
        <w:rPr>
          <w:rFonts w:ascii="Lato" w:hAnsi="Lato"/>
          <w:sz w:val="22"/>
          <w:lang w:val="en-US"/>
        </w:rPr>
      </w:pPr>
    </w:p>
    <w:p w14:paraId="0A24510B" w14:textId="77777777" w:rsidR="005637C4" w:rsidRPr="00DE1881" w:rsidRDefault="005637C4" w:rsidP="00BD09BB">
      <w:pPr>
        <w:pStyle w:val="Normalnumbered"/>
        <w:numPr>
          <w:ilvl w:val="0"/>
          <w:numId w:val="16"/>
        </w:numPr>
        <w:spacing w:after="240" w:line="260" w:lineRule="exact"/>
        <w:rPr>
          <w:rFonts w:ascii="Lato" w:hAnsi="Lato"/>
          <w:sz w:val="22"/>
          <w:lang w:val="en-US"/>
        </w:rPr>
      </w:pPr>
      <w:r w:rsidRPr="00DE1881">
        <w:rPr>
          <w:rFonts w:ascii="Lato" w:hAnsi="Lato"/>
          <w:sz w:val="22"/>
          <w:lang w:val="en-US"/>
        </w:rPr>
        <w:t>Many Northern Territory students live in challenging circumstances</w:t>
      </w:r>
      <w:r w:rsidR="00F76351" w:rsidRPr="00DE1881">
        <w:rPr>
          <w:rFonts w:ascii="Lato" w:hAnsi="Lato"/>
          <w:sz w:val="22"/>
          <w:lang w:val="en-US"/>
        </w:rPr>
        <w:t xml:space="preserve">, </w:t>
      </w:r>
      <w:r w:rsidRPr="00DE1881">
        <w:rPr>
          <w:rFonts w:ascii="Lato" w:hAnsi="Lato"/>
          <w:sz w:val="22"/>
          <w:lang w:val="en-US"/>
        </w:rPr>
        <w:t xml:space="preserve">where they </w:t>
      </w:r>
      <w:r w:rsidR="003A6794">
        <w:rPr>
          <w:rFonts w:ascii="Lato" w:hAnsi="Lato"/>
          <w:sz w:val="22"/>
          <w:lang w:val="en-US"/>
        </w:rPr>
        <w:t>experience multiple</w:t>
      </w:r>
      <w:r w:rsidR="00F31B37">
        <w:rPr>
          <w:rFonts w:ascii="Lato" w:hAnsi="Lato"/>
          <w:sz w:val="22"/>
          <w:lang w:val="en-US"/>
        </w:rPr>
        <w:t xml:space="preserve"> </w:t>
      </w:r>
      <w:r w:rsidR="003A6794">
        <w:rPr>
          <w:rFonts w:ascii="Lato" w:hAnsi="Lato"/>
          <w:sz w:val="22"/>
          <w:lang w:val="en-US"/>
        </w:rPr>
        <w:t xml:space="preserve">complex </w:t>
      </w:r>
      <w:r w:rsidR="003A6794" w:rsidRPr="00913BCE">
        <w:rPr>
          <w:rFonts w:ascii="Lato" w:hAnsi="Lato"/>
          <w:sz w:val="22"/>
          <w:lang w:val="en-US"/>
        </w:rPr>
        <w:t>bar</w:t>
      </w:r>
      <w:r w:rsidR="003A6794" w:rsidRPr="005F38E2">
        <w:rPr>
          <w:rFonts w:ascii="Lato" w:hAnsi="Lato"/>
          <w:sz w:val="22"/>
          <w:lang w:val="en-US"/>
        </w:rPr>
        <w:t>r</w:t>
      </w:r>
      <w:r w:rsidR="003A6794" w:rsidRPr="00F4253E">
        <w:rPr>
          <w:rFonts w:ascii="Lato" w:hAnsi="Lato"/>
          <w:sz w:val="22"/>
          <w:lang w:val="en-US"/>
        </w:rPr>
        <w:t>iers to educ</w:t>
      </w:r>
      <w:r w:rsidR="003A6794" w:rsidRPr="0076557B">
        <w:rPr>
          <w:rFonts w:ascii="Lato" w:hAnsi="Lato"/>
          <w:sz w:val="22"/>
          <w:lang w:val="en-US"/>
        </w:rPr>
        <w:t>atio</w:t>
      </w:r>
      <w:r w:rsidR="003A6794" w:rsidRPr="00F31B37">
        <w:rPr>
          <w:rFonts w:ascii="Lato" w:hAnsi="Lato"/>
          <w:sz w:val="22"/>
          <w:lang w:val="en-US"/>
        </w:rPr>
        <w:t>n engagement</w:t>
      </w:r>
      <w:r w:rsidRPr="00DE1881">
        <w:rPr>
          <w:rFonts w:ascii="Lato" w:hAnsi="Lato"/>
          <w:sz w:val="22"/>
          <w:lang w:val="en-US"/>
        </w:rPr>
        <w:t>.</w:t>
      </w:r>
      <w:r w:rsidR="00F31B37">
        <w:rPr>
          <w:rFonts w:ascii="Lato" w:hAnsi="Lato"/>
          <w:sz w:val="22"/>
          <w:lang w:val="en-US"/>
        </w:rPr>
        <w:t xml:space="preserve"> I</w:t>
      </w:r>
      <w:r w:rsidR="003A6794">
        <w:rPr>
          <w:rFonts w:ascii="Lato" w:hAnsi="Lato"/>
          <w:sz w:val="22"/>
          <w:lang w:val="en-US"/>
        </w:rPr>
        <w:t>t is incorrect to assume that t</w:t>
      </w:r>
      <w:r w:rsidRPr="00DE1881">
        <w:rPr>
          <w:rFonts w:ascii="Lato" w:hAnsi="Lato"/>
          <w:sz w:val="22"/>
          <w:lang w:val="en-US"/>
        </w:rPr>
        <w:t xml:space="preserve">he relationship between education outcomes and student background is inevitable. </w:t>
      </w:r>
      <w:r w:rsidR="00F31B37">
        <w:rPr>
          <w:rFonts w:ascii="Lato" w:hAnsi="Lato"/>
          <w:sz w:val="22"/>
          <w:lang w:val="en-US"/>
        </w:rPr>
        <w:t>T</w:t>
      </w:r>
      <w:r w:rsidRPr="00DE1881">
        <w:rPr>
          <w:rFonts w:ascii="Lato" w:hAnsi="Lato"/>
          <w:sz w:val="22"/>
          <w:lang w:val="en-US"/>
        </w:rPr>
        <w:t xml:space="preserve">he </w:t>
      </w:r>
      <w:r w:rsidR="00F31B37">
        <w:rPr>
          <w:rFonts w:ascii="Lato" w:hAnsi="Lato"/>
          <w:sz w:val="22"/>
          <w:lang w:val="en-US"/>
        </w:rPr>
        <w:t xml:space="preserve">overlapping nature </w:t>
      </w:r>
      <w:r w:rsidRPr="00DE1881">
        <w:rPr>
          <w:rFonts w:ascii="Lato" w:hAnsi="Lato"/>
          <w:sz w:val="22"/>
          <w:lang w:val="en-US"/>
        </w:rPr>
        <w:t xml:space="preserve">of </w:t>
      </w:r>
      <w:r w:rsidR="00F31B37">
        <w:rPr>
          <w:rFonts w:ascii="Lato" w:hAnsi="Lato"/>
          <w:sz w:val="22"/>
          <w:lang w:val="en-US"/>
        </w:rPr>
        <w:t xml:space="preserve">these barriers make </w:t>
      </w:r>
      <w:r w:rsidRPr="00DE1881">
        <w:rPr>
          <w:rFonts w:ascii="Lato" w:hAnsi="Lato"/>
          <w:sz w:val="22"/>
          <w:lang w:val="en-US"/>
        </w:rPr>
        <w:t>it</w:t>
      </w:r>
      <w:r w:rsidR="00F31B37">
        <w:rPr>
          <w:rFonts w:ascii="Lato" w:hAnsi="Lato"/>
          <w:sz w:val="22"/>
          <w:lang w:val="en-US"/>
        </w:rPr>
        <w:t xml:space="preserve"> </w:t>
      </w:r>
      <w:r w:rsidRPr="00DE1881">
        <w:rPr>
          <w:rFonts w:ascii="Lato" w:hAnsi="Lato"/>
          <w:sz w:val="22"/>
          <w:lang w:val="en-US"/>
        </w:rPr>
        <w:t>difficult to identify the impact of any one intervention</w:t>
      </w:r>
      <w:r w:rsidR="00CF5698" w:rsidRPr="00DE1881">
        <w:rPr>
          <w:rFonts w:ascii="Lato" w:hAnsi="Lato"/>
          <w:sz w:val="22"/>
          <w:lang w:val="en-US"/>
        </w:rPr>
        <w:t>,</w:t>
      </w:r>
      <w:r w:rsidRPr="00DE1881">
        <w:rPr>
          <w:rFonts w:ascii="Lato" w:hAnsi="Lato"/>
          <w:sz w:val="22"/>
          <w:lang w:val="en-US"/>
        </w:rPr>
        <w:t xml:space="preserve"> particularly when measured at the aggregate level.</w:t>
      </w:r>
    </w:p>
    <w:p w14:paraId="0A24510C" w14:textId="77777777" w:rsidR="005637C4" w:rsidRPr="00DE1881" w:rsidRDefault="00D07BBC" w:rsidP="00BD09BB">
      <w:pPr>
        <w:pStyle w:val="Normalnumbered"/>
        <w:numPr>
          <w:ilvl w:val="0"/>
          <w:numId w:val="16"/>
        </w:numPr>
        <w:spacing w:after="240" w:line="260" w:lineRule="exact"/>
        <w:rPr>
          <w:rFonts w:ascii="Lato" w:hAnsi="Lato"/>
          <w:sz w:val="22"/>
          <w:lang w:val="en-US"/>
        </w:rPr>
      </w:pPr>
      <w:r w:rsidRPr="00DE1881">
        <w:rPr>
          <w:rFonts w:ascii="Lato" w:hAnsi="Lato"/>
          <w:sz w:val="22"/>
          <w:lang w:val="en-US"/>
        </w:rPr>
        <w:t>T</w:t>
      </w:r>
      <w:r w:rsidR="005637C4" w:rsidRPr="00DE1881">
        <w:rPr>
          <w:rFonts w:ascii="Lato" w:hAnsi="Lato"/>
          <w:sz w:val="22"/>
          <w:lang w:val="en-US"/>
        </w:rPr>
        <w:t>he Northern Territory has responsibility for the delivery of education services within its jurisdiction, and is best placed to determine the strategic priorities and service delivery</w:t>
      </w:r>
      <w:r w:rsidRPr="00DE1881">
        <w:rPr>
          <w:rFonts w:ascii="Lato" w:hAnsi="Lato"/>
          <w:sz w:val="22"/>
          <w:lang w:val="en-US"/>
        </w:rPr>
        <w:t xml:space="preserve"> </w:t>
      </w:r>
      <w:r w:rsidR="005637C4" w:rsidRPr="00DE1881">
        <w:rPr>
          <w:rFonts w:ascii="Lato" w:hAnsi="Lato"/>
          <w:sz w:val="22"/>
          <w:lang w:val="en-US"/>
        </w:rPr>
        <w:t>arrangements that will support the specific needs of students, including those from remote and very remote communities.</w:t>
      </w:r>
    </w:p>
    <w:p w14:paraId="0A24510D" w14:textId="77777777" w:rsidR="005637C4" w:rsidRPr="00DE1881" w:rsidRDefault="005637C4" w:rsidP="00BD09BB">
      <w:pPr>
        <w:pStyle w:val="Normalnumbered"/>
        <w:numPr>
          <w:ilvl w:val="0"/>
          <w:numId w:val="16"/>
        </w:numPr>
        <w:spacing w:after="240" w:line="260" w:lineRule="exact"/>
        <w:rPr>
          <w:rFonts w:ascii="Lato" w:hAnsi="Lato"/>
          <w:sz w:val="22"/>
          <w:lang w:val="en-US"/>
        </w:rPr>
      </w:pPr>
      <w:r w:rsidRPr="00DE1881">
        <w:rPr>
          <w:rFonts w:ascii="Lato" w:hAnsi="Lato"/>
          <w:sz w:val="22"/>
          <w:lang w:val="en-US"/>
        </w:rPr>
        <w:t>Teacher quality is acknowledged as a key factor in improving education</w:t>
      </w:r>
      <w:r w:rsidR="009B041B" w:rsidRPr="00DE1881">
        <w:rPr>
          <w:rFonts w:ascii="Lato" w:hAnsi="Lato"/>
          <w:sz w:val="22"/>
          <w:lang w:val="en-US"/>
        </w:rPr>
        <w:t>al</w:t>
      </w:r>
      <w:r w:rsidRPr="00DE1881">
        <w:rPr>
          <w:rFonts w:ascii="Lato" w:hAnsi="Lato"/>
          <w:sz w:val="22"/>
          <w:lang w:val="en-US"/>
        </w:rPr>
        <w:t xml:space="preserve"> outcomes for disadvantaged students. As such, the Northern Territory continues to offer incentives to attract highly skilled and motivated people to work in remote and very remote schools. This includes provision of professional pathways </w:t>
      </w:r>
      <w:r w:rsidR="009B041B" w:rsidRPr="00DE1881">
        <w:rPr>
          <w:rFonts w:ascii="Lato" w:hAnsi="Lato"/>
          <w:sz w:val="22"/>
          <w:lang w:val="en-US"/>
        </w:rPr>
        <w:t>for a</w:t>
      </w:r>
      <w:r w:rsidRPr="00DE1881">
        <w:rPr>
          <w:rFonts w:ascii="Lato" w:hAnsi="Lato"/>
          <w:sz w:val="22"/>
          <w:lang w:val="en-US"/>
        </w:rPr>
        <w:t xml:space="preserve">ssistant </w:t>
      </w:r>
      <w:r w:rsidR="009B041B" w:rsidRPr="00DE1881">
        <w:rPr>
          <w:rFonts w:ascii="Lato" w:hAnsi="Lato"/>
          <w:sz w:val="22"/>
          <w:lang w:val="en-US"/>
        </w:rPr>
        <w:t>t</w:t>
      </w:r>
      <w:r w:rsidRPr="00DE1881">
        <w:rPr>
          <w:rFonts w:ascii="Lato" w:hAnsi="Lato"/>
          <w:sz w:val="22"/>
          <w:lang w:val="en-US"/>
        </w:rPr>
        <w:t>eachers supported by systemic training programs linked to pay progression for staff with higher qualifications.</w:t>
      </w:r>
    </w:p>
    <w:p w14:paraId="0A24510E" w14:textId="77777777" w:rsidR="0036671E" w:rsidRDefault="0036671E">
      <w:pPr>
        <w:rPr>
          <w:rFonts w:ascii="Lato" w:hAnsi="Lato"/>
          <w:sz w:val="22"/>
          <w:lang w:val="en-US"/>
        </w:rPr>
      </w:pPr>
      <w:r>
        <w:rPr>
          <w:rFonts w:ascii="Lato" w:hAnsi="Lato"/>
          <w:sz w:val="22"/>
          <w:lang w:val="en-US"/>
        </w:rPr>
        <w:br w:type="page"/>
      </w:r>
    </w:p>
    <w:p w14:paraId="0A24510F" w14:textId="77777777" w:rsidR="005637C4" w:rsidRPr="00DE1881" w:rsidRDefault="005637C4" w:rsidP="00BD09BB">
      <w:pPr>
        <w:pStyle w:val="Normalnumbered"/>
        <w:numPr>
          <w:ilvl w:val="0"/>
          <w:numId w:val="16"/>
        </w:numPr>
        <w:spacing w:after="240" w:line="260" w:lineRule="exact"/>
        <w:rPr>
          <w:rFonts w:ascii="Lato" w:hAnsi="Lato"/>
          <w:sz w:val="22"/>
          <w:lang w:val="en-US"/>
        </w:rPr>
      </w:pPr>
      <w:r w:rsidRPr="00DE1881">
        <w:rPr>
          <w:rFonts w:ascii="Lato" w:hAnsi="Lato"/>
          <w:sz w:val="22"/>
          <w:lang w:val="en-US"/>
        </w:rPr>
        <w:lastRenderedPageBreak/>
        <w:t>The Commonwealth and Northern Territory have implemented a range of measures to improve attendance, including the Remote School Attendance Strategy (RSAS), Northern Territory truancy provisions, and local school initiatives. It is essential to the delivery of outcomes within this Implementation Plan for the two governments to work together to ensure all attendance efforts are cooperatively and strategically deployed, including the development of principles and processes for the implementation of attend</w:t>
      </w:r>
      <w:r w:rsidR="00F76351" w:rsidRPr="00DE1881">
        <w:rPr>
          <w:rFonts w:ascii="Lato" w:hAnsi="Lato"/>
          <w:sz w:val="22"/>
          <w:lang w:val="en-US"/>
        </w:rPr>
        <w:t>a</w:t>
      </w:r>
      <w:r w:rsidRPr="00DE1881">
        <w:rPr>
          <w:rFonts w:ascii="Lato" w:hAnsi="Lato"/>
          <w:sz w:val="22"/>
          <w:lang w:val="en-US"/>
        </w:rPr>
        <w:t>nce efforts.</w:t>
      </w:r>
    </w:p>
    <w:p w14:paraId="0A245110" w14:textId="77777777" w:rsidR="005637C4" w:rsidRPr="004D70B3" w:rsidRDefault="005637C4" w:rsidP="00BD09BB">
      <w:pPr>
        <w:pStyle w:val="Normalnumbered"/>
        <w:numPr>
          <w:ilvl w:val="0"/>
          <w:numId w:val="16"/>
        </w:numPr>
        <w:spacing w:after="240" w:line="260" w:lineRule="exact"/>
        <w:rPr>
          <w:rFonts w:ascii="Lato" w:hAnsi="Lato"/>
          <w:sz w:val="22"/>
          <w:lang w:val="en-US"/>
        </w:rPr>
      </w:pPr>
      <w:r w:rsidRPr="00DE1881">
        <w:rPr>
          <w:rFonts w:ascii="Lato" w:hAnsi="Lato"/>
          <w:sz w:val="22"/>
          <w:lang w:val="en-US"/>
        </w:rPr>
        <w:t>Activities 1-</w:t>
      </w:r>
      <w:r w:rsidR="000C0207" w:rsidRPr="00BD5E05">
        <w:rPr>
          <w:rFonts w:ascii="Lato" w:hAnsi="Lato"/>
          <w:sz w:val="22"/>
          <w:szCs w:val="22"/>
          <w:lang w:val="en-US"/>
        </w:rPr>
        <w:t>5</w:t>
      </w:r>
      <w:r w:rsidRPr="004D70B3">
        <w:rPr>
          <w:rFonts w:ascii="Lato" w:hAnsi="Lato"/>
          <w:sz w:val="22"/>
          <w:lang w:val="en-US"/>
        </w:rPr>
        <w:t xml:space="preserve"> link with a range of existing reforms and other projects being implemented by the Parties. The Parties agree to work together to align initiatives and </w:t>
      </w:r>
      <w:r w:rsidRPr="004D70B3">
        <w:rPr>
          <w:rFonts w:ascii="Lato" w:hAnsi="Lato"/>
          <w:sz w:val="22"/>
        </w:rPr>
        <w:t>maximise</w:t>
      </w:r>
      <w:r w:rsidRPr="004D70B3">
        <w:rPr>
          <w:rFonts w:ascii="Lato" w:hAnsi="Lato"/>
          <w:sz w:val="22"/>
          <w:lang w:val="en-US"/>
        </w:rPr>
        <w:t xml:space="preserve"> coordination of service delivery.</w:t>
      </w:r>
    </w:p>
    <w:p w14:paraId="0A245111" w14:textId="77777777" w:rsidR="0036688B" w:rsidRPr="004D70B3" w:rsidRDefault="0036688B" w:rsidP="00F76351">
      <w:pPr>
        <w:pStyle w:val="Heading2"/>
        <w:spacing w:after="120"/>
        <w:rPr>
          <w:rFonts w:ascii="Lato" w:hAnsi="Lato"/>
        </w:rPr>
      </w:pPr>
      <w:r w:rsidRPr="004D70B3">
        <w:rPr>
          <w:rFonts w:ascii="Lato" w:hAnsi="Lato"/>
        </w:rPr>
        <w:t xml:space="preserve">Project information </w:t>
      </w:r>
    </w:p>
    <w:p w14:paraId="0A245112" w14:textId="77777777" w:rsidR="00BE3B0F" w:rsidRPr="004D70B3" w:rsidRDefault="00BE3B0F" w:rsidP="00BD09BB">
      <w:pPr>
        <w:pStyle w:val="Normalnumbered"/>
        <w:numPr>
          <w:ilvl w:val="0"/>
          <w:numId w:val="16"/>
        </w:numPr>
        <w:spacing w:after="240" w:line="260" w:lineRule="exact"/>
        <w:rPr>
          <w:rFonts w:ascii="Lato" w:hAnsi="Lato"/>
          <w:sz w:val="22"/>
          <w:lang w:val="en-US"/>
        </w:rPr>
      </w:pPr>
      <w:r w:rsidRPr="004D70B3">
        <w:rPr>
          <w:rFonts w:ascii="Lato" w:hAnsi="Lato"/>
          <w:sz w:val="22"/>
          <w:lang w:val="en-US"/>
        </w:rPr>
        <w:t>Activities 1-</w:t>
      </w:r>
      <w:r w:rsidR="000C0207" w:rsidRPr="00BD5E05">
        <w:rPr>
          <w:rFonts w:ascii="Lato" w:hAnsi="Lato"/>
          <w:sz w:val="22"/>
          <w:szCs w:val="22"/>
          <w:lang w:val="en-US"/>
        </w:rPr>
        <w:t>5</w:t>
      </w:r>
      <w:r w:rsidRPr="004D70B3">
        <w:rPr>
          <w:rFonts w:ascii="Lato" w:hAnsi="Lato"/>
          <w:sz w:val="22"/>
          <w:lang w:val="en-US"/>
        </w:rPr>
        <w:t xml:space="preserve"> are those with potential to have a direct and measurable positive </w:t>
      </w:r>
      <w:r w:rsidR="00F76351" w:rsidRPr="004D70B3">
        <w:rPr>
          <w:rFonts w:ascii="Lato" w:hAnsi="Lato"/>
          <w:sz w:val="22"/>
          <w:lang w:val="en-US"/>
        </w:rPr>
        <w:t>i</w:t>
      </w:r>
      <w:r w:rsidRPr="004D70B3">
        <w:rPr>
          <w:rFonts w:ascii="Lato" w:hAnsi="Lato"/>
          <w:sz w:val="22"/>
          <w:lang w:val="en-US"/>
        </w:rPr>
        <w:t>mpact on student outcomes. Activities also include provision for the development of systems data collection and monitoring of outcomes, as well as evaluation.</w:t>
      </w:r>
    </w:p>
    <w:p w14:paraId="0A245113" w14:textId="77777777" w:rsidR="00BE3B0F" w:rsidRPr="004D70B3" w:rsidRDefault="00BE3B0F" w:rsidP="00BD09BB">
      <w:pPr>
        <w:pStyle w:val="Normalnumbered"/>
        <w:numPr>
          <w:ilvl w:val="0"/>
          <w:numId w:val="16"/>
        </w:numPr>
        <w:spacing w:after="240" w:line="260" w:lineRule="exact"/>
        <w:rPr>
          <w:rFonts w:ascii="Lato" w:hAnsi="Lato"/>
          <w:sz w:val="22"/>
          <w:lang w:val="en-US"/>
        </w:rPr>
      </w:pPr>
      <w:r w:rsidRPr="004D70B3">
        <w:rPr>
          <w:rFonts w:ascii="Lato" w:hAnsi="Lato"/>
          <w:sz w:val="22"/>
          <w:lang w:val="en-US"/>
        </w:rPr>
        <w:t>Activity 1</w:t>
      </w:r>
      <w:r w:rsidR="008B2C3C" w:rsidRPr="004D70B3">
        <w:rPr>
          <w:rFonts w:ascii="Lato" w:hAnsi="Lato"/>
          <w:sz w:val="22"/>
          <w:lang w:val="en-US"/>
        </w:rPr>
        <w:t xml:space="preserve"> —</w:t>
      </w:r>
      <w:r w:rsidR="00F76351" w:rsidRPr="004D70B3">
        <w:rPr>
          <w:rFonts w:ascii="Lato" w:hAnsi="Lato"/>
          <w:sz w:val="22"/>
          <w:lang w:val="en-US"/>
        </w:rPr>
        <w:t xml:space="preserve"> </w:t>
      </w:r>
      <w:r w:rsidRPr="004D70B3">
        <w:rPr>
          <w:rFonts w:ascii="Lato" w:hAnsi="Lato"/>
          <w:sz w:val="22"/>
          <w:lang w:val="en-US"/>
        </w:rPr>
        <w:t xml:space="preserve">Foundations </w:t>
      </w:r>
      <w:r w:rsidR="008B2C3C" w:rsidRPr="004D70B3">
        <w:rPr>
          <w:rFonts w:ascii="Lato" w:hAnsi="Lato"/>
          <w:sz w:val="22"/>
          <w:lang w:val="en-US"/>
        </w:rPr>
        <w:t>—</w:t>
      </w:r>
      <w:r w:rsidRPr="004D70B3">
        <w:rPr>
          <w:rFonts w:ascii="Lato" w:hAnsi="Lato"/>
          <w:sz w:val="22"/>
          <w:lang w:val="en-US"/>
        </w:rPr>
        <w:t xml:space="preserve"> the </w:t>
      </w:r>
      <w:r w:rsidR="00F666E2" w:rsidRPr="00BD5E05">
        <w:rPr>
          <w:rFonts w:ascii="Lato" w:hAnsi="Lato"/>
          <w:sz w:val="22"/>
          <w:szCs w:val="22"/>
          <w:lang w:val="en-US"/>
        </w:rPr>
        <w:t xml:space="preserve">Evaluation and Consultations </w:t>
      </w:r>
      <w:r w:rsidR="007A21EE">
        <w:rPr>
          <w:rFonts w:ascii="Lato" w:hAnsi="Lato"/>
          <w:sz w:val="22"/>
          <w:szCs w:val="22"/>
          <w:lang w:val="en-US"/>
        </w:rPr>
        <w:t xml:space="preserve">process </w:t>
      </w:r>
      <w:r w:rsidR="00F666E2" w:rsidRPr="00BD5E05">
        <w:rPr>
          <w:rFonts w:ascii="Lato" w:hAnsi="Lato"/>
          <w:sz w:val="22"/>
          <w:szCs w:val="22"/>
          <w:lang w:val="en-US"/>
        </w:rPr>
        <w:t>of Stage 1</w:t>
      </w:r>
      <w:r w:rsidR="000C0207" w:rsidRPr="00BD5E05">
        <w:rPr>
          <w:rFonts w:ascii="Lato" w:hAnsi="Lato"/>
          <w:sz w:val="22"/>
          <w:szCs w:val="22"/>
          <w:lang w:val="en-US"/>
        </w:rPr>
        <w:t xml:space="preserve"> </w:t>
      </w:r>
      <w:r w:rsidR="00F74759">
        <w:rPr>
          <w:rFonts w:ascii="Lato" w:hAnsi="Lato"/>
          <w:sz w:val="22"/>
          <w:szCs w:val="22"/>
          <w:lang w:val="en-US"/>
        </w:rPr>
        <w:t xml:space="preserve">of the Strategy </w:t>
      </w:r>
      <w:r w:rsidRPr="00BD5E05">
        <w:rPr>
          <w:rFonts w:ascii="Lato" w:hAnsi="Lato"/>
          <w:sz w:val="22"/>
          <w:szCs w:val="22"/>
          <w:lang w:val="en-US"/>
        </w:rPr>
        <w:t>recommend</w:t>
      </w:r>
      <w:r w:rsidR="007A21EE">
        <w:rPr>
          <w:rFonts w:ascii="Lato" w:hAnsi="Lato"/>
          <w:sz w:val="22"/>
          <w:szCs w:val="22"/>
          <w:lang w:val="en-US"/>
        </w:rPr>
        <w:t>ed</w:t>
      </w:r>
      <w:r w:rsidRPr="00BD5E05">
        <w:rPr>
          <w:rFonts w:ascii="Lato" w:hAnsi="Lato"/>
          <w:sz w:val="22"/>
          <w:szCs w:val="22"/>
          <w:lang w:val="en-US"/>
        </w:rPr>
        <w:t xml:space="preserve"> the </w:t>
      </w:r>
      <w:r w:rsidR="00F666E2" w:rsidRPr="00BD5E05">
        <w:rPr>
          <w:rFonts w:ascii="Lato" w:hAnsi="Lato"/>
          <w:sz w:val="22"/>
          <w:szCs w:val="22"/>
          <w:lang w:val="en-US"/>
        </w:rPr>
        <w:t>consolidation</w:t>
      </w:r>
      <w:r w:rsidRPr="004D70B3">
        <w:rPr>
          <w:rFonts w:ascii="Lato" w:hAnsi="Lato"/>
          <w:sz w:val="22"/>
          <w:lang w:val="en-US"/>
        </w:rPr>
        <w:t xml:space="preserve"> of services that have demonstrated success and the strengthening of parent</w:t>
      </w:r>
      <w:r w:rsidR="008B2C3C" w:rsidRPr="004D70B3">
        <w:rPr>
          <w:rFonts w:ascii="Lato" w:hAnsi="Lato"/>
          <w:sz w:val="22"/>
          <w:lang w:val="en-US"/>
        </w:rPr>
        <w:t>al</w:t>
      </w:r>
      <w:r w:rsidRPr="004D70B3">
        <w:rPr>
          <w:rFonts w:ascii="Lato" w:hAnsi="Lato"/>
          <w:sz w:val="22"/>
          <w:lang w:val="en-US"/>
        </w:rPr>
        <w:t xml:space="preserve"> engagement and school readiness through </w:t>
      </w:r>
      <w:r w:rsidR="00F666E2" w:rsidRPr="00BD5E05">
        <w:rPr>
          <w:rFonts w:ascii="Lato" w:hAnsi="Lato"/>
          <w:sz w:val="22"/>
          <w:szCs w:val="22"/>
          <w:lang w:val="en-US"/>
        </w:rPr>
        <w:t>Families as First Teacher</w:t>
      </w:r>
      <w:r w:rsidR="00F74759">
        <w:rPr>
          <w:rFonts w:ascii="Lato" w:hAnsi="Lato"/>
          <w:sz w:val="22"/>
          <w:szCs w:val="22"/>
          <w:lang w:val="en-US"/>
        </w:rPr>
        <w:t>s</w:t>
      </w:r>
      <w:r w:rsidR="00F666E2" w:rsidRPr="00BD5E05">
        <w:rPr>
          <w:rFonts w:ascii="Lato" w:hAnsi="Lato"/>
          <w:sz w:val="22"/>
          <w:szCs w:val="22"/>
          <w:lang w:val="en-US"/>
        </w:rPr>
        <w:t xml:space="preserve"> </w:t>
      </w:r>
      <w:r w:rsidR="00F74759">
        <w:rPr>
          <w:rFonts w:ascii="Lato" w:hAnsi="Lato"/>
          <w:sz w:val="22"/>
          <w:szCs w:val="22"/>
          <w:lang w:val="en-US"/>
        </w:rPr>
        <w:t>(</w:t>
      </w:r>
      <w:proofErr w:type="spellStart"/>
      <w:r w:rsidR="00F74759">
        <w:rPr>
          <w:rFonts w:ascii="Lato" w:hAnsi="Lato"/>
          <w:sz w:val="22"/>
          <w:szCs w:val="22"/>
          <w:lang w:val="en-US"/>
        </w:rPr>
        <w:t>FaFT</w:t>
      </w:r>
      <w:proofErr w:type="spellEnd"/>
      <w:r w:rsidR="00F74759">
        <w:rPr>
          <w:rFonts w:ascii="Lato" w:hAnsi="Lato"/>
          <w:sz w:val="22"/>
          <w:szCs w:val="22"/>
          <w:lang w:val="en-US"/>
        </w:rPr>
        <w:t xml:space="preserve">) </w:t>
      </w:r>
      <w:r w:rsidR="00F666E2" w:rsidRPr="00BD5E05">
        <w:rPr>
          <w:rFonts w:ascii="Lato" w:hAnsi="Lato"/>
          <w:sz w:val="22"/>
          <w:szCs w:val="22"/>
          <w:lang w:val="en-US"/>
        </w:rPr>
        <w:t>Programs; with a particular focus on increasing the number of days attended per week.</w:t>
      </w:r>
      <w:r w:rsidR="00F666E2" w:rsidRPr="004D70B3">
        <w:rPr>
          <w:rFonts w:ascii="Lato" w:hAnsi="Lato"/>
          <w:sz w:val="22"/>
          <w:lang w:val="en-US"/>
        </w:rPr>
        <w:t xml:space="preserve"> </w:t>
      </w:r>
      <w:r w:rsidRPr="004D70B3">
        <w:rPr>
          <w:rFonts w:ascii="Lato" w:hAnsi="Lato"/>
          <w:sz w:val="22"/>
          <w:lang w:val="en-US"/>
        </w:rPr>
        <w:t>This activity acknowledges the importance of establishing strong patterns of attendance in early childhood as a precursor to strong school attendance in the primary and secondary years.</w:t>
      </w:r>
    </w:p>
    <w:p w14:paraId="0A245114" w14:textId="77777777" w:rsidR="00BE3B0F" w:rsidRPr="00BD5E05" w:rsidRDefault="00BE3B0F" w:rsidP="00BD09BB">
      <w:pPr>
        <w:pStyle w:val="Normalnumbered"/>
        <w:numPr>
          <w:ilvl w:val="0"/>
          <w:numId w:val="16"/>
        </w:numPr>
        <w:spacing w:after="240" w:line="260" w:lineRule="exact"/>
        <w:rPr>
          <w:rFonts w:ascii="Lato" w:hAnsi="Lato"/>
          <w:sz w:val="22"/>
          <w:szCs w:val="22"/>
          <w:lang w:val="en-US"/>
        </w:rPr>
      </w:pPr>
      <w:r w:rsidRPr="004D70B3">
        <w:rPr>
          <w:rFonts w:ascii="Lato" w:hAnsi="Lato"/>
          <w:sz w:val="22"/>
          <w:lang w:val="en-US"/>
        </w:rPr>
        <w:t>Activity 2</w:t>
      </w:r>
      <w:r w:rsidR="008B2C3C" w:rsidRPr="004D70B3">
        <w:rPr>
          <w:rFonts w:ascii="Lato" w:hAnsi="Lato"/>
          <w:sz w:val="22"/>
          <w:lang w:val="en-US"/>
        </w:rPr>
        <w:t xml:space="preserve"> —</w:t>
      </w:r>
      <w:r w:rsidRPr="004D70B3">
        <w:rPr>
          <w:rFonts w:ascii="Lato" w:hAnsi="Lato"/>
          <w:sz w:val="22"/>
          <w:lang w:val="en-US"/>
        </w:rPr>
        <w:t xml:space="preserve"> </w:t>
      </w:r>
      <w:r w:rsidRPr="00BD5E05">
        <w:rPr>
          <w:rFonts w:ascii="Lato" w:hAnsi="Lato"/>
          <w:sz w:val="22"/>
          <w:szCs w:val="22"/>
          <w:lang w:val="en-US"/>
        </w:rPr>
        <w:t xml:space="preserve">Essentials </w:t>
      </w:r>
      <w:r w:rsidR="008B2C3C" w:rsidRPr="00535722">
        <w:rPr>
          <w:rFonts w:ascii="Lato" w:hAnsi="Lato"/>
          <w:sz w:val="22"/>
          <w:szCs w:val="22"/>
          <w:lang w:val="en-US"/>
        </w:rPr>
        <w:t>—</w:t>
      </w:r>
      <w:r w:rsidRPr="00BD5E05">
        <w:rPr>
          <w:rFonts w:ascii="Lato" w:hAnsi="Lato"/>
          <w:sz w:val="22"/>
          <w:szCs w:val="22"/>
          <w:lang w:val="en-US"/>
        </w:rPr>
        <w:t xml:space="preserve"> the</w:t>
      </w:r>
      <w:r w:rsidR="00F666E2" w:rsidRPr="00BD5E05">
        <w:rPr>
          <w:rFonts w:ascii="Lato" w:hAnsi="Lato"/>
          <w:sz w:val="22"/>
          <w:szCs w:val="22"/>
          <w:lang w:val="en-US"/>
        </w:rPr>
        <w:t xml:space="preserve"> Evaluation and Consultations </w:t>
      </w:r>
      <w:r w:rsidR="007A21EE">
        <w:rPr>
          <w:rFonts w:ascii="Lato" w:hAnsi="Lato"/>
          <w:sz w:val="22"/>
          <w:szCs w:val="22"/>
          <w:lang w:val="en-US"/>
        </w:rPr>
        <w:t xml:space="preserve">process </w:t>
      </w:r>
      <w:r w:rsidR="00F666E2" w:rsidRPr="00BD5E05">
        <w:rPr>
          <w:rFonts w:ascii="Lato" w:hAnsi="Lato"/>
          <w:sz w:val="22"/>
          <w:szCs w:val="22"/>
          <w:lang w:val="en-US"/>
        </w:rPr>
        <w:t>of Stage 1</w:t>
      </w:r>
      <w:r w:rsidRPr="00BD5E05">
        <w:rPr>
          <w:rFonts w:ascii="Lato" w:hAnsi="Lato"/>
          <w:sz w:val="22"/>
          <w:szCs w:val="22"/>
          <w:lang w:val="en-US"/>
        </w:rPr>
        <w:t xml:space="preserve"> </w:t>
      </w:r>
      <w:r w:rsidR="00F74759">
        <w:rPr>
          <w:rFonts w:ascii="Lato" w:hAnsi="Lato"/>
          <w:sz w:val="22"/>
          <w:szCs w:val="22"/>
          <w:lang w:val="en-US"/>
        </w:rPr>
        <w:t xml:space="preserve">of the Strategy </w:t>
      </w:r>
      <w:r w:rsidRPr="00BD5E05">
        <w:rPr>
          <w:rFonts w:ascii="Lato" w:hAnsi="Lato"/>
          <w:sz w:val="22"/>
          <w:szCs w:val="22"/>
          <w:lang w:val="en-US"/>
        </w:rPr>
        <w:t>recommend</w:t>
      </w:r>
      <w:r w:rsidR="007A21EE">
        <w:rPr>
          <w:rFonts w:ascii="Lato" w:hAnsi="Lato"/>
          <w:sz w:val="22"/>
          <w:szCs w:val="22"/>
          <w:lang w:val="en-US"/>
        </w:rPr>
        <w:t>ed</w:t>
      </w:r>
      <w:r w:rsidRPr="00BD5E05">
        <w:rPr>
          <w:rFonts w:ascii="Lato" w:hAnsi="Lato"/>
          <w:sz w:val="22"/>
          <w:szCs w:val="22"/>
          <w:lang w:val="en-US"/>
        </w:rPr>
        <w:t xml:space="preserve"> a different approach to delivering education services in remote and very remote settings. Where feasible, Aboriginal first languages should also be taught. </w:t>
      </w:r>
      <w:r w:rsidR="00F666E2" w:rsidRPr="00BD5E05">
        <w:rPr>
          <w:rFonts w:ascii="Lato" w:hAnsi="Lato"/>
          <w:sz w:val="22"/>
          <w:szCs w:val="22"/>
          <w:lang w:val="en-US"/>
        </w:rPr>
        <w:t xml:space="preserve">This </w:t>
      </w:r>
      <w:r w:rsidRPr="00BD5E05">
        <w:rPr>
          <w:rFonts w:ascii="Lato" w:hAnsi="Lato"/>
          <w:sz w:val="22"/>
          <w:szCs w:val="22"/>
          <w:lang w:val="en-US"/>
        </w:rPr>
        <w:t>activit</w:t>
      </w:r>
      <w:r w:rsidR="00F666E2" w:rsidRPr="00BD5E05">
        <w:rPr>
          <w:rFonts w:ascii="Lato" w:hAnsi="Lato"/>
          <w:sz w:val="22"/>
          <w:szCs w:val="22"/>
          <w:lang w:val="en-US"/>
        </w:rPr>
        <w:t>y</w:t>
      </w:r>
      <w:r w:rsidRPr="00BD5E05">
        <w:rPr>
          <w:rFonts w:ascii="Lato" w:hAnsi="Lato"/>
          <w:sz w:val="22"/>
          <w:szCs w:val="22"/>
          <w:lang w:val="en-US"/>
        </w:rPr>
        <w:t xml:space="preserve"> </w:t>
      </w:r>
      <w:r w:rsidR="00F666E2" w:rsidRPr="00BD5E05">
        <w:rPr>
          <w:rFonts w:ascii="Lato" w:hAnsi="Lato"/>
          <w:sz w:val="22"/>
          <w:szCs w:val="22"/>
          <w:lang w:val="en-US"/>
        </w:rPr>
        <w:t xml:space="preserve">is </w:t>
      </w:r>
      <w:r w:rsidRPr="00BD5E05">
        <w:rPr>
          <w:rFonts w:ascii="Lato" w:hAnsi="Lato"/>
          <w:sz w:val="22"/>
          <w:szCs w:val="22"/>
          <w:lang w:val="en-US"/>
        </w:rPr>
        <w:t>identified as critical in preparing Aboriginal children for ongoing success at school, and ensuring they are engaged in school throughout their education journey.</w:t>
      </w:r>
      <w:r w:rsidR="00C45FD8">
        <w:rPr>
          <w:rFonts w:ascii="Lato" w:hAnsi="Lato"/>
          <w:sz w:val="22"/>
          <w:szCs w:val="22"/>
          <w:lang w:val="en-US"/>
        </w:rPr>
        <w:t xml:space="preserve"> It is noted that projects in Activity 2</w:t>
      </w:r>
      <w:r w:rsidR="00913BCE">
        <w:rPr>
          <w:rFonts w:ascii="Lato" w:hAnsi="Lato"/>
          <w:sz w:val="22"/>
          <w:szCs w:val="22"/>
          <w:lang w:val="en-US"/>
        </w:rPr>
        <w:t xml:space="preserve"> </w:t>
      </w:r>
      <w:r w:rsidR="00C45FD8">
        <w:rPr>
          <w:rFonts w:ascii="Lato" w:hAnsi="Lato"/>
          <w:sz w:val="22"/>
          <w:szCs w:val="22"/>
          <w:lang w:val="en-US"/>
        </w:rPr>
        <w:t xml:space="preserve">are to be </w:t>
      </w:r>
      <w:r w:rsidR="00913BCE">
        <w:rPr>
          <w:rFonts w:ascii="Lato" w:hAnsi="Lato"/>
          <w:sz w:val="22"/>
          <w:szCs w:val="22"/>
          <w:lang w:val="en-US"/>
        </w:rPr>
        <w:t xml:space="preserve">fully </w:t>
      </w:r>
      <w:r w:rsidR="00C45FD8">
        <w:rPr>
          <w:rFonts w:ascii="Lato" w:hAnsi="Lato"/>
          <w:sz w:val="22"/>
          <w:szCs w:val="22"/>
          <w:lang w:val="en-US"/>
        </w:rPr>
        <w:t xml:space="preserve">funded </w:t>
      </w:r>
      <w:r w:rsidR="00913BCE">
        <w:rPr>
          <w:rFonts w:ascii="Lato" w:hAnsi="Lato"/>
          <w:sz w:val="22"/>
          <w:szCs w:val="22"/>
          <w:lang w:val="en-US"/>
        </w:rPr>
        <w:t>by the Northern Territory for the duration of this Implementation Plan</w:t>
      </w:r>
      <w:r w:rsidR="00C45FD8">
        <w:rPr>
          <w:rFonts w:ascii="Lato" w:hAnsi="Lato"/>
          <w:sz w:val="22"/>
          <w:szCs w:val="22"/>
          <w:lang w:val="en-US"/>
        </w:rPr>
        <w:t>.</w:t>
      </w:r>
    </w:p>
    <w:p w14:paraId="0A245115" w14:textId="77777777" w:rsidR="00BE3B0F" w:rsidRPr="009A74D4" w:rsidRDefault="00BE3B0F" w:rsidP="00BD09BB">
      <w:pPr>
        <w:pStyle w:val="Normalnumbered"/>
        <w:numPr>
          <w:ilvl w:val="0"/>
          <w:numId w:val="16"/>
        </w:numPr>
        <w:spacing w:after="240" w:line="260" w:lineRule="exact"/>
        <w:rPr>
          <w:rFonts w:ascii="Lato" w:hAnsi="Lato"/>
          <w:sz w:val="22"/>
          <w:lang w:val="en-US"/>
        </w:rPr>
      </w:pPr>
      <w:r w:rsidRPr="00BD5E05">
        <w:rPr>
          <w:rFonts w:ascii="Lato" w:hAnsi="Lato"/>
          <w:sz w:val="22"/>
          <w:szCs w:val="22"/>
          <w:lang w:val="en-US"/>
        </w:rPr>
        <w:t xml:space="preserve">Activity </w:t>
      </w:r>
      <w:r w:rsidR="00F666E2" w:rsidRPr="00BD5E05">
        <w:rPr>
          <w:rFonts w:ascii="Lato" w:hAnsi="Lato"/>
          <w:sz w:val="22"/>
          <w:szCs w:val="22"/>
          <w:lang w:val="en-US"/>
        </w:rPr>
        <w:t>3</w:t>
      </w:r>
      <w:r w:rsidR="008B2C3C" w:rsidRPr="00BD5E05">
        <w:rPr>
          <w:rFonts w:ascii="Lato" w:hAnsi="Lato"/>
          <w:sz w:val="22"/>
          <w:szCs w:val="22"/>
          <w:lang w:val="en-US"/>
        </w:rPr>
        <w:t xml:space="preserve"> </w:t>
      </w:r>
      <w:r w:rsidR="008B2C3C" w:rsidRPr="00535722">
        <w:rPr>
          <w:rFonts w:ascii="Lato" w:hAnsi="Lato"/>
          <w:sz w:val="22"/>
          <w:szCs w:val="22"/>
          <w:lang w:val="en-US"/>
        </w:rPr>
        <w:t>—</w:t>
      </w:r>
      <w:r w:rsidRPr="00BD5E05">
        <w:rPr>
          <w:rFonts w:ascii="Lato" w:hAnsi="Lato"/>
          <w:sz w:val="22"/>
          <w:szCs w:val="22"/>
          <w:lang w:val="en-US"/>
        </w:rPr>
        <w:t xml:space="preserve"> </w:t>
      </w:r>
      <w:r w:rsidRPr="004D70B3">
        <w:rPr>
          <w:rFonts w:ascii="Lato" w:hAnsi="Lato"/>
          <w:sz w:val="22"/>
          <w:lang w:val="en-US"/>
        </w:rPr>
        <w:t xml:space="preserve">Pathways </w:t>
      </w:r>
      <w:r w:rsidR="008B2C3C" w:rsidRPr="004D70B3">
        <w:rPr>
          <w:rFonts w:ascii="Lato" w:hAnsi="Lato"/>
          <w:sz w:val="22"/>
          <w:lang w:val="en-US"/>
        </w:rPr>
        <w:t>—</w:t>
      </w:r>
      <w:r w:rsidRPr="004D70B3">
        <w:rPr>
          <w:rFonts w:ascii="Lato" w:hAnsi="Lato"/>
          <w:sz w:val="22"/>
          <w:lang w:val="en-US"/>
        </w:rPr>
        <w:t xml:space="preserve"> the</w:t>
      </w:r>
      <w:r w:rsidR="00F666E2" w:rsidRPr="004D70B3">
        <w:rPr>
          <w:rFonts w:ascii="Lato" w:hAnsi="Lato"/>
          <w:sz w:val="22"/>
          <w:lang w:val="en-US"/>
        </w:rPr>
        <w:t xml:space="preserve"> </w:t>
      </w:r>
      <w:r w:rsidR="00F666E2" w:rsidRPr="00BD5E05">
        <w:rPr>
          <w:rFonts w:ascii="Lato" w:hAnsi="Lato"/>
          <w:sz w:val="22"/>
          <w:szCs w:val="22"/>
          <w:lang w:val="en-US"/>
        </w:rPr>
        <w:t xml:space="preserve">Evaluation and Consultations </w:t>
      </w:r>
      <w:r w:rsidR="007A21EE">
        <w:rPr>
          <w:rFonts w:ascii="Lato" w:hAnsi="Lato"/>
          <w:sz w:val="22"/>
          <w:szCs w:val="22"/>
          <w:lang w:val="en-US"/>
        </w:rPr>
        <w:t xml:space="preserve">process </w:t>
      </w:r>
      <w:r w:rsidR="00F666E2" w:rsidRPr="00BD5E05">
        <w:rPr>
          <w:rFonts w:ascii="Lato" w:hAnsi="Lato"/>
          <w:sz w:val="22"/>
          <w:szCs w:val="22"/>
          <w:lang w:val="en-US"/>
        </w:rPr>
        <w:t xml:space="preserve">of Stage 1 </w:t>
      </w:r>
      <w:r w:rsidR="00F74759">
        <w:rPr>
          <w:rFonts w:ascii="Lato" w:hAnsi="Lato"/>
          <w:sz w:val="22"/>
          <w:szCs w:val="22"/>
          <w:lang w:val="en-US"/>
        </w:rPr>
        <w:t xml:space="preserve">of the Strategy </w:t>
      </w:r>
      <w:r w:rsidRPr="00BD5E05">
        <w:rPr>
          <w:rFonts w:ascii="Lato" w:hAnsi="Lato"/>
          <w:sz w:val="22"/>
          <w:szCs w:val="22"/>
          <w:lang w:val="en-US"/>
        </w:rPr>
        <w:t>highlight</w:t>
      </w:r>
      <w:r w:rsidR="007A21EE">
        <w:rPr>
          <w:rFonts w:ascii="Lato" w:hAnsi="Lato"/>
          <w:sz w:val="22"/>
          <w:szCs w:val="22"/>
          <w:lang w:val="en-US"/>
        </w:rPr>
        <w:t>ed</w:t>
      </w:r>
      <w:r w:rsidRPr="004D70B3">
        <w:rPr>
          <w:rFonts w:ascii="Lato" w:hAnsi="Lato"/>
          <w:sz w:val="22"/>
          <w:lang w:val="en-US"/>
        </w:rPr>
        <w:t xml:space="preserve"> the importance of a quality secondary education in providing opportunities for students in accessing employment, training and further education.</w:t>
      </w:r>
      <w:r w:rsidR="006F3324" w:rsidRPr="004D70B3">
        <w:rPr>
          <w:rFonts w:ascii="Lato" w:hAnsi="Lato"/>
          <w:sz w:val="22"/>
          <w:lang w:val="en-US"/>
        </w:rPr>
        <w:t xml:space="preserve"> </w:t>
      </w:r>
      <w:r w:rsidR="006F3324" w:rsidRPr="00BD5E05">
        <w:rPr>
          <w:rFonts w:ascii="Lato" w:hAnsi="Lato"/>
          <w:sz w:val="22"/>
          <w:szCs w:val="22"/>
          <w:lang w:val="en-US"/>
        </w:rPr>
        <w:t xml:space="preserve">There are two valid options for </w:t>
      </w:r>
      <w:r w:rsidR="006F3324" w:rsidRPr="004D70B3">
        <w:rPr>
          <w:rFonts w:ascii="Lato" w:hAnsi="Lato"/>
          <w:sz w:val="22"/>
          <w:lang w:val="en-US"/>
        </w:rPr>
        <w:t xml:space="preserve">secondary </w:t>
      </w:r>
      <w:r w:rsidR="006F3324" w:rsidRPr="00BD5E05">
        <w:rPr>
          <w:rFonts w:ascii="Lato" w:hAnsi="Lato"/>
          <w:sz w:val="22"/>
          <w:szCs w:val="22"/>
          <w:lang w:val="en-US"/>
        </w:rPr>
        <w:t>education</w:t>
      </w:r>
      <w:r w:rsidR="00913BCE">
        <w:rPr>
          <w:rFonts w:ascii="Lato" w:hAnsi="Lato"/>
          <w:sz w:val="22"/>
          <w:szCs w:val="22"/>
          <w:lang w:val="en-US"/>
        </w:rPr>
        <w:t xml:space="preserve"> in the Northern Territory</w:t>
      </w:r>
      <w:r w:rsidR="00224997">
        <w:rPr>
          <w:rFonts w:ascii="Lato" w:hAnsi="Lato"/>
          <w:sz w:val="22"/>
          <w:szCs w:val="22"/>
          <w:lang w:val="en-US"/>
        </w:rPr>
        <w:t>.</w:t>
      </w:r>
      <w:r w:rsidR="006F3324" w:rsidRPr="00BD5E05">
        <w:rPr>
          <w:rFonts w:ascii="Lato" w:hAnsi="Lato"/>
          <w:sz w:val="22"/>
          <w:szCs w:val="22"/>
          <w:lang w:val="en-US"/>
        </w:rPr>
        <w:t xml:space="preserve"> </w:t>
      </w:r>
      <w:r w:rsidR="00224997">
        <w:rPr>
          <w:rFonts w:ascii="Lato" w:hAnsi="Lato"/>
          <w:sz w:val="22"/>
          <w:szCs w:val="22"/>
          <w:lang w:val="en-US"/>
        </w:rPr>
        <w:t>T</w:t>
      </w:r>
      <w:r w:rsidRPr="00BD5E05">
        <w:rPr>
          <w:rFonts w:ascii="Lato" w:hAnsi="Lato"/>
          <w:sz w:val="22"/>
          <w:szCs w:val="22"/>
          <w:lang w:val="en-US"/>
        </w:rPr>
        <w:t xml:space="preserve">he </w:t>
      </w:r>
      <w:r w:rsidR="006F3324" w:rsidRPr="00BD5E05">
        <w:rPr>
          <w:rFonts w:ascii="Lato" w:hAnsi="Lato"/>
          <w:sz w:val="22"/>
          <w:szCs w:val="22"/>
          <w:lang w:val="en-US"/>
        </w:rPr>
        <w:t>first</w:t>
      </w:r>
      <w:r w:rsidRPr="00BD5E05">
        <w:rPr>
          <w:rFonts w:ascii="Lato" w:hAnsi="Lato"/>
          <w:sz w:val="22"/>
          <w:szCs w:val="22"/>
          <w:lang w:val="en-US"/>
        </w:rPr>
        <w:t xml:space="preserve"> </w:t>
      </w:r>
      <w:r w:rsidRPr="004D70B3">
        <w:rPr>
          <w:rFonts w:ascii="Lato" w:hAnsi="Lato"/>
          <w:sz w:val="22"/>
          <w:lang w:val="en-US"/>
        </w:rPr>
        <w:t xml:space="preserve">model </w:t>
      </w:r>
      <w:r w:rsidRPr="00BD5E05">
        <w:rPr>
          <w:rFonts w:ascii="Lato" w:hAnsi="Lato"/>
          <w:sz w:val="22"/>
          <w:szCs w:val="22"/>
          <w:lang w:val="en-US"/>
        </w:rPr>
        <w:t xml:space="preserve">is </w:t>
      </w:r>
      <w:r w:rsidR="006F3324" w:rsidRPr="00BD5E05">
        <w:rPr>
          <w:rFonts w:ascii="Lato" w:hAnsi="Lato"/>
          <w:sz w:val="22"/>
          <w:szCs w:val="22"/>
          <w:lang w:val="en-US"/>
        </w:rPr>
        <w:t xml:space="preserve">parents elect for their children to undertake </w:t>
      </w:r>
      <w:r w:rsidRPr="004D70B3">
        <w:rPr>
          <w:rFonts w:ascii="Lato" w:hAnsi="Lato"/>
          <w:sz w:val="22"/>
          <w:lang w:val="en-US"/>
        </w:rPr>
        <w:t>senior secondary and the majority of middle years schooling in regional and urban schools, supported with residential arrangements</w:t>
      </w:r>
      <w:r w:rsidR="00224997">
        <w:rPr>
          <w:rFonts w:ascii="Lato" w:hAnsi="Lato"/>
          <w:sz w:val="22"/>
          <w:szCs w:val="22"/>
          <w:lang w:val="en-US"/>
        </w:rPr>
        <w:t>. T</w:t>
      </w:r>
      <w:r w:rsidR="006F3324" w:rsidRPr="00BD5E05">
        <w:rPr>
          <w:rFonts w:ascii="Lato" w:hAnsi="Lato"/>
          <w:sz w:val="22"/>
          <w:szCs w:val="22"/>
          <w:lang w:val="en-US"/>
        </w:rPr>
        <w:t>he second option is that parents elect for their children to undertake a secondary education program (</w:t>
      </w:r>
      <w:r w:rsidR="00EE5D3E" w:rsidRPr="00BD5E05">
        <w:rPr>
          <w:rFonts w:ascii="Lato" w:hAnsi="Lato"/>
          <w:sz w:val="22"/>
          <w:szCs w:val="22"/>
          <w:lang w:val="en-US"/>
        </w:rPr>
        <w:t>E</w:t>
      </w:r>
      <w:r w:rsidR="006F3324" w:rsidRPr="00BD5E05">
        <w:rPr>
          <w:rFonts w:ascii="Lato" w:hAnsi="Lato"/>
          <w:sz w:val="22"/>
          <w:szCs w:val="22"/>
          <w:lang w:val="en-US"/>
        </w:rPr>
        <w:t>mployment Pathways) in their</w:t>
      </w:r>
      <w:r w:rsidR="006F3324" w:rsidRPr="004D70B3">
        <w:rPr>
          <w:rFonts w:ascii="Lato" w:hAnsi="Lato"/>
          <w:sz w:val="22"/>
          <w:lang w:val="en-US"/>
        </w:rPr>
        <w:t xml:space="preserve"> community </w:t>
      </w:r>
      <w:r w:rsidR="006F3324" w:rsidRPr="00BD5E05">
        <w:rPr>
          <w:rFonts w:ascii="Lato" w:hAnsi="Lato"/>
          <w:sz w:val="22"/>
          <w:szCs w:val="22"/>
          <w:lang w:val="en-US"/>
        </w:rPr>
        <w:t xml:space="preserve">understanding that this program provides pathways suited to employment within </w:t>
      </w:r>
      <w:r w:rsidR="006F3324" w:rsidRPr="000306F2">
        <w:rPr>
          <w:rFonts w:ascii="Lato" w:hAnsi="Lato"/>
          <w:sz w:val="22"/>
          <w:szCs w:val="22"/>
          <w:lang w:val="en-US"/>
        </w:rPr>
        <w:t>the local community</w:t>
      </w:r>
      <w:r w:rsidR="006F3324" w:rsidRPr="000306F2">
        <w:rPr>
          <w:rFonts w:ascii="Lato" w:hAnsi="Lato"/>
          <w:sz w:val="22"/>
          <w:lang w:val="en-US"/>
        </w:rPr>
        <w:t xml:space="preserve">. </w:t>
      </w:r>
      <w:r w:rsidR="000306F2" w:rsidRPr="000306F2">
        <w:rPr>
          <w:rFonts w:ascii="Lato" w:hAnsi="Lato"/>
          <w:sz w:val="22"/>
          <w:lang w:val="en-US"/>
        </w:rPr>
        <w:t xml:space="preserve">The </w:t>
      </w:r>
      <w:r w:rsidR="00791880">
        <w:rPr>
          <w:rFonts w:ascii="Lato" w:hAnsi="Lato"/>
          <w:sz w:val="22"/>
          <w:lang w:val="en-US"/>
        </w:rPr>
        <w:t>T</w:t>
      </w:r>
      <w:r w:rsidR="000306F2" w:rsidRPr="000306F2">
        <w:rPr>
          <w:rFonts w:ascii="Lato" w:hAnsi="Lato"/>
          <w:sz w:val="22"/>
          <w:lang w:val="en-US"/>
        </w:rPr>
        <w:t xml:space="preserve">ransition </w:t>
      </w:r>
      <w:r w:rsidR="00791880">
        <w:rPr>
          <w:rFonts w:ascii="Lato" w:hAnsi="Lato"/>
          <w:sz w:val="22"/>
          <w:lang w:val="en-US"/>
        </w:rPr>
        <w:t>S</w:t>
      </w:r>
      <w:r w:rsidR="000306F2" w:rsidRPr="000306F2">
        <w:rPr>
          <w:rFonts w:ascii="Lato" w:hAnsi="Lato"/>
          <w:sz w:val="22"/>
          <w:lang w:val="en-US"/>
        </w:rPr>
        <w:t xml:space="preserve">upport </w:t>
      </w:r>
      <w:r w:rsidR="00791880">
        <w:rPr>
          <w:rFonts w:ascii="Lato" w:hAnsi="Lato"/>
          <w:sz w:val="22"/>
          <w:lang w:val="en-US"/>
        </w:rPr>
        <w:t>U</w:t>
      </w:r>
      <w:r w:rsidR="000306F2" w:rsidRPr="000306F2">
        <w:rPr>
          <w:rFonts w:ascii="Lato" w:hAnsi="Lato"/>
          <w:sz w:val="22"/>
          <w:lang w:val="en-US"/>
        </w:rPr>
        <w:t xml:space="preserve">nit </w:t>
      </w:r>
      <w:r w:rsidR="00791880">
        <w:rPr>
          <w:rFonts w:ascii="Lato" w:hAnsi="Lato"/>
          <w:sz w:val="22"/>
          <w:lang w:val="en-US"/>
        </w:rPr>
        <w:t xml:space="preserve">(TSU) </w:t>
      </w:r>
      <w:r w:rsidR="000306F2" w:rsidRPr="000306F2">
        <w:rPr>
          <w:rFonts w:ascii="Lato" w:hAnsi="Lato"/>
          <w:sz w:val="22"/>
          <w:lang w:val="en-US"/>
        </w:rPr>
        <w:t>is focused on ensuring</w:t>
      </w:r>
      <w:r w:rsidR="000306F2" w:rsidRPr="00CB7F19">
        <w:rPr>
          <w:rFonts w:ascii="Lato" w:hAnsi="Lato"/>
          <w:sz w:val="22"/>
          <w:lang w:val="en-US"/>
        </w:rPr>
        <w:t xml:space="preserve"> </w:t>
      </w:r>
      <w:r w:rsidRPr="000306F2">
        <w:rPr>
          <w:rFonts w:ascii="Lato" w:hAnsi="Lato"/>
          <w:sz w:val="22"/>
          <w:lang w:val="en-US"/>
        </w:rPr>
        <w:t xml:space="preserve">secondary education provision meets the needs of </w:t>
      </w:r>
      <w:r w:rsidR="008B2C3C" w:rsidRPr="000306F2">
        <w:rPr>
          <w:rFonts w:ascii="Lato" w:hAnsi="Lato"/>
          <w:sz w:val="22"/>
          <w:lang w:val="en-US"/>
        </w:rPr>
        <w:t xml:space="preserve">remote and </w:t>
      </w:r>
      <w:r w:rsidRPr="000306F2">
        <w:rPr>
          <w:rFonts w:ascii="Lato" w:hAnsi="Lato"/>
          <w:sz w:val="22"/>
          <w:lang w:val="en-US"/>
        </w:rPr>
        <w:t xml:space="preserve">very remote students and </w:t>
      </w:r>
      <w:r w:rsidRPr="009A74D4">
        <w:rPr>
          <w:rFonts w:ascii="Lato" w:hAnsi="Lato"/>
          <w:sz w:val="22"/>
          <w:lang w:val="en-US"/>
        </w:rPr>
        <w:t>communities</w:t>
      </w:r>
      <w:r w:rsidR="000306F2" w:rsidRPr="00CB7F19">
        <w:rPr>
          <w:rFonts w:ascii="Lato" w:hAnsi="Lato"/>
          <w:sz w:val="22"/>
          <w:lang w:val="en-US"/>
        </w:rPr>
        <w:t xml:space="preserve">. </w:t>
      </w:r>
    </w:p>
    <w:p w14:paraId="0A245116" w14:textId="77777777" w:rsidR="00BE3B0F" w:rsidRPr="004D70B3" w:rsidRDefault="00BE3B0F" w:rsidP="00BD09BB">
      <w:pPr>
        <w:pStyle w:val="Normalnumbered"/>
        <w:numPr>
          <w:ilvl w:val="0"/>
          <w:numId w:val="16"/>
        </w:numPr>
        <w:spacing w:after="240" w:line="260" w:lineRule="exact"/>
        <w:rPr>
          <w:rFonts w:ascii="Lato" w:hAnsi="Lato"/>
          <w:sz w:val="22"/>
          <w:lang w:val="en-US"/>
        </w:rPr>
      </w:pPr>
      <w:r w:rsidRPr="009A74D4">
        <w:rPr>
          <w:rFonts w:ascii="Lato" w:hAnsi="Lato"/>
          <w:sz w:val="22"/>
          <w:lang w:val="en-US"/>
        </w:rPr>
        <w:t xml:space="preserve">Activity </w:t>
      </w:r>
      <w:r w:rsidR="00F666E2" w:rsidRPr="009A74D4">
        <w:rPr>
          <w:rFonts w:ascii="Lato" w:hAnsi="Lato"/>
          <w:sz w:val="22"/>
          <w:szCs w:val="22"/>
          <w:lang w:val="en-US"/>
        </w:rPr>
        <w:t>4</w:t>
      </w:r>
      <w:r w:rsidR="008B2C3C" w:rsidRPr="009A74D4">
        <w:rPr>
          <w:rFonts w:ascii="Lato" w:hAnsi="Lato"/>
          <w:sz w:val="22"/>
          <w:lang w:val="en-US"/>
        </w:rPr>
        <w:t xml:space="preserve"> —</w:t>
      </w:r>
      <w:r w:rsidRPr="009A74D4">
        <w:rPr>
          <w:rFonts w:ascii="Lato" w:hAnsi="Lato"/>
          <w:sz w:val="22"/>
          <w:lang w:val="en-US"/>
        </w:rPr>
        <w:t xml:space="preserve"> Engagement </w:t>
      </w:r>
      <w:r w:rsidR="008B2C3C" w:rsidRPr="009A74D4">
        <w:rPr>
          <w:rFonts w:ascii="Lato" w:hAnsi="Lato"/>
          <w:sz w:val="22"/>
          <w:lang w:val="en-US"/>
        </w:rPr>
        <w:t>—</w:t>
      </w:r>
      <w:r w:rsidRPr="009A74D4">
        <w:rPr>
          <w:rFonts w:ascii="Lato" w:hAnsi="Lato"/>
          <w:sz w:val="22"/>
          <w:lang w:val="en-US"/>
        </w:rPr>
        <w:t xml:space="preserve"> </w:t>
      </w:r>
      <w:proofErr w:type="spellStart"/>
      <w:r w:rsidR="00F666E2" w:rsidRPr="009A74D4">
        <w:rPr>
          <w:rFonts w:ascii="Lato" w:hAnsi="Lato"/>
          <w:sz w:val="22"/>
          <w:lang w:val="en-US"/>
        </w:rPr>
        <w:t>prioriti</w:t>
      </w:r>
      <w:r w:rsidR="00224997" w:rsidRPr="009A74D4">
        <w:rPr>
          <w:rFonts w:ascii="Lato" w:hAnsi="Lato"/>
          <w:sz w:val="22"/>
          <w:lang w:val="en-US"/>
        </w:rPr>
        <w:t>se</w:t>
      </w:r>
      <w:r w:rsidR="00F666E2" w:rsidRPr="009A74D4">
        <w:rPr>
          <w:rFonts w:ascii="Lato" w:hAnsi="Lato"/>
          <w:sz w:val="22"/>
          <w:lang w:val="en-US"/>
        </w:rPr>
        <w:t>s</w:t>
      </w:r>
      <w:proofErr w:type="spellEnd"/>
      <w:r w:rsidRPr="009A74D4">
        <w:rPr>
          <w:rFonts w:ascii="Lato" w:hAnsi="Lato"/>
          <w:sz w:val="22"/>
          <w:lang w:val="en-US"/>
        </w:rPr>
        <w:t xml:space="preserve"> the importance of students attending school every day. Research clearly identifies</w:t>
      </w:r>
      <w:r w:rsidRPr="004D70B3">
        <w:rPr>
          <w:rFonts w:ascii="Lato" w:hAnsi="Lato"/>
          <w:sz w:val="22"/>
          <w:lang w:val="en-US"/>
        </w:rPr>
        <w:t xml:space="preserve"> that without at least four days attendance at school per week, students find it difficult to achieve outcomes and national benchmarks. The delivery of quality education that is tailored to meet the needs of Aboriginal students is critical to their ongoing engagement in education throughout their years of schooling. </w:t>
      </w:r>
      <w:r w:rsidR="00CE723B" w:rsidRPr="004D70B3">
        <w:rPr>
          <w:rFonts w:ascii="Lato" w:hAnsi="Lato"/>
          <w:sz w:val="22"/>
          <w:lang w:val="en-US"/>
        </w:rPr>
        <w:t>The Review i</w:t>
      </w:r>
      <w:r w:rsidRPr="004D70B3">
        <w:rPr>
          <w:rFonts w:ascii="Lato" w:hAnsi="Lato"/>
          <w:sz w:val="22"/>
          <w:lang w:val="en-US"/>
        </w:rPr>
        <w:t>dentifies many of the contributing factors that lead to poor school attendance rates for remote and ve</w:t>
      </w:r>
      <w:r w:rsidR="00CE723B" w:rsidRPr="004D70B3">
        <w:rPr>
          <w:rFonts w:ascii="Lato" w:hAnsi="Lato"/>
          <w:sz w:val="22"/>
          <w:lang w:val="en-US"/>
        </w:rPr>
        <w:t>r</w:t>
      </w:r>
      <w:r w:rsidRPr="004D70B3">
        <w:rPr>
          <w:rFonts w:ascii="Lato" w:hAnsi="Lato"/>
          <w:sz w:val="22"/>
          <w:lang w:val="en-US"/>
        </w:rPr>
        <w:t>y remote schools. School efforts need to be enhanced by a whole of government approach that addresses</w:t>
      </w:r>
      <w:r w:rsidR="00CE723B" w:rsidRPr="004D70B3">
        <w:rPr>
          <w:rFonts w:ascii="Lato" w:hAnsi="Lato"/>
          <w:sz w:val="22"/>
          <w:lang w:val="en-US"/>
        </w:rPr>
        <w:t xml:space="preserve"> the </w:t>
      </w:r>
      <w:r w:rsidR="00ED3B14">
        <w:rPr>
          <w:rFonts w:ascii="Lato" w:hAnsi="Lato"/>
          <w:sz w:val="22"/>
          <w:lang w:val="en-US"/>
        </w:rPr>
        <w:t>existing</w:t>
      </w:r>
      <w:r w:rsidR="00ED3B14" w:rsidRPr="004D70B3">
        <w:rPr>
          <w:rFonts w:ascii="Lato" w:hAnsi="Lato"/>
          <w:sz w:val="22"/>
          <w:lang w:val="en-US"/>
        </w:rPr>
        <w:t xml:space="preserve"> </w:t>
      </w:r>
      <w:r w:rsidR="00CE723B" w:rsidRPr="004D70B3">
        <w:rPr>
          <w:rFonts w:ascii="Lato" w:hAnsi="Lato"/>
          <w:sz w:val="22"/>
          <w:lang w:val="en-US"/>
        </w:rPr>
        <w:t>issues of welfa</w:t>
      </w:r>
      <w:r w:rsidRPr="004D70B3">
        <w:rPr>
          <w:rFonts w:ascii="Lato" w:hAnsi="Lato"/>
          <w:sz w:val="22"/>
          <w:lang w:val="en-US"/>
        </w:rPr>
        <w:t>re reform, employment opportu</w:t>
      </w:r>
      <w:r w:rsidR="00CE723B" w:rsidRPr="004D70B3">
        <w:rPr>
          <w:rFonts w:ascii="Lato" w:hAnsi="Lato"/>
          <w:sz w:val="22"/>
          <w:lang w:val="en-US"/>
        </w:rPr>
        <w:t>nities and comm</w:t>
      </w:r>
      <w:r w:rsidRPr="004D70B3">
        <w:rPr>
          <w:rFonts w:ascii="Lato" w:hAnsi="Lato"/>
          <w:sz w:val="22"/>
          <w:lang w:val="en-US"/>
        </w:rPr>
        <w:t>unity safety issues. Governments will also seek to align efforts in these areas.</w:t>
      </w:r>
    </w:p>
    <w:p w14:paraId="0A245117" w14:textId="77777777" w:rsidR="00791880" w:rsidRDefault="00791880">
      <w:pPr>
        <w:rPr>
          <w:rFonts w:ascii="Lato" w:hAnsi="Lato"/>
          <w:sz w:val="22"/>
          <w:lang w:val="en-US"/>
        </w:rPr>
      </w:pPr>
      <w:r>
        <w:rPr>
          <w:rFonts w:ascii="Lato" w:hAnsi="Lato"/>
          <w:sz w:val="22"/>
          <w:lang w:val="en-US"/>
        </w:rPr>
        <w:br w:type="page"/>
      </w:r>
    </w:p>
    <w:p w14:paraId="0A245118" w14:textId="77777777" w:rsidR="0066154C" w:rsidRPr="00791880" w:rsidRDefault="00BE3B0F" w:rsidP="00791880">
      <w:pPr>
        <w:pStyle w:val="Normalnumbered"/>
        <w:numPr>
          <w:ilvl w:val="0"/>
          <w:numId w:val="16"/>
        </w:numPr>
        <w:spacing w:after="240" w:line="260" w:lineRule="exact"/>
        <w:rPr>
          <w:rFonts w:ascii="Lato" w:hAnsi="Lato"/>
          <w:sz w:val="22"/>
          <w:lang w:val="en-US"/>
        </w:rPr>
      </w:pPr>
      <w:r w:rsidRPr="004D70B3">
        <w:rPr>
          <w:rFonts w:ascii="Lato" w:hAnsi="Lato"/>
          <w:sz w:val="22"/>
          <w:lang w:val="en-US"/>
        </w:rPr>
        <w:lastRenderedPageBreak/>
        <w:t xml:space="preserve">Activity </w:t>
      </w:r>
      <w:r w:rsidR="00F666E2" w:rsidRPr="00791880">
        <w:rPr>
          <w:rFonts w:ascii="Lato" w:hAnsi="Lato"/>
          <w:sz w:val="22"/>
          <w:lang w:val="en-US"/>
        </w:rPr>
        <w:t>5</w:t>
      </w:r>
      <w:r w:rsidR="008B2C3C" w:rsidRPr="004D70B3">
        <w:rPr>
          <w:rFonts w:ascii="Lato" w:hAnsi="Lato"/>
          <w:sz w:val="22"/>
          <w:lang w:val="en-US"/>
        </w:rPr>
        <w:t xml:space="preserve"> —</w:t>
      </w:r>
      <w:r w:rsidRPr="004D70B3">
        <w:rPr>
          <w:rFonts w:ascii="Lato" w:hAnsi="Lato"/>
          <w:sz w:val="22"/>
          <w:lang w:val="en-US"/>
        </w:rPr>
        <w:t xml:space="preserve"> Workforce </w:t>
      </w:r>
      <w:r w:rsidR="008B2C3C" w:rsidRPr="004D70B3">
        <w:rPr>
          <w:rFonts w:ascii="Lato" w:hAnsi="Lato"/>
          <w:sz w:val="22"/>
          <w:lang w:val="en-US"/>
        </w:rPr>
        <w:t>—</w:t>
      </w:r>
      <w:r w:rsidR="00CE723B" w:rsidRPr="004D70B3">
        <w:rPr>
          <w:rFonts w:ascii="Lato" w:hAnsi="Lato"/>
          <w:sz w:val="22"/>
          <w:lang w:val="en-US"/>
        </w:rPr>
        <w:t xml:space="preserve"> </w:t>
      </w:r>
      <w:r w:rsidRPr="004D70B3">
        <w:rPr>
          <w:rFonts w:ascii="Lato" w:hAnsi="Lato"/>
          <w:sz w:val="22"/>
          <w:lang w:val="en-US"/>
        </w:rPr>
        <w:t xml:space="preserve">the </w:t>
      </w:r>
      <w:r w:rsidR="00F666E2" w:rsidRPr="00791880">
        <w:rPr>
          <w:rFonts w:ascii="Lato" w:hAnsi="Lato"/>
          <w:sz w:val="22"/>
          <w:lang w:val="en-US"/>
        </w:rPr>
        <w:t xml:space="preserve">Evaluation and Consultations </w:t>
      </w:r>
      <w:r w:rsidR="007A21EE" w:rsidRPr="00791880">
        <w:rPr>
          <w:rFonts w:ascii="Lato" w:hAnsi="Lato"/>
          <w:sz w:val="22"/>
          <w:lang w:val="en-US"/>
        </w:rPr>
        <w:t xml:space="preserve">process </w:t>
      </w:r>
      <w:r w:rsidR="00F666E2" w:rsidRPr="00791880">
        <w:rPr>
          <w:rFonts w:ascii="Lato" w:hAnsi="Lato"/>
          <w:sz w:val="22"/>
          <w:lang w:val="en-US"/>
        </w:rPr>
        <w:t>of Stage 1</w:t>
      </w:r>
      <w:r w:rsidRPr="00791880">
        <w:rPr>
          <w:rFonts w:ascii="Lato" w:hAnsi="Lato"/>
          <w:sz w:val="22"/>
          <w:lang w:val="en-US"/>
        </w:rPr>
        <w:t xml:space="preserve"> </w:t>
      </w:r>
      <w:r w:rsidR="00F74759" w:rsidRPr="00791880">
        <w:rPr>
          <w:rFonts w:ascii="Lato" w:hAnsi="Lato"/>
          <w:sz w:val="22"/>
          <w:lang w:val="en-US"/>
        </w:rPr>
        <w:t xml:space="preserve">of the Strategy </w:t>
      </w:r>
      <w:r w:rsidRPr="00791880">
        <w:rPr>
          <w:rFonts w:ascii="Lato" w:hAnsi="Lato"/>
          <w:sz w:val="22"/>
          <w:lang w:val="en-US"/>
        </w:rPr>
        <w:t>highlight</w:t>
      </w:r>
      <w:r w:rsidR="007A21EE" w:rsidRPr="00791880">
        <w:rPr>
          <w:rFonts w:ascii="Lato" w:hAnsi="Lato"/>
          <w:sz w:val="22"/>
          <w:lang w:val="en-US"/>
        </w:rPr>
        <w:t>ed</w:t>
      </w:r>
      <w:r w:rsidRPr="004D70B3">
        <w:rPr>
          <w:rFonts w:ascii="Lato" w:hAnsi="Lato"/>
          <w:sz w:val="22"/>
          <w:lang w:val="en-US"/>
        </w:rPr>
        <w:t xml:space="preserve"> the importance of attracting and retaining high quality teaching staff and principals in remote settings and increasing the number of local Aboriginal employees, including assistant teachers, teachers and principals. The </w:t>
      </w:r>
      <w:r w:rsidR="00935D2E" w:rsidRPr="00791880">
        <w:rPr>
          <w:rFonts w:ascii="Lato" w:hAnsi="Lato"/>
          <w:sz w:val="22"/>
          <w:lang w:val="en-US"/>
        </w:rPr>
        <w:t>focus on high quality staff</w:t>
      </w:r>
      <w:r w:rsidR="00935D2E" w:rsidRPr="004D70B3">
        <w:rPr>
          <w:rFonts w:ascii="Lato" w:hAnsi="Lato"/>
          <w:sz w:val="22"/>
          <w:lang w:val="en-US"/>
        </w:rPr>
        <w:t xml:space="preserve"> is to ensure </w:t>
      </w:r>
      <w:r w:rsidRPr="004D70B3">
        <w:rPr>
          <w:rFonts w:ascii="Lato" w:hAnsi="Lato"/>
          <w:sz w:val="22"/>
          <w:lang w:val="en-US"/>
        </w:rPr>
        <w:t>Aboriginal</w:t>
      </w:r>
      <w:r w:rsidR="00CE723B" w:rsidRPr="004D70B3">
        <w:rPr>
          <w:rFonts w:ascii="Lato" w:hAnsi="Lato"/>
          <w:sz w:val="22"/>
          <w:lang w:val="en-US"/>
        </w:rPr>
        <w:t xml:space="preserve"> </w:t>
      </w:r>
      <w:r w:rsidRPr="004D70B3">
        <w:rPr>
          <w:rFonts w:ascii="Lato" w:hAnsi="Lato"/>
          <w:sz w:val="22"/>
          <w:lang w:val="en-US"/>
        </w:rPr>
        <w:t xml:space="preserve">children receive quality educational </w:t>
      </w:r>
      <w:r w:rsidRPr="009A74D4">
        <w:rPr>
          <w:rFonts w:ascii="Lato" w:hAnsi="Lato"/>
          <w:sz w:val="22"/>
          <w:lang w:val="en-US"/>
        </w:rPr>
        <w:t xml:space="preserve">programs that </w:t>
      </w:r>
      <w:proofErr w:type="spellStart"/>
      <w:r w:rsidRPr="00791880">
        <w:rPr>
          <w:rFonts w:ascii="Lato" w:hAnsi="Lato"/>
          <w:sz w:val="22"/>
          <w:lang w:val="en-US"/>
        </w:rPr>
        <w:t>opt</w:t>
      </w:r>
      <w:r w:rsidR="00CE723B" w:rsidRPr="00791880">
        <w:rPr>
          <w:rFonts w:ascii="Lato" w:hAnsi="Lato"/>
          <w:sz w:val="22"/>
          <w:lang w:val="en-US"/>
        </w:rPr>
        <w:t>i</w:t>
      </w:r>
      <w:r w:rsidRPr="00791880">
        <w:rPr>
          <w:rFonts w:ascii="Lato" w:hAnsi="Lato"/>
          <w:sz w:val="22"/>
          <w:lang w:val="en-US"/>
        </w:rPr>
        <w:t>mise</w:t>
      </w:r>
      <w:proofErr w:type="spellEnd"/>
      <w:r w:rsidRPr="004D70B3">
        <w:rPr>
          <w:rFonts w:ascii="Lato" w:hAnsi="Lato"/>
          <w:sz w:val="22"/>
          <w:lang w:val="en-US"/>
        </w:rPr>
        <w:t xml:space="preserve"> learning.</w:t>
      </w:r>
    </w:p>
    <w:p w14:paraId="0A245119" w14:textId="77777777" w:rsidR="008A1747" w:rsidRPr="004D70B3" w:rsidRDefault="008A1747" w:rsidP="004D70B3">
      <w:pPr>
        <w:widowControl w:val="0"/>
        <w:outlineLvl w:val="1"/>
        <w:rPr>
          <w:rFonts w:ascii="Lato" w:hAnsi="Lato"/>
          <w:b/>
          <w:color w:val="3D4B67"/>
        </w:rPr>
      </w:pPr>
      <w:r w:rsidRPr="004D70B3">
        <w:rPr>
          <w:rFonts w:ascii="Lato" w:hAnsi="Lato"/>
          <w:b/>
          <w:color w:val="3D4B67"/>
        </w:rPr>
        <w:t>Estimated costs</w:t>
      </w:r>
      <w:r w:rsidR="0066154C">
        <w:rPr>
          <w:rFonts w:ascii="Lato" w:hAnsi="Lato"/>
          <w:b/>
          <w:color w:val="3D4B67"/>
        </w:rPr>
        <w:br/>
      </w:r>
    </w:p>
    <w:p w14:paraId="0A24511A" w14:textId="77777777" w:rsidR="00637E40" w:rsidRPr="004D70B3" w:rsidRDefault="008A1747" w:rsidP="00BD09BB">
      <w:pPr>
        <w:pStyle w:val="Normalnumbered"/>
        <w:numPr>
          <w:ilvl w:val="0"/>
          <w:numId w:val="16"/>
        </w:numPr>
        <w:spacing w:after="240" w:line="260" w:lineRule="exact"/>
        <w:rPr>
          <w:rFonts w:ascii="Lato" w:hAnsi="Lato"/>
          <w:sz w:val="22"/>
          <w:lang w:val="en-US"/>
        </w:rPr>
      </w:pPr>
      <w:r w:rsidRPr="004D70B3">
        <w:rPr>
          <w:rFonts w:ascii="Lato" w:hAnsi="Lato"/>
          <w:sz w:val="22"/>
          <w:lang w:val="en-US"/>
        </w:rPr>
        <w:t xml:space="preserve">The maximum financial contribution to be provided by the Commonwealth to the </w:t>
      </w:r>
      <w:r w:rsidR="00637E40" w:rsidRPr="004D70B3">
        <w:rPr>
          <w:rFonts w:ascii="Lato" w:hAnsi="Lato"/>
          <w:sz w:val="22"/>
          <w:lang w:val="en-US"/>
        </w:rPr>
        <w:t>Northern Territory</w:t>
      </w:r>
      <w:r w:rsidRPr="004D70B3">
        <w:rPr>
          <w:rFonts w:ascii="Lato" w:hAnsi="Lato"/>
          <w:sz w:val="22"/>
          <w:lang w:val="en-US"/>
        </w:rPr>
        <w:t xml:space="preserve"> </w:t>
      </w:r>
      <w:r w:rsidR="00913BCE" w:rsidRPr="004D70B3">
        <w:rPr>
          <w:rFonts w:ascii="Lato" w:hAnsi="Lato"/>
          <w:sz w:val="22"/>
          <w:lang w:val="en-US"/>
        </w:rPr>
        <w:t>for th</w:t>
      </w:r>
      <w:r w:rsidR="00DE5F1A">
        <w:rPr>
          <w:rFonts w:ascii="Lato" w:hAnsi="Lato"/>
          <w:sz w:val="22"/>
          <w:lang w:val="en-US"/>
        </w:rPr>
        <w:t>is</w:t>
      </w:r>
      <w:r w:rsidR="00913BCE" w:rsidRPr="004D70B3">
        <w:rPr>
          <w:rFonts w:ascii="Lato" w:hAnsi="Lato"/>
          <w:sz w:val="22"/>
          <w:lang w:val="en-US"/>
        </w:rPr>
        <w:t xml:space="preserve"> </w:t>
      </w:r>
      <w:r w:rsidR="00DE5F1A">
        <w:rPr>
          <w:rFonts w:ascii="Lato" w:hAnsi="Lato"/>
          <w:sz w:val="22"/>
          <w:lang w:val="en-US"/>
        </w:rPr>
        <w:t xml:space="preserve">Implementation Plan </w:t>
      </w:r>
      <w:r w:rsidR="00637E40" w:rsidRPr="004D70B3">
        <w:rPr>
          <w:rFonts w:ascii="Lato" w:hAnsi="Lato"/>
          <w:sz w:val="22"/>
          <w:lang w:val="en-US"/>
        </w:rPr>
        <w:t>is $</w:t>
      </w:r>
      <w:r w:rsidR="000F52CD" w:rsidRPr="004D70B3">
        <w:rPr>
          <w:rFonts w:ascii="Lato" w:hAnsi="Lato"/>
          <w:sz w:val="22"/>
          <w:lang w:val="en-US"/>
        </w:rPr>
        <w:t>134</w:t>
      </w:r>
      <w:r w:rsidR="00637E40" w:rsidRPr="004D70B3">
        <w:rPr>
          <w:rFonts w:ascii="Lato" w:hAnsi="Lato"/>
          <w:sz w:val="22"/>
          <w:lang w:val="en-US"/>
        </w:rPr>
        <w:t>.</w:t>
      </w:r>
      <w:r w:rsidR="00820835" w:rsidRPr="004D70B3">
        <w:rPr>
          <w:rFonts w:ascii="Lato" w:hAnsi="Lato"/>
          <w:sz w:val="22"/>
          <w:lang w:val="en-US"/>
        </w:rPr>
        <w:t>284</w:t>
      </w:r>
      <w:r w:rsidR="00820835" w:rsidRPr="00535722">
        <w:rPr>
          <w:rFonts w:ascii="Lato" w:hAnsi="Lato"/>
          <w:sz w:val="22"/>
          <w:szCs w:val="22"/>
          <w:lang w:val="en-US"/>
        </w:rPr>
        <w:t> </w:t>
      </w:r>
      <w:r w:rsidR="00637E40" w:rsidRPr="004D70B3">
        <w:rPr>
          <w:rFonts w:ascii="Lato" w:hAnsi="Lato"/>
          <w:sz w:val="22"/>
          <w:lang w:val="en-US"/>
        </w:rPr>
        <w:t>million</w:t>
      </w:r>
      <w:r w:rsidR="001A7804">
        <w:rPr>
          <w:rFonts w:ascii="Lato" w:hAnsi="Lato"/>
          <w:sz w:val="22"/>
          <w:lang w:val="en-US"/>
        </w:rPr>
        <w:t xml:space="preserve"> </w:t>
      </w:r>
      <w:r w:rsidR="001A7804" w:rsidRPr="004D70B3">
        <w:rPr>
          <w:rFonts w:ascii="Lato" w:hAnsi="Lato"/>
          <w:sz w:val="22"/>
        </w:rPr>
        <w:t>covering 2018-19 to 2021-22</w:t>
      </w:r>
      <w:r w:rsidR="00637E40" w:rsidRPr="004D70B3">
        <w:rPr>
          <w:rFonts w:ascii="Lato" w:hAnsi="Lato"/>
          <w:sz w:val="22"/>
          <w:lang w:val="en-US"/>
        </w:rPr>
        <w:t>,</w:t>
      </w:r>
      <w:r w:rsidRPr="004D70B3">
        <w:rPr>
          <w:rFonts w:ascii="Lato" w:hAnsi="Lato"/>
          <w:sz w:val="22"/>
          <w:lang w:val="en-US"/>
        </w:rPr>
        <w:t xml:space="preserve"> </w:t>
      </w:r>
      <w:r w:rsidR="00637E40" w:rsidRPr="004D70B3">
        <w:rPr>
          <w:rFonts w:ascii="Lato" w:hAnsi="Lato"/>
          <w:sz w:val="22"/>
          <w:lang w:val="en-US"/>
        </w:rPr>
        <w:t>which includes $</w:t>
      </w:r>
      <w:r w:rsidR="000F52CD" w:rsidRPr="004D70B3">
        <w:rPr>
          <w:rFonts w:ascii="Lato" w:hAnsi="Lato"/>
          <w:sz w:val="22"/>
          <w:lang w:val="en-US"/>
        </w:rPr>
        <w:t>115.</w:t>
      </w:r>
      <w:r w:rsidR="00820835" w:rsidRPr="004D70B3">
        <w:rPr>
          <w:rFonts w:ascii="Lato" w:hAnsi="Lato"/>
          <w:sz w:val="22"/>
          <w:lang w:val="en-US"/>
        </w:rPr>
        <w:t>725</w:t>
      </w:r>
      <w:r w:rsidR="00820835" w:rsidRPr="00535722">
        <w:rPr>
          <w:rFonts w:ascii="Lato" w:hAnsi="Lato"/>
          <w:sz w:val="22"/>
          <w:szCs w:val="22"/>
          <w:lang w:val="en-US"/>
        </w:rPr>
        <w:t> </w:t>
      </w:r>
      <w:r w:rsidR="00637E40" w:rsidRPr="004D70B3">
        <w:rPr>
          <w:rFonts w:ascii="Lato" w:hAnsi="Lato"/>
          <w:sz w:val="22"/>
          <w:lang w:val="en-US"/>
        </w:rPr>
        <w:t>million in</w:t>
      </w:r>
      <w:r w:rsidR="00637E40" w:rsidRPr="004D70B3">
        <w:rPr>
          <w:rFonts w:ascii="Lato" w:hAnsi="Lato"/>
          <w:spacing w:val="6"/>
          <w:w w:val="80"/>
          <w:sz w:val="22"/>
        </w:rPr>
        <w:t xml:space="preserve"> </w:t>
      </w:r>
      <w:r w:rsidR="00637E40" w:rsidRPr="004D70B3">
        <w:rPr>
          <w:rFonts w:ascii="Lato" w:hAnsi="Lato"/>
          <w:sz w:val="22"/>
          <w:lang w:val="en-US"/>
        </w:rPr>
        <w:t>National Partnership payments to the Northern Territory and $</w:t>
      </w:r>
      <w:r w:rsidR="0048144D" w:rsidRPr="004D70B3">
        <w:rPr>
          <w:rFonts w:ascii="Lato" w:hAnsi="Lato"/>
          <w:sz w:val="22"/>
          <w:lang w:val="en-US"/>
        </w:rPr>
        <w:t>18.</w:t>
      </w:r>
      <w:r w:rsidR="00820835" w:rsidRPr="004D70B3">
        <w:rPr>
          <w:rFonts w:ascii="Lato" w:hAnsi="Lato"/>
          <w:sz w:val="22"/>
          <w:lang w:val="en-US"/>
        </w:rPr>
        <w:t>559</w:t>
      </w:r>
      <w:r w:rsidR="00820835" w:rsidRPr="00535722">
        <w:rPr>
          <w:rFonts w:ascii="Lato" w:hAnsi="Lato"/>
          <w:sz w:val="22"/>
          <w:szCs w:val="22"/>
          <w:lang w:val="en-US"/>
        </w:rPr>
        <w:t> </w:t>
      </w:r>
      <w:r w:rsidR="00637E40" w:rsidRPr="004D70B3">
        <w:rPr>
          <w:rFonts w:ascii="Lato" w:hAnsi="Lato"/>
          <w:sz w:val="22"/>
          <w:lang w:val="en-US"/>
        </w:rPr>
        <w:t>million in payments to non-government schools.</w:t>
      </w:r>
    </w:p>
    <w:p w14:paraId="0A24511B" w14:textId="77777777" w:rsidR="00637E40" w:rsidRPr="004D70B3" w:rsidRDefault="00637E40" w:rsidP="00BD09BB">
      <w:pPr>
        <w:pStyle w:val="Normalnumbered"/>
        <w:numPr>
          <w:ilvl w:val="0"/>
          <w:numId w:val="16"/>
        </w:numPr>
        <w:spacing w:after="240" w:line="260" w:lineRule="exact"/>
        <w:rPr>
          <w:rFonts w:ascii="Lato" w:hAnsi="Lato"/>
          <w:sz w:val="22"/>
        </w:rPr>
      </w:pPr>
      <w:r w:rsidRPr="004D70B3">
        <w:rPr>
          <w:rFonts w:ascii="Lato" w:hAnsi="Lato"/>
          <w:sz w:val="22"/>
        </w:rPr>
        <w:t>National Partnership payments to the Northern Territory are payable in accordance with milestones and performance benchmarks specified in this Implementation Plan. Maximum National Partnership payments to the Northern Territory under this Implementation Plan total $</w:t>
      </w:r>
      <w:r w:rsidR="000F52CD" w:rsidRPr="004D70B3">
        <w:rPr>
          <w:rFonts w:ascii="Lato" w:hAnsi="Lato"/>
          <w:sz w:val="22"/>
        </w:rPr>
        <w:t>115</w:t>
      </w:r>
      <w:r w:rsidRPr="004D70B3">
        <w:rPr>
          <w:rFonts w:ascii="Lato" w:hAnsi="Lato"/>
          <w:sz w:val="22"/>
        </w:rPr>
        <w:t>.</w:t>
      </w:r>
      <w:r w:rsidR="00820835" w:rsidRPr="004D70B3">
        <w:rPr>
          <w:rFonts w:ascii="Lato" w:hAnsi="Lato"/>
          <w:sz w:val="22"/>
        </w:rPr>
        <w:t>725</w:t>
      </w:r>
      <w:r w:rsidR="00820835" w:rsidRPr="00535722">
        <w:rPr>
          <w:rFonts w:ascii="Lato" w:hAnsi="Lato"/>
          <w:sz w:val="22"/>
          <w:szCs w:val="22"/>
        </w:rPr>
        <w:t> </w:t>
      </w:r>
      <w:r w:rsidRPr="004D70B3">
        <w:rPr>
          <w:rFonts w:ascii="Lato" w:hAnsi="Lato"/>
          <w:sz w:val="22"/>
        </w:rPr>
        <w:t>million covering 2018-19 to 2021-22. All payments are exclusive of GST.</w:t>
      </w:r>
    </w:p>
    <w:p w14:paraId="0A24511C" w14:textId="77777777" w:rsidR="008A1747" w:rsidRPr="004D70B3" w:rsidRDefault="008A1747" w:rsidP="00BD09BB">
      <w:pPr>
        <w:pStyle w:val="Normalnumbered"/>
        <w:numPr>
          <w:ilvl w:val="0"/>
          <w:numId w:val="16"/>
        </w:numPr>
        <w:spacing w:after="240" w:line="260" w:lineRule="exact"/>
        <w:rPr>
          <w:rFonts w:ascii="Lato" w:hAnsi="Lato"/>
          <w:sz w:val="22"/>
        </w:rPr>
      </w:pPr>
      <w:r w:rsidRPr="004D70B3">
        <w:rPr>
          <w:rFonts w:ascii="Lato" w:hAnsi="Lato"/>
          <w:sz w:val="22"/>
        </w:rPr>
        <w:t>The estimated overall budget (exclusive of GST) is set out in Table 2</w:t>
      </w:r>
      <w:r w:rsidR="00637E40" w:rsidRPr="004D70B3">
        <w:rPr>
          <w:rFonts w:ascii="Lato" w:hAnsi="Lato"/>
          <w:sz w:val="22"/>
        </w:rPr>
        <w:t xml:space="preserve"> and the budget for the activities under this Implementation Plan is set out in Table 3</w:t>
      </w:r>
      <w:r w:rsidRPr="004D70B3">
        <w:rPr>
          <w:rFonts w:ascii="Lato" w:hAnsi="Lato"/>
          <w:sz w:val="22"/>
        </w:rPr>
        <w:t xml:space="preserve">. The budget is indicative only and </w:t>
      </w:r>
      <w:r w:rsidR="00637E40" w:rsidRPr="004D70B3">
        <w:rPr>
          <w:rFonts w:ascii="Lato" w:hAnsi="Lato"/>
          <w:sz w:val="22"/>
        </w:rPr>
        <w:t>the Northern Territory</w:t>
      </w:r>
      <w:r w:rsidRPr="004D70B3">
        <w:rPr>
          <w:rFonts w:ascii="Lato" w:hAnsi="Lato"/>
          <w:sz w:val="22"/>
        </w:rPr>
        <w:t xml:space="preserve"> retains the flexibility to move funds between components and/or years, as long as outcomes are not affected. The Commonwealth contribution can only be moved between years with the agreement of the Commonwealth.</w:t>
      </w:r>
    </w:p>
    <w:p w14:paraId="0A24511D" w14:textId="77777777" w:rsidR="00637E40" w:rsidRPr="004D70B3" w:rsidRDefault="00637E40" w:rsidP="00637E40">
      <w:pPr>
        <w:widowControl w:val="0"/>
        <w:outlineLvl w:val="1"/>
        <w:rPr>
          <w:rFonts w:ascii="Lato" w:hAnsi="Lato"/>
          <w:b/>
          <w:color w:val="3D4B67"/>
        </w:rPr>
      </w:pPr>
      <w:r w:rsidRPr="004D70B3">
        <w:rPr>
          <w:rFonts w:ascii="Lato" w:hAnsi="Lato"/>
          <w:b/>
          <w:color w:val="3D4B67"/>
        </w:rPr>
        <w:t>Table 2: Estimated financial contributions</w:t>
      </w:r>
      <w:r w:rsidR="009E143F">
        <w:rPr>
          <w:rFonts w:ascii="Lato" w:hAnsi="Lato"/>
          <w:b/>
          <w:color w:val="3D4B67"/>
        </w:rPr>
        <w:t xml:space="preserve"> </w:t>
      </w:r>
      <w:r w:rsidR="009E143F" w:rsidRPr="00CB7F19">
        <w:rPr>
          <w:rFonts w:ascii="Lato" w:hAnsi="Lato"/>
          <w:b/>
          <w:color w:val="3D4B67"/>
          <w:vertAlign w:val="superscript"/>
        </w:rPr>
        <w:t>(b)</w:t>
      </w:r>
    </w:p>
    <w:p w14:paraId="0A24511E" w14:textId="77777777" w:rsidR="00637E40" w:rsidRPr="004D70B3" w:rsidRDefault="00637E40" w:rsidP="00637E40">
      <w:pPr>
        <w:widowControl w:val="0"/>
        <w:spacing w:before="6"/>
        <w:rPr>
          <w:rFonts w:ascii="Lato" w:hAnsi="Lato"/>
          <w:b/>
          <w:color w:val="auto"/>
          <w:sz w:val="7"/>
          <w:lang w:val="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9"/>
        <w:gridCol w:w="1466"/>
        <w:gridCol w:w="1467"/>
        <w:gridCol w:w="1466"/>
        <w:gridCol w:w="1467"/>
        <w:gridCol w:w="1467"/>
      </w:tblGrid>
      <w:tr w:rsidR="006469DB" w:rsidRPr="00BD5E05" w14:paraId="0A245125" w14:textId="77777777" w:rsidTr="004D70B3">
        <w:trPr>
          <w:trHeight w:hRule="exact" w:val="515"/>
        </w:trPr>
        <w:tc>
          <w:tcPr>
            <w:tcW w:w="1739" w:type="dxa"/>
          </w:tcPr>
          <w:p w14:paraId="0A24511F" w14:textId="77777777" w:rsidR="006469DB" w:rsidRPr="004D70B3" w:rsidRDefault="006469DB" w:rsidP="00637E40">
            <w:pPr>
              <w:widowControl w:val="0"/>
              <w:spacing w:before="26"/>
              <w:ind w:left="105"/>
              <w:rPr>
                <w:rFonts w:ascii="Lato" w:hAnsi="Lato"/>
                <w:color w:val="auto"/>
                <w:sz w:val="20"/>
                <w:lang w:val="en-US"/>
              </w:rPr>
            </w:pPr>
            <w:r w:rsidRPr="004D70B3">
              <w:rPr>
                <w:rFonts w:ascii="Lato" w:hAnsi="Lato"/>
                <w:sz w:val="20"/>
              </w:rPr>
              <w:t>($ million)</w:t>
            </w:r>
          </w:p>
        </w:tc>
        <w:tc>
          <w:tcPr>
            <w:tcW w:w="1466" w:type="dxa"/>
          </w:tcPr>
          <w:p w14:paraId="0A245120" w14:textId="77777777" w:rsidR="006469DB" w:rsidRPr="004D70B3" w:rsidRDefault="006469DB" w:rsidP="00CF05C5">
            <w:pPr>
              <w:widowControl w:val="0"/>
              <w:spacing w:before="26"/>
              <w:ind w:left="105"/>
              <w:rPr>
                <w:rFonts w:ascii="Lato" w:hAnsi="Lato"/>
                <w:sz w:val="20"/>
              </w:rPr>
            </w:pPr>
            <w:r w:rsidRPr="004D70B3">
              <w:rPr>
                <w:rFonts w:ascii="Lato" w:hAnsi="Lato"/>
                <w:sz w:val="20"/>
              </w:rPr>
              <w:t>2018-19</w:t>
            </w:r>
          </w:p>
        </w:tc>
        <w:tc>
          <w:tcPr>
            <w:tcW w:w="1467" w:type="dxa"/>
          </w:tcPr>
          <w:p w14:paraId="0A245121" w14:textId="77777777" w:rsidR="006469DB" w:rsidRPr="004D70B3" w:rsidRDefault="006469DB" w:rsidP="00CF05C5">
            <w:pPr>
              <w:widowControl w:val="0"/>
              <w:spacing w:before="26"/>
              <w:ind w:left="105"/>
              <w:rPr>
                <w:rFonts w:ascii="Lato" w:hAnsi="Lato"/>
                <w:sz w:val="20"/>
              </w:rPr>
            </w:pPr>
            <w:r w:rsidRPr="004D70B3">
              <w:rPr>
                <w:rFonts w:ascii="Lato" w:hAnsi="Lato"/>
                <w:sz w:val="20"/>
              </w:rPr>
              <w:t>2019</w:t>
            </w:r>
            <w:r w:rsidRPr="00BD5E05">
              <w:rPr>
                <w:rFonts w:ascii="Lato" w:hAnsi="Lato"/>
                <w:sz w:val="20"/>
                <w:szCs w:val="20"/>
              </w:rPr>
              <w:t>-</w:t>
            </w:r>
            <w:r w:rsidRPr="004D70B3">
              <w:rPr>
                <w:rFonts w:ascii="Lato" w:hAnsi="Lato"/>
                <w:sz w:val="20"/>
              </w:rPr>
              <w:t>20</w:t>
            </w:r>
          </w:p>
        </w:tc>
        <w:tc>
          <w:tcPr>
            <w:tcW w:w="1466" w:type="dxa"/>
          </w:tcPr>
          <w:p w14:paraId="0A245122" w14:textId="77777777" w:rsidR="006469DB" w:rsidRPr="004D70B3" w:rsidRDefault="006469DB" w:rsidP="00CF05C5">
            <w:pPr>
              <w:widowControl w:val="0"/>
              <w:spacing w:before="26"/>
              <w:ind w:left="105"/>
              <w:rPr>
                <w:rFonts w:ascii="Lato" w:hAnsi="Lato"/>
                <w:sz w:val="20"/>
              </w:rPr>
            </w:pPr>
            <w:r w:rsidRPr="004D70B3">
              <w:rPr>
                <w:rFonts w:ascii="Lato" w:hAnsi="Lato"/>
                <w:sz w:val="20"/>
              </w:rPr>
              <w:t>2020</w:t>
            </w:r>
            <w:r w:rsidR="00BE3B28" w:rsidRPr="00BD5E05">
              <w:rPr>
                <w:rFonts w:ascii="Lato" w:hAnsi="Lato"/>
                <w:sz w:val="20"/>
                <w:szCs w:val="20"/>
              </w:rPr>
              <w:t>-</w:t>
            </w:r>
            <w:r w:rsidRPr="004D70B3">
              <w:rPr>
                <w:rFonts w:ascii="Lato" w:hAnsi="Lato"/>
                <w:sz w:val="20"/>
              </w:rPr>
              <w:t>21</w:t>
            </w:r>
          </w:p>
        </w:tc>
        <w:tc>
          <w:tcPr>
            <w:tcW w:w="1467" w:type="dxa"/>
          </w:tcPr>
          <w:p w14:paraId="0A245123" w14:textId="77777777" w:rsidR="006469DB" w:rsidRPr="004D70B3" w:rsidRDefault="006469DB" w:rsidP="00CF05C5">
            <w:pPr>
              <w:widowControl w:val="0"/>
              <w:spacing w:before="26"/>
              <w:ind w:left="105"/>
              <w:rPr>
                <w:rFonts w:ascii="Lato" w:hAnsi="Lato"/>
                <w:sz w:val="20"/>
              </w:rPr>
            </w:pPr>
            <w:r w:rsidRPr="004D70B3">
              <w:rPr>
                <w:rFonts w:ascii="Lato" w:hAnsi="Lato"/>
                <w:sz w:val="20"/>
              </w:rPr>
              <w:t>2021-22</w:t>
            </w:r>
          </w:p>
        </w:tc>
        <w:tc>
          <w:tcPr>
            <w:tcW w:w="1467" w:type="dxa"/>
          </w:tcPr>
          <w:p w14:paraId="0A245124" w14:textId="77777777" w:rsidR="006469DB" w:rsidRPr="00163D91" w:rsidRDefault="006469DB" w:rsidP="00CF05C5">
            <w:pPr>
              <w:widowControl w:val="0"/>
              <w:spacing w:before="26"/>
              <w:ind w:left="105"/>
              <w:rPr>
                <w:rFonts w:ascii="Lato" w:hAnsi="Lato"/>
                <w:sz w:val="20"/>
              </w:rPr>
            </w:pPr>
            <w:r w:rsidRPr="00163D91">
              <w:rPr>
                <w:rFonts w:ascii="Lato" w:hAnsi="Lato"/>
                <w:sz w:val="20"/>
              </w:rPr>
              <w:t>Total</w:t>
            </w:r>
          </w:p>
        </w:tc>
      </w:tr>
      <w:tr w:rsidR="006469DB" w:rsidRPr="00BD5E05" w14:paraId="0A24512C" w14:textId="77777777" w:rsidTr="004D70B3">
        <w:trPr>
          <w:trHeight w:hRule="exact" w:val="902"/>
        </w:trPr>
        <w:tc>
          <w:tcPr>
            <w:tcW w:w="1739" w:type="dxa"/>
          </w:tcPr>
          <w:p w14:paraId="0A245126" w14:textId="77777777" w:rsidR="006469DB" w:rsidRPr="004D70B3" w:rsidRDefault="006469DB" w:rsidP="00CF05C5">
            <w:pPr>
              <w:widowControl w:val="0"/>
              <w:spacing w:before="26"/>
              <w:ind w:left="105"/>
              <w:rPr>
                <w:rFonts w:ascii="Lato" w:hAnsi="Lato"/>
                <w:sz w:val="20"/>
              </w:rPr>
            </w:pPr>
            <w:r w:rsidRPr="004D70B3">
              <w:rPr>
                <w:rFonts w:ascii="Lato" w:hAnsi="Lato"/>
                <w:sz w:val="20"/>
              </w:rPr>
              <w:t>Estimated total budget (1)</w:t>
            </w:r>
          </w:p>
        </w:tc>
        <w:tc>
          <w:tcPr>
            <w:tcW w:w="1466" w:type="dxa"/>
          </w:tcPr>
          <w:p w14:paraId="0A245127"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3</w:t>
            </w:r>
            <w:r w:rsidR="00823720" w:rsidRPr="004D70B3">
              <w:rPr>
                <w:rFonts w:ascii="Lato" w:hAnsi="Lato"/>
                <w:sz w:val="20"/>
              </w:rPr>
              <w:t>7</w:t>
            </w:r>
            <w:r w:rsidRPr="004D70B3">
              <w:rPr>
                <w:rFonts w:ascii="Lato" w:hAnsi="Lato"/>
                <w:sz w:val="20"/>
              </w:rPr>
              <w:t>.4</w:t>
            </w:r>
            <w:r w:rsidR="00823720" w:rsidRPr="004D70B3">
              <w:rPr>
                <w:rFonts w:ascii="Lato" w:hAnsi="Lato"/>
                <w:sz w:val="20"/>
              </w:rPr>
              <w:t>58</w:t>
            </w:r>
          </w:p>
        </w:tc>
        <w:tc>
          <w:tcPr>
            <w:tcW w:w="1467" w:type="dxa"/>
          </w:tcPr>
          <w:p w14:paraId="0A245128"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3</w:t>
            </w:r>
            <w:r w:rsidR="00823720" w:rsidRPr="004D70B3">
              <w:rPr>
                <w:rFonts w:ascii="Lato" w:hAnsi="Lato"/>
                <w:sz w:val="20"/>
              </w:rPr>
              <w:t>7</w:t>
            </w:r>
            <w:r w:rsidRPr="004D70B3">
              <w:rPr>
                <w:rFonts w:ascii="Lato" w:hAnsi="Lato"/>
                <w:sz w:val="20"/>
              </w:rPr>
              <w:t>.</w:t>
            </w:r>
            <w:r w:rsidR="00823720" w:rsidRPr="004D70B3">
              <w:rPr>
                <w:rFonts w:ascii="Lato" w:hAnsi="Lato"/>
                <w:sz w:val="20"/>
              </w:rPr>
              <w:t>31</w:t>
            </w:r>
            <w:r w:rsidRPr="004D70B3">
              <w:rPr>
                <w:rFonts w:ascii="Lato" w:hAnsi="Lato"/>
                <w:sz w:val="20"/>
              </w:rPr>
              <w:t>9</w:t>
            </w:r>
          </w:p>
        </w:tc>
        <w:tc>
          <w:tcPr>
            <w:tcW w:w="1466" w:type="dxa"/>
          </w:tcPr>
          <w:p w14:paraId="0A245129"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3</w:t>
            </w:r>
            <w:r w:rsidR="00823720" w:rsidRPr="004D70B3">
              <w:rPr>
                <w:rFonts w:ascii="Lato" w:hAnsi="Lato"/>
                <w:sz w:val="20"/>
              </w:rPr>
              <w:t>0</w:t>
            </w:r>
            <w:r w:rsidRPr="004D70B3">
              <w:rPr>
                <w:rFonts w:ascii="Lato" w:hAnsi="Lato"/>
                <w:sz w:val="20"/>
              </w:rPr>
              <w:t>.</w:t>
            </w:r>
            <w:r w:rsidR="00823720" w:rsidRPr="004D70B3">
              <w:rPr>
                <w:rFonts w:ascii="Lato" w:hAnsi="Lato"/>
                <w:sz w:val="20"/>
              </w:rPr>
              <w:t>231</w:t>
            </w:r>
          </w:p>
        </w:tc>
        <w:tc>
          <w:tcPr>
            <w:tcW w:w="1467" w:type="dxa"/>
          </w:tcPr>
          <w:p w14:paraId="0A24512A" w14:textId="77777777" w:rsidR="006469DB" w:rsidRPr="004D70B3" w:rsidRDefault="00823720" w:rsidP="004D70B3">
            <w:pPr>
              <w:widowControl w:val="0"/>
              <w:spacing w:before="26"/>
              <w:ind w:left="105"/>
              <w:jc w:val="center"/>
              <w:rPr>
                <w:rFonts w:ascii="Lato" w:hAnsi="Lato"/>
                <w:sz w:val="20"/>
              </w:rPr>
            </w:pPr>
            <w:r w:rsidRPr="004D70B3">
              <w:rPr>
                <w:rFonts w:ascii="Lato" w:hAnsi="Lato"/>
                <w:sz w:val="20"/>
              </w:rPr>
              <w:t>29</w:t>
            </w:r>
            <w:r w:rsidR="006469DB" w:rsidRPr="004D70B3">
              <w:rPr>
                <w:rFonts w:ascii="Lato" w:hAnsi="Lato"/>
                <w:sz w:val="20"/>
              </w:rPr>
              <w:t>.</w:t>
            </w:r>
            <w:r w:rsidRPr="004D70B3">
              <w:rPr>
                <w:rFonts w:ascii="Lato" w:hAnsi="Lato"/>
                <w:sz w:val="20"/>
              </w:rPr>
              <w:t>276</w:t>
            </w:r>
          </w:p>
        </w:tc>
        <w:tc>
          <w:tcPr>
            <w:tcW w:w="1467" w:type="dxa"/>
          </w:tcPr>
          <w:p w14:paraId="0A24512B" w14:textId="77777777" w:rsidR="006469DB" w:rsidRPr="00163D91" w:rsidRDefault="0048144D" w:rsidP="00CD59D0">
            <w:pPr>
              <w:widowControl w:val="0"/>
              <w:spacing w:before="26"/>
              <w:ind w:left="105"/>
              <w:jc w:val="center"/>
              <w:rPr>
                <w:rFonts w:ascii="Lato" w:hAnsi="Lato"/>
                <w:sz w:val="20"/>
              </w:rPr>
            </w:pPr>
            <w:r w:rsidRPr="00163D91">
              <w:rPr>
                <w:rFonts w:ascii="Lato" w:hAnsi="Lato"/>
                <w:sz w:val="20"/>
              </w:rPr>
              <w:t>1</w:t>
            </w:r>
            <w:r w:rsidR="00823720" w:rsidRPr="00163D91">
              <w:rPr>
                <w:rFonts w:ascii="Lato" w:hAnsi="Lato"/>
                <w:sz w:val="20"/>
              </w:rPr>
              <w:t>3</w:t>
            </w:r>
            <w:r w:rsidRPr="00163D91">
              <w:rPr>
                <w:rFonts w:ascii="Lato" w:hAnsi="Lato"/>
                <w:sz w:val="20"/>
              </w:rPr>
              <w:t>4</w:t>
            </w:r>
            <w:r w:rsidR="006469DB" w:rsidRPr="00163D91">
              <w:rPr>
                <w:rFonts w:ascii="Lato" w:hAnsi="Lato"/>
                <w:sz w:val="20"/>
              </w:rPr>
              <w:t>.</w:t>
            </w:r>
            <w:r w:rsidR="00CD59D0" w:rsidRPr="00163D91">
              <w:rPr>
                <w:rFonts w:ascii="Lato" w:hAnsi="Lato"/>
                <w:sz w:val="20"/>
              </w:rPr>
              <w:t>284</w:t>
            </w:r>
          </w:p>
        </w:tc>
      </w:tr>
      <w:tr w:rsidR="006469DB" w:rsidRPr="00BD5E05" w14:paraId="0A245133" w14:textId="77777777" w:rsidTr="004D70B3">
        <w:trPr>
          <w:trHeight w:hRule="exact" w:val="1128"/>
        </w:trPr>
        <w:tc>
          <w:tcPr>
            <w:tcW w:w="1739" w:type="dxa"/>
          </w:tcPr>
          <w:p w14:paraId="0A24512D" w14:textId="77777777" w:rsidR="006469DB" w:rsidRPr="004D70B3" w:rsidRDefault="006469DB" w:rsidP="00CF05C5">
            <w:pPr>
              <w:widowControl w:val="0"/>
              <w:spacing w:before="26"/>
              <w:ind w:left="105"/>
              <w:rPr>
                <w:rFonts w:ascii="Lato" w:hAnsi="Lato"/>
                <w:sz w:val="20"/>
              </w:rPr>
            </w:pPr>
            <w:r w:rsidRPr="004D70B3">
              <w:rPr>
                <w:rFonts w:ascii="Lato" w:hAnsi="Lato"/>
                <w:sz w:val="20"/>
              </w:rPr>
              <w:t>Estimated National Partnership payments (2)</w:t>
            </w:r>
          </w:p>
        </w:tc>
        <w:tc>
          <w:tcPr>
            <w:tcW w:w="1466" w:type="dxa"/>
          </w:tcPr>
          <w:p w14:paraId="0A24512E" w14:textId="77777777" w:rsidR="006469DB" w:rsidRPr="004D70B3" w:rsidRDefault="00E15EBE" w:rsidP="00CD59D0">
            <w:pPr>
              <w:widowControl w:val="0"/>
              <w:spacing w:before="26"/>
              <w:ind w:left="105"/>
              <w:jc w:val="center"/>
              <w:rPr>
                <w:rFonts w:ascii="Lato" w:hAnsi="Lato"/>
                <w:sz w:val="20"/>
              </w:rPr>
            </w:pPr>
            <w:r>
              <w:rPr>
                <w:rFonts w:ascii="Lato" w:hAnsi="Lato"/>
                <w:sz w:val="20"/>
              </w:rPr>
              <w:t>30</w:t>
            </w:r>
            <w:r w:rsidR="003733C3">
              <w:rPr>
                <w:rFonts w:ascii="Lato" w:hAnsi="Lato"/>
                <w:sz w:val="20"/>
              </w:rPr>
              <w:t>.</w:t>
            </w:r>
            <w:r>
              <w:rPr>
                <w:rFonts w:ascii="Lato" w:hAnsi="Lato"/>
                <w:sz w:val="20"/>
              </w:rPr>
              <w:t>922</w:t>
            </w:r>
          </w:p>
        </w:tc>
        <w:tc>
          <w:tcPr>
            <w:tcW w:w="1467" w:type="dxa"/>
          </w:tcPr>
          <w:p w14:paraId="0A24512F" w14:textId="77777777" w:rsidR="006469DB" w:rsidRPr="004D70B3" w:rsidRDefault="00E15EBE" w:rsidP="00CD59D0">
            <w:pPr>
              <w:widowControl w:val="0"/>
              <w:spacing w:before="26"/>
              <w:ind w:left="105"/>
              <w:jc w:val="center"/>
              <w:rPr>
                <w:rFonts w:ascii="Lato" w:hAnsi="Lato"/>
                <w:sz w:val="20"/>
              </w:rPr>
            </w:pPr>
            <w:r>
              <w:rPr>
                <w:rFonts w:ascii="Lato" w:hAnsi="Lato"/>
                <w:sz w:val="20"/>
              </w:rPr>
              <w:t>32.540</w:t>
            </w:r>
          </w:p>
        </w:tc>
        <w:tc>
          <w:tcPr>
            <w:tcW w:w="1466" w:type="dxa"/>
          </w:tcPr>
          <w:p w14:paraId="0A245130" w14:textId="77777777" w:rsidR="006469DB" w:rsidRPr="004D70B3" w:rsidRDefault="00E15EBE" w:rsidP="00CD59D0">
            <w:pPr>
              <w:widowControl w:val="0"/>
              <w:spacing w:before="26"/>
              <w:ind w:left="105"/>
              <w:jc w:val="center"/>
              <w:rPr>
                <w:rFonts w:ascii="Lato" w:hAnsi="Lato"/>
                <w:sz w:val="20"/>
              </w:rPr>
            </w:pPr>
            <w:r>
              <w:rPr>
                <w:rFonts w:ascii="Lato" w:hAnsi="Lato"/>
                <w:sz w:val="20"/>
              </w:rPr>
              <w:t>26.622</w:t>
            </w:r>
          </w:p>
        </w:tc>
        <w:tc>
          <w:tcPr>
            <w:tcW w:w="1467" w:type="dxa"/>
          </w:tcPr>
          <w:p w14:paraId="0A245131" w14:textId="77777777" w:rsidR="006469DB" w:rsidRPr="004D70B3" w:rsidRDefault="00E15EBE" w:rsidP="00CD59D0">
            <w:pPr>
              <w:widowControl w:val="0"/>
              <w:spacing w:before="26"/>
              <w:ind w:left="105"/>
              <w:jc w:val="center"/>
              <w:rPr>
                <w:rFonts w:ascii="Lato" w:hAnsi="Lato"/>
                <w:sz w:val="20"/>
              </w:rPr>
            </w:pPr>
            <w:r>
              <w:rPr>
                <w:rFonts w:ascii="Lato" w:hAnsi="Lato"/>
                <w:sz w:val="20"/>
              </w:rPr>
              <w:t>25.641</w:t>
            </w:r>
          </w:p>
        </w:tc>
        <w:tc>
          <w:tcPr>
            <w:tcW w:w="1467" w:type="dxa"/>
          </w:tcPr>
          <w:p w14:paraId="0A245132" w14:textId="77777777" w:rsidR="006469DB" w:rsidRPr="004D70B3" w:rsidRDefault="0048144D" w:rsidP="00CD59D0">
            <w:pPr>
              <w:widowControl w:val="0"/>
              <w:spacing w:before="26"/>
              <w:ind w:left="105"/>
              <w:jc w:val="center"/>
              <w:rPr>
                <w:rFonts w:ascii="Lato" w:hAnsi="Lato"/>
                <w:sz w:val="20"/>
              </w:rPr>
            </w:pPr>
            <w:r w:rsidRPr="004D70B3">
              <w:rPr>
                <w:rFonts w:ascii="Lato" w:hAnsi="Lato"/>
                <w:sz w:val="20"/>
              </w:rPr>
              <w:t>1</w:t>
            </w:r>
            <w:r w:rsidR="00823720" w:rsidRPr="004D70B3">
              <w:rPr>
                <w:rFonts w:ascii="Lato" w:hAnsi="Lato"/>
                <w:sz w:val="20"/>
              </w:rPr>
              <w:t>1</w:t>
            </w:r>
            <w:r w:rsidR="00E15EBE">
              <w:rPr>
                <w:rFonts w:ascii="Lato" w:hAnsi="Lato"/>
                <w:sz w:val="20"/>
              </w:rPr>
              <w:t>5</w:t>
            </w:r>
            <w:r w:rsidR="003733C3">
              <w:rPr>
                <w:rFonts w:ascii="Lato" w:hAnsi="Lato"/>
                <w:sz w:val="20"/>
              </w:rPr>
              <w:t>.</w:t>
            </w:r>
            <w:r w:rsidR="00E15EBE">
              <w:rPr>
                <w:rFonts w:ascii="Lato" w:hAnsi="Lato"/>
                <w:sz w:val="20"/>
              </w:rPr>
              <w:t>725</w:t>
            </w:r>
          </w:p>
        </w:tc>
      </w:tr>
      <w:tr w:rsidR="006469DB" w:rsidRPr="00BD5E05" w14:paraId="0A24513A" w14:textId="77777777" w:rsidTr="004D70B3">
        <w:trPr>
          <w:trHeight w:hRule="exact" w:val="1277"/>
        </w:trPr>
        <w:tc>
          <w:tcPr>
            <w:tcW w:w="1739" w:type="dxa"/>
          </w:tcPr>
          <w:p w14:paraId="0A245134" w14:textId="77777777" w:rsidR="006469DB" w:rsidRPr="004D70B3" w:rsidRDefault="006469DB" w:rsidP="00CF05C5">
            <w:pPr>
              <w:widowControl w:val="0"/>
              <w:spacing w:before="26"/>
              <w:ind w:left="105"/>
              <w:rPr>
                <w:rFonts w:ascii="Lato" w:hAnsi="Lato"/>
                <w:sz w:val="20"/>
              </w:rPr>
            </w:pPr>
            <w:r w:rsidRPr="004D70B3">
              <w:rPr>
                <w:rFonts w:ascii="Lato" w:hAnsi="Lato"/>
                <w:sz w:val="20"/>
              </w:rPr>
              <w:t>Payments to non- government schools (3)</w:t>
            </w:r>
          </w:p>
        </w:tc>
        <w:tc>
          <w:tcPr>
            <w:tcW w:w="1466" w:type="dxa"/>
          </w:tcPr>
          <w:p w14:paraId="0A245135"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6.536</w:t>
            </w:r>
          </w:p>
        </w:tc>
        <w:tc>
          <w:tcPr>
            <w:tcW w:w="1467" w:type="dxa"/>
          </w:tcPr>
          <w:p w14:paraId="0A245136"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4.779</w:t>
            </w:r>
          </w:p>
        </w:tc>
        <w:tc>
          <w:tcPr>
            <w:tcW w:w="1466" w:type="dxa"/>
          </w:tcPr>
          <w:p w14:paraId="0A245137" w14:textId="77777777" w:rsidR="006469DB" w:rsidRPr="004D70B3" w:rsidRDefault="0048144D" w:rsidP="004D70B3">
            <w:pPr>
              <w:widowControl w:val="0"/>
              <w:spacing w:before="26"/>
              <w:ind w:left="105"/>
              <w:jc w:val="center"/>
              <w:rPr>
                <w:rFonts w:ascii="Lato" w:hAnsi="Lato"/>
                <w:sz w:val="20"/>
              </w:rPr>
            </w:pPr>
            <w:r w:rsidRPr="004D70B3">
              <w:rPr>
                <w:rFonts w:ascii="Lato" w:hAnsi="Lato"/>
                <w:sz w:val="20"/>
              </w:rPr>
              <w:t>3.</w:t>
            </w:r>
            <w:r w:rsidR="006469DB" w:rsidRPr="004D70B3">
              <w:rPr>
                <w:rFonts w:ascii="Lato" w:hAnsi="Lato"/>
                <w:sz w:val="20"/>
              </w:rPr>
              <w:t>609</w:t>
            </w:r>
          </w:p>
        </w:tc>
        <w:tc>
          <w:tcPr>
            <w:tcW w:w="1467" w:type="dxa"/>
          </w:tcPr>
          <w:p w14:paraId="0A245138"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3.635</w:t>
            </w:r>
          </w:p>
        </w:tc>
        <w:tc>
          <w:tcPr>
            <w:tcW w:w="1467" w:type="dxa"/>
          </w:tcPr>
          <w:p w14:paraId="0A245139" w14:textId="77777777" w:rsidR="006469DB" w:rsidRPr="004D70B3" w:rsidRDefault="0048144D" w:rsidP="004D70B3">
            <w:pPr>
              <w:widowControl w:val="0"/>
              <w:spacing w:before="26"/>
              <w:ind w:left="105"/>
              <w:jc w:val="center"/>
              <w:rPr>
                <w:rFonts w:ascii="Lato" w:hAnsi="Lato"/>
                <w:sz w:val="20"/>
              </w:rPr>
            </w:pPr>
            <w:r w:rsidRPr="004D70B3">
              <w:rPr>
                <w:rFonts w:ascii="Lato" w:hAnsi="Lato"/>
                <w:sz w:val="20"/>
              </w:rPr>
              <w:t>18</w:t>
            </w:r>
            <w:r w:rsidR="006469DB" w:rsidRPr="004D70B3">
              <w:rPr>
                <w:rFonts w:ascii="Lato" w:hAnsi="Lato"/>
                <w:sz w:val="20"/>
              </w:rPr>
              <w:t>.</w:t>
            </w:r>
            <w:r w:rsidRPr="004D70B3">
              <w:rPr>
                <w:rFonts w:ascii="Lato" w:hAnsi="Lato"/>
                <w:sz w:val="20"/>
              </w:rPr>
              <w:t>559</w:t>
            </w:r>
          </w:p>
        </w:tc>
      </w:tr>
      <w:tr w:rsidR="006469DB" w:rsidRPr="00BD5E05" w14:paraId="0A245142" w14:textId="77777777" w:rsidTr="004D70B3">
        <w:trPr>
          <w:trHeight w:hRule="exact" w:val="1133"/>
        </w:trPr>
        <w:tc>
          <w:tcPr>
            <w:tcW w:w="1739" w:type="dxa"/>
          </w:tcPr>
          <w:p w14:paraId="0A24513B" w14:textId="77777777" w:rsidR="006469DB" w:rsidRPr="004D70B3" w:rsidRDefault="006469DB" w:rsidP="00CF05C5">
            <w:pPr>
              <w:widowControl w:val="0"/>
              <w:spacing w:before="26"/>
              <w:ind w:left="105"/>
              <w:rPr>
                <w:rFonts w:ascii="Lato" w:hAnsi="Lato"/>
                <w:sz w:val="20"/>
              </w:rPr>
            </w:pPr>
            <w:r w:rsidRPr="004D70B3">
              <w:rPr>
                <w:rFonts w:ascii="Lato" w:hAnsi="Lato"/>
                <w:sz w:val="20"/>
              </w:rPr>
              <w:t>Total Commonwealth contribution</w:t>
            </w:r>
          </w:p>
          <w:p w14:paraId="0A24513C" w14:textId="77777777" w:rsidR="006469DB" w:rsidRPr="004D70B3" w:rsidRDefault="006469DB" w:rsidP="00CF05C5">
            <w:pPr>
              <w:widowControl w:val="0"/>
              <w:spacing w:before="26"/>
              <w:ind w:left="105"/>
              <w:rPr>
                <w:rFonts w:ascii="Lato" w:hAnsi="Lato"/>
                <w:sz w:val="20"/>
              </w:rPr>
            </w:pPr>
            <w:r w:rsidRPr="004D70B3">
              <w:rPr>
                <w:rFonts w:ascii="Lato" w:hAnsi="Lato"/>
                <w:sz w:val="20"/>
              </w:rPr>
              <w:t>(4) = (2) + (3)</w:t>
            </w:r>
          </w:p>
        </w:tc>
        <w:tc>
          <w:tcPr>
            <w:tcW w:w="1466" w:type="dxa"/>
          </w:tcPr>
          <w:p w14:paraId="0A24513D" w14:textId="77777777" w:rsidR="006469DB" w:rsidRPr="004D70B3" w:rsidRDefault="00823720" w:rsidP="004D70B3">
            <w:pPr>
              <w:widowControl w:val="0"/>
              <w:spacing w:before="26"/>
              <w:ind w:left="105"/>
              <w:jc w:val="center"/>
              <w:rPr>
                <w:rFonts w:ascii="Lato" w:hAnsi="Lato"/>
                <w:sz w:val="20"/>
              </w:rPr>
            </w:pPr>
            <w:r w:rsidRPr="004D70B3">
              <w:rPr>
                <w:rFonts w:ascii="Lato" w:hAnsi="Lato"/>
                <w:sz w:val="20"/>
              </w:rPr>
              <w:t>37.458</w:t>
            </w:r>
          </w:p>
        </w:tc>
        <w:tc>
          <w:tcPr>
            <w:tcW w:w="1467" w:type="dxa"/>
          </w:tcPr>
          <w:p w14:paraId="0A24513E" w14:textId="77777777" w:rsidR="006469DB" w:rsidRPr="004D70B3" w:rsidRDefault="00823720" w:rsidP="004D70B3">
            <w:pPr>
              <w:widowControl w:val="0"/>
              <w:spacing w:before="26"/>
              <w:ind w:left="105"/>
              <w:jc w:val="center"/>
              <w:rPr>
                <w:rFonts w:ascii="Lato" w:hAnsi="Lato"/>
                <w:sz w:val="20"/>
              </w:rPr>
            </w:pPr>
            <w:r w:rsidRPr="004D70B3">
              <w:rPr>
                <w:rFonts w:ascii="Lato" w:hAnsi="Lato"/>
                <w:sz w:val="20"/>
              </w:rPr>
              <w:t>37.319</w:t>
            </w:r>
          </w:p>
        </w:tc>
        <w:tc>
          <w:tcPr>
            <w:tcW w:w="1466" w:type="dxa"/>
          </w:tcPr>
          <w:p w14:paraId="0A24513F" w14:textId="77777777" w:rsidR="006469DB" w:rsidRPr="004D70B3" w:rsidRDefault="00823720" w:rsidP="004D70B3">
            <w:pPr>
              <w:widowControl w:val="0"/>
              <w:spacing w:before="26"/>
              <w:ind w:left="105"/>
              <w:jc w:val="center"/>
              <w:rPr>
                <w:rFonts w:ascii="Lato" w:hAnsi="Lato"/>
                <w:sz w:val="20"/>
              </w:rPr>
            </w:pPr>
            <w:r w:rsidRPr="004D70B3">
              <w:rPr>
                <w:rFonts w:ascii="Lato" w:hAnsi="Lato"/>
                <w:sz w:val="20"/>
              </w:rPr>
              <w:t>30.231</w:t>
            </w:r>
          </w:p>
        </w:tc>
        <w:tc>
          <w:tcPr>
            <w:tcW w:w="1467" w:type="dxa"/>
          </w:tcPr>
          <w:p w14:paraId="0A245140" w14:textId="77777777" w:rsidR="006469DB" w:rsidRPr="004D70B3" w:rsidRDefault="00823720" w:rsidP="004D70B3">
            <w:pPr>
              <w:widowControl w:val="0"/>
              <w:spacing w:before="26"/>
              <w:ind w:left="105"/>
              <w:jc w:val="center"/>
              <w:rPr>
                <w:rFonts w:ascii="Lato" w:hAnsi="Lato"/>
                <w:sz w:val="20"/>
              </w:rPr>
            </w:pPr>
            <w:r w:rsidRPr="004D70B3">
              <w:rPr>
                <w:rFonts w:ascii="Lato" w:hAnsi="Lato"/>
                <w:sz w:val="20"/>
              </w:rPr>
              <w:t>29.276</w:t>
            </w:r>
          </w:p>
        </w:tc>
        <w:tc>
          <w:tcPr>
            <w:tcW w:w="1467" w:type="dxa"/>
          </w:tcPr>
          <w:p w14:paraId="0A245141" w14:textId="77777777" w:rsidR="006469DB" w:rsidRPr="004D70B3" w:rsidRDefault="000F52CD" w:rsidP="00CD59D0">
            <w:pPr>
              <w:widowControl w:val="0"/>
              <w:spacing w:before="26"/>
              <w:ind w:left="105"/>
              <w:jc w:val="center"/>
              <w:rPr>
                <w:rFonts w:ascii="Lato" w:hAnsi="Lato"/>
                <w:sz w:val="20"/>
              </w:rPr>
            </w:pPr>
            <w:r w:rsidRPr="004D70B3">
              <w:rPr>
                <w:rFonts w:ascii="Lato" w:hAnsi="Lato"/>
                <w:sz w:val="20"/>
              </w:rPr>
              <w:t>134.</w:t>
            </w:r>
            <w:r w:rsidR="00E15EBE">
              <w:rPr>
                <w:rFonts w:ascii="Lato" w:hAnsi="Lato"/>
                <w:sz w:val="20"/>
              </w:rPr>
              <w:t>284</w:t>
            </w:r>
          </w:p>
        </w:tc>
      </w:tr>
      <w:tr w:rsidR="006469DB" w:rsidRPr="00BD5E05" w14:paraId="0A24514A" w14:textId="77777777" w:rsidTr="004D70B3">
        <w:trPr>
          <w:trHeight w:hRule="exact" w:val="1136"/>
        </w:trPr>
        <w:tc>
          <w:tcPr>
            <w:tcW w:w="1739" w:type="dxa"/>
          </w:tcPr>
          <w:p w14:paraId="0A245143" w14:textId="77777777" w:rsidR="006469DB" w:rsidRPr="004D70B3" w:rsidRDefault="006469DB" w:rsidP="00CF05C5">
            <w:pPr>
              <w:widowControl w:val="0"/>
              <w:spacing w:before="26"/>
              <w:ind w:left="105"/>
              <w:rPr>
                <w:rFonts w:ascii="Lato" w:hAnsi="Lato"/>
                <w:sz w:val="20"/>
              </w:rPr>
            </w:pPr>
            <w:r w:rsidRPr="004D70B3">
              <w:rPr>
                <w:rFonts w:ascii="Lato" w:hAnsi="Lato"/>
                <w:sz w:val="20"/>
              </w:rPr>
              <w:t xml:space="preserve">Balance of non- Commonwealth contributions </w:t>
            </w:r>
          </w:p>
          <w:p w14:paraId="0A245144" w14:textId="77777777" w:rsidR="006469DB" w:rsidRPr="004D70B3" w:rsidRDefault="006469DB" w:rsidP="00CF05C5">
            <w:pPr>
              <w:widowControl w:val="0"/>
              <w:spacing w:before="26"/>
              <w:ind w:left="105"/>
              <w:rPr>
                <w:rFonts w:ascii="Lato" w:hAnsi="Lato"/>
                <w:sz w:val="20"/>
              </w:rPr>
            </w:pPr>
            <w:r w:rsidRPr="004D70B3">
              <w:rPr>
                <w:rFonts w:ascii="Lato" w:hAnsi="Lato"/>
                <w:sz w:val="20"/>
              </w:rPr>
              <w:t>(5)</w:t>
            </w:r>
            <w:r w:rsidR="00224997" w:rsidRPr="004D70B3">
              <w:rPr>
                <w:rFonts w:ascii="Lato" w:hAnsi="Lato"/>
                <w:sz w:val="20"/>
              </w:rPr>
              <w:t xml:space="preserve"> </w:t>
            </w:r>
            <w:r w:rsidR="00224997">
              <w:rPr>
                <w:rFonts w:ascii="Lato" w:hAnsi="Lato"/>
                <w:sz w:val="20"/>
                <w:szCs w:val="20"/>
              </w:rPr>
              <w:t>=</w:t>
            </w:r>
            <w:r w:rsidR="00224997" w:rsidRPr="004D70B3">
              <w:rPr>
                <w:rFonts w:ascii="Lato" w:hAnsi="Lato"/>
                <w:sz w:val="20"/>
              </w:rPr>
              <w:t xml:space="preserve"> </w:t>
            </w:r>
            <w:r w:rsidRPr="004D70B3">
              <w:rPr>
                <w:rFonts w:ascii="Lato" w:hAnsi="Lato"/>
                <w:sz w:val="20"/>
              </w:rPr>
              <w:t>(1) -(4)</w:t>
            </w:r>
            <w:r w:rsidR="009E143F">
              <w:rPr>
                <w:rFonts w:ascii="Lato" w:hAnsi="Lato"/>
                <w:sz w:val="20"/>
              </w:rPr>
              <w:t xml:space="preserve"> </w:t>
            </w:r>
            <w:r w:rsidR="009E143F" w:rsidRPr="00CB7F19">
              <w:rPr>
                <w:rFonts w:ascii="Lato" w:hAnsi="Lato"/>
                <w:sz w:val="20"/>
                <w:vertAlign w:val="superscript"/>
              </w:rPr>
              <w:t>(a)</w:t>
            </w:r>
          </w:p>
        </w:tc>
        <w:tc>
          <w:tcPr>
            <w:tcW w:w="1466" w:type="dxa"/>
          </w:tcPr>
          <w:p w14:paraId="0A245145"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0.0</w:t>
            </w:r>
            <w:r w:rsidR="000F39A3">
              <w:rPr>
                <w:rFonts w:ascii="Lato" w:hAnsi="Lato"/>
                <w:sz w:val="20"/>
              </w:rPr>
              <w:t>00</w:t>
            </w:r>
          </w:p>
        </w:tc>
        <w:tc>
          <w:tcPr>
            <w:tcW w:w="1467" w:type="dxa"/>
          </w:tcPr>
          <w:p w14:paraId="0A245146"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0.0</w:t>
            </w:r>
            <w:r w:rsidR="000F39A3">
              <w:rPr>
                <w:rFonts w:ascii="Lato" w:hAnsi="Lato"/>
                <w:sz w:val="20"/>
              </w:rPr>
              <w:t>00</w:t>
            </w:r>
          </w:p>
        </w:tc>
        <w:tc>
          <w:tcPr>
            <w:tcW w:w="1466" w:type="dxa"/>
          </w:tcPr>
          <w:p w14:paraId="0A245147" w14:textId="77777777" w:rsidR="006469DB" w:rsidRPr="004D70B3" w:rsidRDefault="00820835" w:rsidP="00224997">
            <w:pPr>
              <w:widowControl w:val="0"/>
              <w:spacing w:before="26"/>
              <w:ind w:left="105"/>
              <w:jc w:val="center"/>
              <w:rPr>
                <w:rFonts w:ascii="Lato" w:hAnsi="Lato"/>
                <w:sz w:val="20"/>
              </w:rPr>
            </w:pPr>
            <w:r w:rsidRPr="00BD5E05">
              <w:rPr>
                <w:rFonts w:ascii="Lato" w:hAnsi="Lato"/>
                <w:sz w:val="20"/>
                <w:szCs w:val="20"/>
              </w:rPr>
              <w:t>0</w:t>
            </w:r>
            <w:r w:rsidR="006469DB" w:rsidRPr="00BD5E05">
              <w:rPr>
                <w:rFonts w:ascii="Lato" w:hAnsi="Lato"/>
                <w:sz w:val="20"/>
                <w:szCs w:val="20"/>
              </w:rPr>
              <w:t>.</w:t>
            </w:r>
            <w:r w:rsidRPr="00BD5E05">
              <w:rPr>
                <w:rFonts w:ascii="Lato" w:hAnsi="Lato"/>
                <w:sz w:val="20"/>
                <w:szCs w:val="20"/>
              </w:rPr>
              <w:t>0</w:t>
            </w:r>
            <w:r w:rsidR="000F39A3">
              <w:rPr>
                <w:rFonts w:ascii="Lato" w:hAnsi="Lato"/>
                <w:sz w:val="20"/>
                <w:szCs w:val="20"/>
              </w:rPr>
              <w:t>00</w:t>
            </w:r>
          </w:p>
        </w:tc>
        <w:tc>
          <w:tcPr>
            <w:tcW w:w="1467" w:type="dxa"/>
          </w:tcPr>
          <w:p w14:paraId="0A245148" w14:textId="77777777" w:rsidR="006469DB" w:rsidRPr="004D70B3" w:rsidRDefault="006469DB" w:rsidP="004D70B3">
            <w:pPr>
              <w:widowControl w:val="0"/>
              <w:spacing w:before="26"/>
              <w:ind w:left="105"/>
              <w:jc w:val="center"/>
              <w:rPr>
                <w:rFonts w:ascii="Lato" w:hAnsi="Lato"/>
                <w:sz w:val="20"/>
              </w:rPr>
            </w:pPr>
            <w:r w:rsidRPr="004D70B3">
              <w:rPr>
                <w:rFonts w:ascii="Lato" w:hAnsi="Lato"/>
                <w:sz w:val="20"/>
              </w:rPr>
              <w:t>0.0</w:t>
            </w:r>
            <w:r w:rsidR="000F39A3">
              <w:rPr>
                <w:rFonts w:ascii="Lato" w:hAnsi="Lato"/>
                <w:sz w:val="20"/>
              </w:rPr>
              <w:t>00</w:t>
            </w:r>
          </w:p>
        </w:tc>
        <w:tc>
          <w:tcPr>
            <w:tcW w:w="1467" w:type="dxa"/>
          </w:tcPr>
          <w:p w14:paraId="0A245149" w14:textId="77777777" w:rsidR="006469DB" w:rsidRPr="004D70B3" w:rsidRDefault="00820835" w:rsidP="00224997">
            <w:pPr>
              <w:widowControl w:val="0"/>
              <w:spacing w:before="26"/>
              <w:ind w:left="105" w:right="48"/>
              <w:jc w:val="center"/>
              <w:rPr>
                <w:rFonts w:ascii="Lato" w:hAnsi="Lato"/>
                <w:sz w:val="20"/>
              </w:rPr>
            </w:pPr>
            <w:r w:rsidRPr="00BD5E05">
              <w:rPr>
                <w:rFonts w:ascii="Lato" w:hAnsi="Lato"/>
                <w:sz w:val="20"/>
                <w:szCs w:val="20"/>
              </w:rPr>
              <w:t>0</w:t>
            </w:r>
            <w:r w:rsidR="006469DB" w:rsidRPr="00BD5E05">
              <w:rPr>
                <w:rFonts w:ascii="Lato" w:hAnsi="Lato"/>
                <w:sz w:val="20"/>
                <w:szCs w:val="20"/>
              </w:rPr>
              <w:t>.</w:t>
            </w:r>
            <w:r w:rsidRPr="00BD5E05">
              <w:rPr>
                <w:rFonts w:ascii="Lato" w:hAnsi="Lato"/>
                <w:sz w:val="20"/>
                <w:szCs w:val="20"/>
              </w:rPr>
              <w:t>0</w:t>
            </w:r>
            <w:r w:rsidR="000F39A3">
              <w:rPr>
                <w:rFonts w:ascii="Lato" w:hAnsi="Lato"/>
                <w:sz w:val="20"/>
                <w:szCs w:val="20"/>
              </w:rPr>
              <w:t>00</w:t>
            </w:r>
          </w:p>
        </w:tc>
      </w:tr>
    </w:tbl>
    <w:p w14:paraId="0A24514B" w14:textId="77777777" w:rsidR="00CF05C5" w:rsidRPr="004D70B3" w:rsidRDefault="00CF05C5" w:rsidP="00637E40">
      <w:pPr>
        <w:widowControl w:val="0"/>
        <w:spacing w:line="148" w:lineRule="exact"/>
        <w:ind w:left="628" w:firstLine="9"/>
        <w:rPr>
          <w:rFonts w:ascii="Lato" w:hAnsi="Lato"/>
          <w:color w:val="auto"/>
          <w:w w:val="95"/>
          <w:lang w:val="en-US"/>
        </w:rPr>
      </w:pPr>
    </w:p>
    <w:p w14:paraId="0A24514C" w14:textId="77777777" w:rsidR="00637E40" w:rsidRPr="004D70B3" w:rsidRDefault="00CF05C5" w:rsidP="00BD09BB">
      <w:pPr>
        <w:pStyle w:val="ListParagraph"/>
        <w:numPr>
          <w:ilvl w:val="0"/>
          <w:numId w:val="17"/>
        </w:numPr>
        <w:rPr>
          <w:rFonts w:ascii="Lato" w:hAnsi="Lato"/>
          <w:sz w:val="16"/>
          <w:lang w:val="en-US"/>
        </w:rPr>
      </w:pPr>
      <w:r w:rsidRPr="004D70B3">
        <w:rPr>
          <w:rFonts w:ascii="Lato" w:hAnsi="Lato"/>
          <w:sz w:val="16"/>
          <w:lang w:val="en-US"/>
        </w:rPr>
        <w:t xml:space="preserve">The Northern Territory is not required to make a financial contribution under the terms of this Agreement. However, as the Northern Territory is responsible for the provision of public education services in its jurisdiction, it allocates its own source funding accordingly, including through its </w:t>
      </w:r>
      <w:r w:rsidR="00A127B6" w:rsidRPr="004D70B3">
        <w:rPr>
          <w:rFonts w:ascii="Lato" w:hAnsi="Lato"/>
          <w:sz w:val="16"/>
          <w:lang w:val="en-US"/>
        </w:rPr>
        <w:t>‘</w:t>
      </w:r>
      <w:r w:rsidRPr="004D70B3">
        <w:rPr>
          <w:rFonts w:ascii="Lato" w:hAnsi="Lato"/>
          <w:sz w:val="16"/>
          <w:lang w:val="en-US"/>
        </w:rPr>
        <w:t>A Share In the Future - Indigenous Education Strategy 2015-2024</w:t>
      </w:r>
      <w:r w:rsidR="00A127B6" w:rsidRPr="004D70B3">
        <w:rPr>
          <w:rFonts w:ascii="Lato" w:hAnsi="Lato"/>
          <w:sz w:val="16"/>
          <w:lang w:val="en-US"/>
        </w:rPr>
        <w:t>’</w:t>
      </w:r>
      <w:r w:rsidRPr="004D70B3">
        <w:rPr>
          <w:rFonts w:ascii="Lato" w:hAnsi="Lato"/>
          <w:sz w:val="16"/>
          <w:lang w:val="en-US"/>
        </w:rPr>
        <w:t>, in support of services funded under this Agreement.</w:t>
      </w:r>
    </w:p>
    <w:p w14:paraId="0A24514D" w14:textId="77777777" w:rsidR="000F52CD" w:rsidRPr="004D70B3" w:rsidRDefault="000F52CD" w:rsidP="00BD09BB">
      <w:pPr>
        <w:pStyle w:val="ListParagraph"/>
        <w:numPr>
          <w:ilvl w:val="0"/>
          <w:numId w:val="17"/>
        </w:numPr>
        <w:rPr>
          <w:rFonts w:ascii="Lato" w:hAnsi="Lato"/>
          <w:sz w:val="16"/>
          <w:lang w:val="en-US"/>
        </w:rPr>
      </w:pPr>
      <w:r w:rsidRPr="004D70B3">
        <w:rPr>
          <w:rFonts w:ascii="Lato" w:hAnsi="Lato"/>
          <w:sz w:val="16"/>
          <w:lang w:val="en-US"/>
        </w:rPr>
        <w:t>The above table reflects the original National Partnership allocation less the discontinued Student Enrolment and Attendance Measure allocation.</w:t>
      </w:r>
    </w:p>
    <w:p w14:paraId="0A24514E" w14:textId="77777777" w:rsidR="00F76351" w:rsidRPr="004D70B3" w:rsidRDefault="00F76351">
      <w:pPr>
        <w:rPr>
          <w:rFonts w:ascii="Lato" w:hAnsi="Lato"/>
          <w:b/>
          <w:color w:val="3D4B67"/>
        </w:rPr>
      </w:pPr>
    </w:p>
    <w:p w14:paraId="0A24514F" w14:textId="77777777" w:rsidR="00C458BC" w:rsidRPr="004D70B3" w:rsidRDefault="00C458BC" w:rsidP="00C458BC">
      <w:pPr>
        <w:widowControl w:val="0"/>
        <w:spacing w:before="78"/>
        <w:outlineLvl w:val="2"/>
        <w:rPr>
          <w:rFonts w:ascii="Lato" w:hAnsi="Lato"/>
          <w:b/>
          <w:color w:val="3D4B67"/>
        </w:rPr>
      </w:pPr>
      <w:r w:rsidRPr="004D70B3">
        <w:rPr>
          <w:rFonts w:ascii="Lato" w:hAnsi="Lato"/>
          <w:b/>
          <w:color w:val="3D4B67"/>
        </w:rPr>
        <w:lastRenderedPageBreak/>
        <w:t>Table 3: Estimated financial contributions for this Implementation Plan</w:t>
      </w:r>
    </w:p>
    <w:p w14:paraId="0A245150" w14:textId="77777777" w:rsidR="00CF05C5" w:rsidRPr="004D70B3" w:rsidRDefault="00CF05C5" w:rsidP="00CF05C5">
      <w:pPr>
        <w:ind w:left="360"/>
        <w:rPr>
          <w:rFonts w:ascii="Lato" w:hAnsi="Lato"/>
          <w:lang w:val="en-US"/>
        </w:rPr>
      </w:pPr>
    </w:p>
    <w:tbl>
      <w:tblPr>
        <w:tblStyle w:val="TableGrid"/>
        <w:tblW w:w="5493" w:type="pct"/>
        <w:tblInd w:w="-572" w:type="dxa"/>
        <w:tblLayout w:type="fixed"/>
        <w:tblLook w:val="04A0" w:firstRow="1" w:lastRow="0" w:firstColumn="1" w:lastColumn="0" w:noHBand="0" w:noVBand="1"/>
      </w:tblPr>
      <w:tblGrid>
        <w:gridCol w:w="1936"/>
        <w:gridCol w:w="1661"/>
        <w:gridCol w:w="1661"/>
        <w:gridCol w:w="1661"/>
        <w:gridCol w:w="1661"/>
        <w:gridCol w:w="1661"/>
      </w:tblGrid>
      <w:tr w:rsidR="00612001" w:rsidRPr="00BD5E05" w14:paraId="0A245157" w14:textId="77777777" w:rsidTr="00D40B0E">
        <w:trPr>
          <w:trHeight w:val="250"/>
        </w:trPr>
        <w:tc>
          <w:tcPr>
            <w:tcW w:w="1936" w:type="dxa"/>
            <w:vMerge w:val="restart"/>
          </w:tcPr>
          <w:p w14:paraId="0A245151" w14:textId="77777777" w:rsidR="00C458BC" w:rsidRPr="00790285" w:rsidRDefault="00C458BC" w:rsidP="00453758">
            <w:pPr>
              <w:rPr>
                <w:rFonts w:ascii="Lato" w:hAnsi="Lato"/>
                <w:b/>
                <w:sz w:val="22"/>
              </w:rPr>
            </w:pPr>
            <w:r w:rsidRPr="00790285">
              <w:rPr>
                <w:rFonts w:ascii="Lato" w:hAnsi="Lato"/>
                <w:b/>
                <w:sz w:val="22"/>
              </w:rPr>
              <w:t>Activity</w:t>
            </w:r>
          </w:p>
        </w:tc>
        <w:tc>
          <w:tcPr>
            <w:tcW w:w="1661" w:type="dxa"/>
          </w:tcPr>
          <w:p w14:paraId="0A245152" w14:textId="77777777" w:rsidR="00C458BC" w:rsidRPr="00790285" w:rsidRDefault="00C458BC" w:rsidP="00453758">
            <w:pPr>
              <w:jc w:val="center"/>
              <w:rPr>
                <w:rFonts w:ascii="Lato" w:hAnsi="Lato"/>
                <w:b/>
                <w:sz w:val="22"/>
              </w:rPr>
            </w:pPr>
            <w:r w:rsidRPr="00790285">
              <w:rPr>
                <w:rFonts w:ascii="Lato" w:hAnsi="Lato"/>
                <w:b/>
                <w:sz w:val="22"/>
              </w:rPr>
              <w:t>2018-19</w:t>
            </w:r>
          </w:p>
        </w:tc>
        <w:tc>
          <w:tcPr>
            <w:tcW w:w="1661" w:type="dxa"/>
          </w:tcPr>
          <w:p w14:paraId="0A245153" w14:textId="77777777" w:rsidR="00C458BC" w:rsidRPr="00790285" w:rsidRDefault="00C458BC" w:rsidP="00453758">
            <w:pPr>
              <w:jc w:val="center"/>
              <w:rPr>
                <w:rFonts w:ascii="Lato" w:hAnsi="Lato"/>
                <w:b/>
                <w:sz w:val="22"/>
              </w:rPr>
            </w:pPr>
            <w:r w:rsidRPr="00790285">
              <w:rPr>
                <w:rFonts w:ascii="Lato" w:hAnsi="Lato"/>
                <w:b/>
                <w:sz w:val="22"/>
              </w:rPr>
              <w:t>2019-20</w:t>
            </w:r>
          </w:p>
        </w:tc>
        <w:tc>
          <w:tcPr>
            <w:tcW w:w="1661" w:type="dxa"/>
          </w:tcPr>
          <w:p w14:paraId="0A245154" w14:textId="77777777" w:rsidR="00C458BC" w:rsidRPr="00790285" w:rsidRDefault="00C458BC" w:rsidP="00453758">
            <w:pPr>
              <w:jc w:val="center"/>
              <w:rPr>
                <w:rFonts w:ascii="Lato" w:hAnsi="Lato"/>
                <w:b/>
                <w:sz w:val="22"/>
              </w:rPr>
            </w:pPr>
            <w:r w:rsidRPr="00790285">
              <w:rPr>
                <w:rFonts w:ascii="Lato" w:hAnsi="Lato"/>
                <w:b/>
                <w:sz w:val="22"/>
              </w:rPr>
              <w:t>2020-21</w:t>
            </w:r>
          </w:p>
        </w:tc>
        <w:tc>
          <w:tcPr>
            <w:tcW w:w="1661" w:type="dxa"/>
          </w:tcPr>
          <w:p w14:paraId="0A245155" w14:textId="77777777" w:rsidR="00C458BC" w:rsidRPr="00790285" w:rsidRDefault="00C458BC" w:rsidP="00453758">
            <w:pPr>
              <w:jc w:val="center"/>
              <w:rPr>
                <w:rFonts w:ascii="Lato" w:hAnsi="Lato"/>
                <w:b/>
                <w:sz w:val="22"/>
              </w:rPr>
            </w:pPr>
            <w:r w:rsidRPr="00790285">
              <w:rPr>
                <w:rFonts w:ascii="Lato" w:hAnsi="Lato"/>
                <w:b/>
                <w:sz w:val="22"/>
              </w:rPr>
              <w:t>2021-22</w:t>
            </w:r>
          </w:p>
        </w:tc>
        <w:tc>
          <w:tcPr>
            <w:tcW w:w="1661" w:type="dxa"/>
          </w:tcPr>
          <w:p w14:paraId="0A245156" w14:textId="77777777" w:rsidR="00C458BC" w:rsidRPr="00790285" w:rsidRDefault="00C458BC" w:rsidP="00453758">
            <w:pPr>
              <w:jc w:val="center"/>
              <w:rPr>
                <w:rFonts w:ascii="Lato" w:hAnsi="Lato"/>
                <w:b/>
                <w:sz w:val="22"/>
              </w:rPr>
            </w:pPr>
            <w:r w:rsidRPr="00790285">
              <w:rPr>
                <w:rFonts w:ascii="Lato" w:hAnsi="Lato"/>
                <w:b/>
                <w:sz w:val="22"/>
              </w:rPr>
              <w:t>Total</w:t>
            </w:r>
          </w:p>
        </w:tc>
      </w:tr>
      <w:tr w:rsidR="00C458BC" w:rsidRPr="00BD5E05" w14:paraId="0A24515A" w14:textId="77777777" w:rsidTr="00D40B0E">
        <w:trPr>
          <w:trHeight w:val="250"/>
        </w:trPr>
        <w:tc>
          <w:tcPr>
            <w:tcW w:w="1936" w:type="dxa"/>
            <w:vMerge/>
          </w:tcPr>
          <w:p w14:paraId="0A245158" w14:textId="77777777" w:rsidR="00C458BC" w:rsidRPr="00CA48B7" w:rsidRDefault="00C458BC" w:rsidP="00453758">
            <w:pPr>
              <w:jc w:val="center"/>
              <w:rPr>
                <w:rFonts w:ascii="Lato" w:hAnsi="Lato"/>
                <w:b/>
                <w:sz w:val="22"/>
              </w:rPr>
            </w:pPr>
          </w:p>
        </w:tc>
        <w:tc>
          <w:tcPr>
            <w:tcW w:w="8305" w:type="dxa"/>
            <w:gridSpan w:val="5"/>
          </w:tcPr>
          <w:p w14:paraId="0A245159" w14:textId="77777777" w:rsidR="00C458BC" w:rsidRPr="00CA48B7" w:rsidRDefault="00C458BC" w:rsidP="00453758">
            <w:pPr>
              <w:jc w:val="center"/>
              <w:rPr>
                <w:rFonts w:ascii="Lato" w:hAnsi="Lato"/>
                <w:b/>
                <w:sz w:val="22"/>
              </w:rPr>
            </w:pPr>
            <w:r w:rsidRPr="00CA48B7">
              <w:rPr>
                <w:rFonts w:ascii="Lato" w:hAnsi="Lato"/>
                <w:b/>
                <w:sz w:val="22"/>
              </w:rPr>
              <w:t>$million</w:t>
            </w:r>
          </w:p>
        </w:tc>
      </w:tr>
      <w:tr w:rsidR="00612001" w:rsidRPr="00BD5E05" w14:paraId="0A245161" w14:textId="77777777" w:rsidTr="00D40B0E">
        <w:trPr>
          <w:trHeight w:val="261"/>
        </w:trPr>
        <w:tc>
          <w:tcPr>
            <w:tcW w:w="1936" w:type="dxa"/>
          </w:tcPr>
          <w:p w14:paraId="0A24515B" w14:textId="77777777" w:rsidR="00C458BC" w:rsidRPr="00790285" w:rsidRDefault="00A97329" w:rsidP="008816B1">
            <w:pPr>
              <w:contextualSpacing/>
              <w:rPr>
                <w:rFonts w:ascii="Lato" w:hAnsi="Lato"/>
                <w:sz w:val="22"/>
              </w:rPr>
            </w:pPr>
            <w:r>
              <w:rPr>
                <w:rFonts w:ascii="Lato" w:hAnsi="Lato"/>
                <w:sz w:val="22"/>
              </w:rPr>
              <w:t xml:space="preserve">1. </w:t>
            </w:r>
            <w:r w:rsidR="00C458BC" w:rsidRPr="00790285">
              <w:rPr>
                <w:rFonts w:ascii="Lato" w:hAnsi="Lato"/>
                <w:sz w:val="22"/>
              </w:rPr>
              <w:t>Foundations</w:t>
            </w:r>
          </w:p>
        </w:tc>
        <w:tc>
          <w:tcPr>
            <w:tcW w:w="1661" w:type="dxa"/>
          </w:tcPr>
          <w:p w14:paraId="0A24515C" w14:textId="77777777" w:rsidR="00C458BC" w:rsidRPr="00CA48B7" w:rsidRDefault="00C0573A" w:rsidP="006D1860">
            <w:pPr>
              <w:jc w:val="center"/>
              <w:rPr>
                <w:rFonts w:ascii="Lato" w:hAnsi="Lato"/>
                <w:sz w:val="22"/>
              </w:rPr>
            </w:pPr>
            <w:r w:rsidRPr="00BD5E05">
              <w:rPr>
                <w:rFonts w:ascii="Lato" w:hAnsi="Lato"/>
                <w:sz w:val="22"/>
                <w:szCs w:val="22"/>
              </w:rPr>
              <w:t>9</w:t>
            </w:r>
            <w:r w:rsidR="0021159F" w:rsidRPr="00BD5E05">
              <w:rPr>
                <w:rFonts w:ascii="Lato" w:hAnsi="Lato"/>
                <w:sz w:val="22"/>
                <w:szCs w:val="22"/>
              </w:rPr>
              <w:t>.</w:t>
            </w:r>
            <w:r w:rsidR="00CE28B8">
              <w:rPr>
                <w:rFonts w:ascii="Lato" w:hAnsi="Lato"/>
                <w:sz w:val="22"/>
                <w:szCs w:val="22"/>
              </w:rPr>
              <w:t>685</w:t>
            </w:r>
          </w:p>
        </w:tc>
        <w:tc>
          <w:tcPr>
            <w:tcW w:w="1661" w:type="dxa"/>
          </w:tcPr>
          <w:p w14:paraId="0A24515D" w14:textId="77777777" w:rsidR="00C458BC" w:rsidRPr="00CA48B7" w:rsidRDefault="00CE28B8" w:rsidP="006D1860">
            <w:pPr>
              <w:jc w:val="center"/>
              <w:rPr>
                <w:rFonts w:ascii="Lato" w:hAnsi="Lato"/>
                <w:sz w:val="22"/>
              </w:rPr>
            </w:pPr>
            <w:r>
              <w:rPr>
                <w:rFonts w:ascii="Lato" w:hAnsi="Lato"/>
                <w:sz w:val="22"/>
                <w:szCs w:val="22"/>
              </w:rPr>
              <w:t>9.951</w:t>
            </w:r>
          </w:p>
        </w:tc>
        <w:tc>
          <w:tcPr>
            <w:tcW w:w="1661" w:type="dxa"/>
          </w:tcPr>
          <w:p w14:paraId="0A24515E" w14:textId="77777777" w:rsidR="00C458BC" w:rsidRPr="00CA48B7" w:rsidRDefault="00CE28B8" w:rsidP="00CD59D0">
            <w:pPr>
              <w:jc w:val="center"/>
              <w:rPr>
                <w:rFonts w:ascii="Lato" w:hAnsi="Lato"/>
                <w:sz w:val="22"/>
              </w:rPr>
            </w:pPr>
            <w:r>
              <w:rPr>
                <w:rFonts w:ascii="Lato" w:hAnsi="Lato"/>
                <w:sz w:val="22"/>
                <w:szCs w:val="22"/>
              </w:rPr>
              <w:t>7.562</w:t>
            </w:r>
          </w:p>
        </w:tc>
        <w:tc>
          <w:tcPr>
            <w:tcW w:w="1661" w:type="dxa"/>
          </w:tcPr>
          <w:p w14:paraId="0A24515F" w14:textId="77777777" w:rsidR="00C458BC" w:rsidRPr="00CA48B7" w:rsidRDefault="00CE28B8" w:rsidP="00F92208">
            <w:pPr>
              <w:jc w:val="center"/>
              <w:rPr>
                <w:rFonts w:ascii="Lato" w:hAnsi="Lato"/>
                <w:sz w:val="22"/>
              </w:rPr>
            </w:pPr>
            <w:r>
              <w:rPr>
                <w:rFonts w:ascii="Lato" w:hAnsi="Lato"/>
                <w:sz w:val="22"/>
                <w:szCs w:val="22"/>
              </w:rPr>
              <w:t>6.989</w:t>
            </w:r>
          </w:p>
        </w:tc>
        <w:tc>
          <w:tcPr>
            <w:tcW w:w="1661" w:type="dxa"/>
          </w:tcPr>
          <w:p w14:paraId="0A245160" w14:textId="77777777" w:rsidR="00C458BC" w:rsidRPr="00CA48B7" w:rsidRDefault="00DB3196">
            <w:pPr>
              <w:jc w:val="center"/>
              <w:rPr>
                <w:rFonts w:ascii="Lato" w:hAnsi="Lato"/>
                <w:color w:val="auto"/>
                <w:sz w:val="22"/>
              </w:rPr>
            </w:pPr>
            <w:r w:rsidRPr="00BD5E05">
              <w:rPr>
                <w:rFonts w:ascii="Lato" w:hAnsi="Lato"/>
                <w:color w:val="auto"/>
                <w:sz w:val="22"/>
                <w:szCs w:val="22"/>
              </w:rPr>
              <w:t>3</w:t>
            </w:r>
            <w:r w:rsidR="001B7FB5">
              <w:rPr>
                <w:rFonts w:ascii="Lato" w:hAnsi="Lato"/>
                <w:color w:val="auto"/>
                <w:sz w:val="22"/>
                <w:szCs w:val="22"/>
              </w:rPr>
              <w:t>4</w:t>
            </w:r>
            <w:r w:rsidR="00481AF4" w:rsidRPr="00BD5E05">
              <w:rPr>
                <w:rFonts w:ascii="Lato" w:hAnsi="Lato"/>
                <w:color w:val="auto"/>
                <w:sz w:val="22"/>
                <w:szCs w:val="22"/>
              </w:rPr>
              <w:t>.</w:t>
            </w:r>
            <w:r w:rsidR="00CE28B8">
              <w:rPr>
                <w:rFonts w:ascii="Lato" w:hAnsi="Lato"/>
                <w:color w:val="auto"/>
                <w:sz w:val="22"/>
                <w:szCs w:val="22"/>
              </w:rPr>
              <w:t>187</w:t>
            </w:r>
          </w:p>
        </w:tc>
      </w:tr>
      <w:tr w:rsidR="00985315" w:rsidRPr="00BD5E05" w14:paraId="0A245168" w14:textId="77777777" w:rsidTr="00D40B0E">
        <w:trPr>
          <w:trHeight w:val="250"/>
        </w:trPr>
        <w:tc>
          <w:tcPr>
            <w:tcW w:w="1936" w:type="dxa"/>
          </w:tcPr>
          <w:p w14:paraId="0A245162" w14:textId="77777777" w:rsidR="00985315" w:rsidRPr="00CA48B7" w:rsidRDefault="00A97329">
            <w:pPr>
              <w:contextualSpacing/>
              <w:rPr>
                <w:rFonts w:ascii="Lato" w:hAnsi="Lato"/>
                <w:sz w:val="22"/>
              </w:rPr>
            </w:pPr>
            <w:r>
              <w:rPr>
                <w:rFonts w:ascii="Lato" w:hAnsi="Lato"/>
                <w:sz w:val="22"/>
              </w:rPr>
              <w:t xml:space="preserve">2. </w:t>
            </w:r>
            <w:r w:rsidR="00985315">
              <w:rPr>
                <w:rFonts w:ascii="Lato" w:hAnsi="Lato"/>
                <w:sz w:val="22"/>
              </w:rPr>
              <w:t>Essentials</w:t>
            </w:r>
          </w:p>
        </w:tc>
        <w:tc>
          <w:tcPr>
            <w:tcW w:w="1661" w:type="dxa"/>
          </w:tcPr>
          <w:p w14:paraId="0A245163" w14:textId="77777777" w:rsidR="00985315" w:rsidRDefault="00985315" w:rsidP="006D1860">
            <w:pPr>
              <w:jc w:val="center"/>
              <w:rPr>
                <w:rFonts w:ascii="Lato" w:hAnsi="Lato"/>
                <w:sz w:val="22"/>
                <w:szCs w:val="22"/>
              </w:rPr>
            </w:pPr>
            <w:r>
              <w:rPr>
                <w:rFonts w:ascii="Lato" w:hAnsi="Lato"/>
                <w:sz w:val="22"/>
                <w:szCs w:val="22"/>
              </w:rPr>
              <w:t>0.000</w:t>
            </w:r>
          </w:p>
        </w:tc>
        <w:tc>
          <w:tcPr>
            <w:tcW w:w="1661" w:type="dxa"/>
          </w:tcPr>
          <w:p w14:paraId="0A245164" w14:textId="77777777" w:rsidR="00985315" w:rsidRDefault="00985315" w:rsidP="006D1860">
            <w:pPr>
              <w:jc w:val="center"/>
              <w:rPr>
                <w:rFonts w:ascii="Lato" w:hAnsi="Lato"/>
                <w:sz w:val="22"/>
                <w:szCs w:val="22"/>
              </w:rPr>
            </w:pPr>
            <w:r>
              <w:rPr>
                <w:rFonts w:ascii="Lato" w:hAnsi="Lato"/>
                <w:sz w:val="22"/>
                <w:szCs w:val="22"/>
              </w:rPr>
              <w:t>0.000</w:t>
            </w:r>
          </w:p>
        </w:tc>
        <w:tc>
          <w:tcPr>
            <w:tcW w:w="1661" w:type="dxa"/>
          </w:tcPr>
          <w:p w14:paraId="0A245165" w14:textId="77777777" w:rsidR="00985315" w:rsidRDefault="00985315" w:rsidP="006D1860">
            <w:pPr>
              <w:jc w:val="center"/>
              <w:rPr>
                <w:rFonts w:ascii="Lato" w:hAnsi="Lato"/>
                <w:sz w:val="22"/>
                <w:szCs w:val="22"/>
              </w:rPr>
            </w:pPr>
            <w:r>
              <w:rPr>
                <w:rFonts w:ascii="Lato" w:hAnsi="Lato"/>
                <w:sz w:val="22"/>
                <w:szCs w:val="22"/>
              </w:rPr>
              <w:t>0.000</w:t>
            </w:r>
          </w:p>
        </w:tc>
        <w:tc>
          <w:tcPr>
            <w:tcW w:w="1661" w:type="dxa"/>
          </w:tcPr>
          <w:p w14:paraId="0A245166" w14:textId="77777777" w:rsidR="00985315" w:rsidRDefault="00985315" w:rsidP="006D1860">
            <w:pPr>
              <w:jc w:val="center"/>
              <w:rPr>
                <w:rFonts w:ascii="Lato" w:hAnsi="Lato"/>
                <w:sz w:val="22"/>
                <w:szCs w:val="22"/>
              </w:rPr>
            </w:pPr>
            <w:r>
              <w:rPr>
                <w:rFonts w:ascii="Lato" w:hAnsi="Lato"/>
                <w:sz w:val="22"/>
                <w:szCs w:val="22"/>
              </w:rPr>
              <w:t>0.000</w:t>
            </w:r>
          </w:p>
        </w:tc>
        <w:tc>
          <w:tcPr>
            <w:tcW w:w="1661" w:type="dxa"/>
          </w:tcPr>
          <w:p w14:paraId="0A245167" w14:textId="77777777" w:rsidR="00985315" w:rsidRDefault="00985315" w:rsidP="00CD59D0">
            <w:pPr>
              <w:jc w:val="center"/>
              <w:rPr>
                <w:rFonts w:ascii="Lato" w:hAnsi="Lato"/>
                <w:color w:val="auto"/>
                <w:sz w:val="22"/>
                <w:szCs w:val="22"/>
              </w:rPr>
            </w:pPr>
            <w:r>
              <w:rPr>
                <w:rFonts w:ascii="Lato" w:hAnsi="Lato"/>
                <w:color w:val="auto"/>
                <w:sz w:val="22"/>
                <w:szCs w:val="22"/>
              </w:rPr>
              <w:t>0.000</w:t>
            </w:r>
          </w:p>
        </w:tc>
      </w:tr>
      <w:tr w:rsidR="00612001" w:rsidRPr="00BD5E05" w14:paraId="0A24516F" w14:textId="77777777" w:rsidTr="00D40B0E">
        <w:trPr>
          <w:trHeight w:val="250"/>
        </w:trPr>
        <w:tc>
          <w:tcPr>
            <w:tcW w:w="1936" w:type="dxa"/>
          </w:tcPr>
          <w:p w14:paraId="0A245169" w14:textId="77777777" w:rsidR="00C458BC" w:rsidRPr="00CA48B7" w:rsidRDefault="00A97329">
            <w:pPr>
              <w:contextualSpacing/>
              <w:rPr>
                <w:rFonts w:ascii="Lato" w:hAnsi="Lato"/>
                <w:sz w:val="22"/>
              </w:rPr>
            </w:pPr>
            <w:r>
              <w:rPr>
                <w:rFonts w:ascii="Lato" w:hAnsi="Lato"/>
                <w:sz w:val="22"/>
              </w:rPr>
              <w:t xml:space="preserve">3. </w:t>
            </w:r>
            <w:r w:rsidR="00C458BC" w:rsidRPr="00CA48B7">
              <w:rPr>
                <w:rFonts w:ascii="Lato" w:hAnsi="Lato"/>
                <w:sz w:val="22"/>
              </w:rPr>
              <w:t>Pathways</w:t>
            </w:r>
          </w:p>
        </w:tc>
        <w:tc>
          <w:tcPr>
            <w:tcW w:w="1661" w:type="dxa"/>
          </w:tcPr>
          <w:p w14:paraId="0A24516A" w14:textId="77777777" w:rsidR="00C458BC" w:rsidRPr="00CA48B7" w:rsidRDefault="00CE28B8" w:rsidP="006D1860">
            <w:pPr>
              <w:jc w:val="center"/>
              <w:rPr>
                <w:rFonts w:ascii="Lato" w:hAnsi="Lato"/>
                <w:sz w:val="22"/>
              </w:rPr>
            </w:pPr>
            <w:r>
              <w:rPr>
                <w:rFonts w:ascii="Lato" w:hAnsi="Lato"/>
                <w:sz w:val="22"/>
                <w:szCs w:val="22"/>
              </w:rPr>
              <w:t>4.491</w:t>
            </w:r>
          </w:p>
        </w:tc>
        <w:tc>
          <w:tcPr>
            <w:tcW w:w="1661" w:type="dxa"/>
          </w:tcPr>
          <w:p w14:paraId="0A24516B" w14:textId="77777777" w:rsidR="00C458BC" w:rsidRPr="00CA48B7" w:rsidRDefault="00CE28B8" w:rsidP="006D1860">
            <w:pPr>
              <w:jc w:val="center"/>
              <w:rPr>
                <w:rFonts w:ascii="Lato" w:hAnsi="Lato"/>
                <w:sz w:val="22"/>
              </w:rPr>
            </w:pPr>
            <w:r>
              <w:rPr>
                <w:rFonts w:ascii="Lato" w:hAnsi="Lato"/>
                <w:sz w:val="22"/>
                <w:szCs w:val="22"/>
              </w:rPr>
              <w:t>4.896</w:t>
            </w:r>
          </w:p>
        </w:tc>
        <w:tc>
          <w:tcPr>
            <w:tcW w:w="1661" w:type="dxa"/>
          </w:tcPr>
          <w:p w14:paraId="0A24516C" w14:textId="77777777" w:rsidR="00C458BC" w:rsidRPr="00CA48B7" w:rsidRDefault="00CE28B8" w:rsidP="006D1860">
            <w:pPr>
              <w:jc w:val="center"/>
              <w:rPr>
                <w:rFonts w:ascii="Lato" w:hAnsi="Lato"/>
                <w:sz w:val="22"/>
              </w:rPr>
            </w:pPr>
            <w:r>
              <w:rPr>
                <w:rFonts w:ascii="Lato" w:hAnsi="Lato"/>
                <w:sz w:val="22"/>
                <w:szCs w:val="22"/>
              </w:rPr>
              <w:t>3.020</w:t>
            </w:r>
          </w:p>
        </w:tc>
        <w:tc>
          <w:tcPr>
            <w:tcW w:w="1661" w:type="dxa"/>
          </w:tcPr>
          <w:p w14:paraId="0A24516D" w14:textId="77777777" w:rsidR="00C458BC" w:rsidRPr="00CA48B7" w:rsidRDefault="00CE28B8" w:rsidP="006D1860">
            <w:pPr>
              <w:jc w:val="center"/>
              <w:rPr>
                <w:rFonts w:ascii="Lato" w:hAnsi="Lato"/>
                <w:sz w:val="22"/>
              </w:rPr>
            </w:pPr>
            <w:r>
              <w:rPr>
                <w:rFonts w:ascii="Lato" w:hAnsi="Lato"/>
                <w:sz w:val="22"/>
                <w:szCs w:val="22"/>
              </w:rPr>
              <w:t>3.089</w:t>
            </w:r>
          </w:p>
        </w:tc>
        <w:tc>
          <w:tcPr>
            <w:tcW w:w="1661" w:type="dxa"/>
          </w:tcPr>
          <w:p w14:paraId="0A24516E" w14:textId="77777777" w:rsidR="00C458BC" w:rsidRPr="00CA48B7" w:rsidRDefault="00CE28B8" w:rsidP="00CD59D0">
            <w:pPr>
              <w:jc w:val="center"/>
              <w:rPr>
                <w:rFonts w:ascii="Lato" w:hAnsi="Lato"/>
                <w:color w:val="auto"/>
                <w:sz w:val="22"/>
              </w:rPr>
            </w:pPr>
            <w:r>
              <w:rPr>
                <w:rFonts w:ascii="Lato" w:hAnsi="Lato"/>
                <w:color w:val="auto"/>
                <w:sz w:val="22"/>
                <w:szCs w:val="22"/>
              </w:rPr>
              <w:t>15.496</w:t>
            </w:r>
          </w:p>
        </w:tc>
      </w:tr>
      <w:tr w:rsidR="00612001" w:rsidRPr="00BD5E05" w14:paraId="0A245176" w14:textId="77777777" w:rsidTr="00D40B0E">
        <w:trPr>
          <w:trHeight w:val="250"/>
        </w:trPr>
        <w:tc>
          <w:tcPr>
            <w:tcW w:w="1936" w:type="dxa"/>
          </w:tcPr>
          <w:p w14:paraId="0A245170" w14:textId="77777777" w:rsidR="006E1ED6" w:rsidRPr="00CA48B7" w:rsidRDefault="00A97329">
            <w:pPr>
              <w:contextualSpacing/>
              <w:rPr>
                <w:rFonts w:ascii="Lato" w:hAnsi="Lato"/>
                <w:sz w:val="22"/>
              </w:rPr>
            </w:pPr>
            <w:r>
              <w:rPr>
                <w:rFonts w:ascii="Lato" w:hAnsi="Lato"/>
                <w:sz w:val="22"/>
              </w:rPr>
              <w:t xml:space="preserve">4. </w:t>
            </w:r>
            <w:r w:rsidR="006E1ED6" w:rsidRPr="00CA48B7">
              <w:rPr>
                <w:rFonts w:ascii="Lato" w:hAnsi="Lato"/>
                <w:sz w:val="22"/>
              </w:rPr>
              <w:t>Engagement</w:t>
            </w:r>
          </w:p>
        </w:tc>
        <w:tc>
          <w:tcPr>
            <w:tcW w:w="1661" w:type="dxa"/>
          </w:tcPr>
          <w:p w14:paraId="0A245171" w14:textId="77777777" w:rsidR="006E1ED6" w:rsidRPr="00CA48B7" w:rsidRDefault="00CE28B8" w:rsidP="006D1860">
            <w:pPr>
              <w:jc w:val="center"/>
              <w:rPr>
                <w:rFonts w:ascii="Lato" w:hAnsi="Lato"/>
                <w:sz w:val="22"/>
              </w:rPr>
            </w:pPr>
            <w:r>
              <w:rPr>
                <w:rFonts w:ascii="Lato" w:hAnsi="Lato"/>
                <w:sz w:val="22"/>
                <w:szCs w:val="22"/>
              </w:rPr>
              <w:t>3.887</w:t>
            </w:r>
          </w:p>
        </w:tc>
        <w:tc>
          <w:tcPr>
            <w:tcW w:w="1661" w:type="dxa"/>
          </w:tcPr>
          <w:p w14:paraId="0A245172" w14:textId="77777777" w:rsidR="006E1ED6" w:rsidRPr="00CA48B7" w:rsidRDefault="00CE28B8" w:rsidP="00964AFD">
            <w:pPr>
              <w:jc w:val="center"/>
              <w:rPr>
                <w:rFonts w:ascii="Lato" w:hAnsi="Lato"/>
                <w:sz w:val="22"/>
              </w:rPr>
            </w:pPr>
            <w:r>
              <w:rPr>
                <w:rFonts w:ascii="Lato" w:hAnsi="Lato"/>
                <w:sz w:val="22"/>
                <w:szCs w:val="22"/>
              </w:rPr>
              <w:t>3.899</w:t>
            </w:r>
          </w:p>
        </w:tc>
        <w:tc>
          <w:tcPr>
            <w:tcW w:w="1661" w:type="dxa"/>
          </w:tcPr>
          <w:p w14:paraId="0A245173" w14:textId="77777777" w:rsidR="006E1ED6" w:rsidRPr="00CA48B7" w:rsidRDefault="00CE28B8" w:rsidP="00964AFD">
            <w:pPr>
              <w:jc w:val="center"/>
              <w:rPr>
                <w:rFonts w:ascii="Lato" w:hAnsi="Lato"/>
                <w:sz w:val="22"/>
              </w:rPr>
            </w:pPr>
            <w:r>
              <w:rPr>
                <w:rFonts w:ascii="Lato" w:hAnsi="Lato"/>
                <w:sz w:val="22"/>
                <w:szCs w:val="22"/>
              </w:rPr>
              <w:t>3.980</w:t>
            </w:r>
          </w:p>
        </w:tc>
        <w:tc>
          <w:tcPr>
            <w:tcW w:w="1661" w:type="dxa"/>
          </w:tcPr>
          <w:p w14:paraId="0A245174" w14:textId="77777777" w:rsidR="006E1ED6" w:rsidRPr="00CA48B7" w:rsidRDefault="00CE28B8" w:rsidP="00964AFD">
            <w:pPr>
              <w:jc w:val="center"/>
              <w:rPr>
                <w:rFonts w:ascii="Lato" w:hAnsi="Lato"/>
                <w:sz w:val="22"/>
              </w:rPr>
            </w:pPr>
            <w:r>
              <w:rPr>
                <w:rFonts w:ascii="Lato" w:hAnsi="Lato"/>
                <w:sz w:val="22"/>
                <w:szCs w:val="22"/>
              </w:rPr>
              <w:t>3.154</w:t>
            </w:r>
          </w:p>
        </w:tc>
        <w:tc>
          <w:tcPr>
            <w:tcW w:w="1661" w:type="dxa"/>
          </w:tcPr>
          <w:p w14:paraId="0A245175" w14:textId="77777777" w:rsidR="006E1ED6" w:rsidRPr="00CA48B7" w:rsidRDefault="00CE28B8" w:rsidP="00CD59D0">
            <w:pPr>
              <w:jc w:val="center"/>
              <w:rPr>
                <w:rFonts w:ascii="Lato" w:hAnsi="Lato"/>
                <w:color w:val="auto"/>
                <w:sz w:val="22"/>
              </w:rPr>
            </w:pPr>
            <w:r>
              <w:rPr>
                <w:rFonts w:ascii="Lato" w:hAnsi="Lato"/>
                <w:color w:val="auto"/>
                <w:sz w:val="22"/>
                <w:szCs w:val="22"/>
              </w:rPr>
              <w:t>14.92</w:t>
            </w:r>
            <w:r w:rsidR="00AC0477">
              <w:rPr>
                <w:rFonts w:ascii="Lato" w:hAnsi="Lato"/>
                <w:color w:val="auto"/>
                <w:sz w:val="22"/>
                <w:szCs w:val="22"/>
              </w:rPr>
              <w:t>0</w:t>
            </w:r>
          </w:p>
        </w:tc>
      </w:tr>
      <w:tr w:rsidR="00612001" w:rsidRPr="00BD5E05" w14:paraId="0A24517D" w14:textId="77777777" w:rsidTr="00D40B0E">
        <w:trPr>
          <w:trHeight w:val="261"/>
        </w:trPr>
        <w:tc>
          <w:tcPr>
            <w:tcW w:w="1936" w:type="dxa"/>
          </w:tcPr>
          <w:p w14:paraId="0A245177" w14:textId="77777777" w:rsidR="00C458BC" w:rsidRPr="00CA48B7" w:rsidRDefault="00A97329">
            <w:pPr>
              <w:contextualSpacing/>
              <w:rPr>
                <w:rFonts w:ascii="Lato" w:hAnsi="Lato"/>
                <w:sz w:val="22"/>
              </w:rPr>
            </w:pPr>
            <w:r>
              <w:rPr>
                <w:rFonts w:ascii="Lato" w:hAnsi="Lato"/>
                <w:sz w:val="22"/>
              </w:rPr>
              <w:t xml:space="preserve">5. </w:t>
            </w:r>
            <w:r w:rsidR="00C458BC" w:rsidRPr="00CA48B7">
              <w:rPr>
                <w:rFonts w:ascii="Lato" w:hAnsi="Lato"/>
                <w:sz w:val="22"/>
              </w:rPr>
              <w:t>Workforce</w:t>
            </w:r>
          </w:p>
        </w:tc>
        <w:tc>
          <w:tcPr>
            <w:tcW w:w="1661" w:type="dxa"/>
          </w:tcPr>
          <w:p w14:paraId="0A245178" w14:textId="77777777" w:rsidR="00C458BC" w:rsidRPr="00CA48B7" w:rsidRDefault="004F50D8" w:rsidP="006D1860">
            <w:pPr>
              <w:jc w:val="center"/>
              <w:rPr>
                <w:rFonts w:ascii="Lato" w:hAnsi="Lato"/>
                <w:sz w:val="22"/>
              </w:rPr>
            </w:pPr>
            <w:r w:rsidRPr="00BD5E05">
              <w:rPr>
                <w:rFonts w:ascii="Lato" w:hAnsi="Lato"/>
                <w:sz w:val="22"/>
                <w:szCs w:val="22"/>
              </w:rPr>
              <w:t>5</w:t>
            </w:r>
            <w:r w:rsidR="00CE28B8">
              <w:rPr>
                <w:rFonts w:ascii="Lato" w:hAnsi="Lato"/>
                <w:sz w:val="22"/>
                <w:szCs w:val="22"/>
              </w:rPr>
              <w:t>.349</w:t>
            </w:r>
          </w:p>
        </w:tc>
        <w:tc>
          <w:tcPr>
            <w:tcW w:w="1661" w:type="dxa"/>
          </w:tcPr>
          <w:p w14:paraId="0A245179" w14:textId="77777777" w:rsidR="00C458BC" w:rsidRPr="00CA48B7" w:rsidRDefault="00CE28B8" w:rsidP="006D1860">
            <w:pPr>
              <w:jc w:val="center"/>
              <w:rPr>
                <w:rFonts w:ascii="Lato" w:hAnsi="Lato"/>
                <w:sz w:val="22"/>
              </w:rPr>
            </w:pPr>
            <w:r>
              <w:rPr>
                <w:rFonts w:ascii="Lato" w:hAnsi="Lato"/>
                <w:sz w:val="22"/>
                <w:szCs w:val="22"/>
              </w:rPr>
              <w:t>5.438</w:t>
            </w:r>
          </w:p>
        </w:tc>
        <w:tc>
          <w:tcPr>
            <w:tcW w:w="1661" w:type="dxa"/>
          </w:tcPr>
          <w:p w14:paraId="0A24517A" w14:textId="77777777" w:rsidR="00C458BC" w:rsidRPr="00CA48B7" w:rsidRDefault="00CE28B8" w:rsidP="00833711">
            <w:pPr>
              <w:jc w:val="center"/>
              <w:rPr>
                <w:rFonts w:ascii="Lato" w:hAnsi="Lato"/>
                <w:sz w:val="22"/>
              </w:rPr>
            </w:pPr>
            <w:r>
              <w:rPr>
                <w:rFonts w:ascii="Lato" w:hAnsi="Lato"/>
                <w:sz w:val="22"/>
                <w:szCs w:val="22"/>
              </w:rPr>
              <w:t>4.001</w:t>
            </w:r>
          </w:p>
        </w:tc>
        <w:tc>
          <w:tcPr>
            <w:tcW w:w="1661" w:type="dxa"/>
          </w:tcPr>
          <w:p w14:paraId="0A24517B" w14:textId="77777777" w:rsidR="00C458BC" w:rsidRPr="00CA48B7" w:rsidRDefault="00CE28B8" w:rsidP="006D1860">
            <w:pPr>
              <w:jc w:val="center"/>
              <w:rPr>
                <w:rFonts w:ascii="Lato" w:hAnsi="Lato"/>
                <w:sz w:val="22"/>
              </w:rPr>
            </w:pPr>
            <w:r>
              <w:rPr>
                <w:rFonts w:ascii="Lato" w:hAnsi="Lato"/>
                <w:sz w:val="22"/>
                <w:szCs w:val="22"/>
              </w:rPr>
              <w:t>3.994</w:t>
            </w:r>
          </w:p>
        </w:tc>
        <w:tc>
          <w:tcPr>
            <w:tcW w:w="1661" w:type="dxa"/>
          </w:tcPr>
          <w:p w14:paraId="0A24517C" w14:textId="77777777" w:rsidR="00C458BC" w:rsidRPr="00CA48B7" w:rsidRDefault="00CE28B8" w:rsidP="00CD59D0">
            <w:pPr>
              <w:jc w:val="center"/>
              <w:rPr>
                <w:rFonts w:ascii="Lato" w:hAnsi="Lato"/>
                <w:color w:val="auto"/>
                <w:sz w:val="22"/>
              </w:rPr>
            </w:pPr>
            <w:r>
              <w:rPr>
                <w:rFonts w:ascii="Lato" w:hAnsi="Lato"/>
                <w:color w:val="auto"/>
                <w:sz w:val="22"/>
                <w:szCs w:val="22"/>
              </w:rPr>
              <w:t>18.782</w:t>
            </w:r>
          </w:p>
        </w:tc>
      </w:tr>
      <w:tr w:rsidR="00612001" w:rsidRPr="00BD5E05" w14:paraId="0A245184" w14:textId="77777777" w:rsidTr="00D40B0E">
        <w:trPr>
          <w:trHeight w:val="261"/>
        </w:trPr>
        <w:tc>
          <w:tcPr>
            <w:tcW w:w="1936" w:type="dxa"/>
          </w:tcPr>
          <w:p w14:paraId="0A24517E" w14:textId="77777777" w:rsidR="00C458BC" w:rsidRPr="00CA48B7" w:rsidRDefault="00A97329" w:rsidP="006D1860">
            <w:pPr>
              <w:rPr>
                <w:rFonts w:ascii="Lato" w:hAnsi="Lato"/>
                <w:sz w:val="22"/>
              </w:rPr>
            </w:pPr>
            <w:r>
              <w:rPr>
                <w:rFonts w:ascii="Lato" w:hAnsi="Lato"/>
                <w:sz w:val="22"/>
              </w:rPr>
              <w:t xml:space="preserve">5a. </w:t>
            </w:r>
            <w:r w:rsidR="00C458BC" w:rsidRPr="00163D91">
              <w:rPr>
                <w:rFonts w:ascii="Lato" w:hAnsi="Lato"/>
                <w:sz w:val="22"/>
              </w:rPr>
              <w:t>Workforce capital</w:t>
            </w:r>
            <w:r w:rsidR="000E6FFC" w:rsidRPr="00163D91">
              <w:rPr>
                <w:rFonts w:ascii="Lato" w:hAnsi="Lato"/>
                <w:sz w:val="22"/>
              </w:rPr>
              <w:t>*</w:t>
            </w:r>
          </w:p>
        </w:tc>
        <w:tc>
          <w:tcPr>
            <w:tcW w:w="1661" w:type="dxa"/>
          </w:tcPr>
          <w:p w14:paraId="0A24517F" w14:textId="77777777" w:rsidR="00C458BC" w:rsidRPr="00CA48B7" w:rsidRDefault="00C23C42" w:rsidP="006D1860">
            <w:pPr>
              <w:jc w:val="center"/>
              <w:rPr>
                <w:rFonts w:ascii="Lato" w:hAnsi="Lato"/>
                <w:sz w:val="22"/>
              </w:rPr>
            </w:pPr>
            <w:r w:rsidRPr="00BD5E05">
              <w:rPr>
                <w:rFonts w:ascii="Lato" w:hAnsi="Lato"/>
                <w:sz w:val="22"/>
                <w:szCs w:val="22"/>
              </w:rPr>
              <w:t>3.8</w:t>
            </w:r>
            <w:r w:rsidR="0075438A">
              <w:rPr>
                <w:rFonts w:ascii="Lato" w:hAnsi="Lato"/>
                <w:sz w:val="22"/>
                <w:szCs w:val="22"/>
              </w:rPr>
              <w:t>00</w:t>
            </w:r>
          </w:p>
        </w:tc>
        <w:tc>
          <w:tcPr>
            <w:tcW w:w="1661" w:type="dxa"/>
          </w:tcPr>
          <w:p w14:paraId="0A245180" w14:textId="77777777" w:rsidR="00C458BC" w:rsidRPr="00CA48B7" w:rsidRDefault="00C23C42" w:rsidP="006D1860">
            <w:pPr>
              <w:jc w:val="center"/>
              <w:rPr>
                <w:rFonts w:ascii="Lato" w:hAnsi="Lato"/>
                <w:sz w:val="22"/>
              </w:rPr>
            </w:pPr>
            <w:r w:rsidRPr="00BD5E05">
              <w:rPr>
                <w:rFonts w:ascii="Lato" w:hAnsi="Lato"/>
                <w:sz w:val="22"/>
                <w:szCs w:val="22"/>
              </w:rPr>
              <w:t>3.8</w:t>
            </w:r>
            <w:r w:rsidR="0075438A">
              <w:rPr>
                <w:rFonts w:ascii="Lato" w:hAnsi="Lato"/>
                <w:sz w:val="22"/>
                <w:szCs w:val="22"/>
              </w:rPr>
              <w:t>00</w:t>
            </w:r>
          </w:p>
        </w:tc>
        <w:tc>
          <w:tcPr>
            <w:tcW w:w="1661" w:type="dxa"/>
          </w:tcPr>
          <w:p w14:paraId="0A245181" w14:textId="77777777" w:rsidR="00C458BC" w:rsidRPr="00CA48B7" w:rsidRDefault="00C23C42" w:rsidP="00833711">
            <w:pPr>
              <w:jc w:val="center"/>
              <w:rPr>
                <w:rFonts w:ascii="Lato" w:hAnsi="Lato"/>
                <w:sz w:val="22"/>
              </w:rPr>
            </w:pPr>
            <w:r w:rsidRPr="00BD5E05">
              <w:rPr>
                <w:rFonts w:ascii="Lato" w:hAnsi="Lato"/>
                <w:sz w:val="22"/>
                <w:szCs w:val="22"/>
              </w:rPr>
              <w:t>3.</w:t>
            </w:r>
            <w:r w:rsidR="0021159F" w:rsidRPr="00BD5E05">
              <w:rPr>
                <w:rFonts w:ascii="Lato" w:hAnsi="Lato"/>
                <w:sz w:val="22"/>
                <w:szCs w:val="22"/>
              </w:rPr>
              <w:t>8</w:t>
            </w:r>
            <w:r w:rsidR="0075438A">
              <w:rPr>
                <w:rFonts w:ascii="Lato" w:hAnsi="Lato"/>
                <w:sz w:val="22"/>
                <w:szCs w:val="22"/>
              </w:rPr>
              <w:t>00</w:t>
            </w:r>
          </w:p>
        </w:tc>
        <w:tc>
          <w:tcPr>
            <w:tcW w:w="1661" w:type="dxa"/>
          </w:tcPr>
          <w:p w14:paraId="0A245182" w14:textId="77777777" w:rsidR="00C458BC" w:rsidRPr="00CA48B7" w:rsidRDefault="00DB3196" w:rsidP="00833711">
            <w:pPr>
              <w:jc w:val="center"/>
              <w:rPr>
                <w:rFonts w:ascii="Lato" w:hAnsi="Lato"/>
                <w:sz w:val="22"/>
              </w:rPr>
            </w:pPr>
            <w:r w:rsidRPr="00BD5E05">
              <w:rPr>
                <w:rFonts w:ascii="Lato" w:hAnsi="Lato"/>
                <w:sz w:val="22"/>
                <w:szCs w:val="22"/>
              </w:rPr>
              <w:t>3.</w:t>
            </w:r>
            <w:r w:rsidR="00833711" w:rsidRPr="00BD5E05">
              <w:rPr>
                <w:rFonts w:ascii="Lato" w:hAnsi="Lato"/>
                <w:sz w:val="22"/>
                <w:szCs w:val="22"/>
              </w:rPr>
              <w:t>8</w:t>
            </w:r>
            <w:r w:rsidR="0075438A">
              <w:rPr>
                <w:rFonts w:ascii="Lato" w:hAnsi="Lato"/>
                <w:sz w:val="22"/>
                <w:szCs w:val="22"/>
              </w:rPr>
              <w:t>00</w:t>
            </w:r>
          </w:p>
        </w:tc>
        <w:tc>
          <w:tcPr>
            <w:tcW w:w="1661" w:type="dxa"/>
          </w:tcPr>
          <w:p w14:paraId="0A245183" w14:textId="77777777" w:rsidR="00C458BC" w:rsidRPr="00CA48B7" w:rsidRDefault="00DB3196" w:rsidP="0021159F">
            <w:pPr>
              <w:jc w:val="center"/>
              <w:rPr>
                <w:rFonts w:ascii="Lato" w:hAnsi="Lato"/>
                <w:color w:val="auto"/>
                <w:sz w:val="22"/>
              </w:rPr>
            </w:pPr>
            <w:r w:rsidRPr="00BD5E05">
              <w:rPr>
                <w:rFonts w:ascii="Lato" w:hAnsi="Lato"/>
                <w:color w:val="auto"/>
                <w:sz w:val="22"/>
                <w:szCs w:val="22"/>
              </w:rPr>
              <w:t>1</w:t>
            </w:r>
            <w:r w:rsidR="0021159F" w:rsidRPr="00BD5E05">
              <w:rPr>
                <w:rFonts w:ascii="Lato" w:hAnsi="Lato"/>
                <w:color w:val="auto"/>
                <w:sz w:val="22"/>
                <w:szCs w:val="22"/>
              </w:rPr>
              <w:t>5.2</w:t>
            </w:r>
            <w:r w:rsidR="008349B0" w:rsidRPr="00BD5E05">
              <w:rPr>
                <w:rFonts w:ascii="Lato" w:hAnsi="Lato"/>
                <w:color w:val="auto"/>
                <w:sz w:val="22"/>
                <w:szCs w:val="22"/>
              </w:rPr>
              <w:t>00</w:t>
            </w:r>
          </w:p>
        </w:tc>
      </w:tr>
      <w:tr w:rsidR="00612001" w:rsidRPr="00BD5E05" w14:paraId="0A24518B" w14:textId="77777777" w:rsidTr="00D40B0E">
        <w:trPr>
          <w:trHeight w:val="261"/>
        </w:trPr>
        <w:tc>
          <w:tcPr>
            <w:tcW w:w="1936" w:type="dxa"/>
          </w:tcPr>
          <w:p w14:paraId="0A245185" w14:textId="77777777" w:rsidR="00C458BC" w:rsidRPr="00CA48B7" w:rsidRDefault="00C458BC" w:rsidP="006D1860">
            <w:pPr>
              <w:rPr>
                <w:rFonts w:ascii="Lato" w:hAnsi="Lato"/>
                <w:sz w:val="22"/>
              </w:rPr>
            </w:pPr>
            <w:r w:rsidRPr="00CA48B7">
              <w:rPr>
                <w:rFonts w:ascii="Lato" w:hAnsi="Lato"/>
                <w:sz w:val="22"/>
              </w:rPr>
              <w:t>Sub – Total (1)+(2)+(3)+(4) +(5+5a)</w:t>
            </w:r>
          </w:p>
        </w:tc>
        <w:tc>
          <w:tcPr>
            <w:tcW w:w="1661" w:type="dxa"/>
          </w:tcPr>
          <w:p w14:paraId="0A245186" w14:textId="77777777" w:rsidR="00C458BC" w:rsidRPr="00CA48B7" w:rsidRDefault="00833711" w:rsidP="0075438A">
            <w:pPr>
              <w:jc w:val="center"/>
              <w:rPr>
                <w:rFonts w:ascii="Lato" w:hAnsi="Lato"/>
                <w:sz w:val="22"/>
              </w:rPr>
            </w:pPr>
            <w:r w:rsidRPr="00BD5E05">
              <w:rPr>
                <w:rFonts w:ascii="Lato" w:hAnsi="Lato"/>
                <w:sz w:val="22"/>
                <w:szCs w:val="22"/>
              </w:rPr>
              <w:t>2</w:t>
            </w:r>
            <w:r w:rsidR="0075438A">
              <w:rPr>
                <w:rFonts w:ascii="Lato" w:hAnsi="Lato"/>
                <w:sz w:val="22"/>
                <w:szCs w:val="22"/>
              </w:rPr>
              <w:t>7</w:t>
            </w:r>
            <w:r w:rsidRPr="00BD5E05">
              <w:rPr>
                <w:rFonts w:ascii="Lato" w:hAnsi="Lato"/>
                <w:sz w:val="22"/>
                <w:szCs w:val="22"/>
              </w:rPr>
              <w:t>.</w:t>
            </w:r>
            <w:r w:rsidR="0075438A">
              <w:rPr>
                <w:rFonts w:ascii="Lato" w:hAnsi="Lato"/>
                <w:sz w:val="22"/>
                <w:szCs w:val="22"/>
              </w:rPr>
              <w:t>212</w:t>
            </w:r>
          </w:p>
        </w:tc>
        <w:tc>
          <w:tcPr>
            <w:tcW w:w="1661" w:type="dxa"/>
          </w:tcPr>
          <w:p w14:paraId="0A245187" w14:textId="77777777" w:rsidR="00C458BC" w:rsidRPr="00CA48B7" w:rsidRDefault="005B7E19" w:rsidP="00833711">
            <w:pPr>
              <w:jc w:val="center"/>
              <w:rPr>
                <w:rFonts w:ascii="Lato" w:hAnsi="Lato"/>
                <w:sz w:val="22"/>
              </w:rPr>
            </w:pPr>
            <w:r w:rsidRPr="00BD5E05">
              <w:rPr>
                <w:rFonts w:ascii="Lato" w:hAnsi="Lato"/>
                <w:sz w:val="22"/>
                <w:szCs w:val="22"/>
              </w:rPr>
              <w:t>2</w:t>
            </w:r>
            <w:r w:rsidR="0075438A">
              <w:rPr>
                <w:rFonts w:ascii="Lato" w:hAnsi="Lato"/>
                <w:sz w:val="22"/>
                <w:szCs w:val="22"/>
              </w:rPr>
              <w:t>7.984</w:t>
            </w:r>
          </w:p>
        </w:tc>
        <w:tc>
          <w:tcPr>
            <w:tcW w:w="1661" w:type="dxa"/>
          </w:tcPr>
          <w:p w14:paraId="0A245188" w14:textId="77777777" w:rsidR="00C458BC" w:rsidRPr="00CA48B7" w:rsidRDefault="0075438A">
            <w:pPr>
              <w:jc w:val="center"/>
              <w:rPr>
                <w:rFonts w:ascii="Lato" w:hAnsi="Lato"/>
                <w:sz w:val="22"/>
              </w:rPr>
            </w:pPr>
            <w:r>
              <w:rPr>
                <w:rFonts w:ascii="Lato" w:hAnsi="Lato"/>
                <w:sz w:val="22"/>
                <w:szCs w:val="22"/>
              </w:rPr>
              <w:t>22.363</w:t>
            </w:r>
          </w:p>
        </w:tc>
        <w:tc>
          <w:tcPr>
            <w:tcW w:w="1661" w:type="dxa"/>
          </w:tcPr>
          <w:p w14:paraId="0A245189" w14:textId="77777777" w:rsidR="00C458BC" w:rsidRPr="00CA48B7" w:rsidRDefault="0075438A" w:rsidP="00C0573A">
            <w:pPr>
              <w:jc w:val="center"/>
              <w:rPr>
                <w:rFonts w:ascii="Lato" w:hAnsi="Lato"/>
                <w:sz w:val="22"/>
              </w:rPr>
            </w:pPr>
            <w:r>
              <w:rPr>
                <w:rFonts w:ascii="Lato" w:hAnsi="Lato"/>
                <w:sz w:val="22"/>
                <w:szCs w:val="22"/>
              </w:rPr>
              <w:t>21.026</w:t>
            </w:r>
          </w:p>
        </w:tc>
        <w:tc>
          <w:tcPr>
            <w:tcW w:w="1661" w:type="dxa"/>
          </w:tcPr>
          <w:p w14:paraId="0A24518A" w14:textId="77777777" w:rsidR="00C458BC" w:rsidRPr="00CA48B7" w:rsidRDefault="00027D02">
            <w:pPr>
              <w:jc w:val="center"/>
              <w:rPr>
                <w:rFonts w:ascii="Lato" w:hAnsi="Lato"/>
                <w:color w:val="auto"/>
                <w:sz w:val="22"/>
              </w:rPr>
            </w:pPr>
            <w:r w:rsidRPr="00CA48B7">
              <w:rPr>
                <w:rFonts w:ascii="Lato" w:hAnsi="Lato"/>
                <w:color w:val="auto"/>
                <w:sz w:val="22"/>
              </w:rPr>
              <w:t>9</w:t>
            </w:r>
            <w:r w:rsidR="001B7FB5">
              <w:rPr>
                <w:rFonts w:ascii="Lato" w:hAnsi="Lato"/>
                <w:color w:val="auto"/>
                <w:sz w:val="22"/>
              </w:rPr>
              <w:t>8</w:t>
            </w:r>
            <w:r w:rsidRPr="00CA48B7">
              <w:rPr>
                <w:rFonts w:ascii="Lato" w:hAnsi="Lato"/>
                <w:color w:val="auto"/>
                <w:sz w:val="22"/>
              </w:rPr>
              <w:t>.</w:t>
            </w:r>
            <w:r w:rsidR="00CE28B8">
              <w:rPr>
                <w:rFonts w:ascii="Lato" w:hAnsi="Lato"/>
                <w:color w:val="auto"/>
                <w:sz w:val="22"/>
              </w:rPr>
              <w:t>585</w:t>
            </w:r>
          </w:p>
        </w:tc>
      </w:tr>
      <w:tr w:rsidR="00612001" w:rsidRPr="00BD5E05" w14:paraId="0A245192" w14:textId="77777777" w:rsidTr="00D40B0E">
        <w:trPr>
          <w:trHeight w:val="261"/>
        </w:trPr>
        <w:tc>
          <w:tcPr>
            <w:tcW w:w="1936" w:type="dxa"/>
          </w:tcPr>
          <w:p w14:paraId="0A24518C" w14:textId="77777777" w:rsidR="00C458BC" w:rsidRPr="00CA48B7" w:rsidRDefault="00A97329" w:rsidP="00CA48B7">
            <w:pPr>
              <w:contextualSpacing/>
              <w:rPr>
                <w:rFonts w:ascii="Lato" w:hAnsi="Lato"/>
                <w:sz w:val="22"/>
              </w:rPr>
            </w:pPr>
            <w:r>
              <w:rPr>
                <w:rFonts w:ascii="Lato" w:hAnsi="Lato"/>
                <w:sz w:val="22"/>
              </w:rPr>
              <w:t xml:space="preserve">6. </w:t>
            </w:r>
            <w:r w:rsidR="00C458BC" w:rsidRPr="00CA48B7">
              <w:rPr>
                <w:rFonts w:ascii="Lato" w:hAnsi="Lato"/>
                <w:sz w:val="22"/>
              </w:rPr>
              <w:t>Performance benchmarks</w:t>
            </w:r>
            <w:r w:rsidR="001B7FB5">
              <w:rPr>
                <w:rFonts w:ascii="Lato" w:hAnsi="Lato"/>
                <w:sz w:val="22"/>
              </w:rPr>
              <w:t xml:space="preserve"> </w:t>
            </w:r>
          </w:p>
        </w:tc>
        <w:tc>
          <w:tcPr>
            <w:tcW w:w="1661" w:type="dxa"/>
          </w:tcPr>
          <w:p w14:paraId="0A24518D" w14:textId="77777777" w:rsidR="00C458BC" w:rsidRPr="008D7145" w:rsidRDefault="00833711" w:rsidP="00CD59D0">
            <w:pPr>
              <w:jc w:val="center"/>
              <w:rPr>
                <w:rFonts w:ascii="Lato" w:hAnsi="Lato"/>
                <w:sz w:val="22"/>
              </w:rPr>
            </w:pPr>
            <w:r w:rsidRPr="00CA48B7">
              <w:rPr>
                <w:rFonts w:ascii="Lato" w:hAnsi="Lato"/>
                <w:sz w:val="22"/>
              </w:rPr>
              <w:t>3.</w:t>
            </w:r>
            <w:r w:rsidR="00E15EBE">
              <w:rPr>
                <w:rFonts w:ascii="Lato" w:hAnsi="Lato"/>
                <w:sz w:val="22"/>
              </w:rPr>
              <w:t>71</w:t>
            </w:r>
            <w:r w:rsidR="0075438A">
              <w:rPr>
                <w:rFonts w:ascii="Lato" w:hAnsi="Lato"/>
                <w:sz w:val="22"/>
              </w:rPr>
              <w:t>0</w:t>
            </w:r>
          </w:p>
        </w:tc>
        <w:tc>
          <w:tcPr>
            <w:tcW w:w="1661" w:type="dxa"/>
          </w:tcPr>
          <w:p w14:paraId="0A24518E" w14:textId="77777777" w:rsidR="00C458BC" w:rsidRPr="00CA48B7" w:rsidRDefault="00E15EBE" w:rsidP="00CD59D0">
            <w:pPr>
              <w:jc w:val="center"/>
              <w:rPr>
                <w:rFonts w:ascii="Lato" w:hAnsi="Lato"/>
                <w:sz w:val="22"/>
              </w:rPr>
            </w:pPr>
            <w:r>
              <w:rPr>
                <w:rFonts w:ascii="Lato" w:hAnsi="Lato"/>
                <w:sz w:val="22"/>
                <w:szCs w:val="22"/>
              </w:rPr>
              <w:t>4.556</w:t>
            </w:r>
          </w:p>
        </w:tc>
        <w:tc>
          <w:tcPr>
            <w:tcW w:w="1661" w:type="dxa"/>
          </w:tcPr>
          <w:p w14:paraId="0A24518F" w14:textId="77777777" w:rsidR="00C458BC" w:rsidRPr="00CA48B7" w:rsidRDefault="0075438A" w:rsidP="00CD59D0">
            <w:pPr>
              <w:jc w:val="center"/>
              <w:rPr>
                <w:rFonts w:ascii="Lato" w:hAnsi="Lato"/>
                <w:sz w:val="22"/>
              </w:rPr>
            </w:pPr>
            <w:r>
              <w:rPr>
                <w:rFonts w:ascii="Lato" w:hAnsi="Lato"/>
                <w:sz w:val="22"/>
                <w:szCs w:val="22"/>
              </w:rPr>
              <w:t>4.259</w:t>
            </w:r>
          </w:p>
        </w:tc>
        <w:tc>
          <w:tcPr>
            <w:tcW w:w="1661" w:type="dxa"/>
          </w:tcPr>
          <w:p w14:paraId="0A245190" w14:textId="77777777" w:rsidR="00C458BC" w:rsidRPr="00CA48B7" w:rsidRDefault="00E15EBE" w:rsidP="00CD59D0">
            <w:pPr>
              <w:jc w:val="center"/>
              <w:rPr>
                <w:rFonts w:ascii="Lato" w:hAnsi="Lato"/>
                <w:sz w:val="22"/>
              </w:rPr>
            </w:pPr>
            <w:r>
              <w:rPr>
                <w:rFonts w:ascii="Lato" w:hAnsi="Lato"/>
                <w:sz w:val="22"/>
                <w:szCs w:val="22"/>
              </w:rPr>
              <w:t>4.615</w:t>
            </w:r>
          </w:p>
        </w:tc>
        <w:tc>
          <w:tcPr>
            <w:tcW w:w="1661" w:type="dxa"/>
          </w:tcPr>
          <w:p w14:paraId="0A245191" w14:textId="77777777" w:rsidR="00C458BC" w:rsidRPr="00CA48B7" w:rsidRDefault="001B7FB5" w:rsidP="00CD59D0">
            <w:pPr>
              <w:jc w:val="center"/>
              <w:rPr>
                <w:rFonts w:ascii="Lato" w:hAnsi="Lato"/>
                <w:sz w:val="22"/>
              </w:rPr>
            </w:pPr>
            <w:r>
              <w:rPr>
                <w:rFonts w:ascii="Lato" w:hAnsi="Lato"/>
                <w:sz w:val="22"/>
              </w:rPr>
              <w:t>17</w:t>
            </w:r>
            <w:r w:rsidR="00027D02" w:rsidRPr="00CA48B7">
              <w:rPr>
                <w:rFonts w:ascii="Lato" w:hAnsi="Lato"/>
                <w:sz w:val="22"/>
              </w:rPr>
              <w:t>.</w:t>
            </w:r>
            <w:r w:rsidR="00E15EBE">
              <w:rPr>
                <w:rFonts w:ascii="Lato" w:hAnsi="Lato"/>
                <w:sz w:val="22"/>
              </w:rPr>
              <w:t>14</w:t>
            </w:r>
            <w:r w:rsidR="00CE28B8">
              <w:rPr>
                <w:rFonts w:ascii="Lato" w:hAnsi="Lato"/>
                <w:sz w:val="22"/>
              </w:rPr>
              <w:t>0</w:t>
            </w:r>
          </w:p>
        </w:tc>
      </w:tr>
      <w:tr w:rsidR="00612001" w:rsidRPr="00BD5E05" w14:paraId="0A245199" w14:textId="77777777" w:rsidTr="00D40B0E">
        <w:trPr>
          <w:trHeight w:val="261"/>
        </w:trPr>
        <w:tc>
          <w:tcPr>
            <w:tcW w:w="1936" w:type="dxa"/>
          </w:tcPr>
          <w:p w14:paraId="0A245193" w14:textId="77777777" w:rsidR="00C458BC" w:rsidRPr="00CA48B7" w:rsidRDefault="00C458BC">
            <w:pPr>
              <w:rPr>
                <w:rFonts w:ascii="Lato" w:hAnsi="Lato"/>
                <w:b/>
                <w:sz w:val="22"/>
              </w:rPr>
            </w:pPr>
            <w:r w:rsidRPr="00CA48B7">
              <w:rPr>
                <w:rFonts w:ascii="Lato" w:hAnsi="Lato"/>
                <w:b/>
                <w:sz w:val="22"/>
              </w:rPr>
              <w:t>Total Commonwealth Contribution (1)+(2)+(3</w:t>
            </w:r>
            <w:r w:rsidRPr="00BD5E05">
              <w:rPr>
                <w:rFonts w:ascii="Lato" w:hAnsi="Lato"/>
                <w:b/>
                <w:sz w:val="22"/>
                <w:szCs w:val="22"/>
              </w:rPr>
              <w:t>)+ +(</w:t>
            </w:r>
            <w:r w:rsidR="008349B0" w:rsidRPr="00CA48B7">
              <w:rPr>
                <w:rFonts w:ascii="Lato" w:hAnsi="Lato"/>
                <w:b/>
                <w:sz w:val="22"/>
              </w:rPr>
              <w:t>4</w:t>
            </w:r>
            <w:r w:rsidRPr="00BD5E05">
              <w:rPr>
                <w:rFonts w:ascii="Lato" w:hAnsi="Lato"/>
                <w:b/>
                <w:sz w:val="22"/>
                <w:szCs w:val="22"/>
              </w:rPr>
              <w:t>)+(</w:t>
            </w:r>
            <w:r w:rsidR="00A10AF5" w:rsidRPr="00CA48B7">
              <w:rPr>
                <w:rFonts w:ascii="Lato" w:hAnsi="Lato"/>
                <w:b/>
                <w:sz w:val="22"/>
              </w:rPr>
              <w:t>5</w:t>
            </w:r>
            <w:r w:rsidR="00D12A0F">
              <w:rPr>
                <w:rFonts w:ascii="Lato" w:hAnsi="Lato"/>
                <w:b/>
                <w:sz w:val="22"/>
              </w:rPr>
              <w:t xml:space="preserve"> + 5a</w:t>
            </w:r>
            <w:r w:rsidRPr="00CA48B7">
              <w:rPr>
                <w:rFonts w:ascii="Lato" w:hAnsi="Lato"/>
                <w:b/>
                <w:sz w:val="22"/>
              </w:rPr>
              <w:t>)</w:t>
            </w:r>
            <w:r w:rsidR="00111B9C">
              <w:rPr>
                <w:rFonts w:ascii="Lato" w:hAnsi="Lato"/>
                <w:b/>
                <w:sz w:val="22"/>
              </w:rPr>
              <w:t>+(6)</w:t>
            </w:r>
          </w:p>
        </w:tc>
        <w:tc>
          <w:tcPr>
            <w:tcW w:w="1661" w:type="dxa"/>
          </w:tcPr>
          <w:p w14:paraId="0A245194" w14:textId="77777777" w:rsidR="00C458BC" w:rsidRPr="00CA48B7" w:rsidRDefault="00E15EBE" w:rsidP="00CD59D0">
            <w:pPr>
              <w:jc w:val="center"/>
              <w:rPr>
                <w:rFonts w:ascii="Lato" w:hAnsi="Lato"/>
                <w:b/>
                <w:sz w:val="22"/>
              </w:rPr>
            </w:pPr>
            <w:r>
              <w:rPr>
                <w:rFonts w:ascii="Lato" w:hAnsi="Lato"/>
                <w:b/>
                <w:sz w:val="22"/>
                <w:szCs w:val="22"/>
              </w:rPr>
              <w:t>30</w:t>
            </w:r>
            <w:r w:rsidR="00C458BC" w:rsidRPr="00BD5E05">
              <w:rPr>
                <w:rFonts w:ascii="Lato" w:hAnsi="Lato"/>
                <w:b/>
                <w:sz w:val="22"/>
                <w:szCs w:val="22"/>
              </w:rPr>
              <w:t>.</w:t>
            </w:r>
            <w:r w:rsidR="00DB3196" w:rsidRPr="00BD5E05">
              <w:rPr>
                <w:rFonts w:ascii="Lato" w:hAnsi="Lato"/>
                <w:b/>
                <w:sz w:val="22"/>
                <w:szCs w:val="22"/>
              </w:rPr>
              <w:t>9</w:t>
            </w:r>
            <w:r>
              <w:rPr>
                <w:rFonts w:ascii="Lato" w:hAnsi="Lato"/>
                <w:b/>
                <w:sz w:val="22"/>
                <w:szCs w:val="22"/>
              </w:rPr>
              <w:t>22</w:t>
            </w:r>
          </w:p>
        </w:tc>
        <w:tc>
          <w:tcPr>
            <w:tcW w:w="1661" w:type="dxa"/>
          </w:tcPr>
          <w:p w14:paraId="0A245195" w14:textId="77777777" w:rsidR="00C458BC" w:rsidRPr="00CA48B7" w:rsidRDefault="00E15EBE" w:rsidP="00CD59D0">
            <w:pPr>
              <w:jc w:val="center"/>
              <w:rPr>
                <w:rFonts w:ascii="Lato" w:hAnsi="Lato"/>
                <w:b/>
                <w:sz w:val="22"/>
              </w:rPr>
            </w:pPr>
            <w:r>
              <w:rPr>
                <w:rFonts w:ascii="Lato" w:hAnsi="Lato"/>
                <w:b/>
                <w:sz w:val="22"/>
                <w:szCs w:val="22"/>
              </w:rPr>
              <w:t>32.540</w:t>
            </w:r>
          </w:p>
        </w:tc>
        <w:tc>
          <w:tcPr>
            <w:tcW w:w="1661" w:type="dxa"/>
          </w:tcPr>
          <w:p w14:paraId="0A245196" w14:textId="77777777" w:rsidR="00C458BC" w:rsidRPr="00CA48B7" w:rsidRDefault="00E15EBE" w:rsidP="00CD59D0">
            <w:pPr>
              <w:jc w:val="center"/>
              <w:rPr>
                <w:rFonts w:ascii="Lato" w:hAnsi="Lato"/>
                <w:b/>
                <w:sz w:val="22"/>
              </w:rPr>
            </w:pPr>
            <w:r>
              <w:rPr>
                <w:rFonts w:ascii="Lato" w:hAnsi="Lato"/>
                <w:b/>
                <w:sz w:val="22"/>
                <w:szCs w:val="22"/>
              </w:rPr>
              <w:t>26.622</w:t>
            </w:r>
          </w:p>
        </w:tc>
        <w:tc>
          <w:tcPr>
            <w:tcW w:w="1661" w:type="dxa"/>
          </w:tcPr>
          <w:p w14:paraId="0A245197" w14:textId="77777777" w:rsidR="00C458BC" w:rsidRPr="00CA48B7" w:rsidRDefault="00E15EBE" w:rsidP="00CD59D0">
            <w:pPr>
              <w:jc w:val="center"/>
              <w:rPr>
                <w:rFonts w:ascii="Lato" w:hAnsi="Lato"/>
                <w:b/>
                <w:sz w:val="22"/>
              </w:rPr>
            </w:pPr>
            <w:r>
              <w:rPr>
                <w:rFonts w:ascii="Lato" w:hAnsi="Lato"/>
                <w:b/>
                <w:sz w:val="22"/>
                <w:szCs w:val="22"/>
              </w:rPr>
              <w:t>25.641</w:t>
            </w:r>
          </w:p>
        </w:tc>
        <w:tc>
          <w:tcPr>
            <w:tcW w:w="1661" w:type="dxa"/>
          </w:tcPr>
          <w:p w14:paraId="0A245198" w14:textId="77777777" w:rsidR="00C458BC" w:rsidRPr="00CA48B7" w:rsidRDefault="00C458BC" w:rsidP="00CD59D0">
            <w:pPr>
              <w:jc w:val="center"/>
              <w:rPr>
                <w:rFonts w:ascii="Lato" w:hAnsi="Lato"/>
                <w:b/>
                <w:sz w:val="22"/>
              </w:rPr>
            </w:pPr>
            <w:r w:rsidRPr="00CA48B7">
              <w:rPr>
                <w:rFonts w:ascii="Lato" w:hAnsi="Lato"/>
                <w:b/>
                <w:sz w:val="22"/>
              </w:rPr>
              <w:t>1</w:t>
            </w:r>
            <w:r w:rsidR="0066191D" w:rsidRPr="00CA48B7">
              <w:rPr>
                <w:rFonts w:ascii="Lato" w:hAnsi="Lato"/>
                <w:b/>
                <w:sz w:val="22"/>
              </w:rPr>
              <w:t>1</w:t>
            </w:r>
            <w:r w:rsidR="00E15EBE">
              <w:rPr>
                <w:rFonts w:ascii="Lato" w:hAnsi="Lato"/>
                <w:b/>
                <w:sz w:val="22"/>
              </w:rPr>
              <w:t>5</w:t>
            </w:r>
            <w:r w:rsidRPr="00CA48B7">
              <w:rPr>
                <w:rFonts w:ascii="Lato" w:hAnsi="Lato"/>
                <w:b/>
                <w:sz w:val="22"/>
              </w:rPr>
              <w:t>.</w:t>
            </w:r>
            <w:r w:rsidR="00E15EBE">
              <w:rPr>
                <w:rFonts w:ascii="Lato" w:hAnsi="Lato"/>
                <w:b/>
                <w:sz w:val="22"/>
              </w:rPr>
              <w:t>725</w:t>
            </w:r>
          </w:p>
        </w:tc>
      </w:tr>
    </w:tbl>
    <w:p w14:paraId="0A24519A" w14:textId="77777777" w:rsidR="00163D91" w:rsidRDefault="000E6FFC">
      <w:pPr>
        <w:rPr>
          <w:rFonts w:ascii="Lato" w:hAnsi="Lato"/>
          <w:sz w:val="16"/>
          <w:lang w:val="en-US"/>
        </w:rPr>
      </w:pPr>
      <w:r w:rsidRPr="00163D91">
        <w:rPr>
          <w:rFonts w:ascii="Lato" w:hAnsi="Lato"/>
          <w:sz w:val="16"/>
          <w:lang w:val="en-US"/>
        </w:rPr>
        <w:t>*A Capital Works Schedule will be agreed between the Parties on an annual basis.</w:t>
      </w:r>
    </w:p>
    <w:p w14:paraId="0A24519B" w14:textId="77777777" w:rsidR="0036688B" w:rsidRPr="00CA48B7" w:rsidRDefault="0036688B" w:rsidP="00F76351">
      <w:pPr>
        <w:pStyle w:val="Heading2"/>
        <w:spacing w:after="120"/>
        <w:rPr>
          <w:rFonts w:ascii="Lato" w:hAnsi="Lato"/>
        </w:rPr>
      </w:pPr>
      <w:r w:rsidRPr="00CA48B7">
        <w:rPr>
          <w:rFonts w:ascii="Lato" w:hAnsi="Lato"/>
        </w:rPr>
        <w:t>Program logic</w:t>
      </w:r>
    </w:p>
    <w:p w14:paraId="0A24519C" w14:textId="77777777" w:rsidR="000E6FFC" w:rsidRPr="00CA48B7" w:rsidRDefault="000E6FFC" w:rsidP="00BD09BB">
      <w:pPr>
        <w:pStyle w:val="Normalnumbered"/>
        <w:numPr>
          <w:ilvl w:val="0"/>
          <w:numId w:val="16"/>
        </w:numPr>
        <w:spacing w:after="240" w:line="260" w:lineRule="exact"/>
        <w:rPr>
          <w:rFonts w:ascii="Lato" w:hAnsi="Lato"/>
          <w:sz w:val="22"/>
        </w:rPr>
      </w:pPr>
      <w:r w:rsidRPr="00CA48B7">
        <w:rPr>
          <w:rFonts w:ascii="Lato" w:hAnsi="Lato"/>
          <w:sz w:val="22"/>
        </w:rPr>
        <w:t>Th</w:t>
      </w:r>
      <w:r w:rsidR="00847218">
        <w:rPr>
          <w:rFonts w:ascii="Lato" w:hAnsi="Lato"/>
          <w:sz w:val="22"/>
        </w:rPr>
        <w:t>is</w:t>
      </w:r>
      <w:r w:rsidRPr="00CA48B7">
        <w:rPr>
          <w:rFonts w:ascii="Lato" w:hAnsi="Lato"/>
          <w:sz w:val="22"/>
        </w:rPr>
        <w:t xml:space="preserve"> </w:t>
      </w:r>
      <w:r w:rsidR="00926157">
        <w:rPr>
          <w:rFonts w:ascii="Lato" w:hAnsi="Lato"/>
          <w:sz w:val="22"/>
        </w:rPr>
        <w:t>Implementation Plan</w:t>
      </w:r>
      <w:r w:rsidRPr="00CA48B7">
        <w:rPr>
          <w:rFonts w:ascii="Lato" w:hAnsi="Lato"/>
          <w:sz w:val="22"/>
        </w:rPr>
        <w:t xml:space="preserve"> is based on the </w:t>
      </w:r>
      <w:r w:rsidR="00CB2493">
        <w:rPr>
          <w:rFonts w:ascii="Lato" w:hAnsi="Lato"/>
          <w:sz w:val="22"/>
        </w:rPr>
        <w:t xml:space="preserve">2014 </w:t>
      </w:r>
      <w:r w:rsidR="00E721AC">
        <w:rPr>
          <w:rFonts w:ascii="Lato" w:hAnsi="Lato"/>
          <w:sz w:val="22"/>
        </w:rPr>
        <w:t xml:space="preserve">‘A Share in the Future’ </w:t>
      </w:r>
      <w:r w:rsidRPr="00CA48B7">
        <w:rPr>
          <w:rFonts w:ascii="Lato" w:hAnsi="Lato"/>
          <w:sz w:val="22"/>
        </w:rPr>
        <w:t>Review's findings and recommendations</w:t>
      </w:r>
      <w:r w:rsidR="00A02BD1">
        <w:rPr>
          <w:rFonts w:ascii="Lato" w:hAnsi="Lato"/>
          <w:sz w:val="22"/>
        </w:rPr>
        <w:t xml:space="preserve"> and </w:t>
      </w:r>
      <w:r w:rsidR="00E721AC">
        <w:rPr>
          <w:rFonts w:ascii="Lato" w:hAnsi="Lato"/>
          <w:sz w:val="22"/>
        </w:rPr>
        <w:t xml:space="preserve">learnings from the </w:t>
      </w:r>
      <w:r w:rsidR="00A02BD1">
        <w:rPr>
          <w:rFonts w:ascii="Lato" w:hAnsi="Lato"/>
          <w:sz w:val="22"/>
        </w:rPr>
        <w:t xml:space="preserve">previous </w:t>
      </w:r>
      <w:r w:rsidR="00E721AC">
        <w:rPr>
          <w:rFonts w:ascii="Lato" w:hAnsi="Lato"/>
          <w:sz w:val="22"/>
        </w:rPr>
        <w:t>Agreement</w:t>
      </w:r>
      <w:r w:rsidR="00A02BD1">
        <w:rPr>
          <w:rFonts w:ascii="Lato" w:hAnsi="Lato"/>
          <w:sz w:val="22"/>
        </w:rPr>
        <w:t xml:space="preserve">. It </w:t>
      </w:r>
      <w:r w:rsidRPr="00CA48B7">
        <w:rPr>
          <w:rFonts w:ascii="Lato" w:hAnsi="Lato"/>
          <w:sz w:val="22"/>
        </w:rPr>
        <w:t>focus</w:t>
      </w:r>
      <w:r w:rsidR="00A02BD1">
        <w:rPr>
          <w:rFonts w:ascii="Lato" w:hAnsi="Lato"/>
          <w:sz w:val="22"/>
        </w:rPr>
        <w:t>es</w:t>
      </w:r>
      <w:r w:rsidRPr="00CA48B7">
        <w:rPr>
          <w:rFonts w:ascii="Lato" w:hAnsi="Lato"/>
          <w:sz w:val="22"/>
        </w:rPr>
        <w:t xml:space="preserve"> on f</w:t>
      </w:r>
      <w:r w:rsidR="00074A44">
        <w:rPr>
          <w:rFonts w:ascii="Lato" w:hAnsi="Lato"/>
          <w:sz w:val="22"/>
        </w:rPr>
        <w:t>ive</w:t>
      </w:r>
      <w:r w:rsidRPr="00CA48B7">
        <w:rPr>
          <w:rFonts w:ascii="Lato" w:hAnsi="Lato"/>
          <w:sz w:val="22"/>
        </w:rPr>
        <w:t xml:space="preserve"> activities: </w:t>
      </w:r>
      <w:r w:rsidR="001C6EC2">
        <w:rPr>
          <w:rFonts w:ascii="Lato" w:hAnsi="Lato"/>
          <w:sz w:val="22"/>
        </w:rPr>
        <w:br/>
      </w:r>
      <w:r w:rsidRPr="00CA48B7">
        <w:rPr>
          <w:rFonts w:ascii="Lato" w:hAnsi="Lato"/>
          <w:sz w:val="22"/>
        </w:rPr>
        <w:t xml:space="preserve">(1) Foundations; </w:t>
      </w:r>
      <w:r w:rsidRPr="00BD5E05">
        <w:rPr>
          <w:rFonts w:ascii="Lato" w:hAnsi="Lato"/>
          <w:sz w:val="22"/>
          <w:szCs w:val="22"/>
        </w:rPr>
        <w:t>(</w:t>
      </w:r>
      <w:r w:rsidR="00DC7660">
        <w:rPr>
          <w:rFonts w:ascii="Lato" w:hAnsi="Lato"/>
          <w:sz w:val="22"/>
          <w:szCs w:val="22"/>
        </w:rPr>
        <w:t>2</w:t>
      </w:r>
      <w:r w:rsidRPr="00BD5E05">
        <w:rPr>
          <w:rFonts w:ascii="Lato" w:hAnsi="Lato"/>
          <w:sz w:val="22"/>
          <w:szCs w:val="22"/>
        </w:rPr>
        <w:t xml:space="preserve">) </w:t>
      </w:r>
      <w:r w:rsidR="004D77A4">
        <w:rPr>
          <w:rFonts w:ascii="Lato" w:hAnsi="Lato"/>
          <w:sz w:val="22"/>
          <w:szCs w:val="22"/>
        </w:rPr>
        <w:t xml:space="preserve">Essentials; (3) </w:t>
      </w:r>
      <w:r w:rsidRPr="00CA48B7">
        <w:rPr>
          <w:rFonts w:ascii="Lato" w:hAnsi="Lato"/>
          <w:sz w:val="22"/>
        </w:rPr>
        <w:t>Pathways; (</w:t>
      </w:r>
      <w:r w:rsidR="004D77A4">
        <w:rPr>
          <w:rFonts w:ascii="Lato" w:hAnsi="Lato"/>
          <w:sz w:val="22"/>
          <w:szCs w:val="22"/>
        </w:rPr>
        <w:t>4</w:t>
      </w:r>
      <w:r w:rsidRPr="00CA48B7">
        <w:rPr>
          <w:rFonts w:ascii="Lato" w:hAnsi="Lato"/>
          <w:sz w:val="22"/>
        </w:rPr>
        <w:t>) Engagement; and (</w:t>
      </w:r>
      <w:r w:rsidR="004D77A4">
        <w:rPr>
          <w:rFonts w:ascii="Lato" w:hAnsi="Lato"/>
          <w:sz w:val="22"/>
          <w:szCs w:val="22"/>
        </w:rPr>
        <w:t>5</w:t>
      </w:r>
      <w:r w:rsidRPr="00CA48B7">
        <w:rPr>
          <w:rFonts w:ascii="Lato" w:hAnsi="Lato"/>
          <w:sz w:val="22"/>
        </w:rPr>
        <w:t>) Workforce, which include a number of evidence-based key outputs</w:t>
      </w:r>
      <w:r w:rsidR="00111B9C">
        <w:rPr>
          <w:rFonts w:ascii="Lato" w:hAnsi="Lato"/>
          <w:sz w:val="22"/>
        </w:rPr>
        <w:t xml:space="preserve"> that </w:t>
      </w:r>
      <w:r w:rsidRPr="00CA48B7">
        <w:rPr>
          <w:rFonts w:ascii="Lato" w:hAnsi="Lato"/>
          <w:sz w:val="22"/>
        </w:rPr>
        <w:t>contribute to the achievement of objectives and outcomes set out in the Agreement. Each of these activities and their outputs (1 January 2018-31 December 2021) are detailed in Table 4 below.</w:t>
      </w:r>
    </w:p>
    <w:p w14:paraId="0A24519D" w14:textId="77777777" w:rsidR="003E230C" w:rsidRPr="00CA48B7" w:rsidRDefault="0036688B" w:rsidP="00A21A05">
      <w:pPr>
        <w:keepNext/>
        <w:spacing w:after="240"/>
        <w:rPr>
          <w:rFonts w:ascii="Lato" w:hAnsi="Lato"/>
          <w:i/>
          <w:color w:val="3D4B67"/>
        </w:rPr>
      </w:pPr>
      <w:r w:rsidRPr="00CA48B7">
        <w:rPr>
          <w:rFonts w:ascii="Lato" w:hAnsi="Lato"/>
          <w:b/>
          <w:color w:val="3D4B67"/>
        </w:rPr>
        <w:t xml:space="preserve">Table </w:t>
      </w:r>
      <w:r w:rsidR="00717FF1" w:rsidRPr="00CA48B7">
        <w:rPr>
          <w:rFonts w:ascii="Lato" w:hAnsi="Lato"/>
          <w:b/>
          <w:color w:val="3D4B67"/>
        </w:rPr>
        <w:t>4</w:t>
      </w:r>
      <w:r w:rsidRPr="00CA48B7">
        <w:rPr>
          <w:rFonts w:ascii="Lato" w:hAnsi="Lato"/>
          <w:b/>
          <w:color w:val="3D4B67"/>
        </w:rPr>
        <w:t xml:space="preserve">: Program logic </w:t>
      </w:r>
      <w:r w:rsidR="005B7E19" w:rsidRPr="00535722">
        <w:rPr>
          <w:rFonts w:ascii="Lato" w:hAnsi="Lato"/>
          <w:b/>
          <w:color w:val="3D4B67"/>
          <w:szCs w:val="20"/>
        </w:rPr>
        <w:tab/>
      </w:r>
    </w:p>
    <w:tbl>
      <w:tblPr>
        <w:tblW w:w="5024" w:type="pct"/>
        <w:tblLayout w:type="fixed"/>
        <w:tblLook w:val="0000" w:firstRow="0" w:lastRow="0" w:firstColumn="0" w:lastColumn="0" w:noHBand="0" w:noVBand="0"/>
      </w:tblPr>
      <w:tblGrid>
        <w:gridCol w:w="1555"/>
        <w:gridCol w:w="3119"/>
        <w:gridCol w:w="2409"/>
        <w:gridCol w:w="2284"/>
      </w:tblGrid>
      <w:tr w:rsidR="000E6FFC" w:rsidRPr="00BD5E05" w14:paraId="0A2451A2" w14:textId="77777777" w:rsidTr="001F141A">
        <w:trPr>
          <w:cantSplit/>
          <w:tblHeader/>
        </w:trPr>
        <w:tc>
          <w:tcPr>
            <w:tcW w:w="83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4519E" w14:textId="77777777" w:rsidR="000E6FFC" w:rsidRPr="00CA48B7" w:rsidRDefault="000E6FFC" w:rsidP="00191251">
            <w:pPr>
              <w:rPr>
                <w:rFonts w:ascii="Lato" w:hAnsi="Lato"/>
                <w:b/>
                <w:sz w:val="22"/>
              </w:rPr>
            </w:pPr>
            <w:r w:rsidRPr="00CA48B7">
              <w:rPr>
                <w:rFonts w:ascii="Lato" w:hAnsi="Lato"/>
                <w:b/>
                <w:sz w:val="22"/>
                <w:lang w:val="en-US"/>
              </w:rPr>
              <w:t>Activity</w:t>
            </w:r>
          </w:p>
        </w:tc>
        <w:tc>
          <w:tcPr>
            <w:tcW w:w="16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4519F" w14:textId="77777777" w:rsidR="000E6FFC" w:rsidRPr="00CA48B7" w:rsidRDefault="000E6FFC">
            <w:pPr>
              <w:jc w:val="center"/>
              <w:rPr>
                <w:rFonts w:ascii="Lato" w:hAnsi="Lato"/>
                <w:b/>
                <w:sz w:val="22"/>
              </w:rPr>
            </w:pPr>
            <w:r w:rsidRPr="00CA48B7">
              <w:rPr>
                <w:rFonts w:ascii="Lato" w:hAnsi="Lato"/>
                <w:b/>
                <w:sz w:val="22"/>
              </w:rPr>
              <w:t>Outputs</w:t>
            </w:r>
          </w:p>
        </w:tc>
        <w:tc>
          <w:tcPr>
            <w:tcW w:w="12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451A0" w14:textId="77777777" w:rsidR="000E6FFC" w:rsidRPr="00CA48B7" w:rsidRDefault="000E6FFC" w:rsidP="00453758">
            <w:pPr>
              <w:jc w:val="center"/>
              <w:rPr>
                <w:rFonts w:ascii="Lato" w:hAnsi="Lato"/>
                <w:b/>
                <w:sz w:val="22"/>
              </w:rPr>
            </w:pPr>
            <w:r w:rsidRPr="00CA48B7">
              <w:rPr>
                <w:rFonts w:ascii="Lato" w:hAnsi="Lato"/>
                <w:b/>
                <w:sz w:val="22"/>
              </w:rPr>
              <w:t>Outcomes</w:t>
            </w:r>
          </w:p>
        </w:tc>
        <w:tc>
          <w:tcPr>
            <w:tcW w:w="12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451A1" w14:textId="77777777" w:rsidR="000E6FFC" w:rsidRPr="00CA48B7" w:rsidRDefault="000E6FFC" w:rsidP="00453758">
            <w:pPr>
              <w:jc w:val="center"/>
              <w:rPr>
                <w:rFonts w:ascii="Lato" w:hAnsi="Lato"/>
                <w:b/>
                <w:sz w:val="22"/>
              </w:rPr>
            </w:pPr>
            <w:r w:rsidRPr="00CA48B7">
              <w:rPr>
                <w:rFonts w:ascii="Lato" w:hAnsi="Lato"/>
                <w:b/>
                <w:sz w:val="22"/>
              </w:rPr>
              <w:t>Objectives</w:t>
            </w:r>
          </w:p>
        </w:tc>
      </w:tr>
      <w:tr w:rsidR="000E6FFC" w:rsidRPr="00BD5E05" w14:paraId="0A2451AE" w14:textId="77777777" w:rsidTr="001F141A">
        <w:trPr>
          <w:cantSplit/>
        </w:trPr>
        <w:tc>
          <w:tcPr>
            <w:tcW w:w="830" w:type="pct"/>
            <w:tcBorders>
              <w:top w:val="single" w:sz="4" w:space="0" w:color="000000"/>
              <w:left w:val="single" w:sz="4" w:space="0" w:color="auto"/>
              <w:bottom w:val="single" w:sz="4" w:space="0" w:color="000000"/>
              <w:right w:val="single" w:sz="4" w:space="0" w:color="auto"/>
            </w:tcBorders>
          </w:tcPr>
          <w:p w14:paraId="0A2451A3" w14:textId="77777777" w:rsidR="000E6FFC" w:rsidRPr="00CA48B7" w:rsidRDefault="0061190F" w:rsidP="00191251">
            <w:pPr>
              <w:rPr>
                <w:rFonts w:ascii="Lato" w:hAnsi="Lato"/>
                <w:sz w:val="22"/>
              </w:rPr>
            </w:pPr>
            <w:r>
              <w:rPr>
                <w:rFonts w:ascii="Lato" w:hAnsi="Lato"/>
                <w:sz w:val="22"/>
              </w:rPr>
              <w:t xml:space="preserve">1. </w:t>
            </w:r>
            <w:r w:rsidR="000E6FFC" w:rsidRPr="00CA48B7">
              <w:rPr>
                <w:rFonts w:ascii="Lato" w:hAnsi="Lato"/>
                <w:sz w:val="22"/>
              </w:rPr>
              <w:t>Foundations</w:t>
            </w:r>
          </w:p>
        </w:tc>
        <w:tc>
          <w:tcPr>
            <w:tcW w:w="1665" w:type="pct"/>
            <w:tcBorders>
              <w:top w:val="single" w:sz="4" w:space="0" w:color="000000"/>
              <w:left w:val="single" w:sz="4" w:space="0" w:color="auto"/>
              <w:bottom w:val="single" w:sz="4" w:space="0" w:color="000000"/>
              <w:right w:val="single" w:sz="4" w:space="0" w:color="auto"/>
            </w:tcBorders>
          </w:tcPr>
          <w:p w14:paraId="0A2451A4" w14:textId="77777777" w:rsidR="00CA6221" w:rsidRPr="00CA48B7" w:rsidRDefault="00CA6221" w:rsidP="00CA6221">
            <w:pPr>
              <w:rPr>
                <w:rFonts w:ascii="Lato" w:hAnsi="Lato"/>
                <w:sz w:val="22"/>
              </w:rPr>
            </w:pPr>
            <w:r w:rsidRPr="00CA48B7">
              <w:rPr>
                <w:rFonts w:ascii="Lato" w:hAnsi="Lato"/>
                <w:sz w:val="22"/>
              </w:rPr>
              <w:t xml:space="preserve">Across all </w:t>
            </w:r>
            <w:r w:rsidR="00F74759" w:rsidRPr="00BD5E05">
              <w:rPr>
                <w:rFonts w:ascii="Lato" w:hAnsi="Lato"/>
                <w:sz w:val="22"/>
                <w:szCs w:val="22"/>
                <w:lang w:val="en-US"/>
              </w:rPr>
              <w:t>Families as First Teacher</w:t>
            </w:r>
            <w:r w:rsidR="00F74759">
              <w:rPr>
                <w:rFonts w:ascii="Lato" w:hAnsi="Lato"/>
                <w:sz w:val="22"/>
                <w:szCs w:val="22"/>
                <w:lang w:val="en-US"/>
              </w:rPr>
              <w:t>s</w:t>
            </w:r>
            <w:r w:rsidR="00F74759" w:rsidRPr="00CA48B7">
              <w:rPr>
                <w:rFonts w:ascii="Lato" w:hAnsi="Lato"/>
                <w:sz w:val="22"/>
              </w:rPr>
              <w:t xml:space="preserve"> </w:t>
            </w:r>
            <w:r w:rsidR="00F74759">
              <w:rPr>
                <w:rFonts w:ascii="Lato" w:hAnsi="Lato"/>
                <w:sz w:val="22"/>
              </w:rPr>
              <w:t>(</w:t>
            </w:r>
            <w:proofErr w:type="spellStart"/>
            <w:r w:rsidRPr="00CA48B7">
              <w:rPr>
                <w:rFonts w:ascii="Lato" w:hAnsi="Lato"/>
                <w:sz w:val="22"/>
              </w:rPr>
              <w:t>FaFT</w:t>
            </w:r>
            <w:proofErr w:type="spellEnd"/>
            <w:r w:rsidR="00F74759">
              <w:rPr>
                <w:rFonts w:ascii="Lato" w:hAnsi="Lato"/>
                <w:sz w:val="22"/>
              </w:rPr>
              <w:t>)</w:t>
            </w:r>
            <w:r w:rsidRPr="00CA48B7">
              <w:rPr>
                <w:rFonts w:ascii="Lato" w:hAnsi="Lato"/>
                <w:sz w:val="22"/>
              </w:rPr>
              <w:t xml:space="preserve"> sites develop place-based strategies to engage parents to have their children participating more regularly.</w:t>
            </w:r>
          </w:p>
          <w:p w14:paraId="0A2451A5" w14:textId="77777777" w:rsidR="00CA6221" w:rsidRPr="00CA48B7" w:rsidRDefault="00CA6221" w:rsidP="00CA6221">
            <w:pPr>
              <w:rPr>
                <w:rFonts w:ascii="Lato" w:hAnsi="Lato"/>
                <w:sz w:val="22"/>
                <w:lang w:val="en-US"/>
              </w:rPr>
            </w:pPr>
          </w:p>
          <w:p w14:paraId="0A2451A6" w14:textId="77777777" w:rsidR="00CA6221" w:rsidRPr="008D7145" w:rsidRDefault="00CA6221" w:rsidP="00CA6221">
            <w:pPr>
              <w:rPr>
                <w:rFonts w:ascii="Lato" w:hAnsi="Lato"/>
                <w:sz w:val="22"/>
                <w:lang w:val="en-US"/>
              </w:rPr>
            </w:pPr>
            <w:r w:rsidRPr="00CA48B7">
              <w:rPr>
                <w:rFonts w:ascii="Lato" w:hAnsi="Lato"/>
                <w:sz w:val="22"/>
                <w:lang w:val="en-US"/>
              </w:rPr>
              <w:t xml:space="preserve">Establish four sites (eight programs) </w:t>
            </w:r>
            <w:r w:rsidR="008B1186">
              <w:rPr>
                <w:rFonts w:ascii="Lato" w:hAnsi="Lato"/>
                <w:sz w:val="22"/>
                <w:lang w:val="en-US"/>
              </w:rPr>
              <w:t>delivering</w:t>
            </w:r>
            <w:r w:rsidRPr="00CA48B7">
              <w:rPr>
                <w:rFonts w:ascii="Lato" w:hAnsi="Lato"/>
                <w:b/>
                <w:sz w:val="22"/>
              </w:rPr>
              <w:t xml:space="preserve"> </w:t>
            </w:r>
            <w:r w:rsidRPr="00CA48B7">
              <w:rPr>
                <w:rFonts w:ascii="Lato" w:hAnsi="Lato"/>
                <w:sz w:val="22"/>
              </w:rPr>
              <w:t xml:space="preserve">Adult Literacy </w:t>
            </w:r>
            <w:r w:rsidR="008B1186">
              <w:rPr>
                <w:rFonts w:ascii="Lato" w:hAnsi="Lato"/>
                <w:sz w:val="22"/>
              </w:rPr>
              <w:t>training focused on improving levels of parental</w:t>
            </w:r>
            <w:r w:rsidRPr="00CA48B7">
              <w:rPr>
                <w:rFonts w:ascii="Lato" w:hAnsi="Lato"/>
                <w:sz w:val="22"/>
              </w:rPr>
              <w:t xml:space="preserve"> </w:t>
            </w:r>
            <w:r w:rsidR="008B1186">
              <w:rPr>
                <w:rFonts w:ascii="Lato" w:hAnsi="Lato"/>
                <w:sz w:val="22"/>
              </w:rPr>
              <w:t xml:space="preserve">engagement in their children’s schooling.  Programs will be provided </w:t>
            </w:r>
            <w:r w:rsidRPr="00CA48B7">
              <w:rPr>
                <w:rFonts w:ascii="Lato" w:hAnsi="Lato"/>
                <w:sz w:val="22"/>
              </w:rPr>
              <w:t xml:space="preserve">for both Aboriginal men and women </w:t>
            </w:r>
            <w:r w:rsidRPr="00CA48B7">
              <w:rPr>
                <w:rFonts w:ascii="Lato" w:hAnsi="Lato"/>
                <w:sz w:val="22"/>
                <w:lang w:val="en-US"/>
              </w:rPr>
              <w:t xml:space="preserve">at existing Child and Family </w:t>
            </w:r>
            <w:proofErr w:type="spellStart"/>
            <w:r w:rsidR="008B1186" w:rsidRPr="00CA48B7">
              <w:rPr>
                <w:rFonts w:ascii="Lato" w:hAnsi="Lato"/>
                <w:sz w:val="22"/>
                <w:lang w:val="en-US"/>
              </w:rPr>
              <w:t>Centres</w:t>
            </w:r>
            <w:proofErr w:type="spellEnd"/>
            <w:r w:rsidRPr="00CA48B7">
              <w:rPr>
                <w:rFonts w:ascii="Lato" w:hAnsi="Lato"/>
                <w:sz w:val="22"/>
                <w:lang w:val="en-US"/>
              </w:rPr>
              <w:t>.</w:t>
            </w:r>
          </w:p>
          <w:p w14:paraId="0A2451A7" w14:textId="77777777" w:rsidR="000E6FFC" w:rsidRPr="00CA48B7" w:rsidRDefault="000E6FFC" w:rsidP="00191251">
            <w:pPr>
              <w:rPr>
                <w:rFonts w:ascii="Lato" w:hAnsi="Lato"/>
                <w:sz w:val="22"/>
              </w:rPr>
            </w:pPr>
          </w:p>
        </w:tc>
        <w:tc>
          <w:tcPr>
            <w:tcW w:w="1286" w:type="pct"/>
            <w:tcBorders>
              <w:top w:val="single" w:sz="4" w:space="0" w:color="000000"/>
              <w:left w:val="single" w:sz="4" w:space="0" w:color="auto"/>
              <w:bottom w:val="single" w:sz="4" w:space="0" w:color="000000"/>
              <w:right w:val="single" w:sz="4" w:space="0" w:color="auto"/>
            </w:tcBorders>
          </w:tcPr>
          <w:p w14:paraId="0A2451A8" w14:textId="77777777" w:rsidR="00CA6221" w:rsidRPr="00CA48B7" w:rsidRDefault="00CA6221" w:rsidP="00CA6221">
            <w:pPr>
              <w:rPr>
                <w:rFonts w:ascii="Lato" w:hAnsi="Lato"/>
                <w:sz w:val="22"/>
              </w:rPr>
            </w:pPr>
            <w:r w:rsidRPr="00CA48B7">
              <w:rPr>
                <w:rFonts w:ascii="Lato" w:hAnsi="Lato"/>
                <w:sz w:val="22"/>
              </w:rPr>
              <w:t>Aboriginal children entering primary schooling have the skills and attributes they need to succeed In their education.</w:t>
            </w:r>
          </w:p>
          <w:p w14:paraId="0A2451A9" w14:textId="77777777" w:rsidR="000E6FFC" w:rsidRPr="00CA48B7" w:rsidRDefault="000E6FFC" w:rsidP="00CA6221">
            <w:pPr>
              <w:rPr>
                <w:rFonts w:ascii="Lato" w:hAnsi="Lato"/>
                <w:sz w:val="22"/>
              </w:rPr>
            </w:pPr>
          </w:p>
        </w:tc>
        <w:tc>
          <w:tcPr>
            <w:tcW w:w="1219" w:type="pct"/>
            <w:tcBorders>
              <w:top w:val="single" w:sz="4" w:space="0" w:color="000000"/>
              <w:left w:val="single" w:sz="4" w:space="0" w:color="auto"/>
              <w:bottom w:val="single" w:sz="4" w:space="0" w:color="000000"/>
              <w:right w:val="single" w:sz="4" w:space="0" w:color="auto"/>
            </w:tcBorders>
          </w:tcPr>
          <w:p w14:paraId="0A2451AA" w14:textId="77777777" w:rsidR="00CA6221" w:rsidRPr="00CA48B7" w:rsidRDefault="00CA6221" w:rsidP="00CA6221">
            <w:pPr>
              <w:rPr>
                <w:rFonts w:ascii="Lato" w:hAnsi="Lato"/>
                <w:sz w:val="22"/>
              </w:rPr>
            </w:pPr>
            <w:r w:rsidRPr="00CA48B7">
              <w:rPr>
                <w:rFonts w:ascii="Lato" w:hAnsi="Lato"/>
                <w:sz w:val="22"/>
              </w:rPr>
              <w:t xml:space="preserve">Enhance the delivery of early childhood education to remote and very remote children through: </w:t>
            </w:r>
          </w:p>
          <w:p w14:paraId="0A2451AB" w14:textId="77777777" w:rsidR="00CA6221" w:rsidRPr="00CA48B7" w:rsidRDefault="00CA6221" w:rsidP="00CA6221">
            <w:pPr>
              <w:rPr>
                <w:rFonts w:ascii="Lato" w:hAnsi="Lato"/>
                <w:sz w:val="22"/>
              </w:rPr>
            </w:pPr>
          </w:p>
          <w:p w14:paraId="0A2451AC" w14:textId="77777777" w:rsidR="00CA6221" w:rsidRPr="00CA48B7" w:rsidRDefault="00CA6221" w:rsidP="001C6EC2">
            <w:pPr>
              <w:pStyle w:val="ListParagraph"/>
              <w:numPr>
                <w:ilvl w:val="0"/>
                <w:numId w:val="24"/>
              </w:numPr>
              <w:ind w:left="227" w:hanging="227"/>
              <w:contextualSpacing/>
              <w:rPr>
                <w:rFonts w:ascii="Lato" w:hAnsi="Lato"/>
                <w:sz w:val="22"/>
              </w:rPr>
            </w:pPr>
            <w:r w:rsidRPr="00CA48B7">
              <w:rPr>
                <w:rFonts w:ascii="Lato" w:hAnsi="Lato"/>
                <w:sz w:val="22"/>
              </w:rPr>
              <w:t>More exposure of children to successful programs; and</w:t>
            </w:r>
          </w:p>
          <w:p w14:paraId="0A2451AD" w14:textId="77777777" w:rsidR="000E6FFC" w:rsidRPr="00CA48B7" w:rsidRDefault="00CA6221" w:rsidP="001C6EC2">
            <w:pPr>
              <w:pStyle w:val="ListParagraph"/>
              <w:numPr>
                <w:ilvl w:val="0"/>
                <w:numId w:val="24"/>
              </w:numPr>
              <w:ind w:left="227" w:hanging="227"/>
              <w:contextualSpacing/>
              <w:rPr>
                <w:rFonts w:ascii="Lato" w:hAnsi="Lato"/>
                <w:sz w:val="22"/>
              </w:rPr>
            </w:pPr>
            <w:r w:rsidRPr="00CA48B7">
              <w:rPr>
                <w:rFonts w:ascii="Lato" w:hAnsi="Lato"/>
                <w:sz w:val="22"/>
              </w:rPr>
              <w:t>Students have access to more integrated early childhood services in very remote communities with government schools.</w:t>
            </w:r>
          </w:p>
        </w:tc>
      </w:tr>
      <w:tr w:rsidR="0061190F" w:rsidRPr="00BD5E05" w14:paraId="0A2451B3" w14:textId="77777777" w:rsidTr="0061190F">
        <w:trPr>
          <w:cantSplit/>
        </w:trPr>
        <w:tc>
          <w:tcPr>
            <w:tcW w:w="830" w:type="pct"/>
            <w:tcBorders>
              <w:top w:val="single" w:sz="4" w:space="0" w:color="000000"/>
              <w:left w:val="single" w:sz="4" w:space="0" w:color="auto"/>
              <w:bottom w:val="single" w:sz="4" w:space="0" w:color="000000"/>
              <w:right w:val="single" w:sz="4" w:space="0" w:color="000000"/>
            </w:tcBorders>
          </w:tcPr>
          <w:p w14:paraId="0A2451AF" w14:textId="77777777" w:rsidR="0061190F" w:rsidRPr="001A3766" w:rsidRDefault="0061190F" w:rsidP="0061190F">
            <w:pPr>
              <w:rPr>
                <w:rFonts w:ascii="Lato" w:hAnsi="Lato"/>
                <w:sz w:val="22"/>
              </w:rPr>
            </w:pPr>
            <w:r>
              <w:rPr>
                <w:rFonts w:ascii="Lato" w:hAnsi="Lato"/>
                <w:sz w:val="22"/>
              </w:rPr>
              <w:lastRenderedPageBreak/>
              <w:t xml:space="preserve">2. </w:t>
            </w:r>
            <w:r w:rsidRPr="00E32FA9">
              <w:rPr>
                <w:rFonts w:ascii="Lato" w:hAnsi="Lato"/>
                <w:sz w:val="22"/>
              </w:rPr>
              <w:t>Essentials</w:t>
            </w:r>
          </w:p>
        </w:tc>
        <w:tc>
          <w:tcPr>
            <w:tcW w:w="1665" w:type="pct"/>
            <w:tcBorders>
              <w:top w:val="single" w:sz="4" w:space="0" w:color="000000"/>
              <w:left w:val="single" w:sz="4" w:space="0" w:color="000000"/>
              <w:bottom w:val="single" w:sz="4" w:space="0" w:color="000000"/>
              <w:right w:val="single" w:sz="4" w:space="0" w:color="000000"/>
            </w:tcBorders>
          </w:tcPr>
          <w:p w14:paraId="0A2451B0" w14:textId="77777777" w:rsidR="0061190F" w:rsidRPr="001A3766" w:rsidRDefault="0061190F">
            <w:pPr>
              <w:autoSpaceDE w:val="0"/>
              <w:autoSpaceDN w:val="0"/>
              <w:adjustRightInd w:val="0"/>
              <w:rPr>
                <w:rFonts w:ascii="Lato" w:hAnsi="Lato"/>
                <w:sz w:val="22"/>
              </w:rPr>
            </w:pPr>
            <w:r w:rsidRPr="00E32FA9">
              <w:rPr>
                <w:rFonts w:ascii="Lato" w:hAnsi="Lato"/>
                <w:sz w:val="22"/>
              </w:rPr>
              <w:t>Not Applicable - fully funded by the NT</w:t>
            </w:r>
            <w:r w:rsidR="0057278B">
              <w:rPr>
                <w:rFonts w:ascii="Lato" w:hAnsi="Lato"/>
                <w:sz w:val="22"/>
              </w:rPr>
              <w:t>.</w:t>
            </w:r>
          </w:p>
        </w:tc>
        <w:tc>
          <w:tcPr>
            <w:tcW w:w="1286" w:type="pct"/>
            <w:tcBorders>
              <w:top w:val="single" w:sz="4" w:space="0" w:color="000000"/>
              <w:left w:val="single" w:sz="4" w:space="0" w:color="000000"/>
              <w:bottom w:val="single" w:sz="4" w:space="0" w:color="000000"/>
              <w:right w:val="single" w:sz="4" w:space="0" w:color="000000"/>
            </w:tcBorders>
          </w:tcPr>
          <w:p w14:paraId="0A2451B1" w14:textId="77777777" w:rsidR="0061190F" w:rsidRPr="00CA48B7" w:rsidRDefault="0061190F" w:rsidP="0061190F">
            <w:pPr>
              <w:rPr>
                <w:rFonts w:ascii="Lato" w:hAnsi="Lato"/>
                <w:sz w:val="22"/>
              </w:rPr>
            </w:pPr>
          </w:p>
        </w:tc>
        <w:tc>
          <w:tcPr>
            <w:tcW w:w="1219" w:type="pct"/>
            <w:tcBorders>
              <w:top w:val="single" w:sz="4" w:space="0" w:color="000000"/>
              <w:left w:val="single" w:sz="4" w:space="0" w:color="000000"/>
              <w:bottom w:val="single" w:sz="4" w:space="0" w:color="000000"/>
              <w:right w:val="single" w:sz="4" w:space="0" w:color="000000"/>
            </w:tcBorders>
          </w:tcPr>
          <w:p w14:paraId="0A2451B2" w14:textId="77777777" w:rsidR="0061190F" w:rsidRPr="00CA48B7" w:rsidRDefault="0061190F" w:rsidP="0061190F">
            <w:pPr>
              <w:rPr>
                <w:rFonts w:ascii="Lato" w:hAnsi="Lato"/>
                <w:sz w:val="22"/>
              </w:rPr>
            </w:pPr>
          </w:p>
        </w:tc>
      </w:tr>
      <w:tr w:rsidR="000E6FFC" w:rsidRPr="00BD5E05" w14:paraId="0A2451BD" w14:textId="77777777" w:rsidTr="001F141A">
        <w:trPr>
          <w:cantSplit/>
        </w:trPr>
        <w:tc>
          <w:tcPr>
            <w:tcW w:w="830" w:type="pct"/>
            <w:tcBorders>
              <w:top w:val="single" w:sz="4" w:space="0" w:color="000000"/>
              <w:left w:val="single" w:sz="4" w:space="0" w:color="000000"/>
              <w:bottom w:val="single" w:sz="4" w:space="0" w:color="000000"/>
              <w:right w:val="single" w:sz="4" w:space="0" w:color="000000"/>
            </w:tcBorders>
          </w:tcPr>
          <w:p w14:paraId="0A2451B4" w14:textId="77777777" w:rsidR="000E6FFC" w:rsidRPr="00CA48B7" w:rsidRDefault="0061190F" w:rsidP="00191251">
            <w:pPr>
              <w:rPr>
                <w:rFonts w:ascii="Lato" w:hAnsi="Lato"/>
                <w:sz w:val="22"/>
              </w:rPr>
            </w:pPr>
            <w:r>
              <w:rPr>
                <w:rFonts w:ascii="Lato" w:hAnsi="Lato"/>
                <w:sz w:val="22"/>
              </w:rPr>
              <w:t xml:space="preserve">3. </w:t>
            </w:r>
            <w:r w:rsidR="000E6FFC" w:rsidRPr="00CA48B7">
              <w:rPr>
                <w:rFonts w:ascii="Lato" w:hAnsi="Lato"/>
                <w:sz w:val="22"/>
              </w:rPr>
              <w:t>Pathways</w:t>
            </w:r>
          </w:p>
        </w:tc>
        <w:tc>
          <w:tcPr>
            <w:tcW w:w="1665" w:type="pct"/>
            <w:tcBorders>
              <w:top w:val="single" w:sz="4" w:space="0" w:color="000000"/>
              <w:left w:val="single" w:sz="4" w:space="0" w:color="000000"/>
              <w:bottom w:val="single" w:sz="4" w:space="0" w:color="000000"/>
              <w:right w:val="single" w:sz="4" w:space="0" w:color="000000"/>
            </w:tcBorders>
          </w:tcPr>
          <w:p w14:paraId="0A2451B5" w14:textId="77777777" w:rsidR="00CA6221" w:rsidRPr="00CA48B7" w:rsidRDefault="00CA6221" w:rsidP="00CA6221">
            <w:pPr>
              <w:rPr>
                <w:rFonts w:ascii="Lato" w:hAnsi="Lato"/>
                <w:sz w:val="22"/>
              </w:rPr>
            </w:pPr>
            <w:r w:rsidRPr="00CA48B7">
              <w:rPr>
                <w:rFonts w:ascii="Lato" w:hAnsi="Lato"/>
                <w:sz w:val="22"/>
              </w:rPr>
              <w:t>Actively prepare Year 6 and 7 students and their parents from 70 very remote communities to engage with and complete secondary school boarding.</w:t>
            </w:r>
          </w:p>
          <w:p w14:paraId="0A2451B6" w14:textId="77777777" w:rsidR="00CA6221" w:rsidRPr="00CA48B7" w:rsidRDefault="00CA6221" w:rsidP="00CA6221">
            <w:pPr>
              <w:rPr>
                <w:rFonts w:ascii="Lato" w:hAnsi="Lato"/>
                <w:sz w:val="22"/>
              </w:rPr>
            </w:pPr>
          </w:p>
          <w:p w14:paraId="0A2451B7" w14:textId="77777777" w:rsidR="000E6FFC" w:rsidRPr="00CA48B7" w:rsidRDefault="00CA6221" w:rsidP="00B15DEB">
            <w:pPr>
              <w:rPr>
                <w:rFonts w:ascii="Lato" w:hAnsi="Lato"/>
                <w:sz w:val="22"/>
              </w:rPr>
            </w:pPr>
            <w:r w:rsidRPr="00CA48B7">
              <w:rPr>
                <w:rFonts w:ascii="Lato" w:hAnsi="Lato"/>
                <w:sz w:val="22"/>
              </w:rPr>
              <w:t xml:space="preserve">Identify and support </w:t>
            </w:r>
            <w:r w:rsidR="00B15DEB">
              <w:rPr>
                <w:rFonts w:ascii="Lato" w:hAnsi="Lato"/>
                <w:sz w:val="22"/>
              </w:rPr>
              <w:t>students at Northern Territory boarding schools</w:t>
            </w:r>
            <w:r w:rsidRPr="00CA48B7">
              <w:rPr>
                <w:rFonts w:ascii="Lato" w:hAnsi="Lato"/>
                <w:sz w:val="22"/>
              </w:rPr>
              <w:t xml:space="preserve"> to transition to work and further study on completion of their schooling.</w:t>
            </w:r>
          </w:p>
        </w:tc>
        <w:tc>
          <w:tcPr>
            <w:tcW w:w="1286" w:type="pct"/>
            <w:tcBorders>
              <w:top w:val="single" w:sz="4" w:space="0" w:color="000000"/>
              <w:left w:val="single" w:sz="4" w:space="0" w:color="000000"/>
              <w:bottom w:val="single" w:sz="4" w:space="0" w:color="000000"/>
              <w:right w:val="single" w:sz="4" w:space="0" w:color="000000"/>
            </w:tcBorders>
          </w:tcPr>
          <w:p w14:paraId="0A2451B8" w14:textId="77777777" w:rsidR="00CA6221" w:rsidRPr="00CA48B7" w:rsidRDefault="00CA6221" w:rsidP="00CA6221">
            <w:pPr>
              <w:rPr>
                <w:rFonts w:ascii="Lato" w:hAnsi="Lato"/>
                <w:sz w:val="22"/>
              </w:rPr>
            </w:pPr>
            <w:r w:rsidRPr="00CA48B7">
              <w:rPr>
                <w:rFonts w:ascii="Lato" w:hAnsi="Lato"/>
                <w:sz w:val="22"/>
              </w:rPr>
              <w:t>Aboriginal students complete schooling well equipped to take up employment, training and higher education opportunities.</w:t>
            </w:r>
          </w:p>
          <w:p w14:paraId="0A2451B9" w14:textId="77777777" w:rsidR="000E6FFC" w:rsidRPr="00CA48B7" w:rsidRDefault="000E6FFC" w:rsidP="00CA6221">
            <w:pPr>
              <w:rPr>
                <w:rFonts w:ascii="Lato" w:hAnsi="Lato"/>
                <w:sz w:val="22"/>
              </w:rPr>
            </w:pPr>
          </w:p>
        </w:tc>
        <w:tc>
          <w:tcPr>
            <w:tcW w:w="1219" w:type="pct"/>
            <w:tcBorders>
              <w:top w:val="single" w:sz="4" w:space="0" w:color="000000"/>
              <w:left w:val="single" w:sz="4" w:space="0" w:color="000000"/>
              <w:bottom w:val="single" w:sz="4" w:space="0" w:color="000000"/>
              <w:right w:val="single" w:sz="4" w:space="0" w:color="000000"/>
            </w:tcBorders>
          </w:tcPr>
          <w:p w14:paraId="0A2451BA" w14:textId="77777777" w:rsidR="00481AF4" w:rsidRPr="00CA48B7" w:rsidRDefault="00481AF4" w:rsidP="00481AF4">
            <w:pPr>
              <w:rPr>
                <w:rFonts w:ascii="Lato" w:hAnsi="Lato"/>
                <w:sz w:val="22"/>
              </w:rPr>
            </w:pPr>
            <w:r w:rsidRPr="00CA48B7">
              <w:rPr>
                <w:rFonts w:ascii="Lato" w:hAnsi="Lato"/>
                <w:sz w:val="22"/>
              </w:rPr>
              <w:t>Provide access to secondary education for very remote students that meets the academic and vocational aspirations of students and families.</w:t>
            </w:r>
          </w:p>
          <w:p w14:paraId="0A2451BB" w14:textId="77777777" w:rsidR="00481AF4" w:rsidRPr="00CA48B7" w:rsidRDefault="00481AF4" w:rsidP="00481AF4">
            <w:pPr>
              <w:rPr>
                <w:rFonts w:ascii="Lato" w:hAnsi="Lato"/>
                <w:sz w:val="22"/>
              </w:rPr>
            </w:pPr>
          </w:p>
          <w:p w14:paraId="0A2451BC" w14:textId="77777777" w:rsidR="0041365C" w:rsidRPr="00CA48B7" w:rsidRDefault="00481AF4" w:rsidP="00481AF4">
            <w:pPr>
              <w:rPr>
                <w:rFonts w:ascii="Lato" w:hAnsi="Lato"/>
                <w:sz w:val="22"/>
              </w:rPr>
            </w:pPr>
            <w:r w:rsidRPr="00CA48B7">
              <w:rPr>
                <w:rFonts w:ascii="Lato" w:hAnsi="Lato"/>
                <w:sz w:val="22"/>
              </w:rPr>
              <w:t>To improve the completion of secondary education of students from very remote communities in the NT.</w:t>
            </w:r>
          </w:p>
        </w:tc>
      </w:tr>
      <w:tr w:rsidR="000E6FFC" w:rsidRPr="00BD5E05" w14:paraId="0A2451D1" w14:textId="77777777" w:rsidTr="001F141A">
        <w:trPr>
          <w:cantSplit/>
        </w:trPr>
        <w:tc>
          <w:tcPr>
            <w:tcW w:w="830" w:type="pct"/>
            <w:tcBorders>
              <w:top w:val="single" w:sz="4" w:space="0" w:color="000000"/>
              <w:left w:val="single" w:sz="4" w:space="0" w:color="auto"/>
              <w:bottom w:val="single" w:sz="4" w:space="0" w:color="000000"/>
              <w:right w:val="single" w:sz="4" w:space="0" w:color="000000"/>
            </w:tcBorders>
          </w:tcPr>
          <w:p w14:paraId="0A2451BE" w14:textId="77777777" w:rsidR="000E6FFC" w:rsidRPr="00264509" w:rsidRDefault="0061190F" w:rsidP="00191251">
            <w:pPr>
              <w:rPr>
                <w:rFonts w:ascii="Lato" w:hAnsi="Lato"/>
                <w:sz w:val="22"/>
              </w:rPr>
            </w:pPr>
            <w:r>
              <w:rPr>
                <w:rFonts w:ascii="Lato" w:hAnsi="Lato"/>
                <w:sz w:val="22"/>
              </w:rPr>
              <w:t xml:space="preserve">4. </w:t>
            </w:r>
            <w:r w:rsidR="000E6FFC" w:rsidRPr="00CA48B7">
              <w:rPr>
                <w:rFonts w:ascii="Lato" w:hAnsi="Lato"/>
                <w:sz w:val="22"/>
              </w:rPr>
              <w:t>Engagement</w:t>
            </w:r>
          </w:p>
        </w:tc>
        <w:tc>
          <w:tcPr>
            <w:tcW w:w="1665" w:type="pct"/>
            <w:tcBorders>
              <w:top w:val="single" w:sz="4" w:space="0" w:color="000000"/>
              <w:left w:val="single" w:sz="4" w:space="0" w:color="000000"/>
              <w:bottom w:val="single" w:sz="4" w:space="0" w:color="000000"/>
              <w:right w:val="single" w:sz="4" w:space="0" w:color="000000"/>
            </w:tcBorders>
          </w:tcPr>
          <w:p w14:paraId="0A2451BF" w14:textId="77777777" w:rsidR="00481AF4" w:rsidRPr="00CA48B7" w:rsidRDefault="00481AF4" w:rsidP="00481AF4">
            <w:pPr>
              <w:autoSpaceDE w:val="0"/>
              <w:autoSpaceDN w:val="0"/>
              <w:adjustRightInd w:val="0"/>
              <w:rPr>
                <w:rFonts w:ascii="Lato" w:hAnsi="Lato"/>
                <w:sz w:val="22"/>
              </w:rPr>
            </w:pPr>
            <w:r w:rsidRPr="00CA48B7">
              <w:rPr>
                <w:rFonts w:ascii="Lato" w:hAnsi="Lato"/>
                <w:sz w:val="22"/>
              </w:rPr>
              <w:t>Work with the Commonwealth to repurpose existing attendance resources to develop new initiatives that enable children to access school, engage in the classroom and achieve growth.</w:t>
            </w:r>
          </w:p>
          <w:p w14:paraId="0A2451C0" w14:textId="77777777" w:rsidR="000E6FFC" w:rsidRPr="00CA48B7" w:rsidRDefault="000E6FFC" w:rsidP="00191251">
            <w:pPr>
              <w:rPr>
                <w:rFonts w:ascii="Lato" w:hAnsi="Lato"/>
                <w:sz w:val="22"/>
              </w:rPr>
            </w:pPr>
          </w:p>
          <w:p w14:paraId="0A2451C1" w14:textId="77777777" w:rsidR="009E7395" w:rsidRPr="00CA48B7" w:rsidRDefault="009E7395" w:rsidP="00191251">
            <w:pPr>
              <w:rPr>
                <w:rFonts w:ascii="Lato" w:hAnsi="Lato"/>
                <w:sz w:val="22"/>
              </w:rPr>
            </w:pPr>
            <w:r w:rsidRPr="00CA48B7">
              <w:rPr>
                <w:rFonts w:ascii="Lato" w:hAnsi="Lato"/>
                <w:sz w:val="22"/>
              </w:rPr>
              <w:t>Support Senior Attendance and Truancy Officers (SATOs) to:</w:t>
            </w:r>
          </w:p>
          <w:p w14:paraId="0A2451C2" w14:textId="77777777" w:rsidR="009E7395" w:rsidRPr="00CA48B7" w:rsidRDefault="00EB52F4" w:rsidP="001C6EC2">
            <w:pPr>
              <w:pStyle w:val="ListParagraph"/>
              <w:numPr>
                <w:ilvl w:val="0"/>
                <w:numId w:val="24"/>
              </w:numPr>
              <w:ind w:left="266" w:hanging="266"/>
              <w:contextualSpacing/>
              <w:rPr>
                <w:rFonts w:ascii="Lato" w:hAnsi="Lato"/>
                <w:sz w:val="22"/>
              </w:rPr>
            </w:pPr>
            <w:r>
              <w:rPr>
                <w:rFonts w:ascii="Lato" w:hAnsi="Lato"/>
                <w:sz w:val="22"/>
              </w:rPr>
              <w:t>w</w:t>
            </w:r>
            <w:r w:rsidR="009E7395" w:rsidRPr="00CA48B7">
              <w:rPr>
                <w:rFonts w:ascii="Lato" w:hAnsi="Lato"/>
                <w:sz w:val="22"/>
              </w:rPr>
              <w:t>ork both inside and outside the school fence, supporting students on their re-entry to school</w:t>
            </w:r>
            <w:r w:rsidR="00E3110E">
              <w:rPr>
                <w:rFonts w:ascii="Lato" w:hAnsi="Lato"/>
                <w:sz w:val="22"/>
              </w:rPr>
              <w:t>;</w:t>
            </w:r>
          </w:p>
          <w:p w14:paraId="0A2451C3"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w</w:t>
            </w:r>
            <w:r w:rsidR="009E7395" w:rsidRPr="00CA48B7">
              <w:rPr>
                <w:rFonts w:ascii="Lato" w:hAnsi="Lato"/>
                <w:sz w:val="22"/>
              </w:rPr>
              <w:t>ork with other agencies to refer families where there are underlying issues that need to be addressed</w:t>
            </w:r>
            <w:r>
              <w:rPr>
                <w:rFonts w:ascii="Lato" w:hAnsi="Lato"/>
                <w:sz w:val="22"/>
              </w:rPr>
              <w:t>;</w:t>
            </w:r>
          </w:p>
          <w:p w14:paraId="0A2451C4"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l</w:t>
            </w:r>
            <w:r w:rsidR="009E7395" w:rsidRPr="00CA48B7">
              <w:rPr>
                <w:rFonts w:ascii="Lato" w:hAnsi="Lato"/>
                <w:sz w:val="22"/>
              </w:rPr>
              <w:t>iaise and work with the Remote School Attendance Strategy team within the community</w:t>
            </w:r>
            <w:r w:rsidR="00DE5F1A">
              <w:rPr>
                <w:rFonts w:ascii="Lato" w:hAnsi="Lato"/>
                <w:sz w:val="22"/>
              </w:rPr>
              <w:t xml:space="preserve"> and</w:t>
            </w:r>
            <w:r w:rsidR="00CC1970">
              <w:rPr>
                <w:rFonts w:ascii="Lato" w:hAnsi="Lato"/>
                <w:sz w:val="22"/>
              </w:rPr>
              <w:t xml:space="preserve"> relevant cultural authorities</w:t>
            </w:r>
            <w:r>
              <w:rPr>
                <w:rFonts w:ascii="Lato" w:hAnsi="Lato"/>
                <w:sz w:val="22"/>
              </w:rPr>
              <w:t>;</w:t>
            </w:r>
          </w:p>
          <w:p w14:paraId="0A2451C5"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d</w:t>
            </w:r>
            <w:r w:rsidR="009E7395" w:rsidRPr="00CA48B7">
              <w:rPr>
                <w:rFonts w:ascii="Lato" w:hAnsi="Lato"/>
                <w:sz w:val="22"/>
              </w:rPr>
              <w:t>evelop strong relationships with schools</w:t>
            </w:r>
            <w:r>
              <w:rPr>
                <w:rFonts w:ascii="Lato" w:hAnsi="Lato"/>
                <w:sz w:val="22"/>
              </w:rPr>
              <w:t>;</w:t>
            </w:r>
          </w:p>
          <w:p w14:paraId="0A2451C6"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c</w:t>
            </w:r>
            <w:r w:rsidR="009E7395" w:rsidRPr="00CA48B7">
              <w:rPr>
                <w:rFonts w:ascii="Lato" w:hAnsi="Lato"/>
                <w:sz w:val="22"/>
              </w:rPr>
              <w:t>oordinate home visits</w:t>
            </w:r>
            <w:r>
              <w:rPr>
                <w:rFonts w:ascii="Lato" w:hAnsi="Lato"/>
                <w:sz w:val="22"/>
              </w:rPr>
              <w:t>;</w:t>
            </w:r>
          </w:p>
          <w:p w14:paraId="0A2451C7"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e</w:t>
            </w:r>
            <w:r w:rsidR="009E7395" w:rsidRPr="00CA48B7">
              <w:rPr>
                <w:rFonts w:ascii="Lato" w:hAnsi="Lato"/>
                <w:sz w:val="22"/>
              </w:rPr>
              <w:t>ngage with early learner families</w:t>
            </w:r>
            <w:r>
              <w:rPr>
                <w:rFonts w:ascii="Lato" w:hAnsi="Lato"/>
                <w:sz w:val="22"/>
              </w:rPr>
              <w:t>;</w:t>
            </w:r>
          </w:p>
          <w:p w14:paraId="0A2451C8" w14:textId="77777777" w:rsidR="009E7395" w:rsidRPr="00CA48B7" w:rsidRDefault="00E3110E" w:rsidP="001C6EC2">
            <w:pPr>
              <w:pStyle w:val="ListParagraph"/>
              <w:numPr>
                <w:ilvl w:val="0"/>
                <w:numId w:val="24"/>
              </w:numPr>
              <w:ind w:left="266" w:hanging="266"/>
              <w:contextualSpacing/>
              <w:rPr>
                <w:rFonts w:ascii="Lato" w:hAnsi="Lato"/>
                <w:sz w:val="22"/>
              </w:rPr>
            </w:pPr>
            <w:r>
              <w:rPr>
                <w:rFonts w:ascii="Lato" w:hAnsi="Lato"/>
                <w:sz w:val="22"/>
              </w:rPr>
              <w:t>e</w:t>
            </w:r>
            <w:r w:rsidR="009E7395" w:rsidRPr="00CA48B7">
              <w:rPr>
                <w:rFonts w:ascii="Lato" w:hAnsi="Lato"/>
                <w:sz w:val="22"/>
              </w:rPr>
              <w:t>ngage in incentive and reward activities</w:t>
            </w:r>
            <w:r>
              <w:rPr>
                <w:rFonts w:ascii="Lato" w:hAnsi="Lato"/>
                <w:sz w:val="22"/>
              </w:rPr>
              <w:t>; and</w:t>
            </w:r>
          </w:p>
          <w:p w14:paraId="0A2451C9" w14:textId="77777777" w:rsidR="009E7395" w:rsidRPr="00CA48B7" w:rsidRDefault="00E3110E" w:rsidP="001C6EC2">
            <w:pPr>
              <w:pStyle w:val="ListParagraph"/>
              <w:numPr>
                <w:ilvl w:val="0"/>
                <w:numId w:val="24"/>
              </w:numPr>
              <w:ind w:left="266" w:hanging="266"/>
              <w:contextualSpacing/>
              <w:rPr>
                <w:rFonts w:ascii="Lato" w:hAnsi="Lato"/>
                <w:sz w:val="22"/>
              </w:rPr>
            </w:pPr>
            <w:proofErr w:type="gramStart"/>
            <w:r>
              <w:rPr>
                <w:rFonts w:ascii="Lato" w:hAnsi="Lato"/>
                <w:sz w:val="22"/>
              </w:rPr>
              <w:t>e</w:t>
            </w:r>
            <w:r w:rsidR="009E7395" w:rsidRPr="00CA48B7">
              <w:rPr>
                <w:rFonts w:ascii="Lato" w:hAnsi="Lato"/>
                <w:sz w:val="22"/>
              </w:rPr>
              <w:t>ffectively</w:t>
            </w:r>
            <w:proofErr w:type="gramEnd"/>
            <w:r w:rsidR="009E7395" w:rsidRPr="00CA48B7">
              <w:rPr>
                <w:rFonts w:ascii="Lato" w:hAnsi="Lato"/>
                <w:sz w:val="22"/>
              </w:rPr>
              <w:t xml:space="preserve"> report responses to community issues (volatile substance abuse, night-time activity </w:t>
            </w:r>
            <w:proofErr w:type="spellStart"/>
            <w:r w:rsidR="009E7395" w:rsidRPr="00CA48B7">
              <w:rPr>
                <w:rFonts w:ascii="Lato" w:hAnsi="Lato"/>
                <w:sz w:val="22"/>
              </w:rPr>
              <w:t>etc</w:t>
            </w:r>
            <w:proofErr w:type="spellEnd"/>
            <w:r w:rsidR="009E7395" w:rsidRPr="00CA48B7">
              <w:rPr>
                <w:rFonts w:ascii="Lato" w:hAnsi="Lato"/>
                <w:sz w:val="22"/>
              </w:rPr>
              <w:t>)</w:t>
            </w:r>
            <w:r>
              <w:rPr>
                <w:rFonts w:ascii="Lato" w:hAnsi="Lato"/>
                <w:sz w:val="22"/>
              </w:rPr>
              <w:t>.</w:t>
            </w:r>
          </w:p>
        </w:tc>
        <w:tc>
          <w:tcPr>
            <w:tcW w:w="1286" w:type="pct"/>
            <w:tcBorders>
              <w:top w:val="single" w:sz="4" w:space="0" w:color="000000"/>
              <w:left w:val="single" w:sz="4" w:space="0" w:color="000000"/>
              <w:bottom w:val="single" w:sz="4" w:space="0" w:color="000000"/>
              <w:right w:val="single" w:sz="4" w:space="0" w:color="000000"/>
            </w:tcBorders>
          </w:tcPr>
          <w:p w14:paraId="0A2451CA" w14:textId="77777777" w:rsidR="00481AF4" w:rsidRPr="00CA48B7" w:rsidRDefault="00481AF4" w:rsidP="00481AF4">
            <w:pPr>
              <w:rPr>
                <w:rFonts w:ascii="Lato" w:hAnsi="Lato"/>
                <w:sz w:val="22"/>
              </w:rPr>
            </w:pPr>
            <w:r w:rsidRPr="00CA48B7">
              <w:rPr>
                <w:rFonts w:ascii="Lato" w:hAnsi="Lato"/>
                <w:sz w:val="22"/>
              </w:rPr>
              <w:t>Aboriginal children at all stages of schooling attend school regularly and are supported in their education by their families and community.</w:t>
            </w:r>
          </w:p>
          <w:p w14:paraId="0A2451CB" w14:textId="77777777" w:rsidR="000E6FFC" w:rsidRPr="00CA48B7" w:rsidRDefault="000E6FFC" w:rsidP="00481AF4">
            <w:pPr>
              <w:rPr>
                <w:rFonts w:ascii="Lato" w:hAnsi="Lato"/>
                <w:sz w:val="22"/>
              </w:rPr>
            </w:pPr>
          </w:p>
        </w:tc>
        <w:tc>
          <w:tcPr>
            <w:tcW w:w="1219" w:type="pct"/>
            <w:tcBorders>
              <w:top w:val="single" w:sz="4" w:space="0" w:color="000000"/>
              <w:left w:val="single" w:sz="4" w:space="0" w:color="000000"/>
              <w:bottom w:val="single" w:sz="4" w:space="0" w:color="000000"/>
              <w:right w:val="single" w:sz="4" w:space="0" w:color="000000"/>
            </w:tcBorders>
          </w:tcPr>
          <w:p w14:paraId="0A2451CC" w14:textId="77777777" w:rsidR="00481AF4" w:rsidRPr="00CA48B7" w:rsidRDefault="00481AF4" w:rsidP="00481AF4">
            <w:pPr>
              <w:rPr>
                <w:rFonts w:ascii="Lato" w:hAnsi="Lato"/>
                <w:sz w:val="22"/>
              </w:rPr>
            </w:pPr>
            <w:r w:rsidRPr="00CA48B7">
              <w:rPr>
                <w:rFonts w:ascii="Lato" w:hAnsi="Lato"/>
                <w:sz w:val="22"/>
              </w:rPr>
              <w:t>Increase community engagement</w:t>
            </w:r>
            <w:r w:rsidR="00CC1970">
              <w:rPr>
                <w:rFonts w:ascii="Lato" w:hAnsi="Lato"/>
                <w:sz w:val="22"/>
              </w:rPr>
              <w:t>, including with relevant cultural authorities</w:t>
            </w:r>
            <w:r w:rsidRPr="00CA48B7">
              <w:rPr>
                <w:rFonts w:ascii="Lato" w:hAnsi="Lato"/>
                <w:sz w:val="22"/>
              </w:rPr>
              <w:t xml:space="preserve"> and governance in remote schools with a specific focus on improving:</w:t>
            </w:r>
          </w:p>
          <w:p w14:paraId="0A2451CD" w14:textId="77777777" w:rsidR="00481AF4" w:rsidRPr="00CA48B7" w:rsidRDefault="00481AF4" w:rsidP="001C6EC2">
            <w:pPr>
              <w:pStyle w:val="ListParagraph"/>
              <w:numPr>
                <w:ilvl w:val="0"/>
                <w:numId w:val="25"/>
              </w:numPr>
              <w:ind w:left="369" w:hanging="321"/>
              <w:contextualSpacing/>
              <w:rPr>
                <w:rFonts w:ascii="Lato" w:hAnsi="Lato"/>
                <w:sz w:val="22"/>
              </w:rPr>
            </w:pPr>
            <w:r w:rsidRPr="00CA48B7">
              <w:rPr>
                <w:rFonts w:ascii="Lato" w:hAnsi="Lato"/>
                <w:sz w:val="22"/>
              </w:rPr>
              <w:t>literacy and numeracy; and</w:t>
            </w:r>
          </w:p>
          <w:p w14:paraId="0A2451CE" w14:textId="77777777" w:rsidR="00481AF4" w:rsidRPr="00CA48B7" w:rsidRDefault="00481AF4" w:rsidP="001C6EC2">
            <w:pPr>
              <w:pStyle w:val="ListParagraph"/>
              <w:numPr>
                <w:ilvl w:val="0"/>
                <w:numId w:val="25"/>
              </w:numPr>
              <w:ind w:left="369" w:hanging="321"/>
              <w:contextualSpacing/>
              <w:rPr>
                <w:rFonts w:ascii="Lato" w:hAnsi="Lato"/>
                <w:sz w:val="22"/>
              </w:rPr>
            </w:pPr>
            <w:proofErr w:type="gramStart"/>
            <w:r w:rsidRPr="00CA48B7">
              <w:rPr>
                <w:rFonts w:ascii="Lato" w:hAnsi="Lato"/>
                <w:sz w:val="22"/>
              </w:rPr>
              <w:t>students</w:t>
            </w:r>
            <w:proofErr w:type="gramEnd"/>
            <w:r w:rsidRPr="00CA48B7">
              <w:rPr>
                <w:rFonts w:ascii="Lato" w:hAnsi="Lato"/>
                <w:sz w:val="22"/>
              </w:rPr>
              <w:t xml:space="preserve"> attending primary school four days per week or more.</w:t>
            </w:r>
          </w:p>
          <w:p w14:paraId="0A2451CF" w14:textId="77777777" w:rsidR="00481AF4" w:rsidRPr="00CA48B7" w:rsidRDefault="00481AF4" w:rsidP="00481AF4">
            <w:pPr>
              <w:rPr>
                <w:rFonts w:ascii="Lato" w:hAnsi="Lato"/>
                <w:sz w:val="22"/>
              </w:rPr>
            </w:pPr>
          </w:p>
          <w:p w14:paraId="0A2451D0" w14:textId="77777777" w:rsidR="000E6FFC" w:rsidRPr="00CA48B7" w:rsidRDefault="00481AF4" w:rsidP="00481AF4">
            <w:pPr>
              <w:rPr>
                <w:rFonts w:ascii="Lato" w:hAnsi="Lato"/>
                <w:sz w:val="22"/>
              </w:rPr>
            </w:pPr>
            <w:r w:rsidRPr="00CA48B7">
              <w:rPr>
                <w:rFonts w:ascii="Lato" w:hAnsi="Lato"/>
                <w:sz w:val="22"/>
              </w:rPr>
              <w:t>Increase enrolment and attendance of remote and very remote students through alignment of efforts (Commonwealth and Northern Territory) to improve school attendance.</w:t>
            </w:r>
          </w:p>
        </w:tc>
      </w:tr>
      <w:tr w:rsidR="000E6FFC" w:rsidRPr="00BD5E05" w14:paraId="0A2451DA" w14:textId="77777777" w:rsidTr="001F141A">
        <w:trPr>
          <w:cantSplit/>
        </w:trPr>
        <w:tc>
          <w:tcPr>
            <w:tcW w:w="830" w:type="pct"/>
            <w:tcBorders>
              <w:top w:val="single" w:sz="4" w:space="0" w:color="000000"/>
              <w:left w:val="single" w:sz="4" w:space="0" w:color="000000"/>
              <w:bottom w:val="single" w:sz="4" w:space="0" w:color="000000"/>
              <w:right w:val="single" w:sz="4" w:space="0" w:color="000000"/>
            </w:tcBorders>
          </w:tcPr>
          <w:p w14:paraId="0A2451D2" w14:textId="77777777" w:rsidR="000E6FFC" w:rsidRPr="00CA48B7" w:rsidRDefault="0061190F" w:rsidP="00191251">
            <w:pPr>
              <w:rPr>
                <w:rFonts w:ascii="Lato" w:hAnsi="Lato"/>
                <w:sz w:val="22"/>
              </w:rPr>
            </w:pPr>
            <w:r>
              <w:rPr>
                <w:rFonts w:ascii="Lato" w:hAnsi="Lato"/>
                <w:sz w:val="22"/>
              </w:rPr>
              <w:lastRenderedPageBreak/>
              <w:t xml:space="preserve">5. </w:t>
            </w:r>
            <w:r w:rsidR="000E6FFC" w:rsidRPr="00CA48B7">
              <w:rPr>
                <w:rFonts w:ascii="Lato" w:hAnsi="Lato"/>
                <w:sz w:val="22"/>
              </w:rPr>
              <w:t>Workforce</w:t>
            </w:r>
          </w:p>
        </w:tc>
        <w:tc>
          <w:tcPr>
            <w:tcW w:w="1665" w:type="pct"/>
            <w:tcBorders>
              <w:top w:val="single" w:sz="4" w:space="0" w:color="000000"/>
              <w:left w:val="single" w:sz="4" w:space="0" w:color="000000"/>
              <w:bottom w:val="single" w:sz="4" w:space="0" w:color="000000"/>
              <w:right w:val="single" w:sz="4" w:space="0" w:color="000000"/>
            </w:tcBorders>
          </w:tcPr>
          <w:p w14:paraId="0A2451D3" w14:textId="77777777" w:rsidR="000E6FFC" w:rsidRPr="00CA48B7" w:rsidRDefault="00481AF4" w:rsidP="00057BDA">
            <w:r w:rsidRPr="00CA48B7">
              <w:rPr>
                <w:rFonts w:ascii="Lato" w:hAnsi="Lato"/>
                <w:sz w:val="22"/>
                <w:lang w:val="en-US"/>
              </w:rPr>
              <w:t xml:space="preserve">70% of </w:t>
            </w:r>
            <w:r w:rsidR="005F38E2">
              <w:rPr>
                <w:rFonts w:ascii="Lato" w:hAnsi="Lato"/>
                <w:sz w:val="22"/>
                <w:lang w:val="en-US"/>
              </w:rPr>
              <w:t xml:space="preserve">Indigenous </w:t>
            </w:r>
            <w:r w:rsidRPr="00CA48B7">
              <w:rPr>
                <w:rFonts w:ascii="Lato" w:hAnsi="Lato"/>
                <w:sz w:val="22"/>
                <w:lang w:val="en-US"/>
              </w:rPr>
              <w:t>assistant teacher workforce enrolled in further accredited training</w:t>
            </w:r>
            <w:r w:rsidR="00E3110E">
              <w:rPr>
                <w:rFonts w:ascii="Lato" w:hAnsi="Lato"/>
                <w:sz w:val="22"/>
                <w:lang w:val="en-US"/>
              </w:rPr>
              <w:t>.</w:t>
            </w:r>
          </w:p>
        </w:tc>
        <w:tc>
          <w:tcPr>
            <w:tcW w:w="1286" w:type="pct"/>
            <w:tcBorders>
              <w:top w:val="single" w:sz="4" w:space="0" w:color="000000"/>
              <w:left w:val="single" w:sz="4" w:space="0" w:color="000000"/>
              <w:bottom w:val="single" w:sz="4" w:space="0" w:color="000000"/>
              <w:right w:val="single" w:sz="4" w:space="0" w:color="000000"/>
            </w:tcBorders>
          </w:tcPr>
          <w:p w14:paraId="0A2451D4" w14:textId="77777777" w:rsidR="00481AF4" w:rsidRPr="00CA48B7" w:rsidRDefault="00481AF4" w:rsidP="00481AF4">
            <w:pPr>
              <w:rPr>
                <w:rFonts w:ascii="Lato" w:hAnsi="Lato"/>
                <w:sz w:val="22"/>
              </w:rPr>
            </w:pPr>
            <w:r w:rsidRPr="00CA48B7">
              <w:rPr>
                <w:rFonts w:ascii="Lato" w:hAnsi="Lato"/>
                <w:sz w:val="22"/>
              </w:rPr>
              <w:t>Aboriginal student outcomes are improved through a consistent, system-wide approach to providing highly skilled and motivated educators and leaders in our schools.</w:t>
            </w:r>
          </w:p>
          <w:p w14:paraId="0A2451D5" w14:textId="77777777" w:rsidR="000E6FFC" w:rsidRPr="00CA48B7" w:rsidRDefault="000E6FFC" w:rsidP="000563A2">
            <w:pPr>
              <w:rPr>
                <w:rFonts w:ascii="Lato" w:hAnsi="Lato"/>
                <w:sz w:val="22"/>
              </w:rPr>
            </w:pPr>
          </w:p>
        </w:tc>
        <w:tc>
          <w:tcPr>
            <w:tcW w:w="1219" w:type="pct"/>
            <w:tcBorders>
              <w:top w:val="single" w:sz="4" w:space="0" w:color="000000"/>
              <w:left w:val="single" w:sz="4" w:space="0" w:color="000000"/>
              <w:bottom w:val="single" w:sz="4" w:space="0" w:color="000000"/>
              <w:right w:val="single" w:sz="4" w:space="0" w:color="000000"/>
            </w:tcBorders>
          </w:tcPr>
          <w:p w14:paraId="0A2451D6" w14:textId="77777777" w:rsidR="00481AF4" w:rsidRPr="00CA48B7" w:rsidRDefault="00481AF4" w:rsidP="00481AF4">
            <w:pPr>
              <w:rPr>
                <w:rFonts w:ascii="Lato" w:hAnsi="Lato"/>
                <w:sz w:val="22"/>
              </w:rPr>
            </w:pPr>
            <w:r w:rsidRPr="00CA48B7">
              <w:rPr>
                <w:rFonts w:ascii="Lato" w:hAnsi="Lato"/>
                <w:sz w:val="22"/>
              </w:rPr>
              <w:t>Support and develop a highly skilled and motivated education workforce through:</w:t>
            </w:r>
          </w:p>
          <w:p w14:paraId="0A2451D7" w14:textId="77777777" w:rsidR="00481AF4" w:rsidRPr="00CA48B7" w:rsidRDefault="00481AF4" w:rsidP="00481AF4">
            <w:pPr>
              <w:rPr>
                <w:rFonts w:ascii="Lato" w:hAnsi="Lato"/>
                <w:sz w:val="22"/>
              </w:rPr>
            </w:pPr>
          </w:p>
          <w:p w14:paraId="0A2451D8" w14:textId="77777777" w:rsidR="00481AF4" w:rsidRPr="00EB52F4" w:rsidRDefault="00481AF4" w:rsidP="001C6EC2">
            <w:pPr>
              <w:pStyle w:val="ListParagraph"/>
              <w:numPr>
                <w:ilvl w:val="0"/>
                <w:numId w:val="24"/>
              </w:numPr>
              <w:ind w:left="227" w:hanging="227"/>
              <w:contextualSpacing/>
              <w:rPr>
                <w:rFonts w:ascii="Lato" w:hAnsi="Lato"/>
                <w:sz w:val="22"/>
              </w:rPr>
            </w:pPr>
            <w:r w:rsidRPr="00CA48B7">
              <w:rPr>
                <w:rFonts w:ascii="Lato" w:hAnsi="Lato"/>
                <w:sz w:val="22"/>
              </w:rPr>
              <w:t>Comprehensive staff induction and preparation;</w:t>
            </w:r>
            <w:r w:rsidR="0061190F">
              <w:rPr>
                <w:rFonts w:ascii="Lato" w:hAnsi="Lato"/>
                <w:sz w:val="22"/>
              </w:rPr>
              <w:t xml:space="preserve"> and</w:t>
            </w:r>
          </w:p>
          <w:p w14:paraId="0A2451D9" w14:textId="77777777" w:rsidR="000E6FFC" w:rsidRPr="00CA48B7" w:rsidRDefault="00481AF4" w:rsidP="001C6EC2">
            <w:pPr>
              <w:pStyle w:val="ListParagraph"/>
              <w:numPr>
                <w:ilvl w:val="0"/>
                <w:numId w:val="24"/>
              </w:numPr>
              <w:ind w:left="227" w:hanging="227"/>
              <w:contextualSpacing/>
            </w:pPr>
            <w:r w:rsidRPr="00CA48B7">
              <w:rPr>
                <w:rFonts w:ascii="Lato" w:hAnsi="Lato"/>
                <w:sz w:val="22"/>
              </w:rPr>
              <w:t>Strengthened professional development and training</w:t>
            </w:r>
            <w:r w:rsidR="00E3110E">
              <w:rPr>
                <w:rFonts w:ascii="Lato" w:hAnsi="Lato"/>
                <w:sz w:val="22"/>
              </w:rPr>
              <w:t>.</w:t>
            </w:r>
            <w:r w:rsidRPr="00CA48B7">
              <w:rPr>
                <w:rFonts w:ascii="Lato" w:hAnsi="Lato"/>
                <w:sz w:val="22"/>
              </w:rPr>
              <w:t xml:space="preserve"> </w:t>
            </w:r>
          </w:p>
        </w:tc>
      </w:tr>
      <w:tr w:rsidR="0061190F" w:rsidRPr="00BD5E05" w14:paraId="0A2451E5" w14:textId="77777777" w:rsidTr="001F141A">
        <w:trPr>
          <w:cantSplit/>
        </w:trPr>
        <w:tc>
          <w:tcPr>
            <w:tcW w:w="830" w:type="pct"/>
            <w:tcBorders>
              <w:top w:val="single" w:sz="4" w:space="0" w:color="000000"/>
              <w:left w:val="single" w:sz="4" w:space="0" w:color="000000"/>
              <w:bottom w:val="single" w:sz="4" w:space="0" w:color="000000"/>
              <w:right w:val="single" w:sz="4" w:space="0" w:color="000000"/>
            </w:tcBorders>
          </w:tcPr>
          <w:p w14:paraId="0A2451DB" w14:textId="77777777" w:rsidR="0061190F" w:rsidRDefault="0061190F">
            <w:pPr>
              <w:rPr>
                <w:rFonts w:ascii="Lato" w:hAnsi="Lato"/>
                <w:sz w:val="22"/>
              </w:rPr>
            </w:pPr>
            <w:r>
              <w:rPr>
                <w:rFonts w:ascii="Lato" w:hAnsi="Lato"/>
                <w:sz w:val="22"/>
              </w:rPr>
              <w:t>5a. Workforce Capital</w:t>
            </w:r>
            <w:r w:rsidR="00E31076">
              <w:rPr>
                <w:rFonts w:ascii="Lato" w:hAnsi="Lato"/>
                <w:sz w:val="22"/>
              </w:rPr>
              <w:t>*</w:t>
            </w:r>
          </w:p>
        </w:tc>
        <w:tc>
          <w:tcPr>
            <w:tcW w:w="1665" w:type="pct"/>
            <w:tcBorders>
              <w:top w:val="single" w:sz="4" w:space="0" w:color="000000"/>
              <w:left w:val="single" w:sz="4" w:space="0" w:color="000000"/>
              <w:bottom w:val="single" w:sz="4" w:space="0" w:color="000000"/>
              <w:right w:val="single" w:sz="4" w:space="0" w:color="000000"/>
            </w:tcBorders>
          </w:tcPr>
          <w:p w14:paraId="0A2451DC" w14:textId="77777777" w:rsidR="0061190F" w:rsidRPr="00264509" w:rsidRDefault="0061190F" w:rsidP="0061190F">
            <w:pPr>
              <w:rPr>
                <w:rFonts w:ascii="Lato" w:hAnsi="Lato"/>
                <w:sz w:val="22"/>
              </w:rPr>
            </w:pPr>
            <w:r w:rsidRPr="00264509">
              <w:rPr>
                <w:rFonts w:ascii="Lato" w:hAnsi="Lato"/>
                <w:sz w:val="22"/>
              </w:rPr>
              <w:t>Strategically target specific housing initiatives of:</w:t>
            </w:r>
          </w:p>
          <w:p w14:paraId="0A2451DD" w14:textId="77777777" w:rsidR="0061190F" w:rsidRPr="00CA48B7" w:rsidRDefault="0061190F" w:rsidP="001C6EC2">
            <w:pPr>
              <w:pStyle w:val="ListParagraph"/>
              <w:numPr>
                <w:ilvl w:val="0"/>
                <w:numId w:val="24"/>
              </w:numPr>
              <w:ind w:left="266" w:hanging="266"/>
              <w:contextualSpacing/>
              <w:rPr>
                <w:rFonts w:ascii="Lato" w:hAnsi="Lato"/>
                <w:sz w:val="22"/>
              </w:rPr>
            </w:pPr>
            <w:r w:rsidRPr="00CA48B7">
              <w:rPr>
                <w:rFonts w:ascii="Lato" w:hAnsi="Lato"/>
                <w:sz w:val="22"/>
              </w:rPr>
              <w:t>New housing;</w:t>
            </w:r>
          </w:p>
          <w:p w14:paraId="0A2451DE" w14:textId="77777777" w:rsidR="0061190F" w:rsidRDefault="0061190F" w:rsidP="001C6EC2">
            <w:pPr>
              <w:pStyle w:val="ListParagraph"/>
              <w:numPr>
                <w:ilvl w:val="0"/>
                <w:numId w:val="24"/>
              </w:numPr>
              <w:ind w:left="266" w:hanging="266"/>
              <w:contextualSpacing/>
              <w:rPr>
                <w:rFonts w:ascii="Lato" w:hAnsi="Lato"/>
                <w:sz w:val="22"/>
              </w:rPr>
            </w:pPr>
            <w:r w:rsidRPr="00CA48B7">
              <w:rPr>
                <w:rFonts w:ascii="Lato" w:hAnsi="Lato"/>
                <w:sz w:val="22"/>
              </w:rPr>
              <w:t>Upgrades to existing housing; and</w:t>
            </w:r>
          </w:p>
          <w:p w14:paraId="0A2451DF" w14:textId="77777777" w:rsidR="004C37AB" w:rsidRDefault="0061190F" w:rsidP="001C6EC2">
            <w:pPr>
              <w:pStyle w:val="ListParagraph"/>
              <w:numPr>
                <w:ilvl w:val="0"/>
                <w:numId w:val="24"/>
              </w:numPr>
              <w:ind w:left="266" w:hanging="266"/>
              <w:contextualSpacing/>
              <w:rPr>
                <w:rFonts w:ascii="Lato" w:hAnsi="Lato"/>
                <w:sz w:val="22"/>
              </w:rPr>
            </w:pPr>
            <w:r w:rsidRPr="00EB52F4">
              <w:rPr>
                <w:rFonts w:ascii="Lato" w:hAnsi="Lato"/>
                <w:sz w:val="22"/>
              </w:rPr>
              <w:t xml:space="preserve">Increased security; </w:t>
            </w:r>
          </w:p>
          <w:p w14:paraId="0A2451E0" w14:textId="77777777" w:rsidR="00C4045D" w:rsidRPr="00B4457D" w:rsidRDefault="0061190F" w:rsidP="00363A1B">
            <w:pPr>
              <w:contextualSpacing/>
              <w:rPr>
                <w:rFonts w:ascii="Lato" w:hAnsi="Lato"/>
                <w:sz w:val="22"/>
              </w:rPr>
            </w:pPr>
            <w:proofErr w:type="gramStart"/>
            <w:r w:rsidRPr="00B4457D">
              <w:rPr>
                <w:rFonts w:ascii="Lato" w:hAnsi="Lato"/>
                <w:sz w:val="22"/>
              </w:rPr>
              <w:t>to</w:t>
            </w:r>
            <w:proofErr w:type="gramEnd"/>
            <w:r w:rsidRPr="00B4457D">
              <w:rPr>
                <w:rFonts w:ascii="Lato" w:hAnsi="Lato"/>
                <w:sz w:val="22"/>
              </w:rPr>
              <w:t xml:space="preserve"> ensure that appropriate housing is available for teachers to deliver quality education in very remote schools</w:t>
            </w:r>
            <w:r w:rsidR="00B71DB2">
              <w:rPr>
                <w:rFonts w:ascii="Lato" w:hAnsi="Lato"/>
                <w:sz w:val="22"/>
              </w:rPr>
              <w:t xml:space="preserve"> </w:t>
            </w:r>
            <w:r w:rsidR="00C4045D">
              <w:rPr>
                <w:rFonts w:ascii="Lato" w:hAnsi="Lato"/>
                <w:sz w:val="22"/>
              </w:rPr>
              <w:t>(</w:t>
            </w:r>
            <w:r w:rsidR="000C0977">
              <w:rPr>
                <w:rFonts w:ascii="Lato" w:hAnsi="Lato"/>
                <w:sz w:val="22"/>
              </w:rPr>
              <w:t>min.</w:t>
            </w:r>
            <w:r w:rsidR="00C4045D" w:rsidRPr="00C4045D">
              <w:rPr>
                <w:rFonts w:ascii="Lato" w:hAnsi="Lato"/>
                <w:sz w:val="22"/>
              </w:rPr>
              <w:t xml:space="preserve"> </w:t>
            </w:r>
            <w:r w:rsidR="00363A1B">
              <w:rPr>
                <w:rFonts w:ascii="Lato" w:hAnsi="Lato"/>
                <w:sz w:val="22"/>
              </w:rPr>
              <w:t>25</w:t>
            </w:r>
            <w:r w:rsidR="00C4045D">
              <w:rPr>
                <w:rFonts w:ascii="Lato" w:hAnsi="Lato"/>
                <w:sz w:val="22"/>
              </w:rPr>
              <w:t>% Indigenous employment rate</w:t>
            </w:r>
            <w:r w:rsidR="00363A1B">
              <w:rPr>
                <w:rFonts w:ascii="Lato" w:hAnsi="Lato"/>
                <w:sz w:val="22"/>
              </w:rPr>
              <w:t xml:space="preserve"> subject to community capacity</w:t>
            </w:r>
            <w:r w:rsidR="00C4045D">
              <w:rPr>
                <w:rFonts w:ascii="Lato" w:hAnsi="Lato"/>
                <w:sz w:val="22"/>
              </w:rPr>
              <w:t>).</w:t>
            </w:r>
          </w:p>
        </w:tc>
        <w:tc>
          <w:tcPr>
            <w:tcW w:w="1286" w:type="pct"/>
            <w:tcBorders>
              <w:top w:val="single" w:sz="4" w:space="0" w:color="000000"/>
              <w:left w:val="single" w:sz="4" w:space="0" w:color="000000"/>
              <w:bottom w:val="single" w:sz="4" w:space="0" w:color="000000"/>
              <w:right w:val="single" w:sz="4" w:space="0" w:color="000000"/>
            </w:tcBorders>
          </w:tcPr>
          <w:p w14:paraId="0A2451E1" w14:textId="77777777" w:rsidR="0061190F" w:rsidRPr="00CA48B7" w:rsidRDefault="00847218" w:rsidP="00B40CA1">
            <w:pPr>
              <w:rPr>
                <w:rFonts w:ascii="Lato" w:hAnsi="Lato"/>
                <w:sz w:val="22"/>
              </w:rPr>
            </w:pPr>
            <w:r>
              <w:rPr>
                <w:rFonts w:ascii="Lato" w:hAnsi="Lato"/>
                <w:sz w:val="22"/>
              </w:rPr>
              <w:br/>
            </w:r>
            <w:r w:rsidR="00B40CA1">
              <w:rPr>
                <w:rFonts w:ascii="Lato" w:hAnsi="Lato"/>
                <w:sz w:val="22"/>
              </w:rPr>
              <w:br/>
              <w:t xml:space="preserve">Improved teacher housing will contribute to attracting and retaining a skilled and motivated </w:t>
            </w:r>
            <w:r w:rsidR="00DE5F1A">
              <w:rPr>
                <w:rFonts w:ascii="Lato" w:hAnsi="Lato"/>
                <w:sz w:val="22"/>
              </w:rPr>
              <w:t xml:space="preserve">teacher </w:t>
            </w:r>
            <w:r w:rsidR="00B40CA1">
              <w:rPr>
                <w:rFonts w:ascii="Lato" w:hAnsi="Lato"/>
                <w:sz w:val="22"/>
              </w:rPr>
              <w:t>workforce.</w:t>
            </w:r>
          </w:p>
        </w:tc>
        <w:tc>
          <w:tcPr>
            <w:tcW w:w="1219" w:type="pct"/>
            <w:tcBorders>
              <w:top w:val="single" w:sz="4" w:space="0" w:color="000000"/>
              <w:left w:val="single" w:sz="4" w:space="0" w:color="000000"/>
              <w:bottom w:val="single" w:sz="4" w:space="0" w:color="000000"/>
              <w:right w:val="single" w:sz="4" w:space="0" w:color="000000"/>
            </w:tcBorders>
          </w:tcPr>
          <w:p w14:paraId="0A2451E2" w14:textId="77777777" w:rsidR="0061190F" w:rsidRDefault="0061190F" w:rsidP="0061190F">
            <w:pPr>
              <w:rPr>
                <w:rFonts w:ascii="Lato" w:hAnsi="Lato"/>
                <w:sz w:val="22"/>
              </w:rPr>
            </w:pPr>
            <w:r w:rsidRPr="00CA48B7">
              <w:rPr>
                <w:rFonts w:ascii="Lato" w:hAnsi="Lato"/>
                <w:sz w:val="22"/>
              </w:rPr>
              <w:t>Support and develop a highly skilled and motivated education workforce through:</w:t>
            </w:r>
          </w:p>
          <w:p w14:paraId="0A2451E3" w14:textId="77777777" w:rsidR="0061190F" w:rsidRPr="00CA48B7" w:rsidRDefault="0061190F" w:rsidP="0061190F">
            <w:pPr>
              <w:rPr>
                <w:rFonts w:ascii="Lato" w:hAnsi="Lato"/>
                <w:sz w:val="22"/>
              </w:rPr>
            </w:pPr>
          </w:p>
          <w:p w14:paraId="0A2451E4" w14:textId="77777777" w:rsidR="0061190F" w:rsidRPr="00CA48B7" w:rsidRDefault="0061190F" w:rsidP="001C6EC2">
            <w:pPr>
              <w:pStyle w:val="ListParagraph"/>
              <w:numPr>
                <w:ilvl w:val="0"/>
                <w:numId w:val="24"/>
              </w:numPr>
              <w:ind w:left="227" w:hanging="227"/>
              <w:contextualSpacing/>
              <w:rPr>
                <w:rFonts w:ascii="Lato" w:hAnsi="Lato"/>
                <w:sz w:val="22"/>
              </w:rPr>
            </w:pPr>
            <w:r w:rsidRPr="00CA48B7">
              <w:rPr>
                <w:rFonts w:ascii="Lato" w:hAnsi="Lato"/>
                <w:sz w:val="22"/>
              </w:rPr>
              <w:t>Improved teacher housing (refurbishment and construction).</w:t>
            </w:r>
          </w:p>
        </w:tc>
      </w:tr>
    </w:tbl>
    <w:p w14:paraId="0A2451E6" w14:textId="77777777" w:rsidR="0036688B" w:rsidRPr="00CA48B7" w:rsidRDefault="00E31076" w:rsidP="00F76351">
      <w:pPr>
        <w:pStyle w:val="Heading2"/>
        <w:spacing w:after="120"/>
        <w:rPr>
          <w:rFonts w:ascii="Lato" w:hAnsi="Lato"/>
        </w:rPr>
      </w:pPr>
      <w:r w:rsidRPr="00950344">
        <w:rPr>
          <w:rFonts w:ascii="Lato" w:hAnsi="Lato"/>
          <w:b w:val="0"/>
          <w:color w:val="auto"/>
          <w:sz w:val="16"/>
          <w:szCs w:val="16"/>
        </w:rPr>
        <w:t>*New houses counted towards meeting milestones under this Implementation Plan may not be counted towards meeting milestones or performance benchmarks under any other agreement, and vice versa, at any time.</w:t>
      </w:r>
      <w:r w:rsidRPr="001C6EC2">
        <w:rPr>
          <w:rFonts w:ascii="Lato" w:hAnsi="Lato"/>
          <w:b w:val="0"/>
          <w:sz w:val="16"/>
          <w:szCs w:val="16"/>
        </w:rPr>
        <w:br/>
      </w:r>
      <w:r>
        <w:rPr>
          <w:rFonts w:ascii="Lato" w:hAnsi="Lato"/>
          <w:sz w:val="16"/>
          <w:szCs w:val="16"/>
        </w:rPr>
        <w:br/>
      </w:r>
      <w:r w:rsidR="0036688B" w:rsidRPr="00CA48B7">
        <w:rPr>
          <w:rFonts w:ascii="Lato" w:hAnsi="Lato"/>
        </w:rPr>
        <w:t xml:space="preserve">Risk </w:t>
      </w:r>
      <w:r w:rsidR="009E7395" w:rsidRPr="00CA48B7">
        <w:rPr>
          <w:rFonts w:ascii="Lato" w:hAnsi="Lato"/>
        </w:rPr>
        <w:t>M</w:t>
      </w:r>
      <w:r w:rsidR="0036688B" w:rsidRPr="00CA48B7">
        <w:rPr>
          <w:rFonts w:ascii="Lato" w:hAnsi="Lato"/>
        </w:rPr>
        <w:t>anagement</w:t>
      </w:r>
    </w:p>
    <w:p w14:paraId="0A2451E7" w14:textId="77777777" w:rsidR="00B37AF0" w:rsidRPr="00CB7F19" w:rsidRDefault="007374A0" w:rsidP="00CB7F19">
      <w:pPr>
        <w:pStyle w:val="ListParagraph"/>
        <w:numPr>
          <w:ilvl w:val="0"/>
          <w:numId w:val="16"/>
        </w:numPr>
        <w:rPr>
          <w:rFonts w:ascii="Lato" w:hAnsi="Lato"/>
          <w:sz w:val="22"/>
        </w:rPr>
      </w:pPr>
      <w:r w:rsidRPr="00CB7F19">
        <w:rPr>
          <w:rFonts w:ascii="Lato" w:hAnsi="Lato"/>
          <w:sz w:val="22"/>
        </w:rPr>
        <w:t xml:space="preserve">A risk management plan is in place. Risks have been actively identified, entered into a risk log and categorised in terms of impact and </w:t>
      </w:r>
      <w:r w:rsidR="001C56EC" w:rsidRPr="00CB7F19">
        <w:rPr>
          <w:rFonts w:ascii="Lato" w:hAnsi="Lato"/>
          <w:sz w:val="22"/>
        </w:rPr>
        <w:t>likelihood</w:t>
      </w:r>
      <w:r w:rsidRPr="00CB7F19">
        <w:rPr>
          <w:rFonts w:ascii="Lato" w:hAnsi="Lato"/>
          <w:sz w:val="22"/>
        </w:rPr>
        <w:t>.</w:t>
      </w:r>
    </w:p>
    <w:p w14:paraId="0A2451E8" w14:textId="77777777" w:rsidR="001C6EC2" w:rsidRDefault="001C6EC2">
      <w:pPr>
        <w:rPr>
          <w:rFonts w:ascii="Lato" w:hAnsi="Lato" w:cs="Arial"/>
          <w:bCs/>
          <w:caps/>
          <w:color w:val="3D4B67"/>
          <w:kern w:val="32"/>
          <w:sz w:val="32"/>
          <w:szCs w:val="36"/>
        </w:rPr>
      </w:pPr>
      <w:r>
        <w:rPr>
          <w:rFonts w:ascii="Lato" w:hAnsi="Lato"/>
        </w:rPr>
        <w:br w:type="page"/>
      </w:r>
    </w:p>
    <w:p w14:paraId="0A2451E9" w14:textId="77777777" w:rsidR="0036688B" w:rsidRPr="00CA48B7" w:rsidRDefault="0036688B" w:rsidP="00A17D70">
      <w:pPr>
        <w:pStyle w:val="Heading1"/>
        <w:rPr>
          <w:rFonts w:ascii="Lato" w:hAnsi="Lato"/>
        </w:rPr>
      </w:pPr>
      <w:r w:rsidRPr="00CA48B7">
        <w:rPr>
          <w:rFonts w:ascii="Lato" w:hAnsi="Lato"/>
        </w:rPr>
        <w:lastRenderedPageBreak/>
        <w:t xml:space="preserve">Part </w:t>
      </w:r>
      <w:r w:rsidR="00717FF1" w:rsidRPr="00CA48B7">
        <w:rPr>
          <w:rFonts w:ascii="Lato" w:hAnsi="Lato"/>
        </w:rPr>
        <w:t>4</w:t>
      </w:r>
      <w:r w:rsidRPr="00CA48B7">
        <w:rPr>
          <w:rFonts w:ascii="Lato" w:hAnsi="Lato"/>
        </w:rPr>
        <w:t>:</w:t>
      </w:r>
      <w:r w:rsidR="00497DC1" w:rsidRPr="00CA48B7">
        <w:rPr>
          <w:rFonts w:ascii="Lato" w:hAnsi="Lato"/>
        </w:rPr>
        <w:t xml:space="preserve"> </w:t>
      </w:r>
      <w:r w:rsidR="0071515C" w:rsidRPr="00CA48B7">
        <w:rPr>
          <w:rFonts w:ascii="Lato" w:hAnsi="Lato"/>
        </w:rPr>
        <w:t>P</w:t>
      </w:r>
      <w:r w:rsidRPr="00CA48B7">
        <w:rPr>
          <w:rFonts w:ascii="Lato" w:hAnsi="Lato"/>
        </w:rPr>
        <w:t>erformance and reporting arrangements</w:t>
      </w:r>
    </w:p>
    <w:p w14:paraId="0A2451EA" w14:textId="77777777" w:rsidR="0036688B" w:rsidRPr="00CA48B7" w:rsidRDefault="00717FF1" w:rsidP="00F76351">
      <w:pPr>
        <w:pStyle w:val="Heading2"/>
        <w:spacing w:after="120"/>
        <w:rPr>
          <w:rFonts w:ascii="Lato" w:hAnsi="Lato"/>
        </w:rPr>
      </w:pPr>
      <w:r w:rsidRPr="00CA48B7">
        <w:rPr>
          <w:rFonts w:ascii="Lato" w:hAnsi="Lato"/>
        </w:rPr>
        <w:t xml:space="preserve">Payment Benchmarks and </w:t>
      </w:r>
      <w:r w:rsidR="0036688B" w:rsidRPr="00CA48B7">
        <w:rPr>
          <w:rFonts w:ascii="Lato" w:hAnsi="Lato"/>
        </w:rPr>
        <w:t>Milestones</w:t>
      </w:r>
    </w:p>
    <w:p w14:paraId="0A2451EB" w14:textId="77777777" w:rsidR="00717FF1" w:rsidRPr="00CA48B7" w:rsidRDefault="00717FF1" w:rsidP="00BD09BB">
      <w:pPr>
        <w:pStyle w:val="Normalnumbered"/>
        <w:numPr>
          <w:ilvl w:val="0"/>
          <w:numId w:val="16"/>
        </w:numPr>
        <w:spacing w:after="240" w:line="260" w:lineRule="exact"/>
        <w:rPr>
          <w:rFonts w:ascii="Lato" w:hAnsi="Lato"/>
          <w:sz w:val="22"/>
        </w:rPr>
      </w:pPr>
      <w:r w:rsidRPr="00CA48B7">
        <w:rPr>
          <w:rFonts w:ascii="Lato" w:hAnsi="Lato"/>
          <w:sz w:val="22"/>
        </w:rPr>
        <w:t>While activity under this Implementation Plan is based on calendar years (1 January 2018 to 31 December 2021), payments will be made based on financial years (2018-19 to 2021-22).</w:t>
      </w:r>
    </w:p>
    <w:p w14:paraId="0A2451EC" w14:textId="77777777" w:rsidR="00717FF1" w:rsidRPr="00CB7F19" w:rsidRDefault="00717FF1" w:rsidP="00BD5E05">
      <w:pPr>
        <w:pStyle w:val="Normalnumbered"/>
        <w:numPr>
          <w:ilvl w:val="0"/>
          <w:numId w:val="16"/>
        </w:numPr>
        <w:spacing w:after="240" w:line="260" w:lineRule="exact"/>
        <w:rPr>
          <w:rFonts w:ascii="Lato" w:hAnsi="Lato"/>
        </w:rPr>
      </w:pPr>
      <w:r w:rsidRPr="00CA48B7">
        <w:rPr>
          <w:rFonts w:ascii="Lato" w:hAnsi="Lato"/>
          <w:sz w:val="22"/>
        </w:rPr>
        <w:t>To qualify for the associated payment outlined at Table 5</w:t>
      </w:r>
      <w:r w:rsidR="00A127B6" w:rsidRPr="00CA48B7">
        <w:rPr>
          <w:rFonts w:ascii="Lato" w:hAnsi="Lato"/>
          <w:sz w:val="22"/>
        </w:rPr>
        <w:t>,</w:t>
      </w:r>
      <w:r w:rsidRPr="00CA48B7">
        <w:rPr>
          <w:rFonts w:ascii="Lato" w:hAnsi="Lato"/>
          <w:sz w:val="22"/>
        </w:rPr>
        <w:t xml:space="preserve"> the Northern Territory must meet the milestones in Table 6 and performance benchmarks in Table 7.</w:t>
      </w:r>
    </w:p>
    <w:p w14:paraId="0A2451ED" w14:textId="77777777" w:rsidR="0036688B" w:rsidRPr="00CA48B7" w:rsidRDefault="00BF5863" w:rsidP="0036688B">
      <w:pPr>
        <w:keepNext/>
        <w:spacing w:before="240" w:after="240"/>
        <w:rPr>
          <w:rFonts w:ascii="Lato" w:hAnsi="Lato"/>
          <w:b/>
          <w:color w:val="3D4B67"/>
        </w:rPr>
      </w:pPr>
      <w:r w:rsidRPr="00CA48B7">
        <w:rPr>
          <w:rFonts w:ascii="Lato" w:hAnsi="Lato"/>
          <w:b/>
          <w:color w:val="3D4B67"/>
        </w:rPr>
        <w:t>Table </w:t>
      </w:r>
      <w:r w:rsidR="007374A0" w:rsidRPr="00CA48B7">
        <w:rPr>
          <w:rFonts w:ascii="Lato" w:hAnsi="Lato"/>
          <w:b/>
          <w:color w:val="3D4B67"/>
        </w:rPr>
        <w:t>5</w:t>
      </w:r>
      <w:r w:rsidR="0036688B" w:rsidRPr="00CA48B7">
        <w:rPr>
          <w:rFonts w:ascii="Lato" w:hAnsi="Lato"/>
          <w:b/>
          <w:color w:val="3D4B67"/>
        </w:rPr>
        <w:t xml:space="preserve">: </w:t>
      </w:r>
      <w:r w:rsidR="00717FF1" w:rsidRPr="00CA48B7">
        <w:rPr>
          <w:rFonts w:ascii="Lato" w:hAnsi="Lato"/>
          <w:b/>
          <w:color w:val="3D4B67"/>
        </w:rPr>
        <w:t>Payment Distribution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83"/>
        <w:gridCol w:w="2046"/>
        <w:gridCol w:w="2077"/>
        <w:gridCol w:w="2061"/>
      </w:tblGrid>
      <w:tr w:rsidR="003733C3" w:rsidRPr="00BD5E05" w14:paraId="0A2451F3" w14:textId="77777777" w:rsidTr="00B4457D">
        <w:tc>
          <w:tcPr>
            <w:tcW w:w="1555" w:type="dxa"/>
            <w:vMerge w:val="restart"/>
            <w:shd w:val="clear" w:color="auto" w:fill="D9D9D9" w:themeFill="background1" w:themeFillShade="D9"/>
          </w:tcPr>
          <w:p w14:paraId="0A2451EE" w14:textId="77777777" w:rsidR="00717FF1" w:rsidRPr="00CA48B7" w:rsidRDefault="00717FF1" w:rsidP="006353DA">
            <w:pPr>
              <w:rPr>
                <w:rFonts w:ascii="Lato" w:hAnsi="Lato"/>
                <w:b/>
                <w:sz w:val="22"/>
              </w:rPr>
            </w:pPr>
            <w:r w:rsidRPr="00CA48B7">
              <w:rPr>
                <w:rFonts w:ascii="Lato" w:hAnsi="Lato"/>
                <w:b/>
                <w:sz w:val="22"/>
              </w:rPr>
              <w:t xml:space="preserve">Payments </w:t>
            </w:r>
          </w:p>
        </w:tc>
        <w:tc>
          <w:tcPr>
            <w:tcW w:w="1583" w:type="dxa"/>
            <w:shd w:val="clear" w:color="auto" w:fill="D9D9D9" w:themeFill="background1" w:themeFillShade="D9"/>
          </w:tcPr>
          <w:p w14:paraId="0A2451EF" w14:textId="77777777" w:rsidR="00717FF1" w:rsidRPr="00CA48B7" w:rsidRDefault="00717FF1" w:rsidP="00453758">
            <w:pPr>
              <w:jc w:val="center"/>
              <w:rPr>
                <w:rFonts w:ascii="Lato" w:hAnsi="Lato"/>
                <w:b/>
                <w:sz w:val="22"/>
              </w:rPr>
            </w:pPr>
            <w:r w:rsidRPr="00CA48B7">
              <w:rPr>
                <w:rFonts w:ascii="Lato" w:hAnsi="Lato"/>
                <w:b/>
                <w:sz w:val="22"/>
              </w:rPr>
              <w:t>2018-19</w:t>
            </w:r>
          </w:p>
        </w:tc>
        <w:tc>
          <w:tcPr>
            <w:tcW w:w="2046" w:type="dxa"/>
            <w:shd w:val="clear" w:color="auto" w:fill="D9D9D9" w:themeFill="background1" w:themeFillShade="D9"/>
          </w:tcPr>
          <w:p w14:paraId="0A2451F0" w14:textId="77777777" w:rsidR="00717FF1" w:rsidRPr="00CA48B7" w:rsidRDefault="00717FF1" w:rsidP="00453758">
            <w:pPr>
              <w:jc w:val="center"/>
              <w:rPr>
                <w:rFonts w:ascii="Lato" w:hAnsi="Lato"/>
                <w:b/>
                <w:sz w:val="22"/>
              </w:rPr>
            </w:pPr>
            <w:r w:rsidRPr="00CA48B7">
              <w:rPr>
                <w:rFonts w:ascii="Lato" w:hAnsi="Lato"/>
                <w:b/>
                <w:sz w:val="22"/>
              </w:rPr>
              <w:t>2019-2020</w:t>
            </w:r>
          </w:p>
        </w:tc>
        <w:tc>
          <w:tcPr>
            <w:tcW w:w="2077" w:type="dxa"/>
            <w:shd w:val="clear" w:color="auto" w:fill="D9D9D9" w:themeFill="background1" w:themeFillShade="D9"/>
          </w:tcPr>
          <w:p w14:paraId="0A2451F1" w14:textId="77777777" w:rsidR="00717FF1" w:rsidRPr="00CA48B7" w:rsidRDefault="00717FF1" w:rsidP="00453758">
            <w:pPr>
              <w:jc w:val="center"/>
              <w:rPr>
                <w:rFonts w:ascii="Lato" w:hAnsi="Lato"/>
                <w:b/>
                <w:sz w:val="22"/>
              </w:rPr>
            </w:pPr>
            <w:r w:rsidRPr="00CA48B7">
              <w:rPr>
                <w:rFonts w:ascii="Lato" w:hAnsi="Lato"/>
                <w:b/>
                <w:sz w:val="22"/>
              </w:rPr>
              <w:t>2020-2021</w:t>
            </w:r>
          </w:p>
        </w:tc>
        <w:tc>
          <w:tcPr>
            <w:tcW w:w="2061" w:type="dxa"/>
            <w:shd w:val="clear" w:color="auto" w:fill="D9D9D9" w:themeFill="background1" w:themeFillShade="D9"/>
          </w:tcPr>
          <w:p w14:paraId="0A2451F2" w14:textId="77777777" w:rsidR="00717FF1" w:rsidRPr="00CA48B7" w:rsidRDefault="00717FF1" w:rsidP="00453758">
            <w:pPr>
              <w:jc w:val="center"/>
              <w:rPr>
                <w:rFonts w:ascii="Lato" w:hAnsi="Lato"/>
                <w:b/>
                <w:sz w:val="22"/>
              </w:rPr>
            </w:pPr>
            <w:r w:rsidRPr="00CA48B7">
              <w:rPr>
                <w:rFonts w:ascii="Lato" w:hAnsi="Lato"/>
                <w:b/>
                <w:sz w:val="22"/>
              </w:rPr>
              <w:t>2021-2022</w:t>
            </w:r>
          </w:p>
        </w:tc>
      </w:tr>
      <w:tr w:rsidR="00717FF1" w:rsidRPr="00BD5E05" w14:paraId="0A2451F6" w14:textId="77777777" w:rsidTr="00B4457D">
        <w:tc>
          <w:tcPr>
            <w:tcW w:w="1555" w:type="dxa"/>
            <w:vMerge/>
            <w:shd w:val="clear" w:color="auto" w:fill="D9D9D9" w:themeFill="background1" w:themeFillShade="D9"/>
          </w:tcPr>
          <w:p w14:paraId="0A2451F4" w14:textId="77777777" w:rsidR="00717FF1" w:rsidRPr="00CA48B7" w:rsidRDefault="00717FF1" w:rsidP="006353DA">
            <w:pPr>
              <w:rPr>
                <w:rFonts w:ascii="Lato" w:hAnsi="Lato"/>
                <w:b/>
                <w:sz w:val="22"/>
              </w:rPr>
            </w:pPr>
          </w:p>
        </w:tc>
        <w:tc>
          <w:tcPr>
            <w:tcW w:w="7767" w:type="dxa"/>
            <w:gridSpan w:val="4"/>
            <w:shd w:val="clear" w:color="auto" w:fill="D9D9D9" w:themeFill="background1" w:themeFillShade="D9"/>
          </w:tcPr>
          <w:p w14:paraId="0A2451F5" w14:textId="77777777" w:rsidR="00717FF1" w:rsidRPr="00CA48B7" w:rsidRDefault="00717FF1" w:rsidP="00717FF1">
            <w:pPr>
              <w:jc w:val="center"/>
              <w:rPr>
                <w:rFonts w:ascii="Lato" w:hAnsi="Lato"/>
                <w:b/>
                <w:sz w:val="22"/>
              </w:rPr>
            </w:pPr>
            <w:r w:rsidRPr="00CA48B7">
              <w:rPr>
                <w:rFonts w:ascii="Lato" w:hAnsi="Lato"/>
                <w:b/>
                <w:sz w:val="22"/>
              </w:rPr>
              <w:t>($million)</w:t>
            </w:r>
          </w:p>
        </w:tc>
      </w:tr>
      <w:tr w:rsidR="003733C3" w:rsidRPr="00BD5E05" w14:paraId="0A2451FC" w14:textId="77777777" w:rsidTr="00B4457D">
        <w:tc>
          <w:tcPr>
            <w:tcW w:w="1555" w:type="dxa"/>
          </w:tcPr>
          <w:p w14:paraId="0A2451F7" w14:textId="77777777" w:rsidR="00991787" w:rsidRPr="00CA48B7" w:rsidRDefault="00991787" w:rsidP="006353DA">
            <w:pPr>
              <w:rPr>
                <w:rFonts w:ascii="Lato" w:hAnsi="Lato"/>
                <w:sz w:val="22"/>
              </w:rPr>
            </w:pPr>
            <w:r w:rsidRPr="00CA48B7">
              <w:rPr>
                <w:rFonts w:ascii="Lato" w:hAnsi="Lato"/>
                <w:sz w:val="22"/>
              </w:rPr>
              <w:t>Milestone payment</w:t>
            </w:r>
          </w:p>
        </w:tc>
        <w:tc>
          <w:tcPr>
            <w:tcW w:w="1583" w:type="dxa"/>
          </w:tcPr>
          <w:p w14:paraId="0A2451F8" w14:textId="77777777" w:rsidR="00991787" w:rsidRPr="00CA48B7" w:rsidRDefault="00CE28B8" w:rsidP="00DB3196">
            <w:pPr>
              <w:jc w:val="center"/>
              <w:rPr>
                <w:rFonts w:ascii="Lato" w:hAnsi="Lato"/>
                <w:sz w:val="22"/>
              </w:rPr>
            </w:pPr>
            <w:r>
              <w:rPr>
                <w:rFonts w:ascii="Lato" w:hAnsi="Lato"/>
                <w:sz w:val="22"/>
                <w:szCs w:val="22"/>
              </w:rPr>
              <w:t>27.212</w:t>
            </w:r>
          </w:p>
        </w:tc>
        <w:tc>
          <w:tcPr>
            <w:tcW w:w="2046" w:type="dxa"/>
          </w:tcPr>
          <w:p w14:paraId="0A2451F9" w14:textId="77777777" w:rsidR="00991787" w:rsidRPr="00CA48B7" w:rsidRDefault="00CE28B8" w:rsidP="00CD59D0">
            <w:pPr>
              <w:jc w:val="center"/>
              <w:rPr>
                <w:rFonts w:ascii="Lato" w:hAnsi="Lato"/>
                <w:sz w:val="22"/>
              </w:rPr>
            </w:pPr>
            <w:r>
              <w:rPr>
                <w:rFonts w:ascii="Lato" w:hAnsi="Lato"/>
                <w:sz w:val="22"/>
                <w:szCs w:val="22"/>
              </w:rPr>
              <w:t>27.984</w:t>
            </w:r>
          </w:p>
        </w:tc>
        <w:tc>
          <w:tcPr>
            <w:tcW w:w="2077" w:type="dxa"/>
          </w:tcPr>
          <w:p w14:paraId="0A2451FA" w14:textId="77777777" w:rsidR="00991787" w:rsidRPr="00CA48B7" w:rsidRDefault="00CE28B8" w:rsidP="00CD59D0">
            <w:pPr>
              <w:jc w:val="center"/>
              <w:rPr>
                <w:rFonts w:ascii="Lato" w:hAnsi="Lato"/>
                <w:sz w:val="22"/>
              </w:rPr>
            </w:pPr>
            <w:r>
              <w:rPr>
                <w:rFonts w:ascii="Lato" w:hAnsi="Lato"/>
                <w:sz w:val="22"/>
                <w:szCs w:val="22"/>
              </w:rPr>
              <w:t>22.363</w:t>
            </w:r>
          </w:p>
        </w:tc>
        <w:tc>
          <w:tcPr>
            <w:tcW w:w="2061" w:type="dxa"/>
          </w:tcPr>
          <w:p w14:paraId="0A2451FB" w14:textId="77777777" w:rsidR="00991787" w:rsidRPr="00CA48B7" w:rsidRDefault="00CE28B8" w:rsidP="00CD59D0">
            <w:pPr>
              <w:jc w:val="center"/>
              <w:rPr>
                <w:rFonts w:ascii="Lato" w:hAnsi="Lato"/>
                <w:sz w:val="22"/>
              </w:rPr>
            </w:pPr>
            <w:r>
              <w:rPr>
                <w:rFonts w:ascii="Lato" w:hAnsi="Lato"/>
                <w:sz w:val="22"/>
                <w:szCs w:val="22"/>
              </w:rPr>
              <w:t>21.026</w:t>
            </w:r>
          </w:p>
        </w:tc>
      </w:tr>
      <w:tr w:rsidR="003733C3" w:rsidRPr="00BD5E05" w14:paraId="0A245202" w14:textId="77777777" w:rsidTr="00B4457D">
        <w:tc>
          <w:tcPr>
            <w:tcW w:w="1555" w:type="dxa"/>
          </w:tcPr>
          <w:p w14:paraId="0A2451FD" w14:textId="77777777" w:rsidR="00991787" w:rsidRPr="00CA48B7" w:rsidRDefault="00991787" w:rsidP="00717FF1">
            <w:pPr>
              <w:rPr>
                <w:rFonts w:ascii="Lato" w:hAnsi="Lato"/>
                <w:sz w:val="22"/>
              </w:rPr>
            </w:pPr>
            <w:r w:rsidRPr="00CA48B7">
              <w:rPr>
                <w:rFonts w:ascii="Lato" w:hAnsi="Lato"/>
                <w:sz w:val="22"/>
              </w:rPr>
              <w:t>Performance Benchmark payment</w:t>
            </w:r>
          </w:p>
        </w:tc>
        <w:tc>
          <w:tcPr>
            <w:tcW w:w="1583" w:type="dxa"/>
          </w:tcPr>
          <w:p w14:paraId="0A2451FE" w14:textId="77777777" w:rsidR="00991787" w:rsidRPr="00CA48B7" w:rsidRDefault="00CE28B8" w:rsidP="00277DAF">
            <w:pPr>
              <w:jc w:val="center"/>
              <w:rPr>
                <w:rFonts w:ascii="Lato" w:hAnsi="Lato"/>
                <w:sz w:val="22"/>
              </w:rPr>
            </w:pPr>
            <w:r>
              <w:rPr>
                <w:rFonts w:ascii="Lato" w:hAnsi="Lato"/>
                <w:sz w:val="22"/>
              </w:rPr>
              <w:t>3.710</w:t>
            </w:r>
          </w:p>
        </w:tc>
        <w:tc>
          <w:tcPr>
            <w:tcW w:w="2046" w:type="dxa"/>
          </w:tcPr>
          <w:p w14:paraId="0A2451FF" w14:textId="77777777" w:rsidR="00991787" w:rsidRPr="00CA48B7" w:rsidRDefault="00CE28B8" w:rsidP="00964AFD">
            <w:pPr>
              <w:jc w:val="center"/>
              <w:rPr>
                <w:rFonts w:ascii="Lato" w:hAnsi="Lato"/>
                <w:sz w:val="22"/>
              </w:rPr>
            </w:pPr>
            <w:r>
              <w:rPr>
                <w:rFonts w:ascii="Lato" w:hAnsi="Lato"/>
                <w:sz w:val="22"/>
              </w:rPr>
              <w:t>4.556</w:t>
            </w:r>
          </w:p>
        </w:tc>
        <w:tc>
          <w:tcPr>
            <w:tcW w:w="2077" w:type="dxa"/>
          </w:tcPr>
          <w:p w14:paraId="0A245200" w14:textId="77777777" w:rsidR="00991787" w:rsidRPr="00CA48B7" w:rsidRDefault="00CE28B8" w:rsidP="00964AFD">
            <w:pPr>
              <w:jc w:val="center"/>
              <w:rPr>
                <w:rFonts w:ascii="Lato" w:hAnsi="Lato"/>
                <w:sz w:val="22"/>
              </w:rPr>
            </w:pPr>
            <w:r>
              <w:rPr>
                <w:rFonts w:ascii="Lato" w:hAnsi="Lato"/>
                <w:sz w:val="22"/>
              </w:rPr>
              <w:t>4.259</w:t>
            </w:r>
          </w:p>
        </w:tc>
        <w:tc>
          <w:tcPr>
            <w:tcW w:w="2061" w:type="dxa"/>
          </w:tcPr>
          <w:p w14:paraId="0A245201" w14:textId="77777777" w:rsidR="00991787" w:rsidRPr="00CA48B7" w:rsidRDefault="00CE28B8" w:rsidP="00CD59D0">
            <w:pPr>
              <w:jc w:val="center"/>
              <w:rPr>
                <w:rFonts w:ascii="Lato" w:hAnsi="Lato"/>
                <w:sz w:val="22"/>
              </w:rPr>
            </w:pPr>
            <w:r>
              <w:rPr>
                <w:rFonts w:ascii="Lato" w:hAnsi="Lato"/>
                <w:sz w:val="22"/>
              </w:rPr>
              <w:t>4.615</w:t>
            </w:r>
          </w:p>
        </w:tc>
      </w:tr>
      <w:tr w:rsidR="003733C3" w:rsidRPr="00BD5E05" w14:paraId="0A245208" w14:textId="77777777" w:rsidTr="00B4457D">
        <w:tc>
          <w:tcPr>
            <w:tcW w:w="1555" w:type="dxa"/>
          </w:tcPr>
          <w:p w14:paraId="0A245203" w14:textId="77777777" w:rsidR="001F6764" w:rsidRPr="00CA48B7" w:rsidRDefault="001F6764" w:rsidP="006353DA">
            <w:pPr>
              <w:rPr>
                <w:rFonts w:ascii="Lato" w:hAnsi="Lato"/>
                <w:b/>
                <w:sz w:val="22"/>
              </w:rPr>
            </w:pPr>
            <w:r w:rsidRPr="00CA48B7">
              <w:rPr>
                <w:rFonts w:ascii="Lato" w:hAnsi="Lato"/>
                <w:b/>
                <w:sz w:val="22"/>
              </w:rPr>
              <w:t>TOTAL</w:t>
            </w:r>
          </w:p>
        </w:tc>
        <w:tc>
          <w:tcPr>
            <w:tcW w:w="1583" w:type="dxa"/>
          </w:tcPr>
          <w:p w14:paraId="0A245204" w14:textId="77777777" w:rsidR="001F6764" w:rsidRPr="00CA48B7" w:rsidRDefault="00CE28B8" w:rsidP="00991787">
            <w:pPr>
              <w:jc w:val="center"/>
              <w:rPr>
                <w:rFonts w:ascii="Lato" w:hAnsi="Lato"/>
                <w:b/>
                <w:sz w:val="22"/>
              </w:rPr>
            </w:pPr>
            <w:r>
              <w:rPr>
                <w:rFonts w:ascii="Lato" w:hAnsi="Lato"/>
                <w:b/>
                <w:sz w:val="22"/>
                <w:szCs w:val="22"/>
              </w:rPr>
              <w:t>30.922</w:t>
            </w:r>
          </w:p>
        </w:tc>
        <w:tc>
          <w:tcPr>
            <w:tcW w:w="2046" w:type="dxa"/>
          </w:tcPr>
          <w:p w14:paraId="0A245205" w14:textId="77777777" w:rsidR="001F6764" w:rsidRPr="00CA48B7" w:rsidRDefault="00CE28B8" w:rsidP="00CD59D0">
            <w:pPr>
              <w:jc w:val="center"/>
              <w:rPr>
                <w:rFonts w:ascii="Lato" w:hAnsi="Lato"/>
                <w:b/>
                <w:sz w:val="22"/>
              </w:rPr>
            </w:pPr>
            <w:r>
              <w:rPr>
                <w:rFonts w:ascii="Lato" w:hAnsi="Lato"/>
                <w:b/>
                <w:sz w:val="22"/>
                <w:szCs w:val="22"/>
              </w:rPr>
              <w:t>32.540</w:t>
            </w:r>
          </w:p>
        </w:tc>
        <w:tc>
          <w:tcPr>
            <w:tcW w:w="2077" w:type="dxa"/>
          </w:tcPr>
          <w:p w14:paraId="0A245206" w14:textId="77777777" w:rsidR="001F6764" w:rsidRPr="00CA48B7" w:rsidRDefault="00CE28B8" w:rsidP="00CD59D0">
            <w:pPr>
              <w:jc w:val="center"/>
              <w:rPr>
                <w:rFonts w:ascii="Lato" w:hAnsi="Lato"/>
                <w:b/>
                <w:sz w:val="22"/>
              </w:rPr>
            </w:pPr>
            <w:r>
              <w:rPr>
                <w:rFonts w:ascii="Lato" w:hAnsi="Lato"/>
                <w:b/>
                <w:sz w:val="22"/>
                <w:szCs w:val="22"/>
              </w:rPr>
              <w:t>26.622</w:t>
            </w:r>
          </w:p>
        </w:tc>
        <w:tc>
          <w:tcPr>
            <w:tcW w:w="2061" w:type="dxa"/>
          </w:tcPr>
          <w:p w14:paraId="0A245207" w14:textId="77777777" w:rsidR="001F6764" w:rsidRPr="00CA48B7" w:rsidRDefault="00CE28B8" w:rsidP="00CD59D0">
            <w:pPr>
              <w:jc w:val="center"/>
              <w:rPr>
                <w:rFonts w:ascii="Lato" w:hAnsi="Lato"/>
                <w:b/>
                <w:sz w:val="22"/>
              </w:rPr>
            </w:pPr>
            <w:r>
              <w:rPr>
                <w:rFonts w:ascii="Lato" w:hAnsi="Lato"/>
                <w:b/>
                <w:sz w:val="22"/>
                <w:szCs w:val="22"/>
              </w:rPr>
              <w:t>25.641</w:t>
            </w:r>
          </w:p>
        </w:tc>
      </w:tr>
    </w:tbl>
    <w:p w14:paraId="0A245209" w14:textId="77777777" w:rsidR="00FB3067" w:rsidRDefault="00FB3067" w:rsidP="00FB3067">
      <w:pPr>
        <w:pStyle w:val="Normalnumbered"/>
        <w:numPr>
          <w:ilvl w:val="0"/>
          <w:numId w:val="0"/>
        </w:numPr>
        <w:spacing w:line="260" w:lineRule="exact"/>
        <w:rPr>
          <w:rFonts w:ascii="Lato" w:hAnsi="Lato"/>
          <w:sz w:val="22"/>
        </w:rPr>
      </w:pPr>
    </w:p>
    <w:p w14:paraId="0A24520A" w14:textId="77777777" w:rsidR="00717FF1" w:rsidRPr="00CA48B7" w:rsidRDefault="00717FF1" w:rsidP="00BD09BB">
      <w:pPr>
        <w:pStyle w:val="Normalnumbered"/>
        <w:numPr>
          <w:ilvl w:val="0"/>
          <w:numId w:val="16"/>
        </w:numPr>
        <w:spacing w:after="240" w:line="260" w:lineRule="exact"/>
        <w:rPr>
          <w:rFonts w:ascii="Lato" w:hAnsi="Lato"/>
          <w:sz w:val="22"/>
        </w:rPr>
      </w:pPr>
      <w:r w:rsidRPr="00CA48B7">
        <w:rPr>
          <w:rFonts w:ascii="Lato" w:hAnsi="Lato"/>
          <w:sz w:val="22"/>
        </w:rPr>
        <w:t>Payments related to achievement of performance ben</w:t>
      </w:r>
      <w:r w:rsidR="00FC22F4" w:rsidRPr="00CA48B7">
        <w:rPr>
          <w:rFonts w:ascii="Lato" w:hAnsi="Lato"/>
          <w:sz w:val="22"/>
        </w:rPr>
        <w:t>chmarks are specified in Table 5</w:t>
      </w:r>
      <w:r w:rsidRPr="00CA48B7">
        <w:rPr>
          <w:rFonts w:ascii="Lato" w:hAnsi="Lato"/>
          <w:sz w:val="22"/>
        </w:rPr>
        <w:t>.</w:t>
      </w:r>
      <w:r w:rsidR="006D1860" w:rsidRPr="00CA48B7">
        <w:rPr>
          <w:rFonts w:ascii="Lato" w:hAnsi="Lato"/>
          <w:sz w:val="22"/>
        </w:rPr>
        <w:t xml:space="preserve"> </w:t>
      </w:r>
      <w:r w:rsidRPr="00CA48B7">
        <w:rPr>
          <w:rFonts w:ascii="Lato" w:hAnsi="Lato"/>
          <w:sz w:val="22"/>
        </w:rPr>
        <w:t>Benchmarks have been chosen because they enable the monitoring of changes and</w:t>
      </w:r>
      <w:r w:rsidR="006D1860" w:rsidRPr="00CA48B7">
        <w:rPr>
          <w:rFonts w:ascii="Lato" w:hAnsi="Lato"/>
          <w:sz w:val="22"/>
        </w:rPr>
        <w:t xml:space="preserve"> </w:t>
      </w:r>
      <w:r w:rsidRPr="00CA48B7">
        <w:rPr>
          <w:rFonts w:ascii="Lato" w:hAnsi="Lato"/>
          <w:sz w:val="22"/>
        </w:rPr>
        <w:t>sustained improvement in student outcomes, and align with key outcomes of the strategy.</w:t>
      </w:r>
    </w:p>
    <w:p w14:paraId="0A24520B" w14:textId="77777777" w:rsidR="00717FF1" w:rsidRPr="00CA48B7" w:rsidRDefault="00717FF1" w:rsidP="00BD09BB">
      <w:pPr>
        <w:pStyle w:val="Normalnumbered"/>
        <w:numPr>
          <w:ilvl w:val="0"/>
          <w:numId w:val="16"/>
        </w:numPr>
        <w:spacing w:after="240" w:line="260" w:lineRule="exact"/>
        <w:rPr>
          <w:rFonts w:ascii="Lato" w:hAnsi="Lato"/>
          <w:sz w:val="22"/>
        </w:rPr>
      </w:pPr>
      <w:r w:rsidRPr="00CA48B7">
        <w:rPr>
          <w:rFonts w:ascii="Lato" w:hAnsi="Lato"/>
          <w:sz w:val="22"/>
        </w:rPr>
        <w:t>To achieve total funding for each performance benchma</w:t>
      </w:r>
      <w:r w:rsidR="006D1860" w:rsidRPr="00CA48B7">
        <w:rPr>
          <w:rFonts w:ascii="Lato" w:hAnsi="Lato"/>
          <w:sz w:val="22"/>
        </w:rPr>
        <w:t>rk, the Northern Territory m</w:t>
      </w:r>
      <w:r w:rsidRPr="00CA48B7">
        <w:rPr>
          <w:rFonts w:ascii="Lato" w:hAnsi="Lato"/>
          <w:sz w:val="22"/>
        </w:rPr>
        <w:t>ust achieve the relevant benchmarks in full. Where a benchmark is not achieved in full</w:t>
      </w:r>
      <w:r w:rsidR="00A127B6" w:rsidRPr="00CA48B7">
        <w:rPr>
          <w:rFonts w:ascii="Lato" w:hAnsi="Lato"/>
          <w:sz w:val="22"/>
        </w:rPr>
        <w:t>,</w:t>
      </w:r>
      <w:r w:rsidRPr="00CA48B7">
        <w:rPr>
          <w:rFonts w:ascii="Lato" w:hAnsi="Lato"/>
          <w:sz w:val="22"/>
        </w:rPr>
        <w:t xml:space="preserve"> but performance exceeds the baseline set in Table 7</w:t>
      </w:r>
      <w:r w:rsidR="00A127B6" w:rsidRPr="00CA48B7">
        <w:rPr>
          <w:rFonts w:ascii="Lato" w:hAnsi="Lato"/>
          <w:sz w:val="22"/>
        </w:rPr>
        <w:t>,</w:t>
      </w:r>
      <w:r w:rsidRPr="00CA48B7">
        <w:rPr>
          <w:rFonts w:ascii="Lato" w:hAnsi="Lato"/>
          <w:sz w:val="22"/>
        </w:rPr>
        <w:t xml:space="preserve"> partial payments will be made based on the proportion of each benchmark achieved above the baseline, in accordance with Table 8.</w:t>
      </w:r>
    </w:p>
    <w:p w14:paraId="0A24520C" w14:textId="77777777" w:rsidR="00717FF1" w:rsidRPr="00CA48B7" w:rsidRDefault="00717FF1" w:rsidP="00BD09BB">
      <w:pPr>
        <w:pStyle w:val="Normalnumbered"/>
        <w:numPr>
          <w:ilvl w:val="0"/>
          <w:numId w:val="16"/>
        </w:numPr>
        <w:spacing w:after="240" w:line="260" w:lineRule="exact"/>
        <w:rPr>
          <w:rFonts w:ascii="Lato" w:hAnsi="Lato"/>
          <w:sz w:val="22"/>
        </w:rPr>
      </w:pPr>
      <w:r w:rsidRPr="00CA48B7">
        <w:rPr>
          <w:rFonts w:ascii="Lato" w:hAnsi="Lato"/>
          <w:sz w:val="22"/>
        </w:rPr>
        <w:t>Separate to the operation of clause 3</w:t>
      </w:r>
      <w:r w:rsidR="00A127B6" w:rsidRPr="00CA48B7">
        <w:rPr>
          <w:rFonts w:ascii="Lato" w:hAnsi="Lato"/>
          <w:sz w:val="22"/>
        </w:rPr>
        <w:t>8</w:t>
      </w:r>
      <w:r w:rsidRPr="00CA48B7">
        <w:rPr>
          <w:rFonts w:ascii="Lato" w:hAnsi="Lato"/>
          <w:sz w:val="22"/>
        </w:rPr>
        <w:t>, if the Northern Territory does not achieve one or more of the performance benchmarks in full due to circumstances beyond its control, the Commonwealth may consider making a partial payment subject to the:</w:t>
      </w:r>
    </w:p>
    <w:p w14:paraId="0A24520D" w14:textId="77777777" w:rsidR="00717FF1" w:rsidRPr="00CA48B7" w:rsidRDefault="00717FF1" w:rsidP="00FB3067">
      <w:pPr>
        <w:pStyle w:val="Normalnumbered"/>
        <w:numPr>
          <w:ilvl w:val="0"/>
          <w:numId w:val="21"/>
        </w:numPr>
        <w:spacing w:after="240" w:line="260" w:lineRule="exact"/>
        <w:jc w:val="both"/>
        <w:rPr>
          <w:rFonts w:ascii="Lato" w:hAnsi="Lato"/>
          <w:sz w:val="22"/>
        </w:rPr>
      </w:pPr>
      <w:r w:rsidRPr="00CA48B7">
        <w:rPr>
          <w:rFonts w:ascii="Lato" w:hAnsi="Lato"/>
          <w:sz w:val="22"/>
        </w:rPr>
        <w:t>Northern Territory demonstrating to the satisfaction of the Commonwealth Minister that it would have achieved the relevant benchmark but for those circumstances;</w:t>
      </w:r>
    </w:p>
    <w:p w14:paraId="0A24520E" w14:textId="77777777" w:rsidR="00717FF1" w:rsidRPr="00CA48B7" w:rsidRDefault="00717FF1" w:rsidP="00FB3067">
      <w:pPr>
        <w:pStyle w:val="Normalnumbered"/>
        <w:numPr>
          <w:ilvl w:val="0"/>
          <w:numId w:val="21"/>
        </w:numPr>
        <w:spacing w:after="240" w:line="260" w:lineRule="exact"/>
        <w:jc w:val="both"/>
        <w:rPr>
          <w:rFonts w:ascii="Lato" w:hAnsi="Lato"/>
          <w:sz w:val="22"/>
        </w:rPr>
      </w:pPr>
      <w:r w:rsidRPr="00CA48B7">
        <w:rPr>
          <w:rFonts w:ascii="Lato" w:hAnsi="Lato"/>
          <w:sz w:val="22"/>
        </w:rPr>
        <w:t>Commonwealth Minister making a written offer of payment to the Northern Territory Minister; and</w:t>
      </w:r>
    </w:p>
    <w:p w14:paraId="0A24520F" w14:textId="77777777" w:rsidR="00717FF1" w:rsidRPr="00CA48B7" w:rsidRDefault="00717FF1" w:rsidP="00FB3067">
      <w:pPr>
        <w:pStyle w:val="Normalnumbered"/>
        <w:numPr>
          <w:ilvl w:val="0"/>
          <w:numId w:val="21"/>
        </w:numPr>
        <w:spacing w:after="240" w:line="260" w:lineRule="exact"/>
        <w:jc w:val="both"/>
        <w:rPr>
          <w:rFonts w:ascii="Lato" w:hAnsi="Lato"/>
          <w:sz w:val="22"/>
        </w:rPr>
      </w:pPr>
      <w:r w:rsidRPr="00CA48B7">
        <w:rPr>
          <w:rFonts w:ascii="Lato" w:hAnsi="Lato"/>
          <w:sz w:val="22"/>
        </w:rPr>
        <w:t>Northern Territory Minister accepting that offer in writing.</w:t>
      </w:r>
    </w:p>
    <w:p w14:paraId="0A245210" w14:textId="77777777" w:rsidR="00717FF1" w:rsidRPr="00CA48B7" w:rsidRDefault="00717FF1" w:rsidP="00BD09BB">
      <w:pPr>
        <w:pStyle w:val="Normalnumbered"/>
        <w:numPr>
          <w:ilvl w:val="0"/>
          <w:numId w:val="16"/>
        </w:numPr>
        <w:spacing w:after="240" w:line="260" w:lineRule="exact"/>
        <w:rPr>
          <w:rFonts w:ascii="Lato" w:hAnsi="Lato"/>
          <w:sz w:val="22"/>
        </w:rPr>
      </w:pPr>
      <w:r w:rsidRPr="00CA48B7">
        <w:rPr>
          <w:rFonts w:ascii="Lato" w:hAnsi="Lato"/>
          <w:sz w:val="22"/>
        </w:rPr>
        <w:t xml:space="preserve">The Commonwealth Minister will have regard to clauses </w:t>
      </w:r>
      <w:r w:rsidR="00E94FF3">
        <w:rPr>
          <w:rFonts w:ascii="Lato" w:hAnsi="Lato"/>
          <w:sz w:val="22"/>
        </w:rPr>
        <w:t>4</w:t>
      </w:r>
      <w:r w:rsidRPr="00CA48B7">
        <w:rPr>
          <w:rFonts w:ascii="Lato" w:hAnsi="Lato"/>
          <w:sz w:val="22"/>
        </w:rPr>
        <w:t xml:space="preserve"> and 1</w:t>
      </w:r>
      <w:r w:rsidR="00FC22F4" w:rsidRPr="00CA48B7">
        <w:rPr>
          <w:rFonts w:ascii="Lato" w:hAnsi="Lato"/>
          <w:sz w:val="22"/>
        </w:rPr>
        <w:t>1</w:t>
      </w:r>
      <w:r w:rsidRPr="00CA48B7">
        <w:rPr>
          <w:rFonts w:ascii="Lato" w:hAnsi="Lato"/>
          <w:sz w:val="22"/>
        </w:rPr>
        <w:t xml:space="preserve"> of this </w:t>
      </w:r>
      <w:r w:rsidR="00A127B6" w:rsidRPr="00CA48B7">
        <w:rPr>
          <w:rFonts w:ascii="Lato" w:hAnsi="Lato"/>
          <w:sz w:val="22"/>
        </w:rPr>
        <w:t>I</w:t>
      </w:r>
      <w:r w:rsidRPr="00CA48B7">
        <w:rPr>
          <w:rFonts w:ascii="Lato" w:hAnsi="Lato"/>
          <w:sz w:val="22"/>
        </w:rPr>
        <w:t xml:space="preserve">mplementation Plan in making an assessment under clause </w:t>
      </w:r>
      <w:r w:rsidR="00A127B6" w:rsidRPr="00CA48B7">
        <w:rPr>
          <w:rFonts w:ascii="Lato" w:hAnsi="Lato"/>
          <w:sz w:val="22"/>
        </w:rPr>
        <w:t>3</w:t>
      </w:r>
      <w:r w:rsidR="00AC376C">
        <w:rPr>
          <w:rFonts w:ascii="Lato" w:hAnsi="Lato"/>
          <w:sz w:val="22"/>
        </w:rPr>
        <w:t>8</w:t>
      </w:r>
      <w:r w:rsidR="00A127B6" w:rsidRPr="00CA48B7">
        <w:rPr>
          <w:rFonts w:ascii="Lato" w:hAnsi="Lato"/>
          <w:sz w:val="22"/>
        </w:rPr>
        <w:t xml:space="preserve"> </w:t>
      </w:r>
      <w:r w:rsidR="003F0918" w:rsidRPr="00CA48B7">
        <w:rPr>
          <w:rFonts w:ascii="Lato" w:hAnsi="Lato"/>
          <w:sz w:val="22"/>
        </w:rPr>
        <w:t>(</w:t>
      </w:r>
      <w:r w:rsidRPr="00CA48B7">
        <w:rPr>
          <w:rFonts w:ascii="Lato" w:hAnsi="Lato"/>
          <w:sz w:val="22"/>
        </w:rPr>
        <w:t>a).</w:t>
      </w:r>
    </w:p>
    <w:p w14:paraId="0A245211" w14:textId="77777777" w:rsidR="0011115F" w:rsidRPr="00CA48B7" w:rsidRDefault="0011115F">
      <w:pPr>
        <w:rPr>
          <w:rFonts w:ascii="Lato" w:hAnsi="Lato"/>
          <w:b/>
          <w:color w:val="3D4B67"/>
          <w:sz w:val="22"/>
        </w:rPr>
      </w:pPr>
      <w:r w:rsidRPr="00CA48B7">
        <w:rPr>
          <w:rFonts w:ascii="Lato" w:hAnsi="Lato"/>
          <w:b/>
          <w:color w:val="3D4B67"/>
          <w:sz w:val="22"/>
        </w:rPr>
        <w:br w:type="page"/>
      </w:r>
    </w:p>
    <w:p w14:paraId="0A245212" w14:textId="77777777" w:rsidR="003715B6" w:rsidRPr="00CA48B7" w:rsidRDefault="003715B6" w:rsidP="003715B6">
      <w:pPr>
        <w:pStyle w:val="Normalnumbered"/>
        <w:numPr>
          <w:ilvl w:val="0"/>
          <w:numId w:val="0"/>
        </w:numPr>
        <w:spacing w:after="240" w:line="260" w:lineRule="exact"/>
        <w:ind w:left="360"/>
        <w:rPr>
          <w:rFonts w:ascii="Lato" w:hAnsi="Lato"/>
          <w:b/>
          <w:color w:val="3D4B67"/>
        </w:rPr>
      </w:pPr>
      <w:r w:rsidRPr="00CA48B7">
        <w:rPr>
          <w:rFonts w:ascii="Lato" w:hAnsi="Lato"/>
          <w:b/>
          <w:color w:val="3D4B67"/>
        </w:rPr>
        <w:lastRenderedPageBreak/>
        <w:t>Table 6: Milestones</w:t>
      </w:r>
    </w:p>
    <w:tbl>
      <w:tblPr>
        <w:tblStyle w:val="TableGrid"/>
        <w:tblW w:w="0" w:type="auto"/>
        <w:tblInd w:w="360" w:type="dxa"/>
        <w:tblLook w:val="04A0" w:firstRow="1" w:lastRow="0" w:firstColumn="1" w:lastColumn="0" w:noHBand="0" w:noVBand="1"/>
      </w:tblPr>
      <w:tblGrid>
        <w:gridCol w:w="3859"/>
        <w:gridCol w:w="1985"/>
        <w:gridCol w:w="1688"/>
        <w:gridCol w:w="1350"/>
      </w:tblGrid>
      <w:tr w:rsidR="003715B6" w:rsidRPr="00BD5E05" w14:paraId="0A245217" w14:textId="77777777" w:rsidTr="00CA48B7">
        <w:tc>
          <w:tcPr>
            <w:tcW w:w="3859" w:type="dxa"/>
          </w:tcPr>
          <w:p w14:paraId="0A245213" w14:textId="77777777" w:rsidR="003715B6" w:rsidRPr="00CA48B7" w:rsidRDefault="003715B6" w:rsidP="000A75C0">
            <w:pPr>
              <w:rPr>
                <w:rFonts w:ascii="Lato" w:hAnsi="Lato"/>
                <w:b/>
                <w:sz w:val="22"/>
                <w:lang w:val="en-US"/>
              </w:rPr>
            </w:pPr>
            <w:r w:rsidRPr="00CA48B7">
              <w:rPr>
                <w:rFonts w:ascii="Lato" w:hAnsi="Lato"/>
                <w:b/>
                <w:sz w:val="22"/>
                <w:lang w:val="en-US"/>
              </w:rPr>
              <w:t>Milestone</w:t>
            </w:r>
          </w:p>
        </w:tc>
        <w:tc>
          <w:tcPr>
            <w:tcW w:w="1985" w:type="dxa"/>
          </w:tcPr>
          <w:p w14:paraId="0A245214" w14:textId="77777777" w:rsidR="003715B6" w:rsidRPr="00CA48B7" w:rsidRDefault="003715B6" w:rsidP="000A75C0">
            <w:pPr>
              <w:rPr>
                <w:rFonts w:ascii="Lato" w:hAnsi="Lato"/>
                <w:b/>
                <w:sz w:val="22"/>
                <w:lang w:val="en-US"/>
              </w:rPr>
            </w:pPr>
            <w:r w:rsidRPr="00CA48B7">
              <w:rPr>
                <w:rFonts w:ascii="Lato" w:hAnsi="Lato"/>
                <w:b/>
                <w:sz w:val="22"/>
                <w:lang w:val="en-US"/>
              </w:rPr>
              <w:t>Reporting Period</w:t>
            </w:r>
          </w:p>
        </w:tc>
        <w:tc>
          <w:tcPr>
            <w:tcW w:w="1688" w:type="dxa"/>
          </w:tcPr>
          <w:p w14:paraId="0A245215" w14:textId="77777777" w:rsidR="003715B6" w:rsidRPr="00CA48B7" w:rsidRDefault="003715B6" w:rsidP="000A75C0">
            <w:pPr>
              <w:rPr>
                <w:rFonts w:ascii="Lato" w:hAnsi="Lato"/>
                <w:b/>
                <w:sz w:val="22"/>
                <w:lang w:val="en-US"/>
              </w:rPr>
            </w:pPr>
            <w:r w:rsidRPr="00CA48B7">
              <w:rPr>
                <w:rFonts w:ascii="Lato" w:hAnsi="Lato"/>
                <w:b/>
                <w:sz w:val="22"/>
                <w:lang w:val="en-US"/>
              </w:rPr>
              <w:t>Reporting Due Date</w:t>
            </w:r>
          </w:p>
        </w:tc>
        <w:tc>
          <w:tcPr>
            <w:tcW w:w="1350" w:type="dxa"/>
          </w:tcPr>
          <w:p w14:paraId="0A245216" w14:textId="77777777" w:rsidR="003715B6" w:rsidRPr="00CA48B7" w:rsidRDefault="003715B6" w:rsidP="003437FB">
            <w:pPr>
              <w:rPr>
                <w:rFonts w:ascii="Lato" w:hAnsi="Lato"/>
                <w:b/>
                <w:sz w:val="22"/>
                <w:lang w:val="en-US"/>
              </w:rPr>
            </w:pPr>
            <w:r w:rsidRPr="00CA48B7">
              <w:rPr>
                <w:rFonts w:ascii="Lato" w:hAnsi="Lato"/>
                <w:b/>
                <w:sz w:val="22"/>
                <w:lang w:val="en-US"/>
              </w:rPr>
              <w:t xml:space="preserve">Percentage of financial year milestone payment </w:t>
            </w:r>
          </w:p>
        </w:tc>
      </w:tr>
      <w:tr w:rsidR="003715B6" w:rsidRPr="00BD5E05" w14:paraId="0A245219" w14:textId="77777777" w:rsidTr="00CA48B7">
        <w:tc>
          <w:tcPr>
            <w:tcW w:w="8882" w:type="dxa"/>
            <w:gridSpan w:val="4"/>
          </w:tcPr>
          <w:p w14:paraId="0A245218" w14:textId="77777777" w:rsidR="003715B6" w:rsidRPr="00CA48B7" w:rsidRDefault="003715B6" w:rsidP="000A75C0">
            <w:pPr>
              <w:jc w:val="center"/>
              <w:rPr>
                <w:rFonts w:ascii="Lato" w:hAnsi="Lato"/>
                <w:b/>
                <w:sz w:val="22"/>
                <w:highlight w:val="yellow"/>
                <w:lang w:val="en-US"/>
              </w:rPr>
            </w:pPr>
            <w:r w:rsidRPr="00CA48B7">
              <w:rPr>
                <w:rFonts w:ascii="Lato" w:hAnsi="Lato"/>
                <w:b/>
                <w:sz w:val="22"/>
                <w:lang w:val="en-US"/>
              </w:rPr>
              <w:t>2018-19</w:t>
            </w:r>
          </w:p>
        </w:tc>
      </w:tr>
      <w:tr w:rsidR="00277DAF" w:rsidRPr="00BD5E05" w14:paraId="0A245222" w14:textId="77777777" w:rsidTr="00CA48B7">
        <w:trPr>
          <w:trHeight w:val="2521"/>
        </w:trPr>
        <w:tc>
          <w:tcPr>
            <w:tcW w:w="3859" w:type="dxa"/>
          </w:tcPr>
          <w:p w14:paraId="0A24521A" w14:textId="77777777" w:rsidR="00277DAF" w:rsidRPr="00CA48B7" w:rsidRDefault="00FB43B3" w:rsidP="00CA48B7">
            <w:pPr>
              <w:pStyle w:val="Normalnumbered"/>
              <w:numPr>
                <w:ilvl w:val="0"/>
                <w:numId w:val="0"/>
              </w:numPr>
              <w:rPr>
                <w:rFonts w:ascii="Lato" w:hAnsi="Lato"/>
                <w:b/>
                <w:color w:val="3D4B67"/>
                <w:sz w:val="22"/>
              </w:rPr>
            </w:pPr>
            <w:r>
              <w:rPr>
                <w:rFonts w:ascii="Lato" w:hAnsi="Lato"/>
                <w:sz w:val="22"/>
              </w:rPr>
              <w:t xml:space="preserve">1. </w:t>
            </w:r>
            <w:r w:rsidR="00277DAF" w:rsidRPr="00CA48B7">
              <w:rPr>
                <w:rFonts w:ascii="Lato" w:hAnsi="Lato"/>
                <w:sz w:val="22"/>
              </w:rPr>
              <w:t>Foundations</w:t>
            </w:r>
          </w:p>
          <w:p w14:paraId="0A24521B" w14:textId="77777777" w:rsidR="00EB0CBF" w:rsidRPr="00CA48B7" w:rsidRDefault="00277DAF" w:rsidP="00506F80">
            <w:pPr>
              <w:pStyle w:val="Normalnumbered"/>
              <w:numPr>
                <w:ilvl w:val="0"/>
                <w:numId w:val="22"/>
              </w:numPr>
              <w:ind w:left="357" w:hanging="357"/>
              <w:rPr>
                <w:rFonts w:ascii="Lato" w:hAnsi="Lato"/>
                <w:sz w:val="22"/>
              </w:rPr>
            </w:pPr>
            <w:r w:rsidRPr="00CA48B7">
              <w:rPr>
                <w:rFonts w:ascii="Lato" w:hAnsi="Lato"/>
                <w:sz w:val="22"/>
              </w:rPr>
              <w:t xml:space="preserve">Operation of </w:t>
            </w:r>
            <w:r w:rsidR="00E721AC">
              <w:rPr>
                <w:rFonts w:ascii="Lato" w:hAnsi="Lato"/>
                <w:sz w:val="22"/>
              </w:rPr>
              <w:t>Families as First Teachers (</w:t>
            </w:r>
            <w:proofErr w:type="spellStart"/>
            <w:r w:rsidRPr="00CA48B7">
              <w:rPr>
                <w:rFonts w:ascii="Lato" w:hAnsi="Lato"/>
                <w:sz w:val="22"/>
              </w:rPr>
              <w:t>FaFT</w:t>
            </w:r>
            <w:proofErr w:type="spellEnd"/>
            <w:r w:rsidR="00E721AC">
              <w:rPr>
                <w:rFonts w:ascii="Lato" w:hAnsi="Lato"/>
                <w:sz w:val="22"/>
              </w:rPr>
              <w:t>)</w:t>
            </w:r>
            <w:r w:rsidRPr="00CA48B7">
              <w:rPr>
                <w:rFonts w:ascii="Lato" w:hAnsi="Lato"/>
                <w:sz w:val="22"/>
              </w:rPr>
              <w:t xml:space="preserve"> in 32 sites</w:t>
            </w:r>
            <w:r w:rsidR="00E3110E">
              <w:rPr>
                <w:rFonts w:ascii="Lato" w:hAnsi="Lato"/>
                <w:sz w:val="22"/>
                <w:szCs w:val="22"/>
              </w:rPr>
              <w:t>;</w:t>
            </w:r>
          </w:p>
          <w:p w14:paraId="0A24521C" w14:textId="77777777" w:rsidR="00085277" w:rsidRDefault="00E3110E" w:rsidP="00506F80">
            <w:pPr>
              <w:pStyle w:val="Normalnumbered"/>
              <w:numPr>
                <w:ilvl w:val="0"/>
                <w:numId w:val="22"/>
              </w:numPr>
              <w:ind w:left="357" w:hanging="357"/>
              <w:rPr>
                <w:rFonts w:ascii="Lato" w:hAnsi="Lato"/>
                <w:sz w:val="22"/>
              </w:rPr>
            </w:pPr>
            <w:r>
              <w:rPr>
                <w:rFonts w:ascii="Lato" w:hAnsi="Lato"/>
                <w:sz w:val="22"/>
              </w:rPr>
              <w:t>e</w:t>
            </w:r>
            <w:r w:rsidR="00A77446">
              <w:rPr>
                <w:rFonts w:ascii="Lato" w:hAnsi="Lato"/>
                <w:sz w:val="22"/>
              </w:rPr>
              <w:t xml:space="preserve">ach </w:t>
            </w:r>
            <w:proofErr w:type="spellStart"/>
            <w:r w:rsidR="00A77446">
              <w:rPr>
                <w:rFonts w:ascii="Lato" w:hAnsi="Lato"/>
                <w:sz w:val="22"/>
              </w:rPr>
              <w:t>F</w:t>
            </w:r>
            <w:r w:rsidR="00277DAF" w:rsidRPr="00CA48B7">
              <w:rPr>
                <w:rFonts w:ascii="Lato" w:hAnsi="Lato"/>
                <w:sz w:val="22"/>
              </w:rPr>
              <w:t>aFT</w:t>
            </w:r>
            <w:proofErr w:type="spellEnd"/>
            <w:r w:rsidR="00277DAF" w:rsidRPr="00CA48B7">
              <w:rPr>
                <w:rFonts w:ascii="Lato" w:hAnsi="Lato"/>
                <w:sz w:val="22"/>
              </w:rPr>
              <w:t xml:space="preserve"> program</w:t>
            </w:r>
            <w:r w:rsidR="00085277">
              <w:rPr>
                <w:rFonts w:ascii="Lato" w:hAnsi="Lato"/>
                <w:sz w:val="22"/>
              </w:rPr>
              <w:t xml:space="preserve"> is delivered at least </w:t>
            </w:r>
            <w:r w:rsidR="00277DAF" w:rsidRPr="00CA48B7">
              <w:rPr>
                <w:rFonts w:ascii="Lato" w:hAnsi="Lato"/>
                <w:sz w:val="22"/>
              </w:rPr>
              <w:t>three days per week</w:t>
            </w:r>
            <w:r>
              <w:rPr>
                <w:rFonts w:ascii="Lato" w:hAnsi="Lato"/>
                <w:sz w:val="22"/>
              </w:rPr>
              <w:t>;</w:t>
            </w:r>
          </w:p>
          <w:p w14:paraId="0A24521D" w14:textId="77777777" w:rsidR="00277DAF" w:rsidRPr="00CA48B7" w:rsidRDefault="00D953ED" w:rsidP="00506F80">
            <w:pPr>
              <w:pStyle w:val="Normalnumbered"/>
              <w:numPr>
                <w:ilvl w:val="0"/>
                <w:numId w:val="22"/>
              </w:numPr>
              <w:ind w:left="357" w:hanging="357"/>
              <w:rPr>
                <w:rFonts w:ascii="Lato" w:hAnsi="Lato"/>
                <w:sz w:val="22"/>
              </w:rPr>
            </w:pPr>
            <w:r w:rsidRPr="00D40B0E">
              <w:rPr>
                <w:rFonts w:ascii="Lato" w:hAnsi="Lato"/>
                <w:sz w:val="22"/>
                <w:szCs w:val="22"/>
              </w:rPr>
              <w:t>1400</w:t>
            </w:r>
            <w:r w:rsidRPr="00CA48B7">
              <w:rPr>
                <w:rFonts w:ascii="Lato" w:hAnsi="Lato"/>
                <w:sz w:val="22"/>
              </w:rPr>
              <w:t xml:space="preserve"> </w:t>
            </w:r>
            <w:r w:rsidR="00277DAF" w:rsidRPr="00CA48B7">
              <w:rPr>
                <w:rFonts w:ascii="Lato" w:hAnsi="Lato"/>
                <w:sz w:val="22"/>
              </w:rPr>
              <w:t xml:space="preserve">children </w:t>
            </w:r>
            <w:r w:rsidR="00A77446">
              <w:rPr>
                <w:rFonts w:ascii="Lato" w:hAnsi="Lato"/>
                <w:sz w:val="22"/>
              </w:rPr>
              <w:t xml:space="preserve">supported by </w:t>
            </w:r>
            <w:r w:rsidR="00277DAF" w:rsidRPr="00CA48B7">
              <w:rPr>
                <w:rFonts w:ascii="Lato" w:hAnsi="Lato"/>
                <w:sz w:val="22"/>
              </w:rPr>
              <w:t>their families</w:t>
            </w:r>
            <w:r w:rsidR="00085277">
              <w:rPr>
                <w:rFonts w:ascii="Lato" w:hAnsi="Lato"/>
                <w:sz w:val="22"/>
              </w:rPr>
              <w:t xml:space="preserve"> </w:t>
            </w:r>
            <w:r w:rsidR="00A77446">
              <w:rPr>
                <w:rFonts w:ascii="Lato" w:hAnsi="Lato"/>
                <w:sz w:val="22"/>
              </w:rPr>
              <w:t xml:space="preserve">are enrolled in </w:t>
            </w:r>
            <w:proofErr w:type="spellStart"/>
            <w:r w:rsidR="00A77446">
              <w:rPr>
                <w:rFonts w:ascii="Lato" w:hAnsi="Lato"/>
                <w:sz w:val="22"/>
              </w:rPr>
              <w:t>FaFT</w:t>
            </w:r>
            <w:proofErr w:type="spellEnd"/>
            <w:r w:rsidR="00A77446">
              <w:rPr>
                <w:rFonts w:ascii="Lato" w:hAnsi="Lato"/>
                <w:sz w:val="22"/>
              </w:rPr>
              <w:t xml:space="preserve"> programs</w:t>
            </w:r>
            <w:r w:rsidR="00E3110E">
              <w:rPr>
                <w:rFonts w:ascii="Lato" w:hAnsi="Lato"/>
                <w:sz w:val="22"/>
              </w:rPr>
              <w:t>; and</w:t>
            </w:r>
          </w:p>
          <w:p w14:paraId="0A24521E" w14:textId="77777777" w:rsidR="00277DAF" w:rsidRPr="00CA48B7" w:rsidRDefault="00E3110E" w:rsidP="00506F80">
            <w:pPr>
              <w:pStyle w:val="Normalnumbered"/>
              <w:numPr>
                <w:ilvl w:val="0"/>
                <w:numId w:val="22"/>
              </w:numPr>
              <w:ind w:left="357" w:hanging="357"/>
              <w:rPr>
                <w:rFonts w:ascii="Lato" w:hAnsi="Lato"/>
                <w:sz w:val="22"/>
              </w:rPr>
            </w:pPr>
            <w:proofErr w:type="gramStart"/>
            <w:r>
              <w:rPr>
                <w:rFonts w:ascii="Lato" w:hAnsi="Lato"/>
                <w:sz w:val="22"/>
              </w:rPr>
              <w:t>d</w:t>
            </w:r>
            <w:r w:rsidR="00806FFA" w:rsidRPr="008D7145">
              <w:rPr>
                <w:rFonts w:ascii="Lato" w:hAnsi="Lato"/>
                <w:sz w:val="22"/>
              </w:rPr>
              <w:t>evelopment</w:t>
            </w:r>
            <w:proofErr w:type="gramEnd"/>
            <w:r w:rsidR="00806FFA" w:rsidRPr="008D7145">
              <w:rPr>
                <w:rFonts w:ascii="Lato" w:hAnsi="Lato"/>
                <w:sz w:val="22"/>
              </w:rPr>
              <w:t xml:space="preserve"> of an adult literacy program in four sites</w:t>
            </w:r>
            <w:r>
              <w:rPr>
                <w:rFonts w:ascii="Lato" w:hAnsi="Lato"/>
                <w:sz w:val="22"/>
              </w:rPr>
              <w:t>.</w:t>
            </w:r>
          </w:p>
        </w:tc>
        <w:tc>
          <w:tcPr>
            <w:tcW w:w="1985" w:type="dxa"/>
          </w:tcPr>
          <w:p w14:paraId="0A24521F" w14:textId="77777777" w:rsidR="00277DAF" w:rsidRPr="00CA48B7" w:rsidRDefault="00277DAF" w:rsidP="000A75C0">
            <w:pPr>
              <w:pStyle w:val="Normalnumbered"/>
              <w:numPr>
                <w:ilvl w:val="0"/>
                <w:numId w:val="0"/>
              </w:numPr>
              <w:jc w:val="center"/>
              <w:rPr>
                <w:rFonts w:ascii="Lato" w:hAnsi="Lato"/>
                <w:b/>
                <w:color w:val="3D4B67"/>
                <w:sz w:val="22"/>
              </w:rPr>
            </w:pPr>
            <w:r w:rsidRPr="00CA48B7">
              <w:rPr>
                <w:rFonts w:ascii="Lato" w:hAnsi="Lato"/>
                <w:sz w:val="22"/>
              </w:rPr>
              <w:t>1 January to 31 December 2018</w:t>
            </w:r>
          </w:p>
        </w:tc>
        <w:tc>
          <w:tcPr>
            <w:tcW w:w="1688" w:type="dxa"/>
          </w:tcPr>
          <w:p w14:paraId="0A245220" w14:textId="77777777" w:rsidR="00277DAF" w:rsidRPr="00CA48B7" w:rsidRDefault="00277DAF" w:rsidP="000A75C0">
            <w:pPr>
              <w:pStyle w:val="Normalnumbered"/>
              <w:numPr>
                <w:ilvl w:val="0"/>
                <w:numId w:val="0"/>
              </w:numPr>
              <w:jc w:val="center"/>
              <w:rPr>
                <w:rFonts w:ascii="Lato" w:hAnsi="Lato"/>
                <w:sz w:val="22"/>
              </w:rPr>
            </w:pPr>
            <w:r w:rsidRPr="00CA48B7">
              <w:rPr>
                <w:rFonts w:ascii="Lato" w:hAnsi="Lato"/>
                <w:sz w:val="22"/>
              </w:rPr>
              <w:t>31 March 2019</w:t>
            </w:r>
          </w:p>
        </w:tc>
        <w:tc>
          <w:tcPr>
            <w:tcW w:w="1350" w:type="dxa"/>
          </w:tcPr>
          <w:p w14:paraId="0A245221" w14:textId="77777777" w:rsidR="00277DAF" w:rsidRPr="00EB52F4" w:rsidRDefault="00A20C1A">
            <w:pPr>
              <w:pStyle w:val="Normalnumbered"/>
              <w:numPr>
                <w:ilvl w:val="0"/>
                <w:numId w:val="0"/>
              </w:numPr>
              <w:jc w:val="center"/>
              <w:rPr>
                <w:rFonts w:ascii="Lato" w:hAnsi="Lato"/>
                <w:color w:val="auto"/>
                <w:sz w:val="22"/>
              </w:rPr>
            </w:pPr>
            <w:r w:rsidRPr="00EB52F4">
              <w:rPr>
                <w:rFonts w:ascii="Lato" w:hAnsi="Lato"/>
                <w:color w:val="auto"/>
                <w:sz w:val="22"/>
              </w:rPr>
              <w:t>36%</w:t>
            </w:r>
          </w:p>
        </w:tc>
      </w:tr>
      <w:tr w:rsidR="00A97329" w:rsidRPr="00BD5E05" w14:paraId="0A245228" w14:textId="77777777" w:rsidTr="000A75C0">
        <w:tc>
          <w:tcPr>
            <w:tcW w:w="3859" w:type="dxa"/>
          </w:tcPr>
          <w:p w14:paraId="0A245223" w14:textId="77777777" w:rsidR="00A97329" w:rsidRDefault="00FB43B3" w:rsidP="00CA48B7">
            <w:pPr>
              <w:pStyle w:val="Normalnumbered"/>
              <w:numPr>
                <w:ilvl w:val="0"/>
                <w:numId w:val="0"/>
              </w:numPr>
              <w:ind w:left="567" w:hanging="567"/>
              <w:rPr>
                <w:rFonts w:ascii="Lato" w:hAnsi="Lato"/>
                <w:sz w:val="22"/>
              </w:rPr>
            </w:pPr>
            <w:r>
              <w:rPr>
                <w:rFonts w:ascii="Lato" w:hAnsi="Lato"/>
                <w:sz w:val="22"/>
              </w:rPr>
              <w:t xml:space="preserve">2. </w:t>
            </w:r>
            <w:r w:rsidR="00A97329">
              <w:rPr>
                <w:rFonts w:ascii="Lato" w:hAnsi="Lato"/>
                <w:sz w:val="22"/>
              </w:rPr>
              <w:t>Essentials</w:t>
            </w:r>
          </w:p>
          <w:p w14:paraId="0A245224" w14:textId="77777777" w:rsidR="00A97329" w:rsidRPr="00CA48B7" w:rsidRDefault="00A97329" w:rsidP="00506F80">
            <w:pPr>
              <w:pStyle w:val="Normalnumbered"/>
              <w:numPr>
                <w:ilvl w:val="0"/>
                <w:numId w:val="22"/>
              </w:numPr>
              <w:ind w:left="357" w:hanging="357"/>
              <w:rPr>
                <w:rFonts w:ascii="Lato" w:hAnsi="Lato"/>
                <w:sz w:val="22"/>
              </w:rPr>
            </w:pPr>
            <w:r w:rsidRPr="00CB7F19">
              <w:rPr>
                <w:rFonts w:ascii="Lato" w:hAnsi="Lato"/>
                <w:sz w:val="22"/>
              </w:rPr>
              <w:t>Not Applicable - f</w:t>
            </w:r>
            <w:r w:rsidRPr="007059E4">
              <w:rPr>
                <w:rFonts w:ascii="Lato" w:hAnsi="Lato"/>
                <w:sz w:val="22"/>
              </w:rPr>
              <w:t>ully funded by the NT</w:t>
            </w:r>
            <w:r w:rsidR="00E3110E">
              <w:rPr>
                <w:rFonts w:ascii="Lato" w:hAnsi="Lato"/>
                <w:sz w:val="22"/>
              </w:rPr>
              <w:t>.</w:t>
            </w:r>
          </w:p>
        </w:tc>
        <w:tc>
          <w:tcPr>
            <w:tcW w:w="1985" w:type="dxa"/>
          </w:tcPr>
          <w:p w14:paraId="0A245225" w14:textId="77777777" w:rsidR="00A97329" w:rsidRPr="00CA48B7" w:rsidRDefault="00A97329" w:rsidP="000A75C0">
            <w:pPr>
              <w:pStyle w:val="Normalnumbered"/>
              <w:numPr>
                <w:ilvl w:val="0"/>
                <w:numId w:val="0"/>
              </w:numPr>
              <w:spacing w:after="240" w:line="260" w:lineRule="exact"/>
              <w:rPr>
                <w:rFonts w:ascii="Lato" w:hAnsi="Lato"/>
                <w:b/>
                <w:color w:val="3D4B67"/>
                <w:sz w:val="22"/>
              </w:rPr>
            </w:pPr>
          </w:p>
        </w:tc>
        <w:tc>
          <w:tcPr>
            <w:tcW w:w="1688" w:type="dxa"/>
          </w:tcPr>
          <w:p w14:paraId="0A245226" w14:textId="77777777" w:rsidR="00A97329" w:rsidRPr="00CA48B7" w:rsidRDefault="00A97329" w:rsidP="000A75C0">
            <w:pPr>
              <w:pStyle w:val="Normalnumbered"/>
              <w:numPr>
                <w:ilvl w:val="0"/>
                <w:numId w:val="0"/>
              </w:numPr>
              <w:spacing w:after="240" w:line="260" w:lineRule="exact"/>
              <w:rPr>
                <w:rFonts w:ascii="Lato" w:hAnsi="Lato"/>
                <w:b/>
                <w:color w:val="3D4B67"/>
                <w:sz w:val="22"/>
              </w:rPr>
            </w:pPr>
          </w:p>
        </w:tc>
        <w:tc>
          <w:tcPr>
            <w:tcW w:w="1350" w:type="dxa"/>
          </w:tcPr>
          <w:p w14:paraId="0A245227" w14:textId="77777777" w:rsidR="00A97329" w:rsidRPr="003752CA" w:rsidRDefault="00A20C1A" w:rsidP="003752CA">
            <w:pPr>
              <w:pStyle w:val="Normalnumbered"/>
              <w:numPr>
                <w:ilvl w:val="0"/>
                <w:numId w:val="0"/>
              </w:numPr>
              <w:jc w:val="center"/>
              <w:rPr>
                <w:rFonts w:ascii="Lato" w:hAnsi="Lato"/>
                <w:color w:val="auto"/>
                <w:sz w:val="22"/>
              </w:rPr>
            </w:pPr>
            <w:r w:rsidRPr="003752CA">
              <w:rPr>
                <w:rFonts w:ascii="Lato" w:hAnsi="Lato"/>
                <w:color w:val="auto"/>
                <w:sz w:val="22"/>
              </w:rPr>
              <w:t>0%</w:t>
            </w:r>
          </w:p>
        </w:tc>
      </w:tr>
      <w:tr w:rsidR="00277DAF" w:rsidRPr="00BD5E05" w14:paraId="0A24522E" w14:textId="77777777" w:rsidTr="000A75C0">
        <w:tc>
          <w:tcPr>
            <w:tcW w:w="3859" w:type="dxa"/>
          </w:tcPr>
          <w:p w14:paraId="0A245229" w14:textId="77777777" w:rsidR="00277DAF" w:rsidRPr="00CA48B7" w:rsidRDefault="00FB43B3" w:rsidP="00CA48B7">
            <w:pPr>
              <w:pStyle w:val="Normalnumbered"/>
              <w:numPr>
                <w:ilvl w:val="0"/>
                <w:numId w:val="0"/>
              </w:numPr>
              <w:ind w:left="567" w:hanging="567"/>
              <w:rPr>
                <w:rFonts w:ascii="Lato" w:hAnsi="Lato"/>
                <w:b/>
                <w:color w:val="3D4B67"/>
                <w:sz w:val="22"/>
              </w:rPr>
            </w:pPr>
            <w:r>
              <w:rPr>
                <w:rFonts w:ascii="Lato" w:hAnsi="Lato"/>
                <w:sz w:val="22"/>
              </w:rPr>
              <w:t xml:space="preserve">3. </w:t>
            </w:r>
            <w:r w:rsidR="00277DAF" w:rsidRPr="00CA48B7">
              <w:rPr>
                <w:rFonts w:ascii="Lato" w:hAnsi="Lato"/>
                <w:sz w:val="22"/>
              </w:rPr>
              <w:t>Pathways</w:t>
            </w:r>
          </w:p>
          <w:p w14:paraId="0A24522A" w14:textId="77777777" w:rsidR="00277DAF" w:rsidRPr="00925961" w:rsidRDefault="00277DAF" w:rsidP="00506F80">
            <w:pPr>
              <w:pStyle w:val="Normalnumbered"/>
              <w:numPr>
                <w:ilvl w:val="0"/>
                <w:numId w:val="22"/>
              </w:numPr>
              <w:rPr>
                <w:rFonts w:ascii="Lato" w:hAnsi="Lato"/>
                <w:sz w:val="22"/>
              </w:rPr>
            </w:pPr>
            <w:r w:rsidRPr="00CA48B7">
              <w:rPr>
                <w:rFonts w:ascii="Lato" w:hAnsi="Lato"/>
                <w:sz w:val="22"/>
              </w:rPr>
              <w:t xml:space="preserve">Transition </w:t>
            </w:r>
            <w:r w:rsidR="0038188F" w:rsidRPr="00BD5E05">
              <w:rPr>
                <w:rFonts w:ascii="Lato" w:hAnsi="Lato"/>
                <w:sz w:val="22"/>
                <w:szCs w:val="22"/>
              </w:rPr>
              <w:t>support</w:t>
            </w:r>
            <w:r w:rsidR="0038188F" w:rsidRPr="00CA48B7">
              <w:rPr>
                <w:rFonts w:ascii="Lato" w:hAnsi="Lato"/>
                <w:sz w:val="22"/>
              </w:rPr>
              <w:t xml:space="preserve"> </w:t>
            </w:r>
            <w:r w:rsidRPr="00CA48B7">
              <w:rPr>
                <w:rFonts w:ascii="Lato" w:hAnsi="Lato"/>
                <w:sz w:val="22"/>
              </w:rPr>
              <w:t xml:space="preserve">provided to at least </w:t>
            </w:r>
            <w:r w:rsidR="001A3766" w:rsidRPr="00E32FA9">
              <w:rPr>
                <w:rFonts w:ascii="Lato" w:hAnsi="Lato"/>
                <w:sz w:val="22"/>
              </w:rPr>
              <w:t>56</w:t>
            </w:r>
            <w:r w:rsidR="001A3766">
              <w:rPr>
                <w:rFonts w:ascii="Lato" w:hAnsi="Lato"/>
                <w:sz w:val="22"/>
              </w:rPr>
              <w:t xml:space="preserve"> </w:t>
            </w:r>
            <w:r w:rsidRPr="00CA48B7">
              <w:rPr>
                <w:rFonts w:ascii="Lato" w:hAnsi="Lato"/>
                <w:sz w:val="22"/>
              </w:rPr>
              <w:t>remote and very remote</w:t>
            </w:r>
            <w:r w:rsidR="001D43E8" w:rsidRPr="00CA48B7">
              <w:rPr>
                <w:rFonts w:ascii="Lato" w:hAnsi="Lato"/>
                <w:sz w:val="22"/>
              </w:rPr>
              <w:t xml:space="preserve"> </w:t>
            </w:r>
            <w:r w:rsidR="001D43E8" w:rsidRPr="00BD5E05">
              <w:rPr>
                <w:rFonts w:ascii="Lato" w:hAnsi="Lato"/>
                <w:sz w:val="22"/>
                <w:szCs w:val="22"/>
              </w:rPr>
              <w:t>government</w:t>
            </w:r>
            <w:r w:rsidRPr="00BD5E05">
              <w:rPr>
                <w:rFonts w:ascii="Lato" w:hAnsi="Lato"/>
                <w:sz w:val="22"/>
                <w:szCs w:val="22"/>
              </w:rPr>
              <w:t xml:space="preserve"> </w:t>
            </w:r>
            <w:r w:rsidRPr="00CA48B7">
              <w:rPr>
                <w:rFonts w:ascii="Lato" w:hAnsi="Lato"/>
                <w:sz w:val="22"/>
              </w:rPr>
              <w:t>schools</w:t>
            </w:r>
            <w:r w:rsidR="003706A6">
              <w:rPr>
                <w:rFonts w:ascii="Lato" w:hAnsi="Lato"/>
                <w:sz w:val="22"/>
                <w:szCs w:val="22"/>
              </w:rPr>
              <w:t xml:space="preserve"> that do not offer a </w:t>
            </w:r>
            <w:r w:rsidR="00F74759" w:rsidRPr="00F74759">
              <w:rPr>
                <w:rFonts w:ascii="Lato" w:hAnsi="Lato"/>
                <w:sz w:val="22"/>
                <w:szCs w:val="22"/>
              </w:rPr>
              <w:t xml:space="preserve">Northern Territory Certificate of Education and Training </w:t>
            </w:r>
            <w:r w:rsidR="00F74759">
              <w:rPr>
                <w:rFonts w:ascii="Lato" w:hAnsi="Lato"/>
                <w:sz w:val="22"/>
                <w:szCs w:val="22"/>
              </w:rPr>
              <w:t>(</w:t>
            </w:r>
            <w:r w:rsidR="003706A6">
              <w:rPr>
                <w:rFonts w:ascii="Lato" w:hAnsi="Lato"/>
                <w:sz w:val="22"/>
                <w:szCs w:val="22"/>
              </w:rPr>
              <w:t>NTCET</w:t>
            </w:r>
            <w:r w:rsidR="00F74759">
              <w:rPr>
                <w:rFonts w:ascii="Lato" w:hAnsi="Lato"/>
                <w:sz w:val="22"/>
                <w:szCs w:val="22"/>
              </w:rPr>
              <w:t>)</w:t>
            </w:r>
            <w:r w:rsidR="00E3110E">
              <w:rPr>
                <w:rFonts w:ascii="Lato" w:hAnsi="Lato"/>
                <w:sz w:val="22"/>
                <w:szCs w:val="22"/>
              </w:rPr>
              <w:t>.</w:t>
            </w:r>
          </w:p>
        </w:tc>
        <w:tc>
          <w:tcPr>
            <w:tcW w:w="1985" w:type="dxa"/>
          </w:tcPr>
          <w:p w14:paraId="0A24522B"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688" w:type="dxa"/>
          </w:tcPr>
          <w:p w14:paraId="0A24522C"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350" w:type="dxa"/>
          </w:tcPr>
          <w:p w14:paraId="0A24522D" w14:textId="77777777" w:rsidR="00277DAF" w:rsidRPr="003752CA" w:rsidRDefault="00A20C1A" w:rsidP="003752CA">
            <w:pPr>
              <w:pStyle w:val="Normalnumbered"/>
              <w:numPr>
                <w:ilvl w:val="0"/>
                <w:numId w:val="0"/>
              </w:numPr>
              <w:jc w:val="center"/>
              <w:rPr>
                <w:rFonts w:ascii="Lato" w:hAnsi="Lato"/>
                <w:color w:val="auto"/>
                <w:sz w:val="22"/>
              </w:rPr>
            </w:pPr>
            <w:r w:rsidRPr="003752CA">
              <w:rPr>
                <w:rFonts w:ascii="Lato" w:hAnsi="Lato"/>
                <w:color w:val="auto"/>
                <w:sz w:val="22"/>
              </w:rPr>
              <w:t>1</w:t>
            </w:r>
            <w:r w:rsidR="00F44EA8">
              <w:rPr>
                <w:rFonts w:ascii="Lato" w:hAnsi="Lato"/>
                <w:color w:val="auto"/>
                <w:sz w:val="22"/>
              </w:rPr>
              <w:t>6</w:t>
            </w:r>
            <w:r w:rsidRPr="003752CA">
              <w:rPr>
                <w:rFonts w:ascii="Lato" w:hAnsi="Lato"/>
                <w:color w:val="auto"/>
                <w:sz w:val="22"/>
              </w:rPr>
              <w:t>%</w:t>
            </w:r>
          </w:p>
        </w:tc>
      </w:tr>
      <w:tr w:rsidR="00277DAF" w:rsidRPr="00BD5E05" w14:paraId="0A245236" w14:textId="77777777" w:rsidTr="000A75C0">
        <w:tc>
          <w:tcPr>
            <w:tcW w:w="3859" w:type="dxa"/>
          </w:tcPr>
          <w:p w14:paraId="0A24522F" w14:textId="77777777" w:rsidR="009B475C" w:rsidRPr="00CA48B7" w:rsidRDefault="00FB43B3" w:rsidP="00CA48B7">
            <w:pPr>
              <w:pStyle w:val="Normalnumbered"/>
              <w:numPr>
                <w:ilvl w:val="0"/>
                <w:numId w:val="0"/>
              </w:numPr>
              <w:ind w:left="567" w:hanging="567"/>
              <w:rPr>
                <w:rFonts w:ascii="Lato" w:hAnsi="Lato"/>
                <w:sz w:val="22"/>
              </w:rPr>
            </w:pPr>
            <w:r>
              <w:rPr>
                <w:rFonts w:ascii="Lato" w:hAnsi="Lato"/>
                <w:sz w:val="22"/>
              </w:rPr>
              <w:t xml:space="preserve">4. </w:t>
            </w:r>
            <w:r w:rsidR="00277DAF" w:rsidRPr="00CA48B7">
              <w:rPr>
                <w:rFonts w:ascii="Lato" w:hAnsi="Lato"/>
                <w:sz w:val="22"/>
              </w:rPr>
              <w:t>Engagement</w:t>
            </w:r>
          </w:p>
          <w:p w14:paraId="0A245230" w14:textId="77777777" w:rsidR="00277DAF" w:rsidRDefault="00277DAF" w:rsidP="00506F80">
            <w:pPr>
              <w:pStyle w:val="Normalnumbered"/>
              <w:numPr>
                <w:ilvl w:val="0"/>
                <w:numId w:val="22"/>
              </w:numPr>
              <w:ind w:left="357" w:hanging="357"/>
              <w:rPr>
                <w:rFonts w:ascii="Lato" w:hAnsi="Lato"/>
                <w:sz w:val="22"/>
              </w:rPr>
            </w:pPr>
            <w:r w:rsidRPr="00CA48B7">
              <w:rPr>
                <w:rFonts w:ascii="Lato" w:hAnsi="Lato"/>
                <w:sz w:val="22"/>
              </w:rPr>
              <w:t xml:space="preserve">Transition </w:t>
            </w:r>
            <w:r w:rsidR="0038188F" w:rsidRPr="00BD5E05">
              <w:rPr>
                <w:rFonts w:ascii="Lato" w:hAnsi="Lato"/>
                <w:sz w:val="22"/>
                <w:szCs w:val="22"/>
              </w:rPr>
              <w:t>11</w:t>
            </w:r>
            <w:r w:rsidRPr="00CA48B7">
              <w:rPr>
                <w:rFonts w:ascii="Lato" w:hAnsi="Lato"/>
                <w:sz w:val="22"/>
              </w:rPr>
              <w:t xml:space="preserve"> </w:t>
            </w:r>
            <w:r w:rsidR="0056746A">
              <w:rPr>
                <w:rFonts w:ascii="Lato" w:hAnsi="Lato"/>
                <w:sz w:val="22"/>
              </w:rPr>
              <w:t>Senior Attendance and Truancy Officers (</w:t>
            </w:r>
            <w:r w:rsidRPr="00CA48B7">
              <w:rPr>
                <w:rFonts w:ascii="Lato" w:hAnsi="Lato"/>
                <w:sz w:val="22"/>
              </w:rPr>
              <w:t>SATOs</w:t>
            </w:r>
            <w:r w:rsidR="0056746A">
              <w:rPr>
                <w:rFonts w:ascii="Lato" w:hAnsi="Lato"/>
                <w:sz w:val="22"/>
              </w:rPr>
              <w:t>)</w:t>
            </w:r>
            <w:r w:rsidRPr="00CA48B7">
              <w:rPr>
                <w:rFonts w:ascii="Lato" w:hAnsi="Lato"/>
                <w:sz w:val="22"/>
              </w:rPr>
              <w:t xml:space="preserve"> into case workers to support chronically disengaged students and families</w:t>
            </w:r>
            <w:r w:rsidR="00E3110E">
              <w:rPr>
                <w:rFonts w:ascii="Lato" w:hAnsi="Lato"/>
                <w:sz w:val="22"/>
              </w:rPr>
              <w:t>;</w:t>
            </w:r>
          </w:p>
          <w:p w14:paraId="0A245231" w14:textId="77777777" w:rsidR="00B16D26" w:rsidRPr="00CA48B7" w:rsidRDefault="00E3110E" w:rsidP="00506F80">
            <w:pPr>
              <w:pStyle w:val="Normalnumbered"/>
              <w:numPr>
                <w:ilvl w:val="0"/>
                <w:numId w:val="22"/>
              </w:numPr>
              <w:rPr>
                <w:rFonts w:ascii="Lato" w:hAnsi="Lato"/>
                <w:sz w:val="22"/>
              </w:rPr>
            </w:pPr>
            <w:r>
              <w:rPr>
                <w:rFonts w:ascii="Lato" w:hAnsi="Lato"/>
                <w:sz w:val="22"/>
              </w:rPr>
              <w:t>e</w:t>
            </w:r>
            <w:r w:rsidR="00B16D26">
              <w:rPr>
                <w:rFonts w:ascii="Lato" w:hAnsi="Lato"/>
                <w:sz w:val="22"/>
              </w:rPr>
              <w:t xml:space="preserve">stablish an engagement framework that targets families to improve attendance </w:t>
            </w:r>
            <w:r w:rsidR="00B16D26" w:rsidRPr="00B16D26">
              <w:rPr>
                <w:rFonts w:ascii="Lato" w:hAnsi="Lato"/>
                <w:sz w:val="22"/>
              </w:rPr>
              <w:t>in remote and very remote schools</w:t>
            </w:r>
            <w:r>
              <w:rPr>
                <w:rFonts w:ascii="Lato" w:hAnsi="Lato"/>
                <w:sz w:val="22"/>
              </w:rPr>
              <w:t>; and</w:t>
            </w:r>
          </w:p>
          <w:p w14:paraId="0A245232" w14:textId="77777777" w:rsidR="0038188F" w:rsidRPr="00CA48B7" w:rsidRDefault="00E3110E" w:rsidP="00506F80">
            <w:pPr>
              <w:pStyle w:val="ListParagraph"/>
              <w:numPr>
                <w:ilvl w:val="0"/>
                <w:numId w:val="22"/>
              </w:numPr>
              <w:autoSpaceDE w:val="0"/>
              <w:autoSpaceDN w:val="0"/>
              <w:adjustRightInd w:val="0"/>
              <w:rPr>
                <w:rFonts w:ascii="Lato" w:hAnsi="Lato"/>
                <w:sz w:val="22"/>
              </w:rPr>
            </w:pPr>
            <w:proofErr w:type="gramStart"/>
            <w:r>
              <w:rPr>
                <w:rFonts w:ascii="Lato" w:hAnsi="Lato"/>
                <w:sz w:val="22"/>
                <w:szCs w:val="22"/>
              </w:rPr>
              <w:t>e</w:t>
            </w:r>
            <w:r w:rsidR="0038188F" w:rsidRPr="00BD5E05">
              <w:rPr>
                <w:rFonts w:ascii="Lato" w:hAnsi="Lato"/>
                <w:sz w:val="22"/>
                <w:szCs w:val="22"/>
              </w:rPr>
              <w:t>stablish</w:t>
            </w:r>
            <w:proofErr w:type="gramEnd"/>
            <w:r w:rsidR="0038188F" w:rsidRPr="00BD5E05">
              <w:rPr>
                <w:rFonts w:ascii="Lato" w:hAnsi="Lato"/>
                <w:sz w:val="22"/>
                <w:szCs w:val="22"/>
              </w:rPr>
              <w:t xml:space="preserve"> a </w:t>
            </w:r>
            <w:r w:rsidR="0038188F" w:rsidRPr="00CA48B7">
              <w:rPr>
                <w:rFonts w:ascii="Lato" w:hAnsi="Lato"/>
                <w:sz w:val="22"/>
              </w:rPr>
              <w:t>community engagement</w:t>
            </w:r>
            <w:r w:rsidR="0038188F" w:rsidRPr="00BD5E05">
              <w:rPr>
                <w:rFonts w:ascii="Lato" w:hAnsi="Lato"/>
                <w:sz w:val="22"/>
                <w:szCs w:val="22"/>
              </w:rPr>
              <w:t xml:space="preserve"> and local decision making unit</w:t>
            </w:r>
            <w:r w:rsidR="00B07B16">
              <w:rPr>
                <w:rFonts w:ascii="Lato" w:hAnsi="Lato"/>
                <w:sz w:val="22"/>
                <w:szCs w:val="22"/>
              </w:rPr>
              <w:t>,</w:t>
            </w:r>
            <w:r w:rsidR="00363A72">
              <w:rPr>
                <w:rFonts w:ascii="Lato" w:hAnsi="Lato"/>
                <w:sz w:val="22"/>
                <w:szCs w:val="22"/>
              </w:rPr>
              <w:t xml:space="preserve"> that</w:t>
            </w:r>
            <w:r w:rsidR="00B07B16">
              <w:rPr>
                <w:rFonts w:ascii="Lato" w:hAnsi="Lato"/>
                <w:sz w:val="22"/>
                <w:szCs w:val="22"/>
              </w:rPr>
              <w:t xml:space="preserve"> </w:t>
            </w:r>
            <w:r w:rsidR="00363A72">
              <w:rPr>
                <w:rFonts w:ascii="Lato" w:hAnsi="Lato"/>
                <w:sz w:val="22"/>
                <w:szCs w:val="22"/>
              </w:rPr>
              <w:t>includes</w:t>
            </w:r>
            <w:r w:rsidR="00B07B16">
              <w:rPr>
                <w:rFonts w:ascii="Lato" w:hAnsi="Lato"/>
                <w:sz w:val="22"/>
                <w:szCs w:val="22"/>
              </w:rPr>
              <w:t xml:space="preserve"> local cultural authority </w:t>
            </w:r>
            <w:r w:rsidR="0038188F" w:rsidRPr="00BD5E05">
              <w:rPr>
                <w:rFonts w:ascii="Lato" w:hAnsi="Lato"/>
                <w:sz w:val="22"/>
                <w:szCs w:val="22"/>
              </w:rPr>
              <w:t>to enhance school engagement and local governance</w:t>
            </w:r>
            <w:r w:rsidR="0038188F" w:rsidRPr="00CA48B7">
              <w:rPr>
                <w:rFonts w:ascii="Lato" w:hAnsi="Lato"/>
                <w:sz w:val="22"/>
              </w:rPr>
              <w:t>.</w:t>
            </w:r>
          </w:p>
        </w:tc>
        <w:tc>
          <w:tcPr>
            <w:tcW w:w="1985" w:type="dxa"/>
          </w:tcPr>
          <w:p w14:paraId="0A245233" w14:textId="77777777" w:rsidR="00277DAF" w:rsidRPr="008D7145" w:rsidRDefault="00277DAF" w:rsidP="000A75C0">
            <w:pPr>
              <w:pStyle w:val="Normalnumbered"/>
              <w:numPr>
                <w:ilvl w:val="0"/>
                <w:numId w:val="0"/>
              </w:numPr>
              <w:spacing w:after="240" w:line="260" w:lineRule="exact"/>
              <w:rPr>
                <w:rFonts w:ascii="Lato" w:hAnsi="Lato"/>
                <w:b/>
                <w:color w:val="3D4B67"/>
                <w:sz w:val="22"/>
              </w:rPr>
            </w:pPr>
          </w:p>
        </w:tc>
        <w:tc>
          <w:tcPr>
            <w:tcW w:w="1688" w:type="dxa"/>
          </w:tcPr>
          <w:p w14:paraId="0A245234"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350" w:type="dxa"/>
          </w:tcPr>
          <w:p w14:paraId="0A245235" w14:textId="77777777" w:rsidR="00277DAF" w:rsidRPr="003752CA" w:rsidRDefault="00A20C1A" w:rsidP="003752CA">
            <w:pPr>
              <w:pStyle w:val="Normalnumbered"/>
              <w:numPr>
                <w:ilvl w:val="0"/>
                <w:numId w:val="0"/>
              </w:numPr>
              <w:jc w:val="center"/>
              <w:rPr>
                <w:rFonts w:ascii="Lato" w:hAnsi="Lato"/>
                <w:color w:val="auto"/>
                <w:sz w:val="22"/>
              </w:rPr>
            </w:pPr>
            <w:r w:rsidRPr="003752CA">
              <w:rPr>
                <w:rFonts w:ascii="Lato" w:hAnsi="Lato"/>
                <w:color w:val="auto"/>
                <w:sz w:val="22"/>
              </w:rPr>
              <w:t>14%</w:t>
            </w:r>
          </w:p>
        </w:tc>
      </w:tr>
      <w:tr w:rsidR="00277DAF" w:rsidRPr="00BD5E05" w14:paraId="0A24523C" w14:textId="77777777" w:rsidTr="000A75C0">
        <w:tc>
          <w:tcPr>
            <w:tcW w:w="3859" w:type="dxa"/>
          </w:tcPr>
          <w:p w14:paraId="0A245237" w14:textId="77777777" w:rsidR="00277DAF" w:rsidRPr="00CA48B7" w:rsidRDefault="00FB43B3" w:rsidP="00CA48B7">
            <w:pPr>
              <w:pStyle w:val="Normalnumbered"/>
              <w:numPr>
                <w:ilvl w:val="0"/>
                <w:numId w:val="0"/>
              </w:numPr>
              <w:ind w:left="567" w:hanging="567"/>
              <w:rPr>
                <w:rFonts w:ascii="Lato" w:hAnsi="Lato"/>
                <w:sz w:val="22"/>
              </w:rPr>
            </w:pPr>
            <w:r>
              <w:rPr>
                <w:rFonts w:ascii="Lato" w:hAnsi="Lato"/>
                <w:sz w:val="22"/>
              </w:rPr>
              <w:t xml:space="preserve">5. </w:t>
            </w:r>
            <w:r w:rsidR="00277DAF" w:rsidRPr="00CA48B7">
              <w:rPr>
                <w:rFonts w:ascii="Lato" w:hAnsi="Lato"/>
                <w:sz w:val="22"/>
              </w:rPr>
              <w:t>Workforce</w:t>
            </w:r>
          </w:p>
          <w:p w14:paraId="0A245238" w14:textId="77777777" w:rsidR="00277DAF" w:rsidRPr="00CA48B7" w:rsidRDefault="0038188F" w:rsidP="00506F80">
            <w:pPr>
              <w:pStyle w:val="Normalnumbered"/>
              <w:numPr>
                <w:ilvl w:val="0"/>
                <w:numId w:val="22"/>
              </w:numPr>
              <w:spacing w:after="240"/>
              <w:ind w:left="357" w:hanging="357"/>
              <w:rPr>
                <w:rFonts w:ascii="Lato" w:hAnsi="Lato"/>
                <w:sz w:val="22"/>
              </w:rPr>
            </w:pPr>
            <w:r w:rsidRPr="00BD5E05">
              <w:rPr>
                <w:rFonts w:ascii="Lato" w:hAnsi="Lato"/>
                <w:sz w:val="22"/>
                <w:szCs w:val="22"/>
              </w:rPr>
              <w:t>150</w:t>
            </w:r>
            <w:r w:rsidR="00277DAF" w:rsidRPr="00BD5E05">
              <w:rPr>
                <w:rFonts w:ascii="Lato" w:hAnsi="Lato"/>
                <w:sz w:val="22"/>
                <w:szCs w:val="22"/>
              </w:rPr>
              <w:t xml:space="preserve"> </w:t>
            </w:r>
            <w:r w:rsidR="00EE09D8">
              <w:rPr>
                <w:rFonts w:ascii="Lato" w:hAnsi="Lato"/>
                <w:sz w:val="22"/>
                <w:szCs w:val="22"/>
              </w:rPr>
              <w:t>Indigenous</w:t>
            </w:r>
            <w:r w:rsidR="00EE09D8" w:rsidRPr="00CA48B7">
              <w:rPr>
                <w:rFonts w:ascii="Lato" w:hAnsi="Lato"/>
                <w:sz w:val="22"/>
              </w:rPr>
              <w:t xml:space="preserve"> </w:t>
            </w:r>
            <w:r w:rsidR="00277DAF" w:rsidRPr="00CA48B7">
              <w:rPr>
                <w:rFonts w:ascii="Lato" w:hAnsi="Lato"/>
                <w:sz w:val="22"/>
              </w:rPr>
              <w:t>assistant teachers enrolled in further accredited training</w:t>
            </w:r>
            <w:r w:rsidR="00FB34C2">
              <w:rPr>
                <w:rFonts w:ascii="Lato" w:hAnsi="Lato"/>
                <w:sz w:val="22"/>
              </w:rPr>
              <w:t>,</w:t>
            </w:r>
            <w:r w:rsidR="00635B00">
              <w:rPr>
                <w:rFonts w:ascii="Lato" w:hAnsi="Lato"/>
                <w:sz w:val="22"/>
              </w:rPr>
              <w:t xml:space="preserve"> reported by gender</w:t>
            </w:r>
            <w:r w:rsidR="00277DAF" w:rsidRPr="00CA48B7">
              <w:rPr>
                <w:rFonts w:ascii="Lato" w:hAnsi="Lato"/>
                <w:sz w:val="22"/>
              </w:rPr>
              <w:t xml:space="preserve">. </w:t>
            </w:r>
          </w:p>
        </w:tc>
        <w:tc>
          <w:tcPr>
            <w:tcW w:w="1985" w:type="dxa"/>
          </w:tcPr>
          <w:p w14:paraId="0A245239"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688" w:type="dxa"/>
          </w:tcPr>
          <w:p w14:paraId="0A24523A"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350" w:type="dxa"/>
          </w:tcPr>
          <w:p w14:paraId="0A24523B" w14:textId="77777777" w:rsidR="00277DAF" w:rsidRPr="003752CA" w:rsidRDefault="00A20C1A" w:rsidP="003752CA">
            <w:pPr>
              <w:pStyle w:val="Normalnumbered"/>
              <w:numPr>
                <w:ilvl w:val="0"/>
                <w:numId w:val="0"/>
              </w:numPr>
              <w:jc w:val="center"/>
              <w:rPr>
                <w:rFonts w:ascii="Lato" w:hAnsi="Lato"/>
                <w:color w:val="auto"/>
                <w:sz w:val="22"/>
              </w:rPr>
            </w:pPr>
            <w:r w:rsidRPr="003752CA">
              <w:rPr>
                <w:rFonts w:ascii="Lato" w:hAnsi="Lato"/>
                <w:color w:val="auto"/>
                <w:sz w:val="22"/>
              </w:rPr>
              <w:t>20%</w:t>
            </w:r>
          </w:p>
        </w:tc>
      </w:tr>
      <w:tr w:rsidR="00277DAF" w:rsidRPr="00BD5E05" w14:paraId="0A245242" w14:textId="77777777" w:rsidTr="000A75C0">
        <w:tc>
          <w:tcPr>
            <w:tcW w:w="3859" w:type="dxa"/>
          </w:tcPr>
          <w:p w14:paraId="0A24523D" w14:textId="77777777" w:rsidR="00277DAF" w:rsidRPr="00CA48B7" w:rsidRDefault="00FB43B3" w:rsidP="000A75C0">
            <w:pPr>
              <w:pStyle w:val="Normalnumbered"/>
              <w:numPr>
                <w:ilvl w:val="0"/>
                <w:numId w:val="0"/>
              </w:numPr>
              <w:ind w:left="567" w:hanging="567"/>
              <w:rPr>
                <w:rFonts w:ascii="Lato" w:hAnsi="Lato"/>
                <w:sz w:val="22"/>
              </w:rPr>
            </w:pPr>
            <w:r>
              <w:rPr>
                <w:rFonts w:ascii="Lato" w:hAnsi="Lato"/>
                <w:sz w:val="22"/>
              </w:rPr>
              <w:t>5a. Workforce Capital</w:t>
            </w:r>
          </w:p>
          <w:p w14:paraId="0A24523E" w14:textId="77777777" w:rsidR="00277DAF" w:rsidRPr="00CA48B7" w:rsidRDefault="003437FB" w:rsidP="00506F80">
            <w:pPr>
              <w:pStyle w:val="Normalnumbered"/>
              <w:numPr>
                <w:ilvl w:val="0"/>
                <w:numId w:val="22"/>
              </w:numPr>
              <w:spacing w:after="240"/>
              <w:rPr>
                <w:rFonts w:ascii="Lato" w:hAnsi="Lato"/>
                <w:sz w:val="22"/>
              </w:rPr>
            </w:pPr>
            <w:r>
              <w:rPr>
                <w:rFonts w:ascii="Lato" w:hAnsi="Lato"/>
                <w:sz w:val="22"/>
              </w:rPr>
              <w:t>D</w:t>
            </w:r>
            <w:r w:rsidR="00277DAF" w:rsidRPr="00CA48B7">
              <w:rPr>
                <w:rFonts w:ascii="Lato" w:hAnsi="Lato"/>
                <w:sz w:val="22"/>
              </w:rPr>
              <w:t xml:space="preserve">elivered as per agreed </w:t>
            </w:r>
            <w:r w:rsidR="00E94FF3" w:rsidRPr="00E94FF3">
              <w:rPr>
                <w:rFonts w:ascii="Lato" w:hAnsi="Lato"/>
                <w:sz w:val="22"/>
                <w:lang w:val="en-US"/>
              </w:rPr>
              <w:t>Capital Works Schedule</w:t>
            </w:r>
            <w:r w:rsidR="000C0977">
              <w:rPr>
                <w:rFonts w:ascii="Lato" w:hAnsi="Lato"/>
                <w:sz w:val="22"/>
              </w:rPr>
              <w:t xml:space="preserve"> (min.</w:t>
            </w:r>
            <w:r w:rsidR="000C0977" w:rsidRPr="00C4045D">
              <w:rPr>
                <w:rFonts w:ascii="Lato" w:hAnsi="Lato"/>
                <w:sz w:val="22"/>
              </w:rPr>
              <w:t xml:space="preserve"> </w:t>
            </w:r>
            <w:r w:rsidR="00363A1B">
              <w:rPr>
                <w:rFonts w:ascii="Lato" w:hAnsi="Lato"/>
                <w:sz w:val="22"/>
              </w:rPr>
              <w:t>25</w:t>
            </w:r>
            <w:r w:rsidR="000C0977">
              <w:rPr>
                <w:rFonts w:ascii="Lato" w:hAnsi="Lato"/>
                <w:sz w:val="22"/>
              </w:rPr>
              <w:t>% Indigenous employment rate</w:t>
            </w:r>
            <w:r w:rsidR="00363A1B">
              <w:rPr>
                <w:rFonts w:ascii="Lato" w:hAnsi="Lato"/>
                <w:sz w:val="22"/>
              </w:rPr>
              <w:t xml:space="preserve"> subject to community capacity</w:t>
            </w:r>
            <w:r w:rsidR="000C0977">
              <w:rPr>
                <w:rFonts w:ascii="Lato" w:hAnsi="Lato"/>
                <w:sz w:val="22"/>
              </w:rPr>
              <w:t>)</w:t>
            </w:r>
            <w:r w:rsidR="00CA0744">
              <w:rPr>
                <w:rFonts w:ascii="Lato" w:hAnsi="Lato"/>
                <w:sz w:val="22"/>
              </w:rPr>
              <w:t>.</w:t>
            </w:r>
          </w:p>
        </w:tc>
        <w:tc>
          <w:tcPr>
            <w:tcW w:w="1985" w:type="dxa"/>
          </w:tcPr>
          <w:p w14:paraId="0A24523F"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688" w:type="dxa"/>
          </w:tcPr>
          <w:p w14:paraId="0A245240" w14:textId="77777777" w:rsidR="00277DAF" w:rsidRPr="00CA48B7" w:rsidRDefault="00277DAF" w:rsidP="000A75C0">
            <w:pPr>
              <w:pStyle w:val="Normalnumbered"/>
              <w:numPr>
                <w:ilvl w:val="0"/>
                <w:numId w:val="0"/>
              </w:numPr>
              <w:spacing w:after="240" w:line="260" w:lineRule="exact"/>
              <w:rPr>
                <w:rFonts w:ascii="Lato" w:hAnsi="Lato"/>
                <w:b/>
                <w:color w:val="3D4B67"/>
                <w:sz w:val="22"/>
              </w:rPr>
            </w:pPr>
          </w:p>
        </w:tc>
        <w:tc>
          <w:tcPr>
            <w:tcW w:w="1350" w:type="dxa"/>
          </w:tcPr>
          <w:p w14:paraId="0A245241" w14:textId="77777777" w:rsidR="00277DAF" w:rsidRPr="003752CA" w:rsidRDefault="00A20C1A" w:rsidP="003752CA">
            <w:pPr>
              <w:pStyle w:val="Normalnumbered"/>
              <w:numPr>
                <w:ilvl w:val="0"/>
                <w:numId w:val="0"/>
              </w:numPr>
              <w:jc w:val="center"/>
              <w:rPr>
                <w:rFonts w:ascii="Lato" w:hAnsi="Lato"/>
                <w:color w:val="auto"/>
                <w:sz w:val="22"/>
              </w:rPr>
            </w:pPr>
            <w:r w:rsidRPr="003752CA">
              <w:rPr>
                <w:rFonts w:ascii="Lato" w:hAnsi="Lato"/>
                <w:color w:val="auto"/>
                <w:sz w:val="22"/>
              </w:rPr>
              <w:t>14%</w:t>
            </w:r>
          </w:p>
        </w:tc>
      </w:tr>
    </w:tbl>
    <w:p w14:paraId="0A245243" w14:textId="77777777" w:rsidR="003715B6" w:rsidRPr="00CA48B7" w:rsidRDefault="003715B6" w:rsidP="003715B6">
      <w:pPr>
        <w:pStyle w:val="Normalnumbered"/>
        <w:numPr>
          <w:ilvl w:val="0"/>
          <w:numId w:val="0"/>
        </w:numPr>
        <w:spacing w:after="240" w:line="260" w:lineRule="exact"/>
        <w:ind w:left="360"/>
        <w:rPr>
          <w:rFonts w:ascii="Lato" w:hAnsi="Lato"/>
          <w:b/>
          <w:color w:val="3D4B67"/>
        </w:rPr>
      </w:pPr>
    </w:p>
    <w:p w14:paraId="0A245244" w14:textId="77777777" w:rsidR="0079521A" w:rsidRPr="00CA48B7" w:rsidRDefault="0079521A" w:rsidP="00D92F3F">
      <w:pPr>
        <w:rPr>
          <w:rFonts w:ascii="Lato" w:hAnsi="Lato"/>
          <w:b/>
          <w:color w:val="3D4B67"/>
        </w:rPr>
      </w:pPr>
    </w:p>
    <w:tbl>
      <w:tblPr>
        <w:tblStyle w:val="TableGrid"/>
        <w:tblW w:w="0" w:type="auto"/>
        <w:tblInd w:w="360" w:type="dxa"/>
        <w:tblLook w:val="04A0" w:firstRow="1" w:lastRow="0" w:firstColumn="1" w:lastColumn="0" w:noHBand="0" w:noVBand="1"/>
      </w:tblPr>
      <w:tblGrid>
        <w:gridCol w:w="3859"/>
        <w:gridCol w:w="1985"/>
        <w:gridCol w:w="1688"/>
        <w:gridCol w:w="1350"/>
      </w:tblGrid>
      <w:tr w:rsidR="003715B6" w:rsidRPr="00BD5E05" w14:paraId="0A245249" w14:textId="77777777" w:rsidTr="00CA48B7">
        <w:tc>
          <w:tcPr>
            <w:tcW w:w="3859" w:type="dxa"/>
          </w:tcPr>
          <w:p w14:paraId="0A245245" w14:textId="77777777" w:rsidR="003715B6" w:rsidRPr="00CA48B7" w:rsidRDefault="003715B6" w:rsidP="000A75C0">
            <w:pPr>
              <w:rPr>
                <w:rFonts w:ascii="Lato" w:hAnsi="Lato"/>
                <w:b/>
                <w:sz w:val="22"/>
                <w:lang w:val="en-US"/>
              </w:rPr>
            </w:pPr>
            <w:r w:rsidRPr="00CA48B7">
              <w:rPr>
                <w:rFonts w:ascii="Lato" w:hAnsi="Lato"/>
                <w:b/>
                <w:color w:val="3D4B67"/>
                <w:sz w:val="22"/>
              </w:rPr>
              <w:br w:type="page"/>
            </w:r>
            <w:r w:rsidRPr="00CA48B7">
              <w:rPr>
                <w:rFonts w:ascii="Lato" w:hAnsi="Lato"/>
                <w:b/>
                <w:sz w:val="22"/>
                <w:lang w:val="en-US"/>
              </w:rPr>
              <w:t>Milestone</w:t>
            </w:r>
          </w:p>
        </w:tc>
        <w:tc>
          <w:tcPr>
            <w:tcW w:w="1985" w:type="dxa"/>
          </w:tcPr>
          <w:p w14:paraId="0A245246" w14:textId="77777777" w:rsidR="003715B6" w:rsidRPr="00CA48B7" w:rsidRDefault="003715B6" w:rsidP="000A75C0">
            <w:pPr>
              <w:rPr>
                <w:rFonts w:ascii="Lato" w:hAnsi="Lato"/>
                <w:b/>
                <w:sz w:val="22"/>
                <w:lang w:val="en-US"/>
              </w:rPr>
            </w:pPr>
            <w:r w:rsidRPr="00CA48B7">
              <w:rPr>
                <w:rFonts w:ascii="Lato" w:hAnsi="Lato"/>
                <w:b/>
                <w:sz w:val="22"/>
                <w:lang w:val="en-US"/>
              </w:rPr>
              <w:t>Reporting Period</w:t>
            </w:r>
          </w:p>
        </w:tc>
        <w:tc>
          <w:tcPr>
            <w:tcW w:w="1688" w:type="dxa"/>
          </w:tcPr>
          <w:p w14:paraId="0A245247" w14:textId="77777777" w:rsidR="003715B6" w:rsidRPr="00CA48B7" w:rsidRDefault="003715B6" w:rsidP="000A75C0">
            <w:pPr>
              <w:rPr>
                <w:rFonts w:ascii="Lato" w:hAnsi="Lato"/>
                <w:b/>
                <w:sz w:val="22"/>
                <w:lang w:val="en-US"/>
              </w:rPr>
            </w:pPr>
            <w:r w:rsidRPr="00CA48B7">
              <w:rPr>
                <w:rFonts w:ascii="Lato" w:hAnsi="Lato"/>
                <w:b/>
                <w:sz w:val="22"/>
                <w:lang w:val="en-US"/>
              </w:rPr>
              <w:t>Reporting Due Date</w:t>
            </w:r>
          </w:p>
        </w:tc>
        <w:tc>
          <w:tcPr>
            <w:tcW w:w="1350" w:type="dxa"/>
          </w:tcPr>
          <w:p w14:paraId="0A245248" w14:textId="77777777" w:rsidR="003715B6" w:rsidRPr="00CA48B7" w:rsidRDefault="003715B6" w:rsidP="003437FB">
            <w:pPr>
              <w:rPr>
                <w:rFonts w:ascii="Lato" w:hAnsi="Lato"/>
                <w:b/>
                <w:sz w:val="22"/>
                <w:lang w:val="en-US"/>
              </w:rPr>
            </w:pPr>
            <w:r w:rsidRPr="00CA48B7">
              <w:rPr>
                <w:rFonts w:ascii="Lato" w:hAnsi="Lato"/>
                <w:b/>
                <w:sz w:val="22"/>
                <w:lang w:val="en-US"/>
              </w:rPr>
              <w:t>Percentage of financial year milestone payment</w:t>
            </w:r>
          </w:p>
        </w:tc>
      </w:tr>
      <w:tr w:rsidR="003715B6" w:rsidRPr="00BD5E05" w14:paraId="0A24524B" w14:textId="77777777" w:rsidTr="00CA48B7">
        <w:tc>
          <w:tcPr>
            <w:tcW w:w="8882" w:type="dxa"/>
            <w:gridSpan w:val="4"/>
          </w:tcPr>
          <w:p w14:paraId="0A24524A" w14:textId="77777777" w:rsidR="003715B6" w:rsidRPr="00CA48B7" w:rsidRDefault="003715B6" w:rsidP="000A75C0">
            <w:pPr>
              <w:jc w:val="center"/>
              <w:rPr>
                <w:rFonts w:ascii="Lato" w:hAnsi="Lato"/>
                <w:b/>
                <w:sz w:val="22"/>
                <w:lang w:val="en-US"/>
              </w:rPr>
            </w:pPr>
            <w:r w:rsidRPr="00CA48B7">
              <w:rPr>
                <w:rFonts w:ascii="Lato" w:hAnsi="Lato"/>
                <w:b/>
                <w:sz w:val="22"/>
                <w:lang w:val="en-US"/>
              </w:rPr>
              <w:t>2019-20</w:t>
            </w:r>
          </w:p>
        </w:tc>
      </w:tr>
      <w:tr w:rsidR="009B475C" w:rsidRPr="00BD5E05" w14:paraId="0A245254" w14:textId="77777777" w:rsidTr="000C53FE">
        <w:trPr>
          <w:trHeight w:val="3032"/>
        </w:trPr>
        <w:tc>
          <w:tcPr>
            <w:tcW w:w="3859" w:type="dxa"/>
          </w:tcPr>
          <w:p w14:paraId="0A24524C" w14:textId="77777777" w:rsidR="009B475C" w:rsidRPr="00CA48B7" w:rsidRDefault="00FB43B3" w:rsidP="00CA48B7">
            <w:pPr>
              <w:pStyle w:val="Normalnumbered"/>
              <w:numPr>
                <w:ilvl w:val="0"/>
                <w:numId w:val="0"/>
              </w:numPr>
              <w:ind w:left="567" w:hanging="567"/>
              <w:rPr>
                <w:rFonts w:ascii="Lato" w:hAnsi="Lato"/>
                <w:b/>
                <w:color w:val="3D4B67"/>
                <w:sz w:val="22"/>
              </w:rPr>
            </w:pPr>
            <w:r>
              <w:rPr>
                <w:rFonts w:ascii="Lato" w:hAnsi="Lato"/>
                <w:sz w:val="22"/>
              </w:rPr>
              <w:t xml:space="preserve">1. </w:t>
            </w:r>
            <w:r w:rsidR="00EB0CBF" w:rsidRPr="00CA48B7">
              <w:rPr>
                <w:rFonts w:ascii="Lato" w:hAnsi="Lato"/>
                <w:sz w:val="22"/>
              </w:rPr>
              <w:t>F</w:t>
            </w:r>
            <w:r w:rsidR="009B475C" w:rsidRPr="00CA48B7">
              <w:rPr>
                <w:rFonts w:ascii="Lato" w:hAnsi="Lato"/>
                <w:sz w:val="22"/>
              </w:rPr>
              <w:t>oundations</w:t>
            </w:r>
          </w:p>
          <w:p w14:paraId="0A24524D" w14:textId="77777777" w:rsidR="009B475C" w:rsidRPr="00CA48B7" w:rsidRDefault="009B475C" w:rsidP="00867BDE">
            <w:pPr>
              <w:pStyle w:val="Normalnumbered"/>
              <w:numPr>
                <w:ilvl w:val="0"/>
                <w:numId w:val="22"/>
              </w:numPr>
              <w:rPr>
                <w:rFonts w:ascii="Lato" w:hAnsi="Lato"/>
                <w:b/>
                <w:color w:val="3D4B67"/>
                <w:sz w:val="22"/>
              </w:rPr>
            </w:pPr>
            <w:r w:rsidRPr="00CA48B7">
              <w:rPr>
                <w:rFonts w:ascii="Lato" w:hAnsi="Lato"/>
                <w:sz w:val="22"/>
              </w:rPr>
              <w:t xml:space="preserve">Operation of </w:t>
            </w:r>
            <w:proofErr w:type="spellStart"/>
            <w:r w:rsidRPr="00CA48B7">
              <w:rPr>
                <w:rFonts w:ascii="Lato" w:hAnsi="Lato"/>
                <w:sz w:val="22"/>
              </w:rPr>
              <w:t>FaFT</w:t>
            </w:r>
            <w:proofErr w:type="spellEnd"/>
            <w:r w:rsidRPr="00CA48B7">
              <w:rPr>
                <w:rFonts w:ascii="Lato" w:hAnsi="Lato"/>
                <w:sz w:val="22"/>
              </w:rPr>
              <w:t xml:space="preserve"> in 32 sites</w:t>
            </w:r>
            <w:r w:rsidR="00E3110E">
              <w:rPr>
                <w:rFonts w:ascii="Lato" w:hAnsi="Lato"/>
                <w:sz w:val="22"/>
              </w:rPr>
              <w:t>;</w:t>
            </w:r>
            <w:r w:rsidRPr="00CA48B7">
              <w:rPr>
                <w:rFonts w:ascii="Lato" w:hAnsi="Lato"/>
                <w:sz w:val="22"/>
              </w:rPr>
              <w:t xml:space="preserve"> </w:t>
            </w:r>
          </w:p>
          <w:p w14:paraId="0A24524E" w14:textId="77777777" w:rsidR="00A77446" w:rsidRDefault="00E3110E" w:rsidP="00867BDE">
            <w:pPr>
              <w:pStyle w:val="Normalnumbered"/>
              <w:numPr>
                <w:ilvl w:val="0"/>
                <w:numId w:val="22"/>
              </w:numPr>
              <w:ind w:left="357" w:hanging="357"/>
              <w:rPr>
                <w:rFonts w:ascii="Lato" w:hAnsi="Lato"/>
                <w:sz w:val="22"/>
              </w:rPr>
            </w:pPr>
            <w:r>
              <w:rPr>
                <w:rFonts w:ascii="Lato" w:hAnsi="Lato"/>
                <w:sz w:val="22"/>
              </w:rPr>
              <w:t>e</w:t>
            </w:r>
            <w:r w:rsidR="00A77446">
              <w:rPr>
                <w:rFonts w:ascii="Lato" w:hAnsi="Lato"/>
                <w:sz w:val="22"/>
              </w:rPr>
              <w:t xml:space="preserve">ach </w:t>
            </w:r>
            <w:proofErr w:type="spellStart"/>
            <w:r w:rsidR="00A77446">
              <w:rPr>
                <w:rFonts w:ascii="Lato" w:hAnsi="Lato"/>
                <w:sz w:val="22"/>
              </w:rPr>
              <w:t>F</w:t>
            </w:r>
            <w:r w:rsidR="00A77446" w:rsidRPr="00CA48B7">
              <w:rPr>
                <w:rFonts w:ascii="Lato" w:hAnsi="Lato"/>
                <w:sz w:val="22"/>
              </w:rPr>
              <w:t>aFT</w:t>
            </w:r>
            <w:proofErr w:type="spellEnd"/>
            <w:r w:rsidR="00A77446" w:rsidRPr="00CA48B7">
              <w:rPr>
                <w:rFonts w:ascii="Lato" w:hAnsi="Lato"/>
                <w:sz w:val="22"/>
              </w:rPr>
              <w:t xml:space="preserve"> program</w:t>
            </w:r>
            <w:r w:rsidR="00A77446">
              <w:rPr>
                <w:rFonts w:ascii="Lato" w:hAnsi="Lato"/>
                <w:sz w:val="22"/>
              </w:rPr>
              <w:t xml:space="preserve"> is delivered at least </w:t>
            </w:r>
            <w:r w:rsidR="00A77446" w:rsidRPr="00CA48B7">
              <w:rPr>
                <w:rFonts w:ascii="Lato" w:hAnsi="Lato"/>
                <w:sz w:val="22"/>
              </w:rPr>
              <w:t>three days per week</w:t>
            </w:r>
            <w:r>
              <w:rPr>
                <w:rFonts w:ascii="Lato" w:hAnsi="Lato"/>
                <w:sz w:val="22"/>
              </w:rPr>
              <w:t>;</w:t>
            </w:r>
          </w:p>
          <w:p w14:paraId="0A24524F" w14:textId="77777777" w:rsidR="00A77446" w:rsidRPr="00CA48B7" w:rsidRDefault="00A77446" w:rsidP="00867BDE">
            <w:pPr>
              <w:pStyle w:val="Normalnumbered"/>
              <w:numPr>
                <w:ilvl w:val="0"/>
                <w:numId w:val="22"/>
              </w:numPr>
              <w:ind w:left="357" w:hanging="357"/>
              <w:rPr>
                <w:rFonts w:ascii="Lato" w:hAnsi="Lato"/>
                <w:sz w:val="22"/>
              </w:rPr>
            </w:pPr>
            <w:r w:rsidRPr="00D40B0E">
              <w:rPr>
                <w:rFonts w:ascii="Lato" w:hAnsi="Lato"/>
                <w:sz w:val="22"/>
                <w:szCs w:val="22"/>
              </w:rPr>
              <w:t>1500</w:t>
            </w:r>
            <w:r w:rsidRPr="00CA48B7">
              <w:rPr>
                <w:rFonts w:ascii="Lato" w:hAnsi="Lato"/>
                <w:sz w:val="22"/>
              </w:rPr>
              <w:t xml:space="preserve"> children </w:t>
            </w:r>
            <w:r>
              <w:rPr>
                <w:rFonts w:ascii="Lato" w:hAnsi="Lato"/>
                <w:sz w:val="22"/>
              </w:rPr>
              <w:t xml:space="preserve">supported by </w:t>
            </w:r>
            <w:r w:rsidRPr="00CA48B7">
              <w:rPr>
                <w:rFonts w:ascii="Lato" w:hAnsi="Lato"/>
                <w:sz w:val="22"/>
              </w:rPr>
              <w:t>their families</w:t>
            </w:r>
            <w:r>
              <w:rPr>
                <w:rFonts w:ascii="Lato" w:hAnsi="Lato"/>
                <w:sz w:val="22"/>
              </w:rPr>
              <w:t xml:space="preserve"> are enrolled in </w:t>
            </w:r>
            <w:proofErr w:type="spellStart"/>
            <w:r>
              <w:rPr>
                <w:rFonts w:ascii="Lato" w:hAnsi="Lato"/>
                <w:sz w:val="22"/>
              </w:rPr>
              <w:t>FaFT</w:t>
            </w:r>
            <w:proofErr w:type="spellEnd"/>
            <w:r>
              <w:rPr>
                <w:rFonts w:ascii="Lato" w:hAnsi="Lato"/>
                <w:sz w:val="22"/>
              </w:rPr>
              <w:t xml:space="preserve"> programs</w:t>
            </w:r>
            <w:r w:rsidR="00E3110E">
              <w:rPr>
                <w:rFonts w:ascii="Lato" w:hAnsi="Lato"/>
                <w:sz w:val="22"/>
              </w:rPr>
              <w:t>; and</w:t>
            </w:r>
          </w:p>
          <w:p w14:paraId="0A245250" w14:textId="77777777" w:rsidR="009B475C" w:rsidRPr="00CA48B7" w:rsidRDefault="00E3110E" w:rsidP="00867BDE">
            <w:pPr>
              <w:pStyle w:val="Normalnumbered"/>
              <w:numPr>
                <w:ilvl w:val="0"/>
                <w:numId w:val="22"/>
              </w:numPr>
              <w:spacing w:after="240"/>
              <w:rPr>
                <w:rFonts w:ascii="Lato" w:hAnsi="Lato"/>
                <w:sz w:val="22"/>
              </w:rPr>
            </w:pPr>
            <w:proofErr w:type="gramStart"/>
            <w:r>
              <w:rPr>
                <w:rFonts w:ascii="Lato" w:hAnsi="Lato"/>
                <w:sz w:val="22"/>
              </w:rPr>
              <w:t>e</w:t>
            </w:r>
            <w:r w:rsidR="00806FFA" w:rsidRPr="008D7145">
              <w:rPr>
                <w:rFonts w:ascii="Lato" w:hAnsi="Lato"/>
                <w:sz w:val="22"/>
              </w:rPr>
              <w:t>xpansion</w:t>
            </w:r>
            <w:proofErr w:type="gramEnd"/>
            <w:r w:rsidR="00806FFA" w:rsidRPr="008D7145">
              <w:rPr>
                <w:rFonts w:ascii="Lato" w:hAnsi="Lato"/>
                <w:sz w:val="22"/>
              </w:rPr>
              <w:t xml:space="preserve"> of an adult literacy </w:t>
            </w:r>
            <w:r w:rsidR="00806FFA" w:rsidRPr="007059E4">
              <w:rPr>
                <w:rFonts w:ascii="Lato" w:hAnsi="Lato"/>
                <w:sz w:val="22"/>
              </w:rPr>
              <w:t>program delivering to 40 parents and guardians</w:t>
            </w:r>
            <w:r w:rsidR="00F4253E">
              <w:rPr>
                <w:rFonts w:ascii="Lato" w:hAnsi="Lato"/>
                <w:sz w:val="22"/>
              </w:rPr>
              <w:t xml:space="preserve"> in four sites,</w:t>
            </w:r>
            <w:r w:rsidR="00635B00">
              <w:rPr>
                <w:rFonts w:ascii="Lato" w:hAnsi="Lato"/>
                <w:sz w:val="22"/>
              </w:rPr>
              <w:t xml:space="preserve"> reported by gender</w:t>
            </w:r>
            <w:r>
              <w:rPr>
                <w:rFonts w:ascii="Lato" w:hAnsi="Lato"/>
                <w:sz w:val="22"/>
              </w:rPr>
              <w:t>.</w:t>
            </w:r>
          </w:p>
        </w:tc>
        <w:tc>
          <w:tcPr>
            <w:tcW w:w="1985" w:type="dxa"/>
          </w:tcPr>
          <w:p w14:paraId="0A245251" w14:textId="77777777" w:rsidR="009B475C" w:rsidRPr="00CA48B7" w:rsidRDefault="009B475C" w:rsidP="000A75C0">
            <w:pPr>
              <w:pStyle w:val="Normalnumbered"/>
              <w:numPr>
                <w:ilvl w:val="0"/>
                <w:numId w:val="0"/>
              </w:numPr>
              <w:jc w:val="center"/>
              <w:rPr>
                <w:rFonts w:ascii="Lato" w:hAnsi="Lato"/>
                <w:b/>
                <w:color w:val="3D4B67"/>
                <w:sz w:val="22"/>
              </w:rPr>
            </w:pPr>
            <w:r w:rsidRPr="00CA48B7">
              <w:rPr>
                <w:rFonts w:ascii="Lato" w:hAnsi="Lato"/>
                <w:sz w:val="22"/>
              </w:rPr>
              <w:t>1 January to 31 December 2019</w:t>
            </w:r>
          </w:p>
        </w:tc>
        <w:tc>
          <w:tcPr>
            <w:tcW w:w="1688" w:type="dxa"/>
          </w:tcPr>
          <w:p w14:paraId="0A245252" w14:textId="77777777" w:rsidR="009B475C" w:rsidRPr="00CA48B7" w:rsidRDefault="009B475C" w:rsidP="000A75C0">
            <w:pPr>
              <w:pStyle w:val="Normalnumbered"/>
              <w:numPr>
                <w:ilvl w:val="0"/>
                <w:numId w:val="0"/>
              </w:numPr>
              <w:jc w:val="center"/>
              <w:rPr>
                <w:rFonts w:ascii="Lato" w:hAnsi="Lato"/>
                <w:sz w:val="22"/>
              </w:rPr>
            </w:pPr>
            <w:r w:rsidRPr="00CA48B7">
              <w:rPr>
                <w:rFonts w:ascii="Lato" w:hAnsi="Lato"/>
                <w:sz w:val="22"/>
              </w:rPr>
              <w:t>31 March 2020</w:t>
            </w:r>
          </w:p>
        </w:tc>
        <w:tc>
          <w:tcPr>
            <w:tcW w:w="1350" w:type="dxa"/>
          </w:tcPr>
          <w:p w14:paraId="0A245253" w14:textId="77777777" w:rsidR="009B475C" w:rsidRPr="003752CA" w:rsidRDefault="00F44EA8" w:rsidP="003752CA">
            <w:pPr>
              <w:pStyle w:val="Normalnumbered"/>
              <w:numPr>
                <w:ilvl w:val="0"/>
                <w:numId w:val="0"/>
              </w:numPr>
              <w:jc w:val="center"/>
              <w:rPr>
                <w:rFonts w:ascii="Lato" w:hAnsi="Lato"/>
                <w:color w:val="auto"/>
                <w:sz w:val="22"/>
              </w:rPr>
            </w:pPr>
            <w:r w:rsidRPr="003752CA">
              <w:rPr>
                <w:rFonts w:ascii="Lato" w:hAnsi="Lato"/>
                <w:color w:val="auto"/>
                <w:sz w:val="22"/>
              </w:rPr>
              <w:t>36%</w:t>
            </w:r>
          </w:p>
        </w:tc>
      </w:tr>
      <w:tr w:rsidR="00A97329" w:rsidRPr="00BD5E05" w14:paraId="0A24525A" w14:textId="77777777" w:rsidTr="000A75C0">
        <w:tc>
          <w:tcPr>
            <w:tcW w:w="3859" w:type="dxa"/>
          </w:tcPr>
          <w:p w14:paraId="0A245255" w14:textId="77777777" w:rsidR="00A97329" w:rsidRDefault="00FB43B3" w:rsidP="00A97329">
            <w:pPr>
              <w:pStyle w:val="Normalnumbered"/>
              <w:numPr>
                <w:ilvl w:val="0"/>
                <w:numId w:val="0"/>
              </w:numPr>
              <w:ind w:left="567" w:hanging="567"/>
              <w:rPr>
                <w:rFonts w:ascii="Lato" w:hAnsi="Lato"/>
                <w:sz w:val="22"/>
              </w:rPr>
            </w:pPr>
            <w:r>
              <w:rPr>
                <w:rFonts w:ascii="Lato" w:hAnsi="Lato"/>
                <w:sz w:val="22"/>
              </w:rPr>
              <w:t xml:space="preserve">2. </w:t>
            </w:r>
            <w:r w:rsidR="00A97329">
              <w:rPr>
                <w:rFonts w:ascii="Lato" w:hAnsi="Lato"/>
                <w:sz w:val="22"/>
              </w:rPr>
              <w:t>Essentials</w:t>
            </w:r>
          </w:p>
          <w:p w14:paraId="0A245256" w14:textId="77777777" w:rsidR="00A97329" w:rsidRPr="00CA48B7" w:rsidRDefault="00A97329" w:rsidP="00867BDE">
            <w:pPr>
              <w:pStyle w:val="Normalnumbered"/>
              <w:numPr>
                <w:ilvl w:val="0"/>
                <w:numId w:val="22"/>
              </w:numPr>
              <w:ind w:left="357" w:hanging="357"/>
              <w:rPr>
                <w:rFonts w:ascii="Lato" w:hAnsi="Lato"/>
                <w:sz w:val="22"/>
              </w:rPr>
            </w:pPr>
            <w:r w:rsidRPr="00CB7F19">
              <w:rPr>
                <w:rFonts w:ascii="Lato" w:hAnsi="Lato"/>
                <w:sz w:val="22"/>
              </w:rPr>
              <w:t>Not Applicable - fully funded by the NT</w:t>
            </w:r>
            <w:r w:rsidR="00E3110E">
              <w:rPr>
                <w:rFonts w:ascii="Lato" w:hAnsi="Lato"/>
                <w:sz w:val="22"/>
              </w:rPr>
              <w:t>.</w:t>
            </w:r>
          </w:p>
        </w:tc>
        <w:tc>
          <w:tcPr>
            <w:tcW w:w="1985" w:type="dxa"/>
          </w:tcPr>
          <w:p w14:paraId="0A245257" w14:textId="77777777" w:rsidR="00A97329" w:rsidRPr="00CA48B7" w:rsidRDefault="00A97329" w:rsidP="000A75C0">
            <w:pPr>
              <w:pStyle w:val="Normalnumbered"/>
              <w:numPr>
                <w:ilvl w:val="0"/>
                <w:numId w:val="0"/>
              </w:numPr>
              <w:rPr>
                <w:rFonts w:ascii="Lato" w:hAnsi="Lato"/>
                <w:b/>
                <w:color w:val="3D4B67"/>
                <w:sz w:val="22"/>
              </w:rPr>
            </w:pPr>
          </w:p>
        </w:tc>
        <w:tc>
          <w:tcPr>
            <w:tcW w:w="1688" w:type="dxa"/>
          </w:tcPr>
          <w:p w14:paraId="0A245258" w14:textId="77777777" w:rsidR="00A97329" w:rsidRPr="00CA48B7" w:rsidRDefault="00A97329" w:rsidP="000A75C0">
            <w:pPr>
              <w:pStyle w:val="Normalnumbered"/>
              <w:numPr>
                <w:ilvl w:val="0"/>
                <w:numId w:val="0"/>
              </w:numPr>
              <w:rPr>
                <w:rFonts w:ascii="Lato" w:hAnsi="Lato"/>
                <w:b/>
                <w:color w:val="3D4B67"/>
                <w:sz w:val="22"/>
              </w:rPr>
            </w:pPr>
          </w:p>
        </w:tc>
        <w:tc>
          <w:tcPr>
            <w:tcW w:w="1350" w:type="dxa"/>
          </w:tcPr>
          <w:p w14:paraId="0A245259" w14:textId="77777777" w:rsidR="00A97329" w:rsidRPr="003752CA" w:rsidRDefault="00F44EA8" w:rsidP="003752CA">
            <w:pPr>
              <w:pStyle w:val="Normalnumbered"/>
              <w:numPr>
                <w:ilvl w:val="0"/>
                <w:numId w:val="0"/>
              </w:numPr>
              <w:jc w:val="center"/>
              <w:rPr>
                <w:rFonts w:ascii="Lato" w:hAnsi="Lato"/>
                <w:color w:val="auto"/>
                <w:sz w:val="22"/>
              </w:rPr>
            </w:pPr>
            <w:r>
              <w:rPr>
                <w:rFonts w:ascii="Lato" w:hAnsi="Lato"/>
                <w:color w:val="auto"/>
                <w:sz w:val="22"/>
              </w:rPr>
              <w:t>0%</w:t>
            </w:r>
          </w:p>
        </w:tc>
      </w:tr>
      <w:tr w:rsidR="009B475C" w:rsidRPr="00BD5E05" w14:paraId="0A245260" w14:textId="77777777" w:rsidTr="000A75C0">
        <w:tc>
          <w:tcPr>
            <w:tcW w:w="3859" w:type="dxa"/>
          </w:tcPr>
          <w:p w14:paraId="0A24525B" w14:textId="77777777" w:rsidR="009B475C" w:rsidRPr="00CA48B7" w:rsidRDefault="00FB43B3" w:rsidP="00CA48B7">
            <w:pPr>
              <w:pStyle w:val="Normalnumbered"/>
              <w:numPr>
                <w:ilvl w:val="0"/>
                <w:numId w:val="0"/>
              </w:numPr>
              <w:ind w:left="567" w:hanging="567"/>
              <w:rPr>
                <w:rFonts w:ascii="Lato" w:hAnsi="Lato"/>
                <w:b/>
                <w:color w:val="3D4B67"/>
                <w:sz w:val="22"/>
              </w:rPr>
            </w:pPr>
            <w:r>
              <w:rPr>
                <w:rFonts w:ascii="Lato" w:hAnsi="Lato"/>
                <w:sz w:val="22"/>
              </w:rPr>
              <w:t xml:space="preserve">3. </w:t>
            </w:r>
            <w:r w:rsidR="009B475C" w:rsidRPr="00CA48B7">
              <w:rPr>
                <w:rFonts w:ascii="Lato" w:hAnsi="Lato"/>
                <w:sz w:val="22"/>
              </w:rPr>
              <w:t>Pathways</w:t>
            </w:r>
          </w:p>
          <w:p w14:paraId="0A24525C" w14:textId="77777777" w:rsidR="009B475C" w:rsidRPr="00CA48B7" w:rsidRDefault="009B475C" w:rsidP="00867BDE">
            <w:pPr>
              <w:pStyle w:val="Normalnumbered"/>
              <w:numPr>
                <w:ilvl w:val="0"/>
                <w:numId w:val="22"/>
              </w:numPr>
              <w:rPr>
                <w:rFonts w:ascii="Lato" w:hAnsi="Lato"/>
                <w:b/>
                <w:color w:val="3D4B67"/>
                <w:sz w:val="22"/>
              </w:rPr>
            </w:pPr>
            <w:r w:rsidRPr="00CA48B7">
              <w:rPr>
                <w:rFonts w:ascii="Lato" w:hAnsi="Lato"/>
                <w:sz w:val="22"/>
              </w:rPr>
              <w:t xml:space="preserve">Transition </w:t>
            </w:r>
            <w:r w:rsidR="0038188F" w:rsidRPr="00BD5E05">
              <w:rPr>
                <w:rFonts w:ascii="Lato" w:hAnsi="Lato"/>
                <w:sz w:val="22"/>
                <w:szCs w:val="22"/>
              </w:rPr>
              <w:t>s</w:t>
            </w:r>
            <w:r w:rsidRPr="00BD5E05">
              <w:rPr>
                <w:rFonts w:ascii="Lato" w:hAnsi="Lato"/>
                <w:sz w:val="22"/>
                <w:szCs w:val="22"/>
              </w:rPr>
              <w:t>upport</w:t>
            </w:r>
            <w:r w:rsidRPr="00CA48B7">
              <w:rPr>
                <w:rFonts w:ascii="Lato" w:hAnsi="Lato"/>
                <w:sz w:val="22"/>
              </w:rPr>
              <w:t xml:space="preserve"> provided to at </w:t>
            </w:r>
            <w:r w:rsidRPr="00E32FA9">
              <w:rPr>
                <w:rFonts w:ascii="Lato" w:hAnsi="Lato"/>
                <w:sz w:val="22"/>
              </w:rPr>
              <w:t xml:space="preserve">least </w:t>
            </w:r>
            <w:r w:rsidR="001A3766">
              <w:rPr>
                <w:rFonts w:ascii="Lato" w:hAnsi="Lato"/>
                <w:sz w:val="22"/>
              </w:rPr>
              <w:t>60</w:t>
            </w:r>
            <w:r w:rsidR="001A3766" w:rsidRPr="00E32FA9">
              <w:rPr>
                <w:rFonts w:ascii="Lato" w:hAnsi="Lato"/>
                <w:sz w:val="22"/>
              </w:rPr>
              <w:t xml:space="preserve"> </w:t>
            </w:r>
            <w:r w:rsidRPr="00CA48B7">
              <w:rPr>
                <w:rFonts w:ascii="Lato" w:hAnsi="Lato"/>
                <w:sz w:val="22"/>
              </w:rPr>
              <w:t xml:space="preserve">remote and very remote </w:t>
            </w:r>
            <w:r w:rsidR="001D43E8" w:rsidRPr="00BD5E05">
              <w:rPr>
                <w:rFonts w:ascii="Lato" w:hAnsi="Lato"/>
                <w:sz w:val="22"/>
                <w:szCs w:val="22"/>
              </w:rPr>
              <w:t xml:space="preserve">government </w:t>
            </w:r>
            <w:r w:rsidRPr="00CA48B7">
              <w:rPr>
                <w:rFonts w:ascii="Lato" w:hAnsi="Lato"/>
                <w:sz w:val="22"/>
              </w:rPr>
              <w:t>schools</w:t>
            </w:r>
            <w:r w:rsidR="00797672">
              <w:rPr>
                <w:rFonts w:ascii="Lato" w:hAnsi="Lato"/>
                <w:sz w:val="22"/>
                <w:szCs w:val="22"/>
              </w:rPr>
              <w:t xml:space="preserve"> that do not offer a </w:t>
            </w:r>
            <w:r w:rsidR="00A02BD1" w:rsidRPr="00F74759">
              <w:rPr>
                <w:rFonts w:ascii="Lato" w:hAnsi="Lato"/>
                <w:sz w:val="22"/>
                <w:szCs w:val="22"/>
              </w:rPr>
              <w:t>Northern Territory Certificate of Education and Training</w:t>
            </w:r>
            <w:r w:rsidR="00A02BD1">
              <w:rPr>
                <w:rFonts w:ascii="Lato" w:hAnsi="Lato"/>
                <w:sz w:val="22"/>
                <w:szCs w:val="22"/>
              </w:rPr>
              <w:t xml:space="preserve"> (</w:t>
            </w:r>
            <w:r w:rsidR="00797672">
              <w:rPr>
                <w:rFonts w:ascii="Lato" w:hAnsi="Lato"/>
                <w:sz w:val="22"/>
                <w:szCs w:val="22"/>
              </w:rPr>
              <w:t>NT</w:t>
            </w:r>
            <w:r w:rsidR="003706A6">
              <w:rPr>
                <w:rFonts w:ascii="Lato" w:hAnsi="Lato"/>
                <w:sz w:val="22"/>
                <w:szCs w:val="22"/>
              </w:rPr>
              <w:t>CET</w:t>
            </w:r>
            <w:r w:rsidR="00A02BD1">
              <w:rPr>
                <w:rFonts w:ascii="Lato" w:hAnsi="Lato"/>
                <w:sz w:val="22"/>
                <w:szCs w:val="22"/>
              </w:rPr>
              <w:t>)</w:t>
            </w:r>
            <w:r w:rsidR="00E3110E">
              <w:rPr>
                <w:rFonts w:ascii="Lato" w:hAnsi="Lato"/>
                <w:sz w:val="22"/>
                <w:szCs w:val="22"/>
              </w:rPr>
              <w:t>.</w:t>
            </w:r>
          </w:p>
        </w:tc>
        <w:tc>
          <w:tcPr>
            <w:tcW w:w="1985" w:type="dxa"/>
          </w:tcPr>
          <w:p w14:paraId="0A24525D" w14:textId="77777777" w:rsidR="009B475C" w:rsidRPr="00CA48B7" w:rsidRDefault="009B475C" w:rsidP="000A75C0">
            <w:pPr>
              <w:pStyle w:val="Normalnumbered"/>
              <w:numPr>
                <w:ilvl w:val="0"/>
                <w:numId w:val="0"/>
              </w:numPr>
              <w:rPr>
                <w:rFonts w:ascii="Lato" w:hAnsi="Lato"/>
                <w:b/>
                <w:color w:val="3D4B67"/>
                <w:sz w:val="22"/>
              </w:rPr>
            </w:pPr>
          </w:p>
        </w:tc>
        <w:tc>
          <w:tcPr>
            <w:tcW w:w="1688" w:type="dxa"/>
          </w:tcPr>
          <w:p w14:paraId="0A24525E" w14:textId="77777777" w:rsidR="009B475C" w:rsidRPr="00CA48B7" w:rsidRDefault="009B475C" w:rsidP="000A75C0">
            <w:pPr>
              <w:pStyle w:val="Normalnumbered"/>
              <w:numPr>
                <w:ilvl w:val="0"/>
                <w:numId w:val="0"/>
              </w:numPr>
              <w:rPr>
                <w:rFonts w:ascii="Lato" w:hAnsi="Lato"/>
                <w:b/>
                <w:color w:val="3D4B67"/>
                <w:sz w:val="22"/>
              </w:rPr>
            </w:pPr>
          </w:p>
        </w:tc>
        <w:tc>
          <w:tcPr>
            <w:tcW w:w="1350" w:type="dxa"/>
          </w:tcPr>
          <w:p w14:paraId="0A24525F" w14:textId="77777777" w:rsidR="009B475C" w:rsidRPr="003752CA" w:rsidRDefault="00F44EA8" w:rsidP="003752CA">
            <w:pPr>
              <w:pStyle w:val="Normalnumbered"/>
              <w:numPr>
                <w:ilvl w:val="0"/>
                <w:numId w:val="0"/>
              </w:numPr>
              <w:jc w:val="center"/>
              <w:rPr>
                <w:rFonts w:ascii="Lato" w:hAnsi="Lato"/>
                <w:color w:val="auto"/>
                <w:sz w:val="22"/>
              </w:rPr>
            </w:pPr>
            <w:r>
              <w:rPr>
                <w:rFonts w:ascii="Lato" w:hAnsi="Lato"/>
                <w:color w:val="auto"/>
                <w:sz w:val="22"/>
              </w:rPr>
              <w:t>17%</w:t>
            </w:r>
          </w:p>
        </w:tc>
      </w:tr>
      <w:tr w:rsidR="009B475C" w:rsidRPr="00BD5E05" w14:paraId="0A245268" w14:textId="77777777" w:rsidTr="000A75C0">
        <w:tc>
          <w:tcPr>
            <w:tcW w:w="3859" w:type="dxa"/>
          </w:tcPr>
          <w:p w14:paraId="0A245261" w14:textId="77777777" w:rsidR="009B475C" w:rsidRPr="00CA48B7" w:rsidRDefault="00FB43B3" w:rsidP="00CA48B7">
            <w:pPr>
              <w:pStyle w:val="Normalnumbered"/>
              <w:numPr>
                <w:ilvl w:val="0"/>
                <w:numId w:val="0"/>
              </w:numPr>
              <w:rPr>
                <w:rFonts w:ascii="Lato" w:hAnsi="Lato"/>
                <w:sz w:val="22"/>
              </w:rPr>
            </w:pPr>
            <w:r>
              <w:rPr>
                <w:rFonts w:ascii="Lato" w:hAnsi="Lato"/>
                <w:sz w:val="22"/>
              </w:rPr>
              <w:t xml:space="preserve">4. </w:t>
            </w:r>
            <w:r w:rsidR="009B475C" w:rsidRPr="00CA48B7">
              <w:rPr>
                <w:rFonts w:ascii="Lato" w:hAnsi="Lato"/>
                <w:sz w:val="22"/>
              </w:rPr>
              <w:t>Engagement</w:t>
            </w:r>
          </w:p>
          <w:p w14:paraId="0A245262" w14:textId="77777777" w:rsidR="0038188F" w:rsidRDefault="0038188F" w:rsidP="00867BDE">
            <w:pPr>
              <w:pStyle w:val="Normalnumbered"/>
              <w:numPr>
                <w:ilvl w:val="0"/>
                <w:numId w:val="22"/>
              </w:numPr>
              <w:ind w:left="357" w:hanging="357"/>
              <w:rPr>
                <w:rFonts w:ascii="Lato" w:hAnsi="Lato"/>
                <w:sz w:val="22"/>
              </w:rPr>
            </w:pPr>
            <w:r w:rsidRPr="00CA48B7">
              <w:rPr>
                <w:rFonts w:ascii="Lato" w:hAnsi="Lato"/>
                <w:sz w:val="22"/>
              </w:rPr>
              <w:t xml:space="preserve">11 case workers </w:t>
            </w:r>
            <w:r w:rsidRPr="00BD5E05">
              <w:rPr>
                <w:rFonts w:ascii="Lato" w:hAnsi="Lato"/>
                <w:sz w:val="22"/>
                <w:szCs w:val="22"/>
              </w:rPr>
              <w:t>supporting</w:t>
            </w:r>
            <w:r w:rsidRPr="00CA48B7">
              <w:rPr>
                <w:rFonts w:ascii="Lato" w:hAnsi="Lato"/>
                <w:sz w:val="22"/>
              </w:rPr>
              <w:t xml:space="preserve"> chronically disengaged students and families</w:t>
            </w:r>
            <w:r w:rsidR="00E3110E">
              <w:rPr>
                <w:rFonts w:ascii="Lato" w:hAnsi="Lato"/>
                <w:sz w:val="22"/>
              </w:rPr>
              <w:t>;</w:t>
            </w:r>
          </w:p>
          <w:p w14:paraId="0A245263" w14:textId="77777777" w:rsidR="00B16D26" w:rsidRDefault="00E3110E" w:rsidP="00867BDE">
            <w:pPr>
              <w:pStyle w:val="Normalnumbered"/>
              <w:numPr>
                <w:ilvl w:val="0"/>
                <w:numId w:val="22"/>
              </w:numPr>
              <w:rPr>
                <w:rFonts w:ascii="Lato" w:hAnsi="Lato"/>
                <w:sz w:val="22"/>
              </w:rPr>
            </w:pPr>
            <w:r>
              <w:rPr>
                <w:rFonts w:ascii="Lato" w:hAnsi="Lato"/>
                <w:sz w:val="22"/>
              </w:rPr>
              <w:t>i</w:t>
            </w:r>
            <w:r w:rsidR="00B16D26" w:rsidRPr="00B16D26">
              <w:rPr>
                <w:rFonts w:ascii="Lato" w:hAnsi="Lato"/>
                <w:sz w:val="22"/>
              </w:rPr>
              <w:t xml:space="preserve">ncrease in the number of families engaged </w:t>
            </w:r>
            <w:r w:rsidR="00B16D26">
              <w:rPr>
                <w:rFonts w:ascii="Lato" w:hAnsi="Lato"/>
                <w:sz w:val="22"/>
              </w:rPr>
              <w:t xml:space="preserve">to </w:t>
            </w:r>
            <w:r w:rsidR="00B16D26" w:rsidRPr="00B16D26">
              <w:rPr>
                <w:rFonts w:ascii="Lato" w:hAnsi="Lato"/>
                <w:sz w:val="22"/>
              </w:rPr>
              <w:t>improv</w:t>
            </w:r>
            <w:r w:rsidR="00B16D26">
              <w:rPr>
                <w:rFonts w:ascii="Lato" w:hAnsi="Lato"/>
                <w:sz w:val="22"/>
              </w:rPr>
              <w:t xml:space="preserve">e </w:t>
            </w:r>
            <w:r w:rsidR="00B16D26" w:rsidRPr="00B16D26">
              <w:rPr>
                <w:rFonts w:ascii="Lato" w:hAnsi="Lato"/>
                <w:sz w:val="22"/>
              </w:rPr>
              <w:t>attendance in remote and very remote schools</w:t>
            </w:r>
            <w:r w:rsidR="00B16D26">
              <w:rPr>
                <w:rFonts w:ascii="Lato" w:hAnsi="Lato"/>
                <w:sz w:val="22"/>
              </w:rPr>
              <w:t xml:space="preserve"> to 750</w:t>
            </w:r>
            <w:r>
              <w:rPr>
                <w:rFonts w:ascii="Lato" w:hAnsi="Lato"/>
                <w:sz w:val="22"/>
              </w:rPr>
              <w:t>; and</w:t>
            </w:r>
          </w:p>
          <w:p w14:paraId="0A245264" w14:textId="77777777" w:rsidR="009B475C" w:rsidRPr="008D7145" w:rsidRDefault="0038188F" w:rsidP="00867BDE">
            <w:pPr>
              <w:pStyle w:val="Normalnumbered"/>
              <w:numPr>
                <w:ilvl w:val="0"/>
                <w:numId w:val="22"/>
              </w:numPr>
              <w:spacing w:after="240"/>
              <w:ind w:left="357" w:hanging="357"/>
              <w:rPr>
                <w:rFonts w:ascii="Lato" w:hAnsi="Lato"/>
                <w:sz w:val="22"/>
              </w:rPr>
            </w:pPr>
            <w:r w:rsidRPr="00BD5E05">
              <w:rPr>
                <w:rFonts w:ascii="Lato" w:hAnsi="Lato"/>
                <w:sz w:val="22"/>
                <w:szCs w:val="22"/>
              </w:rPr>
              <w:t xml:space="preserve">Community engagement and local decision making unit engaging </w:t>
            </w:r>
            <w:r w:rsidR="00BC2AFD" w:rsidRPr="00BD5E05">
              <w:rPr>
                <w:rFonts w:ascii="Lato" w:hAnsi="Lato"/>
                <w:sz w:val="22"/>
                <w:szCs w:val="22"/>
              </w:rPr>
              <w:t xml:space="preserve">with </w:t>
            </w:r>
            <w:r w:rsidRPr="00BD5E05">
              <w:rPr>
                <w:rFonts w:ascii="Lato" w:hAnsi="Lato"/>
                <w:sz w:val="22"/>
                <w:szCs w:val="22"/>
              </w:rPr>
              <w:t>30%</w:t>
            </w:r>
            <w:r w:rsidR="00BC2AFD" w:rsidRPr="00BD5E05">
              <w:rPr>
                <w:rFonts w:ascii="Lato" w:hAnsi="Lato"/>
                <w:sz w:val="22"/>
                <w:szCs w:val="22"/>
              </w:rPr>
              <w:t xml:space="preserve"> of</w:t>
            </w:r>
            <w:r w:rsidRPr="00BD5E05">
              <w:rPr>
                <w:rFonts w:ascii="Lato" w:hAnsi="Lato"/>
                <w:sz w:val="22"/>
                <w:szCs w:val="22"/>
              </w:rPr>
              <w:t xml:space="preserve"> remote and very remote schools.</w:t>
            </w:r>
          </w:p>
        </w:tc>
        <w:tc>
          <w:tcPr>
            <w:tcW w:w="1985" w:type="dxa"/>
          </w:tcPr>
          <w:p w14:paraId="0A245265" w14:textId="77777777" w:rsidR="009B475C" w:rsidRPr="00CA48B7" w:rsidRDefault="009B475C" w:rsidP="000A75C0">
            <w:pPr>
              <w:pStyle w:val="Normalnumbered"/>
              <w:numPr>
                <w:ilvl w:val="0"/>
                <w:numId w:val="0"/>
              </w:numPr>
              <w:rPr>
                <w:rFonts w:ascii="Lato" w:hAnsi="Lato"/>
                <w:b/>
                <w:color w:val="3D4B67"/>
                <w:sz w:val="22"/>
              </w:rPr>
            </w:pPr>
          </w:p>
        </w:tc>
        <w:tc>
          <w:tcPr>
            <w:tcW w:w="1688" w:type="dxa"/>
          </w:tcPr>
          <w:p w14:paraId="0A245266" w14:textId="77777777" w:rsidR="009B475C" w:rsidRPr="00CA48B7" w:rsidRDefault="009B475C" w:rsidP="000A75C0">
            <w:pPr>
              <w:pStyle w:val="Normalnumbered"/>
              <w:numPr>
                <w:ilvl w:val="0"/>
                <w:numId w:val="0"/>
              </w:numPr>
              <w:rPr>
                <w:rFonts w:ascii="Lato" w:hAnsi="Lato"/>
                <w:b/>
                <w:color w:val="3D4B67"/>
                <w:sz w:val="22"/>
              </w:rPr>
            </w:pPr>
          </w:p>
        </w:tc>
        <w:tc>
          <w:tcPr>
            <w:tcW w:w="1350" w:type="dxa"/>
          </w:tcPr>
          <w:p w14:paraId="0A245267" w14:textId="77777777" w:rsidR="009B475C" w:rsidRPr="003752CA" w:rsidRDefault="00F44EA8" w:rsidP="003752CA">
            <w:pPr>
              <w:pStyle w:val="Normalnumbered"/>
              <w:numPr>
                <w:ilvl w:val="0"/>
                <w:numId w:val="0"/>
              </w:numPr>
              <w:jc w:val="center"/>
              <w:rPr>
                <w:rFonts w:ascii="Lato" w:hAnsi="Lato"/>
                <w:color w:val="auto"/>
                <w:sz w:val="22"/>
              </w:rPr>
            </w:pPr>
            <w:r>
              <w:rPr>
                <w:rFonts w:ascii="Lato" w:hAnsi="Lato"/>
                <w:color w:val="auto"/>
                <w:sz w:val="22"/>
              </w:rPr>
              <w:t>14%</w:t>
            </w:r>
          </w:p>
        </w:tc>
      </w:tr>
      <w:tr w:rsidR="009B475C" w:rsidRPr="00BD5E05" w14:paraId="0A24526E" w14:textId="77777777" w:rsidTr="000A75C0">
        <w:tc>
          <w:tcPr>
            <w:tcW w:w="3859" w:type="dxa"/>
          </w:tcPr>
          <w:p w14:paraId="0A245269" w14:textId="77777777" w:rsidR="009B475C" w:rsidRPr="00CA48B7" w:rsidRDefault="00FB43B3" w:rsidP="00CA48B7">
            <w:pPr>
              <w:pStyle w:val="Normalnumbered"/>
              <w:numPr>
                <w:ilvl w:val="0"/>
                <w:numId w:val="0"/>
              </w:numPr>
              <w:ind w:left="567" w:hanging="567"/>
              <w:rPr>
                <w:rFonts w:ascii="Lato" w:hAnsi="Lato"/>
                <w:sz w:val="22"/>
              </w:rPr>
            </w:pPr>
            <w:r>
              <w:rPr>
                <w:rFonts w:ascii="Lato" w:hAnsi="Lato"/>
                <w:sz w:val="22"/>
              </w:rPr>
              <w:t xml:space="preserve">5. </w:t>
            </w:r>
            <w:r w:rsidR="009B475C" w:rsidRPr="00CA48B7">
              <w:rPr>
                <w:rFonts w:ascii="Lato" w:hAnsi="Lato"/>
                <w:sz w:val="22"/>
              </w:rPr>
              <w:t>Workforce</w:t>
            </w:r>
          </w:p>
          <w:p w14:paraId="0A24526A" w14:textId="77777777" w:rsidR="009B475C" w:rsidRPr="00CA48B7" w:rsidRDefault="00BC2AFD" w:rsidP="00867BDE">
            <w:pPr>
              <w:pStyle w:val="Normalnumbered"/>
              <w:numPr>
                <w:ilvl w:val="0"/>
                <w:numId w:val="22"/>
              </w:numPr>
              <w:spacing w:after="240"/>
              <w:rPr>
                <w:rFonts w:ascii="Lato" w:hAnsi="Lato"/>
                <w:sz w:val="22"/>
              </w:rPr>
            </w:pPr>
            <w:r w:rsidRPr="00BD5E05">
              <w:rPr>
                <w:rFonts w:ascii="Lato" w:hAnsi="Lato"/>
                <w:sz w:val="22"/>
                <w:szCs w:val="22"/>
              </w:rPr>
              <w:t xml:space="preserve">170 </w:t>
            </w:r>
            <w:r w:rsidR="00EE09D8">
              <w:rPr>
                <w:rFonts w:ascii="Lato" w:hAnsi="Lato"/>
                <w:sz w:val="22"/>
                <w:szCs w:val="22"/>
              </w:rPr>
              <w:t>Indigenous</w:t>
            </w:r>
            <w:r w:rsidR="00EE09D8" w:rsidRPr="00CA48B7">
              <w:rPr>
                <w:rFonts w:ascii="Lato" w:hAnsi="Lato"/>
                <w:sz w:val="22"/>
              </w:rPr>
              <w:t xml:space="preserve"> </w:t>
            </w:r>
            <w:r w:rsidR="009B475C" w:rsidRPr="00CA48B7">
              <w:rPr>
                <w:rFonts w:ascii="Lato" w:hAnsi="Lato"/>
                <w:sz w:val="22"/>
              </w:rPr>
              <w:t>assistant teachers enrolled in further accredited training</w:t>
            </w:r>
            <w:r w:rsidR="00FB34C2">
              <w:rPr>
                <w:rFonts w:ascii="Lato" w:hAnsi="Lato"/>
                <w:sz w:val="22"/>
              </w:rPr>
              <w:t>,</w:t>
            </w:r>
            <w:r w:rsidR="00635B00">
              <w:rPr>
                <w:rFonts w:ascii="Lato" w:hAnsi="Lato"/>
                <w:sz w:val="22"/>
              </w:rPr>
              <w:t xml:space="preserve"> reported by gender</w:t>
            </w:r>
            <w:r w:rsidR="009B475C" w:rsidRPr="00CA48B7">
              <w:rPr>
                <w:rFonts w:ascii="Lato" w:hAnsi="Lato"/>
                <w:sz w:val="22"/>
              </w:rPr>
              <w:t>.</w:t>
            </w:r>
          </w:p>
        </w:tc>
        <w:tc>
          <w:tcPr>
            <w:tcW w:w="1985" w:type="dxa"/>
          </w:tcPr>
          <w:p w14:paraId="0A24526B" w14:textId="77777777" w:rsidR="009B475C" w:rsidRPr="00CA48B7" w:rsidRDefault="009B475C" w:rsidP="000A75C0">
            <w:pPr>
              <w:pStyle w:val="Normalnumbered"/>
              <w:numPr>
                <w:ilvl w:val="0"/>
                <w:numId w:val="0"/>
              </w:numPr>
              <w:rPr>
                <w:rFonts w:ascii="Lato" w:hAnsi="Lato"/>
                <w:b/>
                <w:color w:val="3D4B67"/>
                <w:sz w:val="22"/>
              </w:rPr>
            </w:pPr>
          </w:p>
        </w:tc>
        <w:tc>
          <w:tcPr>
            <w:tcW w:w="1688" w:type="dxa"/>
          </w:tcPr>
          <w:p w14:paraId="0A24526C" w14:textId="77777777" w:rsidR="009B475C" w:rsidRPr="00CA48B7" w:rsidRDefault="009B475C" w:rsidP="000A75C0">
            <w:pPr>
              <w:pStyle w:val="Normalnumbered"/>
              <w:numPr>
                <w:ilvl w:val="0"/>
                <w:numId w:val="0"/>
              </w:numPr>
              <w:rPr>
                <w:rFonts w:ascii="Lato" w:hAnsi="Lato"/>
                <w:b/>
                <w:color w:val="3D4B67"/>
                <w:sz w:val="22"/>
              </w:rPr>
            </w:pPr>
          </w:p>
        </w:tc>
        <w:tc>
          <w:tcPr>
            <w:tcW w:w="1350" w:type="dxa"/>
          </w:tcPr>
          <w:p w14:paraId="0A24526D" w14:textId="77777777" w:rsidR="009B475C" w:rsidRPr="003752CA" w:rsidRDefault="00F44EA8" w:rsidP="003752CA">
            <w:pPr>
              <w:pStyle w:val="Normalnumbered"/>
              <w:numPr>
                <w:ilvl w:val="0"/>
                <w:numId w:val="0"/>
              </w:numPr>
              <w:jc w:val="center"/>
              <w:rPr>
                <w:rFonts w:ascii="Lato" w:hAnsi="Lato"/>
                <w:color w:val="auto"/>
                <w:sz w:val="22"/>
              </w:rPr>
            </w:pPr>
            <w:r>
              <w:rPr>
                <w:rFonts w:ascii="Lato" w:hAnsi="Lato"/>
                <w:color w:val="auto"/>
                <w:sz w:val="22"/>
              </w:rPr>
              <w:t>19%</w:t>
            </w:r>
          </w:p>
        </w:tc>
      </w:tr>
      <w:tr w:rsidR="009B475C" w:rsidRPr="00BD5E05" w14:paraId="0A245274" w14:textId="77777777" w:rsidTr="000A75C0">
        <w:tc>
          <w:tcPr>
            <w:tcW w:w="3859" w:type="dxa"/>
          </w:tcPr>
          <w:p w14:paraId="0A24526F" w14:textId="77777777" w:rsidR="009B475C" w:rsidRPr="00CA48B7" w:rsidRDefault="00FB43B3" w:rsidP="00E21E11">
            <w:pPr>
              <w:pStyle w:val="Normalnumbered"/>
              <w:numPr>
                <w:ilvl w:val="0"/>
                <w:numId w:val="0"/>
              </w:numPr>
              <w:rPr>
                <w:rFonts w:ascii="Lato" w:hAnsi="Lato"/>
                <w:sz w:val="22"/>
              </w:rPr>
            </w:pPr>
            <w:r>
              <w:rPr>
                <w:rFonts w:ascii="Lato" w:hAnsi="Lato"/>
                <w:sz w:val="22"/>
              </w:rPr>
              <w:t>5a. Workforce Capital</w:t>
            </w:r>
          </w:p>
          <w:p w14:paraId="0A245270" w14:textId="77777777" w:rsidR="009B475C" w:rsidRPr="00CA48B7" w:rsidRDefault="003437FB" w:rsidP="00867BDE">
            <w:pPr>
              <w:pStyle w:val="Normalnumbered"/>
              <w:numPr>
                <w:ilvl w:val="0"/>
                <w:numId w:val="22"/>
              </w:numPr>
              <w:spacing w:after="240"/>
              <w:ind w:left="357" w:hanging="357"/>
              <w:rPr>
                <w:rFonts w:ascii="Lato" w:hAnsi="Lato"/>
                <w:sz w:val="22"/>
              </w:rPr>
            </w:pPr>
            <w:r>
              <w:rPr>
                <w:rFonts w:ascii="Lato" w:hAnsi="Lato"/>
                <w:sz w:val="22"/>
              </w:rPr>
              <w:t>D</w:t>
            </w:r>
            <w:r w:rsidRPr="00CA48B7">
              <w:rPr>
                <w:rFonts w:ascii="Lato" w:hAnsi="Lato"/>
                <w:sz w:val="22"/>
              </w:rPr>
              <w:t xml:space="preserve">elivered as per agreed </w:t>
            </w:r>
            <w:r w:rsidR="00E94FF3" w:rsidRPr="00E94FF3">
              <w:rPr>
                <w:rFonts w:ascii="Lato" w:hAnsi="Lato"/>
                <w:sz w:val="22"/>
                <w:lang w:val="en-US"/>
              </w:rPr>
              <w:t>Capital Works Schedule</w:t>
            </w:r>
            <w:r>
              <w:rPr>
                <w:rFonts w:ascii="Lato" w:hAnsi="Lato"/>
                <w:sz w:val="22"/>
              </w:rPr>
              <w:t xml:space="preserve"> (min.</w:t>
            </w:r>
            <w:r w:rsidRPr="00C4045D">
              <w:rPr>
                <w:rFonts w:ascii="Lato" w:hAnsi="Lato"/>
                <w:sz w:val="22"/>
              </w:rPr>
              <w:t xml:space="preserve"> </w:t>
            </w:r>
            <w:r w:rsidR="00363A1B">
              <w:rPr>
                <w:rFonts w:ascii="Lato" w:hAnsi="Lato"/>
                <w:sz w:val="22"/>
              </w:rPr>
              <w:t>25</w:t>
            </w:r>
            <w:r>
              <w:rPr>
                <w:rFonts w:ascii="Lato" w:hAnsi="Lato"/>
                <w:sz w:val="22"/>
              </w:rPr>
              <w:t>% Indigenous employment rate</w:t>
            </w:r>
            <w:r w:rsidR="00363A1B">
              <w:rPr>
                <w:rFonts w:ascii="Lato" w:hAnsi="Lato"/>
                <w:sz w:val="22"/>
              </w:rPr>
              <w:t xml:space="preserve"> subject to community capacity</w:t>
            </w:r>
            <w:r>
              <w:rPr>
                <w:rFonts w:ascii="Lato" w:hAnsi="Lato"/>
                <w:sz w:val="22"/>
              </w:rPr>
              <w:t>).</w:t>
            </w:r>
          </w:p>
        </w:tc>
        <w:tc>
          <w:tcPr>
            <w:tcW w:w="1985" w:type="dxa"/>
          </w:tcPr>
          <w:p w14:paraId="0A245271" w14:textId="77777777" w:rsidR="009B475C" w:rsidRPr="00CA48B7" w:rsidRDefault="009B475C" w:rsidP="000A75C0">
            <w:pPr>
              <w:pStyle w:val="Normalnumbered"/>
              <w:numPr>
                <w:ilvl w:val="0"/>
                <w:numId w:val="0"/>
              </w:numPr>
              <w:rPr>
                <w:rFonts w:ascii="Lato" w:hAnsi="Lato"/>
                <w:b/>
                <w:color w:val="3D4B67"/>
                <w:sz w:val="22"/>
              </w:rPr>
            </w:pPr>
          </w:p>
        </w:tc>
        <w:tc>
          <w:tcPr>
            <w:tcW w:w="1688" w:type="dxa"/>
          </w:tcPr>
          <w:p w14:paraId="0A245272" w14:textId="77777777" w:rsidR="009B475C" w:rsidRPr="00CA48B7" w:rsidRDefault="009B475C" w:rsidP="000A75C0">
            <w:pPr>
              <w:pStyle w:val="Normalnumbered"/>
              <w:numPr>
                <w:ilvl w:val="0"/>
                <w:numId w:val="0"/>
              </w:numPr>
              <w:rPr>
                <w:rFonts w:ascii="Lato" w:hAnsi="Lato"/>
                <w:b/>
                <w:color w:val="3D4B67"/>
                <w:sz w:val="22"/>
              </w:rPr>
            </w:pPr>
          </w:p>
        </w:tc>
        <w:tc>
          <w:tcPr>
            <w:tcW w:w="1350" w:type="dxa"/>
          </w:tcPr>
          <w:p w14:paraId="0A245273" w14:textId="77777777" w:rsidR="009B475C" w:rsidRPr="003752CA" w:rsidRDefault="00F44EA8" w:rsidP="003752CA">
            <w:pPr>
              <w:pStyle w:val="Normalnumbered"/>
              <w:numPr>
                <w:ilvl w:val="0"/>
                <w:numId w:val="0"/>
              </w:numPr>
              <w:jc w:val="center"/>
              <w:rPr>
                <w:rFonts w:ascii="Lato" w:hAnsi="Lato"/>
                <w:color w:val="auto"/>
                <w:sz w:val="22"/>
              </w:rPr>
            </w:pPr>
            <w:r>
              <w:rPr>
                <w:rFonts w:ascii="Lato" w:hAnsi="Lato"/>
                <w:color w:val="auto"/>
                <w:sz w:val="22"/>
              </w:rPr>
              <w:t>14%</w:t>
            </w:r>
          </w:p>
        </w:tc>
      </w:tr>
    </w:tbl>
    <w:p w14:paraId="0A245275" w14:textId="77777777" w:rsidR="00BC2AFD" w:rsidRPr="00BD5E05" w:rsidRDefault="00BC2AFD">
      <w:pPr>
        <w:rPr>
          <w:rFonts w:ascii="Lato" w:hAnsi="Lato"/>
          <w:b/>
          <w:color w:val="3D4B67"/>
          <w:szCs w:val="20"/>
        </w:rPr>
      </w:pPr>
    </w:p>
    <w:tbl>
      <w:tblPr>
        <w:tblStyle w:val="TableGrid"/>
        <w:tblW w:w="0" w:type="auto"/>
        <w:tblInd w:w="360" w:type="dxa"/>
        <w:tblLook w:val="04A0" w:firstRow="1" w:lastRow="0" w:firstColumn="1" w:lastColumn="0" w:noHBand="0" w:noVBand="1"/>
      </w:tblPr>
      <w:tblGrid>
        <w:gridCol w:w="3831"/>
        <w:gridCol w:w="28"/>
        <w:gridCol w:w="1985"/>
        <w:gridCol w:w="87"/>
        <w:gridCol w:w="1601"/>
        <w:gridCol w:w="80"/>
        <w:gridCol w:w="1270"/>
        <w:gridCol w:w="80"/>
      </w:tblGrid>
      <w:tr w:rsidR="0079521A" w:rsidRPr="00BD5E05" w14:paraId="0A24527A" w14:textId="77777777" w:rsidTr="00CA48B7">
        <w:trPr>
          <w:gridAfter w:val="1"/>
          <w:wAfter w:w="80" w:type="dxa"/>
        </w:trPr>
        <w:tc>
          <w:tcPr>
            <w:tcW w:w="3859" w:type="dxa"/>
            <w:gridSpan w:val="2"/>
          </w:tcPr>
          <w:p w14:paraId="0A245276" w14:textId="77777777" w:rsidR="0079521A" w:rsidRPr="00CA48B7" w:rsidRDefault="0079521A" w:rsidP="005D5FE0">
            <w:pPr>
              <w:rPr>
                <w:rFonts w:ascii="Lato" w:hAnsi="Lato"/>
                <w:b/>
                <w:sz w:val="22"/>
                <w:lang w:val="en-US"/>
              </w:rPr>
            </w:pPr>
            <w:r w:rsidRPr="00CA48B7">
              <w:rPr>
                <w:rFonts w:ascii="Lato" w:hAnsi="Lato"/>
                <w:b/>
                <w:color w:val="3D4B67"/>
                <w:sz w:val="22"/>
              </w:rPr>
              <w:lastRenderedPageBreak/>
              <w:br w:type="page"/>
            </w:r>
            <w:r w:rsidRPr="00CA48B7">
              <w:rPr>
                <w:rFonts w:ascii="Lato" w:hAnsi="Lato"/>
                <w:b/>
                <w:sz w:val="22"/>
                <w:lang w:val="en-US"/>
              </w:rPr>
              <w:t>Milestone</w:t>
            </w:r>
          </w:p>
        </w:tc>
        <w:tc>
          <w:tcPr>
            <w:tcW w:w="1985" w:type="dxa"/>
          </w:tcPr>
          <w:p w14:paraId="0A245277" w14:textId="77777777" w:rsidR="0079521A" w:rsidRPr="00CA48B7" w:rsidRDefault="0079521A" w:rsidP="005D5FE0">
            <w:pPr>
              <w:rPr>
                <w:rFonts w:ascii="Lato" w:hAnsi="Lato"/>
                <w:b/>
                <w:sz w:val="22"/>
                <w:lang w:val="en-US"/>
              </w:rPr>
            </w:pPr>
            <w:r w:rsidRPr="00CA48B7">
              <w:rPr>
                <w:rFonts w:ascii="Lato" w:hAnsi="Lato"/>
                <w:b/>
                <w:sz w:val="22"/>
                <w:lang w:val="en-US"/>
              </w:rPr>
              <w:t>Reporting Period</w:t>
            </w:r>
          </w:p>
        </w:tc>
        <w:tc>
          <w:tcPr>
            <w:tcW w:w="1688" w:type="dxa"/>
            <w:gridSpan w:val="2"/>
          </w:tcPr>
          <w:p w14:paraId="0A245278" w14:textId="77777777" w:rsidR="0079521A" w:rsidRPr="00CA48B7" w:rsidRDefault="0079521A" w:rsidP="005D5FE0">
            <w:pPr>
              <w:rPr>
                <w:rFonts w:ascii="Lato" w:hAnsi="Lato"/>
                <w:b/>
                <w:sz w:val="22"/>
                <w:lang w:val="en-US"/>
              </w:rPr>
            </w:pPr>
            <w:r w:rsidRPr="00CA48B7">
              <w:rPr>
                <w:rFonts w:ascii="Lato" w:hAnsi="Lato"/>
                <w:b/>
                <w:sz w:val="22"/>
                <w:lang w:val="en-US"/>
              </w:rPr>
              <w:t>Reporting Due Date</w:t>
            </w:r>
          </w:p>
        </w:tc>
        <w:tc>
          <w:tcPr>
            <w:tcW w:w="1350" w:type="dxa"/>
            <w:gridSpan w:val="2"/>
          </w:tcPr>
          <w:p w14:paraId="0A245279" w14:textId="77777777" w:rsidR="0079521A" w:rsidRPr="00CA48B7" w:rsidRDefault="0079521A" w:rsidP="003437FB">
            <w:pPr>
              <w:rPr>
                <w:rFonts w:ascii="Lato" w:hAnsi="Lato"/>
                <w:b/>
                <w:sz w:val="22"/>
                <w:lang w:val="en-US"/>
              </w:rPr>
            </w:pPr>
            <w:r w:rsidRPr="00CA48B7">
              <w:rPr>
                <w:rFonts w:ascii="Lato" w:hAnsi="Lato"/>
                <w:b/>
                <w:sz w:val="22"/>
                <w:lang w:val="en-US"/>
              </w:rPr>
              <w:t>Percentage of financial year milestone payment</w:t>
            </w:r>
          </w:p>
        </w:tc>
      </w:tr>
      <w:tr w:rsidR="0079521A" w:rsidRPr="00BD5E05" w14:paraId="0A24527C" w14:textId="77777777" w:rsidTr="00CA48B7">
        <w:trPr>
          <w:gridAfter w:val="1"/>
          <w:wAfter w:w="80" w:type="dxa"/>
        </w:trPr>
        <w:tc>
          <w:tcPr>
            <w:tcW w:w="8882" w:type="dxa"/>
            <w:gridSpan w:val="7"/>
          </w:tcPr>
          <w:p w14:paraId="0A24527B" w14:textId="77777777" w:rsidR="0079521A" w:rsidRPr="00CA48B7" w:rsidRDefault="0079521A" w:rsidP="005D5FE0">
            <w:pPr>
              <w:jc w:val="center"/>
              <w:rPr>
                <w:rFonts w:ascii="Lato" w:hAnsi="Lato"/>
                <w:b/>
                <w:sz w:val="22"/>
                <w:lang w:val="en-US"/>
              </w:rPr>
            </w:pPr>
            <w:r w:rsidRPr="00CA48B7">
              <w:rPr>
                <w:rFonts w:ascii="Lato" w:hAnsi="Lato"/>
                <w:b/>
                <w:sz w:val="22"/>
                <w:lang w:val="en-US"/>
              </w:rPr>
              <w:t>2020-21</w:t>
            </w:r>
          </w:p>
        </w:tc>
      </w:tr>
      <w:tr w:rsidR="00F44EA8" w:rsidRPr="00BD5E05" w14:paraId="0A245285" w14:textId="77777777" w:rsidTr="00CA48B7">
        <w:trPr>
          <w:gridAfter w:val="1"/>
          <w:wAfter w:w="80" w:type="dxa"/>
          <w:trHeight w:val="2265"/>
        </w:trPr>
        <w:tc>
          <w:tcPr>
            <w:tcW w:w="3859" w:type="dxa"/>
            <w:gridSpan w:val="2"/>
          </w:tcPr>
          <w:p w14:paraId="0A24527D" w14:textId="77777777" w:rsidR="00F44EA8" w:rsidRPr="00CA48B7" w:rsidRDefault="00F44EA8" w:rsidP="00F44EA8">
            <w:pPr>
              <w:pStyle w:val="Normalnumbered"/>
              <w:numPr>
                <w:ilvl w:val="0"/>
                <w:numId w:val="0"/>
              </w:numPr>
              <w:ind w:left="567" w:hanging="567"/>
              <w:rPr>
                <w:rFonts w:ascii="Lato" w:hAnsi="Lato"/>
                <w:b/>
                <w:color w:val="3D4B67"/>
                <w:sz w:val="22"/>
              </w:rPr>
            </w:pPr>
            <w:r>
              <w:rPr>
                <w:rFonts w:ascii="Lato" w:hAnsi="Lato"/>
                <w:sz w:val="22"/>
              </w:rPr>
              <w:t xml:space="preserve">1. </w:t>
            </w:r>
            <w:r w:rsidRPr="00CA48B7">
              <w:rPr>
                <w:rFonts w:ascii="Lato" w:hAnsi="Lato"/>
                <w:sz w:val="22"/>
              </w:rPr>
              <w:t>Foundations</w:t>
            </w:r>
          </w:p>
          <w:p w14:paraId="0A24527E" w14:textId="77777777" w:rsidR="00F44EA8" w:rsidRPr="00CA48B7" w:rsidRDefault="00F44EA8" w:rsidP="00867BDE">
            <w:pPr>
              <w:pStyle w:val="Normalnumbered"/>
              <w:numPr>
                <w:ilvl w:val="0"/>
                <w:numId w:val="22"/>
              </w:numPr>
              <w:rPr>
                <w:rFonts w:ascii="Lato" w:hAnsi="Lato"/>
                <w:b/>
                <w:color w:val="3D4B67"/>
                <w:sz w:val="22"/>
              </w:rPr>
            </w:pPr>
            <w:r w:rsidRPr="00CA48B7">
              <w:rPr>
                <w:rFonts w:ascii="Lato" w:hAnsi="Lato"/>
                <w:sz w:val="22"/>
              </w:rPr>
              <w:t xml:space="preserve">Operation of </w:t>
            </w:r>
            <w:proofErr w:type="spellStart"/>
            <w:r w:rsidRPr="00CA48B7">
              <w:rPr>
                <w:rFonts w:ascii="Lato" w:hAnsi="Lato"/>
                <w:sz w:val="22"/>
              </w:rPr>
              <w:t>FaFT</w:t>
            </w:r>
            <w:proofErr w:type="spellEnd"/>
            <w:r w:rsidRPr="00CA48B7">
              <w:rPr>
                <w:rFonts w:ascii="Lato" w:hAnsi="Lato"/>
                <w:sz w:val="22"/>
              </w:rPr>
              <w:t xml:space="preserve"> in 32 sites</w:t>
            </w:r>
            <w:r w:rsidR="00E3110E">
              <w:rPr>
                <w:rFonts w:ascii="Lato" w:hAnsi="Lato"/>
                <w:sz w:val="22"/>
                <w:szCs w:val="22"/>
              </w:rPr>
              <w:t>;</w:t>
            </w:r>
          </w:p>
          <w:p w14:paraId="0A24527F" w14:textId="77777777" w:rsidR="00F44EA8" w:rsidRDefault="00E3110E" w:rsidP="00867BDE">
            <w:pPr>
              <w:pStyle w:val="Normalnumbered"/>
              <w:numPr>
                <w:ilvl w:val="0"/>
                <w:numId w:val="22"/>
              </w:numPr>
              <w:ind w:left="357" w:hanging="357"/>
              <w:rPr>
                <w:rFonts w:ascii="Lato" w:hAnsi="Lato"/>
                <w:sz w:val="22"/>
              </w:rPr>
            </w:pPr>
            <w:r>
              <w:rPr>
                <w:rFonts w:ascii="Lato" w:hAnsi="Lato"/>
                <w:sz w:val="22"/>
              </w:rPr>
              <w:t>e</w:t>
            </w:r>
            <w:r w:rsidR="00F44EA8">
              <w:rPr>
                <w:rFonts w:ascii="Lato" w:hAnsi="Lato"/>
                <w:sz w:val="22"/>
              </w:rPr>
              <w:t xml:space="preserve">ach </w:t>
            </w:r>
            <w:proofErr w:type="spellStart"/>
            <w:r w:rsidR="00F44EA8">
              <w:rPr>
                <w:rFonts w:ascii="Lato" w:hAnsi="Lato"/>
                <w:sz w:val="22"/>
              </w:rPr>
              <w:t>F</w:t>
            </w:r>
            <w:r w:rsidR="00F44EA8" w:rsidRPr="00CA48B7">
              <w:rPr>
                <w:rFonts w:ascii="Lato" w:hAnsi="Lato"/>
                <w:sz w:val="22"/>
              </w:rPr>
              <w:t>aFT</w:t>
            </w:r>
            <w:proofErr w:type="spellEnd"/>
            <w:r w:rsidR="00F44EA8" w:rsidRPr="00CA48B7">
              <w:rPr>
                <w:rFonts w:ascii="Lato" w:hAnsi="Lato"/>
                <w:sz w:val="22"/>
              </w:rPr>
              <w:t xml:space="preserve"> program</w:t>
            </w:r>
            <w:r w:rsidR="00F44EA8">
              <w:rPr>
                <w:rFonts w:ascii="Lato" w:hAnsi="Lato"/>
                <w:sz w:val="22"/>
              </w:rPr>
              <w:t xml:space="preserve"> is delivered at least </w:t>
            </w:r>
            <w:r w:rsidR="00F44EA8" w:rsidRPr="00CA48B7">
              <w:rPr>
                <w:rFonts w:ascii="Lato" w:hAnsi="Lato"/>
                <w:sz w:val="22"/>
              </w:rPr>
              <w:t>three days per week</w:t>
            </w:r>
            <w:r>
              <w:rPr>
                <w:rFonts w:ascii="Lato" w:hAnsi="Lato"/>
                <w:sz w:val="22"/>
              </w:rPr>
              <w:t>;</w:t>
            </w:r>
          </w:p>
          <w:p w14:paraId="0A245280" w14:textId="77777777" w:rsidR="00F44EA8" w:rsidRPr="00CA48B7" w:rsidRDefault="00F44EA8" w:rsidP="00867BDE">
            <w:pPr>
              <w:pStyle w:val="Normalnumbered"/>
              <w:numPr>
                <w:ilvl w:val="0"/>
                <w:numId w:val="22"/>
              </w:numPr>
              <w:ind w:left="357" w:hanging="357"/>
              <w:rPr>
                <w:rFonts w:ascii="Lato" w:hAnsi="Lato"/>
                <w:sz w:val="22"/>
              </w:rPr>
            </w:pPr>
            <w:r w:rsidRPr="00D40B0E">
              <w:rPr>
                <w:rFonts w:ascii="Lato" w:hAnsi="Lato"/>
                <w:sz w:val="22"/>
                <w:szCs w:val="22"/>
              </w:rPr>
              <w:t>1600</w:t>
            </w:r>
            <w:r w:rsidRPr="00D40B0E">
              <w:rPr>
                <w:rFonts w:ascii="Lato" w:hAnsi="Lato"/>
                <w:sz w:val="22"/>
              </w:rPr>
              <w:t xml:space="preserve"> c</w:t>
            </w:r>
            <w:r w:rsidRPr="00CA48B7">
              <w:rPr>
                <w:rFonts w:ascii="Lato" w:hAnsi="Lato"/>
                <w:sz w:val="22"/>
              </w:rPr>
              <w:t xml:space="preserve">hildren </w:t>
            </w:r>
            <w:r>
              <w:rPr>
                <w:rFonts w:ascii="Lato" w:hAnsi="Lato"/>
                <w:sz w:val="22"/>
              </w:rPr>
              <w:t xml:space="preserve">supported by </w:t>
            </w:r>
            <w:r w:rsidRPr="00CA48B7">
              <w:rPr>
                <w:rFonts w:ascii="Lato" w:hAnsi="Lato"/>
                <w:sz w:val="22"/>
              </w:rPr>
              <w:t>their families</w:t>
            </w:r>
            <w:r>
              <w:rPr>
                <w:rFonts w:ascii="Lato" w:hAnsi="Lato"/>
                <w:sz w:val="22"/>
              </w:rPr>
              <w:t xml:space="preserve"> are enrolled in </w:t>
            </w:r>
            <w:proofErr w:type="spellStart"/>
            <w:r>
              <w:rPr>
                <w:rFonts w:ascii="Lato" w:hAnsi="Lato"/>
                <w:sz w:val="22"/>
              </w:rPr>
              <w:t>FaFT</w:t>
            </w:r>
            <w:proofErr w:type="spellEnd"/>
            <w:r>
              <w:rPr>
                <w:rFonts w:ascii="Lato" w:hAnsi="Lato"/>
                <w:sz w:val="22"/>
              </w:rPr>
              <w:t xml:space="preserve"> programs</w:t>
            </w:r>
            <w:r w:rsidR="00E3110E">
              <w:rPr>
                <w:rFonts w:ascii="Lato" w:hAnsi="Lato"/>
                <w:sz w:val="22"/>
              </w:rPr>
              <w:t>; and</w:t>
            </w:r>
          </w:p>
          <w:p w14:paraId="0A245281" w14:textId="77777777" w:rsidR="00F44EA8" w:rsidRPr="00CA48B7" w:rsidRDefault="00E3110E" w:rsidP="00867BDE">
            <w:pPr>
              <w:pStyle w:val="Normalnumbered"/>
              <w:numPr>
                <w:ilvl w:val="0"/>
                <w:numId w:val="22"/>
              </w:numPr>
              <w:spacing w:after="240"/>
              <w:rPr>
                <w:rFonts w:ascii="Lato" w:hAnsi="Lato"/>
                <w:b/>
                <w:color w:val="3D4B67"/>
                <w:sz w:val="22"/>
              </w:rPr>
            </w:pPr>
            <w:proofErr w:type="gramStart"/>
            <w:r>
              <w:rPr>
                <w:rFonts w:ascii="Lato" w:hAnsi="Lato"/>
                <w:sz w:val="22"/>
              </w:rPr>
              <w:t>d</w:t>
            </w:r>
            <w:r w:rsidR="00F44EA8" w:rsidRPr="008D7145">
              <w:rPr>
                <w:rFonts w:ascii="Lato" w:hAnsi="Lato"/>
                <w:sz w:val="22"/>
              </w:rPr>
              <w:t>elivery</w:t>
            </w:r>
            <w:proofErr w:type="gramEnd"/>
            <w:r w:rsidR="00F44EA8" w:rsidRPr="008D7145">
              <w:rPr>
                <w:rFonts w:ascii="Lato" w:hAnsi="Lato"/>
                <w:sz w:val="22"/>
              </w:rPr>
              <w:t xml:space="preserve"> of an Adult Literacy Program to 60 parents and guardians</w:t>
            </w:r>
            <w:r w:rsidR="00635B00">
              <w:rPr>
                <w:rFonts w:ascii="Lato" w:hAnsi="Lato"/>
                <w:sz w:val="22"/>
              </w:rPr>
              <w:t xml:space="preserve"> </w:t>
            </w:r>
            <w:r w:rsidR="00F4253E">
              <w:rPr>
                <w:rFonts w:ascii="Lato" w:hAnsi="Lato"/>
                <w:sz w:val="22"/>
              </w:rPr>
              <w:t xml:space="preserve">in four sites, </w:t>
            </w:r>
            <w:r w:rsidR="00635B00">
              <w:rPr>
                <w:rFonts w:ascii="Lato" w:hAnsi="Lato"/>
                <w:sz w:val="22"/>
              </w:rPr>
              <w:t>reported by gender</w:t>
            </w:r>
            <w:r>
              <w:rPr>
                <w:rFonts w:ascii="Lato" w:hAnsi="Lato"/>
                <w:sz w:val="22"/>
              </w:rPr>
              <w:t>.</w:t>
            </w:r>
          </w:p>
        </w:tc>
        <w:tc>
          <w:tcPr>
            <w:tcW w:w="1985" w:type="dxa"/>
          </w:tcPr>
          <w:p w14:paraId="0A245282" w14:textId="77777777" w:rsidR="00F44EA8" w:rsidRPr="00CA48B7" w:rsidRDefault="00F44EA8" w:rsidP="00F44EA8">
            <w:pPr>
              <w:pStyle w:val="Normalnumbered"/>
              <w:numPr>
                <w:ilvl w:val="0"/>
                <w:numId w:val="0"/>
              </w:numPr>
              <w:jc w:val="center"/>
              <w:rPr>
                <w:rFonts w:ascii="Lato" w:hAnsi="Lato"/>
                <w:b/>
                <w:color w:val="3D4B67"/>
                <w:sz w:val="22"/>
              </w:rPr>
            </w:pPr>
            <w:r w:rsidRPr="00CA48B7">
              <w:rPr>
                <w:rFonts w:ascii="Lato" w:hAnsi="Lato"/>
                <w:sz w:val="22"/>
              </w:rPr>
              <w:t>1 January to 31 December 2020</w:t>
            </w:r>
          </w:p>
        </w:tc>
        <w:tc>
          <w:tcPr>
            <w:tcW w:w="1688" w:type="dxa"/>
            <w:gridSpan w:val="2"/>
          </w:tcPr>
          <w:p w14:paraId="0A245283" w14:textId="77777777" w:rsidR="00F44EA8" w:rsidRPr="00CA48B7" w:rsidRDefault="00F44EA8" w:rsidP="00F44EA8">
            <w:pPr>
              <w:pStyle w:val="Normalnumbered"/>
              <w:numPr>
                <w:ilvl w:val="0"/>
                <w:numId w:val="0"/>
              </w:numPr>
              <w:jc w:val="center"/>
              <w:rPr>
                <w:rFonts w:ascii="Lato" w:hAnsi="Lato"/>
                <w:sz w:val="22"/>
              </w:rPr>
            </w:pPr>
            <w:r w:rsidRPr="00CA48B7">
              <w:rPr>
                <w:rFonts w:ascii="Lato" w:hAnsi="Lato"/>
                <w:sz w:val="22"/>
              </w:rPr>
              <w:t>31 March 2021</w:t>
            </w:r>
          </w:p>
        </w:tc>
        <w:tc>
          <w:tcPr>
            <w:tcW w:w="1350" w:type="dxa"/>
            <w:gridSpan w:val="2"/>
          </w:tcPr>
          <w:p w14:paraId="0A245284"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34</w:t>
            </w:r>
            <w:r w:rsidRPr="0065262B">
              <w:rPr>
                <w:rFonts w:ascii="Lato" w:hAnsi="Lato"/>
                <w:color w:val="auto"/>
                <w:sz w:val="22"/>
              </w:rPr>
              <w:t>%</w:t>
            </w:r>
          </w:p>
        </w:tc>
      </w:tr>
      <w:tr w:rsidR="00F44EA8" w:rsidRPr="00BD5E05" w14:paraId="0A24528B" w14:textId="77777777" w:rsidTr="00057BDA">
        <w:trPr>
          <w:gridAfter w:val="1"/>
          <w:wAfter w:w="80" w:type="dxa"/>
          <w:trHeight w:val="892"/>
        </w:trPr>
        <w:tc>
          <w:tcPr>
            <w:tcW w:w="3859" w:type="dxa"/>
            <w:gridSpan w:val="2"/>
          </w:tcPr>
          <w:p w14:paraId="0A245286" w14:textId="77777777" w:rsidR="00F44EA8" w:rsidRDefault="00F44EA8" w:rsidP="00F44EA8">
            <w:pPr>
              <w:pStyle w:val="Normalnumbered"/>
              <w:numPr>
                <w:ilvl w:val="0"/>
                <w:numId w:val="0"/>
              </w:numPr>
              <w:ind w:left="567" w:hanging="567"/>
              <w:rPr>
                <w:rFonts w:ascii="Lato" w:hAnsi="Lato"/>
                <w:sz w:val="22"/>
              </w:rPr>
            </w:pPr>
            <w:r>
              <w:rPr>
                <w:rFonts w:ascii="Lato" w:hAnsi="Lato"/>
                <w:sz w:val="22"/>
              </w:rPr>
              <w:t>2. Essentials</w:t>
            </w:r>
          </w:p>
          <w:p w14:paraId="0A245287" w14:textId="77777777" w:rsidR="00F44EA8" w:rsidRPr="00CA48B7" w:rsidRDefault="00F44EA8" w:rsidP="00867BDE">
            <w:pPr>
              <w:pStyle w:val="Normalnumbered"/>
              <w:numPr>
                <w:ilvl w:val="0"/>
                <w:numId w:val="22"/>
              </w:numPr>
              <w:spacing w:after="240"/>
              <w:rPr>
                <w:rFonts w:ascii="Lato" w:hAnsi="Lato"/>
                <w:sz w:val="22"/>
              </w:rPr>
            </w:pPr>
            <w:r w:rsidRPr="00CB7F19">
              <w:rPr>
                <w:rFonts w:ascii="Lato" w:hAnsi="Lato"/>
                <w:sz w:val="22"/>
              </w:rPr>
              <w:t>Not Applicable - fully funded by the NT</w:t>
            </w:r>
            <w:r w:rsidR="00E3110E">
              <w:rPr>
                <w:rFonts w:ascii="Lato" w:hAnsi="Lato"/>
                <w:sz w:val="22"/>
              </w:rPr>
              <w:t>.</w:t>
            </w:r>
          </w:p>
        </w:tc>
        <w:tc>
          <w:tcPr>
            <w:tcW w:w="1985" w:type="dxa"/>
          </w:tcPr>
          <w:p w14:paraId="0A245288" w14:textId="77777777" w:rsidR="00F44EA8" w:rsidRPr="00CA48B7" w:rsidRDefault="00F44EA8" w:rsidP="00F44EA8">
            <w:pPr>
              <w:pStyle w:val="Normalnumbered"/>
              <w:numPr>
                <w:ilvl w:val="0"/>
                <w:numId w:val="0"/>
              </w:numPr>
              <w:rPr>
                <w:rFonts w:ascii="Lato" w:hAnsi="Lato"/>
                <w:b/>
                <w:color w:val="3D4B67"/>
                <w:sz w:val="22"/>
              </w:rPr>
            </w:pPr>
          </w:p>
        </w:tc>
        <w:tc>
          <w:tcPr>
            <w:tcW w:w="1688" w:type="dxa"/>
            <w:gridSpan w:val="2"/>
          </w:tcPr>
          <w:p w14:paraId="0A245289"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8A"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0%</w:t>
            </w:r>
          </w:p>
        </w:tc>
      </w:tr>
      <w:tr w:rsidR="00F44EA8" w:rsidRPr="00BD5E05" w14:paraId="0A245291" w14:textId="77777777" w:rsidTr="00A720F3">
        <w:trPr>
          <w:gridAfter w:val="1"/>
          <w:wAfter w:w="80" w:type="dxa"/>
          <w:trHeight w:val="1681"/>
        </w:trPr>
        <w:tc>
          <w:tcPr>
            <w:tcW w:w="3859" w:type="dxa"/>
            <w:gridSpan w:val="2"/>
          </w:tcPr>
          <w:p w14:paraId="0A24528C" w14:textId="77777777" w:rsidR="00F44EA8" w:rsidRPr="00CA48B7" w:rsidRDefault="00F44EA8" w:rsidP="00F44EA8">
            <w:pPr>
              <w:pStyle w:val="Normalnumbered"/>
              <w:numPr>
                <w:ilvl w:val="0"/>
                <w:numId w:val="0"/>
              </w:numPr>
              <w:ind w:left="567" w:hanging="567"/>
              <w:rPr>
                <w:rFonts w:ascii="Lato" w:hAnsi="Lato"/>
                <w:b/>
                <w:color w:val="3D4B67"/>
                <w:sz w:val="22"/>
              </w:rPr>
            </w:pPr>
            <w:r>
              <w:rPr>
                <w:rFonts w:ascii="Lato" w:hAnsi="Lato"/>
                <w:sz w:val="22"/>
              </w:rPr>
              <w:t xml:space="preserve">3. </w:t>
            </w:r>
            <w:r w:rsidRPr="00CA48B7">
              <w:rPr>
                <w:rFonts w:ascii="Lato" w:hAnsi="Lato"/>
                <w:sz w:val="22"/>
              </w:rPr>
              <w:t>Pathways</w:t>
            </w:r>
          </w:p>
          <w:p w14:paraId="0A24528D" w14:textId="77777777" w:rsidR="00F44EA8" w:rsidRPr="00CA48B7" w:rsidRDefault="00F44EA8" w:rsidP="00867BDE">
            <w:pPr>
              <w:pStyle w:val="Normalnumbered"/>
              <w:numPr>
                <w:ilvl w:val="0"/>
                <w:numId w:val="22"/>
              </w:numPr>
              <w:spacing w:after="240"/>
              <w:ind w:left="357" w:hanging="357"/>
              <w:rPr>
                <w:rFonts w:ascii="Lato" w:hAnsi="Lato"/>
                <w:sz w:val="22"/>
              </w:rPr>
            </w:pPr>
            <w:r w:rsidRPr="00CA48B7">
              <w:rPr>
                <w:rFonts w:ascii="Lato" w:hAnsi="Lato"/>
                <w:sz w:val="22"/>
              </w:rPr>
              <w:t>Transitio</w:t>
            </w:r>
            <w:r w:rsidRPr="00E32FA9">
              <w:rPr>
                <w:rFonts w:ascii="Lato" w:hAnsi="Lato"/>
                <w:sz w:val="22"/>
              </w:rPr>
              <w:t xml:space="preserve">n </w:t>
            </w:r>
            <w:r w:rsidRPr="00E32FA9">
              <w:rPr>
                <w:rFonts w:ascii="Lato" w:hAnsi="Lato"/>
                <w:sz w:val="22"/>
                <w:szCs w:val="22"/>
              </w:rPr>
              <w:t>support</w:t>
            </w:r>
            <w:r w:rsidRPr="00E32FA9">
              <w:rPr>
                <w:rFonts w:ascii="Lato" w:hAnsi="Lato"/>
                <w:sz w:val="22"/>
              </w:rPr>
              <w:t xml:space="preserve"> provided to </w:t>
            </w:r>
            <w:r w:rsidRPr="00E32FA9">
              <w:rPr>
                <w:rFonts w:ascii="Lato" w:hAnsi="Lato"/>
                <w:sz w:val="22"/>
                <w:szCs w:val="22"/>
              </w:rPr>
              <w:t xml:space="preserve">at least </w:t>
            </w:r>
            <w:r w:rsidRPr="00E32FA9">
              <w:rPr>
                <w:rFonts w:ascii="Lato" w:hAnsi="Lato"/>
                <w:sz w:val="22"/>
              </w:rPr>
              <w:t xml:space="preserve">63 </w:t>
            </w:r>
            <w:r w:rsidRPr="00CA48B7">
              <w:rPr>
                <w:rFonts w:ascii="Lato" w:hAnsi="Lato"/>
                <w:sz w:val="22"/>
              </w:rPr>
              <w:t xml:space="preserve">remote and very remote </w:t>
            </w:r>
            <w:r w:rsidRPr="00BD5E05">
              <w:rPr>
                <w:rFonts w:ascii="Lato" w:hAnsi="Lato"/>
                <w:sz w:val="22"/>
                <w:szCs w:val="22"/>
              </w:rPr>
              <w:t xml:space="preserve">government </w:t>
            </w:r>
            <w:r w:rsidRPr="00CA48B7">
              <w:rPr>
                <w:rFonts w:ascii="Lato" w:hAnsi="Lato"/>
                <w:sz w:val="22"/>
              </w:rPr>
              <w:t>schools</w:t>
            </w:r>
            <w:r>
              <w:rPr>
                <w:rFonts w:ascii="Lato" w:hAnsi="Lato"/>
                <w:sz w:val="22"/>
              </w:rPr>
              <w:t xml:space="preserve"> </w:t>
            </w:r>
            <w:r>
              <w:rPr>
                <w:rFonts w:ascii="Lato" w:hAnsi="Lato"/>
                <w:sz w:val="22"/>
                <w:szCs w:val="22"/>
              </w:rPr>
              <w:t xml:space="preserve">that do not offer a </w:t>
            </w:r>
            <w:r w:rsidR="00A02BD1" w:rsidRPr="00F74759">
              <w:rPr>
                <w:rFonts w:ascii="Lato" w:hAnsi="Lato"/>
                <w:sz w:val="22"/>
                <w:szCs w:val="22"/>
              </w:rPr>
              <w:t>Northern Territory Certificate of Education and Training</w:t>
            </w:r>
            <w:r w:rsidR="00A02BD1">
              <w:rPr>
                <w:rFonts w:ascii="Lato" w:hAnsi="Lato"/>
                <w:sz w:val="22"/>
                <w:szCs w:val="22"/>
              </w:rPr>
              <w:t xml:space="preserve"> (</w:t>
            </w:r>
            <w:r>
              <w:rPr>
                <w:rFonts w:ascii="Lato" w:hAnsi="Lato"/>
                <w:sz w:val="22"/>
                <w:szCs w:val="22"/>
              </w:rPr>
              <w:t>NTCET</w:t>
            </w:r>
            <w:r w:rsidR="00A02BD1">
              <w:rPr>
                <w:rFonts w:ascii="Lato" w:hAnsi="Lato"/>
                <w:sz w:val="22"/>
                <w:szCs w:val="22"/>
              </w:rPr>
              <w:t>)</w:t>
            </w:r>
            <w:r>
              <w:rPr>
                <w:rFonts w:ascii="Lato" w:hAnsi="Lato"/>
                <w:sz w:val="22"/>
                <w:szCs w:val="22"/>
              </w:rPr>
              <w:t>.</w:t>
            </w:r>
            <w:r w:rsidRPr="00BD5E05">
              <w:rPr>
                <w:rFonts w:ascii="Lato" w:hAnsi="Lato"/>
                <w:sz w:val="22"/>
                <w:szCs w:val="22"/>
              </w:rPr>
              <w:t xml:space="preserve"> </w:t>
            </w:r>
          </w:p>
        </w:tc>
        <w:tc>
          <w:tcPr>
            <w:tcW w:w="1985" w:type="dxa"/>
          </w:tcPr>
          <w:p w14:paraId="0A24528E" w14:textId="77777777" w:rsidR="00F44EA8" w:rsidRPr="00CA48B7" w:rsidRDefault="00F44EA8" w:rsidP="00F44EA8">
            <w:pPr>
              <w:pStyle w:val="Normalnumbered"/>
              <w:numPr>
                <w:ilvl w:val="0"/>
                <w:numId w:val="0"/>
              </w:numPr>
              <w:rPr>
                <w:rFonts w:ascii="Lato" w:hAnsi="Lato"/>
                <w:b/>
                <w:color w:val="3D4B67"/>
                <w:sz w:val="22"/>
              </w:rPr>
            </w:pPr>
          </w:p>
        </w:tc>
        <w:tc>
          <w:tcPr>
            <w:tcW w:w="1688" w:type="dxa"/>
            <w:gridSpan w:val="2"/>
          </w:tcPr>
          <w:p w14:paraId="0A24528F"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90"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13%</w:t>
            </w:r>
          </w:p>
        </w:tc>
      </w:tr>
      <w:tr w:rsidR="00F44EA8" w:rsidRPr="00BD5E05" w14:paraId="0A245299" w14:textId="77777777" w:rsidTr="005D5FE0">
        <w:trPr>
          <w:gridAfter w:val="1"/>
          <w:wAfter w:w="80" w:type="dxa"/>
        </w:trPr>
        <w:tc>
          <w:tcPr>
            <w:tcW w:w="3859" w:type="dxa"/>
            <w:gridSpan w:val="2"/>
          </w:tcPr>
          <w:p w14:paraId="0A245292" w14:textId="77777777" w:rsidR="00F44EA8" w:rsidRPr="00CA48B7" w:rsidRDefault="00F44EA8" w:rsidP="00F44EA8">
            <w:pPr>
              <w:pStyle w:val="Normalnumbered"/>
              <w:numPr>
                <w:ilvl w:val="0"/>
                <w:numId w:val="0"/>
              </w:numPr>
              <w:ind w:left="567" w:hanging="567"/>
              <w:rPr>
                <w:rFonts w:ascii="Lato" w:hAnsi="Lato"/>
                <w:sz w:val="22"/>
              </w:rPr>
            </w:pPr>
            <w:r>
              <w:rPr>
                <w:rFonts w:ascii="Lato" w:hAnsi="Lato"/>
                <w:sz w:val="22"/>
              </w:rPr>
              <w:t xml:space="preserve">4. </w:t>
            </w:r>
            <w:r w:rsidRPr="00CA48B7">
              <w:rPr>
                <w:rFonts w:ascii="Lato" w:hAnsi="Lato"/>
                <w:sz w:val="22"/>
              </w:rPr>
              <w:t>Engagement</w:t>
            </w:r>
          </w:p>
          <w:p w14:paraId="0A245293" w14:textId="77777777" w:rsidR="00F44EA8" w:rsidRDefault="00F44EA8" w:rsidP="00867BDE">
            <w:pPr>
              <w:pStyle w:val="Normalnumbered"/>
              <w:numPr>
                <w:ilvl w:val="0"/>
                <w:numId w:val="22"/>
              </w:numPr>
              <w:ind w:left="357" w:hanging="357"/>
              <w:rPr>
                <w:rFonts w:ascii="Lato" w:hAnsi="Lato"/>
                <w:sz w:val="22"/>
              </w:rPr>
            </w:pPr>
            <w:r w:rsidRPr="00CA48B7">
              <w:rPr>
                <w:rFonts w:ascii="Lato" w:hAnsi="Lato"/>
                <w:sz w:val="22"/>
              </w:rPr>
              <w:t xml:space="preserve">11 case workers </w:t>
            </w:r>
            <w:r w:rsidRPr="00BD5E05">
              <w:rPr>
                <w:rFonts w:ascii="Lato" w:hAnsi="Lato"/>
                <w:sz w:val="22"/>
                <w:szCs w:val="22"/>
              </w:rPr>
              <w:t>supporting</w:t>
            </w:r>
            <w:r w:rsidRPr="00CA48B7">
              <w:rPr>
                <w:rFonts w:ascii="Lato" w:hAnsi="Lato"/>
                <w:sz w:val="22"/>
              </w:rPr>
              <w:t xml:space="preserve"> chronically disengaged students and families</w:t>
            </w:r>
            <w:r w:rsidR="00E3110E">
              <w:rPr>
                <w:rFonts w:ascii="Lato" w:hAnsi="Lato"/>
                <w:sz w:val="22"/>
              </w:rPr>
              <w:t>;</w:t>
            </w:r>
          </w:p>
          <w:p w14:paraId="0A245294" w14:textId="77777777" w:rsidR="00F44EA8" w:rsidRDefault="00E3110E" w:rsidP="00867BDE">
            <w:pPr>
              <w:pStyle w:val="Normalnumbered"/>
              <w:numPr>
                <w:ilvl w:val="0"/>
                <w:numId w:val="22"/>
              </w:numPr>
              <w:rPr>
                <w:rFonts w:ascii="Lato" w:hAnsi="Lato"/>
                <w:sz w:val="22"/>
              </w:rPr>
            </w:pPr>
            <w:r>
              <w:rPr>
                <w:rFonts w:ascii="Lato" w:hAnsi="Lato"/>
                <w:sz w:val="22"/>
              </w:rPr>
              <w:t>i</w:t>
            </w:r>
            <w:r w:rsidR="00F44EA8" w:rsidRPr="00B16D26">
              <w:rPr>
                <w:rFonts w:ascii="Lato" w:hAnsi="Lato"/>
                <w:sz w:val="22"/>
              </w:rPr>
              <w:t xml:space="preserve">ncrease in the number of families engaged </w:t>
            </w:r>
            <w:r w:rsidR="00F44EA8">
              <w:rPr>
                <w:rFonts w:ascii="Lato" w:hAnsi="Lato"/>
                <w:sz w:val="22"/>
              </w:rPr>
              <w:t xml:space="preserve">to </w:t>
            </w:r>
            <w:r w:rsidR="00F44EA8" w:rsidRPr="00B16D26">
              <w:rPr>
                <w:rFonts w:ascii="Lato" w:hAnsi="Lato"/>
                <w:sz w:val="22"/>
              </w:rPr>
              <w:t>improv</w:t>
            </w:r>
            <w:r w:rsidR="00F44EA8">
              <w:rPr>
                <w:rFonts w:ascii="Lato" w:hAnsi="Lato"/>
                <w:sz w:val="22"/>
              </w:rPr>
              <w:t xml:space="preserve">e </w:t>
            </w:r>
            <w:r w:rsidR="00F44EA8" w:rsidRPr="00B16D26">
              <w:rPr>
                <w:rFonts w:ascii="Lato" w:hAnsi="Lato"/>
                <w:sz w:val="22"/>
              </w:rPr>
              <w:t>attendance in remote and very remote schools</w:t>
            </w:r>
            <w:r w:rsidR="00F44EA8">
              <w:rPr>
                <w:rFonts w:ascii="Lato" w:hAnsi="Lato"/>
                <w:sz w:val="22"/>
              </w:rPr>
              <w:t xml:space="preserve"> to 850</w:t>
            </w:r>
            <w:r>
              <w:rPr>
                <w:rFonts w:ascii="Lato" w:hAnsi="Lato"/>
                <w:sz w:val="22"/>
              </w:rPr>
              <w:t>; and</w:t>
            </w:r>
          </w:p>
          <w:p w14:paraId="0A245295" w14:textId="77777777" w:rsidR="00F44EA8" w:rsidRPr="008D7145" w:rsidRDefault="00E3110E" w:rsidP="00867BDE">
            <w:pPr>
              <w:pStyle w:val="Normalnumbered"/>
              <w:numPr>
                <w:ilvl w:val="0"/>
                <w:numId w:val="22"/>
              </w:numPr>
              <w:spacing w:after="240"/>
              <w:rPr>
                <w:rFonts w:ascii="Lato" w:hAnsi="Lato"/>
                <w:sz w:val="22"/>
              </w:rPr>
            </w:pPr>
            <w:proofErr w:type="gramStart"/>
            <w:r>
              <w:rPr>
                <w:rFonts w:ascii="Lato" w:hAnsi="Lato"/>
                <w:sz w:val="22"/>
                <w:szCs w:val="22"/>
              </w:rPr>
              <w:t>c</w:t>
            </w:r>
            <w:r w:rsidR="00F44EA8" w:rsidRPr="00BD5E05">
              <w:rPr>
                <w:rFonts w:ascii="Lato" w:hAnsi="Lato"/>
                <w:sz w:val="22"/>
                <w:szCs w:val="22"/>
              </w:rPr>
              <w:t>ommunity</w:t>
            </w:r>
            <w:proofErr w:type="gramEnd"/>
            <w:r w:rsidR="00F44EA8" w:rsidRPr="00BD5E05">
              <w:rPr>
                <w:rFonts w:ascii="Lato" w:hAnsi="Lato"/>
                <w:sz w:val="22"/>
                <w:szCs w:val="22"/>
              </w:rPr>
              <w:t xml:space="preserve"> engagement and local decision making unit engaging with 50% of remote and very remote schools.</w:t>
            </w:r>
          </w:p>
        </w:tc>
        <w:tc>
          <w:tcPr>
            <w:tcW w:w="1985" w:type="dxa"/>
          </w:tcPr>
          <w:p w14:paraId="0A245296" w14:textId="77777777" w:rsidR="00F44EA8" w:rsidRPr="00CA48B7" w:rsidRDefault="00F44EA8" w:rsidP="00F44EA8">
            <w:pPr>
              <w:pStyle w:val="Normalnumbered"/>
              <w:numPr>
                <w:ilvl w:val="0"/>
                <w:numId w:val="0"/>
              </w:numPr>
              <w:rPr>
                <w:rFonts w:ascii="Lato" w:hAnsi="Lato"/>
                <w:b/>
                <w:color w:val="3D4B67"/>
                <w:sz w:val="22"/>
              </w:rPr>
            </w:pPr>
          </w:p>
        </w:tc>
        <w:tc>
          <w:tcPr>
            <w:tcW w:w="1688" w:type="dxa"/>
            <w:gridSpan w:val="2"/>
          </w:tcPr>
          <w:p w14:paraId="0A245297"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98"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18%</w:t>
            </w:r>
          </w:p>
        </w:tc>
      </w:tr>
      <w:tr w:rsidR="00F44EA8" w:rsidRPr="00BD5E05" w14:paraId="0A24529F" w14:textId="77777777" w:rsidTr="005D5FE0">
        <w:trPr>
          <w:gridAfter w:val="1"/>
          <w:wAfter w:w="80" w:type="dxa"/>
        </w:trPr>
        <w:tc>
          <w:tcPr>
            <w:tcW w:w="3859" w:type="dxa"/>
            <w:gridSpan w:val="2"/>
          </w:tcPr>
          <w:p w14:paraId="0A24529A" w14:textId="77777777" w:rsidR="00F44EA8" w:rsidRPr="00CA48B7" w:rsidRDefault="00F44EA8" w:rsidP="00F44EA8">
            <w:pPr>
              <w:pStyle w:val="Normalnumbered"/>
              <w:numPr>
                <w:ilvl w:val="0"/>
                <w:numId w:val="0"/>
              </w:numPr>
              <w:rPr>
                <w:rFonts w:ascii="Lato" w:hAnsi="Lato"/>
                <w:sz w:val="22"/>
              </w:rPr>
            </w:pPr>
            <w:r>
              <w:rPr>
                <w:rFonts w:ascii="Lato" w:hAnsi="Lato"/>
                <w:sz w:val="22"/>
              </w:rPr>
              <w:t xml:space="preserve">5. </w:t>
            </w:r>
            <w:r w:rsidRPr="00CA48B7">
              <w:rPr>
                <w:rFonts w:ascii="Lato" w:hAnsi="Lato"/>
                <w:sz w:val="22"/>
              </w:rPr>
              <w:t>Workforce</w:t>
            </w:r>
          </w:p>
          <w:p w14:paraId="0A24529B" w14:textId="77777777" w:rsidR="00F44EA8" w:rsidRPr="00CA48B7" w:rsidRDefault="00F44EA8" w:rsidP="00867BDE">
            <w:pPr>
              <w:pStyle w:val="Normalnumbered"/>
              <w:numPr>
                <w:ilvl w:val="0"/>
                <w:numId w:val="22"/>
              </w:numPr>
              <w:spacing w:after="240"/>
              <w:ind w:left="357" w:hanging="357"/>
              <w:rPr>
                <w:rFonts w:ascii="Lato" w:hAnsi="Lato"/>
                <w:sz w:val="22"/>
              </w:rPr>
            </w:pPr>
            <w:r w:rsidRPr="00BD5E05">
              <w:rPr>
                <w:rFonts w:ascii="Lato" w:hAnsi="Lato"/>
                <w:sz w:val="22"/>
                <w:szCs w:val="22"/>
              </w:rPr>
              <w:t xml:space="preserve">190 </w:t>
            </w:r>
            <w:r w:rsidR="00EE09D8">
              <w:rPr>
                <w:rFonts w:ascii="Lato" w:hAnsi="Lato"/>
                <w:sz w:val="22"/>
                <w:szCs w:val="22"/>
              </w:rPr>
              <w:t>Indigenous</w:t>
            </w:r>
            <w:r w:rsidR="00EE09D8" w:rsidRPr="00CA48B7">
              <w:rPr>
                <w:rFonts w:ascii="Lato" w:hAnsi="Lato"/>
                <w:sz w:val="22"/>
              </w:rPr>
              <w:t xml:space="preserve"> </w:t>
            </w:r>
            <w:r w:rsidRPr="00CA48B7">
              <w:rPr>
                <w:rFonts w:ascii="Lato" w:hAnsi="Lato"/>
                <w:sz w:val="22"/>
              </w:rPr>
              <w:t>assistant teachers enrolled in further accredited training</w:t>
            </w:r>
            <w:r w:rsidR="00FB34C2">
              <w:rPr>
                <w:rFonts w:ascii="Lato" w:hAnsi="Lato"/>
                <w:sz w:val="22"/>
              </w:rPr>
              <w:t>,</w:t>
            </w:r>
            <w:r w:rsidR="00635B00">
              <w:rPr>
                <w:rFonts w:ascii="Lato" w:hAnsi="Lato"/>
                <w:sz w:val="22"/>
              </w:rPr>
              <w:t xml:space="preserve"> reported by gender</w:t>
            </w:r>
            <w:r w:rsidRPr="00CA48B7">
              <w:rPr>
                <w:rFonts w:ascii="Lato" w:hAnsi="Lato"/>
                <w:sz w:val="22"/>
              </w:rPr>
              <w:t>.</w:t>
            </w:r>
          </w:p>
        </w:tc>
        <w:tc>
          <w:tcPr>
            <w:tcW w:w="1985" w:type="dxa"/>
          </w:tcPr>
          <w:p w14:paraId="0A24529C" w14:textId="77777777" w:rsidR="00F44EA8" w:rsidRPr="00CA48B7" w:rsidRDefault="00F44EA8" w:rsidP="00F44EA8">
            <w:pPr>
              <w:pStyle w:val="Normalnumbered"/>
              <w:numPr>
                <w:ilvl w:val="0"/>
                <w:numId w:val="0"/>
              </w:numPr>
              <w:rPr>
                <w:rFonts w:ascii="Lato" w:hAnsi="Lato"/>
                <w:b/>
                <w:color w:val="3D4B67"/>
                <w:sz w:val="22"/>
              </w:rPr>
            </w:pPr>
          </w:p>
        </w:tc>
        <w:tc>
          <w:tcPr>
            <w:tcW w:w="1688" w:type="dxa"/>
            <w:gridSpan w:val="2"/>
          </w:tcPr>
          <w:p w14:paraId="0A24529D"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9E"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18%</w:t>
            </w:r>
          </w:p>
        </w:tc>
      </w:tr>
      <w:tr w:rsidR="00F44EA8" w:rsidRPr="00BD5E05" w14:paraId="0A2452A5" w14:textId="77777777" w:rsidTr="005D5FE0">
        <w:trPr>
          <w:gridAfter w:val="1"/>
          <w:wAfter w:w="80" w:type="dxa"/>
        </w:trPr>
        <w:tc>
          <w:tcPr>
            <w:tcW w:w="3859" w:type="dxa"/>
            <w:gridSpan w:val="2"/>
          </w:tcPr>
          <w:p w14:paraId="0A2452A0" w14:textId="77777777" w:rsidR="00F44EA8" w:rsidRPr="008D7145" w:rsidRDefault="00F44EA8" w:rsidP="00F44EA8">
            <w:pPr>
              <w:pStyle w:val="Normalnumbered"/>
              <w:numPr>
                <w:ilvl w:val="0"/>
                <w:numId w:val="0"/>
              </w:numPr>
              <w:rPr>
                <w:rFonts w:ascii="Lato" w:hAnsi="Lato"/>
                <w:sz w:val="22"/>
              </w:rPr>
            </w:pPr>
            <w:r>
              <w:rPr>
                <w:rFonts w:ascii="Lato" w:hAnsi="Lato"/>
                <w:sz w:val="22"/>
              </w:rPr>
              <w:t>5a. Workforce Capital</w:t>
            </w:r>
          </w:p>
          <w:p w14:paraId="0A2452A1" w14:textId="77777777" w:rsidR="00F44EA8" w:rsidRPr="00CA48B7" w:rsidRDefault="003437FB" w:rsidP="00867BDE">
            <w:pPr>
              <w:pStyle w:val="Normalnumbered"/>
              <w:numPr>
                <w:ilvl w:val="0"/>
                <w:numId w:val="26"/>
              </w:numPr>
              <w:rPr>
                <w:rFonts w:ascii="Lato" w:hAnsi="Lato"/>
                <w:sz w:val="22"/>
              </w:rPr>
            </w:pPr>
            <w:r>
              <w:rPr>
                <w:rFonts w:ascii="Lato" w:hAnsi="Lato"/>
                <w:sz w:val="22"/>
              </w:rPr>
              <w:t>D</w:t>
            </w:r>
            <w:r w:rsidRPr="00CA48B7">
              <w:rPr>
                <w:rFonts w:ascii="Lato" w:hAnsi="Lato"/>
                <w:sz w:val="22"/>
              </w:rPr>
              <w:t xml:space="preserve">elivered as per agreed </w:t>
            </w:r>
            <w:r w:rsidR="00E94FF3" w:rsidRPr="00E94FF3">
              <w:rPr>
                <w:rFonts w:ascii="Lato" w:hAnsi="Lato"/>
                <w:sz w:val="22"/>
                <w:lang w:val="en-US"/>
              </w:rPr>
              <w:t>Capital Works Schedule</w:t>
            </w:r>
            <w:r>
              <w:rPr>
                <w:rFonts w:ascii="Lato" w:hAnsi="Lato"/>
                <w:sz w:val="22"/>
              </w:rPr>
              <w:t xml:space="preserve"> (min.</w:t>
            </w:r>
            <w:r w:rsidRPr="00C4045D">
              <w:rPr>
                <w:rFonts w:ascii="Lato" w:hAnsi="Lato"/>
                <w:sz w:val="22"/>
              </w:rPr>
              <w:t xml:space="preserve"> </w:t>
            </w:r>
            <w:r w:rsidR="00363A1B">
              <w:rPr>
                <w:rFonts w:ascii="Lato" w:hAnsi="Lato"/>
                <w:sz w:val="22"/>
              </w:rPr>
              <w:t>25</w:t>
            </w:r>
            <w:r>
              <w:rPr>
                <w:rFonts w:ascii="Lato" w:hAnsi="Lato"/>
                <w:sz w:val="22"/>
              </w:rPr>
              <w:t>% Indigenous employment rate</w:t>
            </w:r>
            <w:r w:rsidR="00363A1B">
              <w:rPr>
                <w:rFonts w:ascii="Lato" w:hAnsi="Lato"/>
                <w:sz w:val="22"/>
              </w:rPr>
              <w:t xml:space="preserve"> subject to community capacity</w:t>
            </w:r>
            <w:r>
              <w:rPr>
                <w:rFonts w:ascii="Lato" w:hAnsi="Lato"/>
                <w:sz w:val="22"/>
              </w:rPr>
              <w:t>).</w:t>
            </w:r>
            <w:r w:rsidR="00B71DB2">
              <w:rPr>
                <w:rFonts w:ascii="Lato" w:hAnsi="Lato"/>
                <w:sz w:val="22"/>
              </w:rPr>
              <w:br/>
            </w:r>
          </w:p>
        </w:tc>
        <w:tc>
          <w:tcPr>
            <w:tcW w:w="1985" w:type="dxa"/>
          </w:tcPr>
          <w:p w14:paraId="0A2452A2" w14:textId="77777777" w:rsidR="00F44EA8" w:rsidRPr="00CA48B7" w:rsidRDefault="00F44EA8" w:rsidP="00F44EA8">
            <w:pPr>
              <w:pStyle w:val="Normalnumbered"/>
              <w:numPr>
                <w:ilvl w:val="0"/>
                <w:numId w:val="0"/>
              </w:numPr>
              <w:rPr>
                <w:rFonts w:ascii="Lato" w:hAnsi="Lato"/>
                <w:b/>
                <w:color w:val="3D4B67"/>
                <w:sz w:val="22"/>
              </w:rPr>
            </w:pPr>
          </w:p>
        </w:tc>
        <w:tc>
          <w:tcPr>
            <w:tcW w:w="1688" w:type="dxa"/>
            <w:gridSpan w:val="2"/>
          </w:tcPr>
          <w:p w14:paraId="0A2452A3"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A4"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17%</w:t>
            </w:r>
          </w:p>
        </w:tc>
      </w:tr>
      <w:tr w:rsidR="003715B6" w:rsidRPr="00BD5E05" w14:paraId="0A2452AA" w14:textId="77777777" w:rsidTr="008F6DF1">
        <w:tc>
          <w:tcPr>
            <w:tcW w:w="3831" w:type="dxa"/>
          </w:tcPr>
          <w:p w14:paraId="0A2452A6" w14:textId="77777777" w:rsidR="003715B6" w:rsidRPr="00CA48B7" w:rsidRDefault="003715B6" w:rsidP="000A75C0">
            <w:pPr>
              <w:rPr>
                <w:rFonts w:ascii="Lato" w:hAnsi="Lato"/>
                <w:b/>
                <w:sz w:val="22"/>
                <w:lang w:val="en-US"/>
              </w:rPr>
            </w:pPr>
            <w:r w:rsidRPr="00CA48B7">
              <w:rPr>
                <w:rFonts w:ascii="Lato" w:hAnsi="Lato"/>
                <w:b/>
                <w:color w:val="3D4B67"/>
                <w:sz w:val="22"/>
              </w:rPr>
              <w:lastRenderedPageBreak/>
              <w:br w:type="page"/>
            </w:r>
            <w:r w:rsidRPr="00CA48B7">
              <w:rPr>
                <w:rFonts w:ascii="Lato" w:hAnsi="Lato"/>
                <w:b/>
                <w:sz w:val="22"/>
                <w:lang w:val="en-US"/>
              </w:rPr>
              <w:t>Milestone</w:t>
            </w:r>
          </w:p>
        </w:tc>
        <w:tc>
          <w:tcPr>
            <w:tcW w:w="2100" w:type="dxa"/>
            <w:gridSpan w:val="3"/>
          </w:tcPr>
          <w:p w14:paraId="0A2452A7" w14:textId="77777777" w:rsidR="003715B6" w:rsidRPr="00CA48B7" w:rsidRDefault="003715B6" w:rsidP="000A75C0">
            <w:pPr>
              <w:rPr>
                <w:rFonts w:ascii="Lato" w:hAnsi="Lato"/>
                <w:b/>
                <w:sz w:val="22"/>
                <w:lang w:val="en-US"/>
              </w:rPr>
            </w:pPr>
            <w:r w:rsidRPr="00CA48B7">
              <w:rPr>
                <w:rFonts w:ascii="Lato" w:hAnsi="Lato"/>
                <w:b/>
                <w:sz w:val="22"/>
                <w:lang w:val="en-US"/>
              </w:rPr>
              <w:t>Reporting Period</w:t>
            </w:r>
          </w:p>
        </w:tc>
        <w:tc>
          <w:tcPr>
            <w:tcW w:w="1681" w:type="dxa"/>
            <w:gridSpan w:val="2"/>
          </w:tcPr>
          <w:p w14:paraId="0A2452A8" w14:textId="77777777" w:rsidR="003715B6" w:rsidRPr="00CA48B7" w:rsidRDefault="003715B6" w:rsidP="000A75C0">
            <w:pPr>
              <w:rPr>
                <w:rFonts w:ascii="Lato" w:hAnsi="Lato"/>
                <w:b/>
                <w:sz w:val="22"/>
                <w:lang w:val="en-US"/>
              </w:rPr>
            </w:pPr>
            <w:r w:rsidRPr="00CA48B7">
              <w:rPr>
                <w:rFonts w:ascii="Lato" w:hAnsi="Lato"/>
                <w:b/>
                <w:sz w:val="22"/>
                <w:lang w:val="en-US"/>
              </w:rPr>
              <w:t>Reporting Due Date</w:t>
            </w:r>
          </w:p>
        </w:tc>
        <w:tc>
          <w:tcPr>
            <w:tcW w:w="1350" w:type="dxa"/>
            <w:gridSpan w:val="2"/>
          </w:tcPr>
          <w:p w14:paraId="0A2452A9" w14:textId="77777777" w:rsidR="003715B6" w:rsidRPr="00CA48B7" w:rsidRDefault="003715B6" w:rsidP="003437FB">
            <w:pPr>
              <w:rPr>
                <w:rFonts w:ascii="Lato" w:hAnsi="Lato"/>
                <w:b/>
                <w:sz w:val="22"/>
                <w:lang w:val="en-US"/>
              </w:rPr>
            </w:pPr>
            <w:r w:rsidRPr="00CA48B7">
              <w:rPr>
                <w:rFonts w:ascii="Lato" w:hAnsi="Lato"/>
                <w:b/>
                <w:sz w:val="22"/>
                <w:lang w:val="en-US"/>
              </w:rPr>
              <w:t>Percentage of financial year milestone payment</w:t>
            </w:r>
          </w:p>
        </w:tc>
      </w:tr>
      <w:tr w:rsidR="003715B6" w:rsidRPr="00BD5E05" w14:paraId="0A2452AC" w14:textId="77777777" w:rsidTr="008F6DF1">
        <w:tc>
          <w:tcPr>
            <w:tcW w:w="8962" w:type="dxa"/>
            <w:gridSpan w:val="8"/>
          </w:tcPr>
          <w:p w14:paraId="0A2452AB" w14:textId="77777777" w:rsidR="003715B6" w:rsidRPr="00CA48B7" w:rsidRDefault="003715B6" w:rsidP="000A75C0">
            <w:pPr>
              <w:jc w:val="center"/>
              <w:rPr>
                <w:rFonts w:ascii="Lato" w:hAnsi="Lato"/>
                <w:b/>
                <w:sz w:val="22"/>
                <w:lang w:val="en-US"/>
              </w:rPr>
            </w:pPr>
            <w:r w:rsidRPr="00CA48B7">
              <w:rPr>
                <w:rFonts w:ascii="Lato" w:hAnsi="Lato"/>
                <w:b/>
                <w:sz w:val="22"/>
                <w:lang w:val="en-US"/>
              </w:rPr>
              <w:t>2021-22</w:t>
            </w:r>
          </w:p>
        </w:tc>
      </w:tr>
      <w:tr w:rsidR="00F44EA8" w:rsidRPr="00BD5E05" w14:paraId="0A2452B5" w14:textId="77777777" w:rsidTr="000C53FE">
        <w:trPr>
          <w:trHeight w:val="2958"/>
        </w:trPr>
        <w:tc>
          <w:tcPr>
            <w:tcW w:w="3831" w:type="dxa"/>
          </w:tcPr>
          <w:p w14:paraId="0A2452AD" w14:textId="77777777" w:rsidR="00F44EA8" w:rsidRPr="00CA48B7" w:rsidRDefault="00F44EA8" w:rsidP="00F44EA8">
            <w:pPr>
              <w:pStyle w:val="Normalnumbered"/>
              <w:numPr>
                <w:ilvl w:val="0"/>
                <w:numId w:val="0"/>
              </w:numPr>
              <w:ind w:left="567" w:hanging="567"/>
              <w:rPr>
                <w:rFonts w:ascii="Lato" w:hAnsi="Lato"/>
                <w:b/>
                <w:color w:val="3D4B67"/>
                <w:sz w:val="22"/>
              </w:rPr>
            </w:pPr>
            <w:r>
              <w:rPr>
                <w:rFonts w:ascii="Lato" w:hAnsi="Lato"/>
                <w:sz w:val="22"/>
              </w:rPr>
              <w:t xml:space="preserve">1. </w:t>
            </w:r>
            <w:r w:rsidRPr="00CA48B7">
              <w:rPr>
                <w:rFonts w:ascii="Lato" w:hAnsi="Lato"/>
                <w:sz w:val="22"/>
              </w:rPr>
              <w:t>Foundations</w:t>
            </w:r>
          </w:p>
          <w:p w14:paraId="0A2452AE" w14:textId="77777777" w:rsidR="00F44EA8" w:rsidRPr="00CA48B7" w:rsidRDefault="00F44EA8" w:rsidP="00867BDE">
            <w:pPr>
              <w:numPr>
                <w:ilvl w:val="0"/>
                <w:numId w:val="22"/>
              </w:numPr>
              <w:rPr>
                <w:rFonts w:ascii="Lato" w:hAnsi="Lato"/>
                <w:b/>
                <w:color w:val="3D4B67"/>
                <w:sz w:val="22"/>
              </w:rPr>
            </w:pPr>
            <w:r w:rsidRPr="00CA48B7">
              <w:rPr>
                <w:rFonts w:ascii="Lato" w:hAnsi="Lato"/>
                <w:sz w:val="22"/>
              </w:rPr>
              <w:t xml:space="preserve">Operation of </w:t>
            </w:r>
            <w:proofErr w:type="spellStart"/>
            <w:r w:rsidRPr="00CA48B7">
              <w:rPr>
                <w:rFonts w:ascii="Lato" w:hAnsi="Lato"/>
                <w:sz w:val="22"/>
              </w:rPr>
              <w:t>FaFT</w:t>
            </w:r>
            <w:proofErr w:type="spellEnd"/>
            <w:r w:rsidRPr="00CA48B7">
              <w:rPr>
                <w:rFonts w:ascii="Lato" w:hAnsi="Lato"/>
                <w:sz w:val="22"/>
              </w:rPr>
              <w:t xml:space="preserve"> in 32 sites</w:t>
            </w:r>
            <w:r w:rsidR="00E3110E">
              <w:rPr>
                <w:rFonts w:ascii="Lato" w:hAnsi="Lato"/>
                <w:sz w:val="22"/>
                <w:szCs w:val="22"/>
              </w:rPr>
              <w:t>;</w:t>
            </w:r>
          </w:p>
          <w:p w14:paraId="0A2452AF" w14:textId="77777777" w:rsidR="00F44EA8" w:rsidRDefault="00E3110E" w:rsidP="00867BDE">
            <w:pPr>
              <w:pStyle w:val="Normalnumbered"/>
              <w:numPr>
                <w:ilvl w:val="0"/>
                <w:numId w:val="22"/>
              </w:numPr>
              <w:ind w:left="357" w:hanging="357"/>
              <w:rPr>
                <w:rFonts w:ascii="Lato" w:hAnsi="Lato"/>
                <w:sz w:val="22"/>
              </w:rPr>
            </w:pPr>
            <w:r>
              <w:rPr>
                <w:rFonts w:ascii="Lato" w:hAnsi="Lato"/>
                <w:sz w:val="22"/>
              </w:rPr>
              <w:t>e</w:t>
            </w:r>
            <w:r w:rsidR="00F44EA8">
              <w:rPr>
                <w:rFonts w:ascii="Lato" w:hAnsi="Lato"/>
                <w:sz w:val="22"/>
              </w:rPr>
              <w:t xml:space="preserve">ach </w:t>
            </w:r>
            <w:proofErr w:type="spellStart"/>
            <w:r w:rsidR="00F44EA8">
              <w:rPr>
                <w:rFonts w:ascii="Lato" w:hAnsi="Lato"/>
                <w:sz w:val="22"/>
              </w:rPr>
              <w:t>F</w:t>
            </w:r>
            <w:r w:rsidR="00F44EA8" w:rsidRPr="00CA48B7">
              <w:rPr>
                <w:rFonts w:ascii="Lato" w:hAnsi="Lato"/>
                <w:sz w:val="22"/>
              </w:rPr>
              <w:t>aFT</w:t>
            </w:r>
            <w:proofErr w:type="spellEnd"/>
            <w:r w:rsidR="00F44EA8" w:rsidRPr="00CA48B7">
              <w:rPr>
                <w:rFonts w:ascii="Lato" w:hAnsi="Lato"/>
                <w:sz w:val="22"/>
              </w:rPr>
              <w:t xml:space="preserve"> program</w:t>
            </w:r>
            <w:r w:rsidR="00F44EA8">
              <w:rPr>
                <w:rFonts w:ascii="Lato" w:hAnsi="Lato"/>
                <w:sz w:val="22"/>
              </w:rPr>
              <w:t xml:space="preserve"> is delivered at least </w:t>
            </w:r>
            <w:r w:rsidR="00F44EA8" w:rsidRPr="00CA48B7">
              <w:rPr>
                <w:rFonts w:ascii="Lato" w:hAnsi="Lato"/>
                <w:sz w:val="22"/>
              </w:rPr>
              <w:t>three days per week</w:t>
            </w:r>
            <w:r>
              <w:rPr>
                <w:rFonts w:ascii="Lato" w:hAnsi="Lato"/>
                <w:sz w:val="22"/>
              </w:rPr>
              <w:t xml:space="preserve">; </w:t>
            </w:r>
          </w:p>
          <w:p w14:paraId="0A2452B0" w14:textId="77777777" w:rsidR="00F44EA8" w:rsidRPr="00CA48B7" w:rsidRDefault="00F44EA8" w:rsidP="00867BDE">
            <w:pPr>
              <w:pStyle w:val="Normalnumbered"/>
              <w:numPr>
                <w:ilvl w:val="0"/>
                <w:numId w:val="22"/>
              </w:numPr>
              <w:ind w:left="357" w:hanging="357"/>
              <w:rPr>
                <w:rFonts w:ascii="Lato" w:hAnsi="Lato"/>
                <w:sz w:val="22"/>
              </w:rPr>
            </w:pPr>
            <w:r w:rsidRPr="00D40B0E">
              <w:rPr>
                <w:rFonts w:ascii="Lato" w:hAnsi="Lato"/>
                <w:sz w:val="22"/>
                <w:szCs w:val="22"/>
              </w:rPr>
              <w:t>1700</w:t>
            </w:r>
            <w:r w:rsidRPr="00D40B0E">
              <w:rPr>
                <w:rFonts w:ascii="Lato" w:hAnsi="Lato"/>
                <w:sz w:val="22"/>
              </w:rPr>
              <w:t xml:space="preserve"> c</w:t>
            </w:r>
            <w:r w:rsidRPr="00CA48B7">
              <w:rPr>
                <w:rFonts w:ascii="Lato" w:hAnsi="Lato"/>
                <w:sz w:val="22"/>
              </w:rPr>
              <w:t xml:space="preserve">hildren </w:t>
            </w:r>
            <w:r>
              <w:rPr>
                <w:rFonts w:ascii="Lato" w:hAnsi="Lato"/>
                <w:sz w:val="22"/>
              </w:rPr>
              <w:t xml:space="preserve">supported by </w:t>
            </w:r>
            <w:r w:rsidRPr="00CA48B7">
              <w:rPr>
                <w:rFonts w:ascii="Lato" w:hAnsi="Lato"/>
                <w:sz w:val="22"/>
              </w:rPr>
              <w:t>their families</w:t>
            </w:r>
            <w:r>
              <w:rPr>
                <w:rFonts w:ascii="Lato" w:hAnsi="Lato"/>
                <w:sz w:val="22"/>
              </w:rPr>
              <w:t xml:space="preserve"> are enrolled in </w:t>
            </w:r>
            <w:proofErr w:type="spellStart"/>
            <w:r>
              <w:rPr>
                <w:rFonts w:ascii="Lato" w:hAnsi="Lato"/>
                <w:sz w:val="22"/>
              </w:rPr>
              <w:t>FaFT</w:t>
            </w:r>
            <w:proofErr w:type="spellEnd"/>
            <w:r>
              <w:rPr>
                <w:rFonts w:ascii="Lato" w:hAnsi="Lato"/>
                <w:sz w:val="22"/>
              </w:rPr>
              <w:t xml:space="preserve"> programs</w:t>
            </w:r>
            <w:r w:rsidR="00E3110E">
              <w:rPr>
                <w:rFonts w:ascii="Lato" w:hAnsi="Lato"/>
                <w:sz w:val="22"/>
              </w:rPr>
              <w:t>; and</w:t>
            </w:r>
          </w:p>
          <w:p w14:paraId="0A2452B1" w14:textId="77777777" w:rsidR="00F44EA8" w:rsidRPr="00CA48B7" w:rsidRDefault="00E3110E" w:rsidP="00867BDE">
            <w:pPr>
              <w:pStyle w:val="Normalnumbered"/>
              <w:numPr>
                <w:ilvl w:val="0"/>
                <w:numId w:val="22"/>
              </w:numPr>
              <w:spacing w:after="240"/>
              <w:rPr>
                <w:rFonts w:ascii="Lato" w:hAnsi="Lato"/>
                <w:sz w:val="22"/>
              </w:rPr>
            </w:pPr>
            <w:proofErr w:type="gramStart"/>
            <w:r>
              <w:rPr>
                <w:rFonts w:ascii="Lato" w:hAnsi="Lato"/>
                <w:sz w:val="22"/>
              </w:rPr>
              <w:t>d</w:t>
            </w:r>
            <w:r w:rsidR="00F44EA8" w:rsidRPr="008D7145">
              <w:rPr>
                <w:rFonts w:ascii="Lato" w:hAnsi="Lato"/>
                <w:sz w:val="22"/>
              </w:rPr>
              <w:t>elivery</w:t>
            </w:r>
            <w:proofErr w:type="gramEnd"/>
            <w:r w:rsidR="00F44EA8" w:rsidRPr="008D7145">
              <w:rPr>
                <w:rFonts w:ascii="Lato" w:hAnsi="Lato"/>
                <w:sz w:val="22"/>
              </w:rPr>
              <w:t xml:space="preserve"> of an Adult Literacy Program to 60 parents and guardians</w:t>
            </w:r>
            <w:r w:rsidR="00F4253E">
              <w:rPr>
                <w:rFonts w:ascii="Lato" w:hAnsi="Lato"/>
                <w:sz w:val="22"/>
              </w:rPr>
              <w:t xml:space="preserve"> in four sites,</w:t>
            </w:r>
            <w:r w:rsidR="00635B00">
              <w:rPr>
                <w:rFonts w:ascii="Lato" w:hAnsi="Lato"/>
                <w:sz w:val="22"/>
              </w:rPr>
              <w:t xml:space="preserve"> reported by gender</w:t>
            </w:r>
            <w:r>
              <w:rPr>
                <w:rFonts w:ascii="Lato" w:hAnsi="Lato"/>
                <w:sz w:val="22"/>
              </w:rPr>
              <w:t>.</w:t>
            </w:r>
          </w:p>
        </w:tc>
        <w:tc>
          <w:tcPr>
            <w:tcW w:w="2100" w:type="dxa"/>
            <w:gridSpan w:val="3"/>
          </w:tcPr>
          <w:p w14:paraId="0A2452B2" w14:textId="77777777" w:rsidR="00F44EA8" w:rsidRPr="00CA48B7" w:rsidRDefault="00F44EA8" w:rsidP="00F44EA8">
            <w:pPr>
              <w:pStyle w:val="Normalnumbered"/>
              <w:numPr>
                <w:ilvl w:val="0"/>
                <w:numId w:val="0"/>
              </w:numPr>
              <w:jc w:val="center"/>
              <w:rPr>
                <w:rFonts w:ascii="Lato" w:hAnsi="Lato"/>
                <w:b/>
                <w:color w:val="3D4B67"/>
                <w:sz w:val="22"/>
              </w:rPr>
            </w:pPr>
            <w:r w:rsidRPr="00CA48B7">
              <w:rPr>
                <w:rFonts w:ascii="Lato" w:hAnsi="Lato"/>
                <w:sz w:val="22"/>
              </w:rPr>
              <w:t>1 January to 31 December 2021</w:t>
            </w:r>
          </w:p>
        </w:tc>
        <w:tc>
          <w:tcPr>
            <w:tcW w:w="1681" w:type="dxa"/>
            <w:gridSpan w:val="2"/>
          </w:tcPr>
          <w:p w14:paraId="0A2452B3" w14:textId="77777777" w:rsidR="00F44EA8" w:rsidRPr="00CA48B7" w:rsidRDefault="00F44EA8" w:rsidP="00F44EA8">
            <w:pPr>
              <w:pStyle w:val="Normalnumbered"/>
              <w:numPr>
                <w:ilvl w:val="0"/>
                <w:numId w:val="0"/>
              </w:numPr>
              <w:jc w:val="center"/>
              <w:rPr>
                <w:rFonts w:ascii="Lato" w:hAnsi="Lato"/>
                <w:sz w:val="22"/>
              </w:rPr>
            </w:pPr>
            <w:r w:rsidRPr="00CA48B7">
              <w:rPr>
                <w:rFonts w:ascii="Lato" w:hAnsi="Lato"/>
                <w:sz w:val="22"/>
              </w:rPr>
              <w:t>31 March 2022</w:t>
            </w:r>
          </w:p>
        </w:tc>
        <w:tc>
          <w:tcPr>
            <w:tcW w:w="1350" w:type="dxa"/>
            <w:gridSpan w:val="2"/>
          </w:tcPr>
          <w:p w14:paraId="0A2452B4"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33</w:t>
            </w:r>
            <w:r w:rsidRPr="0065262B">
              <w:rPr>
                <w:rFonts w:ascii="Lato" w:hAnsi="Lato"/>
                <w:color w:val="auto"/>
                <w:sz w:val="22"/>
              </w:rPr>
              <w:t>%</w:t>
            </w:r>
          </w:p>
        </w:tc>
      </w:tr>
      <w:tr w:rsidR="00F44EA8" w:rsidRPr="00BD5E05" w14:paraId="0A2452BB" w14:textId="77777777" w:rsidTr="008F6DF1">
        <w:tc>
          <w:tcPr>
            <w:tcW w:w="3831" w:type="dxa"/>
          </w:tcPr>
          <w:p w14:paraId="0A2452B6" w14:textId="77777777" w:rsidR="00F44EA8" w:rsidRDefault="00F44EA8" w:rsidP="00F44EA8">
            <w:pPr>
              <w:pStyle w:val="Normalnumbered"/>
              <w:numPr>
                <w:ilvl w:val="0"/>
                <w:numId w:val="0"/>
              </w:numPr>
              <w:ind w:left="567" w:hanging="567"/>
              <w:rPr>
                <w:rFonts w:ascii="Lato" w:hAnsi="Lato"/>
                <w:sz w:val="22"/>
              </w:rPr>
            </w:pPr>
            <w:r>
              <w:rPr>
                <w:rFonts w:ascii="Lato" w:hAnsi="Lato"/>
                <w:sz w:val="22"/>
              </w:rPr>
              <w:t>2. Essentials</w:t>
            </w:r>
          </w:p>
          <w:p w14:paraId="0A2452B7" w14:textId="77777777" w:rsidR="00F44EA8" w:rsidRPr="00CA48B7" w:rsidRDefault="00F44EA8" w:rsidP="00867BDE">
            <w:pPr>
              <w:pStyle w:val="Normalnumbered"/>
              <w:numPr>
                <w:ilvl w:val="0"/>
                <w:numId w:val="22"/>
              </w:numPr>
              <w:spacing w:after="240"/>
              <w:rPr>
                <w:rFonts w:ascii="Lato" w:hAnsi="Lato"/>
                <w:sz w:val="22"/>
              </w:rPr>
            </w:pPr>
            <w:r w:rsidRPr="00CB7F19">
              <w:rPr>
                <w:rFonts w:ascii="Lato" w:hAnsi="Lato"/>
                <w:sz w:val="22"/>
              </w:rPr>
              <w:t>Not Applicable - fully funded by the NT</w:t>
            </w:r>
            <w:r w:rsidR="00E3110E">
              <w:rPr>
                <w:rFonts w:ascii="Lato" w:hAnsi="Lato"/>
                <w:sz w:val="22"/>
              </w:rPr>
              <w:t>.</w:t>
            </w:r>
          </w:p>
        </w:tc>
        <w:tc>
          <w:tcPr>
            <w:tcW w:w="2100" w:type="dxa"/>
            <w:gridSpan w:val="3"/>
          </w:tcPr>
          <w:p w14:paraId="0A2452B8" w14:textId="77777777" w:rsidR="00F44EA8" w:rsidRPr="00CA48B7" w:rsidRDefault="00F44EA8" w:rsidP="00F44EA8">
            <w:pPr>
              <w:pStyle w:val="Normalnumbered"/>
              <w:numPr>
                <w:ilvl w:val="0"/>
                <w:numId w:val="0"/>
              </w:numPr>
              <w:rPr>
                <w:rFonts w:ascii="Lato" w:hAnsi="Lato"/>
                <w:b/>
                <w:color w:val="3D4B67"/>
                <w:sz w:val="22"/>
              </w:rPr>
            </w:pPr>
          </w:p>
        </w:tc>
        <w:tc>
          <w:tcPr>
            <w:tcW w:w="1681" w:type="dxa"/>
            <w:gridSpan w:val="2"/>
          </w:tcPr>
          <w:p w14:paraId="0A2452B9"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BA"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0%</w:t>
            </w:r>
          </w:p>
        </w:tc>
      </w:tr>
      <w:tr w:rsidR="00F44EA8" w:rsidRPr="00BD5E05" w14:paraId="0A2452C1" w14:textId="77777777" w:rsidTr="008F6DF1">
        <w:tc>
          <w:tcPr>
            <w:tcW w:w="3831" w:type="dxa"/>
          </w:tcPr>
          <w:p w14:paraId="0A2452BC" w14:textId="77777777" w:rsidR="00F44EA8" w:rsidRPr="00CA48B7" w:rsidRDefault="00F44EA8" w:rsidP="00F44EA8">
            <w:pPr>
              <w:pStyle w:val="Normalnumbered"/>
              <w:numPr>
                <w:ilvl w:val="0"/>
                <w:numId w:val="0"/>
              </w:numPr>
              <w:ind w:left="567" w:hanging="567"/>
              <w:rPr>
                <w:rFonts w:ascii="Lato" w:hAnsi="Lato"/>
                <w:b/>
                <w:color w:val="3D4B67"/>
                <w:sz w:val="22"/>
              </w:rPr>
            </w:pPr>
            <w:r>
              <w:rPr>
                <w:rFonts w:ascii="Lato" w:hAnsi="Lato"/>
                <w:sz w:val="22"/>
              </w:rPr>
              <w:t xml:space="preserve">3. </w:t>
            </w:r>
            <w:r w:rsidRPr="00CA48B7">
              <w:rPr>
                <w:rFonts w:ascii="Lato" w:hAnsi="Lato"/>
                <w:sz w:val="22"/>
              </w:rPr>
              <w:t>Pathways</w:t>
            </w:r>
          </w:p>
          <w:p w14:paraId="0A2452BD" w14:textId="77777777" w:rsidR="00F44EA8" w:rsidRPr="00CA48B7" w:rsidRDefault="00F44EA8" w:rsidP="00867BDE">
            <w:pPr>
              <w:pStyle w:val="Normalnumbered"/>
              <w:numPr>
                <w:ilvl w:val="0"/>
                <w:numId w:val="22"/>
              </w:numPr>
              <w:rPr>
                <w:rFonts w:ascii="Lato" w:hAnsi="Lato"/>
                <w:b/>
                <w:color w:val="3D4B67"/>
                <w:sz w:val="22"/>
              </w:rPr>
            </w:pPr>
            <w:r w:rsidRPr="00CA48B7">
              <w:rPr>
                <w:rFonts w:ascii="Lato" w:hAnsi="Lato"/>
                <w:sz w:val="22"/>
              </w:rPr>
              <w:t xml:space="preserve">Transition </w:t>
            </w:r>
            <w:r w:rsidRPr="00BD5E05">
              <w:rPr>
                <w:rFonts w:ascii="Lato" w:hAnsi="Lato"/>
                <w:sz w:val="22"/>
                <w:szCs w:val="22"/>
              </w:rPr>
              <w:t>support</w:t>
            </w:r>
            <w:r w:rsidRPr="00CA48B7">
              <w:rPr>
                <w:rFonts w:ascii="Lato" w:hAnsi="Lato"/>
                <w:sz w:val="22"/>
              </w:rPr>
              <w:t xml:space="preserve"> provided to </w:t>
            </w:r>
            <w:r w:rsidRPr="00BD5E05">
              <w:rPr>
                <w:rFonts w:ascii="Lato" w:hAnsi="Lato"/>
                <w:sz w:val="22"/>
                <w:szCs w:val="22"/>
              </w:rPr>
              <w:t xml:space="preserve">at </w:t>
            </w:r>
            <w:r w:rsidRPr="00E32FA9">
              <w:rPr>
                <w:rFonts w:ascii="Lato" w:hAnsi="Lato"/>
                <w:sz w:val="22"/>
                <w:szCs w:val="22"/>
              </w:rPr>
              <w:t xml:space="preserve">least 63 </w:t>
            </w:r>
            <w:r w:rsidRPr="00CA48B7">
              <w:rPr>
                <w:rFonts w:ascii="Lato" w:hAnsi="Lato"/>
                <w:sz w:val="22"/>
              </w:rPr>
              <w:t xml:space="preserve">remote and very remote </w:t>
            </w:r>
            <w:r w:rsidRPr="00BD5E05">
              <w:rPr>
                <w:rFonts w:ascii="Lato" w:hAnsi="Lato"/>
                <w:sz w:val="22"/>
                <w:szCs w:val="22"/>
              </w:rPr>
              <w:t xml:space="preserve">government </w:t>
            </w:r>
            <w:r w:rsidRPr="00CA48B7">
              <w:rPr>
                <w:rFonts w:ascii="Lato" w:hAnsi="Lato"/>
                <w:sz w:val="22"/>
              </w:rPr>
              <w:t>schools</w:t>
            </w:r>
            <w:r>
              <w:rPr>
                <w:rFonts w:ascii="Lato" w:hAnsi="Lato"/>
                <w:sz w:val="22"/>
              </w:rPr>
              <w:t xml:space="preserve"> </w:t>
            </w:r>
            <w:r>
              <w:rPr>
                <w:rFonts w:ascii="Lato" w:hAnsi="Lato"/>
                <w:sz w:val="22"/>
                <w:szCs w:val="22"/>
              </w:rPr>
              <w:t xml:space="preserve">that do not offer a </w:t>
            </w:r>
            <w:r w:rsidR="00A02BD1" w:rsidRPr="00F74759">
              <w:rPr>
                <w:rFonts w:ascii="Lato" w:hAnsi="Lato"/>
                <w:sz w:val="22"/>
                <w:szCs w:val="22"/>
              </w:rPr>
              <w:t>Northern Territory Certificate of Education and Training</w:t>
            </w:r>
            <w:r w:rsidR="00A02BD1">
              <w:rPr>
                <w:rFonts w:ascii="Lato" w:hAnsi="Lato"/>
                <w:sz w:val="22"/>
                <w:szCs w:val="22"/>
              </w:rPr>
              <w:t xml:space="preserve"> (</w:t>
            </w:r>
            <w:r>
              <w:rPr>
                <w:rFonts w:ascii="Lato" w:hAnsi="Lato"/>
                <w:sz w:val="22"/>
                <w:szCs w:val="22"/>
              </w:rPr>
              <w:t>NTCET</w:t>
            </w:r>
            <w:r w:rsidR="00A02BD1">
              <w:rPr>
                <w:rFonts w:ascii="Lato" w:hAnsi="Lato"/>
                <w:sz w:val="22"/>
                <w:szCs w:val="22"/>
              </w:rPr>
              <w:t>)</w:t>
            </w:r>
            <w:r>
              <w:rPr>
                <w:rFonts w:ascii="Lato" w:hAnsi="Lato"/>
                <w:sz w:val="22"/>
                <w:szCs w:val="22"/>
              </w:rPr>
              <w:t>.</w:t>
            </w:r>
          </w:p>
        </w:tc>
        <w:tc>
          <w:tcPr>
            <w:tcW w:w="2100" w:type="dxa"/>
            <w:gridSpan w:val="3"/>
          </w:tcPr>
          <w:p w14:paraId="0A2452BE" w14:textId="77777777" w:rsidR="00F44EA8" w:rsidRPr="00CA48B7" w:rsidRDefault="00F44EA8" w:rsidP="00F44EA8">
            <w:pPr>
              <w:pStyle w:val="Normalnumbered"/>
              <w:numPr>
                <w:ilvl w:val="0"/>
                <w:numId w:val="0"/>
              </w:numPr>
              <w:rPr>
                <w:rFonts w:ascii="Lato" w:hAnsi="Lato"/>
                <w:b/>
                <w:color w:val="3D4B67"/>
                <w:sz w:val="22"/>
              </w:rPr>
            </w:pPr>
          </w:p>
        </w:tc>
        <w:tc>
          <w:tcPr>
            <w:tcW w:w="1681" w:type="dxa"/>
            <w:gridSpan w:val="2"/>
          </w:tcPr>
          <w:p w14:paraId="0A2452BF"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C0"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15%</w:t>
            </w:r>
          </w:p>
        </w:tc>
      </w:tr>
      <w:tr w:rsidR="00F44EA8" w:rsidRPr="00BD5E05" w14:paraId="0A2452C9" w14:textId="77777777" w:rsidTr="000C53FE">
        <w:trPr>
          <w:trHeight w:val="3241"/>
        </w:trPr>
        <w:tc>
          <w:tcPr>
            <w:tcW w:w="3831" w:type="dxa"/>
          </w:tcPr>
          <w:p w14:paraId="0A2452C2" w14:textId="77777777" w:rsidR="00F44EA8" w:rsidRPr="00CA48B7" w:rsidRDefault="00F44EA8" w:rsidP="00F44EA8">
            <w:pPr>
              <w:pStyle w:val="Normalnumbered"/>
              <w:numPr>
                <w:ilvl w:val="0"/>
                <w:numId w:val="0"/>
              </w:numPr>
              <w:rPr>
                <w:rFonts w:ascii="Lato" w:hAnsi="Lato"/>
                <w:sz w:val="22"/>
              </w:rPr>
            </w:pPr>
            <w:r>
              <w:rPr>
                <w:rFonts w:ascii="Lato" w:hAnsi="Lato"/>
                <w:sz w:val="22"/>
              </w:rPr>
              <w:t xml:space="preserve">4. </w:t>
            </w:r>
            <w:r w:rsidRPr="00CA48B7">
              <w:rPr>
                <w:rFonts w:ascii="Lato" w:hAnsi="Lato"/>
                <w:sz w:val="22"/>
              </w:rPr>
              <w:t>Engagement</w:t>
            </w:r>
          </w:p>
          <w:p w14:paraId="0A2452C3" w14:textId="77777777" w:rsidR="00F44EA8" w:rsidRDefault="00F44EA8" w:rsidP="00867BDE">
            <w:pPr>
              <w:pStyle w:val="Normalnumbered"/>
              <w:numPr>
                <w:ilvl w:val="0"/>
                <w:numId w:val="22"/>
              </w:numPr>
              <w:ind w:left="357" w:hanging="357"/>
              <w:rPr>
                <w:rFonts w:ascii="Lato" w:hAnsi="Lato"/>
                <w:sz w:val="22"/>
              </w:rPr>
            </w:pPr>
            <w:r w:rsidRPr="00CA48B7">
              <w:rPr>
                <w:rFonts w:ascii="Lato" w:hAnsi="Lato"/>
                <w:sz w:val="22"/>
              </w:rPr>
              <w:t xml:space="preserve">11 case workers </w:t>
            </w:r>
            <w:r w:rsidRPr="00BD5E05">
              <w:rPr>
                <w:rFonts w:ascii="Lato" w:hAnsi="Lato"/>
                <w:sz w:val="22"/>
                <w:szCs w:val="22"/>
              </w:rPr>
              <w:t>supporting</w:t>
            </w:r>
            <w:r w:rsidRPr="00CA48B7">
              <w:rPr>
                <w:rFonts w:ascii="Lato" w:hAnsi="Lato"/>
                <w:sz w:val="22"/>
              </w:rPr>
              <w:t xml:space="preserve"> chronically disengaged students and families</w:t>
            </w:r>
            <w:r w:rsidR="00E3110E">
              <w:rPr>
                <w:rFonts w:ascii="Lato" w:hAnsi="Lato"/>
                <w:sz w:val="22"/>
              </w:rPr>
              <w:t>;</w:t>
            </w:r>
          </w:p>
          <w:p w14:paraId="0A2452C4" w14:textId="77777777" w:rsidR="00F44EA8" w:rsidRDefault="00E3110E" w:rsidP="00867BDE">
            <w:pPr>
              <w:pStyle w:val="Normalnumbered"/>
              <w:numPr>
                <w:ilvl w:val="0"/>
                <w:numId w:val="22"/>
              </w:numPr>
              <w:rPr>
                <w:rFonts w:ascii="Lato" w:hAnsi="Lato"/>
                <w:sz w:val="22"/>
              </w:rPr>
            </w:pPr>
            <w:r>
              <w:rPr>
                <w:rFonts w:ascii="Lato" w:hAnsi="Lato"/>
                <w:sz w:val="22"/>
              </w:rPr>
              <w:t>i</w:t>
            </w:r>
            <w:r w:rsidR="00F44EA8" w:rsidRPr="00B16D26">
              <w:rPr>
                <w:rFonts w:ascii="Lato" w:hAnsi="Lato"/>
                <w:sz w:val="22"/>
              </w:rPr>
              <w:t xml:space="preserve">ncrease in the number of families engaged </w:t>
            </w:r>
            <w:r w:rsidR="00F44EA8">
              <w:rPr>
                <w:rFonts w:ascii="Lato" w:hAnsi="Lato"/>
                <w:sz w:val="22"/>
              </w:rPr>
              <w:t xml:space="preserve">to </w:t>
            </w:r>
            <w:r w:rsidR="00F44EA8" w:rsidRPr="00B16D26">
              <w:rPr>
                <w:rFonts w:ascii="Lato" w:hAnsi="Lato"/>
                <w:sz w:val="22"/>
              </w:rPr>
              <w:t>improv</w:t>
            </w:r>
            <w:r w:rsidR="00F44EA8">
              <w:rPr>
                <w:rFonts w:ascii="Lato" w:hAnsi="Lato"/>
                <w:sz w:val="22"/>
              </w:rPr>
              <w:t xml:space="preserve">e </w:t>
            </w:r>
            <w:r w:rsidR="00F44EA8" w:rsidRPr="00B16D26">
              <w:rPr>
                <w:rFonts w:ascii="Lato" w:hAnsi="Lato"/>
                <w:sz w:val="22"/>
              </w:rPr>
              <w:t>attendance in remote and very remote schools</w:t>
            </w:r>
            <w:r w:rsidR="00F44EA8">
              <w:rPr>
                <w:rFonts w:ascii="Lato" w:hAnsi="Lato"/>
                <w:sz w:val="22"/>
              </w:rPr>
              <w:t xml:space="preserve"> to 950</w:t>
            </w:r>
            <w:r>
              <w:rPr>
                <w:rFonts w:ascii="Lato" w:hAnsi="Lato"/>
                <w:sz w:val="22"/>
              </w:rPr>
              <w:t>; and</w:t>
            </w:r>
          </w:p>
          <w:p w14:paraId="0A2452C5" w14:textId="77777777" w:rsidR="00F44EA8" w:rsidRPr="008D7145" w:rsidRDefault="00E3110E" w:rsidP="00867BDE">
            <w:pPr>
              <w:pStyle w:val="Normalnumbered"/>
              <w:numPr>
                <w:ilvl w:val="0"/>
                <w:numId w:val="22"/>
              </w:numPr>
              <w:spacing w:after="240"/>
              <w:ind w:left="357" w:hanging="357"/>
              <w:rPr>
                <w:rFonts w:ascii="Lato" w:hAnsi="Lato"/>
                <w:sz w:val="22"/>
              </w:rPr>
            </w:pPr>
            <w:proofErr w:type="gramStart"/>
            <w:r>
              <w:rPr>
                <w:rFonts w:ascii="Lato" w:hAnsi="Lato"/>
                <w:sz w:val="22"/>
                <w:szCs w:val="22"/>
              </w:rPr>
              <w:t>c</w:t>
            </w:r>
            <w:r w:rsidR="00F44EA8" w:rsidRPr="00BD5E05">
              <w:rPr>
                <w:rFonts w:ascii="Lato" w:hAnsi="Lato"/>
                <w:sz w:val="22"/>
                <w:szCs w:val="22"/>
              </w:rPr>
              <w:t>ommunity</w:t>
            </w:r>
            <w:proofErr w:type="gramEnd"/>
            <w:r w:rsidR="00F44EA8" w:rsidRPr="00BD5E05">
              <w:rPr>
                <w:rFonts w:ascii="Lato" w:hAnsi="Lato"/>
                <w:sz w:val="22"/>
                <w:szCs w:val="22"/>
              </w:rPr>
              <w:t xml:space="preserve"> engagement and local decision making unit engaging with 70% of remote and very remote schools.</w:t>
            </w:r>
          </w:p>
        </w:tc>
        <w:tc>
          <w:tcPr>
            <w:tcW w:w="2100" w:type="dxa"/>
            <w:gridSpan w:val="3"/>
          </w:tcPr>
          <w:p w14:paraId="0A2452C6" w14:textId="77777777" w:rsidR="00F44EA8" w:rsidRPr="00CA48B7" w:rsidRDefault="00F44EA8" w:rsidP="00F44EA8">
            <w:pPr>
              <w:pStyle w:val="Normalnumbered"/>
              <w:numPr>
                <w:ilvl w:val="0"/>
                <w:numId w:val="0"/>
              </w:numPr>
              <w:rPr>
                <w:rFonts w:ascii="Lato" w:hAnsi="Lato"/>
                <w:b/>
                <w:color w:val="3D4B67"/>
                <w:sz w:val="22"/>
              </w:rPr>
            </w:pPr>
          </w:p>
        </w:tc>
        <w:tc>
          <w:tcPr>
            <w:tcW w:w="1681" w:type="dxa"/>
            <w:gridSpan w:val="2"/>
          </w:tcPr>
          <w:p w14:paraId="0A2452C7"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C8"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15%</w:t>
            </w:r>
          </w:p>
        </w:tc>
      </w:tr>
      <w:tr w:rsidR="00F44EA8" w:rsidRPr="00BD5E05" w14:paraId="0A2452CF" w14:textId="77777777" w:rsidTr="008F6DF1">
        <w:tc>
          <w:tcPr>
            <w:tcW w:w="3831" w:type="dxa"/>
          </w:tcPr>
          <w:p w14:paraId="0A2452CA" w14:textId="77777777" w:rsidR="00F44EA8" w:rsidRPr="00CA48B7" w:rsidRDefault="00F44EA8" w:rsidP="00F44EA8">
            <w:pPr>
              <w:pStyle w:val="Normalnumbered"/>
              <w:numPr>
                <w:ilvl w:val="0"/>
                <w:numId w:val="0"/>
              </w:numPr>
              <w:rPr>
                <w:rFonts w:ascii="Lato" w:hAnsi="Lato"/>
                <w:sz w:val="22"/>
              </w:rPr>
            </w:pPr>
            <w:r>
              <w:rPr>
                <w:rFonts w:ascii="Lato" w:hAnsi="Lato"/>
                <w:sz w:val="22"/>
              </w:rPr>
              <w:t xml:space="preserve">5. </w:t>
            </w:r>
            <w:r w:rsidRPr="00CA48B7">
              <w:rPr>
                <w:rFonts w:ascii="Lato" w:hAnsi="Lato"/>
                <w:sz w:val="22"/>
              </w:rPr>
              <w:t>Workforce</w:t>
            </w:r>
          </w:p>
          <w:p w14:paraId="0A2452CB" w14:textId="77777777" w:rsidR="00F44EA8" w:rsidRPr="00CA48B7" w:rsidRDefault="00F44EA8" w:rsidP="00867BDE">
            <w:pPr>
              <w:pStyle w:val="Normalnumbered"/>
              <w:numPr>
                <w:ilvl w:val="0"/>
                <w:numId w:val="22"/>
              </w:numPr>
              <w:spacing w:after="240"/>
              <w:rPr>
                <w:rFonts w:ascii="Lato" w:hAnsi="Lato"/>
                <w:sz w:val="22"/>
              </w:rPr>
            </w:pPr>
            <w:r w:rsidRPr="00BD5E05">
              <w:rPr>
                <w:rFonts w:ascii="Lato" w:hAnsi="Lato"/>
                <w:sz w:val="22"/>
                <w:szCs w:val="22"/>
              </w:rPr>
              <w:t xml:space="preserve">200 </w:t>
            </w:r>
            <w:r w:rsidR="00EE09D8">
              <w:rPr>
                <w:rFonts w:ascii="Lato" w:hAnsi="Lato"/>
                <w:sz w:val="22"/>
                <w:szCs w:val="22"/>
              </w:rPr>
              <w:t>Indigenous</w:t>
            </w:r>
            <w:r w:rsidR="00EE09D8" w:rsidRPr="00CA48B7">
              <w:rPr>
                <w:rFonts w:ascii="Lato" w:hAnsi="Lato"/>
                <w:sz w:val="22"/>
              </w:rPr>
              <w:t xml:space="preserve"> </w:t>
            </w:r>
            <w:r w:rsidRPr="00CA48B7">
              <w:rPr>
                <w:rFonts w:ascii="Lato" w:hAnsi="Lato"/>
                <w:sz w:val="22"/>
              </w:rPr>
              <w:t>assistant teachers enrolled in further accredited training</w:t>
            </w:r>
            <w:r w:rsidR="00FB34C2">
              <w:rPr>
                <w:rFonts w:ascii="Lato" w:hAnsi="Lato"/>
                <w:sz w:val="22"/>
              </w:rPr>
              <w:t>,</w:t>
            </w:r>
            <w:r w:rsidR="00635B00">
              <w:rPr>
                <w:rFonts w:ascii="Lato" w:hAnsi="Lato"/>
                <w:sz w:val="22"/>
              </w:rPr>
              <w:t xml:space="preserve"> reported by gender</w:t>
            </w:r>
            <w:r w:rsidRPr="00CA48B7">
              <w:rPr>
                <w:rFonts w:ascii="Lato" w:hAnsi="Lato"/>
                <w:sz w:val="22"/>
              </w:rPr>
              <w:t>.</w:t>
            </w:r>
          </w:p>
        </w:tc>
        <w:tc>
          <w:tcPr>
            <w:tcW w:w="2100" w:type="dxa"/>
            <w:gridSpan w:val="3"/>
          </w:tcPr>
          <w:p w14:paraId="0A2452CC" w14:textId="77777777" w:rsidR="00F44EA8" w:rsidRPr="00CA48B7" w:rsidRDefault="00F44EA8" w:rsidP="00F44EA8">
            <w:pPr>
              <w:pStyle w:val="Normalnumbered"/>
              <w:numPr>
                <w:ilvl w:val="0"/>
                <w:numId w:val="0"/>
              </w:numPr>
              <w:rPr>
                <w:rFonts w:ascii="Lato" w:hAnsi="Lato"/>
                <w:b/>
                <w:color w:val="3D4B67"/>
                <w:sz w:val="22"/>
              </w:rPr>
            </w:pPr>
          </w:p>
        </w:tc>
        <w:tc>
          <w:tcPr>
            <w:tcW w:w="1681" w:type="dxa"/>
            <w:gridSpan w:val="2"/>
          </w:tcPr>
          <w:p w14:paraId="0A2452CD"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CE"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19%</w:t>
            </w:r>
          </w:p>
        </w:tc>
      </w:tr>
      <w:tr w:rsidR="00F44EA8" w:rsidRPr="00BD5E05" w14:paraId="0A2452D5" w14:textId="77777777" w:rsidTr="008F6DF1">
        <w:tc>
          <w:tcPr>
            <w:tcW w:w="3831" w:type="dxa"/>
          </w:tcPr>
          <w:p w14:paraId="0A2452D0" w14:textId="77777777" w:rsidR="00F44EA8" w:rsidRPr="00CA48B7" w:rsidRDefault="00F44EA8" w:rsidP="00F44EA8">
            <w:pPr>
              <w:pStyle w:val="Normalnumbered"/>
              <w:numPr>
                <w:ilvl w:val="0"/>
                <w:numId w:val="0"/>
              </w:numPr>
              <w:rPr>
                <w:rFonts w:ascii="Lato" w:hAnsi="Lato"/>
                <w:sz w:val="22"/>
              </w:rPr>
            </w:pPr>
            <w:r>
              <w:rPr>
                <w:rFonts w:ascii="Lato" w:hAnsi="Lato"/>
                <w:sz w:val="22"/>
              </w:rPr>
              <w:t>5a. Workforce Capital</w:t>
            </w:r>
          </w:p>
          <w:p w14:paraId="0A2452D1" w14:textId="77777777" w:rsidR="00F44EA8" w:rsidRPr="00CA48B7" w:rsidRDefault="00D365EA" w:rsidP="00867BDE">
            <w:pPr>
              <w:pStyle w:val="Normalnumbered"/>
              <w:numPr>
                <w:ilvl w:val="0"/>
                <w:numId w:val="22"/>
              </w:numPr>
              <w:spacing w:after="240"/>
              <w:ind w:left="357" w:hanging="357"/>
              <w:rPr>
                <w:rFonts w:ascii="Lato" w:hAnsi="Lato"/>
                <w:sz w:val="22"/>
              </w:rPr>
            </w:pPr>
            <w:r>
              <w:rPr>
                <w:rFonts w:ascii="Lato" w:hAnsi="Lato"/>
                <w:sz w:val="22"/>
              </w:rPr>
              <w:t>D</w:t>
            </w:r>
            <w:r w:rsidRPr="00CA48B7">
              <w:rPr>
                <w:rFonts w:ascii="Lato" w:hAnsi="Lato"/>
                <w:sz w:val="22"/>
              </w:rPr>
              <w:t xml:space="preserve">elivered as per agreed </w:t>
            </w:r>
            <w:r w:rsidR="00E94FF3" w:rsidRPr="00E94FF3">
              <w:rPr>
                <w:rFonts w:ascii="Lato" w:hAnsi="Lato"/>
                <w:sz w:val="22"/>
                <w:lang w:val="en-US"/>
              </w:rPr>
              <w:t>Capital Works Schedule</w:t>
            </w:r>
            <w:r>
              <w:rPr>
                <w:rFonts w:ascii="Lato" w:hAnsi="Lato"/>
                <w:sz w:val="22"/>
              </w:rPr>
              <w:t xml:space="preserve"> (min.</w:t>
            </w:r>
            <w:r w:rsidRPr="00C4045D">
              <w:rPr>
                <w:rFonts w:ascii="Lato" w:hAnsi="Lato"/>
                <w:sz w:val="22"/>
              </w:rPr>
              <w:t xml:space="preserve"> </w:t>
            </w:r>
            <w:r w:rsidR="00363A1B">
              <w:rPr>
                <w:rFonts w:ascii="Lato" w:hAnsi="Lato"/>
                <w:sz w:val="22"/>
              </w:rPr>
              <w:t>25</w:t>
            </w:r>
            <w:r>
              <w:rPr>
                <w:rFonts w:ascii="Lato" w:hAnsi="Lato"/>
                <w:sz w:val="22"/>
              </w:rPr>
              <w:t>% Indigenous employment rate</w:t>
            </w:r>
            <w:r w:rsidR="00363A1B">
              <w:rPr>
                <w:rFonts w:ascii="Lato" w:hAnsi="Lato"/>
                <w:sz w:val="22"/>
              </w:rPr>
              <w:t xml:space="preserve"> subject to community capacity</w:t>
            </w:r>
            <w:r>
              <w:rPr>
                <w:rFonts w:ascii="Lato" w:hAnsi="Lato"/>
                <w:sz w:val="22"/>
              </w:rPr>
              <w:t>).</w:t>
            </w:r>
          </w:p>
        </w:tc>
        <w:tc>
          <w:tcPr>
            <w:tcW w:w="2100" w:type="dxa"/>
            <w:gridSpan w:val="3"/>
          </w:tcPr>
          <w:p w14:paraId="0A2452D2" w14:textId="77777777" w:rsidR="00F44EA8" w:rsidRPr="00CA48B7" w:rsidRDefault="00F44EA8" w:rsidP="00F44EA8">
            <w:pPr>
              <w:pStyle w:val="Normalnumbered"/>
              <w:numPr>
                <w:ilvl w:val="0"/>
                <w:numId w:val="0"/>
              </w:numPr>
              <w:rPr>
                <w:rFonts w:ascii="Lato" w:hAnsi="Lato"/>
                <w:b/>
                <w:color w:val="3D4B67"/>
                <w:sz w:val="22"/>
              </w:rPr>
            </w:pPr>
          </w:p>
        </w:tc>
        <w:tc>
          <w:tcPr>
            <w:tcW w:w="1681" w:type="dxa"/>
            <w:gridSpan w:val="2"/>
          </w:tcPr>
          <w:p w14:paraId="0A2452D3" w14:textId="77777777" w:rsidR="00F44EA8" w:rsidRPr="00CA48B7" w:rsidRDefault="00F44EA8" w:rsidP="00F44EA8">
            <w:pPr>
              <w:pStyle w:val="Normalnumbered"/>
              <w:numPr>
                <w:ilvl w:val="0"/>
                <w:numId w:val="0"/>
              </w:numPr>
              <w:rPr>
                <w:rFonts w:ascii="Lato" w:hAnsi="Lato"/>
                <w:b/>
                <w:color w:val="3D4B67"/>
                <w:sz w:val="22"/>
              </w:rPr>
            </w:pPr>
          </w:p>
        </w:tc>
        <w:tc>
          <w:tcPr>
            <w:tcW w:w="1350" w:type="dxa"/>
            <w:gridSpan w:val="2"/>
          </w:tcPr>
          <w:p w14:paraId="0A2452D4" w14:textId="77777777" w:rsidR="00F44EA8" w:rsidRPr="00CA48B7" w:rsidRDefault="00F44EA8" w:rsidP="00057BDA">
            <w:pPr>
              <w:pStyle w:val="Normalnumbered"/>
              <w:numPr>
                <w:ilvl w:val="0"/>
                <w:numId w:val="0"/>
              </w:numPr>
              <w:jc w:val="center"/>
              <w:rPr>
                <w:rFonts w:ascii="Lato" w:hAnsi="Lato"/>
                <w:b/>
                <w:color w:val="3D4B67"/>
                <w:sz w:val="22"/>
              </w:rPr>
            </w:pPr>
            <w:r>
              <w:rPr>
                <w:rFonts w:ascii="Lato" w:hAnsi="Lato"/>
                <w:color w:val="auto"/>
                <w:sz w:val="22"/>
              </w:rPr>
              <w:t>18%</w:t>
            </w:r>
          </w:p>
        </w:tc>
      </w:tr>
    </w:tbl>
    <w:p w14:paraId="0A2452D6" w14:textId="77777777" w:rsidR="006F42AA" w:rsidRPr="00CA48B7" w:rsidRDefault="006F42AA" w:rsidP="00057BDA">
      <w:pPr>
        <w:keepNext/>
        <w:spacing w:before="240" w:after="240"/>
        <w:rPr>
          <w:rFonts w:ascii="Lato" w:hAnsi="Lato"/>
          <w:b/>
          <w:color w:val="3D4B67"/>
          <w:highlight w:val="lightGray"/>
        </w:rPr>
        <w:sectPr w:rsidR="006F42AA" w:rsidRPr="00CA48B7" w:rsidSect="000C53FE">
          <w:footerReference w:type="default" r:id="rId14"/>
          <w:pgSz w:w="11906" w:h="16838" w:code="9"/>
          <w:pgMar w:top="851" w:right="1134" w:bottom="1021" w:left="1440" w:header="624" w:footer="624" w:gutter="0"/>
          <w:pgNumType w:start="1"/>
          <w:cols w:space="708"/>
          <w:docGrid w:linePitch="360"/>
        </w:sectPr>
      </w:pPr>
    </w:p>
    <w:p w14:paraId="0A2452D7" w14:textId="77777777" w:rsidR="0036688B" w:rsidRPr="00CA48B7" w:rsidRDefault="00BF5863" w:rsidP="0036688B">
      <w:pPr>
        <w:keepNext/>
        <w:spacing w:before="240" w:after="240"/>
        <w:rPr>
          <w:rFonts w:ascii="Lato" w:hAnsi="Lato"/>
          <w:b/>
          <w:color w:val="3D4B67"/>
        </w:rPr>
      </w:pPr>
      <w:r w:rsidRPr="00CA48B7">
        <w:rPr>
          <w:rFonts w:ascii="Lato" w:hAnsi="Lato"/>
          <w:b/>
          <w:color w:val="3D4B67"/>
        </w:rPr>
        <w:lastRenderedPageBreak/>
        <w:t xml:space="preserve">Table </w:t>
      </w:r>
      <w:r w:rsidR="006F42AA" w:rsidRPr="00CA48B7">
        <w:rPr>
          <w:rFonts w:ascii="Lato" w:hAnsi="Lato"/>
          <w:b/>
          <w:color w:val="3D4B67"/>
        </w:rPr>
        <w:t>7</w:t>
      </w:r>
      <w:r w:rsidR="0036688B" w:rsidRPr="00CA48B7">
        <w:rPr>
          <w:rFonts w:ascii="Lato" w:hAnsi="Lato"/>
          <w:b/>
          <w:color w:val="3D4B67"/>
        </w:rPr>
        <w:t>: Performance Benchmarks</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835"/>
        <w:gridCol w:w="1384"/>
        <w:gridCol w:w="1114"/>
        <w:gridCol w:w="1095"/>
        <w:gridCol w:w="1096"/>
        <w:gridCol w:w="1096"/>
        <w:gridCol w:w="1095"/>
        <w:gridCol w:w="1096"/>
        <w:gridCol w:w="1096"/>
      </w:tblGrid>
      <w:tr w:rsidR="00484714" w:rsidRPr="00BD5E05" w14:paraId="0A2452E0" w14:textId="77777777" w:rsidTr="00B4457D">
        <w:trPr>
          <w:trHeight w:val="324"/>
        </w:trPr>
        <w:tc>
          <w:tcPr>
            <w:tcW w:w="2972" w:type="dxa"/>
            <w:shd w:val="clear" w:color="auto" w:fill="D9D9D9" w:themeFill="background1" w:themeFillShade="D9"/>
            <w:vAlign w:val="center"/>
          </w:tcPr>
          <w:p w14:paraId="0A2452D8" w14:textId="77777777" w:rsidR="006F42AA" w:rsidRPr="00CA48B7" w:rsidRDefault="006F42AA">
            <w:pPr>
              <w:rPr>
                <w:rFonts w:ascii="Lato" w:hAnsi="Lato"/>
                <w:b/>
                <w:sz w:val="20"/>
              </w:rPr>
            </w:pPr>
            <w:r w:rsidRPr="00CA48B7">
              <w:rPr>
                <w:rFonts w:ascii="Lato" w:hAnsi="Lato"/>
                <w:b/>
                <w:sz w:val="20"/>
              </w:rPr>
              <w:t>Performance measure</w:t>
            </w:r>
          </w:p>
        </w:tc>
        <w:tc>
          <w:tcPr>
            <w:tcW w:w="5333" w:type="dxa"/>
            <w:gridSpan w:val="3"/>
            <w:shd w:val="clear" w:color="auto" w:fill="D9D9D9" w:themeFill="background1" w:themeFillShade="D9"/>
            <w:vAlign w:val="center"/>
          </w:tcPr>
          <w:p w14:paraId="0A2452D9" w14:textId="77777777" w:rsidR="006F42AA" w:rsidRPr="00CA48B7" w:rsidRDefault="006F42AA">
            <w:pPr>
              <w:rPr>
                <w:rFonts w:ascii="Lato" w:hAnsi="Lato"/>
                <w:b/>
                <w:sz w:val="20"/>
              </w:rPr>
            </w:pPr>
            <w:r w:rsidRPr="00CA48B7">
              <w:rPr>
                <w:rFonts w:ascii="Lato" w:hAnsi="Lato"/>
                <w:b/>
                <w:sz w:val="20"/>
              </w:rPr>
              <w:t>Performance Indicator</w:t>
            </w:r>
          </w:p>
        </w:tc>
        <w:tc>
          <w:tcPr>
            <w:tcW w:w="1095" w:type="dxa"/>
            <w:shd w:val="clear" w:color="auto" w:fill="D9D9D9" w:themeFill="background1" w:themeFillShade="D9"/>
            <w:vAlign w:val="center"/>
          </w:tcPr>
          <w:p w14:paraId="0A2452DA" w14:textId="77777777" w:rsidR="006F42AA" w:rsidRPr="00CA48B7" w:rsidRDefault="006F42AA" w:rsidP="00A5669B">
            <w:pPr>
              <w:rPr>
                <w:rFonts w:ascii="Lato" w:hAnsi="Lato"/>
                <w:b/>
                <w:sz w:val="20"/>
              </w:rPr>
            </w:pPr>
            <w:r w:rsidRPr="00CA48B7">
              <w:rPr>
                <w:rFonts w:ascii="Lato" w:hAnsi="Lato"/>
                <w:b/>
                <w:sz w:val="20"/>
              </w:rPr>
              <w:t>Weighting</w:t>
            </w:r>
          </w:p>
        </w:tc>
        <w:tc>
          <w:tcPr>
            <w:tcW w:w="1096" w:type="dxa"/>
            <w:shd w:val="clear" w:color="auto" w:fill="D9D9D9" w:themeFill="background1" w:themeFillShade="D9"/>
            <w:vAlign w:val="center"/>
          </w:tcPr>
          <w:p w14:paraId="0A2452DB" w14:textId="77777777" w:rsidR="006F42AA" w:rsidRPr="00CA48B7" w:rsidRDefault="006F42AA" w:rsidP="00A5669B">
            <w:pPr>
              <w:jc w:val="center"/>
              <w:rPr>
                <w:rFonts w:ascii="Lato" w:hAnsi="Lato"/>
                <w:b/>
                <w:sz w:val="20"/>
              </w:rPr>
            </w:pPr>
            <w:r w:rsidRPr="00CA48B7">
              <w:rPr>
                <w:rFonts w:ascii="Lato" w:hAnsi="Lato"/>
                <w:b/>
                <w:sz w:val="20"/>
              </w:rPr>
              <w:t>Baseline</w:t>
            </w:r>
          </w:p>
        </w:tc>
        <w:tc>
          <w:tcPr>
            <w:tcW w:w="1096" w:type="dxa"/>
            <w:shd w:val="clear" w:color="auto" w:fill="D9D9D9" w:themeFill="background1" w:themeFillShade="D9"/>
            <w:vAlign w:val="center"/>
          </w:tcPr>
          <w:p w14:paraId="0A2452DC" w14:textId="77777777" w:rsidR="006F42AA" w:rsidRPr="00CA48B7" w:rsidRDefault="006F42AA">
            <w:pPr>
              <w:jc w:val="center"/>
              <w:rPr>
                <w:rFonts w:ascii="Lato" w:hAnsi="Lato"/>
                <w:b/>
                <w:sz w:val="20"/>
              </w:rPr>
            </w:pPr>
            <w:r w:rsidRPr="00CA48B7">
              <w:rPr>
                <w:rFonts w:ascii="Lato" w:hAnsi="Lato"/>
                <w:b/>
                <w:sz w:val="20"/>
              </w:rPr>
              <w:t>2018</w:t>
            </w:r>
          </w:p>
        </w:tc>
        <w:tc>
          <w:tcPr>
            <w:tcW w:w="1095" w:type="dxa"/>
            <w:shd w:val="clear" w:color="auto" w:fill="D9D9D9" w:themeFill="background1" w:themeFillShade="D9"/>
            <w:vAlign w:val="center"/>
          </w:tcPr>
          <w:p w14:paraId="0A2452DD" w14:textId="77777777" w:rsidR="006F42AA" w:rsidRPr="00CA48B7" w:rsidRDefault="006F42AA">
            <w:pPr>
              <w:jc w:val="center"/>
              <w:rPr>
                <w:rFonts w:ascii="Lato" w:hAnsi="Lato"/>
                <w:b/>
                <w:sz w:val="20"/>
              </w:rPr>
            </w:pPr>
            <w:r w:rsidRPr="00CA48B7">
              <w:rPr>
                <w:rFonts w:ascii="Lato" w:hAnsi="Lato"/>
                <w:b/>
                <w:sz w:val="20"/>
              </w:rPr>
              <w:t>2019</w:t>
            </w:r>
          </w:p>
        </w:tc>
        <w:tc>
          <w:tcPr>
            <w:tcW w:w="1096" w:type="dxa"/>
            <w:shd w:val="clear" w:color="auto" w:fill="D9D9D9" w:themeFill="background1" w:themeFillShade="D9"/>
            <w:vAlign w:val="center"/>
          </w:tcPr>
          <w:p w14:paraId="0A2452DE" w14:textId="77777777" w:rsidR="006F42AA" w:rsidRPr="00CA48B7" w:rsidRDefault="006F42AA">
            <w:pPr>
              <w:jc w:val="center"/>
              <w:rPr>
                <w:rFonts w:ascii="Lato" w:hAnsi="Lato"/>
                <w:b/>
                <w:sz w:val="20"/>
              </w:rPr>
            </w:pPr>
            <w:r w:rsidRPr="00CA48B7">
              <w:rPr>
                <w:rFonts w:ascii="Lato" w:hAnsi="Lato"/>
                <w:b/>
                <w:sz w:val="20"/>
              </w:rPr>
              <w:t>2020</w:t>
            </w:r>
          </w:p>
        </w:tc>
        <w:tc>
          <w:tcPr>
            <w:tcW w:w="1096" w:type="dxa"/>
            <w:shd w:val="clear" w:color="auto" w:fill="D9D9D9" w:themeFill="background1" w:themeFillShade="D9"/>
            <w:vAlign w:val="center"/>
          </w:tcPr>
          <w:p w14:paraId="0A2452DF" w14:textId="77777777" w:rsidR="006F42AA" w:rsidRPr="00CA48B7" w:rsidRDefault="006F42AA">
            <w:pPr>
              <w:jc w:val="center"/>
              <w:rPr>
                <w:rFonts w:ascii="Lato" w:hAnsi="Lato"/>
                <w:b/>
                <w:sz w:val="20"/>
              </w:rPr>
            </w:pPr>
            <w:r w:rsidRPr="00CA48B7">
              <w:rPr>
                <w:rFonts w:ascii="Lato" w:hAnsi="Lato"/>
                <w:b/>
                <w:sz w:val="20"/>
              </w:rPr>
              <w:t>2021</w:t>
            </w:r>
          </w:p>
        </w:tc>
      </w:tr>
      <w:tr w:rsidR="00484714" w:rsidRPr="00BD5E05" w14:paraId="0A2452E9" w14:textId="77777777" w:rsidTr="00B4457D">
        <w:tc>
          <w:tcPr>
            <w:tcW w:w="2972" w:type="dxa"/>
          </w:tcPr>
          <w:p w14:paraId="0A2452E1" w14:textId="77777777" w:rsidR="00A14209" w:rsidRPr="00CA48B7" w:rsidRDefault="00A14209" w:rsidP="003715B6">
            <w:pPr>
              <w:rPr>
                <w:rFonts w:ascii="Lato" w:hAnsi="Lato"/>
                <w:sz w:val="20"/>
              </w:rPr>
            </w:pPr>
            <w:r w:rsidRPr="00CA48B7">
              <w:rPr>
                <w:rFonts w:ascii="Lato" w:hAnsi="Lato"/>
                <w:sz w:val="20"/>
              </w:rPr>
              <w:t xml:space="preserve">Families As First Teachers </w:t>
            </w:r>
            <w:r w:rsidR="00F74759">
              <w:rPr>
                <w:rFonts w:ascii="Lato" w:hAnsi="Lato"/>
                <w:sz w:val="20"/>
              </w:rPr>
              <w:t>(</w:t>
            </w:r>
            <w:proofErr w:type="spellStart"/>
            <w:r w:rsidR="00F74759">
              <w:rPr>
                <w:rFonts w:ascii="Lato" w:hAnsi="Lato"/>
                <w:sz w:val="20"/>
              </w:rPr>
              <w:t>FaFT</w:t>
            </w:r>
            <w:proofErr w:type="spellEnd"/>
            <w:r w:rsidR="00F74759">
              <w:rPr>
                <w:rFonts w:ascii="Lato" w:hAnsi="Lato"/>
                <w:sz w:val="20"/>
              </w:rPr>
              <w:t xml:space="preserve">) </w:t>
            </w:r>
            <w:r w:rsidRPr="00CA48B7">
              <w:rPr>
                <w:rFonts w:ascii="Lato" w:hAnsi="Lato"/>
                <w:sz w:val="20"/>
              </w:rPr>
              <w:t xml:space="preserve">program increase in dosage </w:t>
            </w:r>
          </w:p>
        </w:tc>
        <w:tc>
          <w:tcPr>
            <w:tcW w:w="5333" w:type="dxa"/>
            <w:gridSpan w:val="3"/>
          </w:tcPr>
          <w:p w14:paraId="0A2452E2" w14:textId="77777777" w:rsidR="00A14209" w:rsidRPr="00CA48B7" w:rsidRDefault="000A13E6" w:rsidP="00AC64AA">
            <w:pPr>
              <w:rPr>
                <w:rFonts w:ascii="Lato" w:hAnsi="Lato"/>
                <w:sz w:val="20"/>
              </w:rPr>
            </w:pPr>
            <w:r w:rsidRPr="00BD5E05">
              <w:rPr>
                <w:rFonts w:ascii="Lato" w:hAnsi="Lato"/>
                <w:sz w:val="20"/>
                <w:szCs w:val="20"/>
              </w:rPr>
              <w:t xml:space="preserve">10% per year increase </w:t>
            </w:r>
            <w:r w:rsidRPr="00CA48B7">
              <w:rPr>
                <w:rFonts w:ascii="Lato" w:hAnsi="Lato"/>
                <w:sz w:val="20"/>
              </w:rPr>
              <w:t xml:space="preserve">in the </w:t>
            </w:r>
            <w:r w:rsidRPr="00BD5E05">
              <w:rPr>
                <w:rFonts w:ascii="Lato" w:hAnsi="Lato"/>
                <w:sz w:val="20"/>
                <w:szCs w:val="20"/>
              </w:rPr>
              <w:t xml:space="preserve">average </w:t>
            </w:r>
            <w:r w:rsidRPr="00CA48B7">
              <w:rPr>
                <w:rFonts w:ascii="Lato" w:hAnsi="Lato"/>
                <w:sz w:val="20"/>
              </w:rPr>
              <w:t xml:space="preserve">number of days </w:t>
            </w:r>
            <w:r w:rsidRPr="00BD5E05">
              <w:rPr>
                <w:rFonts w:ascii="Lato" w:hAnsi="Lato"/>
                <w:sz w:val="20"/>
                <w:szCs w:val="20"/>
              </w:rPr>
              <w:t>a child participates</w:t>
            </w:r>
          </w:p>
        </w:tc>
        <w:tc>
          <w:tcPr>
            <w:tcW w:w="1095" w:type="dxa"/>
          </w:tcPr>
          <w:p w14:paraId="0A2452E3" w14:textId="77777777" w:rsidR="00A14209" w:rsidRPr="00CA48B7" w:rsidRDefault="002168CE" w:rsidP="00CA48B7">
            <w:pPr>
              <w:jc w:val="center"/>
              <w:rPr>
                <w:rFonts w:ascii="Lato" w:hAnsi="Lato"/>
                <w:sz w:val="20"/>
              </w:rPr>
            </w:pPr>
            <w:r w:rsidRPr="00BD5E05">
              <w:rPr>
                <w:rFonts w:ascii="Lato" w:hAnsi="Lato"/>
                <w:sz w:val="20"/>
                <w:szCs w:val="20"/>
              </w:rPr>
              <w:t>7</w:t>
            </w:r>
            <w:r w:rsidR="000C08E2">
              <w:rPr>
                <w:rFonts w:ascii="Lato" w:hAnsi="Lato"/>
                <w:sz w:val="20"/>
                <w:szCs w:val="20"/>
              </w:rPr>
              <w:t>.00</w:t>
            </w:r>
            <w:r w:rsidR="00A14209" w:rsidRPr="00CA48B7">
              <w:rPr>
                <w:rFonts w:ascii="Lato" w:hAnsi="Lato"/>
                <w:sz w:val="20"/>
              </w:rPr>
              <w:t>%</w:t>
            </w:r>
          </w:p>
        </w:tc>
        <w:tc>
          <w:tcPr>
            <w:tcW w:w="1096" w:type="dxa"/>
          </w:tcPr>
          <w:p w14:paraId="0A2452E4" w14:textId="77777777" w:rsidR="00A14209" w:rsidRPr="00CA48B7" w:rsidRDefault="009A5F27">
            <w:pPr>
              <w:jc w:val="center"/>
              <w:rPr>
                <w:rFonts w:ascii="Lato" w:hAnsi="Lato"/>
                <w:sz w:val="20"/>
              </w:rPr>
            </w:pPr>
            <w:r>
              <w:rPr>
                <w:rFonts w:ascii="Lato" w:hAnsi="Lato"/>
                <w:sz w:val="20"/>
              </w:rPr>
              <w:t>2</w:t>
            </w:r>
            <w:r w:rsidR="00CB2523">
              <w:rPr>
                <w:rFonts w:ascii="Lato" w:hAnsi="Lato"/>
                <w:sz w:val="20"/>
              </w:rPr>
              <w:t>0</w:t>
            </w:r>
            <w:r w:rsidR="003B31DB">
              <w:rPr>
                <w:rFonts w:ascii="Lato" w:hAnsi="Lato"/>
                <w:sz w:val="20"/>
              </w:rPr>
              <w:t>.0</w:t>
            </w:r>
            <w:r>
              <w:rPr>
                <w:rFonts w:ascii="Lato" w:hAnsi="Lato"/>
                <w:sz w:val="20"/>
              </w:rPr>
              <w:t xml:space="preserve"> days</w:t>
            </w:r>
          </w:p>
        </w:tc>
        <w:tc>
          <w:tcPr>
            <w:tcW w:w="1096" w:type="dxa"/>
          </w:tcPr>
          <w:p w14:paraId="0A2452E5" w14:textId="77777777" w:rsidR="00A14209" w:rsidRPr="00CA48B7" w:rsidRDefault="00CB2523">
            <w:pPr>
              <w:jc w:val="center"/>
              <w:rPr>
                <w:rFonts w:ascii="Lato" w:hAnsi="Lato"/>
                <w:sz w:val="20"/>
              </w:rPr>
            </w:pPr>
            <w:r>
              <w:rPr>
                <w:rFonts w:ascii="Lato" w:hAnsi="Lato"/>
                <w:sz w:val="20"/>
              </w:rPr>
              <w:t>22</w:t>
            </w:r>
            <w:r w:rsidR="003B31DB">
              <w:rPr>
                <w:rFonts w:ascii="Lato" w:hAnsi="Lato"/>
                <w:sz w:val="20"/>
              </w:rPr>
              <w:t>.0</w:t>
            </w:r>
            <w:r w:rsidR="009A5F27">
              <w:rPr>
                <w:rFonts w:ascii="Lato" w:hAnsi="Lato"/>
                <w:sz w:val="20"/>
              </w:rPr>
              <w:t xml:space="preserve"> days</w:t>
            </w:r>
          </w:p>
        </w:tc>
        <w:tc>
          <w:tcPr>
            <w:tcW w:w="1095" w:type="dxa"/>
          </w:tcPr>
          <w:p w14:paraId="0A2452E6" w14:textId="77777777" w:rsidR="00A14209" w:rsidRPr="00CA48B7" w:rsidRDefault="00CB2523" w:rsidP="00CA48B7">
            <w:pPr>
              <w:jc w:val="center"/>
              <w:rPr>
                <w:rFonts w:ascii="Lato" w:hAnsi="Lato"/>
                <w:sz w:val="20"/>
              </w:rPr>
            </w:pPr>
            <w:r>
              <w:rPr>
                <w:rFonts w:ascii="Lato" w:hAnsi="Lato"/>
                <w:sz w:val="20"/>
              </w:rPr>
              <w:t>24.2</w:t>
            </w:r>
            <w:r w:rsidR="009A5F27">
              <w:rPr>
                <w:rFonts w:ascii="Lato" w:hAnsi="Lato"/>
                <w:sz w:val="20"/>
              </w:rPr>
              <w:t xml:space="preserve"> days</w:t>
            </w:r>
          </w:p>
        </w:tc>
        <w:tc>
          <w:tcPr>
            <w:tcW w:w="1096" w:type="dxa"/>
          </w:tcPr>
          <w:p w14:paraId="0A2452E7" w14:textId="77777777" w:rsidR="00A14209" w:rsidRPr="00CA48B7" w:rsidRDefault="00CB2523" w:rsidP="00CA48B7">
            <w:pPr>
              <w:jc w:val="center"/>
              <w:rPr>
                <w:rFonts w:ascii="Lato" w:hAnsi="Lato"/>
                <w:sz w:val="20"/>
              </w:rPr>
            </w:pPr>
            <w:r>
              <w:rPr>
                <w:rFonts w:ascii="Lato" w:hAnsi="Lato"/>
                <w:sz w:val="20"/>
              </w:rPr>
              <w:t>26.6</w:t>
            </w:r>
            <w:r w:rsidR="009A5F27">
              <w:rPr>
                <w:rFonts w:ascii="Lato" w:hAnsi="Lato"/>
                <w:sz w:val="20"/>
              </w:rPr>
              <w:t xml:space="preserve"> days</w:t>
            </w:r>
          </w:p>
        </w:tc>
        <w:tc>
          <w:tcPr>
            <w:tcW w:w="1096" w:type="dxa"/>
          </w:tcPr>
          <w:p w14:paraId="0A2452E8" w14:textId="77777777" w:rsidR="00A14209" w:rsidRPr="00CA48B7" w:rsidRDefault="00CB2523" w:rsidP="00CA48B7">
            <w:pPr>
              <w:jc w:val="center"/>
              <w:rPr>
                <w:rFonts w:ascii="Lato" w:hAnsi="Lato"/>
                <w:sz w:val="20"/>
              </w:rPr>
            </w:pPr>
            <w:r>
              <w:rPr>
                <w:rFonts w:ascii="Lato" w:hAnsi="Lato"/>
                <w:sz w:val="20"/>
              </w:rPr>
              <w:t>29.3</w:t>
            </w:r>
            <w:r w:rsidR="009A5F27">
              <w:rPr>
                <w:rFonts w:ascii="Lato" w:hAnsi="Lato"/>
                <w:sz w:val="20"/>
              </w:rPr>
              <w:t xml:space="preserve"> days</w:t>
            </w:r>
          </w:p>
        </w:tc>
      </w:tr>
      <w:tr w:rsidR="00484714" w:rsidRPr="00BD5E05" w14:paraId="0A2452F2" w14:textId="77777777" w:rsidTr="00B4457D">
        <w:tc>
          <w:tcPr>
            <w:tcW w:w="2972" w:type="dxa"/>
          </w:tcPr>
          <w:p w14:paraId="0A2452EA" w14:textId="77777777" w:rsidR="00A14209" w:rsidRPr="00CA48B7" w:rsidRDefault="00A14209" w:rsidP="00B605E5">
            <w:pPr>
              <w:rPr>
                <w:rFonts w:ascii="Lato" w:hAnsi="Lato"/>
                <w:sz w:val="20"/>
              </w:rPr>
            </w:pPr>
            <w:r w:rsidRPr="00CA48B7">
              <w:rPr>
                <w:rFonts w:ascii="Lato" w:hAnsi="Lato"/>
                <w:sz w:val="20"/>
              </w:rPr>
              <w:t>Transition Support Unit case management retention rate</w:t>
            </w:r>
          </w:p>
        </w:tc>
        <w:tc>
          <w:tcPr>
            <w:tcW w:w="5333" w:type="dxa"/>
            <w:gridSpan w:val="3"/>
          </w:tcPr>
          <w:p w14:paraId="0A2452EB" w14:textId="77777777" w:rsidR="00A14209" w:rsidRPr="00CA48B7" w:rsidRDefault="00A14209" w:rsidP="00B605E5">
            <w:pPr>
              <w:rPr>
                <w:rFonts w:ascii="Lato" w:hAnsi="Lato"/>
                <w:sz w:val="20"/>
              </w:rPr>
            </w:pPr>
            <w:r w:rsidRPr="00CA48B7">
              <w:rPr>
                <w:rFonts w:ascii="Lato" w:hAnsi="Lato"/>
                <w:sz w:val="20"/>
              </w:rPr>
              <w:t>Retention rate of year seven boarding students case managed by the T</w:t>
            </w:r>
            <w:r w:rsidR="00E3110E">
              <w:rPr>
                <w:rFonts w:ascii="Lato" w:hAnsi="Lato"/>
                <w:sz w:val="20"/>
              </w:rPr>
              <w:t>ransition Support Unit</w:t>
            </w:r>
          </w:p>
        </w:tc>
        <w:tc>
          <w:tcPr>
            <w:tcW w:w="1095" w:type="dxa"/>
          </w:tcPr>
          <w:p w14:paraId="0A2452EC" w14:textId="77777777" w:rsidR="00A14209" w:rsidRPr="00CA48B7" w:rsidRDefault="002168CE" w:rsidP="00CA48B7">
            <w:pPr>
              <w:jc w:val="center"/>
              <w:rPr>
                <w:rFonts w:ascii="Lato" w:hAnsi="Lato"/>
                <w:sz w:val="20"/>
              </w:rPr>
            </w:pPr>
            <w:r w:rsidRPr="00BD5E05">
              <w:rPr>
                <w:rFonts w:ascii="Lato" w:hAnsi="Lato"/>
                <w:sz w:val="20"/>
                <w:szCs w:val="20"/>
              </w:rPr>
              <w:t>7</w:t>
            </w:r>
            <w:r w:rsidR="000C08E2">
              <w:rPr>
                <w:rFonts w:ascii="Lato" w:hAnsi="Lato"/>
                <w:sz w:val="20"/>
                <w:szCs w:val="20"/>
              </w:rPr>
              <w:t>.00</w:t>
            </w:r>
            <w:r w:rsidR="00A14209" w:rsidRPr="00CA48B7">
              <w:rPr>
                <w:rFonts w:ascii="Lato" w:hAnsi="Lato"/>
                <w:sz w:val="20"/>
              </w:rPr>
              <w:t>%</w:t>
            </w:r>
          </w:p>
        </w:tc>
        <w:tc>
          <w:tcPr>
            <w:tcW w:w="1096" w:type="dxa"/>
          </w:tcPr>
          <w:p w14:paraId="0A2452ED" w14:textId="77777777" w:rsidR="00A14209" w:rsidRPr="00CA48B7" w:rsidRDefault="009A5F27" w:rsidP="00CA48B7">
            <w:pPr>
              <w:jc w:val="center"/>
              <w:rPr>
                <w:rFonts w:ascii="Lato" w:hAnsi="Lato"/>
                <w:sz w:val="20"/>
              </w:rPr>
            </w:pPr>
            <w:r>
              <w:rPr>
                <w:rFonts w:ascii="Lato" w:hAnsi="Lato"/>
                <w:sz w:val="20"/>
              </w:rPr>
              <w:t>53</w:t>
            </w:r>
            <w:r w:rsidR="000C08E2">
              <w:rPr>
                <w:rFonts w:ascii="Lato" w:hAnsi="Lato"/>
                <w:sz w:val="20"/>
              </w:rPr>
              <w:t>.00</w:t>
            </w:r>
            <w:r w:rsidR="00A14209" w:rsidRPr="00CA48B7">
              <w:rPr>
                <w:rFonts w:ascii="Lato" w:hAnsi="Lato"/>
                <w:sz w:val="20"/>
              </w:rPr>
              <w:t>%</w:t>
            </w:r>
          </w:p>
        </w:tc>
        <w:tc>
          <w:tcPr>
            <w:tcW w:w="1096" w:type="dxa"/>
          </w:tcPr>
          <w:p w14:paraId="0A2452EE" w14:textId="77777777" w:rsidR="00A14209" w:rsidRPr="00CA48B7" w:rsidRDefault="009A5F27">
            <w:pPr>
              <w:jc w:val="center"/>
              <w:rPr>
                <w:rFonts w:ascii="Lato" w:hAnsi="Lato"/>
                <w:sz w:val="20"/>
              </w:rPr>
            </w:pPr>
            <w:r>
              <w:rPr>
                <w:rFonts w:ascii="Lato" w:hAnsi="Lato"/>
                <w:sz w:val="20"/>
              </w:rPr>
              <w:t>56</w:t>
            </w:r>
            <w:r w:rsidR="000C08E2">
              <w:rPr>
                <w:rFonts w:ascii="Lato" w:hAnsi="Lato"/>
                <w:sz w:val="20"/>
              </w:rPr>
              <w:t>.00</w:t>
            </w:r>
            <w:r w:rsidR="00A14209" w:rsidRPr="00CA48B7">
              <w:rPr>
                <w:rFonts w:ascii="Lato" w:hAnsi="Lato"/>
                <w:sz w:val="20"/>
              </w:rPr>
              <w:t>%</w:t>
            </w:r>
          </w:p>
        </w:tc>
        <w:tc>
          <w:tcPr>
            <w:tcW w:w="1095" w:type="dxa"/>
          </w:tcPr>
          <w:p w14:paraId="0A2452EF" w14:textId="77777777" w:rsidR="00A14209" w:rsidRPr="00CA48B7" w:rsidRDefault="009A5F27">
            <w:pPr>
              <w:jc w:val="center"/>
              <w:rPr>
                <w:rFonts w:ascii="Lato" w:hAnsi="Lato"/>
                <w:sz w:val="20"/>
              </w:rPr>
            </w:pPr>
            <w:r>
              <w:rPr>
                <w:rFonts w:ascii="Lato" w:hAnsi="Lato"/>
                <w:sz w:val="20"/>
              </w:rPr>
              <w:t>59</w:t>
            </w:r>
            <w:r w:rsidR="000C08E2">
              <w:rPr>
                <w:rFonts w:ascii="Lato" w:hAnsi="Lato"/>
                <w:sz w:val="20"/>
              </w:rPr>
              <w:t>.00</w:t>
            </w:r>
            <w:r w:rsidR="00A14209" w:rsidRPr="00CA48B7">
              <w:rPr>
                <w:rFonts w:ascii="Lato" w:hAnsi="Lato"/>
                <w:sz w:val="20"/>
              </w:rPr>
              <w:t>%</w:t>
            </w:r>
          </w:p>
        </w:tc>
        <w:tc>
          <w:tcPr>
            <w:tcW w:w="1096" w:type="dxa"/>
          </w:tcPr>
          <w:p w14:paraId="0A2452F0" w14:textId="77777777" w:rsidR="00A14209" w:rsidRPr="00CA48B7" w:rsidRDefault="00A14209">
            <w:pPr>
              <w:jc w:val="center"/>
              <w:rPr>
                <w:rFonts w:ascii="Lato" w:hAnsi="Lato"/>
                <w:sz w:val="20"/>
              </w:rPr>
            </w:pPr>
            <w:r w:rsidRPr="00CA48B7">
              <w:rPr>
                <w:rFonts w:ascii="Lato" w:hAnsi="Lato"/>
                <w:sz w:val="20"/>
              </w:rPr>
              <w:t>6</w:t>
            </w:r>
            <w:r w:rsidR="009A5F27">
              <w:rPr>
                <w:rFonts w:ascii="Lato" w:hAnsi="Lato"/>
                <w:sz w:val="20"/>
              </w:rPr>
              <w:t>2</w:t>
            </w:r>
            <w:r w:rsidR="000C08E2">
              <w:rPr>
                <w:rFonts w:ascii="Lato" w:hAnsi="Lato"/>
                <w:sz w:val="20"/>
              </w:rPr>
              <w:t>.00</w:t>
            </w:r>
            <w:r w:rsidRPr="00CA48B7">
              <w:rPr>
                <w:rFonts w:ascii="Lato" w:hAnsi="Lato"/>
                <w:sz w:val="20"/>
              </w:rPr>
              <w:t>%</w:t>
            </w:r>
          </w:p>
        </w:tc>
        <w:tc>
          <w:tcPr>
            <w:tcW w:w="1096" w:type="dxa"/>
          </w:tcPr>
          <w:p w14:paraId="0A2452F1" w14:textId="77777777" w:rsidR="00A14209" w:rsidRPr="00CA48B7" w:rsidRDefault="00A14209" w:rsidP="00CA48B7">
            <w:pPr>
              <w:jc w:val="center"/>
              <w:rPr>
                <w:rFonts w:ascii="Lato" w:hAnsi="Lato"/>
                <w:sz w:val="20"/>
              </w:rPr>
            </w:pPr>
            <w:r w:rsidRPr="00CA48B7">
              <w:rPr>
                <w:rFonts w:ascii="Lato" w:hAnsi="Lato"/>
                <w:sz w:val="20"/>
              </w:rPr>
              <w:t>65</w:t>
            </w:r>
            <w:r w:rsidR="000C08E2">
              <w:rPr>
                <w:rFonts w:ascii="Lato" w:hAnsi="Lato"/>
                <w:sz w:val="20"/>
              </w:rPr>
              <w:t>.00</w:t>
            </w:r>
            <w:r w:rsidRPr="00CA48B7">
              <w:rPr>
                <w:rFonts w:ascii="Lato" w:hAnsi="Lato"/>
                <w:sz w:val="20"/>
              </w:rPr>
              <w:t>%</w:t>
            </w:r>
          </w:p>
        </w:tc>
      </w:tr>
      <w:tr w:rsidR="00484714" w:rsidRPr="00BD5E05" w14:paraId="0A2452FB" w14:textId="77777777" w:rsidTr="00B4457D">
        <w:trPr>
          <w:trHeight w:val="822"/>
        </w:trPr>
        <w:tc>
          <w:tcPr>
            <w:tcW w:w="2972" w:type="dxa"/>
          </w:tcPr>
          <w:p w14:paraId="0A2452F3" w14:textId="77777777" w:rsidR="00A14209" w:rsidRPr="00F32707" w:rsidRDefault="00A14209" w:rsidP="008D7145">
            <w:pPr>
              <w:rPr>
                <w:rFonts w:ascii="Lato" w:hAnsi="Lato"/>
                <w:sz w:val="20"/>
              </w:rPr>
            </w:pPr>
            <w:r w:rsidRPr="00F32707">
              <w:rPr>
                <w:rFonts w:ascii="Lato" w:hAnsi="Lato"/>
                <w:sz w:val="20"/>
              </w:rPr>
              <w:t xml:space="preserve">Indigenous </w:t>
            </w:r>
            <w:r w:rsidR="003706A6">
              <w:rPr>
                <w:rFonts w:ascii="Lato" w:hAnsi="Lato"/>
                <w:sz w:val="20"/>
              </w:rPr>
              <w:t>A</w:t>
            </w:r>
            <w:r w:rsidRPr="00F32707">
              <w:rPr>
                <w:rFonts w:ascii="Lato" w:hAnsi="Lato"/>
                <w:sz w:val="20"/>
              </w:rPr>
              <w:t xml:space="preserve">ssistant </w:t>
            </w:r>
            <w:r w:rsidR="003706A6">
              <w:rPr>
                <w:rFonts w:ascii="Lato" w:hAnsi="Lato"/>
                <w:sz w:val="20"/>
              </w:rPr>
              <w:t>T</w:t>
            </w:r>
            <w:r w:rsidRPr="00F32707">
              <w:rPr>
                <w:rFonts w:ascii="Lato" w:hAnsi="Lato"/>
                <w:sz w:val="20"/>
              </w:rPr>
              <w:t xml:space="preserve">eachers supported to complete </w:t>
            </w:r>
            <w:r w:rsidR="00F55115" w:rsidRPr="00F32707">
              <w:rPr>
                <w:rFonts w:ascii="Lato" w:hAnsi="Lato"/>
                <w:sz w:val="20"/>
              </w:rPr>
              <w:t xml:space="preserve">accredited training </w:t>
            </w:r>
          </w:p>
        </w:tc>
        <w:tc>
          <w:tcPr>
            <w:tcW w:w="5333" w:type="dxa"/>
            <w:gridSpan w:val="3"/>
          </w:tcPr>
          <w:p w14:paraId="0A2452F4" w14:textId="77777777" w:rsidR="00A14209" w:rsidRPr="00F32707" w:rsidRDefault="00F33970">
            <w:pPr>
              <w:rPr>
                <w:rFonts w:ascii="Lato" w:hAnsi="Lato"/>
                <w:sz w:val="20"/>
              </w:rPr>
            </w:pPr>
            <w:r w:rsidRPr="00F32707">
              <w:rPr>
                <w:rFonts w:ascii="Lato" w:hAnsi="Lato"/>
                <w:sz w:val="20"/>
              </w:rPr>
              <w:t xml:space="preserve">Completion rate of </w:t>
            </w:r>
            <w:r w:rsidR="00A14209" w:rsidRPr="00F32707">
              <w:rPr>
                <w:rFonts w:ascii="Lato" w:hAnsi="Lato"/>
                <w:sz w:val="20"/>
              </w:rPr>
              <w:t xml:space="preserve">enrolled Indigenous </w:t>
            </w:r>
            <w:r w:rsidR="003706A6">
              <w:rPr>
                <w:rFonts w:ascii="Lato" w:hAnsi="Lato"/>
                <w:sz w:val="20"/>
              </w:rPr>
              <w:t>A</w:t>
            </w:r>
            <w:r w:rsidR="00A14209" w:rsidRPr="00F32707">
              <w:rPr>
                <w:rFonts w:ascii="Lato" w:hAnsi="Lato"/>
                <w:sz w:val="20"/>
              </w:rPr>
              <w:t xml:space="preserve">ssistant </w:t>
            </w:r>
            <w:r w:rsidR="003706A6">
              <w:rPr>
                <w:rFonts w:ascii="Lato" w:hAnsi="Lato"/>
                <w:sz w:val="20"/>
              </w:rPr>
              <w:t>T</w:t>
            </w:r>
            <w:r w:rsidR="00A14209" w:rsidRPr="00F32707">
              <w:rPr>
                <w:rFonts w:ascii="Lato" w:hAnsi="Lato"/>
                <w:sz w:val="20"/>
              </w:rPr>
              <w:t xml:space="preserve">eachers </w:t>
            </w:r>
            <w:r w:rsidRPr="00F32707">
              <w:rPr>
                <w:rFonts w:ascii="Lato" w:hAnsi="Lato"/>
                <w:sz w:val="20"/>
              </w:rPr>
              <w:t>in accredited training</w:t>
            </w:r>
          </w:p>
        </w:tc>
        <w:tc>
          <w:tcPr>
            <w:tcW w:w="1095" w:type="dxa"/>
          </w:tcPr>
          <w:p w14:paraId="0A2452F5" w14:textId="77777777" w:rsidR="00A14209" w:rsidRPr="00CA48B7" w:rsidRDefault="002168CE" w:rsidP="00CA48B7">
            <w:pPr>
              <w:jc w:val="center"/>
              <w:rPr>
                <w:rFonts w:ascii="Lato" w:hAnsi="Lato"/>
                <w:sz w:val="20"/>
              </w:rPr>
            </w:pPr>
            <w:r w:rsidRPr="00BD5E05">
              <w:rPr>
                <w:rFonts w:ascii="Lato" w:hAnsi="Lato"/>
                <w:sz w:val="20"/>
                <w:szCs w:val="20"/>
              </w:rPr>
              <w:t>6</w:t>
            </w:r>
            <w:r w:rsidR="000C08E2">
              <w:rPr>
                <w:rFonts w:ascii="Lato" w:hAnsi="Lato"/>
                <w:sz w:val="20"/>
                <w:szCs w:val="20"/>
              </w:rPr>
              <w:t>.00</w:t>
            </w:r>
            <w:r w:rsidR="00A14209" w:rsidRPr="00CA48B7">
              <w:rPr>
                <w:rFonts w:ascii="Lato" w:hAnsi="Lato"/>
                <w:sz w:val="20"/>
              </w:rPr>
              <w:t>%</w:t>
            </w:r>
          </w:p>
        </w:tc>
        <w:tc>
          <w:tcPr>
            <w:tcW w:w="1096" w:type="dxa"/>
          </w:tcPr>
          <w:p w14:paraId="0A2452F6" w14:textId="77777777" w:rsidR="00A14209" w:rsidRPr="00CA48B7" w:rsidRDefault="00F32707">
            <w:pPr>
              <w:jc w:val="center"/>
              <w:rPr>
                <w:rFonts w:ascii="Lato" w:hAnsi="Lato"/>
                <w:sz w:val="20"/>
              </w:rPr>
            </w:pPr>
            <w:r>
              <w:rPr>
                <w:rFonts w:ascii="Lato" w:hAnsi="Lato"/>
                <w:sz w:val="20"/>
              </w:rPr>
              <w:t>45</w:t>
            </w:r>
            <w:r w:rsidR="000C08E2">
              <w:rPr>
                <w:rFonts w:ascii="Lato" w:hAnsi="Lato"/>
                <w:sz w:val="20"/>
              </w:rPr>
              <w:t>.00</w:t>
            </w:r>
            <w:r>
              <w:rPr>
                <w:rFonts w:ascii="Lato" w:hAnsi="Lato"/>
                <w:sz w:val="20"/>
              </w:rPr>
              <w:t>%</w:t>
            </w:r>
          </w:p>
        </w:tc>
        <w:tc>
          <w:tcPr>
            <w:tcW w:w="1096" w:type="dxa"/>
          </w:tcPr>
          <w:p w14:paraId="0A2452F7" w14:textId="77777777" w:rsidR="00A14209" w:rsidRPr="00CA48B7" w:rsidRDefault="00F32707">
            <w:pPr>
              <w:jc w:val="center"/>
              <w:rPr>
                <w:rFonts w:ascii="Lato" w:hAnsi="Lato"/>
                <w:sz w:val="20"/>
              </w:rPr>
            </w:pPr>
            <w:r>
              <w:rPr>
                <w:rFonts w:ascii="Lato" w:hAnsi="Lato"/>
                <w:sz w:val="20"/>
              </w:rPr>
              <w:t>46.5</w:t>
            </w:r>
            <w:r w:rsidR="000C08E2">
              <w:rPr>
                <w:rFonts w:ascii="Lato" w:hAnsi="Lato"/>
                <w:sz w:val="20"/>
              </w:rPr>
              <w:t>0</w:t>
            </w:r>
            <w:r w:rsidR="00A14209" w:rsidRPr="00CA48B7">
              <w:rPr>
                <w:rFonts w:ascii="Lato" w:hAnsi="Lato"/>
                <w:sz w:val="20"/>
              </w:rPr>
              <w:t>%</w:t>
            </w:r>
          </w:p>
        </w:tc>
        <w:tc>
          <w:tcPr>
            <w:tcW w:w="1095" w:type="dxa"/>
          </w:tcPr>
          <w:p w14:paraId="0A2452F8" w14:textId="77777777" w:rsidR="00A14209" w:rsidRPr="00CA48B7" w:rsidRDefault="00F32707">
            <w:pPr>
              <w:jc w:val="center"/>
              <w:rPr>
                <w:rFonts w:ascii="Lato" w:hAnsi="Lato"/>
                <w:sz w:val="20"/>
              </w:rPr>
            </w:pPr>
            <w:r>
              <w:rPr>
                <w:rFonts w:ascii="Lato" w:hAnsi="Lato"/>
                <w:sz w:val="20"/>
              </w:rPr>
              <w:t>48</w:t>
            </w:r>
            <w:r w:rsidR="000C08E2">
              <w:rPr>
                <w:rFonts w:ascii="Lato" w:hAnsi="Lato"/>
                <w:sz w:val="20"/>
              </w:rPr>
              <w:t>.00</w:t>
            </w:r>
            <w:r w:rsidR="00A14209" w:rsidRPr="00CA48B7">
              <w:rPr>
                <w:rFonts w:ascii="Lato" w:hAnsi="Lato"/>
                <w:sz w:val="20"/>
              </w:rPr>
              <w:t>%</w:t>
            </w:r>
          </w:p>
        </w:tc>
        <w:tc>
          <w:tcPr>
            <w:tcW w:w="1096" w:type="dxa"/>
          </w:tcPr>
          <w:p w14:paraId="0A2452F9" w14:textId="77777777" w:rsidR="00A14209" w:rsidRPr="00CA48B7" w:rsidRDefault="00F32707">
            <w:pPr>
              <w:jc w:val="center"/>
              <w:rPr>
                <w:rFonts w:ascii="Lato" w:hAnsi="Lato"/>
                <w:sz w:val="20"/>
              </w:rPr>
            </w:pPr>
            <w:r>
              <w:rPr>
                <w:rFonts w:ascii="Lato" w:hAnsi="Lato"/>
                <w:sz w:val="20"/>
              </w:rPr>
              <w:t>49.5</w:t>
            </w:r>
            <w:r w:rsidR="000C08E2">
              <w:rPr>
                <w:rFonts w:ascii="Lato" w:hAnsi="Lato"/>
                <w:sz w:val="20"/>
              </w:rPr>
              <w:t>0</w:t>
            </w:r>
            <w:r w:rsidR="00A14209" w:rsidRPr="00CA48B7">
              <w:rPr>
                <w:rFonts w:ascii="Lato" w:hAnsi="Lato"/>
                <w:sz w:val="20"/>
              </w:rPr>
              <w:t>%</w:t>
            </w:r>
          </w:p>
        </w:tc>
        <w:tc>
          <w:tcPr>
            <w:tcW w:w="1096" w:type="dxa"/>
          </w:tcPr>
          <w:p w14:paraId="0A2452FA" w14:textId="77777777" w:rsidR="00A14209" w:rsidRPr="00CA48B7" w:rsidRDefault="00F32707">
            <w:pPr>
              <w:jc w:val="center"/>
              <w:rPr>
                <w:rFonts w:ascii="Lato" w:hAnsi="Lato"/>
                <w:sz w:val="20"/>
              </w:rPr>
            </w:pPr>
            <w:r>
              <w:rPr>
                <w:rFonts w:ascii="Lato" w:hAnsi="Lato"/>
                <w:sz w:val="20"/>
              </w:rPr>
              <w:t>51</w:t>
            </w:r>
            <w:r w:rsidR="000C08E2">
              <w:rPr>
                <w:rFonts w:ascii="Lato" w:hAnsi="Lato"/>
                <w:sz w:val="20"/>
              </w:rPr>
              <w:t>.00</w:t>
            </w:r>
            <w:r w:rsidR="00A14209" w:rsidRPr="00CA48B7">
              <w:rPr>
                <w:rFonts w:ascii="Lato" w:hAnsi="Lato"/>
                <w:sz w:val="20"/>
              </w:rPr>
              <w:t>%</w:t>
            </w:r>
          </w:p>
        </w:tc>
      </w:tr>
      <w:tr w:rsidR="00484714" w:rsidRPr="00BD5E05" w14:paraId="0A245304" w14:textId="77777777" w:rsidTr="00B4457D">
        <w:tc>
          <w:tcPr>
            <w:tcW w:w="2972" w:type="dxa"/>
          </w:tcPr>
          <w:p w14:paraId="0A2452FC" w14:textId="77777777" w:rsidR="00A14209" w:rsidRPr="00CA48B7" w:rsidRDefault="00A14209" w:rsidP="001F6764">
            <w:pPr>
              <w:rPr>
                <w:rFonts w:ascii="Lato" w:hAnsi="Lato"/>
                <w:sz w:val="20"/>
              </w:rPr>
            </w:pPr>
            <w:r w:rsidRPr="00CA48B7">
              <w:rPr>
                <w:rFonts w:ascii="Lato" w:hAnsi="Lato"/>
                <w:sz w:val="20"/>
              </w:rPr>
              <w:t>Indigenous student attendance rate of 90 per cent</w:t>
            </w:r>
          </w:p>
        </w:tc>
        <w:tc>
          <w:tcPr>
            <w:tcW w:w="5333" w:type="dxa"/>
            <w:gridSpan w:val="3"/>
          </w:tcPr>
          <w:p w14:paraId="0A2452FD" w14:textId="77777777" w:rsidR="00A14209" w:rsidRPr="00CA48B7" w:rsidRDefault="00A14209" w:rsidP="001F6764">
            <w:pPr>
              <w:rPr>
                <w:rFonts w:ascii="Lato" w:hAnsi="Lato"/>
                <w:sz w:val="20"/>
              </w:rPr>
            </w:pPr>
            <w:r w:rsidRPr="00CA48B7">
              <w:rPr>
                <w:rFonts w:ascii="Lato" w:hAnsi="Lato"/>
                <w:sz w:val="20"/>
              </w:rPr>
              <w:t>Increase in the attendance rate of Indigenous students in the Northern Territory toward a COAG benchmark of 90 per cent</w:t>
            </w:r>
          </w:p>
        </w:tc>
        <w:tc>
          <w:tcPr>
            <w:tcW w:w="1095" w:type="dxa"/>
          </w:tcPr>
          <w:p w14:paraId="0A2452FE" w14:textId="77777777" w:rsidR="00A14209" w:rsidRPr="00CA48B7" w:rsidRDefault="009B475C" w:rsidP="00CA48B7">
            <w:pPr>
              <w:jc w:val="center"/>
              <w:rPr>
                <w:rFonts w:ascii="Lato" w:hAnsi="Lato"/>
                <w:sz w:val="20"/>
              </w:rPr>
            </w:pPr>
            <w:r w:rsidRPr="00CA48B7">
              <w:rPr>
                <w:rFonts w:ascii="Lato" w:hAnsi="Lato"/>
                <w:sz w:val="20"/>
              </w:rPr>
              <w:t>5</w:t>
            </w:r>
            <w:r w:rsidR="000C08E2">
              <w:rPr>
                <w:rFonts w:ascii="Lato" w:hAnsi="Lato"/>
                <w:sz w:val="20"/>
              </w:rPr>
              <w:t>.00</w:t>
            </w:r>
            <w:r w:rsidR="00A14209" w:rsidRPr="00CA48B7">
              <w:rPr>
                <w:rFonts w:ascii="Lato" w:hAnsi="Lato"/>
                <w:sz w:val="20"/>
              </w:rPr>
              <w:t>%</w:t>
            </w:r>
          </w:p>
        </w:tc>
        <w:tc>
          <w:tcPr>
            <w:tcW w:w="1096" w:type="dxa"/>
          </w:tcPr>
          <w:p w14:paraId="0A2452FF" w14:textId="77777777" w:rsidR="00A14209" w:rsidRPr="00CA48B7" w:rsidRDefault="0007564F" w:rsidP="00CA48B7">
            <w:pPr>
              <w:jc w:val="center"/>
              <w:rPr>
                <w:rFonts w:ascii="Lato" w:hAnsi="Lato"/>
                <w:sz w:val="20"/>
              </w:rPr>
            </w:pPr>
            <w:r>
              <w:rPr>
                <w:rFonts w:ascii="Lato" w:hAnsi="Lato"/>
                <w:sz w:val="20"/>
              </w:rPr>
              <w:t>64.5</w:t>
            </w:r>
            <w:r w:rsidR="000C08E2">
              <w:rPr>
                <w:rFonts w:ascii="Lato" w:hAnsi="Lato"/>
                <w:sz w:val="20"/>
              </w:rPr>
              <w:t>0</w:t>
            </w:r>
            <w:r w:rsidR="00A14209" w:rsidRPr="00CA48B7">
              <w:rPr>
                <w:rFonts w:ascii="Lato" w:hAnsi="Lato"/>
                <w:sz w:val="20"/>
              </w:rPr>
              <w:t>%</w:t>
            </w:r>
          </w:p>
        </w:tc>
        <w:tc>
          <w:tcPr>
            <w:tcW w:w="1096" w:type="dxa"/>
          </w:tcPr>
          <w:p w14:paraId="0A245300" w14:textId="77777777" w:rsidR="00A14209" w:rsidRPr="00D40B0E" w:rsidRDefault="006F3BF3">
            <w:pPr>
              <w:jc w:val="center"/>
              <w:rPr>
                <w:rFonts w:ascii="Lato" w:hAnsi="Lato"/>
                <w:sz w:val="20"/>
              </w:rPr>
            </w:pPr>
            <w:r w:rsidRPr="00D40B0E">
              <w:rPr>
                <w:rFonts w:ascii="Lato" w:hAnsi="Lato"/>
                <w:sz w:val="20"/>
              </w:rPr>
              <w:t>67.5</w:t>
            </w:r>
            <w:r w:rsidR="000C08E2">
              <w:rPr>
                <w:rFonts w:ascii="Lato" w:hAnsi="Lato"/>
                <w:sz w:val="20"/>
              </w:rPr>
              <w:t>0</w:t>
            </w:r>
            <w:r w:rsidR="00A14209" w:rsidRPr="00D40B0E">
              <w:rPr>
                <w:rFonts w:ascii="Lato" w:hAnsi="Lato"/>
                <w:sz w:val="20"/>
              </w:rPr>
              <w:t>%</w:t>
            </w:r>
          </w:p>
        </w:tc>
        <w:tc>
          <w:tcPr>
            <w:tcW w:w="1095" w:type="dxa"/>
          </w:tcPr>
          <w:p w14:paraId="0A245301" w14:textId="77777777" w:rsidR="00A14209" w:rsidRPr="00D40B0E" w:rsidRDefault="006F3BF3">
            <w:pPr>
              <w:jc w:val="center"/>
              <w:rPr>
                <w:rFonts w:ascii="Lato" w:hAnsi="Lato"/>
                <w:sz w:val="20"/>
              </w:rPr>
            </w:pPr>
            <w:r w:rsidRPr="00D40B0E">
              <w:rPr>
                <w:rFonts w:ascii="Lato" w:hAnsi="Lato"/>
                <w:sz w:val="20"/>
              </w:rPr>
              <w:t>70.5</w:t>
            </w:r>
            <w:r w:rsidR="000C08E2">
              <w:rPr>
                <w:rFonts w:ascii="Lato" w:hAnsi="Lato"/>
                <w:sz w:val="20"/>
              </w:rPr>
              <w:t>0</w:t>
            </w:r>
            <w:r w:rsidR="00A14209" w:rsidRPr="00D40B0E">
              <w:rPr>
                <w:rFonts w:ascii="Lato" w:hAnsi="Lato"/>
                <w:sz w:val="20"/>
              </w:rPr>
              <w:t>%</w:t>
            </w:r>
          </w:p>
        </w:tc>
        <w:tc>
          <w:tcPr>
            <w:tcW w:w="1096" w:type="dxa"/>
          </w:tcPr>
          <w:p w14:paraId="0A245302" w14:textId="77777777" w:rsidR="00A14209" w:rsidRPr="00D40B0E" w:rsidRDefault="006F3BF3">
            <w:pPr>
              <w:jc w:val="center"/>
              <w:rPr>
                <w:rFonts w:ascii="Lato" w:hAnsi="Lato"/>
                <w:sz w:val="20"/>
              </w:rPr>
            </w:pPr>
            <w:r w:rsidRPr="00D40B0E">
              <w:rPr>
                <w:rFonts w:ascii="Lato" w:hAnsi="Lato"/>
                <w:sz w:val="20"/>
              </w:rPr>
              <w:t>73.5</w:t>
            </w:r>
            <w:r w:rsidR="000C08E2">
              <w:rPr>
                <w:rFonts w:ascii="Lato" w:hAnsi="Lato"/>
                <w:sz w:val="20"/>
              </w:rPr>
              <w:t>0</w:t>
            </w:r>
            <w:r w:rsidR="00A14209" w:rsidRPr="00D40B0E">
              <w:rPr>
                <w:rFonts w:ascii="Lato" w:hAnsi="Lato"/>
                <w:sz w:val="20"/>
              </w:rPr>
              <w:t>%</w:t>
            </w:r>
          </w:p>
        </w:tc>
        <w:tc>
          <w:tcPr>
            <w:tcW w:w="1096" w:type="dxa"/>
          </w:tcPr>
          <w:p w14:paraId="0A245303" w14:textId="77777777" w:rsidR="00A14209" w:rsidRPr="00D40B0E" w:rsidRDefault="006F3BF3">
            <w:pPr>
              <w:jc w:val="center"/>
              <w:rPr>
                <w:rFonts w:ascii="Lato" w:hAnsi="Lato"/>
                <w:sz w:val="20"/>
              </w:rPr>
            </w:pPr>
            <w:r w:rsidRPr="00D40B0E">
              <w:rPr>
                <w:rFonts w:ascii="Lato" w:hAnsi="Lato"/>
                <w:sz w:val="20"/>
              </w:rPr>
              <w:t>76.5</w:t>
            </w:r>
            <w:r w:rsidR="000C08E2">
              <w:rPr>
                <w:rFonts w:ascii="Lato" w:hAnsi="Lato"/>
                <w:sz w:val="20"/>
              </w:rPr>
              <w:t>0</w:t>
            </w:r>
            <w:r w:rsidR="00A14209" w:rsidRPr="00D40B0E">
              <w:rPr>
                <w:rFonts w:ascii="Lato" w:hAnsi="Lato"/>
                <w:sz w:val="20"/>
              </w:rPr>
              <w:t>%</w:t>
            </w:r>
          </w:p>
        </w:tc>
      </w:tr>
      <w:tr w:rsidR="00484714" w:rsidRPr="00BD5E05" w14:paraId="0A24530D" w14:textId="77777777" w:rsidTr="00B4457D">
        <w:tc>
          <w:tcPr>
            <w:tcW w:w="2972" w:type="dxa"/>
          </w:tcPr>
          <w:p w14:paraId="0A245305" w14:textId="77777777" w:rsidR="002840B4" w:rsidRPr="00CA48B7" w:rsidRDefault="002840B4" w:rsidP="002840B4">
            <w:pPr>
              <w:rPr>
                <w:rFonts w:ascii="Lato" w:hAnsi="Lato"/>
                <w:sz w:val="20"/>
              </w:rPr>
            </w:pPr>
            <w:r w:rsidRPr="00CA48B7">
              <w:rPr>
                <w:rFonts w:ascii="Lato" w:hAnsi="Lato"/>
                <w:sz w:val="20"/>
              </w:rPr>
              <w:t>Indigenous students attending at least four days per week or more</w:t>
            </w:r>
          </w:p>
        </w:tc>
        <w:tc>
          <w:tcPr>
            <w:tcW w:w="5333" w:type="dxa"/>
            <w:gridSpan w:val="3"/>
          </w:tcPr>
          <w:p w14:paraId="0A245306" w14:textId="77777777" w:rsidR="002840B4" w:rsidRPr="00CA48B7" w:rsidRDefault="002840B4" w:rsidP="002840B4">
            <w:pPr>
              <w:rPr>
                <w:rFonts w:ascii="Lato" w:hAnsi="Lato"/>
                <w:sz w:val="20"/>
              </w:rPr>
            </w:pPr>
            <w:r w:rsidRPr="00CA48B7">
              <w:rPr>
                <w:rFonts w:ascii="Lato" w:hAnsi="Lato"/>
                <w:sz w:val="20"/>
              </w:rPr>
              <w:t>Increase in the proportion of remote and very remote Indigenous students attending at least four days per week or more</w:t>
            </w:r>
          </w:p>
        </w:tc>
        <w:tc>
          <w:tcPr>
            <w:tcW w:w="1095" w:type="dxa"/>
          </w:tcPr>
          <w:p w14:paraId="0A245307" w14:textId="77777777" w:rsidR="002840B4" w:rsidRPr="00CB7F19" w:rsidRDefault="002840B4" w:rsidP="00D92F3F">
            <w:pPr>
              <w:jc w:val="center"/>
              <w:rPr>
                <w:rFonts w:ascii="Lato" w:hAnsi="Lato"/>
                <w:sz w:val="20"/>
              </w:rPr>
            </w:pPr>
            <w:r w:rsidRPr="00CB7F19">
              <w:rPr>
                <w:rFonts w:ascii="Lato" w:hAnsi="Lato"/>
                <w:sz w:val="20"/>
              </w:rPr>
              <w:t>2</w:t>
            </w:r>
            <w:r w:rsidR="00B16D26">
              <w:rPr>
                <w:rFonts w:ascii="Lato" w:hAnsi="Lato"/>
                <w:sz w:val="20"/>
              </w:rPr>
              <w:t>5.</w:t>
            </w:r>
            <w:r w:rsidR="000C08E2">
              <w:rPr>
                <w:rFonts w:ascii="Lato" w:hAnsi="Lato"/>
                <w:sz w:val="20"/>
              </w:rPr>
              <w:t>00</w:t>
            </w:r>
            <w:r w:rsidRPr="00CB7F19">
              <w:rPr>
                <w:rFonts w:ascii="Lato" w:hAnsi="Lato"/>
                <w:sz w:val="20"/>
              </w:rPr>
              <w:t>%</w:t>
            </w:r>
          </w:p>
        </w:tc>
        <w:tc>
          <w:tcPr>
            <w:tcW w:w="1096" w:type="dxa"/>
          </w:tcPr>
          <w:p w14:paraId="0A245308" w14:textId="77777777" w:rsidR="002840B4" w:rsidRPr="00CB7F19" w:rsidRDefault="002840B4" w:rsidP="002840B4">
            <w:pPr>
              <w:jc w:val="center"/>
              <w:rPr>
                <w:rFonts w:ascii="Lato" w:hAnsi="Lato"/>
                <w:sz w:val="20"/>
              </w:rPr>
            </w:pPr>
            <w:r w:rsidRPr="00CB7F19">
              <w:rPr>
                <w:rFonts w:ascii="Lato" w:hAnsi="Lato"/>
                <w:sz w:val="20"/>
              </w:rPr>
              <w:t>21.5</w:t>
            </w:r>
            <w:r w:rsidR="000C08E2">
              <w:rPr>
                <w:rFonts w:ascii="Lato" w:hAnsi="Lato"/>
                <w:sz w:val="20"/>
              </w:rPr>
              <w:t>0</w:t>
            </w:r>
            <w:r w:rsidRPr="00CB7F19">
              <w:rPr>
                <w:rFonts w:ascii="Lato" w:hAnsi="Lato"/>
                <w:sz w:val="20"/>
              </w:rPr>
              <w:t>%</w:t>
            </w:r>
          </w:p>
        </w:tc>
        <w:tc>
          <w:tcPr>
            <w:tcW w:w="1096" w:type="dxa"/>
          </w:tcPr>
          <w:p w14:paraId="0A245309" w14:textId="77777777" w:rsidR="002840B4" w:rsidRPr="00CB7F19" w:rsidRDefault="002840B4" w:rsidP="002840B4">
            <w:pPr>
              <w:jc w:val="center"/>
              <w:rPr>
                <w:rFonts w:ascii="Lato" w:hAnsi="Lato"/>
                <w:sz w:val="20"/>
              </w:rPr>
            </w:pPr>
            <w:r w:rsidRPr="00CB7F19">
              <w:rPr>
                <w:rFonts w:ascii="Lato" w:hAnsi="Lato"/>
                <w:sz w:val="20"/>
              </w:rPr>
              <w:t>22.6</w:t>
            </w:r>
            <w:r w:rsidR="000C08E2">
              <w:rPr>
                <w:rFonts w:ascii="Lato" w:hAnsi="Lato"/>
                <w:sz w:val="20"/>
              </w:rPr>
              <w:t>0</w:t>
            </w:r>
            <w:r w:rsidRPr="00CB7F19">
              <w:rPr>
                <w:rFonts w:ascii="Lato" w:hAnsi="Lato"/>
                <w:sz w:val="20"/>
              </w:rPr>
              <w:t>%</w:t>
            </w:r>
          </w:p>
        </w:tc>
        <w:tc>
          <w:tcPr>
            <w:tcW w:w="1095" w:type="dxa"/>
          </w:tcPr>
          <w:p w14:paraId="0A24530A" w14:textId="77777777" w:rsidR="002840B4" w:rsidRPr="00CB7F19" w:rsidRDefault="002840B4" w:rsidP="002840B4">
            <w:pPr>
              <w:jc w:val="center"/>
              <w:rPr>
                <w:rFonts w:ascii="Lato" w:hAnsi="Lato"/>
                <w:sz w:val="20"/>
              </w:rPr>
            </w:pPr>
            <w:r w:rsidRPr="00CB7F19">
              <w:rPr>
                <w:rFonts w:ascii="Lato" w:hAnsi="Lato"/>
                <w:sz w:val="20"/>
              </w:rPr>
              <w:t>23.7</w:t>
            </w:r>
            <w:r w:rsidR="000C08E2">
              <w:rPr>
                <w:rFonts w:ascii="Lato" w:hAnsi="Lato"/>
                <w:sz w:val="20"/>
              </w:rPr>
              <w:t>0</w:t>
            </w:r>
            <w:r w:rsidRPr="00CB7F19">
              <w:rPr>
                <w:rFonts w:ascii="Lato" w:hAnsi="Lato"/>
                <w:sz w:val="20"/>
              </w:rPr>
              <w:t>%</w:t>
            </w:r>
          </w:p>
        </w:tc>
        <w:tc>
          <w:tcPr>
            <w:tcW w:w="1096" w:type="dxa"/>
          </w:tcPr>
          <w:p w14:paraId="0A24530B" w14:textId="77777777" w:rsidR="002840B4" w:rsidRPr="00CB7F19" w:rsidRDefault="002840B4" w:rsidP="002840B4">
            <w:pPr>
              <w:jc w:val="center"/>
              <w:rPr>
                <w:rFonts w:ascii="Lato" w:hAnsi="Lato"/>
                <w:sz w:val="20"/>
              </w:rPr>
            </w:pPr>
            <w:r w:rsidRPr="00CB7F19">
              <w:rPr>
                <w:rFonts w:ascii="Lato" w:hAnsi="Lato"/>
                <w:sz w:val="20"/>
              </w:rPr>
              <w:t>24.8</w:t>
            </w:r>
            <w:r w:rsidR="000C08E2">
              <w:rPr>
                <w:rFonts w:ascii="Lato" w:hAnsi="Lato"/>
                <w:sz w:val="20"/>
              </w:rPr>
              <w:t>0</w:t>
            </w:r>
            <w:r w:rsidRPr="00CB7F19">
              <w:rPr>
                <w:rFonts w:ascii="Lato" w:hAnsi="Lato"/>
                <w:sz w:val="20"/>
              </w:rPr>
              <w:t>%</w:t>
            </w:r>
          </w:p>
        </w:tc>
        <w:tc>
          <w:tcPr>
            <w:tcW w:w="1096" w:type="dxa"/>
          </w:tcPr>
          <w:p w14:paraId="0A24530C" w14:textId="77777777" w:rsidR="002840B4" w:rsidRPr="00CB7F19" w:rsidRDefault="002840B4" w:rsidP="002840B4">
            <w:pPr>
              <w:jc w:val="center"/>
              <w:rPr>
                <w:rFonts w:ascii="Lato" w:hAnsi="Lato"/>
                <w:sz w:val="20"/>
              </w:rPr>
            </w:pPr>
            <w:r w:rsidRPr="00CB7F19">
              <w:rPr>
                <w:rFonts w:ascii="Lato" w:hAnsi="Lato"/>
                <w:sz w:val="20"/>
              </w:rPr>
              <w:t>25.9</w:t>
            </w:r>
            <w:r w:rsidR="000C08E2">
              <w:rPr>
                <w:rFonts w:ascii="Lato" w:hAnsi="Lato"/>
                <w:sz w:val="20"/>
              </w:rPr>
              <w:t>0</w:t>
            </w:r>
            <w:r w:rsidRPr="00CB7F19">
              <w:rPr>
                <w:rFonts w:ascii="Lato" w:hAnsi="Lato"/>
                <w:sz w:val="20"/>
              </w:rPr>
              <w:t>%</w:t>
            </w:r>
          </w:p>
        </w:tc>
      </w:tr>
      <w:tr w:rsidR="00484714" w:rsidRPr="00BD5E05" w14:paraId="0A245318" w14:textId="77777777" w:rsidTr="00B4457D">
        <w:trPr>
          <w:trHeight w:val="346"/>
        </w:trPr>
        <w:tc>
          <w:tcPr>
            <w:tcW w:w="2972" w:type="dxa"/>
            <w:vMerge w:val="restart"/>
          </w:tcPr>
          <w:p w14:paraId="0A24530E" w14:textId="77777777" w:rsidR="002840B4" w:rsidRPr="00CA48B7" w:rsidRDefault="002840B4" w:rsidP="002840B4">
            <w:pPr>
              <w:rPr>
                <w:rFonts w:ascii="Lato" w:hAnsi="Lato"/>
                <w:sz w:val="20"/>
              </w:rPr>
            </w:pPr>
            <w:r w:rsidRPr="00CA48B7">
              <w:rPr>
                <w:rFonts w:ascii="Lato" w:hAnsi="Lato"/>
                <w:sz w:val="20"/>
              </w:rPr>
              <w:t xml:space="preserve">Indigenous government school students achieving at or above national minimum standard in </w:t>
            </w:r>
            <w:r w:rsidR="00F74759" w:rsidRPr="00F74759">
              <w:rPr>
                <w:rFonts w:ascii="Lato" w:hAnsi="Lato"/>
                <w:sz w:val="20"/>
              </w:rPr>
              <w:t xml:space="preserve">National Assessment Program – Literacy and Numeracy </w:t>
            </w:r>
            <w:r w:rsidR="00F74759">
              <w:rPr>
                <w:rFonts w:ascii="Lato" w:hAnsi="Lato"/>
                <w:sz w:val="20"/>
              </w:rPr>
              <w:t>(</w:t>
            </w:r>
            <w:r w:rsidRPr="00CA48B7">
              <w:rPr>
                <w:rFonts w:ascii="Lato" w:hAnsi="Lato"/>
                <w:sz w:val="20"/>
              </w:rPr>
              <w:t>NAPLAN</w:t>
            </w:r>
            <w:r w:rsidR="00F74759">
              <w:rPr>
                <w:rFonts w:ascii="Lato" w:hAnsi="Lato"/>
                <w:sz w:val="20"/>
              </w:rPr>
              <w:t>)</w:t>
            </w:r>
            <w:r w:rsidRPr="00CA48B7">
              <w:rPr>
                <w:rFonts w:ascii="Lato" w:hAnsi="Lato"/>
                <w:sz w:val="20"/>
              </w:rPr>
              <w:t xml:space="preserve"> reading and numeracy</w:t>
            </w:r>
          </w:p>
        </w:tc>
        <w:tc>
          <w:tcPr>
            <w:tcW w:w="2835" w:type="dxa"/>
            <w:vMerge w:val="restart"/>
          </w:tcPr>
          <w:p w14:paraId="0A24530F" w14:textId="77777777" w:rsidR="002840B4" w:rsidRPr="00CA48B7" w:rsidRDefault="002840B4" w:rsidP="002840B4">
            <w:pPr>
              <w:rPr>
                <w:rFonts w:ascii="Lato" w:hAnsi="Lato"/>
                <w:sz w:val="20"/>
              </w:rPr>
            </w:pPr>
            <w:r w:rsidRPr="00CA48B7">
              <w:rPr>
                <w:rFonts w:ascii="Lato" w:hAnsi="Lato"/>
                <w:sz w:val="20"/>
              </w:rPr>
              <w:t>Increase in the proportion of remote and very remote Indigenous students achieving at or above national minimum standard in NAPLAN reading and numeracy</w:t>
            </w:r>
          </w:p>
        </w:tc>
        <w:tc>
          <w:tcPr>
            <w:tcW w:w="1384" w:type="dxa"/>
            <w:vMerge w:val="restart"/>
          </w:tcPr>
          <w:p w14:paraId="0A245310" w14:textId="77777777" w:rsidR="002840B4" w:rsidRPr="00CA48B7" w:rsidRDefault="002840B4" w:rsidP="002840B4">
            <w:pPr>
              <w:rPr>
                <w:rFonts w:ascii="Lato" w:hAnsi="Lato"/>
                <w:sz w:val="20"/>
              </w:rPr>
            </w:pPr>
            <w:r w:rsidRPr="00CA48B7">
              <w:rPr>
                <w:rFonts w:ascii="Lato" w:hAnsi="Lato"/>
                <w:sz w:val="20"/>
              </w:rPr>
              <w:t>Literacy</w:t>
            </w:r>
          </w:p>
        </w:tc>
        <w:tc>
          <w:tcPr>
            <w:tcW w:w="1114" w:type="dxa"/>
          </w:tcPr>
          <w:p w14:paraId="0A245311" w14:textId="77777777" w:rsidR="002840B4" w:rsidRPr="00CA48B7" w:rsidRDefault="002840B4" w:rsidP="002840B4">
            <w:pPr>
              <w:rPr>
                <w:rFonts w:ascii="Lato" w:hAnsi="Lato"/>
                <w:sz w:val="20"/>
              </w:rPr>
            </w:pPr>
            <w:r w:rsidRPr="00CA48B7">
              <w:rPr>
                <w:rFonts w:ascii="Lato" w:hAnsi="Lato"/>
                <w:sz w:val="20"/>
              </w:rPr>
              <w:t>Year 3</w:t>
            </w:r>
          </w:p>
        </w:tc>
        <w:tc>
          <w:tcPr>
            <w:tcW w:w="1095" w:type="dxa"/>
          </w:tcPr>
          <w:p w14:paraId="0A245312" w14:textId="77777777" w:rsidR="002840B4" w:rsidRPr="00CA48B7" w:rsidRDefault="002840B4" w:rsidP="002840B4">
            <w:pPr>
              <w:jc w:val="center"/>
              <w:rPr>
                <w:rFonts w:ascii="Lato" w:hAnsi="Lato"/>
                <w:sz w:val="20"/>
              </w:rPr>
            </w:pPr>
            <w:r w:rsidRPr="00CA48B7">
              <w:rPr>
                <w:rFonts w:ascii="Lato" w:hAnsi="Lato"/>
                <w:sz w:val="20"/>
              </w:rPr>
              <w:t>7</w:t>
            </w:r>
            <w:r w:rsidR="000C08E2">
              <w:rPr>
                <w:rFonts w:ascii="Lato" w:hAnsi="Lato"/>
                <w:sz w:val="20"/>
              </w:rPr>
              <w:t>.00</w:t>
            </w:r>
            <w:r w:rsidRPr="00CA48B7">
              <w:rPr>
                <w:rFonts w:ascii="Lato" w:hAnsi="Lato"/>
                <w:sz w:val="20"/>
              </w:rPr>
              <w:t>%</w:t>
            </w:r>
          </w:p>
        </w:tc>
        <w:tc>
          <w:tcPr>
            <w:tcW w:w="1096" w:type="dxa"/>
          </w:tcPr>
          <w:p w14:paraId="0A245313" w14:textId="77777777" w:rsidR="002840B4" w:rsidRPr="00CA48B7" w:rsidRDefault="002840B4" w:rsidP="002840B4">
            <w:pPr>
              <w:jc w:val="center"/>
              <w:rPr>
                <w:rFonts w:ascii="Lato" w:hAnsi="Lato"/>
                <w:sz w:val="20"/>
              </w:rPr>
            </w:pPr>
            <w:r>
              <w:rPr>
                <w:rFonts w:ascii="Lato" w:hAnsi="Lato"/>
                <w:sz w:val="20"/>
              </w:rPr>
              <w:t>38</w:t>
            </w:r>
            <w:r w:rsidR="000C08E2">
              <w:rPr>
                <w:rFonts w:ascii="Lato" w:hAnsi="Lato"/>
                <w:sz w:val="20"/>
              </w:rPr>
              <w:t>.00</w:t>
            </w:r>
            <w:r w:rsidRPr="00CA48B7">
              <w:rPr>
                <w:rFonts w:ascii="Lato" w:hAnsi="Lato"/>
                <w:sz w:val="20"/>
              </w:rPr>
              <w:t>%</w:t>
            </w:r>
          </w:p>
        </w:tc>
        <w:tc>
          <w:tcPr>
            <w:tcW w:w="1096" w:type="dxa"/>
          </w:tcPr>
          <w:p w14:paraId="0A245314" w14:textId="77777777" w:rsidR="002840B4" w:rsidRPr="00CA48B7" w:rsidRDefault="002840B4" w:rsidP="002840B4">
            <w:pPr>
              <w:jc w:val="center"/>
              <w:rPr>
                <w:rFonts w:ascii="Lato" w:hAnsi="Lato"/>
                <w:sz w:val="20"/>
              </w:rPr>
            </w:pPr>
            <w:r>
              <w:rPr>
                <w:rFonts w:ascii="Lato" w:hAnsi="Lato"/>
                <w:sz w:val="20"/>
              </w:rPr>
              <w:t>38.95</w:t>
            </w:r>
            <w:r w:rsidRPr="00CA48B7">
              <w:rPr>
                <w:rFonts w:ascii="Lato" w:hAnsi="Lato"/>
                <w:sz w:val="20"/>
              </w:rPr>
              <w:t>%</w:t>
            </w:r>
          </w:p>
        </w:tc>
        <w:tc>
          <w:tcPr>
            <w:tcW w:w="1095" w:type="dxa"/>
          </w:tcPr>
          <w:p w14:paraId="0A245315" w14:textId="77777777" w:rsidR="002840B4" w:rsidRPr="00CA48B7" w:rsidRDefault="002840B4" w:rsidP="002840B4">
            <w:pPr>
              <w:jc w:val="center"/>
              <w:rPr>
                <w:rFonts w:ascii="Lato" w:hAnsi="Lato"/>
                <w:sz w:val="20"/>
              </w:rPr>
            </w:pPr>
            <w:r>
              <w:rPr>
                <w:rFonts w:ascii="Lato" w:hAnsi="Lato"/>
                <w:sz w:val="20"/>
              </w:rPr>
              <w:t>39.92</w:t>
            </w:r>
            <w:r w:rsidRPr="00CA48B7">
              <w:rPr>
                <w:rFonts w:ascii="Lato" w:hAnsi="Lato"/>
                <w:sz w:val="20"/>
              </w:rPr>
              <w:t>%</w:t>
            </w:r>
          </w:p>
        </w:tc>
        <w:tc>
          <w:tcPr>
            <w:tcW w:w="1096" w:type="dxa"/>
          </w:tcPr>
          <w:p w14:paraId="0A245316" w14:textId="77777777" w:rsidR="002840B4" w:rsidRPr="00CA48B7" w:rsidRDefault="002840B4" w:rsidP="002840B4">
            <w:pPr>
              <w:jc w:val="center"/>
              <w:rPr>
                <w:rFonts w:ascii="Lato" w:hAnsi="Lato"/>
                <w:sz w:val="20"/>
              </w:rPr>
            </w:pPr>
            <w:r>
              <w:rPr>
                <w:rFonts w:ascii="Lato" w:hAnsi="Lato"/>
                <w:sz w:val="20"/>
              </w:rPr>
              <w:t>40.92</w:t>
            </w:r>
            <w:r w:rsidRPr="00CA48B7">
              <w:rPr>
                <w:rFonts w:ascii="Lato" w:hAnsi="Lato"/>
                <w:sz w:val="20"/>
              </w:rPr>
              <w:t>%</w:t>
            </w:r>
          </w:p>
        </w:tc>
        <w:tc>
          <w:tcPr>
            <w:tcW w:w="1096" w:type="dxa"/>
          </w:tcPr>
          <w:p w14:paraId="0A245317" w14:textId="77777777" w:rsidR="002840B4" w:rsidRPr="00CA48B7" w:rsidRDefault="002840B4" w:rsidP="002840B4">
            <w:pPr>
              <w:jc w:val="center"/>
              <w:rPr>
                <w:rFonts w:ascii="Lato" w:hAnsi="Lato"/>
                <w:sz w:val="20"/>
              </w:rPr>
            </w:pPr>
            <w:r>
              <w:rPr>
                <w:rFonts w:ascii="Lato" w:hAnsi="Lato"/>
                <w:sz w:val="20"/>
              </w:rPr>
              <w:t>41.94</w:t>
            </w:r>
            <w:r w:rsidRPr="00CA48B7">
              <w:rPr>
                <w:rFonts w:ascii="Lato" w:hAnsi="Lato"/>
                <w:sz w:val="20"/>
              </w:rPr>
              <w:t>%</w:t>
            </w:r>
          </w:p>
        </w:tc>
      </w:tr>
      <w:tr w:rsidR="00484714" w:rsidRPr="00BD5E05" w14:paraId="0A245323" w14:textId="77777777" w:rsidTr="00B4457D">
        <w:trPr>
          <w:trHeight w:val="346"/>
        </w:trPr>
        <w:tc>
          <w:tcPr>
            <w:tcW w:w="2972" w:type="dxa"/>
            <w:vMerge/>
          </w:tcPr>
          <w:p w14:paraId="0A245319" w14:textId="77777777" w:rsidR="002840B4" w:rsidRPr="00CA48B7" w:rsidRDefault="002840B4" w:rsidP="002840B4">
            <w:pPr>
              <w:rPr>
                <w:rFonts w:ascii="Lato" w:hAnsi="Lato"/>
                <w:sz w:val="20"/>
              </w:rPr>
            </w:pPr>
          </w:p>
        </w:tc>
        <w:tc>
          <w:tcPr>
            <w:tcW w:w="2835" w:type="dxa"/>
            <w:vMerge/>
          </w:tcPr>
          <w:p w14:paraId="0A24531A" w14:textId="77777777" w:rsidR="002840B4" w:rsidRPr="00CA48B7" w:rsidRDefault="002840B4" w:rsidP="002840B4">
            <w:pPr>
              <w:rPr>
                <w:rFonts w:ascii="Lato" w:hAnsi="Lato"/>
                <w:sz w:val="20"/>
              </w:rPr>
            </w:pPr>
          </w:p>
        </w:tc>
        <w:tc>
          <w:tcPr>
            <w:tcW w:w="1384" w:type="dxa"/>
            <w:vMerge/>
          </w:tcPr>
          <w:p w14:paraId="0A24531B" w14:textId="77777777" w:rsidR="002840B4" w:rsidRPr="00CA48B7" w:rsidRDefault="002840B4" w:rsidP="002840B4">
            <w:pPr>
              <w:rPr>
                <w:rFonts w:ascii="Lato" w:hAnsi="Lato"/>
                <w:sz w:val="20"/>
              </w:rPr>
            </w:pPr>
          </w:p>
        </w:tc>
        <w:tc>
          <w:tcPr>
            <w:tcW w:w="1114" w:type="dxa"/>
          </w:tcPr>
          <w:p w14:paraId="0A24531C" w14:textId="77777777" w:rsidR="002840B4" w:rsidRPr="00CA48B7" w:rsidRDefault="002840B4" w:rsidP="002840B4">
            <w:pPr>
              <w:rPr>
                <w:rFonts w:ascii="Lato" w:hAnsi="Lato"/>
                <w:sz w:val="20"/>
              </w:rPr>
            </w:pPr>
            <w:r w:rsidRPr="00CA48B7">
              <w:rPr>
                <w:rFonts w:ascii="Lato" w:hAnsi="Lato"/>
                <w:sz w:val="20"/>
              </w:rPr>
              <w:t>Year 5</w:t>
            </w:r>
          </w:p>
        </w:tc>
        <w:tc>
          <w:tcPr>
            <w:tcW w:w="1095" w:type="dxa"/>
          </w:tcPr>
          <w:p w14:paraId="0A24531D" w14:textId="77777777" w:rsidR="002840B4" w:rsidRPr="00CA48B7" w:rsidRDefault="002840B4" w:rsidP="002840B4">
            <w:pPr>
              <w:jc w:val="center"/>
              <w:rPr>
                <w:rFonts w:ascii="Lato" w:hAnsi="Lato"/>
                <w:sz w:val="20"/>
              </w:rPr>
            </w:pPr>
            <w:r w:rsidRPr="00CA48B7">
              <w:rPr>
                <w:rFonts w:ascii="Lato" w:hAnsi="Lato"/>
                <w:sz w:val="20"/>
              </w:rPr>
              <w:t>7</w:t>
            </w:r>
            <w:r w:rsidR="000C08E2">
              <w:rPr>
                <w:rFonts w:ascii="Lato" w:hAnsi="Lato"/>
                <w:sz w:val="20"/>
              </w:rPr>
              <w:t>.00</w:t>
            </w:r>
            <w:r w:rsidRPr="00CA48B7">
              <w:rPr>
                <w:rFonts w:ascii="Lato" w:hAnsi="Lato"/>
                <w:sz w:val="20"/>
              </w:rPr>
              <w:t>%</w:t>
            </w:r>
          </w:p>
        </w:tc>
        <w:tc>
          <w:tcPr>
            <w:tcW w:w="1096" w:type="dxa"/>
          </w:tcPr>
          <w:p w14:paraId="0A24531E" w14:textId="77777777" w:rsidR="002840B4" w:rsidRPr="00CA48B7" w:rsidRDefault="002840B4" w:rsidP="002840B4">
            <w:pPr>
              <w:jc w:val="center"/>
              <w:rPr>
                <w:rFonts w:ascii="Lato" w:hAnsi="Lato"/>
                <w:sz w:val="20"/>
              </w:rPr>
            </w:pPr>
            <w:r>
              <w:rPr>
                <w:rFonts w:ascii="Lato" w:hAnsi="Lato"/>
                <w:sz w:val="20"/>
              </w:rPr>
              <w:t>29</w:t>
            </w:r>
            <w:r w:rsidR="000C08E2">
              <w:rPr>
                <w:rFonts w:ascii="Lato" w:hAnsi="Lato"/>
                <w:sz w:val="20"/>
              </w:rPr>
              <w:t>.00</w:t>
            </w:r>
            <w:r w:rsidRPr="00CA48B7">
              <w:rPr>
                <w:rFonts w:ascii="Lato" w:hAnsi="Lato"/>
                <w:sz w:val="20"/>
              </w:rPr>
              <w:t>%</w:t>
            </w:r>
          </w:p>
        </w:tc>
        <w:tc>
          <w:tcPr>
            <w:tcW w:w="1096" w:type="dxa"/>
          </w:tcPr>
          <w:p w14:paraId="0A24531F" w14:textId="77777777" w:rsidR="002840B4" w:rsidRPr="00CA48B7" w:rsidRDefault="002840B4" w:rsidP="002840B4">
            <w:pPr>
              <w:jc w:val="center"/>
              <w:rPr>
                <w:rFonts w:ascii="Lato" w:hAnsi="Lato"/>
                <w:sz w:val="20"/>
              </w:rPr>
            </w:pPr>
            <w:r>
              <w:rPr>
                <w:rFonts w:ascii="Lato" w:hAnsi="Lato"/>
                <w:sz w:val="20"/>
              </w:rPr>
              <w:t>29.72</w:t>
            </w:r>
            <w:r w:rsidRPr="00CA48B7">
              <w:rPr>
                <w:rFonts w:ascii="Lato" w:hAnsi="Lato"/>
                <w:sz w:val="20"/>
              </w:rPr>
              <w:t>%</w:t>
            </w:r>
          </w:p>
        </w:tc>
        <w:tc>
          <w:tcPr>
            <w:tcW w:w="1095" w:type="dxa"/>
          </w:tcPr>
          <w:p w14:paraId="0A245320" w14:textId="77777777" w:rsidR="002840B4" w:rsidRPr="00CA48B7" w:rsidRDefault="002840B4" w:rsidP="002840B4">
            <w:pPr>
              <w:jc w:val="center"/>
              <w:rPr>
                <w:rFonts w:ascii="Lato" w:hAnsi="Lato"/>
                <w:sz w:val="20"/>
              </w:rPr>
            </w:pPr>
            <w:r>
              <w:rPr>
                <w:rFonts w:ascii="Lato" w:hAnsi="Lato"/>
                <w:sz w:val="20"/>
              </w:rPr>
              <w:t>30.46</w:t>
            </w:r>
            <w:r w:rsidRPr="00CA48B7">
              <w:rPr>
                <w:rFonts w:ascii="Lato" w:hAnsi="Lato"/>
                <w:sz w:val="20"/>
              </w:rPr>
              <w:t>%</w:t>
            </w:r>
          </w:p>
        </w:tc>
        <w:tc>
          <w:tcPr>
            <w:tcW w:w="1096" w:type="dxa"/>
          </w:tcPr>
          <w:p w14:paraId="0A245321" w14:textId="77777777" w:rsidR="002840B4" w:rsidRPr="00CA48B7" w:rsidRDefault="002840B4" w:rsidP="002840B4">
            <w:pPr>
              <w:jc w:val="center"/>
              <w:rPr>
                <w:rFonts w:ascii="Lato" w:hAnsi="Lato"/>
                <w:sz w:val="20"/>
              </w:rPr>
            </w:pPr>
            <w:r>
              <w:rPr>
                <w:rFonts w:ascii="Lato" w:hAnsi="Lato"/>
                <w:sz w:val="20"/>
              </w:rPr>
              <w:t>31.23</w:t>
            </w:r>
            <w:r w:rsidRPr="00CA48B7">
              <w:rPr>
                <w:rFonts w:ascii="Lato" w:hAnsi="Lato"/>
                <w:sz w:val="20"/>
              </w:rPr>
              <w:t>%</w:t>
            </w:r>
          </w:p>
        </w:tc>
        <w:tc>
          <w:tcPr>
            <w:tcW w:w="1096" w:type="dxa"/>
          </w:tcPr>
          <w:p w14:paraId="0A245322" w14:textId="77777777" w:rsidR="002840B4" w:rsidRPr="00CA48B7" w:rsidRDefault="002840B4" w:rsidP="002840B4">
            <w:pPr>
              <w:jc w:val="center"/>
              <w:rPr>
                <w:rFonts w:ascii="Lato" w:hAnsi="Lato"/>
                <w:sz w:val="20"/>
              </w:rPr>
            </w:pPr>
            <w:r>
              <w:rPr>
                <w:rFonts w:ascii="Lato" w:hAnsi="Lato"/>
                <w:sz w:val="20"/>
              </w:rPr>
              <w:t>32.01</w:t>
            </w:r>
            <w:r w:rsidRPr="00CA48B7">
              <w:rPr>
                <w:rFonts w:ascii="Lato" w:hAnsi="Lato"/>
                <w:sz w:val="20"/>
              </w:rPr>
              <w:t>%</w:t>
            </w:r>
          </w:p>
        </w:tc>
      </w:tr>
      <w:tr w:rsidR="00484714" w:rsidRPr="00BD5E05" w14:paraId="0A24532E" w14:textId="77777777" w:rsidTr="00B4457D">
        <w:trPr>
          <w:trHeight w:val="346"/>
        </w:trPr>
        <w:tc>
          <w:tcPr>
            <w:tcW w:w="2972" w:type="dxa"/>
            <w:vMerge/>
          </w:tcPr>
          <w:p w14:paraId="0A245324" w14:textId="77777777" w:rsidR="002840B4" w:rsidRPr="00CA48B7" w:rsidRDefault="002840B4" w:rsidP="002840B4">
            <w:pPr>
              <w:rPr>
                <w:rFonts w:ascii="Lato" w:hAnsi="Lato"/>
                <w:sz w:val="20"/>
              </w:rPr>
            </w:pPr>
          </w:p>
        </w:tc>
        <w:tc>
          <w:tcPr>
            <w:tcW w:w="2835" w:type="dxa"/>
            <w:vMerge/>
          </w:tcPr>
          <w:p w14:paraId="0A245325" w14:textId="77777777" w:rsidR="002840B4" w:rsidRPr="00CA48B7" w:rsidRDefault="002840B4" w:rsidP="002840B4">
            <w:pPr>
              <w:rPr>
                <w:rFonts w:ascii="Lato" w:hAnsi="Lato"/>
                <w:sz w:val="20"/>
              </w:rPr>
            </w:pPr>
          </w:p>
        </w:tc>
        <w:tc>
          <w:tcPr>
            <w:tcW w:w="1384" w:type="dxa"/>
            <w:vMerge/>
          </w:tcPr>
          <w:p w14:paraId="0A245326" w14:textId="77777777" w:rsidR="002840B4" w:rsidRPr="00CA48B7" w:rsidRDefault="002840B4" w:rsidP="002840B4">
            <w:pPr>
              <w:rPr>
                <w:rFonts w:ascii="Lato" w:hAnsi="Lato"/>
                <w:sz w:val="20"/>
              </w:rPr>
            </w:pPr>
          </w:p>
        </w:tc>
        <w:tc>
          <w:tcPr>
            <w:tcW w:w="1114" w:type="dxa"/>
          </w:tcPr>
          <w:p w14:paraId="0A245327" w14:textId="77777777" w:rsidR="002840B4" w:rsidRPr="00CA48B7" w:rsidRDefault="002840B4" w:rsidP="002840B4">
            <w:pPr>
              <w:rPr>
                <w:rFonts w:ascii="Lato" w:hAnsi="Lato"/>
                <w:sz w:val="20"/>
              </w:rPr>
            </w:pPr>
            <w:r w:rsidRPr="00CA48B7">
              <w:rPr>
                <w:rFonts w:ascii="Lato" w:hAnsi="Lato"/>
                <w:sz w:val="20"/>
              </w:rPr>
              <w:t>Year 7</w:t>
            </w:r>
          </w:p>
        </w:tc>
        <w:tc>
          <w:tcPr>
            <w:tcW w:w="1095" w:type="dxa"/>
          </w:tcPr>
          <w:p w14:paraId="0A245328" w14:textId="77777777" w:rsidR="002840B4" w:rsidRPr="00CA48B7" w:rsidRDefault="002840B4" w:rsidP="002840B4">
            <w:pPr>
              <w:jc w:val="center"/>
              <w:rPr>
                <w:rFonts w:ascii="Lato" w:hAnsi="Lato"/>
                <w:sz w:val="20"/>
              </w:rPr>
            </w:pPr>
            <w:r w:rsidRPr="00CA48B7">
              <w:rPr>
                <w:rFonts w:ascii="Lato" w:hAnsi="Lato"/>
                <w:sz w:val="20"/>
              </w:rPr>
              <w:t>6</w:t>
            </w:r>
            <w:r w:rsidR="000C08E2">
              <w:rPr>
                <w:rFonts w:ascii="Lato" w:hAnsi="Lato"/>
                <w:sz w:val="20"/>
              </w:rPr>
              <w:t>.00</w:t>
            </w:r>
            <w:r w:rsidRPr="00CA48B7">
              <w:rPr>
                <w:rFonts w:ascii="Lato" w:hAnsi="Lato"/>
                <w:sz w:val="20"/>
              </w:rPr>
              <w:t>%</w:t>
            </w:r>
          </w:p>
        </w:tc>
        <w:tc>
          <w:tcPr>
            <w:tcW w:w="1096" w:type="dxa"/>
          </w:tcPr>
          <w:p w14:paraId="0A245329" w14:textId="77777777" w:rsidR="002840B4" w:rsidRPr="00CA48B7" w:rsidRDefault="002840B4" w:rsidP="002840B4">
            <w:pPr>
              <w:jc w:val="center"/>
              <w:rPr>
                <w:rFonts w:ascii="Lato" w:hAnsi="Lato"/>
                <w:sz w:val="20"/>
              </w:rPr>
            </w:pPr>
            <w:r>
              <w:rPr>
                <w:rFonts w:ascii="Lato" w:hAnsi="Lato"/>
                <w:sz w:val="20"/>
              </w:rPr>
              <w:t>20</w:t>
            </w:r>
            <w:r w:rsidR="000C08E2">
              <w:rPr>
                <w:rFonts w:ascii="Lato" w:hAnsi="Lato"/>
                <w:sz w:val="20"/>
              </w:rPr>
              <w:t>.00</w:t>
            </w:r>
            <w:r w:rsidRPr="00CA48B7">
              <w:rPr>
                <w:rFonts w:ascii="Lato" w:hAnsi="Lato"/>
                <w:sz w:val="20"/>
              </w:rPr>
              <w:t>%</w:t>
            </w:r>
          </w:p>
        </w:tc>
        <w:tc>
          <w:tcPr>
            <w:tcW w:w="1096" w:type="dxa"/>
          </w:tcPr>
          <w:p w14:paraId="0A24532A" w14:textId="77777777" w:rsidR="002840B4" w:rsidRPr="00CA48B7" w:rsidRDefault="002840B4" w:rsidP="002840B4">
            <w:pPr>
              <w:jc w:val="center"/>
              <w:rPr>
                <w:rFonts w:ascii="Lato" w:hAnsi="Lato"/>
                <w:sz w:val="20"/>
              </w:rPr>
            </w:pPr>
            <w:r>
              <w:rPr>
                <w:rFonts w:ascii="Lato" w:hAnsi="Lato"/>
                <w:sz w:val="20"/>
              </w:rPr>
              <w:t>20.5</w:t>
            </w:r>
            <w:r w:rsidRPr="00CA48B7">
              <w:rPr>
                <w:rFonts w:ascii="Lato" w:hAnsi="Lato"/>
                <w:sz w:val="20"/>
              </w:rPr>
              <w:t>%</w:t>
            </w:r>
          </w:p>
        </w:tc>
        <w:tc>
          <w:tcPr>
            <w:tcW w:w="1095" w:type="dxa"/>
          </w:tcPr>
          <w:p w14:paraId="0A24532B" w14:textId="77777777" w:rsidR="002840B4" w:rsidRPr="00CA48B7" w:rsidRDefault="002840B4" w:rsidP="002840B4">
            <w:pPr>
              <w:jc w:val="center"/>
              <w:rPr>
                <w:rFonts w:ascii="Lato" w:hAnsi="Lato"/>
                <w:sz w:val="20"/>
              </w:rPr>
            </w:pPr>
            <w:r>
              <w:rPr>
                <w:rFonts w:ascii="Lato" w:hAnsi="Lato"/>
                <w:sz w:val="20"/>
              </w:rPr>
              <w:t>21.01</w:t>
            </w:r>
            <w:r w:rsidRPr="00CA48B7">
              <w:rPr>
                <w:rFonts w:ascii="Lato" w:hAnsi="Lato"/>
                <w:sz w:val="20"/>
              </w:rPr>
              <w:t>%</w:t>
            </w:r>
          </w:p>
        </w:tc>
        <w:tc>
          <w:tcPr>
            <w:tcW w:w="1096" w:type="dxa"/>
          </w:tcPr>
          <w:p w14:paraId="0A24532C" w14:textId="77777777" w:rsidR="002840B4" w:rsidRPr="00CA48B7" w:rsidRDefault="002840B4" w:rsidP="002840B4">
            <w:pPr>
              <w:jc w:val="center"/>
              <w:rPr>
                <w:rFonts w:ascii="Lato" w:hAnsi="Lato"/>
                <w:sz w:val="20"/>
              </w:rPr>
            </w:pPr>
            <w:r>
              <w:rPr>
                <w:rFonts w:ascii="Lato" w:hAnsi="Lato"/>
                <w:sz w:val="20"/>
              </w:rPr>
              <w:t>21.53</w:t>
            </w:r>
            <w:r w:rsidRPr="00CA48B7">
              <w:rPr>
                <w:rFonts w:ascii="Lato" w:hAnsi="Lato"/>
                <w:sz w:val="20"/>
              </w:rPr>
              <w:t>%</w:t>
            </w:r>
          </w:p>
        </w:tc>
        <w:tc>
          <w:tcPr>
            <w:tcW w:w="1096" w:type="dxa"/>
          </w:tcPr>
          <w:p w14:paraId="0A24532D" w14:textId="77777777" w:rsidR="002840B4" w:rsidRPr="00CA48B7" w:rsidRDefault="002840B4" w:rsidP="002840B4">
            <w:pPr>
              <w:jc w:val="center"/>
              <w:rPr>
                <w:rFonts w:ascii="Lato" w:hAnsi="Lato"/>
                <w:sz w:val="20"/>
              </w:rPr>
            </w:pPr>
            <w:r>
              <w:rPr>
                <w:rFonts w:ascii="Lato" w:hAnsi="Lato"/>
                <w:sz w:val="20"/>
              </w:rPr>
              <w:t>22.07</w:t>
            </w:r>
            <w:r w:rsidRPr="00CA48B7">
              <w:rPr>
                <w:rFonts w:ascii="Lato" w:hAnsi="Lato"/>
                <w:sz w:val="20"/>
              </w:rPr>
              <w:t>%</w:t>
            </w:r>
          </w:p>
        </w:tc>
      </w:tr>
      <w:tr w:rsidR="00484714" w:rsidRPr="00BD5E05" w14:paraId="0A245339" w14:textId="77777777" w:rsidTr="00B4457D">
        <w:trPr>
          <w:trHeight w:val="346"/>
        </w:trPr>
        <w:tc>
          <w:tcPr>
            <w:tcW w:w="2972" w:type="dxa"/>
            <w:vMerge/>
          </w:tcPr>
          <w:p w14:paraId="0A24532F" w14:textId="77777777" w:rsidR="002840B4" w:rsidRPr="00CA48B7" w:rsidRDefault="002840B4" w:rsidP="002840B4">
            <w:pPr>
              <w:rPr>
                <w:rFonts w:ascii="Lato" w:hAnsi="Lato"/>
                <w:sz w:val="20"/>
              </w:rPr>
            </w:pPr>
          </w:p>
        </w:tc>
        <w:tc>
          <w:tcPr>
            <w:tcW w:w="2835" w:type="dxa"/>
            <w:vMerge/>
          </w:tcPr>
          <w:p w14:paraId="0A245330" w14:textId="77777777" w:rsidR="002840B4" w:rsidRPr="00CA48B7" w:rsidRDefault="002840B4" w:rsidP="002840B4">
            <w:pPr>
              <w:rPr>
                <w:rFonts w:ascii="Lato" w:hAnsi="Lato"/>
                <w:sz w:val="20"/>
              </w:rPr>
            </w:pPr>
          </w:p>
        </w:tc>
        <w:tc>
          <w:tcPr>
            <w:tcW w:w="1384" w:type="dxa"/>
            <w:vMerge/>
          </w:tcPr>
          <w:p w14:paraId="0A245331" w14:textId="77777777" w:rsidR="002840B4" w:rsidRPr="00CA48B7" w:rsidRDefault="002840B4" w:rsidP="002840B4">
            <w:pPr>
              <w:rPr>
                <w:rFonts w:ascii="Lato" w:hAnsi="Lato"/>
                <w:sz w:val="20"/>
              </w:rPr>
            </w:pPr>
          </w:p>
        </w:tc>
        <w:tc>
          <w:tcPr>
            <w:tcW w:w="1114" w:type="dxa"/>
          </w:tcPr>
          <w:p w14:paraId="0A245332" w14:textId="77777777" w:rsidR="002840B4" w:rsidRPr="00CA48B7" w:rsidRDefault="002840B4" w:rsidP="002840B4">
            <w:pPr>
              <w:rPr>
                <w:rFonts w:ascii="Lato" w:hAnsi="Lato"/>
                <w:sz w:val="20"/>
              </w:rPr>
            </w:pPr>
            <w:r w:rsidRPr="00CA48B7">
              <w:rPr>
                <w:rFonts w:ascii="Lato" w:hAnsi="Lato"/>
                <w:sz w:val="20"/>
              </w:rPr>
              <w:t>Year 9</w:t>
            </w:r>
          </w:p>
        </w:tc>
        <w:tc>
          <w:tcPr>
            <w:tcW w:w="1095" w:type="dxa"/>
          </w:tcPr>
          <w:p w14:paraId="0A245333" w14:textId="77777777" w:rsidR="002840B4" w:rsidRPr="00CA48B7" w:rsidRDefault="002840B4" w:rsidP="002840B4">
            <w:pPr>
              <w:jc w:val="center"/>
              <w:rPr>
                <w:rFonts w:ascii="Lato" w:hAnsi="Lato"/>
                <w:sz w:val="20"/>
              </w:rPr>
            </w:pPr>
            <w:r w:rsidRPr="00CA48B7">
              <w:rPr>
                <w:rFonts w:ascii="Lato" w:hAnsi="Lato"/>
                <w:sz w:val="20"/>
              </w:rPr>
              <w:t>5</w:t>
            </w:r>
            <w:r w:rsidR="000C08E2">
              <w:rPr>
                <w:rFonts w:ascii="Lato" w:hAnsi="Lato"/>
                <w:sz w:val="20"/>
              </w:rPr>
              <w:t>.00</w:t>
            </w:r>
            <w:r w:rsidRPr="00CA48B7">
              <w:rPr>
                <w:rFonts w:ascii="Lato" w:hAnsi="Lato"/>
                <w:sz w:val="20"/>
              </w:rPr>
              <w:t>%</w:t>
            </w:r>
          </w:p>
        </w:tc>
        <w:tc>
          <w:tcPr>
            <w:tcW w:w="1096" w:type="dxa"/>
          </w:tcPr>
          <w:p w14:paraId="0A245334" w14:textId="77777777" w:rsidR="002840B4" w:rsidRPr="00CA48B7" w:rsidRDefault="002840B4" w:rsidP="002840B4">
            <w:pPr>
              <w:jc w:val="center"/>
              <w:rPr>
                <w:rFonts w:ascii="Lato" w:hAnsi="Lato"/>
                <w:sz w:val="20"/>
              </w:rPr>
            </w:pPr>
            <w:r>
              <w:rPr>
                <w:rFonts w:ascii="Lato" w:hAnsi="Lato"/>
                <w:sz w:val="20"/>
              </w:rPr>
              <w:t>23</w:t>
            </w:r>
            <w:r w:rsidR="000C08E2">
              <w:rPr>
                <w:rFonts w:ascii="Lato" w:hAnsi="Lato"/>
                <w:sz w:val="20"/>
              </w:rPr>
              <w:t>.00</w:t>
            </w:r>
            <w:r w:rsidRPr="00CA48B7">
              <w:rPr>
                <w:rFonts w:ascii="Lato" w:hAnsi="Lato"/>
                <w:sz w:val="20"/>
              </w:rPr>
              <w:t>%</w:t>
            </w:r>
          </w:p>
        </w:tc>
        <w:tc>
          <w:tcPr>
            <w:tcW w:w="1096" w:type="dxa"/>
          </w:tcPr>
          <w:p w14:paraId="0A245335" w14:textId="77777777" w:rsidR="002840B4" w:rsidRPr="00CA48B7" w:rsidRDefault="002840B4" w:rsidP="002840B4">
            <w:pPr>
              <w:jc w:val="center"/>
              <w:rPr>
                <w:rFonts w:ascii="Lato" w:hAnsi="Lato"/>
                <w:sz w:val="20"/>
              </w:rPr>
            </w:pPr>
            <w:r>
              <w:rPr>
                <w:rFonts w:ascii="Lato" w:hAnsi="Lato"/>
                <w:sz w:val="20"/>
              </w:rPr>
              <w:t>23.57</w:t>
            </w:r>
            <w:r w:rsidRPr="00CA48B7">
              <w:rPr>
                <w:rFonts w:ascii="Lato" w:hAnsi="Lato"/>
                <w:sz w:val="20"/>
              </w:rPr>
              <w:t>%</w:t>
            </w:r>
          </w:p>
        </w:tc>
        <w:tc>
          <w:tcPr>
            <w:tcW w:w="1095" w:type="dxa"/>
          </w:tcPr>
          <w:p w14:paraId="0A245336" w14:textId="77777777" w:rsidR="002840B4" w:rsidRPr="00CA48B7" w:rsidRDefault="002840B4" w:rsidP="002840B4">
            <w:pPr>
              <w:jc w:val="center"/>
              <w:rPr>
                <w:rFonts w:ascii="Lato" w:hAnsi="Lato"/>
                <w:sz w:val="20"/>
              </w:rPr>
            </w:pPr>
            <w:r>
              <w:rPr>
                <w:rFonts w:ascii="Lato" w:hAnsi="Lato"/>
                <w:sz w:val="20"/>
              </w:rPr>
              <w:t>24.16</w:t>
            </w:r>
            <w:r w:rsidRPr="00CA48B7">
              <w:rPr>
                <w:rFonts w:ascii="Lato" w:hAnsi="Lato"/>
                <w:sz w:val="20"/>
              </w:rPr>
              <w:t>%</w:t>
            </w:r>
          </w:p>
        </w:tc>
        <w:tc>
          <w:tcPr>
            <w:tcW w:w="1096" w:type="dxa"/>
          </w:tcPr>
          <w:p w14:paraId="0A245337" w14:textId="77777777" w:rsidR="002840B4" w:rsidRPr="00CA48B7" w:rsidRDefault="002840B4" w:rsidP="002840B4">
            <w:pPr>
              <w:jc w:val="center"/>
              <w:rPr>
                <w:rFonts w:ascii="Lato" w:hAnsi="Lato"/>
                <w:sz w:val="20"/>
              </w:rPr>
            </w:pPr>
            <w:r>
              <w:rPr>
                <w:rFonts w:ascii="Lato" w:hAnsi="Lato"/>
                <w:sz w:val="20"/>
              </w:rPr>
              <w:t>24.76</w:t>
            </w:r>
            <w:r w:rsidRPr="00CA48B7">
              <w:rPr>
                <w:rFonts w:ascii="Lato" w:hAnsi="Lato"/>
                <w:sz w:val="20"/>
              </w:rPr>
              <w:t>%</w:t>
            </w:r>
          </w:p>
        </w:tc>
        <w:tc>
          <w:tcPr>
            <w:tcW w:w="1096" w:type="dxa"/>
          </w:tcPr>
          <w:p w14:paraId="0A245338" w14:textId="77777777" w:rsidR="002840B4" w:rsidRPr="00CA48B7" w:rsidRDefault="002840B4" w:rsidP="002840B4">
            <w:pPr>
              <w:jc w:val="center"/>
              <w:rPr>
                <w:rFonts w:ascii="Lato" w:hAnsi="Lato"/>
                <w:sz w:val="20"/>
              </w:rPr>
            </w:pPr>
            <w:r>
              <w:rPr>
                <w:rFonts w:ascii="Lato" w:hAnsi="Lato"/>
                <w:sz w:val="20"/>
              </w:rPr>
              <w:t>25.38</w:t>
            </w:r>
            <w:r w:rsidRPr="00CA48B7">
              <w:rPr>
                <w:rFonts w:ascii="Lato" w:hAnsi="Lato"/>
                <w:sz w:val="20"/>
              </w:rPr>
              <w:t>%</w:t>
            </w:r>
          </w:p>
        </w:tc>
      </w:tr>
      <w:tr w:rsidR="00484714" w:rsidRPr="00BD5E05" w14:paraId="0A245344" w14:textId="77777777" w:rsidTr="00B4457D">
        <w:trPr>
          <w:trHeight w:val="346"/>
        </w:trPr>
        <w:tc>
          <w:tcPr>
            <w:tcW w:w="2972" w:type="dxa"/>
            <w:vMerge/>
          </w:tcPr>
          <w:p w14:paraId="0A24533A" w14:textId="77777777" w:rsidR="002840B4" w:rsidRPr="00CA48B7" w:rsidRDefault="002840B4" w:rsidP="002840B4">
            <w:pPr>
              <w:rPr>
                <w:rFonts w:ascii="Lato" w:hAnsi="Lato"/>
                <w:sz w:val="20"/>
              </w:rPr>
            </w:pPr>
          </w:p>
        </w:tc>
        <w:tc>
          <w:tcPr>
            <w:tcW w:w="2835" w:type="dxa"/>
            <w:vMerge/>
          </w:tcPr>
          <w:p w14:paraId="0A24533B" w14:textId="77777777" w:rsidR="002840B4" w:rsidRPr="00CA48B7" w:rsidRDefault="002840B4" w:rsidP="002840B4">
            <w:pPr>
              <w:rPr>
                <w:rFonts w:ascii="Lato" w:hAnsi="Lato"/>
                <w:sz w:val="20"/>
              </w:rPr>
            </w:pPr>
          </w:p>
        </w:tc>
        <w:tc>
          <w:tcPr>
            <w:tcW w:w="1384" w:type="dxa"/>
            <w:vMerge w:val="restart"/>
          </w:tcPr>
          <w:p w14:paraId="0A24533C" w14:textId="77777777" w:rsidR="002840B4" w:rsidRPr="00CA48B7" w:rsidRDefault="002840B4" w:rsidP="002840B4">
            <w:pPr>
              <w:rPr>
                <w:rFonts w:ascii="Lato" w:hAnsi="Lato"/>
                <w:sz w:val="20"/>
              </w:rPr>
            </w:pPr>
            <w:r w:rsidRPr="00CA48B7">
              <w:rPr>
                <w:rFonts w:ascii="Lato" w:hAnsi="Lato"/>
                <w:sz w:val="20"/>
              </w:rPr>
              <w:t>Numeracy</w:t>
            </w:r>
          </w:p>
        </w:tc>
        <w:tc>
          <w:tcPr>
            <w:tcW w:w="1114" w:type="dxa"/>
          </w:tcPr>
          <w:p w14:paraId="0A24533D" w14:textId="77777777" w:rsidR="002840B4" w:rsidRPr="00CA48B7" w:rsidRDefault="002840B4" w:rsidP="002840B4">
            <w:pPr>
              <w:rPr>
                <w:rFonts w:ascii="Lato" w:hAnsi="Lato"/>
                <w:sz w:val="20"/>
              </w:rPr>
            </w:pPr>
            <w:r w:rsidRPr="00CA48B7">
              <w:rPr>
                <w:rFonts w:ascii="Lato" w:hAnsi="Lato"/>
                <w:sz w:val="20"/>
              </w:rPr>
              <w:t>Year 3</w:t>
            </w:r>
          </w:p>
        </w:tc>
        <w:tc>
          <w:tcPr>
            <w:tcW w:w="1095" w:type="dxa"/>
          </w:tcPr>
          <w:p w14:paraId="0A24533E" w14:textId="77777777" w:rsidR="002840B4" w:rsidRPr="00CA48B7" w:rsidRDefault="002840B4" w:rsidP="002840B4">
            <w:pPr>
              <w:jc w:val="center"/>
              <w:rPr>
                <w:rFonts w:ascii="Lato" w:hAnsi="Lato"/>
                <w:sz w:val="20"/>
              </w:rPr>
            </w:pPr>
            <w:r w:rsidRPr="00CA48B7">
              <w:rPr>
                <w:rFonts w:ascii="Lato" w:hAnsi="Lato"/>
                <w:sz w:val="20"/>
              </w:rPr>
              <w:t>7</w:t>
            </w:r>
            <w:r w:rsidR="000C08E2">
              <w:rPr>
                <w:rFonts w:ascii="Lato" w:hAnsi="Lato"/>
                <w:sz w:val="20"/>
              </w:rPr>
              <w:t>.00</w:t>
            </w:r>
            <w:r w:rsidRPr="00CA48B7">
              <w:rPr>
                <w:rFonts w:ascii="Lato" w:hAnsi="Lato"/>
                <w:sz w:val="20"/>
              </w:rPr>
              <w:t>%</w:t>
            </w:r>
          </w:p>
        </w:tc>
        <w:tc>
          <w:tcPr>
            <w:tcW w:w="1096" w:type="dxa"/>
          </w:tcPr>
          <w:p w14:paraId="0A24533F" w14:textId="77777777" w:rsidR="002840B4" w:rsidRPr="00CA48B7" w:rsidRDefault="002840B4" w:rsidP="002840B4">
            <w:pPr>
              <w:jc w:val="center"/>
              <w:rPr>
                <w:rFonts w:ascii="Lato" w:hAnsi="Lato"/>
                <w:sz w:val="20"/>
              </w:rPr>
            </w:pPr>
            <w:r>
              <w:rPr>
                <w:rFonts w:ascii="Lato" w:hAnsi="Lato"/>
                <w:sz w:val="20"/>
              </w:rPr>
              <w:t>45</w:t>
            </w:r>
            <w:r w:rsidR="000C08E2">
              <w:rPr>
                <w:rFonts w:ascii="Lato" w:hAnsi="Lato"/>
                <w:sz w:val="20"/>
              </w:rPr>
              <w:t>.00</w:t>
            </w:r>
            <w:r w:rsidRPr="00CA48B7">
              <w:rPr>
                <w:rFonts w:ascii="Lato" w:hAnsi="Lato"/>
                <w:sz w:val="20"/>
              </w:rPr>
              <w:t>%</w:t>
            </w:r>
          </w:p>
        </w:tc>
        <w:tc>
          <w:tcPr>
            <w:tcW w:w="1096" w:type="dxa"/>
          </w:tcPr>
          <w:p w14:paraId="0A245340" w14:textId="77777777" w:rsidR="002840B4" w:rsidRPr="00CA48B7" w:rsidRDefault="002840B4" w:rsidP="002840B4">
            <w:pPr>
              <w:jc w:val="center"/>
              <w:rPr>
                <w:rFonts w:ascii="Lato" w:hAnsi="Lato"/>
                <w:sz w:val="20"/>
              </w:rPr>
            </w:pPr>
            <w:r>
              <w:rPr>
                <w:rFonts w:ascii="Lato" w:hAnsi="Lato"/>
                <w:sz w:val="20"/>
              </w:rPr>
              <w:t>46.12</w:t>
            </w:r>
            <w:r w:rsidRPr="00CA48B7">
              <w:rPr>
                <w:rFonts w:ascii="Lato" w:hAnsi="Lato"/>
                <w:sz w:val="20"/>
              </w:rPr>
              <w:t>%</w:t>
            </w:r>
          </w:p>
        </w:tc>
        <w:tc>
          <w:tcPr>
            <w:tcW w:w="1095" w:type="dxa"/>
          </w:tcPr>
          <w:p w14:paraId="0A245341" w14:textId="77777777" w:rsidR="002840B4" w:rsidRPr="00CA48B7" w:rsidRDefault="002840B4" w:rsidP="002840B4">
            <w:pPr>
              <w:jc w:val="center"/>
              <w:rPr>
                <w:rFonts w:ascii="Lato" w:hAnsi="Lato"/>
                <w:sz w:val="20"/>
              </w:rPr>
            </w:pPr>
            <w:r>
              <w:rPr>
                <w:rFonts w:ascii="Lato" w:hAnsi="Lato"/>
                <w:sz w:val="20"/>
              </w:rPr>
              <w:t>47.27</w:t>
            </w:r>
            <w:r w:rsidRPr="00CA48B7">
              <w:rPr>
                <w:rFonts w:ascii="Lato" w:hAnsi="Lato"/>
                <w:sz w:val="20"/>
              </w:rPr>
              <w:t>%</w:t>
            </w:r>
          </w:p>
        </w:tc>
        <w:tc>
          <w:tcPr>
            <w:tcW w:w="1096" w:type="dxa"/>
          </w:tcPr>
          <w:p w14:paraId="0A245342" w14:textId="77777777" w:rsidR="002840B4" w:rsidRPr="00CA48B7" w:rsidRDefault="002840B4" w:rsidP="002840B4">
            <w:pPr>
              <w:jc w:val="center"/>
              <w:rPr>
                <w:rFonts w:ascii="Lato" w:hAnsi="Lato"/>
                <w:sz w:val="20"/>
              </w:rPr>
            </w:pPr>
            <w:r>
              <w:rPr>
                <w:rFonts w:ascii="Lato" w:hAnsi="Lato"/>
                <w:sz w:val="20"/>
              </w:rPr>
              <w:t>48.46</w:t>
            </w:r>
            <w:r w:rsidRPr="00CA48B7">
              <w:rPr>
                <w:rFonts w:ascii="Lato" w:hAnsi="Lato"/>
                <w:sz w:val="20"/>
              </w:rPr>
              <w:t>%</w:t>
            </w:r>
          </w:p>
        </w:tc>
        <w:tc>
          <w:tcPr>
            <w:tcW w:w="1096" w:type="dxa"/>
          </w:tcPr>
          <w:p w14:paraId="0A245343" w14:textId="77777777" w:rsidR="002840B4" w:rsidRPr="00CA48B7" w:rsidRDefault="002840B4" w:rsidP="002840B4">
            <w:pPr>
              <w:jc w:val="center"/>
              <w:rPr>
                <w:rFonts w:ascii="Lato" w:hAnsi="Lato"/>
                <w:sz w:val="20"/>
              </w:rPr>
            </w:pPr>
            <w:r>
              <w:rPr>
                <w:rFonts w:ascii="Lato" w:hAnsi="Lato"/>
                <w:sz w:val="20"/>
              </w:rPr>
              <w:t>49.67</w:t>
            </w:r>
            <w:r w:rsidRPr="00CA48B7">
              <w:rPr>
                <w:rFonts w:ascii="Lato" w:hAnsi="Lato"/>
                <w:sz w:val="20"/>
              </w:rPr>
              <w:t>%</w:t>
            </w:r>
          </w:p>
        </w:tc>
      </w:tr>
      <w:tr w:rsidR="00484714" w:rsidRPr="00BD5E05" w14:paraId="0A24534F" w14:textId="77777777" w:rsidTr="00B4457D">
        <w:trPr>
          <w:trHeight w:val="346"/>
        </w:trPr>
        <w:tc>
          <w:tcPr>
            <w:tcW w:w="2972" w:type="dxa"/>
            <w:vMerge/>
          </w:tcPr>
          <w:p w14:paraId="0A245345" w14:textId="77777777" w:rsidR="002840B4" w:rsidRPr="00CA48B7" w:rsidRDefault="002840B4" w:rsidP="002840B4">
            <w:pPr>
              <w:rPr>
                <w:rFonts w:ascii="Lato" w:hAnsi="Lato"/>
                <w:sz w:val="20"/>
              </w:rPr>
            </w:pPr>
          </w:p>
        </w:tc>
        <w:tc>
          <w:tcPr>
            <w:tcW w:w="2835" w:type="dxa"/>
            <w:vMerge/>
          </w:tcPr>
          <w:p w14:paraId="0A245346" w14:textId="77777777" w:rsidR="002840B4" w:rsidRPr="00CA48B7" w:rsidRDefault="002840B4" w:rsidP="002840B4">
            <w:pPr>
              <w:rPr>
                <w:rFonts w:ascii="Lato" w:hAnsi="Lato"/>
                <w:sz w:val="20"/>
              </w:rPr>
            </w:pPr>
          </w:p>
        </w:tc>
        <w:tc>
          <w:tcPr>
            <w:tcW w:w="1384" w:type="dxa"/>
            <w:vMerge/>
          </w:tcPr>
          <w:p w14:paraId="0A245347" w14:textId="77777777" w:rsidR="002840B4" w:rsidRPr="00CA48B7" w:rsidRDefault="002840B4" w:rsidP="002840B4">
            <w:pPr>
              <w:rPr>
                <w:rFonts w:ascii="Lato" w:hAnsi="Lato"/>
                <w:sz w:val="20"/>
              </w:rPr>
            </w:pPr>
          </w:p>
        </w:tc>
        <w:tc>
          <w:tcPr>
            <w:tcW w:w="1114" w:type="dxa"/>
          </w:tcPr>
          <w:p w14:paraId="0A245348" w14:textId="77777777" w:rsidR="002840B4" w:rsidRPr="00CA48B7" w:rsidRDefault="002840B4" w:rsidP="002840B4">
            <w:pPr>
              <w:rPr>
                <w:rFonts w:ascii="Lato" w:hAnsi="Lato"/>
                <w:sz w:val="20"/>
              </w:rPr>
            </w:pPr>
            <w:r w:rsidRPr="00CA48B7">
              <w:rPr>
                <w:rFonts w:ascii="Lato" w:hAnsi="Lato"/>
                <w:sz w:val="20"/>
              </w:rPr>
              <w:t>Year 5</w:t>
            </w:r>
          </w:p>
        </w:tc>
        <w:tc>
          <w:tcPr>
            <w:tcW w:w="1095" w:type="dxa"/>
          </w:tcPr>
          <w:p w14:paraId="0A245349" w14:textId="77777777" w:rsidR="002840B4" w:rsidRPr="00CA48B7" w:rsidRDefault="002840B4" w:rsidP="002840B4">
            <w:pPr>
              <w:jc w:val="center"/>
              <w:rPr>
                <w:rFonts w:ascii="Lato" w:hAnsi="Lato"/>
                <w:sz w:val="20"/>
              </w:rPr>
            </w:pPr>
            <w:r w:rsidRPr="00CA48B7">
              <w:rPr>
                <w:rFonts w:ascii="Lato" w:hAnsi="Lato"/>
                <w:sz w:val="20"/>
              </w:rPr>
              <w:t>7</w:t>
            </w:r>
            <w:r w:rsidR="000C08E2">
              <w:rPr>
                <w:rFonts w:ascii="Lato" w:hAnsi="Lato"/>
                <w:sz w:val="20"/>
              </w:rPr>
              <w:t>.00</w:t>
            </w:r>
            <w:r w:rsidRPr="00CA48B7">
              <w:rPr>
                <w:rFonts w:ascii="Lato" w:hAnsi="Lato"/>
                <w:sz w:val="20"/>
              </w:rPr>
              <w:t>%</w:t>
            </w:r>
          </w:p>
        </w:tc>
        <w:tc>
          <w:tcPr>
            <w:tcW w:w="1096" w:type="dxa"/>
          </w:tcPr>
          <w:p w14:paraId="0A24534A" w14:textId="77777777" w:rsidR="002840B4" w:rsidRPr="00CA48B7" w:rsidRDefault="002840B4" w:rsidP="002840B4">
            <w:pPr>
              <w:jc w:val="center"/>
              <w:rPr>
                <w:rFonts w:ascii="Lato" w:hAnsi="Lato"/>
                <w:sz w:val="20"/>
              </w:rPr>
            </w:pPr>
            <w:r>
              <w:rPr>
                <w:rFonts w:ascii="Lato" w:hAnsi="Lato"/>
                <w:sz w:val="20"/>
              </w:rPr>
              <w:t>38</w:t>
            </w:r>
            <w:r w:rsidR="000C08E2">
              <w:rPr>
                <w:rFonts w:ascii="Lato" w:hAnsi="Lato"/>
                <w:sz w:val="20"/>
              </w:rPr>
              <w:t>.00</w:t>
            </w:r>
            <w:r w:rsidRPr="00CA48B7">
              <w:rPr>
                <w:rFonts w:ascii="Lato" w:hAnsi="Lato"/>
                <w:sz w:val="20"/>
              </w:rPr>
              <w:t>%</w:t>
            </w:r>
          </w:p>
        </w:tc>
        <w:tc>
          <w:tcPr>
            <w:tcW w:w="1096" w:type="dxa"/>
          </w:tcPr>
          <w:p w14:paraId="0A24534B" w14:textId="77777777" w:rsidR="002840B4" w:rsidRPr="00CA48B7" w:rsidRDefault="002840B4" w:rsidP="002840B4">
            <w:pPr>
              <w:jc w:val="center"/>
              <w:rPr>
                <w:rFonts w:ascii="Lato" w:hAnsi="Lato"/>
                <w:sz w:val="20"/>
              </w:rPr>
            </w:pPr>
            <w:r>
              <w:rPr>
                <w:rFonts w:ascii="Lato" w:hAnsi="Lato"/>
                <w:sz w:val="20"/>
              </w:rPr>
              <w:t>38.95</w:t>
            </w:r>
            <w:r w:rsidRPr="00CA48B7">
              <w:rPr>
                <w:rFonts w:ascii="Lato" w:hAnsi="Lato"/>
                <w:sz w:val="20"/>
              </w:rPr>
              <w:t>%</w:t>
            </w:r>
          </w:p>
        </w:tc>
        <w:tc>
          <w:tcPr>
            <w:tcW w:w="1095" w:type="dxa"/>
          </w:tcPr>
          <w:p w14:paraId="0A24534C" w14:textId="77777777" w:rsidR="002840B4" w:rsidRPr="00CA48B7" w:rsidRDefault="002840B4" w:rsidP="002840B4">
            <w:pPr>
              <w:jc w:val="center"/>
              <w:rPr>
                <w:rFonts w:ascii="Lato" w:hAnsi="Lato"/>
                <w:sz w:val="20"/>
              </w:rPr>
            </w:pPr>
            <w:r>
              <w:rPr>
                <w:rFonts w:ascii="Lato" w:hAnsi="Lato"/>
                <w:sz w:val="20"/>
              </w:rPr>
              <w:t>39.92</w:t>
            </w:r>
            <w:r w:rsidRPr="00CA48B7">
              <w:rPr>
                <w:rFonts w:ascii="Lato" w:hAnsi="Lato"/>
                <w:sz w:val="20"/>
              </w:rPr>
              <w:t>%</w:t>
            </w:r>
          </w:p>
        </w:tc>
        <w:tc>
          <w:tcPr>
            <w:tcW w:w="1096" w:type="dxa"/>
          </w:tcPr>
          <w:p w14:paraId="0A24534D" w14:textId="77777777" w:rsidR="002840B4" w:rsidRPr="00CA48B7" w:rsidRDefault="002840B4" w:rsidP="002840B4">
            <w:pPr>
              <w:jc w:val="center"/>
              <w:rPr>
                <w:rFonts w:ascii="Lato" w:hAnsi="Lato"/>
                <w:sz w:val="20"/>
              </w:rPr>
            </w:pPr>
            <w:r>
              <w:rPr>
                <w:rFonts w:ascii="Lato" w:hAnsi="Lato"/>
                <w:sz w:val="20"/>
              </w:rPr>
              <w:t>40.92</w:t>
            </w:r>
            <w:r w:rsidRPr="00CA48B7">
              <w:rPr>
                <w:rFonts w:ascii="Lato" w:hAnsi="Lato"/>
                <w:sz w:val="20"/>
              </w:rPr>
              <w:t>%</w:t>
            </w:r>
          </w:p>
        </w:tc>
        <w:tc>
          <w:tcPr>
            <w:tcW w:w="1096" w:type="dxa"/>
          </w:tcPr>
          <w:p w14:paraId="0A24534E" w14:textId="77777777" w:rsidR="002840B4" w:rsidRPr="00CA48B7" w:rsidRDefault="002840B4" w:rsidP="002840B4">
            <w:pPr>
              <w:jc w:val="center"/>
              <w:rPr>
                <w:rFonts w:ascii="Lato" w:hAnsi="Lato"/>
                <w:sz w:val="20"/>
              </w:rPr>
            </w:pPr>
            <w:r>
              <w:rPr>
                <w:rFonts w:ascii="Lato" w:hAnsi="Lato"/>
                <w:sz w:val="20"/>
              </w:rPr>
              <w:t>41.94</w:t>
            </w:r>
            <w:r w:rsidRPr="00CA48B7">
              <w:rPr>
                <w:rFonts w:ascii="Lato" w:hAnsi="Lato"/>
                <w:sz w:val="20"/>
              </w:rPr>
              <w:t>%</w:t>
            </w:r>
          </w:p>
        </w:tc>
      </w:tr>
      <w:tr w:rsidR="00484714" w:rsidRPr="00BD5E05" w14:paraId="0A24535A" w14:textId="77777777" w:rsidTr="00B4457D">
        <w:trPr>
          <w:trHeight w:val="346"/>
        </w:trPr>
        <w:tc>
          <w:tcPr>
            <w:tcW w:w="2972" w:type="dxa"/>
            <w:vMerge/>
          </w:tcPr>
          <w:p w14:paraId="0A245350" w14:textId="77777777" w:rsidR="002840B4" w:rsidRPr="00CA48B7" w:rsidRDefault="002840B4" w:rsidP="002840B4">
            <w:pPr>
              <w:rPr>
                <w:rFonts w:ascii="Lato" w:hAnsi="Lato"/>
                <w:sz w:val="20"/>
              </w:rPr>
            </w:pPr>
          </w:p>
        </w:tc>
        <w:tc>
          <w:tcPr>
            <w:tcW w:w="2835" w:type="dxa"/>
            <w:vMerge/>
          </w:tcPr>
          <w:p w14:paraId="0A245351" w14:textId="77777777" w:rsidR="002840B4" w:rsidRPr="00CA48B7" w:rsidRDefault="002840B4" w:rsidP="002840B4">
            <w:pPr>
              <w:rPr>
                <w:rFonts w:ascii="Lato" w:hAnsi="Lato"/>
                <w:sz w:val="20"/>
              </w:rPr>
            </w:pPr>
          </w:p>
        </w:tc>
        <w:tc>
          <w:tcPr>
            <w:tcW w:w="1384" w:type="dxa"/>
            <w:vMerge/>
          </w:tcPr>
          <w:p w14:paraId="0A245352" w14:textId="77777777" w:rsidR="002840B4" w:rsidRPr="00CA48B7" w:rsidRDefault="002840B4" w:rsidP="002840B4">
            <w:pPr>
              <w:rPr>
                <w:rFonts w:ascii="Lato" w:hAnsi="Lato"/>
                <w:sz w:val="20"/>
              </w:rPr>
            </w:pPr>
          </w:p>
        </w:tc>
        <w:tc>
          <w:tcPr>
            <w:tcW w:w="1114" w:type="dxa"/>
          </w:tcPr>
          <w:p w14:paraId="0A245353" w14:textId="77777777" w:rsidR="002840B4" w:rsidRPr="00CA48B7" w:rsidRDefault="002840B4" w:rsidP="002840B4">
            <w:pPr>
              <w:rPr>
                <w:rFonts w:ascii="Lato" w:hAnsi="Lato"/>
                <w:sz w:val="20"/>
              </w:rPr>
            </w:pPr>
            <w:r w:rsidRPr="00CA48B7">
              <w:rPr>
                <w:rFonts w:ascii="Lato" w:hAnsi="Lato"/>
                <w:sz w:val="20"/>
              </w:rPr>
              <w:t>Year 7</w:t>
            </w:r>
          </w:p>
        </w:tc>
        <w:tc>
          <w:tcPr>
            <w:tcW w:w="1095" w:type="dxa"/>
          </w:tcPr>
          <w:p w14:paraId="0A245354" w14:textId="77777777" w:rsidR="002840B4" w:rsidRPr="00CA48B7" w:rsidRDefault="002840B4" w:rsidP="002840B4">
            <w:pPr>
              <w:jc w:val="center"/>
              <w:rPr>
                <w:rFonts w:ascii="Lato" w:hAnsi="Lato"/>
                <w:sz w:val="20"/>
              </w:rPr>
            </w:pPr>
            <w:r w:rsidRPr="00CA48B7">
              <w:rPr>
                <w:rFonts w:ascii="Lato" w:hAnsi="Lato"/>
                <w:sz w:val="20"/>
              </w:rPr>
              <w:t>6</w:t>
            </w:r>
            <w:r w:rsidR="000C08E2">
              <w:rPr>
                <w:rFonts w:ascii="Lato" w:hAnsi="Lato"/>
                <w:sz w:val="20"/>
              </w:rPr>
              <w:t>.00</w:t>
            </w:r>
            <w:r w:rsidRPr="00CA48B7">
              <w:rPr>
                <w:rFonts w:ascii="Lato" w:hAnsi="Lato"/>
                <w:sz w:val="20"/>
              </w:rPr>
              <w:t>%</w:t>
            </w:r>
          </w:p>
        </w:tc>
        <w:tc>
          <w:tcPr>
            <w:tcW w:w="1096" w:type="dxa"/>
          </w:tcPr>
          <w:p w14:paraId="0A245355" w14:textId="77777777" w:rsidR="002840B4" w:rsidRPr="00CA48B7" w:rsidRDefault="002840B4" w:rsidP="002840B4">
            <w:pPr>
              <w:jc w:val="center"/>
              <w:rPr>
                <w:rFonts w:ascii="Lato" w:hAnsi="Lato"/>
                <w:sz w:val="20"/>
              </w:rPr>
            </w:pPr>
            <w:r>
              <w:rPr>
                <w:rFonts w:ascii="Lato" w:hAnsi="Lato"/>
                <w:sz w:val="20"/>
              </w:rPr>
              <w:t>48</w:t>
            </w:r>
            <w:r w:rsidR="000C08E2">
              <w:rPr>
                <w:rFonts w:ascii="Lato" w:hAnsi="Lato"/>
                <w:sz w:val="20"/>
              </w:rPr>
              <w:t>.00</w:t>
            </w:r>
            <w:r w:rsidRPr="00CA48B7">
              <w:rPr>
                <w:rFonts w:ascii="Lato" w:hAnsi="Lato"/>
                <w:sz w:val="20"/>
              </w:rPr>
              <w:t>%</w:t>
            </w:r>
          </w:p>
        </w:tc>
        <w:tc>
          <w:tcPr>
            <w:tcW w:w="1096" w:type="dxa"/>
          </w:tcPr>
          <w:p w14:paraId="0A245356" w14:textId="77777777" w:rsidR="002840B4" w:rsidRPr="00CA48B7" w:rsidRDefault="002840B4" w:rsidP="002840B4">
            <w:pPr>
              <w:jc w:val="center"/>
              <w:rPr>
                <w:rFonts w:ascii="Lato" w:hAnsi="Lato"/>
                <w:sz w:val="20"/>
              </w:rPr>
            </w:pPr>
            <w:r>
              <w:rPr>
                <w:rFonts w:ascii="Lato" w:hAnsi="Lato"/>
                <w:sz w:val="20"/>
              </w:rPr>
              <w:t>49.2</w:t>
            </w:r>
            <w:r w:rsidR="000C08E2">
              <w:rPr>
                <w:rFonts w:ascii="Lato" w:hAnsi="Lato"/>
                <w:sz w:val="20"/>
              </w:rPr>
              <w:t>0</w:t>
            </w:r>
            <w:r w:rsidRPr="00CA48B7">
              <w:rPr>
                <w:rFonts w:ascii="Lato" w:hAnsi="Lato"/>
                <w:sz w:val="20"/>
              </w:rPr>
              <w:t>%</w:t>
            </w:r>
          </w:p>
        </w:tc>
        <w:tc>
          <w:tcPr>
            <w:tcW w:w="1095" w:type="dxa"/>
          </w:tcPr>
          <w:p w14:paraId="0A245357" w14:textId="77777777" w:rsidR="002840B4" w:rsidRPr="00CA48B7" w:rsidRDefault="002840B4" w:rsidP="002840B4">
            <w:pPr>
              <w:jc w:val="center"/>
              <w:rPr>
                <w:rFonts w:ascii="Lato" w:hAnsi="Lato"/>
                <w:sz w:val="20"/>
              </w:rPr>
            </w:pPr>
            <w:r>
              <w:rPr>
                <w:rFonts w:ascii="Lato" w:hAnsi="Lato"/>
                <w:sz w:val="20"/>
              </w:rPr>
              <w:t>50.4</w:t>
            </w:r>
            <w:r w:rsidR="000C08E2">
              <w:rPr>
                <w:rFonts w:ascii="Lato" w:hAnsi="Lato"/>
                <w:sz w:val="20"/>
              </w:rPr>
              <w:t>0</w:t>
            </w:r>
            <w:r w:rsidRPr="00CA48B7">
              <w:rPr>
                <w:rFonts w:ascii="Lato" w:hAnsi="Lato"/>
                <w:sz w:val="20"/>
              </w:rPr>
              <w:t>%</w:t>
            </w:r>
          </w:p>
        </w:tc>
        <w:tc>
          <w:tcPr>
            <w:tcW w:w="1096" w:type="dxa"/>
          </w:tcPr>
          <w:p w14:paraId="0A245358" w14:textId="77777777" w:rsidR="002840B4" w:rsidRPr="00CA48B7" w:rsidRDefault="002840B4" w:rsidP="002840B4">
            <w:pPr>
              <w:jc w:val="center"/>
              <w:rPr>
                <w:rFonts w:ascii="Lato" w:hAnsi="Lato"/>
                <w:sz w:val="20"/>
              </w:rPr>
            </w:pPr>
            <w:r>
              <w:rPr>
                <w:rFonts w:ascii="Lato" w:hAnsi="Lato"/>
                <w:sz w:val="20"/>
              </w:rPr>
              <w:t>51.69</w:t>
            </w:r>
            <w:r w:rsidRPr="00CA48B7">
              <w:rPr>
                <w:rFonts w:ascii="Lato" w:hAnsi="Lato"/>
                <w:sz w:val="20"/>
              </w:rPr>
              <w:t>%</w:t>
            </w:r>
          </w:p>
        </w:tc>
        <w:tc>
          <w:tcPr>
            <w:tcW w:w="1096" w:type="dxa"/>
          </w:tcPr>
          <w:p w14:paraId="0A245359" w14:textId="77777777" w:rsidR="002840B4" w:rsidRPr="00CA48B7" w:rsidRDefault="002840B4" w:rsidP="002840B4">
            <w:pPr>
              <w:jc w:val="center"/>
              <w:rPr>
                <w:rFonts w:ascii="Lato" w:hAnsi="Lato"/>
                <w:sz w:val="20"/>
              </w:rPr>
            </w:pPr>
            <w:r>
              <w:rPr>
                <w:rFonts w:ascii="Lato" w:hAnsi="Lato"/>
                <w:sz w:val="20"/>
              </w:rPr>
              <w:t>54.27</w:t>
            </w:r>
            <w:r w:rsidRPr="00CA48B7">
              <w:rPr>
                <w:rFonts w:ascii="Lato" w:hAnsi="Lato"/>
                <w:sz w:val="20"/>
              </w:rPr>
              <w:t>%</w:t>
            </w:r>
          </w:p>
        </w:tc>
      </w:tr>
      <w:tr w:rsidR="00484714" w:rsidRPr="00BD5E05" w14:paraId="0A245365" w14:textId="77777777" w:rsidTr="00B4457D">
        <w:trPr>
          <w:trHeight w:val="346"/>
        </w:trPr>
        <w:tc>
          <w:tcPr>
            <w:tcW w:w="2972" w:type="dxa"/>
            <w:vMerge/>
          </w:tcPr>
          <w:p w14:paraId="0A24535B" w14:textId="77777777" w:rsidR="002840B4" w:rsidRPr="00CA48B7" w:rsidRDefault="002840B4" w:rsidP="002840B4">
            <w:pPr>
              <w:rPr>
                <w:rFonts w:ascii="Lato" w:hAnsi="Lato"/>
                <w:sz w:val="20"/>
              </w:rPr>
            </w:pPr>
          </w:p>
        </w:tc>
        <w:tc>
          <w:tcPr>
            <w:tcW w:w="2835" w:type="dxa"/>
            <w:vMerge/>
          </w:tcPr>
          <w:p w14:paraId="0A24535C" w14:textId="77777777" w:rsidR="002840B4" w:rsidRPr="00CA48B7" w:rsidRDefault="002840B4" w:rsidP="002840B4">
            <w:pPr>
              <w:rPr>
                <w:rFonts w:ascii="Lato" w:hAnsi="Lato"/>
                <w:sz w:val="20"/>
              </w:rPr>
            </w:pPr>
          </w:p>
        </w:tc>
        <w:tc>
          <w:tcPr>
            <w:tcW w:w="1384" w:type="dxa"/>
            <w:vMerge/>
          </w:tcPr>
          <w:p w14:paraId="0A24535D" w14:textId="77777777" w:rsidR="002840B4" w:rsidRPr="00CA48B7" w:rsidRDefault="002840B4" w:rsidP="002840B4">
            <w:pPr>
              <w:rPr>
                <w:rFonts w:ascii="Lato" w:hAnsi="Lato"/>
                <w:sz w:val="20"/>
              </w:rPr>
            </w:pPr>
          </w:p>
        </w:tc>
        <w:tc>
          <w:tcPr>
            <w:tcW w:w="1114" w:type="dxa"/>
          </w:tcPr>
          <w:p w14:paraId="0A24535E" w14:textId="77777777" w:rsidR="002840B4" w:rsidRPr="00CA48B7" w:rsidRDefault="002840B4" w:rsidP="002840B4">
            <w:pPr>
              <w:rPr>
                <w:rFonts w:ascii="Lato" w:hAnsi="Lato"/>
                <w:sz w:val="20"/>
              </w:rPr>
            </w:pPr>
            <w:r w:rsidRPr="00CA48B7">
              <w:rPr>
                <w:rFonts w:ascii="Lato" w:hAnsi="Lato"/>
                <w:sz w:val="20"/>
              </w:rPr>
              <w:t>Year 9</w:t>
            </w:r>
          </w:p>
        </w:tc>
        <w:tc>
          <w:tcPr>
            <w:tcW w:w="1095" w:type="dxa"/>
          </w:tcPr>
          <w:p w14:paraId="0A24535F" w14:textId="77777777" w:rsidR="002840B4" w:rsidRPr="00CA48B7" w:rsidRDefault="002840B4" w:rsidP="002840B4">
            <w:pPr>
              <w:jc w:val="center"/>
              <w:rPr>
                <w:rFonts w:ascii="Lato" w:hAnsi="Lato"/>
                <w:sz w:val="20"/>
              </w:rPr>
            </w:pPr>
            <w:r w:rsidRPr="00CA48B7">
              <w:rPr>
                <w:rFonts w:ascii="Lato" w:hAnsi="Lato"/>
                <w:sz w:val="20"/>
              </w:rPr>
              <w:t>5</w:t>
            </w:r>
            <w:r w:rsidR="000C08E2">
              <w:rPr>
                <w:rFonts w:ascii="Lato" w:hAnsi="Lato"/>
                <w:sz w:val="20"/>
              </w:rPr>
              <w:t>.00</w:t>
            </w:r>
            <w:r w:rsidRPr="00CA48B7">
              <w:rPr>
                <w:rFonts w:ascii="Lato" w:hAnsi="Lato"/>
                <w:sz w:val="20"/>
              </w:rPr>
              <w:t>%</w:t>
            </w:r>
          </w:p>
        </w:tc>
        <w:tc>
          <w:tcPr>
            <w:tcW w:w="1096" w:type="dxa"/>
          </w:tcPr>
          <w:p w14:paraId="0A245360" w14:textId="77777777" w:rsidR="002840B4" w:rsidRPr="00CA48B7" w:rsidRDefault="002840B4" w:rsidP="002840B4">
            <w:pPr>
              <w:jc w:val="center"/>
              <w:rPr>
                <w:rFonts w:ascii="Lato" w:hAnsi="Lato"/>
                <w:sz w:val="20"/>
              </w:rPr>
            </w:pPr>
            <w:r>
              <w:rPr>
                <w:rFonts w:ascii="Lato" w:hAnsi="Lato"/>
                <w:sz w:val="20"/>
              </w:rPr>
              <w:t>62</w:t>
            </w:r>
            <w:r w:rsidR="000C08E2">
              <w:rPr>
                <w:rFonts w:ascii="Lato" w:hAnsi="Lato"/>
                <w:sz w:val="20"/>
              </w:rPr>
              <w:t>.00</w:t>
            </w:r>
            <w:r w:rsidRPr="00CA48B7">
              <w:rPr>
                <w:rFonts w:ascii="Lato" w:hAnsi="Lato"/>
                <w:sz w:val="20"/>
              </w:rPr>
              <w:t>%</w:t>
            </w:r>
            <w:r w:rsidRPr="008D7145">
              <w:rPr>
                <w:rFonts w:ascii="Lato" w:hAnsi="Lato"/>
                <w:sz w:val="20"/>
                <w:vertAlign w:val="superscript"/>
              </w:rPr>
              <w:t>1</w:t>
            </w:r>
          </w:p>
        </w:tc>
        <w:tc>
          <w:tcPr>
            <w:tcW w:w="1096" w:type="dxa"/>
          </w:tcPr>
          <w:p w14:paraId="0A245361" w14:textId="77777777" w:rsidR="002840B4" w:rsidRPr="00CA48B7" w:rsidRDefault="002840B4" w:rsidP="002840B4">
            <w:pPr>
              <w:jc w:val="center"/>
              <w:rPr>
                <w:rFonts w:ascii="Lato" w:hAnsi="Lato"/>
                <w:sz w:val="20"/>
              </w:rPr>
            </w:pPr>
            <w:r>
              <w:rPr>
                <w:rFonts w:ascii="Lato" w:hAnsi="Lato"/>
                <w:sz w:val="20"/>
              </w:rPr>
              <w:t>63.55</w:t>
            </w:r>
            <w:r w:rsidRPr="00CA48B7">
              <w:rPr>
                <w:rFonts w:ascii="Lato" w:hAnsi="Lato"/>
                <w:sz w:val="20"/>
              </w:rPr>
              <w:t>%</w:t>
            </w:r>
          </w:p>
        </w:tc>
        <w:tc>
          <w:tcPr>
            <w:tcW w:w="1095" w:type="dxa"/>
          </w:tcPr>
          <w:p w14:paraId="0A245362" w14:textId="77777777" w:rsidR="002840B4" w:rsidRPr="00CA48B7" w:rsidRDefault="002840B4" w:rsidP="002840B4">
            <w:pPr>
              <w:jc w:val="center"/>
              <w:rPr>
                <w:rFonts w:ascii="Lato" w:hAnsi="Lato"/>
                <w:sz w:val="20"/>
              </w:rPr>
            </w:pPr>
            <w:r>
              <w:rPr>
                <w:rFonts w:ascii="Lato" w:hAnsi="Lato"/>
                <w:sz w:val="20"/>
              </w:rPr>
              <w:t>65.13</w:t>
            </w:r>
            <w:r w:rsidRPr="00CA48B7">
              <w:rPr>
                <w:rFonts w:ascii="Lato" w:hAnsi="Lato"/>
                <w:sz w:val="20"/>
              </w:rPr>
              <w:t>%</w:t>
            </w:r>
          </w:p>
        </w:tc>
        <w:tc>
          <w:tcPr>
            <w:tcW w:w="1096" w:type="dxa"/>
          </w:tcPr>
          <w:p w14:paraId="0A245363" w14:textId="77777777" w:rsidR="002840B4" w:rsidRPr="00CA48B7" w:rsidRDefault="002840B4" w:rsidP="002840B4">
            <w:pPr>
              <w:jc w:val="center"/>
              <w:rPr>
                <w:rFonts w:ascii="Lato" w:hAnsi="Lato"/>
                <w:sz w:val="20"/>
              </w:rPr>
            </w:pPr>
            <w:r>
              <w:rPr>
                <w:rFonts w:ascii="Lato" w:hAnsi="Lato"/>
                <w:sz w:val="20"/>
              </w:rPr>
              <w:t>66.76</w:t>
            </w:r>
            <w:r w:rsidRPr="00CA48B7">
              <w:rPr>
                <w:rFonts w:ascii="Lato" w:hAnsi="Lato"/>
                <w:sz w:val="20"/>
              </w:rPr>
              <w:t>%</w:t>
            </w:r>
          </w:p>
        </w:tc>
        <w:tc>
          <w:tcPr>
            <w:tcW w:w="1096" w:type="dxa"/>
          </w:tcPr>
          <w:p w14:paraId="0A245364" w14:textId="77777777" w:rsidR="002840B4" w:rsidRPr="00CA48B7" w:rsidRDefault="002840B4" w:rsidP="002840B4">
            <w:pPr>
              <w:jc w:val="center"/>
              <w:rPr>
                <w:rFonts w:ascii="Lato" w:hAnsi="Lato"/>
                <w:sz w:val="20"/>
              </w:rPr>
            </w:pPr>
            <w:r>
              <w:rPr>
                <w:rFonts w:ascii="Lato" w:hAnsi="Lato"/>
                <w:sz w:val="20"/>
              </w:rPr>
              <w:t>68.43</w:t>
            </w:r>
            <w:r w:rsidRPr="00CA48B7">
              <w:rPr>
                <w:rFonts w:ascii="Lato" w:hAnsi="Lato"/>
                <w:sz w:val="20"/>
              </w:rPr>
              <w:t>%</w:t>
            </w:r>
          </w:p>
        </w:tc>
      </w:tr>
    </w:tbl>
    <w:p w14:paraId="0A245366" w14:textId="77777777" w:rsidR="00CB2523" w:rsidRDefault="00CB2523">
      <w:pPr>
        <w:rPr>
          <w:rFonts w:ascii="Lato" w:hAnsi="Lato"/>
          <w:highlight w:val="lightGray"/>
        </w:rPr>
      </w:pPr>
    </w:p>
    <w:p w14:paraId="0A245367" w14:textId="77777777" w:rsidR="00CB2523" w:rsidRPr="008D7145" w:rsidRDefault="00CB2523" w:rsidP="00CB2523">
      <w:pPr>
        <w:rPr>
          <w:rFonts w:ascii="Lato" w:hAnsi="Lato"/>
          <w:b/>
          <w:sz w:val="20"/>
          <w:szCs w:val="20"/>
        </w:rPr>
      </w:pPr>
      <w:r w:rsidRPr="008D7145">
        <w:rPr>
          <w:rFonts w:ascii="Lato" w:hAnsi="Lato"/>
          <w:b/>
          <w:sz w:val="20"/>
          <w:szCs w:val="20"/>
        </w:rPr>
        <w:t xml:space="preserve">Notes: </w:t>
      </w:r>
    </w:p>
    <w:p w14:paraId="0A245368" w14:textId="77777777" w:rsidR="001C4851" w:rsidRPr="008D7145" w:rsidRDefault="001C4851" w:rsidP="00867BDE">
      <w:pPr>
        <w:numPr>
          <w:ilvl w:val="0"/>
          <w:numId w:val="27"/>
        </w:numPr>
        <w:rPr>
          <w:rFonts w:ascii="Lato" w:hAnsi="Lato"/>
          <w:sz w:val="20"/>
          <w:szCs w:val="20"/>
        </w:rPr>
      </w:pPr>
      <w:r>
        <w:rPr>
          <w:rFonts w:ascii="Lato" w:hAnsi="Lato"/>
          <w:sz w:val="20"/>
          <w:szCs w:val="20"/>
        </w:rPr>
        <w:t>The baseline figures are taken from 2017 results.</w:t>
      </w:r>
    </w:p>
    <w:p w14:paraId="0A245369" w14:textId="77777777" w:rsidR="00CB2523" w:rsidRDefault="00CB2523" w:rsidP="00867BDE">
      <w:pPr>
        <w:numPr>
          <w:ilvl w:val="0"/>
          <w:numId w:val="27"/>
        </w:numPr>
        <w:rPr>
          <w:rFonts w:ascii="Lato" w:hAnsi="Lato"/>
          <w:sz w:val="20"/>
          <w:szCs w:val="20"/>
        </w:rPr>
      </w:pPr>
      <w:r w:rsidRPr="008D7145">
        <w:rPr>
          <w:rFonts w:ascii="Lato" w:hAnsi="Lato"/>
          <w:sz w:val="20"/>
          <w:szCs w:val="20"/>
        </w:rPr>
        <w:t>NAPLAN results, year to year, are volatile, due to small cohort</w:t>
      </w:r>
      <w:r w:rsidR="005916C4">
        <w:rPr>
          <w:rFonts w:ascii="Lato" w:hAnsi="Lato"/>
          <w:sz w:val="20"/>
          <w:szCs w:val="20"/>
        </w:rPr>
        <w:t>s</w:t>
      </w:r>
      <w:r w:rsidRPr="008D7145">
        <w:rPr>
          <w:rFonts w:ascii="Lato" w:hAnsi="Lato"/>
          <w:sz w:val="20"/>
          <w:szCs w:val="20"/>
        </w:rPr>
        <w:t xml:space="preserve"> of students. The proportion of remote and very remote Indigenous students achieving at or above </w:t>
      </w:r>
      <w:r w:rsidR="005916C4">
        <w:rPr>
          <w:rFonts w:ascii="Lato" w:hAnsi="Lato"/>
          <w:sz w:val="20"/>
          <w:szCs w:val="20"/>
        </w:rPr>
        <w:t>N</w:t>
      </w:r>
      <w:r w:rsidRPr="008D7145">
        <w:rPr>
          <w:rFonts w:ascii="Lato" w:hAnsi="Lato"/>
          <w:sz w:val="20"/>
          <w:szCs w:val="20"/>
        </w:rPr>
        <w:t xml:space="preserve">ational </w:t>
      </w:r>
      <w:r w:rsidR="005916C4">
        <w:rPr>
          <w:rFonts w:ascii="Lato" w:hAnsi="Lato"/>
          <w:sz w:val="20"/>
          <w:szCs w:val="20"/>
        </w:rPr>
        <w:t>M</w:t>
      </w:r>
      <w:r w:rsidRPr="008D7145">
        <w:rPr>
          <w:rFonts w:ascii="Lato" w:hAnsi="Lato"/>
          <w:sz w:val="20"/>
          <w:szCs w:val="20"/>
        </w:rPr>
        <w:t xml:space="preserve">inimum </w:t>
      </w:r>
      <w:r w:rsidR="005916C4">
        <w:rPr>
          <w:rFonts w:ascii="Lato" w:hAnsi="Lato"/>
          <w:sz w:val="20"/>
          <w:szCs w:val="20"/>
        </w:rPr>
        <w:t>S</w:t>
      </w:r>
      <w:r w:rsidRPr="008D7145">
        <w:rPr>
          <w:rFonts w:ascii="Lato" w:hAnsi="Lato"/>
          <w:sz w:val="20"/>
          <w:szCs w:val="20"/>
        </w:rPr>
        <w:t xml:space="preserve">tandard </w:t>
      </w:r>
      <w:r w:rsidR="005916C4">
        <w:rPr>
          <w:rFonts w:ascii="Lato" w:hAnsi="Lato"/>
          <w:sz w:val="20"/>
          <w:szCs w:val="20"/>
        </w:rPr>
        <w:t xml:space="preserve">(NMS) </w:t>
      </w:r>
      <w:r w:rsidRPr="008D7145">
        <w:rPr>
          <w:rFonts w:ascii="Lato" w:hAnsi="Lato"/>
          <w:sz w:val="20"/>
          <w:szCs w:val="20"/>
        </w:rPr>
        <w:t xml:space="preserve">in Year 9 NAPLAN Numeracy recorded the highest levels in 2017. </w:t>
      </w:r>
    </w:p>
    <w:p w14:paraId="0A24536A" w14:textId="77777777" w:rsidR="00CB2523" w:rsidRPr="00A5669B" w:rsidRDefault="00CB2523" w:rsidP="008D7145">
      <w:pPr>
        <w:ind w:left="720"/>
        <w:rPr>
          <w:rFonts w:ascii="Lato" w:hAnsi="Lato"/>
          <w:sz w:val="15"/>
          <w:highlight w:val="lightGray"/>
        </w:rPr>
      </w:pPr>
    </w:p>
    <w:p w14:paraId="0A24536B" w14:textId="77777777" w:rsidR="00CB2523" w:rsidRDefault="00CB2523" w:rsidP="00CB2523">
      <w:pPr>
        <w:rPr>
          <w:rFonts w:ascii="Lato" w:hAnsi="Lato"/>
          <w:highlight w:val="lightGray"/>
        </w:rPr>
      </w:pPr>
    </w:p>
    <w:p w14:paraId="0A24536C" w14:textId="77777777" w:rsidR="00492C8D" w:rsidRDefault="00492C8D">
      <w:pPr>
        <w:rPr>
          <w:rFonts w:ascii="Lato" w:hAnsi="Lato"/>
          <w:highlight w:val="lightGray"/>
        </w:rPr>
        <w:sectPr w:rsidR="00492C8D" w:rsidSect="00BD5E05">
          <w:pgSz w:w="16838" w:h="11906" w:orient="landscape" w:code="9"/>
          <w:pgMar w:top="1440" w:right="851" w:bottom="1440" w:left="1021" w:header="624" w:footer="624" w:gutter="0"/>
          <w:cols w:space="708"/>
          <w:docGrid w:linePitch="360"/>
        </w:sectPr>
      </w:pPr>
    </w:p>
    <w:p w14:paraId="0A24536D" w14:textId="77777777" w:rsidR="006F42AA" w:rsidRPr="00CA48B7" w:rsidRDefault="006F42AA" w:rsidP="006F42AA">
      <w:pPr>
        <w:keepNext/>
        <w:spacing w:before="240" w:after="240"/>
        <w:rPr>
          <w:rFonts w:ascii="Lato" w:hAnsi="Lato"/>
          <w:b/>
          <w:color w:val="3D4B67"/>
        </w:rPr>
      </w:pPr>
      <w:r w:rsidRPr="00CA48B7">
        <w:rPr>
          <w:rFonts w:ascii="Lato" w:hAnsi="Lato"/>
          <w:b/>
          <w:color w:val="3D4B67"/>
        </w:rPr>
        <w:lastRenderedPageBreak/>
        <w:t>Table 8: Partial Payments</w:t>
      </w:r>
    </w:p>
    <w:tbl>
      <w:tblPr>
        <w:tblStyle w:val="TableGrid"/>
        <w:tblW w:w="0" w:type="auto"/>
        <w:tblLook w:val="04A0" w:firstRow="1" w:lastRow="0" w:firstColumn="1" w:lastColumn="0" w:noHBand="0" w:noVBand="1"/>
      </w:tblPr>
      <w:tblGrid>
        <w:gridCol w:w="3003"/>
        <w:gridCol w:w="2998"/>
        <w:gridCol w:w="3015"/>
      </w:tblGrid>
      <w:tr w:rsidR="006F42AA" w:rsidRPr="00BD5E05" w14:paraId="0A245371" w14:textId="77777777" w:rsidTr="001C0AC6">
        <w:tc>
          <w:tcPr>
            <w:tcW w:w="3080" w:type="dxa"/>
            <w:shd w:val="clear" w:color="auto" w:fill="D9D9D9" w:themeFill="background1" w:themeFillShade="D9"/>
          </w:tcPr>
          <w:p w14:paraId="0A24536E" w14:textId="77777777" w:rsidR="006F42AA" w:rsidRPr="00CA48B7" w:rsidRDefault="006F42AA" w:rsidP="00A17D70">
            <w:pPr>
              <w:pStyle w:val="Heading2"/>
              <w:rPr>
                <w:rFonts w:ascii="Lato" w:hAnsi="Lato"/>
                <w:color w:val="000000" w:themeColor="text1"/>
                <w:sz w:val="22"/>
              </w:rPr>
            </w:pPr>
            <w:r w:rsidRPr="00CA48B7">
              <w:rPr>
                <w:rFonts w:ascii="Lato" w:hAnsi="Lato"/>
                <w:color w:val="000000" w:themeColor="text1"/>
                <w:sz w:val="22"/>
              </w:rPr>
              <w:t>Performance Indicator</w:t>
            </w:r>
          </w:p>
        </w:tc>
        <w:tc>
          <w:tcPr>
            <w:tcW w:w="3081" w:type="dxa"/>
            <w:shd w:val="clear" w:color="auto" w:fill="D9D9D9" w:themeFill="background1" w:themeFillShade="D9"/>
          </w:tcPr>
          <w:p w14:paraId="0A24536F" w14:textId="77777777" w:rsidR="006F42AA" w:rsidRPr="00CA48B7" w:rsidRDefault="006F42AA" w:rsidP="00A17D70">
            <w:pPr>
              <w:pStyle w:val="Heading2"/>
              <w:rPr>
                <w:rFonts w:ascii="Lato" w:hAnsi="Lato"/>
                <w:color w:val="000000" w:themeColor="text1"/>
                <w:sz w:val="22"/>
              </w:rPr>
            </w:pPr>
            <w:r w:rsidRPr="00CA48B7">
              <w:rPr>
                <w:rFonts w:ascii="Lato" w:hAnsi="Lato"/>
                <w:color w:val="000000" w:themeColor="text1"/>
                <w:sz w:val="22"/>
              </w:rPr>
              <w:t>Measure</w:t>
            </w:r>
          </w:p>
        </w:tc>
        <w:tc>
          <w:tcPr>
            <w:tcW w:w="3081" w:type="dxa"/>
            <w:shd w:val="clear" w:color="auto" w:fill="D9D9D9" w:themeFill="background1" w:themeFillShade="D9"/>
          </w:tcPr>
          <w:p w14:paraId="0A245370" w14:textId="77777777" w:rsidR="006F42AA" w:rsidRPr="00CA48B7" w:rsidRDefault="006F42AA" w:rsidP="00A17D70">
            <w:pPr>
              <w:pStyle w:val="Heading2"/>
              <w:rPr>
                <w:rFonts w:ascii="Lato" w:hAnsi="Lato"/>
                <w:color w:val="000000" w:themeColor="text1"/>
                <w:sz w:val="22"/>
              </w:rPr>
            </w:pPr>
            <w:r w:rsidRPr="00CA48B7">
              <w:rPr>
                <w:rFonts w:ascii="Lato" w:hAnsi="Lato"/>
                <w:color w:val="000000" w:themeColor="text1"/>
                <w:sz w:val="22"/>
              </w:rPr>
              <w:t>Thresholds</w:t>
            </w:r>
          </w:p>
        </w:tc>
      </w:tr>
      <w:tr w:rsidR="0079521A" w:rsidRPr="00BD5E05" w14:paraId="0A245376" w14:textId="77777777" w:rsidTr="006F42AA">
        <w:tc>
          <w:tcPr>
            <w:tcW w:w="3080" w:type="dxa"/>
          </w:tcPr>
          <w:p w14:paraId="0A245372" w14:textId="77777777" w:rsidR="0079521A" w:rsidRPr="00CA48B7" w:rsidRDefault="0079521A" w:rsidP="005D5FE0">
            <w:pPr>
              <w:rPr>
                <w:rFonts w:ascii="Lato" w:hAnsi="Lato"/>
                <w:sz w:val="22"/>
                <w:highlight w:val="yellow"/>
              </w:rPr>
            </w:pPr>
            <w:r w:rsidRPr="00CA48B7">
              <w:rPr>
                <w:rFonts w:ascii="Lato" w:hAnsi="Lato"/>
                <w:sz w:val="22"/>
              </w:rPr>
              <w:t xml:space="preserve">Families As First Teachers </w:t>
            </w:r>
            <w:r w:rsidR="00F74759">
              <w:rPr>
                <w:rFonts w:ascii="Lato" w:hAnsi="Lato"/>
                <w:sz w:val="22"/>
              </w:rPr>
              <w:t>(</w:t>
            </w:r>
            <w:proofErr w:type="spellStart"/>
            <w:r w:rsidR="00F74759">
              <w:rPr>
                <w:rFonts w:ascii="Lato" w:hAnsi="Lato"/>
                <w:sz w:val="22"/>
              </w:rPr>
              <w:t>FaFT</w:t>
            </w:r>
            <w:proofErr w:type="spellEnd"/>
            <w:r w:rsidR="00F74759">
              <w:rPr>
                <w:rFonts w:ascii="Lato" w:hAnsi="Lato"/>
                <w:sz w:val="22"/>
              </w:rPr>
              <w:t xml:space="preserve">) </w:t>
            </w:r>
            <w:r w:rsidRPr="00CA48B7">
              <w:rPr>
                <w:rFonts w:ascii="Lato" w:hAnsi="Lato"/>
                <w:sz w:val="22"/>
              </w:rPr>
              <w:t xml:space="preserve">program increase in dosage </w:t>
            </w:r>
          </w:p>
        </w:tc>
        <w:tc>
          <w:tcPr>
            <w:tcW w:w="3081" w:type="dxa"/>
          </w:tcPr>
          <w:p w14:paraId="0A245373" w14:textId="77777777" w:rsidR="0079521A" w:rsidRPr="00CA48B7" w:rsidRDefault="0079521A" w:rsidP="00A573A3">
            <w:pPr>
              <w:rPr>
                <w:rFonts w:ascii="Lato" w:hAnsi="Lato"/>
                <w:sz w:val="22"/>
                <w:highlight w:val="yellow"/>
              </w:rPr>
            </w:pPr>
            <w:r w:rsidRPr="00CA48B7">
              <w:rPr>
                <w:rFonts w:ascii="Lato" w:hAnsi="Lato"/>
                <w:sz w:val="22"/>
              </w:rPr>
              <w:t xml:space="preserve">Increase in the number of children and their families attending the program for at least three days per week </w:t>
            </w:r>
          </w:p>
        </w:tc>
        <w:tc>
          <w:tcPr>
            <w:tcW w:w="3081" w:type="dxa"/>
          </w:tcPr>
          <w:p w14:paraId="0A245374" w14:textId="77777777" w:rsidR="0079521A" w:rsidRPr="00CA48B7" w:rsidRDefault="0079521A" w:rsidP="00867BDE">
            <w:pPr>
              <w:pStyle w:val="ListParagraph"/>
              <w:numPr>
                <w:ilvl w:val="0"/>
                <w:numId w:val="19"/>
              </w:numPr>
              <w:ind w:left="218" w:hanging="218"/>
              <w:rPr>
                <w:rFonts w:ascii="Lato" w:hAnsi="Lato"/>
                <w:sz w:val="22"/>
              </w:rPr>
            </w:pPr>
            <w:r w:rsidRPr="00CA48B7">
              <w:rPr>
                <w:rFonts w:ascii="Lato" w:hAnsi="Lato"/>
                <w:sz w:val="22"/>
              </w:rPr>
              <w:t>50 per cent of payment dependent on achieving or maintaining the higher of the baseline or the previous year's actual rate</w:t>
            </w:r>
            <w:r w:rsidR="005916C4">
              <w:rPr>
                <w:rFonts w:ascii="Lato" w:hAnsi="Lato"/>
                <w:sz w:val="22"/>
              </w:rPr>
              <w:t>; and</w:t>
            </w:r>
          </w:p>
          <w:p w14:paraId="0A245375" w14:textId="77777777" w:rsidR="0079521A" w:rsidRPr="00CA48B7" w:rsidRDefault="001572E0" w:rsidP="00867BDE">
            <w:pPr>
              <w:widowControl w:val="0"/>
              <w:numPr>
                <w:ilvl w:val="0"/>
                <w:numId w:val="19"/>
              </w:numPr>
              <w:tabs>
                <w:tab w:val="left" w:pos="434"/>
              </w:tabs>
              <w:spacing w:line="219" w:lineRule="auto"/>
              <w:ind w:left="218" w:right="127" w:hanging="218"/>
              <w:rPr>
                <w:rFonts w:ascii="Lato" w:hAnsi="Lato"/>
                <w:sz w:val="22"/>
              </w:rPr>
            </w:pPr>
            <w:r w:rsidRPr="00867BDE">
              <w:rPr>
                <w:rFonts w:ascii="Lato" w:hAnsi="Lato"/>
                <w:sz w:val="22"/>
              </w:rPr>
              <w:t>50 per cent of payment calculated pro rata based on the proportion of each year's benchmark achieved above the baseline or the previous year's actual attendance rate, whichever is higher</w:t>
            </w:r>
            <w:r w:rsidR="005916C4">
              <w:rPr>
                <w:rFonts w:ascii="Lato" w:hAnsi="Lato"/>
                <w:sz w:val="22"/>
              </w:rPr>
              <w:t>.</w:t>
            </w:r>
            <w:r w:rsidR="003633B6" w:rsidRPr="00CA48B7">
              <w:rPr>
                <w:rFonts w:ascii="Lato" w:hAnsi="Lato"/>
                <w:sz w:val="22"/>
              </w:rPr>
              <w:t xml:space="preserve"> </w:t>
            </w:r>
          </w:p>
        </w:tc>
      </w:tr>
      <w:tr w:rsidR="0079521A" w:rsidRPr="00BD5E05" w14:paraId="0A24537B" w14:textId="77777777" w:rsidTr="006F42AA">
        <w:tc>
          <w:tcPr>
            <w:tcW w:w="3080" w:type="dxa"/>
          </w:tcPr>
          <w:p w14:paraId="0A245377" w14:textId="77777777" w:rsidR="0079521A" w:rsidRPr="00CA48B7" w:rsidRDefault="0079521A" w:rsidP="005D5FE0">
            <w:pPr>
              <w:rPr>
                <w:rFonts w:ascii="Lato" w:hAnsi="Lato"/>
                <w:sz w:val="22"/>
                <w:highlight w:val="yellow"/>
              </w:rPr>
            </w:pPr>
            <w:r w:rsidRPr="00CA48B7">
              <w:rPr>
                <w:rFonts w:ascii="Lato" w:hAnsi="Lato"/>
                <w:sz w:val="22"/>
              </w:rPr>
              <w:t>Transition Support Unit case management retention rate</w:t>
            </w:r>
          </w:p>
        </w:tc>
        <w:tc>
          <w:tcPr>
            <w:tcW w:w="3081" w:type="dxa"/>
          </w:tcPr>
          <w:p w14:paraId="0A245378" w14:textId="77777777" w:rsidR="0079521A" w:rsidRPr="00CA48B7" w:rsidRDefault="0079521A" w:rsidP="005D5FE0">
            <w:pPr>
              <w:rPr>
                <w:rFonts w:ascii="Lato" w:hAnsi="Lato"/>
                <w:sz w:val="22"/>
                <w:highlight w:val="yellow"/>
              </w:rPr>
            </w:pPr>
            <w:r w:rsidRPr="00CA48B7">
              <w:rPr>
                <w:rFonts w:ascii="Lato" w:hAnsi="Lato"/>
                <w:sz w:val="22"/>
              </w:rPr>
              <w:t>Retention rate of year seven boarding students case managed by the TSU</w:t>
            </w:r>
          </w:p>
        </w:tc>
        <w:tc>
          <w:tcPr>
            <w:tcW w:w="3081" w:type="dxa"/>
          </w:tcPr>
          <w:p w14:paraId="0A245379" w14:textId="77777777" w:rsidR="0079521A" w:rsidRPr="00CA48B7" w:rsidRDefault="0079521A" w:rsidP="00867BDE">
            <w:pPr>
              <w:pStyle w:val="ListParagraph"/>
              <w:numPr>
                <w:ilvl w:val="0"/>
                <w:numId w:val="19"/>
              </w:numPr>
              <w:ind w:left="218" w:hanging="218"/>
              <w:rPr>
                <w:rFonts w:ascii="Lato" w:hAnsi="Lato"/>
                <w:sz w:val="22"/>
              </w:rPr>
            </w:pPr>
            <w:r w:rsidRPr="00CA48B7">
              <w:rPr>
                <w:rFonts w:ascii="Lato" w:hAnsi="Lato"/>
                <w:sz w:val="22"/>
              </w:rPr>
              <w:t xml:space="preserve">50 per cent of payment dependent on achieving or maintaining the higher of the baseline or the previous year's actual </w:t>
            </w:r>
            <w:r w:rsidR="00A573A3" w:rsidRPr="00CA48B7">
              <w:rPr>
                <w:rFonts w:ascii="Lato" w:hAnsi="Lato"/>
                <w:sz w:val="22"/>
              </w:rPr>
              <w:t>retention</w:t>
            </w:r>
            <w:r w:rsidRPr="00CA48B7">
              <w:rPr>
                <w:rFonts w:ascii="Lato" w:hAnsi="Lato"/>
                <w:sz w:val="22"/>
              </w:rPr>
              <w:t xml:space="preserve"> rate</w:t>
            </w:r>
            <w:r w:rsidR="005916C4">
              <w:rPr>
                <w:rFonts w:ascii="Lato" w:hAnsi="Lato"/>
                <w:sz w:val="22"/>
              </w:rPr>
              <w:t>; and</w:t>
            </w:r>
          </w:p>
          <w:p w14:paraId="0A24537A" w14:textId="77777777" w:rsidR="0079521A" w:rsidRPr="00CA48B7" w:rsidRDefault="001572E0" w:rsidP="00867BDE">
            <w:pPr>
              <w:widowControl w:val="0"/>
              <w:numPr>
                <w:ilvl w:val="0"/>
                <w:numId w:val="19"/>
              </w:numPr>
              <w:tabs>
                <w:tab w:val="left" w:pos="434"/>
              </w:tabs>
              <w:spacing w:line="219" w:lineRule="auto"/>
              <w:ind w:left="218" w:right="127" w:hanging="218"/>
              <w:rPr>
                <w:rFonts w:ascii="Lato" w:hAnsi="Lato"/>
                <w:sz w:val="22"/>
              </w:rPr>
            </w:pPr>
            <w:r w:rsidRPr="00867BDE">
              <w:rPr>
                <w:rFonts w:ascii="Lato" w:hAnsi="Lato"/>
                <w:sz w:val="22"/>
              </w:rPr>
              <w:t>50 per cent of payment calculated pro rata based on the proportion of each year's benchmark achieved above the baseline or the previous year's actual attendance rate, whichever is higher</w:t>
            </w:r>
            <w:r w:rsidR="005916C4">
              <w:rPr>
                <w:rFonts w:ascii="Lato" w:hAnsi="Lato"/>
                <w:sz w:val="22"/>
              </w:rPr>
              <w:t>.</w:t>
            </w:r>
          </w:p>
        </w:tc>
      </w:tr>
      <w:tr w:rsidR="0079521A" w:rsidRPr="00BD5E05" w14:paraId="0A245380" w14:textId="77777777" w:rsidTr="006F42AA">
        <w:tc>
          <w:tcPr>
            <w:tcW w:w="3080" w:type="dxa"/>
          </w:tcPr>
          <w:p w14:paraId="0A24537C" w14:textId="77777777" w:rsidR="0079521A" w:rsidRPr="00CA48B7" w:rsidRDefault="0079521A" w:rsidP="00CB7F19">
            <w:pPr>
              <w:rPr>
                <w:rFonts w:ascii="Lato" w:hAnsi="Lato"/>
                <w:sz w:val="22"/>
                <w:highlight w:val="yellow"/>
              </w:rPr>
            </w:pPr>
            <w:r w:rsidRPr="00CA48B7">
              <w:rPr>
                <w:rFonts w:ascii="Lato" w:hAnsi="Lato"/>
                <w:sz w:val="22"/>
              </w:rPr>
              <w:t xml:space="preserve">Indigenous assistant teachers supported to complete </w:t>
            </w:r>
            <w:r w:rsidR="00F32707">
              <w:rPr>
                <w:rFonts w:ascii="Lato" w:hAnsi="Lato"/>
                <w:sz w:val="22"/>
              </w:rPr>
              <w:t xml:space="preserve">accredited training </w:t>
            </w:r>
          </w:p>
        </w:tc>
        <w:tc>
          <w:tcPr>
            <w:tcW w:w="3081" w:type="dxa"/>
          </w:tcPr>
          <w:p w14:paraId="0A24537D" w14:textId="77777777" w:rsidR="0079521A" w:rsidRPr="00CA48B7" w:rsidRDefault="0079521A" w:rsidP="00C83A8D">
            <w:pPr>
              <w:rPr>
                <w:rFonts w:ascii="Lato" w:hAnsi="Lato"/>
                <w:sz w:val="22"/>
                <w:highlight w:val="yellow"/>
              </w:rPr>
            </w:pPr>
            <w:r w:rsidRPr="00CA48B7">
              <w:rPr>
                <w:rFonts w:ascii="Lato" w:hAnsi="Lato"/>
                <w:sz w:val="22"/>
              </w:rPr>
              <w:t xml:space="preserve">Completion rate of enrolled Indigenous assistant teachers </w:t>
            </w:r>
            <w:r w:rsidR="00C83A8D">
              <w:rPr>
                <w:rFonts w:ascii="Lato" w:hAnsi="Lato"/>
                <w:sz w:val="22"/>
              </w:rPr>
              <w:t>completing a statement of attainment each year</w:t>
            </w:r>
          </w:p>
        </w:tc>
        <w:tc>
          <w:tcPr>
            <w:tcW w:w="3081" w:type="dxa"/>
          </w:tcPr>
          <w:p w14:paraId="0A24537E" w14:textId="77777777" w:rsidR="0079521A" w:rsidRPr="00CA48B7" w:rsidRDefault="0079521A" w:rsidP="00867BDE">
            <w:pPr>
              <w:pStyle w:val="ListParagraph"/>
              <w:numPr>
                <w:ilvl w:val="0"/>
                <w:numId w:val="19"/>
              </w:numPr>
              <w:ind w:left="218" w:hanging="218"/>
              <w:rPr>
                <w:rFonts w:ascii="Lato" w:hAnsi="Lato"/>
                <w:sz w:val="22"/>
              </w:rPr>
            </w:pPr>
            <w:r w:rsidRPr="00CA48B7">
              <w:rPr>
                <w:rFonts w:ascii="Lato" w:hAnsi="Lato"/>
                <w:sz w:val="22"/>
              </w:rPr>
              <w:t xml:space="preserve">50 per cent of payment dependent on achieving or maintaining the higher of the baseline or the previous year's actual </w:t>
            </w:r>
            <w:r w:rsidR="00A573A3" w:rsidRPr="00CA48B7">
              <w:rPr>
                <w:rFonts w:ascii="Lato" w:hAnsi="Lato"/>
                <w:sz w:val="22"/>
              </w:rPr>
              <w:t xml:space="preserve">completion </w:t>
            </w:r>
            <w:r w:rsidRPr="00CA48B7">
              <w:rPr>
                <w:rFonts w:ascii="Lato" w:hAnsi="Lato"/>
                <w:sz w:val="22"/>
              </w:rPr>
              <w:t>rate</w:t>
            </w:r>
            <w:r w:rsidR="005916C4">
              <w:rPr>
                <w:rFonts w:ascii="Lato" w:hAnsi="Lato"/>
                <w:sz w:val="22"/>
              </w:rPr>
              <w:t>; and</w:t>
            </w:r>
          </w:p>
          <w:p w14:paraId="0A24537F" w14:textId="77777777" w:rsidR="0079521A" w:rsidRPr="00CA48B7" w:rsidRDefault="001572E0" w:rsidP="00867BDE">
            <w:pPr>
              <w:widowControl w:val="0"/>
              <w:numPr>
                <w:ilvl w:val="0"/>
                <w:numId w:val="19"/>
              </w:numPr>
              <w:tabs>
                <w:tab w:val="left" w:pos="434"/>
              </w:tabs>
              <w:spacing w:line="219" w:lineRule="auto"/>
              <w:ind w:left="218" w:right="127" w:hanging="218"/>
              <w:rPr>
                <w:rFonts w:ascii="Lato" w:hAnsi="Lato"/>
                <w:sz w:val="22"/>
              </w:rPr>
            </w:pPr>
            <w:r w:rsidRPr="00867BDE">
              <w:rPr>
                <w:rFonts w:ascii="Lato" w:hAnsi="Lato"/>
                <w:sz w:val="22"/>
              </w:rPr>
              <w:t>50 per cent of payment calculated pro rata based on the proportion of each year's benchmark achieved above the baseline or the previous year's actual attendance rate, whichever is higher</w:t>
            </w:r>
            <w:r w:rsidR="005916C4">
              <w:rPr>
                <w:rFonts w:ascii="Lato" w:hAnsi="Lato"/>
                <w:sz w:val="22"/>
              </w:rPr>
              <w:t>.</w:t>
            </w:r>
          </w:p>
        </w:tc>
      </w:tr>
      <w:tr w:rsidR="0079521A" w:rsidRPr="00BD5E05" w14:paraId="0A245385" w14:textId="77777777" w:rsidTr="006F42AA">
        <w:tc>
          <w:tcPr>
            <w:tcW w:w="3080" w:type="dxa"/>
          </w:tcPr>
          <w:p w14:paraId="0A245381" w14:textId="77777777" w:rsidR="0079521A" w:rsidRPr="00CA48B7" w:rsidRDefault="0079521A" w:rsidP="0011115F">
            <w:pPr>
              <w:pStyle w:val="Heading2"/>
              <w:spacing w:before="0"/>
              <w:rPr>
                <w:rFonts w:ascii="Lato" w:hAnsi="Lato"/>
                <w:sz w:val="22"/>
                <w:highlight w:val="lightGray"/>
              </w:rPr>
            </w:pPr>
            <w:r w:rsidRPr="00CA48B7">
              <w:rPr>
                <w:rFonts w:ascii="Lato" w:hAnsi="Lato"/>
                <w:b w:val="0"/>
                <w:color w:val="000000" w:themeColor="text1"/>
                <w:sz w:val="22"/>
              </w:rPr>
              <w:lastRenderedPageBreak/>
              <w:t>Indigenous student attendance rate of 90 per cent</w:t>
            </w:r>
          </w:p>
        </w:tc>
        <w:tc>
          <w:tcPr>
            <w:tcW w:w="3081" w:type="dxa"/>
          </w:tcPr>
          <w:p w14:paraId="0A245382" w14:textId="77777777" w:rsidR="0079521A" w:rsidRPr="00CA48B7" w:rsidRDefault="0079521A" w:rsidP="0011115F">
            <w:pPr>
              <w:pStyle w:val="Heading2"/>
              <w:spacing w:before="0"/>
              <w:rPr>
                <w:rFonts w:ascii="Lato" w:hAnsi="Lato"/>
                <w:sz w:val="22"/>
                <w:highlight w:val="lightGray"/>
              </w:rPr>
            </w:pPr>
            <w:r w:rsidRPr="00CA48B7">
              <w:rPr>
                <w:rFonts w:ascii="Lato" w:hAnsi="Lato"/>
                <w:b w:val="0"/>
                <w:color w:val="000000" w:themeColor="text1"/>
                <w:sz w:val="22"/>
              </w:rPr>
              <w:t>Increase in the attendance rate of Indigenous students in the Northern Territory toward a COAG benchmark of 90 per cent</w:t>
            </w:r>
          </w:p>
        </w:tc>
        <w:tc>
          <w:tcPr>
            <w:tcW w:w="3081" w:type="dxa"/>
          </w:tcPr>
          <w:p w14:paraId="0A245383" w14:textId="77777777" w:rsidR="0079521A" w:rsidRPr="00CA48B7" w:rsidRDefault="0079521A" w:rsidP="00867BDE">
            <w:pPr>
              <w:widowControl w:val="0"/>
              <w:numPr>
                <w:ilvl w:val="0"/>
                <w:numId w:val="19"/>
              </w:numPr>
              <w:spacing w:line="219" w:lineRule="auto"/>
              <w:ind w:left="218" w:right="127" w:hanging="218"/>
              <w:rPr>
                <w:rFonts w:ascii="Lato" w:hAnsi="Lato"/>
                <w:sz w:val="22"/>
              </w:rPr>
            </w:pPr>
            <w:r w:rsidRPr="00CA48B7">
              <w:rPr>
                <w:rFonts w:ascii="Lato" w:hAnsi="Lato"/>
                <w:sz w:val="22"/>
              </w:rPr>
              <w:t>50 per cent of payment dependent on achieving or maintaining the higher of the baseline or the previous year's actual attendance rate</w:t>
            </w:r>
            <w:r w:rsidR="005916C4">
              <w:rPr>
                <w:rFonts w:ascii="Lato" w:hAnsi="Lato"/>
                <w:sz w:val="22"/>
              </w:rPr>
              <w:t>; and</w:t>
            </w:r>
          </w:p>
          <w:p w14:paraId="0A245384" w14:textId="77777777" w:rsidR="0079521A" w:rsidRPr="00CA48B7" w:rsidRDefault="0079521A" w:rsidP="00867BDE">
            <w:pPr>
              <w:widowControl w:val="0"/>
              <w:numPr>
                <w:ilvl w:val="0"/>
                <w:numId w:val="19"/>
              </w:numPr>
              <w:tabs>
                <w:tab w:val="left" w:pos="218"/>
              </w:tabs>
              <w:spacing w:line="219" w:lineRule="auto"/>
              <w:ind w:left="218" w:right="127" w:hanging="218"/>
              <w:rPr>
                <w:rFonts w:ascii="Lato" w:hAnsi="Lato"/>
                <w:b/>
                <w:sz w:val="22"/>
              </w:rPr>
            </w:pPr>
            <w:r w:rsidRPr="00CA48B7">
              <w:rPr>
                <w:rFonts w:ascii="Lato" w:hAnsi="Lato"/>
                <w:sz w:val="22"/>
              </w:rPr>
              <w:t>50 per cent of payment calculated pro rata based on the proportion of each year's benchmark achieved above the baseline or the previous year's actual attendance rate, whichever is higher</w:t>
            </w:r>
            <w:r w:rsidR="005916C4">
              <w:rPr>
                <w:rFonts w:ascii="Lato" w:hAnsi="Lato"/>
                <w:sz w:val="22"/>
              </w:rPr>
              <w:t>.</w:t>
            </w:r>
          </w:p>
        </w:tc>
      </w:tr>
      <w:tr w:rsidR="0079521A" w:rsidRPr="00BD5E05" w14:paraId="0A24538A" w14:textId="77777777" w:rsidTr="006F42AA">
        <w:tc>
          <w:tcPr>
            <w:tcW w:w="3080" w:type="dxa"/>
          </w:tcPr>
          <w:p w14:paraId="0A245386" w14:textId="77777777" w:rsidR="0079521A" w:rsidRPr="00CA48B7" w:rsidRDefault="0079521A" w:rsidP="0011115F">
            <w:pPr>
              <w:pStyle w:val="Heading2"/>
              <w:spacing w:before="0"/>
              <w:rPr>
                <w:rFonts w:ascii="Lato" w:hAnsi="Lato"/>
                <w:sz w:val="22"/>
                <w:highlight w:val="lightGray"/>
              </w:rPr>
            </w:pPr>
            <w:r w:rsidRPr="00CA48B7">
              <w:rPr>
                <w:rFonts w:ascii="Lato" w:hAnsi="Lato"/>
                <w:b w:val="0"/>
                <w:color w:val="000000" w:themeColor="text1"/>
                <w:sz w:val="22"/>
              </w:rPr>
              <w:t>Indigenous students attending at least four days per week</w:t>
            </w:r>
          </w:p>
        </w:tc>
        <w:tc>
          <w:tcPr>
            <w:tcW w:w="3081" w:type="dxa"/>
          </w:tcPr>
          <w:p w14:paraId="0A245387" w14:textId="77777777" w:rsidR="0079521A" w:rsidRPr="00CA48B7" w:rsidRDefault="0079521A" w:rsidP="0011115F">
            <w:pPr>
              <w:pStyle w:val="Heading2"/>
              <w:spacing w:before="0"/>
              <w:rPr>
                <w:rFonts w:ascii="Lato" w:hAnsi="Lato"/>
                <w:sz w:val="22"/>
                <w:highlight w:val="lightGray"/>
              </w:rPr>
            </w:pPr>
            <w:r w:rsidRPr="00CA48B7">
              <w:rPr>
                <w:rFonts w:ascii="Lato" w:hAnsi="Lato"/>
                <w:b w:val="0"/>
                <w:color w:val="000000" w:themeColor="text1"/>
                <w:sz w:val="22"/>
              </w:rPr>
              <w:t>Increase in the proportion of students attending at least four days per week or more</w:t>
            </w:r>
          </w:p>
        </w:tc>
        <w:tc>
          <w:tcPr>
            <w:tcW w:w="3081" w:type="dxa"/>
          </w:tcPr>
          <w:p w14:paraId="0A245388" w14:textId="77777777" w:rsidR="0079521A" w:rsidRPr="00CA48B7" w:rsidRDefault="0079521A" w:rsidP="00867BDE">
            <w:pPr>
              <w:widowControl w:val="0"/>
              <w:numPr>
                <w:ilvl w:val="0"/>
                <w:numId w:val="19"/>
              </w:numPr>
              <w:tabs>
                <w:tab w:val="left" w:pos="218"/>
                <w:tab w:val="left" w:pos="406"/>
              </w:tabs>
              <w:spacing w:line="219" w:lineRule="auto"/>
              <w:ind w:left="218" w:right="127" w:hanging="218"/>
              <w:rPr>
                <w:rFonts w:ascii="Lato" w:hAnsi="Lato"/>
                <w:sz w:val="22"/>
              </w:rPr>
            </w:pPr>
            <w:r w:rsidRPr="00CA48B7">
              <w:rPr>
                <w:rFonts w:ascii="Lato" w:hAnsi="Lato"/>
                <w:sz w:val="22"/>
              </w:rPr>
              <w:t>50 per cent of payment dependent on achieving or maintaining the higher of the baseline or the previous year's actual attendance rate</w:t>
            </w:r>
            <w:r w:rsidR="005916C4">
              <w:rPr>
                <w:rFonts w:ascii="Lato" w:hAnsi="Lato"/>
                <w:sz w:val="22"/>
              </w:rPr>
              <w:t>; and</w:t>
            </w:r>
          </w:p>
          <w:p w14:paraId="0A245389" w14:textId="77777777" w:rsidR="0079521A" w:rsidRPr="00CA48B7" w:rsidRDefault="0079521A" w:rsidP="00867BDE">
            <w:pPr>
              <w:widowControl w:val="0"/>
              <w:numPr>
                <w:ilvl w:val="0"/>
                <w:numId w:val="20"/>
              </w:numPr>
              <w:tabs>
                <w:tab w:val="left" w:pos="218"/>
                <w:tab w:val="left" w:pos="398"/>
              </w:tabs>
              <w:spacing w:line="215" w:lineRule="auto"/>
              <w:ind w:left="218" w:right="153" w:hanging="218"/>
              <w:rPr>
                <w:rFonts w:ascii="Lato" w:hAnsi="Lato"/>
                <w:b/>
                <w:sz w:val="22"/>
              </w:rPr>
            </w:pPr>
            <w:r w:rsidRPr="00CA48B7">
              <w:rPr>
                <w:rFonts w:ascii="Lato" w:hAnsi="Lato"/>
                <w:sz w:val="22"/>
              </w:rPr>
              <w:t>50 per cent of payment calculated pro rata based on the proportion of each benchmark achieved above the baseline or the previous year's actual attendance rate, whichever is higher</w:t>
            </w:r>
            <w:r w:rsidR="005916C4">
              <w:rPr>
                <w:rFonts w:ascii="Lato" w:hAnsi="Lato"/>
                <w:sz w:val="22"/>
              </w:rPr>
              <w:t>.</w:t>
            </w:r>
          </w:p>
        </w:tc>
      </w:tr>
      <w:tr w:rsidR="0079521A" w:rsidRPr="00BD5E05" w14:paraId="0A24538F" w14:textId="77777777" w:rsidTr="006F42AA">
        <w:tc>
          <w:tcPr>
            <w:tcW w:w="3080" w:type="dxa"/>
          </w:tcPr>
          <w:p w14:paraId="0A24538B" w14:textId="77777777" w:rsidR="0079521A" w:rsidRPr="00CA48B7" w:rsidRDefault="0079521A" w:rsidP="0011115F">
            <w:pPr>
              <w:pStyle w:val="Heading2"/>
              <w:spacing w:before="0"/>
              <w:rPr>
                <w:rFonts w:ascii="Lato" w:hAnsi="Lato"/>
                <w:b w:val="0"/>
                <w:color w:val="000000" w:themeColor="text1"/>
                <w:sz w:val="22"/>
              </w:rPr>
            </w:pPr>
            <w:r w:rsidRPr="00CA48B7">
              <w:rPr>
                <w:rFonts w:ascii="Lato" w:hAnsi="Lato"/>
                <w:b w:val="0"/>
                <w:color w:val="000000" w:themeColor="text1"/>
                <w:sz w:val="22"/>
              </w:rPr>
              <w:t xml:space="preserve">Indigenous government school students achieving at or above national minimum standard in </w:t>
            </w:r>
            <w:r w:rsidR="00F74759" w:rsidRPr="00F74759">
              <w:rPr>
                <w:rFonts w:ascii="Lato" w:hAnsi="Lato"/>
                <w:b w:val="0"/>
                <w:color w:val="000000" w:themeColor="text1"/>
                <w:sz w:val="22"/>
              </w:rPr>
              <w:t xml:space="preserve">National Assessment Program – Literacy and Numeracy </w:t>
            </w:r>
            <w:r w:rsidR="00F74759">
              <w:rPr>
                <w:rFonts w:ascii="Lato" w:hAnsi="Lato"/>
                <w:b w:val="0"/>
                <w:color w:val="000000" w:themeColor="text1"/>
                <w:sz w:val="22"/>
              </w:rPr>
              <w:t>(</w:t>
            </w:r>
            <w:r w:rsidRPr="00CA48B7">
              <w:rPr>
                <w:rFonts w:ascii="Lato" w:hAnsi="Lato"/>
                <w:b w:val="0"/>
                <w:color w:val="000000" w:themeColor="text1"/>
                <w:sz w:val="22"/>
              </w:rPr>
              <w:t>NAPLAN</w:t>
            </w:r>
            <w:r w:rsidR="00F74759">
              <w:rPr>
                <w:rFonts w:ascii="Lato" w:hAnsi="Lato"/>
                <w:b w:val="0"/>
                <w:color w:val="000000" w:themeColor="text1"/>
                <w:sz w:val="22"/>
              </w:rPr>
              <w:t>)</w:t>
            </w:r>
            <w:r w:rsidRPr="00CA48B7">
              <w:rPr>
                <w:rFonts w:ascii="Lato" w:hAnsi="Lato"/>
                <w:b w:val="0"/>
                <w:color w:val="000000" w:themeColor="text1"/>
                <w:sz w:val="22"/>
              </w:rPr>
              <w:t xml:space="preserve"> reading and numeracy</w:t>
            </w:r>
          </w:p>
        </w:tc>
        <w:tc>
          <w:tcPr>
            <w:tcW w:w="3081" w:type="dxa"/>
          </w:tcPr>
          <w:p w14:paraId="0A24538C" w14:textId="77777777" w:rsidR="0079521A" w:rsidRPr="00CA48B7" w:rsidRDefault="0079521A" w:rsidP="00D04458">
            <w:pPr>
              <w:pStyle w:val="Heading2"/>
              <w:spacing w:before="0"/>
              <w:rPr>
                <w:rFonts w:ascii="Lato" w:hAnsi="Lato"/>
                <w:b w:val="0"/>
                <w:color w:val="000000" w:themeColor="text1"/>
                <w:sz w:val="22"/>
              </w:rPr>
            </w:pPr>
            <w:r w:rsidRPr="00CA48B7">
              <w:rPr>
                <w:rFonts w:ascii="Lato" w:hAnsi="Lato"/>
                <w:b w:val="0"/>
                <w:color w:val="000000" w:themeColor="text1"/>
                <w:sz w:val="22"/>
              </w:rPr>
              <w:t xml:space="preserve">Increase in the proportion </w:t>
            </w:r>
            <w:r w:rsidR="00867BDE">
              <w:rPr>
                <w:rFonts w:ascii="Lato" w:hAnsi="Lato"/>
                <w:b w:val="0"/>
                <w:color w:val="000000" w:themeColor="text1"/>
                <w:sz w:val="22"/>
              </w:rPr>
              <w:t xml:space="preserve">of </w:t>
            </w:r>
            <w:r w:rsidRPr="00CA48B7">
              <w:rPr>
                <w:rFonts w:ascii="Lato" w:hAnsi="Lato"/>
                <w:b w:val="0"/>
                <w:color w:val="000000" w:themeColor="text1"/>
                <w:sz w:val="22"/>
              </w:rPr>
              <w:t>students achieving at or above national minimum standard in NAPLAN reading and numeracy</w:t>
            </w:r>
          </w:p>
        </w:tc>
        <w:tc>
          <w:tcPr>
            <w:tcW w:w="3081" w:type="dxa"/>
          </w:tcPr>
          <w:p w14:paraId="0A24538D" w14:textId="77777777" w:rsidR="0079521A" w:rsidRPr="00CA48B7" w:rsidRDefault="0079521A" w:rsidP="00867BDE">
            <w:pPr>
              <w:widowControl w:val="0"/>
              <w:numPr>
                <w:ilvl w:val="0"/>
                <w:numId w:val="19"/>
              </w:numPr>
              <w:tabs>
                <w:tab w:val="left" w:pos="218"/>
                <w:tab w:val="left" w:pos="406"/>
              </w:tabs>
              <w:spacing w:line="219" w:lineRule="auto"/>
              <w:ind w:left="218" w:right="127" w:hanging="218"/>
              <w:rPr>
                <w:rFonts w:ascii="Lato" w:hAnsi="Lato"/>
                <w:sz w:val="22"/>
              </w:rPr>
            </w:pPr>
            <w:r w:rsidRPr="00CA48B7">
              <w:rPr>
                <w:rFonts w:ascii="Lato" w:hAnsi="Lato"/>
                <w:sz w:val="22"/>
              </w:rPr>
              <w:t>50 per cent of payment dependent on achieving or maintaining baseline</w:t>
            </w:r>
            <w:r w:rsidR="005916C4">
              <w:rPr>
                <w:rFonts w:ascii="Lato" w:hAnsi="Lato"/>
                <w:sz w:val="22"/>
              </w:rPr>
              <w:t>; and</w:t>
            </w:r>
          </w:p>
          <w:p w14:paraId="0A24538E" w14:textId="77777777" w:rsidR="0079521A" w:rsidRPr="00CA48B7" w:rsidRDefault="0079521A" w:rsidP="00867BDE">
            <w:pPr>
              <w:widowControl w:val="0"/>
              <w:numPr>
                <w:ilvl w:val="0"/>
                <w:numId w:val="19"/>
              </w:numPr>
              <w:tabs>
                <w:tab w:val="left" w:pos="218"/>
                <w:tab w:val="left" w:pos="406"/>
              </w:tabs>
              <w:spacing w:line="219" w:lineRule="auto"/>
              <w:ind w:left="218" w:right="127" w:hanging="218"/>
              <w:rPr>
                <w:rFonts w:ascii="Lato" w:hAnsi="Lato"/>
                <w:sz w:val="22"/>
              </w:rPr>
            </w:pPr>
            <w:r w:rsidRPr="00CA48B7">
              <w:rPr>
                <w:rFonts w:ascii="Lato" w:hAnsi="Lato"/>
                <w:sz w:val="22"/>
              </w:rPr>
              <w:t xml:space="preserve">50 per cent of payment calculated pro rata based on the proportion of each benchmark achieved above the </w:t>
            </w:r>
            <w:r w:rsidRPr="001572E0">
              <w:rPr>
                <w:rFonts w:ascii="Lato" w:hAnsi="Lato"/>
                <w:sz w:val="22"/>
              </w:rPr>
              <w:t>baseline</w:t>
            </w:r>
            <w:r w:rsidR="001572E0" w:rsidRPr="001572E0">
              <w:rPr>
                <w:rFonts w:ascii="Lato" w:hAnsi="Lato"/>
                <w:sz w:val="22"/>
              </w:rPr>
              <w:t xml:space="preserve"> </w:t>
            </w:r>
            <w:r w:rsidR="001572E0" w:rsidRPr="00950344">
              <w:rPr>
                <w:rFonts w:ascii="Lato" w:hAnsi="Lato"/>
                <w:iCs/>
                <w:sz w:val="22"/>
              </w:rPr>
              <w:t>or the previous year's outcome, whichever is higher.</w:t>
            </w:r>
          </w:p>
        </w:tc>
      </w:tr>
    </w:tbl>
    <w:p w14:paraId="0A245390" w14:textId="77777777" w:rsidR="0079521A" w:rsidRPr="00CA48B7" w:rsidRDefault="0079521A">
      <w:pPr>
        <w:rPr>
          <w:rFonts w:ascii="Lato" w:hAnsi="Lato"/>
          <w:b/>
          <w:color w:val="3D4B67"/>
          <w:sz w:val="29"/>
        </w:rPr>
      </w:pPr>
    </w:p>
    <w:p w14:paraId="0A245391" w14:textId="77777777" w:rsidR="001F47BE" w:rsidRDefault="001F47BE">
      <w:pPr>
        <w:rPr>
          <w:rFonts w:ascii="Lato" w:hAnsi="Lato" w:cs="Arial"/>
          <w:b/>
          <w:bCs/>
          <w:iCs/>
          <w:color w:val="3D4B67"/>
          <w:sz w:val="29"/>
          <w:szCs w:val="28"/>
        </w:rPr>
      </w:pPr>
      <w:r>
        <w:rPr>
          <w:rFonts w:ascii="Lato" w:hAnsi="Lato"/>
        </w:rPr>
        <w:br w:type="page"/>
      </w:r>
    </w:p>
    <w:p w14:paraId="0A245392" w14:textId="77777777" w:rsidR="001F47BE" w:rsidRPr="00CA48B7" w:rsidRDefault="00AC525C" w:rsidP="00540238">
      <w:pPr>
        <w:pStyle w:val="Heading2"/>
        <w:spacing w:before="0" w:after="120"/>
        <w:rPr>
          <w:rFonts w:ascii="Lato" w:hAnsi="Lato"/>
        </w:rPr>
      </w:pPr>
      <w:r w:rsidRPr="00CA48B7">
        <w:rPr>
          <w:rFonts w:ascii="Lato" w:hAnsi="Lato"/>
        </w:rPr>
        <w:lastRenderedPageBreak/>
        <w:t>Performance Indicators</w:t>
      </w:r>
      <w:r w:rsidR="001F47BE">
        <w:rPr>
          <w:rFonts w:ascii="Lato" w:hAnsi="Lato"/>
        </w:rPr>
        <w:br/>
      </w:r>
      <w:r w:rsidR="001F47BE">
        <w:rPr>
          <w:rFonts w:ascii="Lato" w:hAnsi="Lato"/>
        </w:rPr>
        <w:br/>
      </w:r>
      <w:r w:rsidR="001F47BE" w:rsidRPr="00867BDE">
        <w:rPr>
          <w:rFonts w:ascii="Lato" w:hAnsi="Lato" w:cs="Times New Roman"/>
          <w:bCs w:val="0"/>
          <w:iCs w:val="0"/>
          <w:sz w:val="23"/>
          <w:szCs w:val="24"/>
        </w:rPr>
        <w:t>Table 9: Performance indicators</w:t>
      </w:r>
    </w:p>
    <w:tbl>
      <w:tblPr>
        <w:tblStyle w:val="TableGrid2"/>
        <w:tblW w:w="0" w:type="auto"/>
        <w:tblInd w:w="0" w:type="dxa"/>
        <w:tblLook w:val="04A0" w:firstRow="1" w:lastRow="0" w:firstColumn="1" w:lastColumn="0" w:noHBand="0" w:noVBand="1"/>
      </w:tblPr>
      <w:tblGrid>
        <w:gridCol w:w="1723"/>
        <w:gridCol w:w="2966"/>
        <w:gridCol w:w="4327"/>
      </w:tblGrid>
      <w:tr w:rsidR="001F47BE" w:rsidRPr="001F47BE" w14:paraId="0A245396" w14:textId="77777777" w:rsidTr="00B05A60">
        <w:trPr>
          <w:cantSplit/>
        </w:trPr>
        <w:tc>
          <w:tcPr>
            <w:tcW w:w="1723" w:type="dxa"/>
            <w:tcBorders>
              <w:top w:val="single" w:sz="4" w:space="0" w:color="000000"/>
              <w:left w:val="single" w:sz="4" w:space="0" w:color="000000"/>
              <w:bottom w:val="single" w:sz="4" w:space="0" w:color="000000"/>
              <w:right w:val="single" w:sz="4" w:space="0" w:color="000000"/>
            </w:tcBorders>
            <w:shd w:val="clear" w:color="auto" w:fill="D9D9D9"/>
            <w:hideMark/>
          </w:tcPr>
          <w:p w14:paraId="0A245393" w14:textId="77777777" w:rsidR="001F47BE" w:rsidRPr="001F47BE" w:rsidRDefault="001F47BE" w:rsidP="001F47BE">
            <w:pPr>
              <w:keepNext/>
              <w:keepLines/>
              <w:rPr>
                <w:rFonts w:eastAsia="Calibri"/>
                <w:b/>
                <w:color w:val="000000"/>
                <w:sz w:val="20"/>
                <w:szCs w:val="20"/>
                <w:lang w:eastAsia="en-US"/>
              </w:rPr>
            </w:pPr>
            <w:r w:rsidRPr="001F47BE">
              <w:rPr>
                <w:rFonts w:eastAsia="Calibri"/>
                <w:b/>
                <w:color w:val="000000"/>
                <w:sz w:val="20"/>
                <w:szCs w:val="20"/>
                <w:lang w:eastAsia="en-US"/>
              </w:rPr>
              <w:t>Activity</w:t>
            </w:r>
          </w:p>
        </w:tc>
        <w:tc>
          <w:tcPr>
            <w:tcW w:w="2966" w:type="dxa"/>
            <w:tcBorders>
              <w:top w:val="single" w:sz="4" w:space="0" w:color="000000"/>
              <w:left w:val="single" w:sz="4" w:space="0" w:color="000000"/>
              <w:bottom w:val="single" w:sz="4" w:space="0" w:color="000000"/>
              <w:right w:val="single" w:sz="4" w:space="0" w:color="000000"/>
            </w:tcBorders>
            <w:shd w:val="clear" w:color="auto" w:fill="D9D9D9"/>
            <w:hideMark/>
          </w:tcPr>
          <w:p w14:paraId="0A245394" w14:textId="77777777" w:rsidR="001F47BE" w:rsidRPr="001F47BE" w:rsidRDefault="001F47BE" w:rsidP="001F47BE">
            <w:pPr>
              <w:keepNext/>
              <w:keepLines/>
              <w:rPr>
                <w:rFonts w:eastAsia="Calibri"/>
                <w:b/>
                <w:color w:val="000000"/>
                <w:sz w:val="20"/>
                <w:szCs w:val="20"/>
                <w:lang w:eastAsia="en-US"/>
              </w:rPr>
            </w:pPr>
            <w:r w:rsidRPr="001F47BE">
              <w:rPr>
                <w:rFonts w:eastAsia="Calibri"/>
                <w:b/>
                <w:color w:val="000000"/>
                <w:sz w:val="20"/>
                <w:szCs w:val="20"/>
                <w:lang w:eastAsia="en-US"/>
              </w:rPr>
              <w:t>Performance measure</w:t>
            </w:r>
          </w:p>
        </w:tc>
        <w:tc>
          <w:tcPr>
            <w:tcW w:w="4327" w:type="dxa"/>
            <w:tcBorders>
              <w:top w:val="single" w:sz="4" w:space="0" w:color="000000"/>
              <w:left w:val="single" w:sz="4" w:space="0" w:color="000000"/>
              <w:bottom w:val="single" w:sz="4" w:space="0" w:color="000000"/>
              <w:right w:val="single" w:sz="4" w:space="0" w:color="000000"/>
            </w:tcBorders>
            <w:shd w:val="clear" w:color="auto" w:fill="D9D9D9"/>
            <w:hideMark/>
          </w:tcPr>
          <w:p w14:paraId="0A245395" w14:textId="77777777" w:rsidR="001F47BE" w:rsidRPr="001F47BE" w:rsidRDefault="001F47BE" w:rsidP="001F47BE">
            <w:pPr>
              <w:keepNext/>
              <w:keepLines/>
              <w:rPr>
                <w:rFonts w:eastAsia="Calibri"/>
                <w:b/>
                <w:color w:val="000000"/>
                <w:sz w:val="20"/>
                <w:szCs w:val="20"/>
                <w:lang w:eastAsia="en-US"/>
              </w:rPr>
            </w:pPr>
            <w:r w:rsidRPr="001F47BE">
              <w:rPr>
                <w:rFonts w:eastAsia="Calibri"/>
                <w:b/>
                <w:color w:val="000000"/>
                <w:sz w:val="20"/>
                <w:szCs w:val="20"/>
                <w:lang w:eastAsia="en-US"/>
              </w:rPr>
              <w:t>Performance indicator</w:t>
            </w:r>
          </w:p>
        </w:tc>
      </w:tr>
      <w:tr w:rsidR="001F47BE" w:rsidRPr="001F47BE" w14:paraId="0A24539A" w14:textId="77777777" w:rsidTr="00B05A60">
        <w:trPr>
          <w:cantSplit/>
          <w:trHeight w:val="1116"/>
        </w:trPr>
        <w:tc>
          <w:tcPr>
            <w:tcW w:w="1723" w:type="dxa"/>
            <w:vMerge w:val="restart"/>
            <w:tcBorders>
              <w:top w:val="single" w:sz="4" w:space="0" w:color="000000"/>
              <w:left w:val="single" w:sz="4" w:space="0" w:color="000000"/>
              <w:bottom w:val="single" w:sz="4" w:space="0" w:color="000000"/>
              <w:right w:val="single" w:sz="4" w:space="0" w:color="000000"/>
            </w:tcBorders>
            <w:hideMark/>
          </w:tcPr>
          <w:p w14:paraId="0A245397" w14:textId="77777777" w:rsidR="001F47BE" w:rsidRPr="001F47BE" w:rsidRDefault="001F47BE" w:rsidP="001F47BE">
            <w:pPr>
              <w:keepNext/>
              <w:keepLines/>
              <w:rPr>
                <w:rFonts w:eastAsia="Calibri"/>
                <w:color w:val="000000"/>
                <w:sz w:val="20"/>
                <w:szCs w:val="20"/>
                <w:lang w:eastAsia="en-US"/>
              </w:rPr>
            </w:pPr>
            <w:r w:rsidRPr="001F47BE">
              <w:rPr>
                <w:rFonts w:eastAsia="Calibri"/>
                <w:color w:val="000000"/>
                <w:sz w:val="20"/>
                <w:szCs w:val="20"/>
                <w:lang w:eastAsia="en-US"/>
              </w:rPr>
              <w:t>1. Foundations</w:t>
            </w:r>
          </w:p>
        </w:tc>
        <w:tc>
          <w:tcPr>
            <w:tcW w:w="2966" w:type="dxa"/>
            <w:vMerge w:val="restart"/>
            <w:tcBorders>
              <w:top w:val="single" w:sz="4" w:space="0" w:color="000000"/>
              <w:left w:val="single" w:sz="4" w:space="0" w:color="000000"/>
              <w:bottom w:val="single" w:sz="4" w:space="0" w:color="000000"/>
              <w:right w:val="single" w:sz="4" w:space="0" w:color="000000"/>
            </w:tcBorders>
            <w:hideMark/>
          </w:tcPr>
          <w:p w14:paraId="0A245398" w14:textId="77777777" w:rsidR="001F47BE" w:rsidRPr="001F47BE" w:rsidRDefault="001F47BE" w:rsidP="001F47BE">
            <w:pPr>
              <w:keepNext/>
              <w:keepLines/>
              <w:rPr>
                <w:rFonts w:eastAsia="Calibri"/>
                <w:color w:val="000000"/>
                <w:sz w:val="20"/>
                <w:szCs w:val="20"/>
                <w:lang w:eastAsia="en-US"/>
              </w:rPr>
            </w:pPr>
            <w:r w:rsidRPr="001F47BE">
              <w:rPr>
                <w:rFonts w:eastAsia="Calibri"/>
                <w:color w:val="000000"/>
                <w:sz w:val="20"/>
                <w:szCs w:val="20"/>
                <w:lang w:eastAsia="en-US"/>
              </w:rPr>
              <w:t>Developmental vulnerability of Indigenous children in one or more domain of the Australian Early Development Census (AEDC).</w:t>
            </w:r>
          </w:p>
        </w:tc>
        <w:tc>
          <w:tcPr>
            <w:tcW w:w="4327" w:type="dxa"/>
            <w:tcBorders>
              <w:top w:val="single" w:sz="4" w:space="0" w:color="000000"/>
              <w:left w:val="single" w:sz="4" w:space="0" w:color="000000"/>
              <w:bottom w:val="single" w:sz="4" w:space="0" w:color="000000"/>
              <w:right w:val="single" w:sz="4" w:space="0" w:color="000000"/>
            </w:tcBorders>
            <w:hideMark/>
          </w:tcPr>
          <w:p w14:paraId="0A245399" w14:textId="77777777" w:rsidR="001F47BE" w:rsidRPr="001F47BE" w:rsidRDefault="001F47BE" w:rsidP="001F47BE">
            <w:pPr>
              <w:keepNext/>
              <w:keepLines/>
              <w:rPr>
                <w:rFonts w:eastAsia="Calibri"/>
                <w:color w:val="000000"/>
                <w:sz w:val="20"/>
                <w:szCs w:val="20"/>
                <w:lang w:eastAsia="en-US"/>
              </w:rPr>
            </w:pPr>
            <w:r w:rsidRPr="001F47BE">
              <w:rPr>
                <w:rFonts w:eastAsia="Calibri"/>
                <w:color w:val="000000"/>
                <w:sz w:val="20"/>
                <w:szCs w:val="20"/>
                <w:lang w:eastAsia="en-US"/>
              </w:rPr>
              <w:t>A reduction in the proportion of remote and very remote Indigenous children who are developmentally vulnerable on one or more domains of the AEDC*.</w:t>
            </w:r>
          </w:p>
        </w:tc>
      </w:tr>
      <w:tr w:rsidR="001F47BE" w:rsidRPr="001F47BE" w14:paraId="0A24539E" w14:textId="77777777" w:rsidTr="00B05A60">
        <w:trPr>
          <w:cantSplit/>
          <w:trHeight w:val="5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9B" w14:textId="77777777" w:rsidR="001F47BE" w:rsidRPr="001F47BE" w:rsidRDefault="001F47BE" w:rsidP="001F47BE">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9C" w14:textId="77777777" w:rsidR="001F47BE" w:rsidRPr="001F47BE" w:rsidRDefault="001F47BE" w:rsidP="001F47BE">
            <w:pPr>
              <w:rPr>
                <w:color w:val="000000"/>
                <w:sz w:val="20"/>
                <w:szCs w:val="20"/>
              </w:rPr>
            </w:pPr>
          </w:p>
        </w:tc>
        <w:tc>
          <w:tcPr>
            <w:tcW w:w="4327" w:type="dxa"/>
            <w:tcBorders>
              <w:top w:val="single" w:sz="4" w:space="0" w:color="000000"/>
              <w:left w:val="single" w:sz="4" w:space="0" w:color="000000"/>
              <w:bottom w:val="single" w:sz="4" w:space="0" w:color="000000"/>
              <w:right w:val="single" w:sz="4" w:space="0" w:color="000000"/>
            </w:tcBorders>
            <w:hideMark/>
          </w:tcPr>
          <w:p w14:paraId="0A24539D" w14:textId="77777777" w:rsidR="001F47BE" w:rsidRPr="001F47BE" w:rsidRDefault="001F47BE" w:rsidP="001F47BE">
            <w:pPr>
              <w:keepNext/>
              <w:keepLines/>
              <w:rPr>
                <w:rFonts w:eastAsia="Calibri"/>
                <w:color w:val="000000"/>
                <w:sz w:val="20"/>
                <w:szCs w:val="20"/>
                <w:lang w:eastAsia="en-US"/>
              </w:rPr>
            </w:pPr>
            <w:r w:rsidRPr="001F47BE">
              <w:rPr>
                <w:rFonts w:eastAsia="Calibri"/>
                <w:color w:val="000000"/>
                <w:sz w:val="20"/>
                <w:szCs w:val="20"/>
                <w:lang w:eastAsia="en-US"/>
              </w:rPr>
              <w:t>Increase in remote and very remote Indigenous preschool attendance rate.</w:t>
            </w:r>
          </w:p>
        </w:tc>
      </w:tr>
      <w:tr w:rsidR="001F47BE" w:rsidRPr="001F47BE" w14:paraId="0A2453A2" w14:textId="77777777" w:rsidTr="00B05A60">
        <w:trPr>
          <w:cantSplit/>
          <w:trHeight w:val="1152"/>
        </w:trPr>
        <w:tc>
          <w:tcPr>
            <w:tcW w:w="1723" w:type="dxa"/>
            <w:vMerge w:val="restart"/>
            <w:tcBorders>
              <w:top w:val="single" w:sz="4" w:space="0" w:color="000000"/>
              <w:left w:val="single" w:sz="4" w:space="0" w:color="000000"/>
              <w:bottom w:val="single" w:sz="4" w:space="0" w:color="000000"/>
              <w:right w:val="single" w:sz="4" w:space="0" w:color="000000"/>
            </w:tcBorders>
            <w:hideMark/>
          </w:tcPr>
          <w:p w14:paraId="0A24539F"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2. Essentials</w:t>
            </w:r>
          </w:p>
        </w:tc>
        <w:tc>
          <w:tcPr>
            <w:tcW w:w="2966" w:type="dxa"/>
            <w:vMerge w:val="restart"/>
            <w:tcBorders>
              <w:top w:val="single" w:sz="4" w:space="0" w:color="000000"/>
              <w:left w:val="single" w:sz="4" w:space="0" w:color="000000"/>
              <w:bottom w:val="single" w:sz="4" w:space="0" w:color="000000"/>
              <w:right w:val="single" w:sz="4" w:space="0" w:color="000000"/>
            </w:tcBorders>
            <w:hideMark/>
          </w:tcPr>
          <w:p w14:paraId="0A2453A0"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Indigenous students in government schools achieving at or above national minimum standard in Years 3 and 5.</w:t>
            </w:r>
          </w:p>
        </w:tc>
        <w:tc>
          <w:tcPr>
            <w:tcW w:w="4327" w:type="dxa"/>
            <w:tcBorders>
              <w:top w:val="single" w:sz="4" w:space="0" w:color="000000"/>
              <w:left w:val="single" w:sz="4" w:space="0" w:color="000000"/>
              <w:bottom w:val="single" w:sz="4" w:space="0" w:color="000000"/>
              <w:right w:val="single" w:sz="4" w:space="0" w:color="000000"/>
            </w:tcBorders>
            <w:hideMark/>
          </w:tcPr>
          <w:p w14:paraId="0A2453A1"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proportion of remote and very remote Indigenous students achieving at or above national minimum standard for NAPLAN reading and numeracy in Years 3 and 5.</w:t>
            </w:r>
          </w:p>
        </w:tc>
      </w:tr>
      <w:tr w:rsidR="001F47BE" w:rsidRPr="001F47BE" w14:paraId="0A2453A6" w14:textId="77777777" w:rsidTr="00B05A60">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A3" w14:textId="77777777" w:rsidR="001F47BE" w:rsidRPr="001F47BE" w:rsidRDefault="001F47BE" w:rsidP="001F47BE">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A4" w14:textId="77777777" w:rsidR="001F47BE" w:rsidRPr="001F47BE" w:rsidRDefault="001F47BE" w:rsidP="001F47BE">
            <w:pPr>
              <w:rPr>
                <w:color w:val="000000"/>
                <w:sz w:val="20"/>
                <w:szCs w:val="20"/>
              </w:rPr>
            </w:pPr>
          </w:p>
        </w:tc>
        <w:tc>
          <w:tcPr>
            <w:tcW w:w="4327" w:type="dxa"/>
            <w:tcBorders>
              <w:top w:val="single" w:sz="4" w:space="0" w:color="000000"/>
              <w:left w:val="single" w:sz="4" w:space="0" w:color="000000"/>
              <w:bottom w:val="single" w:sz="4" w:space="0" w:color="000000"/>
              <w:right w:val="single" w:sz="4" w:space="0" w:color="000000"/>
            </w:tcBorders>
            <w:hideMark/>
          </w:tcPr>
          <w:p w14:paraId="0A2453A5"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proportion of remote and very remote Indigenous students in Years 3 and 5 participating in NAPLAN reading and numeracy.</w:t>
            </w:r>
          </w:p>
        </w:tc>
      </w:tr>
      <w:tr w:rsidR="001F47BE" w:rsidRPr="001F47BE" w14:paraId="0A2453AA" w14:textId="77777777" w:rsidTr="00B05A60">
        <w:trPr>
          <w:cantSplit/>
          <w:trHeight w:val="1116"/>
        </w:trPr>
        <w:tc>
          <w:tcPr>
            <w:tcW w:w="1723" w:type="dxa"/>
            <w:vMerge w:val="restart"/>
            <w:tcBorders>
              <w:top w:val="single" w:sz="4" w:space="0" w:color="000000"/>
              <w:left w:val="single" w:sz="4" w:space="0" w:color="000000"/>
              <w:bottom w:val="single" w:sz="4" w:space="0" w:color="000000"/>
              <w:right w:val="single" w:sz="4" w:space="0" w:color="000000"/>
            </w:tcBorders>
            <w:hideMark/>
          </w:tcPr>
          <w:p w14:paraId="0A2453A7"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3. Pathways</w:t>
            </w:r>
          </w:p>
        </w:tc>
        <w:tc>
          <w:tcPr>
            <w:tcW w:w="2966" w:type="dxa"/>
            <w:vMerge w:val="restart"/>
            <w:tcBorders>
              <w:top w:val="single" w:sz="4" w:space="0" w:color="000000"/>
              <w:left w:val="single" w:sz="4" w:space="0" w:color="000000"/>
              <w:bottom w:val="single" w:sz="4" w:space="0" w:color="000000"/>
              <w:right w:val="single" w:sz="4" w:space="0" w:color="000000"/>
            </w:tcBorders>
            <w:hideMark/>
          </w:tcPr>
          <w:p w14:paraId="0A2453A8"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Indigenous government school students achieving at or above national minimum standard in Years 7 and 9.</w:t>
            </w:r>
          </w:p>
        </w:tc>
        <w:tc>
          <w:tcPr>
            <w:tcW w:w="4327" w:type="dxa"/>
            <w:tcBorders>
              <w:top w:val="single" w:sz="4" w:space="0" w:color="000000"/>
              <w:left w:val="single" w:sz="4" w:space="0" w:color="000000"/>
              <w:bottom w:val="single" w:sz="4" w:space="0" w:color="000000"/>
              <w:right w:val="single" w:sz="4" w:space="0" w:color="000000"/>
            </w:tcBorders>
            <w:hideMark/>
          </w:tcPr>
          <w:p w14:paraId="0A2453A9"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proportion of remote and very remote Indigenous students achieving at or above national minimum standard for NAPLAN reading and numeracy in Years 7 and 9.</w:t>
            </w:r>
          </w:p>
        </w:tc>
      </w:tr>
      <w:tr w:rsidR="001F47BE" w:rsidRPr="001F47BE" w14:paraId="0A2453AE" w14:textId="77777777" w:rsidTr="00B05A60">
        <w:trPr>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AB" w14:textId="77777777" w:rsidR="001F47BE" w:rsidRPr="001F47BE" w:rsidRDefault="001F47BE" w:rsidP="001F47BE">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AC" w14:textId="77777777" w:rsidR="001F47BE" w:rsidRPr="001F47BE" w:rsidRDefault="001F47BE" w:rsidP="001F47BE">
            <w:pPr>
              <w:rPr>
                <w:color w:val="000000"/>
                <w:sz w:val="20"/>
                <w:szCs w:val="20"/>
              </w:rPr>
            </w:pPr>
          </w:p>
        </w:tc>
        <w:tc>
          <w:tcPr>
            <w:tcW w:w="4327" w:type="dxa"/>
            <w:tcBorders>
              <w:top w:val="single" w:sz="4" w:space="0" w:color="000000"/>
              <w:left w:val="single" w:sz="4" w:space="0" w:color="000000"/>
              <w:bottom w:val="single" w:sz="4" w:space="0" w:color="000000"/>
              <w:right w:val="single" w:sz="4" w:space="0" w:color="000000"/>
            </w:tcBorders>
            <w:hideMark/>
          </w:tcPr>
          <w:p w14:paraId="0A2453AD"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proportion of remote and very remote Indigenous students in Years 7 and 9 participating in NAPLAN reading and numeracy.</w:t>
            </w:r>
          </w:p>
        </w:tc>
      </w:tr>
      <w:tr w:rsidR="001F47BE" w:rsidRPr="001F47BE" w14:paraId="0A2453B2" w14:textId="77777777" w:rsidTr="00B05A60">
        <w:trPr>
          <w:cantSplit/>
          <w:trHeight w:val="11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AF" w14:textId="77777777" w:rsidR="001F47BE" w:rsidRPr="001F47BE" w:rsidRDefault="001F47BE" w:rsidP="001F47BE">
            <w:pPr>
              <w:rPr>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hideMark/>
          </w:tcPr>
          <w:p w14:paraId="0A2453B0"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Indigenous students achieving the Northern Territory Certificate of Education and Training.</w:t>
            </w:r>
          </w:p>
        </w:tc>
        <w:tc>
          <w:tcPr>
            <w:tcW w:w="4327" w:type="dxa"/>
            <w:tcBorders>
              <w:top w:val="single" w:sz="4" w:space="0" w:color="000000"/>
              <w:left w:val="single" w:sz="4" w:space="0" w:color="000000"/>
              <w:bottom w:val="single" w:sz="4" w:space="0" w:color="000000"/>
              <w:right w:val="single" w:sz="4" w:space="0" w:color="000000"/>
            </w:tcBorders>
            <w:hideMark/>
          </w:tcPr>
          <w:p w14:paraId="0A2453B1"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number and proportion Indigenous students achieving the Northern Territory Certificate of Education and Training who are from a remote or very remote area.</w:t>
            </w:r>
          </w:p>
        </w:tc>
      </w:tr>
      <w:tr w:rsidR="001F47BE" w:rsidRPr="001F47BE" w14:paraId="0A2453B6" w14:textId="77777777" w:rsidTr="00B05A60">
        <w:trPr>
          <w:cantSplit/>
          <w:trHeight w:val="8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B3" w14:textId="77777777" w:rsidR="001F47BE" w:rsidRPr="001F47BE" w:rsidRDefault="001F47BE" w:rsidP="001F47BE">
            <w:pPr>
              <w:rPr>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hideMark/>
          </w:tcPr>
          <w:p w14:paraId="0A2453B4"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 xml:space="preserve">Indigenous students achieving a </w:t>
            </w:r>
            <w:proofErr w:type="spellStart"/>
            <w:r w:rsidRPr="001F47BE">
              <w:rPr>
                <w:rFonts w:eastAsia="Calibri"/>
                <w:color w:val="000000"/>
                <w:sz w:val="20"/>
                <w:szCs w:val="20"/>
                <w:lang w:eastAsia="en-US"/>
              </w:rPr>
              <w:t>VETiS</w:t>
            </w:r>
            <w:proofErr w:type="spellEnd"/>
            <w:r w:rsidRPr="001F47BE">
              <w:rPr>
                <w:rFonts w:eastAsia="Calibri"/>
                <w:color w:val="000000"/>
                <w:sz w:val="20"/>
                <w:szCs w:val="20"/>
                <w:lang w:eastAsia="en-US"/>
              </w:rPr>
              <w:t xml:space="preserve"> Certificate II and above. </w:t>
            </w:r>
          </w:p>
        </w:tc>
        <w:tc>
          <w:tcPr>
            <w:tcW w:w="4327" w:type="dxa"/>
            <w:tcBorders>
              <w:top w:val="single" w:sz="4" w:space="0" w:color="000000"/>
              <w:left w:val="single" w:sz="4" w:space="0" w:color="000000"/>
              <w:bottom w:val="single" w:sz="4" w:space="0" w:color="000000"/>
              <w:right w:val="single" w:sz="4" w:space="0" w:color="000000"/>
            </w:tcBorders>
            <w:hideMark/>
          </w:tcPr>
          <w:p w14:paraId="0A2453B5"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 xml:space="preserve">Increase in the number and proportion of Indigenous students achieving a </w:t>
            </w:r>
            <w:proofErr w:type="spellStart"/>
            <w:r w:rsidRPr="001F47BE">
              <w:rPr>
                <w:rFonts w:eastAsia="Calibri"/>
                <w:color w:val="000000"/>
                <w:sz w:val="20"/>
                <w:szCs w:val="20"/>
                <w:lang w:eastAsia="en-US"/>
              </w:rPr>
              <w:t>VETiS</w:t>
            </w:r>
            <w:proofErr w:type="spellEnd"/>
            <w:r w:rsidRPr="001F47BE">
              <w:rPr>
                <w:rFonts w:eastAsia="Calibri"/>
                <w:color w:val="000000"/>
                <w:sz w:val="20"/>
                <w:szCs w:val="20"/>
                <w:lang w:eastAsia="en-US"/>
              </w:rPr>
              <w:t xml:space="preserve"> Certificate II and above who are from a remote or very remote area**.</w:t>
            </w:r>
          </w:p>
        </w:tc>
      </w:tr>
      <w:tr w:rsidR="001F47BE" w:rsidRPr="001F47BE" w14:paraId="0A2453BA" w14:textId="77777777" w:rsidTr="00B05A60">
        <w:trPr>
          <w:cantSplit/>
          <w:trHeight w:val="874"/>
        </w:trPr>
        <w:tc>
          <w:tcPr>
            <w:tcW w:w="1723" w:type="dxa"/>
            <w:vMerge w:val="restart"/>
            <w:tcBorders>
              <w:top w:val="single" w:sz="4" w:space="0" w:color="000000"/>
              <w:left w:val="single" w:sz="4" w:space="0" w:color="000000"/>
              <w:bottom w:val="single" w:sz="4" w:space="0" w:color="000000"/>
              <w:right w:val="single" w:sz="4" w:space="0" w:color="000000"/>
            </w:tcBorders>
            <w:hideMark/>
          </w:tcPr>
          <w:p w14:paraId="0A2453B7"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4. Engagement</w:t>
            </w:r>
          </w:p>
        </w:tc>
        <w:tc>
          <w:tcPr>
            <w:tcW w:w="2966" w:type="dxa"/>
            <w:tcBorders>
              <w:top w:val="single" w:sz="4" w:space="0" w:color="000000"/>
              <w:left w:val="single" w:sz="4" w:space="0" w:color="000000"/>
              <w:bottom w:val="single" w:sz="4" w:space="0" w:color="000000"/>
              <w:right w:val="single" w:sz="4" w:space="0" w:color="000000"/>
            </w:tcBorders>
            <w:hideMark/>
          </w:tcPr>
          <w:p w14:paraId="0A2453B8"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Indigenous student attendance rate of 90 per cent.</w:t>
            </w:r>
          </w:p>
        </w:tc>
        <w:tc>
          <w:tcPr>
            <w:tcW w:w="4327" w:type="dxa"/>
            <w:tcBorders>
              <w:top w:val="single" w:sz="4" w:space="0" w:color="000000"/>
              <w:left w:val="single" w:sz="4" w:space="0" w:color="000000"/>
              <w:bottom w:val="single" w:sz="4" w:space="0" w:color="000000"/>
              <w:right w:val="single" w:sz="4" w:space="0" w:color="000000"/>
            </w:tcBorders>
            <w:hideMark/>
          </w:tcPr>
          <w:p w14:paraId="0A2453B9"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attendance rate of Indigenous students in the Northern Territory toward a COAG benchmark of 90 per cent.</w:t>
            </w:r>
          </w:p>
        </w:tc>
      </w:tr>
      <w:tr w:rsidR="001F47BE" w:rsidRPr="001F47BE" w14:paraId="0A2453BE" w14:textId="77777777" w:rsidTr="00B05A60">
        <w:trPr>
          <w:cantSplit/>
          <w:trHeight w:val="8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BB" w14:textId="77777777" w:rsidR="001F47BE" w:rsidRPr="001F47BE" w:rsidRDefault="001F47BE" w:rsidP="001F47BE">
            <w:pPr>
              <w:rPr>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hideMark/>
          </w:tcPr>
          <w:p w14:paraId="0A2453BC"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Indigenous students attending at least four days per week or more.</w:t>
            </w:r>
          </w:p>
        </w:tc>
        <w:tc>
          <w:tcPr>
            <w:tcW w:w="4327" w:type="dxa"/>
            <w:tcBorders>
              <w:top w:val="single" w:sz="4" w:space="0" w:color="000000"/>
              <w:left w:val="single" w:sz="4" w:space="0" w:color="000000"/>
              <w:bottom w:val="single" w:sz="4" w:space="0" w:color="000000"/>
              <w:right w:val="single" w:sz="4" w:space="0" w:color="000000"/>
            </w:tcBorders>
            <w:hideMark/>
          </w:tcPr>
          <w:p w14:paraId="0A2453BD"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Increase in the proportion of remote and very remote Indigenous students attending at least four days per week or more.</w:t>
            </w:r>
          </w:p>
        </w:tc>
      </w:tr>
      <w:tr w:rsidR="001F47BE" w:rsidRPr="001F47BE" w14:paraId="0A2453C4" w14:textId="77777777" w:rsidTr="00B05A60">
        <w:trPr>
          <w:cantSplit/>
          <w:trHeight w:val="10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BF" w14:textId="77777777" w:rsidR="001F47BE" w:rsidRPr="001F47BE" w:rsidRDefault="001F47BE" w:rsidP="001F47BE">
            <w:pPr>
              <w:rPr>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hideMark/>
          </w:tcPr>
          <w:p w14:paraId="0A2453C0"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Attendance rate of Indigenous government school students.</w:t>
            </w:r>
          </w:p>
        </w:tc>
        <w:tc>
          <w:tcPr>
            <w:tcW w:w="4327" w:type="dxa"/>
            <w:tcBorders>
              <w:top w:val="single" w:sz="4" w:space="0" w:color="000000"/>
              <w:left w:val="single" w:sz="4" w:space="0" w:color="000000"/>
              <w:bottom w:val="single" w:sz="4" w:space="0" w:color="000000"/>
              <w:right w:val="single" w:sz="4" w:space="0" w:color="000000"/>
            </w:tcBorders>
            <w:hideMark/>
          </w:tcPr>
          <w:p w14:paraId="0A2453C1" w14:textId="77777777" w:rsidR="001F47BE" w:rsidRPr="001F47BE" w:rsidRDefault="001F47BE" w:rsidP="001F47BE">
            <w:pPr>
              <w:keepNext/>
              <w:rPr>
                <w:rFonts w:eastAsia="Calibri"/>
                <w:color w:val="000000"/>
                <w:sz w:val="20"/>
                <w:szCs w:val="20"/>
                <w:lang w:eastAsia="en-US"/>
              </w:rPr>
            </w:pPr>
            <w:r w:rsidRPr="001F47BE">
              <w:rPr>
                <w:rFonts w:eastAsia="Calibri"/>
                <w:color w:val="000000"/>
                <w:sz w:val="20"/>
                <w:szCs w:val="20"/>
                <w:lang w:eastAsia="en-US"/>
              </w:rPr>
              <w:t xml:space="preserve">Increase in remote and very remote Indigenous student attendance rates: </w:t>
            </w:r>
          </w:p>
          <w:p w14:paraId="0A2453C2" w14:textId="77777777" w:rsidR="001F47BE" w:rsidRPr="001F47BE" w:rsidRDefault="001F47BE" w:rsidP="00867BDE">
            <w:pPr>
              <w:keepNext/>
              <w:numPr>
                <w:ilvl w:val="0"/>
                <w:numId w:val="28"/>
              </w:numPr>
              <w:contextualSpacing/>
              <w:rPr>
                <w:rFonts w:eastAsia="Calibri"/>
                <w:color w:val="000000"/>
                <w:sz w:val="20"/>
                <w:szCs w:val="20"/>
                <w:lang w:eastAsia="en-US"/>
              </w:rPr>
            </w:pPr>
            <w:r w:rsidRPr="001F47BE">
              <w:rPr>
                <w:rFonts w:eastAsia="Calibri"/>
                <w:color w:val="000000"/>
                <w:sz w:val="20"/>
                <w:szCs w:val="20"/>
                <w:lang w:eastAsia="en-US"/>
              </w:rPr>
              <w:t>aggregated; and</w:t>
            </w:r>
          </w:p>
          <w:p w14:paraId="0A2453C3" w14:textId="77777777" w:rsidR="001F47BE" w:rsidRPr="001F47BE" w:rsidRDefault="001F47BE" w:rsidP="00867BDE">
            <w:pPr>
              <w:keepNext/>
              <w:numPr>
                <w:ilvl w:val="0"/>
                <w:numId w:val="28"/>
              </w:numPr>
              <w:contextualSpacing/>
              <w:rPr>
                <w:rFonts w:eastAsia="Calibri"/>
                <w:color w:val="000000"/>
                <w:sz w:val="20"/>
                <w:szCs w:val="20"/>
                <w:lang w:eastAsia="en-US"/>
              </w:rPr>
            </w:pPr>
            <w:proofErr w:type="gramStart"/>
            <w:r w:rsidRPr="001F47BE">
              <w:rPr>
                <w:rFonts w:eastAsia="Calibri"/>
                <w:color w:val="000000"/>
                <w:sz w:val="20"/>
                <w:szCs w:val="20"/>
                <w:lang w:eastAsia="en-US"/>
              </w:rPr>
              <w:t>by</w:t>
            </w:r>
            <w:proofErr w:type="gramEnd"/>
            <w:r w:rsidRPr="001F47BE">
              <w:rPr>
                <w:rFonts w:eastAsia="Calibri"/>
                <w:color w:val="000000"/>
                <w:sz w:val="20"/>
                <w:szCs w:val="20"/>
                <w:lang w:eastAsia="en-US"/>
              </w:rPr>
              <w:t xml:space="preserve"> stage of schooling (including preschool).</w:t>
            </w:r>
          </w:p>
        </w:tc>
      </w:tr>
      <w:tr w:rsidR="001F47BE" w:rsidRPr="001F47BE" w14:paraId="0A2453C8" w14:textId="77777777" w:rsidTr="00B05A60">
        <w:trPr>
          <w:cantSplit/>
          <w:trHeight w:val="560"/>
        </w:trPr>
        <w:tc>
          <w:tcPr>
            <w:tcW w:w="1723" w:type="dxa"/>
            <w:vMerge w:val="restart"/>
            <w:tcBorders>
              <w:top w:val="single" w:sz="4" w:space="0" w:color="000000"/>
              <w:left w:val="single" w:sz="4" w:space="0" w:color="000000"/>
              <w:bottom w:val="single" w:sz="4" w:space="0" w:color="000000"/>
              <w:right w:val="single" w:sz="4" w:space="0" w:color="000000"/>
            </w:tcBorders>
            <w:hideMark/>
          </w:tcPr>
          <w:p w14:paraId="0A2453C5" w14:textId="77777777" w:rsidR="001F47BE" w:rsidRPr="001F47BE" w:rsidRDefault="001F47BE" w:rsidP="001F47BE">
            <w:pPr>
              <w:rPr>
                <w:rFonts w:eastAsia="Calibri"/>
                <w:color w:val="000000"/>
                <w:sz w:val="20"/>
                <w:szCs w:val="20"/>
                <w:lang w:eastAsia="en-US"/>
              </w:rPr>
            </w:pPr>
            <w:r w:rsidRPr="001F47BE">
              <w:rPr>
                <w:rFonts w:eastAsia="Calibri"/>
                <w:color w:val="000000"/>
                <w:sz w:val="20"/>
                <w:szCs w:val="20"/>
                <w:lang w:eastAsia="en-US"/>
              </w:rPr>
              <w:t>5. Workforce***</w:t>
            </w:r>
          </w:p>
        </w:tc>
        <w:tc>
          <w:tcPr>
            <w:tcW w:w="2966" w:type="dxa"/>
            <w:tcBorders>
              <w:top w:val="single" w:sz="4" w:space="0" w:color="000000"/>
              <w:left w:val="single" w:sz="4" w:space="0" w:color="000000"/>
              <w:bottom w:val="single" w:sz="4" w:space="0" w:color="000000"/>
              <w:right w:val="single" w:sz="4" w:space="0" w:color="000000"/>
            </w:tcBorders>
            <w:hideMark/>
          </w:tcPr>
          <w:p w14:paraId="0A2453C6" w14:textId="77777777" w:rsidR="001F47BE" w:rsidRPr="001F47BE" w:rsidRDefault="001F47BE" w:rsidP="001F47BE">
            <w:pPr>
              <w:rPr>
                <w:rFonts w:eastAsia="Calibri"/>
                <w:color w:val="auto"/>
                <w:sz w:val="20"/>
                <w:szCs w:val="20"/>
                <w:lang w:eastAsia="en-US"/>
              </w:rPr>
            </w:pPr>
            <w:r w:rsidRPr="001F47BE">
              <w:rPr>
                <w:rFonts w:eastAsia="Calibri"/>
                <w:color w:val="auto"/>
                <w:sz w:val="20"/>
                <w:szCs w:val="20"/>
                <w:lang w:eastAsia="en-US"/>
              </w:rPr>
              <w:t>A high quality and stable workforce.</w:t>
            </w:r>
          </w:p>
        </w:tc>
        <w:tc>
          <w:tcPr>
            <w:tcW w:w="4327" w:type="dxa"/>
            <w:tcBorders>
              <w:top w:val="single" w:sz="4" w:space="0" w:color="000000"/>
              <w:left w:val="single" w:sz="4" w:space="0" w:color="000000"/>
              <w:bottom w:val="single" w:sz="4" w:space="0" w:color="000000"/>
              <w:right w:val="single" w:sz="4" w:space="0" w:color="000000"/>
            </w:tcBorders>
            <w:hideMark/>
          </w:tcPr>
          <w:p w14:paraId="0A2453C7" w14:textId="77777777" w:rsidR="001F47BE" w:rsidRPr="001F47BE" w:rsidRDefault="001F47BE" w:rsidP="001F47BE">
            <w:pPr>
              <w:rPr>
                <w:rFonts w:eastAsia="Calibri"/>
                <w:color w:val="000000"/>
                <w:sz w:val="20"/>
                <w:szCs w:val="20"/>
                <w:lang w:eastAsia="en-US"/>
              </w:rPr>
            </w:pPr>
            <w:r w:rsidRPr="001F47BE">
              <w:rPr>
                <w:rFonts w:eastAsia="Calibri"/>
                <w:color w:val="000000"/>
                <w:sz w:val="20"/>
                <w:szCs w:val="20"/>
                <w:lang w:eastAsia="en-US"/>
              </w:rPr>
              <w:t>Increase in the proportion of Indigenous staff in remote and very remote schools.</w:t>
            </w:r>
          </w:p>
        </w:tc>
      </w:tr>
      <w:tr w:rsidR="001F47BE" w:rsidRPr="001F47BE" w14:paraId="0A2453CC" w14:textId="77777777" w:rsidTr="00B05A60">
        <w:trPr>
          <w:cantSplit/>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453C9" w14:textId="77777777" w:rsidR="001F47BE" w:rsidRPr="001F47BE" w:rsidRDefault="001F47BE" w:rsidP="001F47BE">
            <w:pPr>
              <w:rPr>
                <w:color w:val="000000"/>
                <w:sz w:val="20"/>
                <w:szCs w:val="20"/>
              </w:rPr>
            </w:pPr>
          </w:p>
        </w:tc>
        <w:tc>
          <w:tcPr>
            <w:tcW w:w="2966" w:type="dxa"/>
            <w:tcBorders>
              <w:top w:val="single" w:sz="4" w:space="0" w:color="000000"/>
              <w:left w:val="single" w:sz="4" w:space="0" w:color="000000"/>
              <w:bottom w:val="single" w:sz="4" w:space="0" w:color="000000"/>
              <w:right w:val="single" w:sz="4" w:space="0" w:color="000000"/>
            </w:tcBorders>
            <w:hideMark/>
          </w:tcPr>
          <w:p w14:paraId="0A2453CA" w14:textId="77777777" w:rsidR="001F47BE" w:rsidRPr="001F47BE" w:rsidRDefault="001F47BE" w:rsidP="001F47BE">
            <w:pPr>
              <w:rPr>
                <w:rFonts w:eastAsia="Calibri"/>
                <w:color w:val="auto"/>
                <w:sz w:val="20"/>
                <w:szCs w:val="20"/>
                <w:lang w:eastAsia="en-US"/>
              </w:rPr>
            </w:pPr>
            <w:r w:rsidRPr="001F47BE">
              <w:rPr>
                <w:rFonts w:eastAsia="Calibri"/>
                <w:color w:val="auto"/>
                <w:sz w:val="20"/>
                <w:szCs w:val="20"/>
                <w:lang w:eastAsia="en-US"/>
              </w:rPr>
              <w:t>Length of service of staff in government remote and very remote schools.</w:t>
            </w:r>
          </w:p>
        </w:tc>
        <w:tc>
          <w:tcPr>
            <w:tcW w:w="4327" w:type="dxa"/>
            <w:tcBorders>
              <w:top w:val="single" w:sz="4" w:space="0" w:color="000000"/>
              <w:left w:val="single" w:sz="4" w:space="0" w:color="000000"/>
              <w:bottom w:val="single" w:sz="4" w:space="0" w:color="000000"/>
              <w:right w:val="single" w:sz="4" w:space="0" w:color="000000"/>
            </w:tcBorders>
            <w:hideMark/>
          </w:tcPr>
          <w:p w14:paraId="0A2453CB" w14:textId="77777777" w:rsidR="001F47BE" w:rsidRPr="001F47BE" w:rsidRDefault="001F47BE" w:rsidP="001F47BE">
            <w:pPr>
              <w:rPr>
                <w:rFonts w:eastAsia="Calibri"/>
                <w:color w:val="000000"/>
                <w:sz w:val="20"/>
                <w:szCs w:val="20"/>
                <w:lang w:eastAsia="en-US"/>
              </w:rPr>
            </w:pPr>
            <w:r w:rsidRPr="001F47BE">
              <w:rPr>
                <w:rFonts w:eastAsia="Calibri"/>
                <w:color w:val="000000"/>
                <w:sz w:val="20"/>
                <w:szCs w:val="20"/>
                <w:lang w:eastAsia="en-US"/>
              </w:rPr>
              <w:t>Increase in the proportion of staff in remote and very remote schools with a length of service of 2 years or more.</w:t>
            </w:r>
          </w:p>
        </w:tc>
      </w:tr>
    </w:tbl>
    <w:p w14:paraId="0A2453CD" w14:textId="77777777" w:rsidR="00B05A60" w:rsidRDefault="00B05A60" w:rsidP="00B05A60">
      <w:pPr>
        <w:rPr>
          <w:color w:val="auto"/>
          <w:sz w:val="20"/>
          <w:szCs w:val="20"/>
        </w:rPr>
      </w:pPr>
      <w:r>
        <w:rPr>
          <w:color w:val="auto"/>
          <w:sz w:val="20"/>
          <w:szCs w:val="20"/>
        </w:rPr>
        <w:t>* Not an annual measure. Reported as data is available.</w:t>
      </w:r>
      <w:r>
        <w:rPr>
          <w:color w:val="auto"/>
          <w:sz w:val="20"/>
          <w:szCs w:val="20"/>
        </w:rPr>
        <w:br/>
        <w:t>** Data provided will be for the preceding year due to availability of data at time of reporting.</w:t>
      </w:r>
    </w:p>
    <w:p w14:paraId="0A2453CE" w14:textId="77777777" w:rsidR="00B05A60" w:rsidRDefault="00B05A60" w:rsidP="00B05A60">
      <w:pPr>
        <w:rPr>
          <w:color w:val="auto"/>
          <w:sz w:val="20"/>
          <w:szCs w:val="20"/>
        </w:rPr>
      </w:pPr>
      <w:r w:rsidRPr="004A6C67">
        <w:rPr>
          <w:sz w:val="20"/>
          <w:szCs w:val="20"/>
        </w:rPr>
        <w:t>*</w:t>
      </w:r>
      <w:r>
        <w:rPr>
          <w:sz w:val="20"/>
          <w:szCs w:val="20"/>
        </w:rPr>
        <w:t>**</w:t>
      </w:r>
      <w:r w:rsidRPr="004A6C67">
        <w:rPr>
          <w:color w:val="auto"/>
          <w:sz w:val="20"/>
          <w:szCs w:val="20"/>
        </w:rPr>
        <w:t xml:space="preserve">The </w:t>
      </w:r>
      <w:r>
        <w:rPr>
          <w:color w:val="auto"/>
          <w:sz w:val="20"/>
          <w:szCs w:val="20"/>
        </w:rPr>
        <w:t>P</w:t>
      </w:r>
      <w:r w:rsidRPr="004A6C67">
        <w:rPr>
          <w:color w:val="auto"/>
          <w:sz w:val="20"/>
          <w:szCs w:val="20"/>
        </w:rPr>
        <w:t>arties agree to work together to identify</w:t>
      </w:r>
      <w:r w:rsidRPr="00E46EF9">
        <w:rPr>
          <w:color w:val="auto"/>
          <w:sz w:val="20"/>
          <w:szCs w:val="20"/>
        </w:rPr>
        <w:t xml:space="preserve"> an appropriate measure </w:t>
      </w:r>
      <w:r>
        <w:rPr>
          <w:color w:val="auto"/>
          <w:sz w:val="20"/>
          <w:szCs w:val="20"/>
        </w:rPr>
        <w:t xml:space="preserve">relating to the quality of the workforce </w:t>
      </w:r>
      <w:r w:rsidRPr="00E46EF9">
        <w:rPr>
          <w:color w:val="auto"/>
          <w:sz w:val="20"/>
          <w:szCs w:val="20"/>
        </w:rPr>
        <w:t>and to incorporate this into the Implementation Plan in the future.</w:t>
      </w:r>
    </w:p>
    <w:p w14:paraId="0A2453CF" w14:textId="77777777" w:rsidR="00AC525C" w:rsidRPr="00CA48B7" w:rsidRDefault="00AC525C" w:rsidP="0011115F">
      <w:pPr>
        <w:pStyle w:val="Heading2"/>
        <w:spacing w:after="120"/>
        <w:rPr>
          <w:rFonts w:ascii="Lato" w:hAnsi="Lato"/>
        </w:rPr>
      </w:pPr>
    </w:p>
    <w:p w14:paraId="0A2453D0" w14:textId="77777777" w:rsidR="00AC525C" w:rsidRPr="00CA48B7" w:rsidRDefault="00AC525C" w:rsidP="00BD09BB">
      <w:pPr>
        <w:pStyle w:val="Normalnumbered"/>
        <w:numPr>
          <w:ilvl w:val="0"/>
          <w:numId w:val="16"/>
        </w:numPr>
        <w:spacing w:after="240" w:line="260" w:lineRule="exact"/>
        <w:rPr>
          <w:rFonts w:ascii="Lato" w:hAnsi="Lato"/>
          <w:sz w:val="22"/>
        </w:rPr>
      </w:pPr>
      <w:r w:rsidRPr="00CA48B7">
        <w:rPr>
          <w:rFonts w:ascii="Lato" w:hAnsi="Lato"/>
          <w:sz w:val="22"/>
        </w:rPr>
        <w:t xml:space="preserve">The </w:t>
      </w:r>
      <w:r w:rsidR="00B05A60" w:rsidRPr="00225E9B">
        <w:rPr>
          <w:rFonts w:ascii="Lato" w:hAnsi="Lato"/>
          <w:sz w:val="22"/>
        </w:rPr>
        <w:t>performance indica</w:t>
      </w:r>
      <w:r w:rsidR="00B05A60">
        <w:rPr>
          <w:rFonts w:ascii="Lato" w:hAnsi="Lato"/>
          <w:sz w:val="22"/>
        </w:rPr>
        <w:t>tors identified in Table 9 above</w:t>
      </w:r>
      <w:r w:rsidR="00B05A60" w:rsidRPr="00867BDE">
        <w:rPr>
          <w:rFonts w:ascii="Lato" w:hAnsi="Lato"/>
          <w:sz w:val="22"/>
        </w:rPr>
        <w:t>, will assist to measure the impact of the activities being progressed through this Implementation Plan, and will be reported in the Annual Report each year</w:t>
      </w:r>
      <w:r w:rsidRPr="00CA48B7">
        <w:rPr>
          <w:rFonts w:ascii="Lato" w:hAnsi="Lato"/>
          <w:sz w:val="22"/>
        </w:rPr>
        <w:t>.</w:t>
      </w:r>
    </w:p>
    <w:p w14:paraId="0A2453D1" w14:textId="77777777" w:rsidR="0041365C" w:rsidRPr="00225E9B" w:rsidRDefault="00AC525C" w:rsidP="00225E9B">
      <w:pPr>
        <w:pStyle w:val="Normalnumbered"/>
        <w:numPr>
          <w:ilvl w:val="0"/>
          <w:numId w:val="16"/>
        </w:numPr>
        <w:spacing w:after="240" w:line="260" w:lineRule="exact"/>
      </w:pPr>
      <w:r w:rsidRPr="00CA48B7">
        <w:rPr>
          <w:rFonts w:ascii="Lato" w:hAnsi="Lato"/>
          <w:sz w:val="22"/>
        </w:rPr>
        <w:t>The Parties acknowledge that Activities</w:t>
      </w:r>
      <w:r w:rsidR="00EB0CBF" w:rsidRPr="00CA48B7">
        <w:rPr>
          <w:rFonts w:ascii="Lato" w:hAnsi="Lato"/>
          <w:sz w:val="22"/>
        </w:rPr>
        <w:t xml:space="preserve"> </w:t>
      </w:r>
      <w:r w:rsidR="00EB0CBF">
        <w:rPr>
          <w:rFonts w:ascii="Lato" w:hAnsi="Lato"/>
          <w:bCs/>
          <w:iCs/>
          <w:sz w:val="22"/>
          <w:szCs w:val="22"/>
        </w:rPr>
        <w:t xml:space="preserve">funded under this </w:t>
      </w:r>
      <w:r w:rsidR="006F4089">
        <w:rPr>
          <w:rFonts w:ascii="Lato" w:hAnsi="Lato"/>
          <w:bCs/>
          <w:iCs/>
          <w:sz w:val="22"/>
          <w:szCs w:val="22"/>
        </w:rPr>
        <w:t>Implementation Plan</w:t>
      </w:r>
      <w:r w:rsidR="006F4089" w:rsidRPr="00CA48B7">
        <w:rPr>
          <w:rFonts w:ascii="Lato" w:hAnsi="Lato"/>
          <w:sz w:val="22"/>
        </w:rPr>
        <w:t xml:space="preserve"> </w:t>
      </w:r>
      <w:r w:rsidRPr="00CA48B7">
        <w:rPr>
          <w:rFonts w:ascii="Lato" w:hAnsi="Lato"/>
          <w:sz w:val="22"/>
        </w:rPr>
        <w:t>will contribute to new and/or more regular data collection, as well as the development of new reporting systems.</w:t>
      </w:r>
    </w:p>
    <w:p w14:paraId="0A2453D2" w14:textId="77777777" w:rsidR="0036688B" w:rsidRPr="00CA48B7" w:rsidRDefault="0036688B" w:rsidP="0011115F">
      <w:pPr>
        <w:pStyle w:val="Heading2"/>
        <w:spacing w:after="120"/>
        <w:rPr>
          <w:rFonts w:ascii="Lato" w:hAnsi="Lato"/>
          <w:i/>
          <w:color w:val="000080"/>
        </w:rPr>
      </w:pPr>
      <w:r w:rsidRPr="00CA48B7">
        <w:rPr>
          <w:rFonts w:ascii="Lato" w:hAnsi="Lato"/>
        </w:rPr>
        <w:t>Reporting</w:t>
      </w:r>
      <w:r w:rsidRPr="00CA48B7">
        <w:rPr>
          <w:rFonts w:ascii="Lato" w:hAnsi="Lato"/>
          <w:i/>
          <w:color w:val="000080"/>
        </w:rPr>
        <w:t xml:space="preserve"> </w:t>
      </w:r>
    </w:p>
    <w:p w14:paraId="0A2453D3" w14:textId="77777777" w:rsidR="0036688B" w:rsidRPr="00CA48B7" w:rsidRDefault="0036688B" w:rsidP="00BD09BB">
      <w:pPr>
        <w:pStyle w:val="Normalnumbered"/>
        <w:numPr>
          <w:ilvl w:val="0"/>
          <w:numId w:val="16"/>
        </w:numPr>
        <w:spacing w:before="120" w:after="240"/>
        <w:rPr>
          <w:rFonts w:ascii="Lato" w:hAnsi="Lato"/>
          <w:sz w:val="22"/>
        </w:rPr>
      </w:pPr>
      <w:r w:rsidRPr="00CA48B7">
        <w:rPr>
          <w:rFonts w:ascii="Lato" w:hAnsi="Lato"/>
          <w:sz w:val="22"/>
        </w:rPr>
        <w:t xml:space="preserve">The </w:t>
      </w:r>
      <w:r w:rsidR="001C2B8A" w:rsidRPr="00CA48B7">
        <w:rPr>
          <w:rFonts w:ascii="Lato" w:hAnsi="Lato"/>
          <w:sz w:val="22"/>
        </w:rPr>
        <w:t xml:space="preserve">Northern Territory </w:t>
      </w:r>
      <w:r w:rsidRPr="00CA48B7">
        <w:rPr>
          <w:rFonts w:ascii="Lato" w:hAnsi="Lato"/>
          <w:sz w:val="22"/>
        </w:rPr>
        <w:t xml:space="preserve">will report against the agreed </w:t>
      </w:r>
      <w:r w:rsidR="001C2B8A" w:rsidRPr="00CA48B7">
        <w:rPr>
          <w:rFonts w:ascii="Lato" w:hAnsi="Lato"/>
          <w:sz w:val="22"/>
        </w:rPr>
        <w:t xml:space="preserve">milestones and </w:t>
      </w:r>
      <w:r w:rsidRPr="00CA48B7">
        <w:rPr>
          <w:rFonts w:ascii="Lato" w:hAnsi="Lato"/>
          <w:sz w:val="22"/>
        </w:rPr>
        <w:t>performance</w:t>
      </w:r>
      <w:r w:rsidR="001C2B8A" w:rsidRPr="00CA48B7">
        <w:rPr>
          <w:rFonts w:ascii="Lato" w:hAnsi="Lato"/>
          <w:sz w:val="22"/>
        </w:rPr>
        <w:t xml:space="preserve"> benchmarks</w:t>
      </w:r>
      <w:r w:rsidRPr="00CA48B7">
        <w:rPr>
          <w:rFonts w:ascii="Lato" w:hAnsi="Lato"/>
          <w:sz w:val="22"/>
        </w:rPr>
        <w:t xml:space="preserve"> every 12 months during the operation of </w:t>
      </w:r>
      <w:r w:rsidR="006F4089">
        <w:rPr>
          <w:rFonts w:ascii="Lato" w:hAnsi="Lato"/>
          <w:sz w:val="22"/>
        </w:rPr>
        <w:t>this Implementation Plan</w:t>
      </w:r>
      <w:r w:rsidR="00AC64AA" w:rsidRPr="00CA48B7">
        <w:rPr>
          <w:rFonts w:ascii="Lato" w:hAnsi="Lato"/>
          <w:sz w:val="22"/>
        </w:rPr>
        <w:t>. Reports</w:t>
      </w:r>
      <w:r w:rsidRPr="00CA48B7">
        <w:rPr>
          <w:rFonts w:ascii="Lato" w:hAnsi="Lato"/>
          <w:sz w:val="22"/>
        </w:rPr>
        <w:t xml:space="preserve"> </w:t>
      </w:r>
      <w:r w:rsidR="001C2B8A" w:rsidRPr="00CA48B7">
        <w:rPr>
          <w:rFonts w:ascii="Lato" w:hAnsi="Lato"/>
          <w:sz w:val="22"/>
        </w:rPr>
        <w:t>will be provided to the Commonwealth by 31 March each year</w:t>
      </w:r>
      <w:r w:rsidRPr="00CA48B7">
        <w:rPr>
          <w:rFonts w:ascii="Lato" w:hAnsi="Lato"/>
          <w:sz w:val="22"/>
        </w:rPr>
        <w:t>.</w:t>
      </w:r>
    </w:p>
    <w:p w14:paraId="0A2453D4" w14:textId="77777777" w:rsidR="001C2B8A" w:rsidRPr="00CA48B7" w:rsidRDefault="001C2B8A" w:rsidP="00BD09BB">
      <w:pPr>
        <w:pStyle w:val="Normalnumbered"/>
        <w:numPr>
          <w:ilvl w:val="0"/>
          <w:numId w:val="16"/>
        </w:numPr>
        <w:spacing w:before="120" w:after="240"/>
        <w:rPr>
          <w:rFonts w:ascii="Lato" w:hAnsi="Lato"/>
          <w:sz w:val="22"/>
        </w:rPr>
      </w:pPr>
      <w:r w:rsidRPr="00CA48B7">
        <w:rPr>
          <w:rFonts w:ascii="Lato" w:hAnsi="Lato"/>
          <w:sz w:val="22"/>
        </w:rPr>
        <w:t>The Annual Report must:</w:t>
      </w:r>
    </w:p>
    <w:p w14:paraId="0A2453D5" w14:textId="77777777" w:rsidR="001C2B8A" w:rsidRPr="00CA48B7" w:rsidRDefault="001C2B8A" w:rsidP="00225E9B">
      <w:pPr>
        <w:pStyle w:val="Normalnumbered"/>
        <w:numPr>
          <w:ilvl w:val="0"/>
          <w:numId w:val="23"/>
        </w:numPr>
        <w:spacing w:after="240" w:line="260" w:lineRule="exact"/>
        <w:jc w:val="both"/>
        <w:rPr>
          <w:rFonts w:ascii="Lato" w:hAnsi="Lato"/>
          <w:sz w:val="22"/>
        </w:rPr>
      </w:pPr>
      <w:r w:rsidRPr="00CA48B7">
        <w:rPr>
          <w:rFonts w:ascii="Lato" w:hAnsi="Lato"/>
          <w:sz w:val="22"/>
        </w:rPr>
        <w:t xml:space="preserve">include a summary of progress against each milestone outlined in Table 6 (covering the period 1 January </w:t>
      </w:r>
      <w:r w:rsidR="0011115F" w:rsidRPr="00CA48B7">
        <w:rPr>
          <w:rFonts w:ascii="Lato" w:hAnsi="Lato"/>
          <w:sz w:val="22"/>
        </w:rPr>
        <w:t>to</w:t>
      </w:r>
      <w:r w:rsidRPr="00CA48B7">
        <w:rPr>
          <w:rFonts w:ascii="Lato" w:hAnsi="Lato"/>
          <w:sz w:val="22"/>
        </w:rPr>
        <w:t xml:space="preserve"> 31 December of the previous year);</w:t>
      </w:r>
    </w:p>
    <w:p w14:paraId="0A2453D6" w14:textId="77777777" w:rsidR="001C2B8A" w:rsidRPr="00CA48B7" w:rsidRDefault="001C2B8A" w:rsidP="00225E9B">
      <w:pPr>
        <w:pStyle w:val="Normalnumbered"/>
        <w:numPr>
          <w:ilvl w:val="0"/>
          <w:numId w:val="23"/>
        </w:numPr>
        <w:spacing w:after="240" w:line="260" w:lineRule="exact"/>
        <w:jc w:val="both"/>
        <w:rPr>
          <w:rFonts w:ascii="Lato" w:hAnsi="Lato"/>
          <w:sz w:val="22"/>
        </w:rPr>
      </w:pPr>
      <w:r w:rsidRPr="00CA48B7">
        <w:rPr>
          <w:rFonts w:ascii="Lato" w:hAnsi="Lato"/>
          <w:sz w:val="22"/>
        </w:rPr>
        <w:t xml:space="preserve">outline achievement of deliverables as set out in the Annual Capital Works Schedule (covering the period 1 January </w:t>
      </w:r>
      <w:r w:rsidR="0011115F" w:rsidRPr="00CA48B7">
        <w:rPr>
          <w:rFonts w:ascii="Lato" w:hAnsi="Lato"/>
          <w:sz w:val="22"/>
        </w:rPr>
        <w:t>to</w:t>
      </w:r>
      <w:r w:rsidRPr="00CA48B7">
        <w:rPr>
          <w:rFonts w:ascii="Lato" w:hAnsi="Lato"/>
          <w:sz w:val="22"/>
        </w:rPr>
        <w:t xml:space="preserve"> 31 December of the previous year); and</w:t>
      </w:r>
    </w:p>
    <w:p w14:paraId="0A2453D7" w14:textId="77777777" w:rsidR="001C2B8A" w:rsidRDefault="001C2B8A" w:rsidP="00225E9B">
      <w:pPr>
        <w:pStyle w:val="Normalnumbered"/>
        <w:numPr>
          <w:ilvl w:val="0"/>
          <w:numId w:val="23"/>
        </w:numPr>
        <w:spacing w:after="240" w:line="260" w:lineRule="exact"/>
        <w:rPr>
          <w:rFonts w:ascii="Lato" w:hAnsi="Lato"/>
          <w:sz w:val="22"/>
        </w:rPr>
      </w:pPr>
      <w:proofErr w:type="gramStart"/>
      <w:r w:rsidRPr="00CA48B7">
        <w:rPr>
          <w:rFonts w:ascii="Lato" w:hAnsi="Lato"/>
          <w:sz w:val="22"/>
        </w:rPr>
        <w:t>report</w:t>
      </w:r>
      <w:proofErr w:type="gramEnd"/>
      <w:r w:rsidRPr="00CA48B7">
        <w:rPr>
          <w:rFonts w:ascii="Lato" w:hAnsi="Lato"/>
          <w:sz w:val="22"/>
        </w:rPr>
        <w:t xml:space="preserve"> against the performance benchmarks as detailed in Table 7 (covering the period 1 January to 31 December of the previous year).</w:t>
      </w:r>
    </w:p>
    <w:p w14:paraId="0A2453D8" w14:textId="77777777" w:rsidR="006110D7" w:rsidRPr="00E95FD5" w:rsidRDefault="006110D7" w:rsidP="006110D7">
      <w:pPr>
        <w:pStyle w:val="ListParagraph"/>
        <w:widowControl w:val="0"/>
        <w:numPr>
          <w:ilvl w:val="0"/>
          <w:numId w:val="23"/>
        </w:numPr>
        <w:autoSpaceDE w:val="0"/>
        <w:autoSpaceDN w:val="0"/>
        <w:adjustRightInd w:val="0"/>
        <w:spacing w:after="120"/>
        <w:rPr>
          <w:rFonts w:eastAsiaTheme="minorEastAsia"/>
          <w:spacing w:val="4"/>
          <w:kern w:val="1"/>
          <w:lang w:val="en-US"/>
        </w:rPr>
      </w:pPr>
      <w:proofErr w:type="gramStart"/>
      <w:r w:rsidRPr="00E95FD5">
        <w:rPr>
          <w:rFonts w:eastAsiaTheme="minorEastAsia"/>
          <w:spacing w:val="4"/>
          <w:kern w:val="1"/>
          <w:lang w:val="en-US"/>
        </w:rPr>
        <w:t>report</w:t>
      </w:r>
      <w:proofErr w:type="gramEnd"/>
      <w:r w:rsidRPr="00E95FD5">
        <w:rPr>
          <w:rFonts w:eastAsiaTheme="minorEastAsia"/>
          <w:spacing w:val="4"/>
          <w:kern w:val="1"/>
          <w:lang w:val="en-US"/>
        </w:rPr>
        <w:t xml:space="preserve"> against performance indicators as detailed in Table </w:t>
      </w:r>
      <w:r>
        <w:rPr>
          <w:rFonts w:eastAsiaTheme="minorEastAsia" w:cs="Consolas"/>
          <w:spacing w:val="4"/>
          <w:kern w:val="1"/>
          <w:szCs w:val="23"/>
          <w:lang w:val="en-US"/>
        </w:rPr>
        <w:t>9</w:t>
      </w:r>
      <w:r w:rsidRPr="00E95FD5">
        <w:rPr>
          <w:rFonts w:eastAsiaTheme="minorEastAsia"/>
          <w:spacing w:val="4"/>
          <w:kern w:val="1"/>
          <w:lang w:val="en-US"/>
        </w:rPr>
        <w:t xml:space="preserve"> (covering the period 1 January to 31 December of the previous year)</w:t>
      </w:r>
      <w:r>
        <w:rPr>
          <w:rFonts w:eastAsiaTheme="minorEastAsia"/>
          <w:spacing w:val="4"/>
          <w:kern w:val="1"/>
          <w:lang w:val="en-US"/>
        </w:rPr>
        <w:t>.</w:t>
      </w:r>
    </w:p>
    <w:p w14:paraId="0A2453D9" w14:textId="77777777" w:rsidR="001C2B8A" w:rsidRPr="00CA48B7" w:rsidRDefault="001C2B8A" w:rsidP="00BD09BB">
      <w:pPr>
        <w:pStyle w:val="Normalnumbered"/>
        <w:numPr>
          <w:ilvl w:val="0"/>
          <w:numId w:val="16"/>
        </w:numPr>
        <w:spacing w:before="120" w:after="240"/>
        <w:rPr>
          <w:rFonts w:ascii="Lato" w:hAnsi="Lato"/>
          <w:sz w:val="22"/>
        </w:rPr>
      </w:pPr>
      <w:r w:rsidRPr="00CA48B7">
        <w:rPr>
          <w:rFonts w:ascii="Lato" w:hAnsi="Lato"/>
          <w:sz w:val="22"/>
        </w:rPr>
        <w:t>The Annual Report template will be agreed by the Commonwealth and the Northern Territory.</w:t>
      </w:r>
    </w:p>
    <w:p w14:paraId="0A2453DA" w14:textId="77777777" w:rsidR="00AD2E8B" w:rsidRPr="00CA48B7" w:rsidRDefault="00AD2E8B" w:rsidP="00BD09BB">
      <w:pPr>
        <w:pStyle w:val="Normalnumbered"/>
        <w:numPr>
          <w:ilvl w:val="0"/>
          <w:numId w:val="16"/>
        </w:numPr>
        <w:spacing w:before="120" w:after="240"/>
        <w:rPr>
          <w:rFonts w:ascii="Lato" w:hAnsi="Lato"/>
          <w:sz w:val="22"/>
        </w:rPr>
      </w:pPr>
      <w:r w:rsidRPr="00CA48B7">
        <w:rPr>
          <w:rFonts w:ascii="Lato" w:hAnsi="Lato"/>
          <w:sz w:val="22"/>
        </w:rPr>
        <w:t xml:space="preserve">Circumstances may give rise to </w:t>
      </w:r>
      <w:r w:rsidR="00423987" w:rsidRPr="00CA48B7">
        <w:rPr>
          <w:rFonts w:ascii="Lato" w:hAnsi="Lato"/>
          <w:sz w:val="22"/>
        </w:rPr>
        <w:t>additional</w:t>
      </w:r>
      <w:r w:rsidRPr="00CA48B7">
        <w:rPr>
          <w:rFonts w:ascii="Lato" w:hAnsi="Lato"/>
          <w:sz w:val="22"/>
        </w:rPr>
        <w:t xml:space="preserve"> reporting being sought from </w:t>
      </w:r>
      <w:r w:rsidR="001C2B8A" w:rsidRPr="00CA48B7">
        <w:rPr>
          <w:rFonts w:ascii="Lato" w:hAnsi="Lato"/>
          <w:sz w:val="22"/>
        </w:rPr>
        <w:t>the Northern Territory</w:t>
      </w:r>
      <w:r w:rsidRPr="00CA48B7">
        <w:rPr>
          <w:rFonts w:ascii="Lato" w:hAnsi="Lato"/>
          <w:sz w:val="22"/>
        </w:rPr>
        <w:t xml:space="preserve">. Such requests should be kept to </w:t>
      </w:r>
      <w:r w:rsidR="00423987" w:rsidRPr="00CA48B7">
        <w:rPr>
          <w:rFonts w:ascii="Lato" w:hAnsi="Lato"/>
          <w:sz w:val="22"/>
        </w:rPr>
        <w:t>the</w:t>
      </w:r>
      <w:r w:rsidRPr="00CA48B7">
        <w:rPr>
          <w:rFonts w:ascii="Lato" w:hAnsi="Lato"/>
          <w:sz w:val="22"/>
        </w:rPr>
        <w:t xml:space="preserve"> minimum</w:t>
      </w:r>
      <w:r w:rsidR="00423987" w:rsidRPr="00CA48B7">
        <w:rPr>
          <w:rFonts w:ascii="Lato" w:hAnsi="Lato"/>
          <w:sz w:val="22"/>
        </w:rPr>
        <w:t xml:space="preserve"> necessary for the effective assessment of the project or reform</w:t>
      </w:r>
      <w:r w:rsidRPr="00CA48B7">
        <w:rPr>
          <w:rFonts w:ascii="Lato" w:hAnsi="Lato"/>
          <w:sz w:val="22"/>
        </w:rPr>
        <w:t xml:space="preserve">. Requests should not place an undue reporting burden on </w:t>
      </w:r>
      <w:r w:rsidR="001C2B8A" w:rsidRPr="00CA48B7">
        <w:rPr>
          <w:rFonts w:ascii="Lato" w:hAnsi="Lato"/>
          <w:sz w:val="22"/>
        </w:rPr>
        <w:t>the Northern Territory</w:t>
      </w:r>
      <w:r w:rsidRPr="00CA48B7">
        <w:rPr>
          <w:rFonts w:ascii="Lato" w:hAnsi="Lato"/>
          <w:sz w:val="22"/>
        </w:rPr>
        <w:t xml:space="preserve"> and </w:t>
      </w:r>
      <w:r w:rsidR="00423987" w:rsidRPr="00CA48B7">
        <w:rPr>
          <w:rFonts w:ascii="Lato" w:hAnsi="Lato"/>
          <w:sz w:val="22"/>
        </w:rPr>
        <w:t>portfolio</w:t>
      </w:r>
      <w:r w:rsidRPr="00CA48B7">
        <w:rPr>
          <w:rFonts w:ascii="Lato" w:hAnsi="Lato"/>
          <w:sz w:val="22"/>
        </w:rPr>
        <w:t xml:space="preserve"> agencies.</w:t>
      </w:r>
    </w:p>
    <w:p w14:paraId="0A2453DB" w14:textId="77777777" w:rsidR="00BF5863" w:rsidRPr="00CA48B7" w:rsidRDefault="00BF5863" w:rsidP="00A17D70">
      <w:pPr>
        <w:pStyle w:val="Heading2"/>
        <w:rPr>
          <w:rFonts w:ascii="Lato" w:hAnsi="Lato"/>
        </w:rPr>
      </w:pPr>
      <w:r w:rsidRPr="00CA48B7">
        <w:rPr>
          <w:rFonts w:ascii="Lato" w:hAnsi="Lato"/>
        </w:rPr>
        <w:t>Review and Evaluation</w:t>
      </w:r>
    </w:p>
    <w:p w14:paraId="0A2453DC" w14:textId="77777777" w:rsidR="001C2B8A" w:rsidRPr="00CA48B7" w:rsidRDefault="001C2B8A" w:rsidP="00BD09BB">
      <w:pPr>
        <w:pStyle w:val="Normalnumbered"/>
        <w:numPr>
          <w:ilvl w:val="0"/>
          <w:numId w:val="16"/>
        </w:numPr>
        <w:spacing w:before="120" w:after="240"/>
        <w:rPr>
          <w:rFonts w:ascii="Lato" w:hAnsi="Lato"/>
          <w:sz w:val="22"/>
        </w:rPr>
      </w:pPr>
      <w:r w:rsidRPr="00CA48B7">
        <w:rPr>
          <w:rFonts w:ascii="Lato" w:hAnsi="Lato"/>
          <w:sz w:val="22"/>
        </w:rPr>
        <w:t xml:space="preserve">The Implementation Plan will be reviewed </w:t>
      </w:r>
      <w:r w:rsidR="0011115F" w:rsidRPr="00CA48B7">
        <w:rPr>
          <w:rFonts w:ascii="Lato" w:hAnsi="Lato"/>
          <w:sz w:val="22"/>
        </w:rPr>
        <w:t>i</w:t>
      </w:r>
      <w:r w:rsidRPr="00CA48B7">
        <w:rPr>
          <w:rFonts w:ascii="Lato" w:hAnsi="Lato"/>
          <w:sz w:val="22"/>
        </w:rPr>
        <w:t>n line with reviews of the overarching Agreement. This also aligns with the review cycle of the Northern Territory's Indigenous Education Strategy.</w:t>
      </w:r>
    </w:p>
    <w:p w14:paraId="0A2453DD" w14:textId="77777777" w:rsidR="001C2B8A" w:rsidRPr="00CA48B7" w:rsidRDefault="001C2B8A" w:rsidP="00BD09BB">
      <w:pPr>
        <w:pStyle w:val="Normalnumbered"/>
        <w:numPr>
          <w:ilvl w:val="0"/>
          <w:numId w:val="16"/>
        </w:numPr>
        <w:spacing w:before="120" w:after="240"/>
        <w:rPr>
          <w:rFonts w:ascii="Lato" w:hAnsi="Lato"/>
          <w:sz w:val="22"/>
        </w:rPr>
      </w:pPr>
      <w:r w:rsidRPr="00CA48B7">
        <w:rPr>
          <w:rFonts w:ascii="Lato" w:hAnsi="Lato"/>
          <w:sz w:val="22"/>
        </w:rPr>
        <w:t>The Commonwealth and Northern Territory will meet at least twice each year to discuss the operation and progress of this Implementation Plan, noting formal governance arrangements are outlined in the Agreement.</w:t>
      </w:r>
    </w:p>
    <w:p w14:paraId="0A2453DE" w14:textId="77777777" w:rsidR="001C2B8A" w:rsidRPr="00CA48B7" w:rsidRDefault="001C2B8A">
      <w:pPr>
        <w:rPr>
          <w:rFonts w:ascii="Lato" w:hAnsi="Lato"/>
          <w:b/>
          <w:color w:val="3D4B67"/>
          <w:sz w:val="29"/>
        </w:rPr>
      </w:pPr>
      <w:r w:rsidRPr="00CA48B7">
        <w:rPr>
          <w:rFonts w:ascii="Lato" w:hAnsi="Lato"/>
        </w:rPr>
        <w:br w:type="page"/>
      </w:r>
    </w:p>
    <w:p w14:paraId="0A2453DF" w14:textId="77777777" w:rsidR="0036688B" w:rsidRPr="00CA48B7" w:rsidRDefault="0036688B" w:rsidP="00A17D70">
      <w:pPr>
        <w:pStyle w:val="Heading2"/>
        <w:rPr>
          <w:rFonts w:ascii="Lato" w:hAnsi="Lato"/>
        </w:rPr>
      </w:pPr>
      <w:r w:rsidRPr="00CA48B7">
        <w:rPr>
          <w:rFonts w:ascii="Lato" w:hAnsi="Lato"/>
        </w:rPr>
        <w:lastRenderedPageBreak/>
        <w:t>Sign off</w:t>
      </w:r>
    </w:p>
    <w:p w14:paraId="0A2453E0" w14:textId="77777777" w:rsidR="0036688B" w:rsidRPr="00CA48B7" w:rsidRDefault="0036688B" w:rsidP="0036688B">
      <w:pPr>
        <w:spacing w:after="240" w:line="260" w:lineRule="exact"/>
        <w:jc w:val="both"/>
        <w:rPr>
          <w:rFonts w:ascii="Lato" w:hAnsi="Lato"/>
          <w:color w:val="000000"/>
          <w:sz w:val="22"/>
          <w:lang w:val="en-GB"/>
        </w:rPr>
      </w:pPr>
      <w:r w:rsidRPr="00CA48B7">
        <w:rPr>
          <w:rFonts w:ascii="Lato" w:hAnsi="Lato"/>
          <w:color w:val="000000"/>
          <w:sz w:val="22"/>
          <w:lang w:val="en-GB"/>
        </w:rPr>
        <w:t>The Parties have confirmed their commitment to this agreement as follows:</w:t>
      </w:r>
    </w:p>
    <w:p w14:paraId="0A2453E1" w14:textId="77777777" w:rsidR="00DA6284" w:rsidRPr="00CA48B7" w:rsidRDefault="00DA6284" w:rsidP="0036688B">
      <w:pPr>
        <w:spacing w:after="240" w:line="260" w:lineRule="exact"/>
        <w:jc w:val="both"/>
        <w:rPr>
          <w:rFonts w:ascii="Lato" w:hAnsi="Lato"/>
          <w:color w:val="000000"/>
          <w:sz w:val="22"/>
          <w:lang w:val="en-GB"/>
        </w:rPr>
      </w:pPr>
    </w:p>
    <w:p w14:paraId="0A2453E2" w14:textId="77777777" w:rsidR="00DA6284" w:rsidRPr="00CA48B7" w:rsidRDefault="00DA6284" w:rsidP="0036688B">
      <w:pPr>
        <w:spacing w:after="240" w:line="260" w:lineRule="exact"/>
        <w:jc w:val="both"/>
        <w:rPr>
          <w:rFonts w:ascii="Lato" w:hAnsi="Lato"/>
          <w:i/>
          <w:color w:val="000000"/>
          <w:sz w:val="22"/>
          <w:lang w:val="en-GB"/>
        </w:rPr>
      </w:pPr>
      <w:r w:rsidRPr="00CA48B7">
        <w:rPr>
          <w:rFonts w:ascii="Lato" w:hAnsi="Lato"/>
          <w:i/>
          <w:color w:val="000000"/>
          <w:sz w:val="22"/>
          <w:lang w:val="en-GB"/>
        </w:rPr>
        <w:t>Signed for and on behalf of the Northern Territory by</w:t>
      </w:r>
    </w:p>
    <w:p w14:paraId="0A2453E3" w14:textId="77777777" w:rsidR="00DA6284" w:rsidRPr="00CA48B7" w:rsidRDefault="00DA6284" w:rsidP="0036688B">
      <w:pPr>
        <w:spacing w:after="240" w:line="260" w:lineRule="exact"/>
        <w:jc w:val="both"/>
        <w:rPr>
          <w:rFonts w:ascii="Lato" w:hAnsi="Lato"/>
          <w:color w:val="000000"/>
          <w:lang w:val="en-GB"/>
        </w:rPr>
      </w:pPr>
    </w:p>
    <w:p w14:paraId="0A2453E4" w14:textId="77777777" w:rsidR="00DA6284" w:rsidRPr="00CA48B7" w:rsidRDefault="00DA6284" w:rsidP="0036688B">
      <w:pPr>
        <w:spacing w:after="240" w:line="260" w:lineRule="exact"/>
        <w:jc w:val="both"/>
        <w:rPr>
          <w:rFonts w:ascii="Lato" w:hAnsi="Lato"/>
          <w:color w:val="000000"/>
          <w:lang w:val="en-GB"/>
        </w:rPr>
      </w:pPr>
    </w:p>
    <w:p w14:paraId="0A2453E5" w14:textId="77777777" w:rsidR="00DA6284" w:rsidRPr="00CA48B7" w:rsidRDefault="00DA6284" w:rsidP="0036688B">
      <w:pPr>
        <w:spacing w:after="240" w:line="260" w:lineRule="exact"/>
        <w:jc w:val="both"/>
        <w:rPr>
          <w:rFonts w:ascii="Lato" w:hAnsi="Lato"/>
          <w:color w:val="000000"/>
          <w:lang w:val="en-GB"/>
        </w:rPr>
      </w:pPr>
    </w:p>
    <w:tbl>
      <w:tblPr>
        <w:tblW w:w="9464" w:type="dxa"/>
        <w:tblBorders>
          <w:insideH w:val="dashed" w:sz="4" w:space="0" w:color="auto"/>
          <w:insideV w:val="dashed" w:sz="4" w:space="0" w:color="auto"/>
        </w:tblBorders>
        <w:tblLook w:val="00A0" w:firstRow="1" w:lastRow="0" w:firstColumn="1" w:lastColumn="0" w:noHBand="0" w:noVBand="0"/>
      </w:tblPr>
      <w:tblGrid>
        <w:gridCol w:w="5192"/>
        <w:gridCol w:w="290"/>
        <w:gridCol w:w="3982"/>
      </w:tblGrid>
      <w:tr w:rsidR="0036688B" w:rsidRPr="00BD5E05" w14:paraId="0A2453E9" w14:textId="77777777" w:rsidTr="007A36B5">
        <w:tc>
          <w:tcPr>
            <w:tcW w:w="5070" w:type="dxa"/>
            <w:tcBorders>
              <w:top w:val="nil"/>
              <w:bottom w:val="single" w:sz="4" w:space="0" w:color="A6A6A6"/>
              <w:right w:val="nil"/>
            </w:tcBorders>
            <w:vAlign w:val="center"/>
          </w:tcPr>
          <w:p w14:paraId="0A2453E6" w14:textId="77777777" w:rsidR="0036688B" w:rsidRPr="00CA48B7" w:rsidRDefault="0036688B" w:rsidP="007A36B5">
            <w:pPr>
              <w:spacing w:before="120" w:after="120" w:line="280" w:lineRule="exact"/>
              <w:rPr>
                <w:rFonts w:ascii="Lato" w:hAnsi="Lato"/>
                <w:sz w:val="22"/>
              </w:rPr>
            </w:pPr>
            <w:r w:rsidRPr="00CA48B7">
              <w:rPr>
                <w:rFonts w:ascii="Lato" w:hAnsi="Lato"/>
                <w:b/>
                <w:color w:val="C00000"/>
                <w:sz w:val="22"/>
              </w:rPr>
              <w:t>Signature</w:t>
            </w:r>
          </w:p>
        </w:tc>
        <w:tc>
          <w:tcPr>
            <w:tcW w:w="283" w:type="dxa"/>
            <w:tcBorders>
              <w:top w:val="nil"/>
              <w:left w:val="nil"/>
              <w:bottom w:val="single" w:sz="4" w:space="0" w:color="A6A6A6"/>
              <w:right w:val="nil"/>
            </w:tcBorders>
          </w:tcPr>
          <w:p w14:paraId="0A2453E7" w14:textId="77777777" w:rsidR="0036688B" w:rsidRPr="00CA48B7" w:rsidRDefault="0036688B" w:rsidP="007A36B5">
            <w:pPr>
              <w:spacing w:before="120" w:after="120" w:line="280" w:lineRule="exact"/>
              <w:rPr>
                <w:rFonts w:ascii="Lato" w:hAnsi="Lato"/>
                <w:b/>
                <w:color w:val="C00000"/>
                <w:sz w:val="22"/>
              </w:rPr>
            </w:pPr>
          </w:p>
        </w:tc>
        <w:tc>
          <w:tcPr>
            <w:tcW w:w="3889" w:type="dxa"/>
            <w:tcBorders>
              <w:top w:val="nil"/>
              <w:left w:val="nil"/>
              <w:bottom w:val="single" w:sz="4" w:space="0" w:color="A6A6A6"/>
            </w:tcBorders>
            <w:vAlign w:val="center"/>
          </w:tcPr>
          <w:p w14:paraId="0A2453E8" w14:textId="77777777" w:rsidR="0036688B" w:rsidRPr="00CA48B7" w:rsidRDefault="0036688B" w:rsidP="007A36B5">
            <w:pPr>
              <w:spacing w:before="120" w:after="120" w:line="280" w:lineRule="exact"/>
              <w:rPr>
                <w:rFonts w:ascii="Lato" w:hAnsi="Lato"/>
                <w:sz w:val="22"/>
              </w:rPr>
            </w:pPr>
            <w:r w:rsidRPr="00CA48B7">
              <w:rPr>
                <w:rFonts w:ascii="Lato" w:hAnsi="Lato"/>
                <w:b/>
                <w:color w:val="C00000"/>
                <w:sz w:val="22"/>
              </w:rPr>
              <w:t>Date</w:t>
            </w:r>
          </w:p>
        </w:tc>
      </w:tr>
      <w:tr w:rsidR="0036688B" w:rsidRPr="00BD5E05" w14:paraId="0A2453EC" w14:textId="77777777" w:rsidTr="007A36B5">
        <w:tc>
          <w:tcPr>
            <w:tcW w:w="9242" w:type="dxa"/>
            <w:gridSpan w:val="3"/>
            <w:tcBorders>
              <w:top w:val="single" w:sz="4" w:space="0" w:color="A6A6A6"/>
            </w:tcBorders>
          </w:tcPr>
          <w:p w14:paraId="0A2453EB" w14:textId="7A2CE145" w:rsidR="00DA6284" w:rsidRPr="00CA48B7" w:rsidRDefault="0035792A" w:rsidP="00895C19">
            <w:pPr>
              <w:spacing w:after="960" w:line="280" w:lineRule="exact"/>
              <w:rPr>
                <w:rFonts w:ascii="Lato" w:hAnsi="Lato"/>
                <w:sz w:val="22"/>
              </w:rPr>
            </w:pPr>
            <w:sdt>
              <w:sdtPr>
                <w:rPr>
                  <w:rFonts w:ascii="Lato" w:hAnsi="Lato"/>
                  <w:b/>
                  <w:color w:val="365F91"/>
                  <w:sz w:val="22"/>
                </w:rPr>
                <w:alias w:val="Initiator Formal Title"/>
                <w:tag w:val="InitiatorFormalTitle"/>
                <w:id w:val="-1863277324"/>
                <w:placeholder>
                  <w:docPart w:val="CAD4304DD3F94C5A99244F305A84BE72"/>
                </w:placeholder>
              </w:sdtPr>
              <w:sdtEndPr/>
              <w:sdtContent>
                <w:r w:rsidR="00C9535C" w:rsidRPr="00C9535C">
                  <w:rPr>
                    <w:rFonts w:ascii="Lato" w:hAnsi="Lato"/>
                    <w:b/>
                    <w:color w:val="365F91"/>
                    <w:sz w:val="22"/>
                  </w:rPr>
                  <w:t>The Hon</w:t>
                </w:r>
              </w:sdtContent>
            </w:sdt>
            <w:r w:rsidR="00C9535C" w:rsidRPr="00C9535C">
              <w:rPr>
                <w:rFonts w:ascii="Lato" w:hAnsi="Lato"/>
                <w:b/>
                <w:color w:val="365F91"/>
                <w:sz w:val="22"/>
              </w:rPr>
              <w:t xml:space="preserve"> </w:t>
            </w:r>
            <w:sdt>
              <w:sdtPr>
                <w:rPr>
                  <w:rFonts w:ascii="Lato" w:hAnsi="Lato"/>
                  <w:b/>
                  <w:color w:val="365F91"/>
                  <w:sz w:val="22"/>
                </w:rPr>
                <w:alias w:val="Initiator Full Name"/>
                <w:tag w:val="InitiatorFullName"/>
                <w:id w:val="569083882"/>
                <w:placeholder>
                  <w:docPart w:val="CAD4304DD3F94C5A99244F305A84BE72"/>
                </w:placeholder>
              </w:sdtPr>
              <w:sdtEndPr/>
              <w:sdtContent>
                <w:r w:rsidR="00C9535C" w:rsidRPr="00C9535C">
                  <w:rPr>
                    <w:rFonts w:ascii="Lato" w:hAnsi="Lato"/>
                    <w:b/>
                    <w:color w:val="365F91"/>
                    <w:sz w:val="22"/>
                  </w:rPr>
                  <w:t xml:space="preserve">Selena </w:t>
                </w:r>
                <w:proofErr w:type="spellStart"/>
                <w:r w:rsidR="00C9535C" w:rsidRPr="00C9535C">
                  <w:rPr>
                    <w:rFonts w:ascii="Lato" w:hAnsi="Lato"/>
                    <w:b/>
                    <w:color w:val="365F91"/>
                    <w:sz w:val="22"/>
                  </w:rPr>
                  <w:t>Uibo</w:t>
                </w:r>
                <w:proofErr w:type="spellEnd"/>
              </w:sdtContent>
            </w:sdt>
            <w:r w:rsidR="00C9535C" w:rsidRPr="00C9535C" w:rsidDel="00C9535C">
              <w:rPr>
                <w:rFonts w:ascii="Lato" w:hAnsi="Lato"/>
                <w:b/>
                <w:color w:val="365F91"/>
                <w:sz w:val="22"/>
              </w:rPr>
              <w:t xml:space="preserve"> </w:t>
            </w:r>
            <w:r w:rsidR="00051439">
              <w:rPr>
                <w:rFonts w:ascii="Lato" w:hAnsi="Lato"/>
                <w:b/>
                <w:color w:val="365F91"/>
                <w:sz w:val="22"/>
              </w:rPr>
              <w:br/>
            </w:r>
            <w:r w:rsidR="00DA6284" w:rsidRPr="00CA48B7">
              <w:rPr>
                <w:rFonts w:ascii="Lato" w:hAnsi="Lato"/>
                <w:b/>
                <w:color w:val="365F91"/>
                <w:sz w:val="22"/>
              </w:rPr>
              <w:t>Minister for Education</w:t>
            </w:r>
          </w:p>
        </w:tc>
      </w:tr>
      <w:tr w:rsidR="0036688B" w:rsidRPr="00BD5E05" w14:paraId="0A2453FC" w14:textId="77777777" w:rsidTr="007A36B5">
        <w:tc>
          <w:tcPr>
            <w:tcW w:w="5070" w:type="dxa"/>
            <w:tcBorders>
              <w:top w:val="nil"/>
              <w:bottom w:val="single" w:sz="4" w:space="0" w:color="A6A6A6"/>
              <w:right w:val="nil"/>
            </w:tcBorders>
            <w:vAlign w:val="center"/>
          </w:tcPr>
          <w:p w14:paraId="0A2453ED" w14:textId="77777777" w:rsidR="00DA6284" w:rsidRPr="00CA48B7" w:rsidRDefault="00DA6284" w:rsidP="007A36B5">
            <w:pPr>
              <w:spacing w:before="120" w:after="120" w:line="280" w:lineRule="exact"/>
              <w:rPr>
                <w:rFonts w:ascii="Lato" w:hAnsi="Lato"/>
                <w:i/>
                <w:color w:val="000000"/>
                <w:sz w:val="22"/>
                <w:lang w:val="en-GB"/>
              </w:rPr>
            </w:pPr>
            <w:r w:rsidRPr="00CA48B7">
              <w:rPr>
                <w:rFonts w:ascii="Lato" w:hAnsi="Lato"/>
                <w:i/>
                <w:color w:val="000000"/>
                <w:sz w:val="22"/>
                <w:lang w:val="en-GB"/>
              </w:rPr>
              <w:t>Signed for and on behalf of the Commonwealth of Australia by</w:t>
            </w:r>
          </w:p>
          <w:p w14:paraId="0A2453EE" w14:textId="77777777" w:rsidR="00DA6284" w:rsidRPr="00CA48B7" w:rsidRDefault="00DA6284" w:rsidP="007A36B5">
            <w:pPr>
              <w:spacing w:before="120" w:after="120" w:line="280" w:lineRule="exact"/>
              <w:rPr>
                <w:rFonts w:ascii="Lato" w:hAnsi="Lato"/>
                <w:b/>
                <w:color w:val="C00000"/>
                <w:sz w:val="22"/>
              </w:rPr>
            </w:pPr>
          </w:p>
          <w:p w14:paraId="0A2453EF" w14:textId="77777777" w:rsidR="00DA6284" w:rsidRPr="00CA48B7" w:rsidRDefault="00DA6284" w:rsidP="007A36B5">
            <w:pPr>
              <w:spacing w:before="120" w:after="120" w:line="280" w:lineRule="exact"/>
              <w:rPr>
                <w:rFonts w:ascii="Lato" w:hAnsi="Lato"/>
                <w:b/>
                <w:color w:val="C00000"/>
                <w:sz w:val="22"/>
              </w:rPr>
            </w:pPr>
          </w:p>
          <w:p w14:paraId="0A2453F0" w14:textId="77777777" w:rsidR="00DA6284" w:rsidRPr="00CA48B7" w:rsidRDefault="00DA6284" w:rsidP="007A36B5">
            <w:pPr>
              <w:spacing w:before="120" w:after="120" w:line="280" w:lineRule="exact"/>
              <w:rPr>
                <w:rFonts w:ascii="Lato" w:hAnsi="Lato"/>
                <w:b/>
                <w:color w:val="C00000"/>
                <w:sz w:val="22"/>
              </w:rPr>
            </w:pPr>
          </w:p>
          <w:p w14:paraId="0A2453F1" w14:textId="77777777" w:rsidR="00DA6284" w:rsidRPr="00CA48B7" w:rsidRDefault="00DA6284" w:rsidP="007A36B5">
            <w:pPr>
              <w:spacing w:before="120" w:after="120" w:line="280" w:lineRule="exact"/>
              <w:rPr>
                <w:rFonts w:ascii="Lato" w:hAnsi="Lato"/>
                <w:b/>
                <w:color w:val="C00000"/>
                <w:sz w:val="22"/>
              </w:rPr>
            </w:pPr>
          </w:p>
          <w:p w14:paraId="0A2453F2" w14:textId="77777777" w:rsidR="0036688B" w:rsidRPr="00CA48B7" w:rsidRDefault="0036688B" w:rsidP="007A36B5">
            <w:pPr>
              <w:spacing w:before="120" w:after="120" w:line="280" w:lineRule="exact"/>
              <w:rPr>
                <w:rFonts w:ascii="Lato" w:hAnsi="Lato"/>
                <w:sz w:val="22"/>
              </w:rPr>
            </w:pPr>
            <w:r w:rsidRPr="00CA48B7">
              <w:rPr>
                <w:rFonts w:ascii="Lato" w:hAnsi="Lato"/>
                <w:b/>
                <w:color w:val="C00000"/>
                <w:sz w:val="22"/>
              </w:rPr>
              <w:t>Signature</w:t>
            </w:r>
          </w:p>
        </w:tc>
        <w:tc>
          <w:tcPr>
            <w:tcW w:w="283" w:type="dxa"/>
            <w:tcBorders>
              <w:top w:val="nil"/>
              <w:left w:val="nil"/>
              <w:bottom w:val="single" w:sz="4" w:space="0" w:color="A6A6A6"/>
              <w:right w:val="nil"/>
            </w:tcBorders>
          </w:tcPr>
          <w:p w14:paraId="0A2453F3" w14:textId="77777777" w:rsidR="0036688B" w:rsidRPr="00CA48B7" w:rsidRDefault="0036688B" w:rsidP="007A36B5">
            <w:pPr>
              <w:spacing w:before="120" w:after="120" w:line="280" w:lineRule="exact"/>
              <w:rPr>
                <w:rFonts w:ascii="Lato" w:hAnsi="Lato"/>
                <w:b/>
                <w:color w:val="C00000"/>
                <w:sz w:val="22"/>
              </w:rPr>
            </w:pPr>
          </w:p>
        </w:tc>
        <w:tc>
          <w:tcPr>
            <w:tcW w:w="3889" w:type="dxa"/>
            <w:tcBorders>
              <w:top w:val="nil"/>
              <w:left w:val="nil"/>
              <w:bottom w:val="single" w:sz="4" w:space="0" w:color="A6A6A6"/>
            </w:tcBorders>
            <w:vAlign w:val="center"/>
          </w:tcPr>
          <w:p w14:paraId="0A2453F4" w14:textId="77777777" w:rsidR="00DA6284" w:rsidRPr="00CA48B7" w:rsidRDefault="00DA6284" w:rsidP="007A36B5">
            <w:pPr>
              <w:spacing w:before="120" w:after="120" w:line="280" w:lineRule="exact"/>
              <w:rPr>
                <w:rFonts w:ascii="Lato" w:hAnsi="Lato"/>
                <w:b/>
                <w:color w:val="C00000"/>
                <w:sz w:val="22"/>
              </w:rPr>
            </w:pPr>
          </w:p>
          <w:p w14:paraId="0A2453F5" w14:textId="77777777" w:rsidR="00DA6284" w:rsidRPr="00CA48B7" w:rsidRDefault="00DA6284" w:rsidP="007A36B5">
            <w:pPr>
              <w:spacing w:before="120" w:after="120" w:line="280" w:lineRule="exact"/>
              <w:rPr>
                <w:rFonts w:ascii="Lato" w:hAnsi="Lato"/>
                <w:b/>
                <w:color w:val="C00000"/>
                <w:sz w:val="22"/>
              </w:rPr>
            </w:pPr>
          </w:p>
          <w:p w14:paraId="0A2453F6" w14:textId="77777777" w:rsidR="00DA6284" w:rsidRPr="00CA48B7" w:rsidRDefault="00DA6284" w:rsidP="007A36B5">
            <w:pPr>
              <w:spacing w:before="120" w:after="120" w:line="280" w:lineRule="exact"/>
              <w:rPr>
                <w:rFonts w:ascii="Lato" w:hAnsi="Lato"/>
                <w:b/>
                <w:color w:val="C00000"/>
                <w:sz w:val="22"/>
              </w:rPr>
            </w:pPr>
          </w:p>
          <w:p w14:paraId="0A2453F7" w14:textId="77777777" w:rsidR="00DA6284" w:rsidRPr="00CA48B7" w:rsidRDefault="00DA6284" w:rsidP="007A36B5">
            <w:pPr>
              <w:spacing w:before="120" w:after="120" w:line="280" w:lineRule="exact"/>
              <w:rPr>
                <w:rFonts w:ascii="Lato" w:hAnsi="Lato"/>
                <w:b/>
                <w:color w:val="C00000"/>
                <w:sz w:val="22"/>
              </w:rPr>
            </w:pPr>
          </w:p>
          <w:p w14:paraId="0A2453F8" w14:textId="77777777" w:rsidR="00DA6284" w:rsidRPr="00CA48B7" w:rsidRDefault="00DA6284" w:rsidP="007A36B5">
            <w:pPr>
              <w:spacing w:before="120" w:after="120" w:line="280" w:lineRule="exact"/>
              <w:rPr>
                <w:rFonts w:ascii="Lato" w:hAnsi="Lato"/>
                <w:b/>
                <w:color w:val="C00000"/>
                <w:sz w:val="22"/>
              </w:rPr>
            </w:pPr>
          </w:p>
          <w:p w14:paraId="0A2453F9" w14:textId="77777777" w:rsidR="00DA6284" w:rsidRPr="00CA48B7" w:rsidRDefault="00DA6284" w:rsidP="007A36B5">
            <w:pPr>
              <w:spacing w:before="120" w:after="120" w:line="280" w:lineRule="exact"/>
              <w:rPr>
                <w:rFonts w:ascii="Lato" w:hAnsi="Lato"/>
                <w:b/>
                <w:color w:val="C00000"/>
                <w:sz w:val="22"/>
              </w:rPr>
            </w:pPr>
          </w:p>
          <w:p w14:paraId="0A2453FA" w14:textId="77777777" w:rsidR="00DA6284" w:rsidRPr="00CA48B7" w:rsidRDefault="00DA6284" w:rsidP="007A36B5">
            <w:pPr>
              <w:spacing w:before="120" w:after="120" w:line="280" w:lineRule="exact"/>
              <w:rPr>
                <w:rFonts w:ascii="Lato" w:hAnsi="Lato"/>
                <w:b/>
                <w:color w:val="C00000"/>
                <w:sz w:val="22"/>
              </w:rPr>
            </w:pPr>
          </w:p>
          <w:p w14:paraId="0A2453FB" w14:textId="77777777" w:rsidR="0036688B" w:rsidRPr="00CA48B7" w:rsidRDefault="0036688B" w:rsidP="007A36B5">
            <w:pPr>
              <w:spacing w:before="120" w:after="120" w:line="280" w:lineRule="exact"/>
              <w:rPr>
                <w:rFonts w:ascii="Lato" w:hAnsi="Lato"/>
                <w:sz w:val="22"/>
              </w:rPr>
            </w:pPr>
            <w:r w:rsidRPr="00CA48B7">
              <w:rPr>
                <w:rFonts w:ascii="Lato" w:hAnsi="Lato"/>
                <w:b/>
                <w:color w:val="C00000"/>
                <w:sz w:val="22"/>
              </w:rPr>
              <w:t>Date</w:t>
            </w:r>
          </w:p>
        </w:tc>
      </w:tr>
      <w:tr w:rsidR="0036688B" w:rsidRPr="00BD5E05" w14:paraId="0A2453FE" w14:textId="77777777" w:rsidTr="007A36B5">
        <w:trPr>
          <w:trHeight w:val="822"/>
        </w:trPr>
        <w:tc>
          <w:tcPr>
            <w:tcW w:w="9242" w:type="dxa"/>
            <w:gridSpan w:val="3"/>
          </w:tcPr>
          <w:p w14:paraId="0A2453FD" w14:textId="77777777" w:rsidR="00DA6284" w:rsidRPr="00CA48B7" w:rsidRDefault="00374A51" w:rsidP="00DA6284">
            <w:pPr>
              <w:spacing w:after="960" w:line="280" w:lineRule="exact"/>
              <w:rPr>
                <w:rFonts w:ascii="Lato" w:hAnsi="Lato"/>
                <w:b/>
                <w:color w:val="365F91"/>
                <w:sz w:val="22"/>
              </w:rPr>
            </w:pPr>
            <w:r w:rsidRPr="00374A51">
              <w:rPr>
                <w:rFonts w:ascii="Lato" w:hAnsi="Lato"/>
                <w:b/>
                <w:color w:val="365F91"/>
                <w:sz w:val="22"/>
              </w:rPr>
              <w:t>Senator the Hon Nigel Scullion</w:t>
            </w:r>
            <w:r w:rsidR="00F81174">
              <w:rPr>
                <w:rFonts w:ascii="Lato" w:hAnsi="Lato"/>
                <w:b/>
                <w:color w:val="365F91"/>
                <w:sz w:val="22"/>
              </w:rPr>
              <w:br/>
              <w:t>Minister for Indigenous Affairs</w:t>
            </w:r>
          </w:p>
        </w:tc>
      </w:tr>
    </w:tbl>
    <w:p w14:paraId="0A2453FF" w14:textId="77777777" w:rsidR="00695DE1" w:rsidRPr="00CA48B7" w:rsidRDefault="00695DE1" w:rsidP="00A17D70">
      <w:pPr>
        <w:pStyle w:val="Heading2"/>
        <w:rPr>
          <w:rFonts w:ascii="Lato" w:hAnsi="Lato"/>
        </w:rPr>
      </w:pPr>
    </w:p>
    <w:p w14:paraId="0A245400" w14:textId="77777777" w:rsidR="0036688B" w:rsidRPr="00CA48B7" w:rsidRDefault="0036688B" w:rsidP="00695DE1">
      <w:pPr>
        <w:rPr>
          <w:rFonts w:ascii="Lato" w:hAnsi="Lato"/>
        </w:rPr>
      </w:pPr>
    </w:p>
    <w:sectPr w:rsidR="0036688B" w:rsidRPr="00CA48B7" w:rsidSect="00BD5E05">
      <w:pgSz w:w="11906" w:h="16838" w:code="9"/>
      <w:pgMar w:top="851" w:right="1440" w:bottom="1021"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45404" w14:textId="77777777" w:rsidR="0036671E" w:rsidRDefault="0036671E" w:rsidP="00520331">
      <w:r>
        <w:separator/>
      </w:r>
    </w:p>
  </w:endnote>
  <w:endnote w:type="continuationSeparator" w:id="0">
    <w:p w14:paraId="0A245405" w14:textId="77777777" w:rsidR="0036671E" w:rsidRDefault="0036671E" w:rsidP="00520331">
      <w:r>
        <w:continuationSeparator/>
      </w:r>
    </w:p>
  </w:endnote>
  <w:endnote w:type="continuationNotice" w:id="1">
    <w:p w14:paraId="0A245406" w14:textId="77777777" w:rsidR="0036671E" w:rsidRDefault="0036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5409" w14:textId="0E036816" w:rsidR="0036671E" w:rsidRPr="00413980" w:rsidRDefault="0036671E">
    <w:pPr>
      <w:pStyle w:val="Footer"/>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sidR="0035792A">
      <w:rPr>
        <w:noProof/>
        <w:sz w:val="20"/>
        <w:szCs w:val="20"/>
      </w:rPr>
      <w:t>1</w:t>
    </w:r>
    <w:r>
      <w:rPr>
        <w:sz w:val="20"/>
        <w:szCs w:val="20"/>
      </w:rPr>
      <w:fldChar w:fldCharType="end"/>
    </w:r>
  </w:p>
  <w:p w14:paraId="0A24540A" w14:textId="77777777" w:rsidR="0036671E" w:rsidRDefault="0036671E">
    <w:pPr>
      <w:pStyle w:val="Footer"/>
    </w:pPr>
  </w:p>
  <w:p w14:paraId="0A24540B" w14:textId="77777777" w:rsidR="0036671E" w:rsidRDefault="003667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45401" w14:textId="77777777" w:rsidR="0036671E" w:rsidRDefault="0036671E" w:rsidP="00520331">
      <w:r>
        <w:separator/>
      </w:r>
    </w:p>
  </w:footnote>
  <w:footnote w:type="continuationSeparator" w:id="0">
    <w:p w14:paraId="0A245402" w14:textId="77777777" w:rsidR="0036671E" w:rsidRDefault="0036671E" w:rsidP="00520331">
      <w:r>
        <w:continuationSeparator/>
      </w:r>
    </w:p>
  </w:footnote>
  <w:footnote w:type="continuationNotice" w:id="1">
    <w:p w14:paraId="0A245403" w14:textId="77777777" w:rsidR="0036671E" w:rsidRDefault="003667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719"/>
    <w:multiLevelType w:val="multilevel"/>
    <w:tmpl w:val="FDF8D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BA1A03"/>
    <w:multiLevelType w:val="hybridMultilevel"/>
    <w:tmpl w:val="E154E788"/>
    <w:lvl w:ilvl="0" w:tplc="DAA0A49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CDC7973"/>
    <w:multiLevelType w:val="multilevel"/>
    <w:tmpl w:val="85DCB1C2"/>
    <w:lvl w:ilvl="0">
      <w:start w:val="1"/>
      <w:numFmt w:val="lowerRoman"/>
      <w:lvlRestart w:val="0"/>
      <w:pStyle w:val="Romannumeral"/>
      <w:lvlText w:val="(%1)"/>
      <w:lvlJc w:val="left"/>
      <w:pPr>
        <w:tabs>
          <w:tab w:val="num" w:pos="567"/>
        </w:tabs>
        <w:ind w:left="567" w:hanging="567"/>
      </w:pPr>
      <w:rPr>
        <w:rFonts w:cs="Times New Roman" w:hint="default"/>
        <w:b w:val="0"/>
        <w:bCs w:val="0"/>
        <w:i w:val="0"/>
        <w:iCs w:val="0"/>
        <w:color w:val="000000"/>
      </w:rPr>
    </w:lvl>
    <w:lvl w:ilvl="1">
      <w:start w:val="1"/>
      <w:numFmt w:val="decimal"/>
      <w:lvlText w:val="(%2)"/>
      <w:lvlJc w:val="left"/>
      <w:pPr>
        <w:tabs>
          <w:tab w:val="num" w:pos="567"/>
        </w:tabs>
        <w:ind w:left="567" w:hanging="283"/>
      </w:pPr>
      <w:rPr>
        <w:rFonts w:cs="Times New Roman" w:hint="default"/>
        <w:b w:val="0"/>
        <w:bCs w:val="0"/>
        <w:i w:val="0"/>
        <w:iCs w:val="0"/>
        <w:color w:val="000000"/>
      </w:rPr>
    </w:lvl>
    <w:lvl w:ilvl="2">
      <w:start w:val="1"/>
      <w:numFmt w:val="decimal"/>
      <w:lvlText w:val="%3"/>
      <w:lvlJc w:val="left"/>
      <w:pPr>
        <w:tabs>
          <w:tab w:val="num" w:pos="1134"/>
        </w:tabs>
        <w:ind w:left="1134" w:hanging="567"/>
      </w:pPr>
      <w:rPr>
        <w:rFonts w:cs="Times New Roman" w:hint="default"/>
        <w:b w:val="0"/>
        <w:bCs w:val="0"/>
        <w:i w:val="0"/>
        <w:iCs w:val="0"/>
        <w:color w:val="000000"/>
      </w:rPr>
    </w:lvl>
    <w:lvl w:ilvl="3">
      <w:start w:val="1"/>
      <w:numFmt w:val="decimal"/>
      <w:lvlText w:val="%4"/>
      <w:lvlJc w:val="left"/>
      <w:pPr>
        <w:tabs>
          <w:tab w:val="num" w:pos="1701"/>
        </w:tabs>
        <w:ind w:left="1701" w:hanging="567"/>
      </w:pPr>
      <w:rPr>
        <w:rFonts w:cs="Times New Roman" w:hint="default"/>
        <w:b w:val="0"/>
        <w:bCs w:val="0"/>
        <w:i w:val="0"/>
        <w:iCs w:val="0"/>
        <w:color w:val="000000"/>
      </w:rPr>
    </w:lvl>
    <w:lvl w:ilvl="4">
      <w:start w:val="1"/>
      <w:numFmt w:val="decimal"/>
      <w:lvlText w:val="%5"/>
      <w:lvlJc w:val="left"/>
      <w:pPr>
        <w:tabs>
          <w:tab w:val="num" w:pos="2268"/>
        </w:tabs>
        <w:ind w:left="2268" w:hanging="567"/>
      </w:pPr>
      <w:rPr>
        <w:rFonts w:cs="Times New Roman" w:hint="default"/>
        <w:b w:val="0"/>
        <w:bCs w:val="0"/>
        <w:i w:val="0"/>
        <w:iCs w:val="0"/>
        <w:color w:val="000000"/>
      </w:rPr>
    </w:lvl>
    <w:lvl w:ilvl="5">
      <w:start w:val="1"/>
      <w:numFmt w:val="decimal"/>
      <w:lvlText w:val="%6"/>
      <w:lvlJc w:val="left"/>
      <w:pPr>
        <w:tabs>
          <w:tab w:val="num" w:pos="2835"/>
        </w:tabs>
        <w:ind w:left="2835" w:hanging="567"/>
      </w:pPr>
      <w:rPr>
        <w:rFonts w:cs="Times New Roman" w:hint="default"/>
        <w:b w:val="0"/>
        <w:bCs w:val="0"/>
        <w:i w:val="0"/>
        <w:iCs w:val="0"/>
        <w:color w:val="000000"/>
      </w:rPr>
    </w:lvl>
    <w:lvl w:ilvl="6">
      <w:start w:val="1"/>
      <w:numFmt w:val="decimal"/>
      <w:lvlText w:val="%7"/>
      <w:lvlJc w:val="left"/>
      <w:pPr>
        <w:tabs>
          <w:tab w:val="num" w:pos="3402"/>
        </w:tabs>
        <w:ind w:left="3402" w:hanging="567"/>
      </w:pPr>
      <w:rPr>
        <w:rFonts w:cs="Times New Roman" w:hint="default"/>
        <w:b w:val="0"/>
        <w:bCs w:val="0"/>
        <w:i w:val="0"/>
        <w:iCs w:val="0"/>
        <w:color w:val="000000"/>
      </w:rPr>
    </w:lvl>
    <w:lvl w:ilvl="7">
      <w:start w:val="1"/>
      <w:numFmt w:val="decimal"/>
      <w:lvlText w:val="%8"/>
      <w:lvlJc w:val="left"/>
      <w:pPr>
        <w:tabs>
          <w:tab w:val="num" w:pos="3969"/>
        </w:tabs>
        <w:ind w:left="3969" w:hanging="567"/>
      </w:pPr>
      <w:rPr>
        <w:rFonts w:cs="Times New Roman" w:hint="default"/>
        <w:b w:val="0"/>
        <w:bCs w:val="0"/>
        <w:i w:val="0"/>
        <w:iCs w:val="0"/>
        <w:color w:val="000000"/>
      </w:rPr>
    </w:lvl>
    <w:lvl w:ilvl="8">
      <w:start w:val="1"/>
      <w:numFmt w:val="decimal"/>
      <w:lvlText w:val="%9"/>
      <w:lvlJc w:val="left"/>
      <w:pPr>
        <w:tabs>
          <w:tab w:val="num" w:pos="4536"/>
        </w:tabs>
        <w:ind w:left="4536" w:hanging="567"/>
      </w:pPr>
      <w:rPr>
        <w:rFonts w:cs="Times New Roman" w:hint="default"/>
        <w:b w:val="0"/>
        <w:bCs w:val="0"/>
        <w:i w:val="0"/>
        <w:iCs w:val="0"/>
        <w:color w:val="000000"/>
      </w:rPr>
    </w:lvl>
  </w:abstractNum>
  <w:abstractNum w:abstractNumId="3" w15:restartNumberingAfterBreak="0">
    <w:nsid w:val="244237C5"/>
    <w:multiLevelType w:val="multilevel"/>
    <w:tmpl w:val="58FC54CC"/>
    <w:name w:val="StandardNumberedList"/>
    <w:lvl w:ilvl="0">
      <w:start w:val="1"/>
      <w:numFmt w:val="decimal"/>
      <w:pStyle w:val="OutlineNumbered1"/>
      <w:lvlText w:val="%1."/>
      <w:lvlJc w:val="left"/>
      <w:pPr>
        <w:tabs>
          <w:tab w:val="num" w:pos="543"/>
        </w:tabs>
        <w:ind w:left="543" w:hanging="543"/>
      </w:pPr>
      <w:rPr>
        <w:rFonts w:cs="Times New Roman"/>
        <w:b w:val="0"/>
        <w:bCs w:val="0"/>
        <w:i w:val="0"/>
        <w:iCs w:val="0"/>
      </w:rPr>
    </w:lvl>
    <w:lvl w:ilvl="1">
      <w:start w:val="1"/>
      <w:numFmt w:val="decimal"/>
      <w:pStyle w:val="OutlineNumbered2"/>
      <w:lvlText w:val="%1.%2."/>
      <w:lvlJc w:val="left"/>
      <w:pPr>
        <w:tabs>
          <w:tab w:val="num" w:pos="1086"/>
        </w:tabs>
        <w:ind w:left="1086" w:hanging="543"/>
      </w:pPr>
      <w:rPr>
        <w:rFonts w:cs="Times New Roman"/>
        <w:b w:val="0"/>
        <w:bCs w:val="0"/>
        <w:i w:val="0"/>
        <w:iCs w:val="0"/>
      </w:rPr>
    </w:lvl>
    <w:lvl w:ilvl="2">
      <w:start w:val="1"/>
      <w:numFmt w:val="decimal"/>
      <w:pStyle w:val="OutlineNumbered3"/>
      <w:lvlText w:val="%1.%2.%3."/>
      <w:lvlJc w:val="left"/>
      <w:pPr>
        <w:tabs>
          <w:tab w:val="num" w:pos="1629"/>
        </w:tabs>
        <w:ind w:left="1629" w:hanging="543"/>
      </w:pPr>
      <w:rPr>
        <w:rFonts w:cs="Times New Roman"/>
        <w:b w:val="0"/>
        <w:bCs w:val="0"/>
        <w:i w:val="0"/>
        <w:iCs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4" w15:restartNumberingAfterBreak="0">
    <w:nsid w:val="25BD6E6B"/>
    <w:multiLevelType w:val="hybridMultilevel"/>
    <w:tmpl w:val="A9860EC8"/>
    <w:lvl w:ilvl="0" w:tplc="8C5AE6F4">
      <w:start w:val="1"/>
      <w:numFmt w:val="bullet"/>
      <w:lvlText w:val="•"/>
      <w:lvlJc w:val="left"/>
      <w:pPr>
        <w:ind w:left="423" w:hanging="298"/>
      </w:pPr>
      <w:rPr>
        <w:rFonts w:ascii="Times New Roman" w:eastAsia="Times New Roman" w:hAnsi="Times New Roman" w:hint="default"/>
        <w:w w:val="92"/>
        <w:position w:val="-2"/>
        <w:sz w:val="25"/>
      </w:rPr>
    </w:lvl>
    <w:lvl w:ilvl="1" w:tplc="C68EB25E">
      <w:start w:val="1"/>
      <w:numFmt w:val="bullet"/>
      <w:lvlText w:val="•"/>
      <w:lvlJc w:val="left"/>
      <w:pPr>
        <w:ind w:left="695" w:hanging="298"/>
      </w:pPr>
      <w:rPr>
        <w:rFonts w:hint="default"/>
      </w:rPr>
    </w:lvl>
    <w:lvl w:ilvl="2" w:tplc="5DAAC242">
      <w:start w:val="1"/>
      <w:numFmt w:val="bullet"/>
      <w:lvlText w:val="•"/>
      <w:lvlJc w:val="left"/>
      <w:pPr>
        <w:ind w:left="967" w:hanging="298"/>
      </w:pPr>
      <w:rPr>
        <w:rFonts w:hint="default"/>
      </w:rPr>
    </w:lvl>
    <w:lvl w:ilvl="3" w:tplc="FA9E085E">
      <w:start w:val="1"/>
      <w:numFmt w:val="bullet"/>
      <w:lvlText w:val="•"/>
      <w:lvlJc w:val="left"/>
      <w:pPr>
        <w:ind w:left="1239" w:hanging="298"/>
      </w:pPr>
      <w:rPr>
        <w:rFonts w:hint="default"/>
      </w:rPr>
    </w:lvl>
    <w:lvl w:ilvl="4" w:tplc="4274D826">
      <w:start w:val="1"/>
      <w:numFmt w:val="bullet"/>
      <w:lvlText w:val="•"/>
      <w:lvlJc w:val="left"/>
      <w:pPr>
        <w:ind w:left="1511" w:hanging="298"/>
      </w:pPr>
      <w:rPr>
        <w:rFonts w:hint="default"/>
      </w:rPr>
    </w:lvl>
    <w:lvl w:ilvl="5" w:tplc="A74EEB9E">
      <w:start w:val="1"/>
      <w:numFmt w:val="bullet"/>
      <w:lvlText w:val="•"/>
      <w:lvlJc w:val="left"/>
      <w:pPr>
        <w:ind w:left="1783" w:hanging="298"/>
      </w:pPr>
      <w:rPr>
        <w:rFonts w:hint="default"/>
      </w:rPr>
    </w:lvl>
    <w:lvl w:ilvl="6" w:tplc="9F92421A">
      <w:start w:val="1"/>
      <w:numFmt w:val="bullet"/>
      <w:lvlText w:val="•"/>
      <w:lvlJc w:val="left"/>
      <w:pPr>
        <w:ind w:left="2055" w:hanging="298"/>
      </w:pPr>
      <w:rPr>
        <w:rFonts w:hint="default"/>
      </w:rPr>
    </w:lvl>
    <w:lvl w:ilvl="7" w:tplc="6B3C421E">
      <w:start w:val="1"/>
      <w:numFmt w:val="bullet"/>
      <w:lvlText w:val="•"/>
      <w:lvlJc w:val="left"/>
      <w:pPr>
        <w:ind w:left="2327" w:hanging="298"/>
      </w:pPr>
      <w:rPr>
        <w:rFonts w:hint="default"/>
      </w:rPr>
    </w:lvl>
    <w:lvl w:ilvl="8" w:tplc="0BC00358">
      <w:start w:val="1"/>
      <w:numFmt w:val="bullet"/>
      <w:lvlText w:val="•"/>
      <w:lvlJc w:val="left"/>
      <w:pPr>
        <w:ind w:left="2599" w:hanging="298"/>
      </w:pPr>
      <w:rPr>
        <w:rFonts w:hint="default"/>
      </w:rPr>
    </w:lvl>
  </w:abstractNum>
  <w:abstractNum w:abstractNumId="5" w15:restartNumberingAfterBreak="0">
    <w:nsid w:val="28CC4F95"/>
    <w:multiLevelType w:val="hybridMultilevel"/>
    <w:tmpl w:val="EF948D48"/>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15:restartNumberingAfterBreak="0">
    <w:nsid w:val="2B0178CF"/>
    <w:multiLevelType w:val="hybridMultilevel"/>
    <w:tmpl w:val="F6F47142"/>
    <w:lvl w:ilvl="0" w:tplc="917E03DE">
      <w:start w:val="1"/>
      <w:numFmt w:val="bullet"/>
      <w:lvlText w:val="•"/>
      <w:lvlJc w:val="left"/>
      <w:pPr>
        <w:ind w:left="392" w:hanging="308"/>
      </w:pPr>
      <w:rPr>
        <w:rFonts w:ascii="Times New Roman" w:eastAsia="Times New Roman" w:hAnsi="Times New Roman" w:hint="default"/>
        <w:position w:val="-2"/>
        <w:sz w:val="25"/>
      </w:rPr>
    </w:lvl>
    <w:lvl w:ilvl="1" w:tplc="D7D48634">
      <w:start w:val="1"/>
      <w:numFmt w:val="bullet"/>
      <w:lvlText w:val="•"/>
      <w:lvlJc w:val="left"/>
      <w:pPr>
        <w:ind w:left="666" w:hanging="308"/>
      </w:pPr>
      <w:rPr>
        <w:rFonts w:hint="default"/>
      </w:rPr>
    </w:lvl>
    <w:lvl w:ilvl="2" w:tplc="083E9F76">
      <w:start w:val="1"/>
      <w:numFmt w:val="bullet"/>
      <w:lvlText w:val="•"/>
      <w:lvlJc w:val="left"/>
      <w:pPr>
        <w:ind w:left="941" w:hanging="308"/>
      </w:pPr>
      <w:rPr>
        <w:rFonts w:hint="default"/>
      </w:rPr>
    </w:lvl>
    <w:lvl w:ilvl="3" w:tplc="103414A6">
      <w:start w:val="1"/>
      <w:numFmt w:val="bullet"/>
      <w:lvlText w:val="•"/>
      <w:lvlJc w:val="left"/>
      <w:pPr>
        <w:ind w:left="1216" w:hanging="308"/>
      </w:pPr>
      <w:rPr>
        <w:rFonts w:hint="default"/>
      </w:rPr>
    </w:lvl>
    <w:lvl w:ilvl="4" w:tplc="76202C0C">
      <w:start w:val="1"/>
      <w:numFmt w:val="bullet"/>
      <w:lvlText w:val="•"/>
      <w:lvlJc w:val="left"/>
      <w:pPr>
        <w:ind w:left="1491" w:hanging="308"/>
      </w:pPr>
      <w:rPr>
        <w:rFonts w:hint="default"/>
      </w:rPr>
    </w:lvl>
    <w:lvl w:ilvl="5" w:tplc="169830C4">
      <w:start w:val="1"/>
      <w:numFmt w:val="bullet"/>
      <w:lvlText w:val="•"/>
      <w:lvlJc w:val="left"/>
      <w:pPr>
        <w:ind w:left="1765" w:hanging="308"/>
      </w:pPr>
      <w:rPr>
        <w:rFonts w:hint="default"/>
      </w:rPr>
    </w:lvl>
    <w:lvl w:ilvl="6" w:tplc="4386B91E">
      <w:start w:val="1"/>
      <w:numFmt w:val="bullet"/>
      <w:lvlText w:val="•"/>
      <w:lvlJc w:val="left"/>
      <w:pPr>
        <w:ind w:left="2040" w:hanging="308"/>
      </w:pPr>
      <w:rPr>
        <w:rFonts w:hint="default"/>
      </w:rPr>
    </w:lvl>
    <w:lvl w:ilvl="7" w:tplc="37924772">
      <w:start w:val="1"/>
      <w:numFmt w:val="bullet"/>
      <w:lvlText w:val="•"/>
      <w:lvlJc w:val="left"/>
      <w:pPr>
        <w:ind w:left="2315" w:hanging="308"/>
      </w:pPr>
      <w:rPr>
        <w:rFonts w:hint="default"/>
      </w:rPr>
    </w:lvl>
    <w:lvl w:ilvl="8" w:tplc="3D5AFA56">
      <w:start w:val="1"/>
      <w:numFmt w:val="bullet"/>
      <w:lvlText w:val="•"/>
      <w:lvlJc w:val="left"/>
      <w:pPr>
        <w:ind w:left="2589" w:hanging="308"/>
      </w:pPr>
      <w:rPr>
        <w:rFonts w:hint="default"/>
      </w:rPr>
    </w:lvl>
  </w:abstractNum>
  <w:abstractNum w:abstractNumId="7" w15:restartNumberingAfterBreak="0">
    <w:nsid w:val="2DEC6591"/>
    <w:multiLevelType w:val="hybridMultilevel"/>
    <w:tmpl w:val="4DA064E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28B3D39"/>
    <w:multiLevelType w:val="hybridMultilevel"/>
    <w:tmpl w:val="652836B2"/>
    <w:lvl w:ilvl="0" w:tplc="102CA794">
      <w:start w:val="1"/>
      <w:numFmt w:val="bullet"/>
      <w:pStyle w:val="StatesList"/>
      <w:lvlText w:val=""/>
      <w:lvlJc w:val="left"/>
      <w:pPr>
        <w:tabs>
          <w:tab w:val="num" w:pos="1134"/>
        </w:tabs>
        <w:ind w:left="1134" w:hanging="567"/>
      </w:pPr>
      <w:rPr>
        <w:rFonts w:ascii="ZapfDingbats" w:hAnsi="ZapfDingbats" w:hint="default"/>
        <w:color w:val="000080"/>
        <w:sz w:val="20"/>
      </w:rPr>
    </w:lvl>
    <w:lvl w:ilvl="1" w:tplc="5510E282">
      <w:start w:val="1"/>
      <w:numFmt w:val="bullet"/>
      <w:lvlText w:val="o"/>
      <w:lvlJc w:val="left"/>
      <w:pPr>
        <w:tabs>
          <w:tab w:val="num" w:pos="2574"/>
        </w:tabs>
        <w:ind w:left="2574" w:hanging="360"/>
      </w:pPr>
      <w:rPr>
        <w:rFonts w:ascii="Courier New" w:hAnsi="Courier New" w:hint="default"/>
      </w:rPr>
    </w:lvl>
    <w:lvl w:ilvl="2" w:tplc="524EF248">
      <w:start w:val="1"/>
      <w:numFmt w:val="bullet"/>
      <w:lvlText w:val=""/>
      <w:lvlJc w:val="left"/>
      <w:pPr>
        <w:tabs>
          <w:tab w:val="num" w:pos="3294"/>
        </w:tabs>
        <w:ind w:left="3294" w:hanging="360"/>
      </w:pPr>
      <w:rPr>
        <w:rFonts w:ascii="Wingdings" w:hAnsi="Wingdings" w:hint="default"/>
      </w:rPr>
    </w:lvl>
    <w:lvl w:ilvl="3" w:tplc="52A84620">
      <w:start w:val="1"/>
      <w:numFmt w:val="bullet"/>
      <w:lvlText w:val=""/>
      <w:lvlJc w:val="left"/>
      <w:pPr>
        <w:tabs>
          <w:tab w:val="num" w:pos="4014"/>
        </w:tabs>
        <w:ind w:left="4014" w:hanging="360"/>
      </w:pPr>
      <w:rPr>
        <w:rFonts w:ascii="Symbol" w:hAnsi="Symbol" w:hint="default"/>
      </w:rPr>
    </w:lvl>
    <w:lvl w:ilvl="4" w:tplc="B89E094C">
      <w:start w:val="1"/>
      <w:numFmt w:val="bullet"/>
      <w:lvlText w:val="o"/>
      <w:lvlJc w:val="left"/>
      <w:pPr>
        <w:tabs>
          <w:tab w:val="num" w:pos="4734"/>
        </w:tabs>
        <w:ind w:left="4734" w:hanging="360"/>
      </w:pPr>
      <w:rPr>
        <w:rFonts w:ascii="Courier New" w:hAnsi="Courier New" w:hint="default"/>
      </w:rPr>
    </w:lvl>
    <w:lvl w:ilvl="5" w:tplc="0158F2D0">
      <w:start w:val="1"/>
      <w:numFmt w:val="bullet"/>
      <w:lvlText w:val=""/>
      <w:lvlJc w:val="left"/>
      <w:pPr>
        <w:tabs>
          <w:tab w:val="num" w:pos="5454"/>
        </w:tabs>
        <w:ind w:left="5454" w:hanging="360"/>
      </w:pPr>
      <w:rPr>
        <w:rFonts w:ascii="Wingdings" w:hAnsi="Wingdings" w:hint="default"/>
      </w:rPr>
    </w:lvl>
    <w:lvl w:ilvl="6" w:tplc="9E408F3A">
      <w:start w:val="1"/>
      <w:numFmt w:val="bullet"/>
      <w:lvlText w:val=""/>
      <w:lvlJc w:val="left"/>
      <w:pPr>
        <w:tabs>
          <w:tab w:val="num" w:pos="6174"/>
        </w:tabs>
        <w:ind w:left="6174" w:hanging="360"/>
      </w:pPr>
      <w:rPr>
        <w:rFonts w:ascii="Symbol" w:hAnsi="Symbol" w:hint="default"/>
      </w:rPr>
    </w:lvl>
    <w:lvl w:ilvl="7" w:tplc="11621F6E">
      <w:start w:val="1"/>
      <w:numFmt w:val="bullet"/>
      <w:lvlText w:val="o"/>
      <w:lvlJc w:val="left"/>
      <w:pPr>
        <w:tabs>
          <w:tab w:val="num" w:pos="6894"/>
        </w:tabs>
        <w:ind w:left="6894" w:hanging="360"/>
      </w:pPr>
      <w:rPr>
        <w:rFonts w:ascii="Courier New" w:hAnsi="Courier New" w:hint="default"/>
      </w:rPr>
    </w:lvl>
    <w:lvl w:ilvl="8" w:tplc="35B4AAF8">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4C07436"/>
    <w:multiLevelType w:val="hybridMultilevel"/>
    <w:tmpl w:val="EB4C46F8"/>
    <w:lvl w:ilvl="0" w:tplc="590C94CC">
      <w:start w:val="1"/>
      <w:numFmt w:val="bullet"/>
      <w:pStyle w:val="SubBullets"/>
      <w:lvlText w:val="–"/>
      <w:lvlJc w:val="left"/>
      <w:pPr>
        <w:tabs>
          <w:tab w:val="num" w:pos="927"/>
        </w:tabs>
        <w:ind w:left="927" w:hanging="567"/>
      </w:pPr>
      <w:rPr>
        <w:rFonts w:ascii="Arial" w:hAnsi="Arial" w:hint="default"/>
        <w:sz w:val="20"/>
      </w:rPr>
    </w:lvl>
    <w:lvl w:ilvl="1" w:tplc="039E2B68">
      <w:start w:val="1"/>
      <w:numFmt w:val="bullet"/>
      <w:pStyle w:val="SubBullets"/>
      <w:lvlText w:val=""/>
      <w:lvlJc w:val="left"/>
      <w:pPr>
        <w:tabs>
          <w:tab w:val="num" w:pos="1440"/>
        </w:tabs>
        <w:ind w:left="1440" w:hanging="360"/>
      </w:pPr>
      <w:rPr>
        <w:rFonts w:ascii="Times New Roman" w:hAnsi="Times New Roman"/>
        <w:b w:val="0"/>
        <w:i w:val="0"/>
        <w:caps w:val="0"/>
        <w:smallCaps w:val="0"/>
        <w:strike w:val="0"/>
        <w:dstrike w:val="0"/>
        <w:vanish w:val="0"/>
        <w:color w:val="000000"/>
        <w:spacing w:val="0"/>
        <w:kern w:val="0"/>
        <w:position w:val="0"/>
        <w:u w:val="none"/>
        <w:vertAlign w:val="baseline"/>
      </w:rPr>
    </w:lvl>
    <w:lvl w:ilvl="2" w:tplc="932C931E">
      <w:start w:val="1"/>
      <w:numFmt w:val="lowerRoman"/>
      <w:lvlText w:val="%3."/>
      <w:lvlJc w:val="right"/>
      <w:pPr>
        <w:tabs>
          <w:tab w:val="num" w:pos="2160"/>
        </w:tabs>
        <w:ind w:left="2160" w:hanging="180"/>
      </w:pPr>
      <w:rPr>
        <w:rFonts w:cs="Times New Roman"/>
      </w:rPr>
    </w:lvl>
    <w:lvl w:ilvl="3" w:tplc="8F6C836E">
      <w:start w:val="1"/>
      <w:numFmt w:val="decimal"/>
      <w:lvlText w:val="%4."/>
      <w:lvlJc w:val="left"/>
      <w:pPr>
        <w:tabs>
          <w:tab w:val="num" w:pos="2880"/>
        </w:tabs>
        <w:ind w:left="2880" w:hanging="360"/>
      </w:pPr>
      <w:rPr>
        <w:rFonts w:cs="Times New Roman"/>
      </w:rPr>
    </w:lvl>
    <w:lvl w:ilvl="4" w:tplc="7262739E">
      <w:start w:val="1"/>
      <w:numFmt w:val="lowerLetter"/>
      <w:lvlText w:val="%5."/>
      <w:lvlJc w:val="left"/>
      <w:pPr>
        <w:tabs>
          <w:tab w:val="num" w:pos="3600"/>
        </w:tabs>
        <w:ind w:left="3600" w:hanging="360"/>
      </w:pPr>
      <w:rPr>
        <w:rFonts w:cs="Times New Roman"/>
      </w:rPr>
    </w:lvl>
    <w:lvl w:ilvl="5" w:tplc="D20E083C">
      <w:start w:val="1"/>
      <w:numFmt w:val="lowerRoman"/>
      <w:lvlText w:val="%6."/>
      <w:lvlJc w:val="right"/>
      <w:pPr>
        <w:tabs>
          <w:tab w:val="num" w:pos="4320"/>
        </w:tabs>
        <w:ind w:left="4320" w:hanging="180"/>
      </w:pPr>
      <w:rPr>
        <w:rFonts w:cs="Times New Roman"/>
      </w:rPr>
    </w:lvl>
    <w:lvl w:ilvl="6" w:tplc="4DCC1322">
      <w:start w:val="1"/>
      <w:numFmt w:val="decimal"/>
      <w:lvlText w:val="%7."/>
      <w:lvlJc w:val="left"/>
      <w:pPr>
        <w:tabs>
          <w:tab w:val="num" w:pos="5040"/>
        </w:tabs>
        <w:ind w:left="5040" w:hanging="360"/>
      </w:pPr>
      <w:rPr>
        <w:rFonts w:cs="Times New Roman"/>
      </w:rPr>
    </w:lvl>
    <w:lvl w:ilvl="7" w:tplc="75BAE3C4">
      <w:start w:val="1"/>
      <w:numFmt w:val="lowerLetter"/>
      <w:lvlText w:val="%8."/>
      <w:lvlJc w:val="left"/>
      <w:pPr>
        <w:tabs>
          <w:tab w:val="num" w:pos="5760"/>
        </w:tabs>
        <w:ind w:left="5760" w:hanging="360"/>
      </w:pPr>
      <w:rPr>
        <w:rFonts w:cs="Times New Roman"/>
      </w:rPr>
    </w:lvl>
    <w:lvl w:ilvl="8" w:tplc="9B62665E">
      <w:start w:val="1"/>
      <w:numFmt w:val="lowerRoman"/>
      <w:lvlText w:val="%9."/>
      <w:lvlJc w:val="right"/>
      <w:pPr>
        <w:tabs>
          <w:tab w:val="num" w:pos="6480"/>
        </w:tabs>
        <w:ind w:left="6480" w:hanging="180"/>
      </w:pPr>
      <w:rPr>
        <w:rFonts w:cs="Times New Roman"/>
      </w:rPr>
    </w:lvl>
  </w:abstractNum>
  <w:abstractNum w:abstractNumId="10" w15:restartNumberingAfterBreak="0">
    <w:nsid w:val="380838A9"/>
    <w:multiLevelType w:val="hybridMultilevel"/>
    <w:tmpl w:val="B35454B2"/>
    <w:lvl w:ilvl="0" w:tplc="4AD06136">
      <w:start w:val="1"/>
      <w:numFmt w:val="bullet"/>
      <w:lvlText w:val="•"/>
      <w:lvlJc w:val="left"/>
      <w:pPr>
        <w:ind w:left="491" w:hanging="360"/>
      </w:pPr>
      <w:rPr>
        <w:rFonts w:ascii="Arial" w:hAnsi="Arial" w:hint="default"/>
      </w:rPr>
    </w:lvl>
    <w:lvl w:ilvl="1" w:tplc="0C090003" w:tentative="1">
      <w:start w:val="1"/>
      <w:numFmt w:val="bullet"/>
      <w:lvlText w:val="o"/>
      <w:lvlJc w:val="left"/>
      <w:pPr>
        <w:ind w:left="1211" w:hanging="360"/>
      </w:pPr>
      <w:rPr>
        <w:rFonts w:ascii="Courier New" w:hAnsi="Courier New" w:hint="default"/>
      </w:rPr>
    </w:lvl>
    <w:lvl w:ilvl="2" w:tplc="0C090005" w:tentative="1">
      <w:start w:val="1"/>
      <w:numFmt w:val="bullet"/>
      <w:lvlText w:val=""/>
      <w:lvlJc w:val="left"/>
      <w:pPr>
        <w:ind w:left="1931" w:hanging="360"/>
      </w:pPr>
      <w:rPr>
        <w:rFonts w:ascii="Wingdings" w:hAnsi="Wingdings" w:hint="default"/>
      </w:rPr>
    </w:lvl>
    <w:lvl w:ilvl="3" w:tplc="0C090001" w:tentative="1">
      <w:start w:val="1"/>
      <w:numFmt w:val="bullet"/>
      <w:lvlText w:val=""/>
      <w:lvlJc w:val="left"/>
      <w:pPr>
        <w:ind w:left="2651" w:hanging="360"/>
      </w:pPr>
      <w:rPr>
        <w:rFonts w:ascii="Symbol" w:hAnsi="Symbol" w:hint="default"/>
      </w:rPr>
    </w:lvl>
    <w:lvl w:ilvl="4" w:tplc="0C090003" w:tentative="1">
      <w:start w:val="1"/>
      <w:numFmt w:val="bullet"/>
      <w:lvlText w:val="o"/>
      <w:lvlJc w:val="left"/>
      <w:pPr>
        <w:ind w:left="3371" w:hanging="360"/>
      </w:pPr>
      <w:rPr>
        <w:rFonts w:ascii="Courier New" w:hAnsi="Courier New" w:hint="default"/>
      </w:rPr>
    </w:lvl>
    <w:lvl w:ilvl="5" w:tplc="0C090005" w:tentative="1">
      <w:start w:val="1"/>
      <w:numFmt w:val="bullet"/>
      <w:lvlText w:val=""/>
      <w:lvlJc w:val="left"/>
      <w:pPr>
        <w:ind w:left="4091" w:hanging="360"/>
      </w:pPr>
      <w:rPr>
        <w:rFonts w:ascii="Wingdings" w:hAnsi="Wingdings" w:hint="default"/>
      </w:rPr>
    </w:lvl>
    <w:lvl w:ilvl="6" w:tplc="0C090001" w:tentative="1">
      <w:start w:val="1"/>
      <w:numFmt w:val="bullet"/>
      <w:lvlText w:val=""/>
      <w:lvlJc w:val="left"/>
      <w:pPr>
        <w:ind w:left="4811" w:hanging="360"/>
      </w:pPr>
      <w:rPr>
        <w:rFonts w:ascii="Symbol" w:hAnsi="Symbol" w:hint="default"/>
      </w:rPr>
    </w:lvl>
    <w:lvl w:ilvl="7" w:tplc="0C090003" w:tentative="1">
      <w:start w:val="1"/>
      <w:numFmt w:val="bullet"/>
      <w:lvlText w:val="o"/>
      <w:lvlJc w:val="left"/>
      <w:pPr>
        <w:ind w:left="5531" w:hanging="360"/>
      </w:pPr>
      <w:rPr>
        <w:rFonts w:ascii="Courier New" w:hAnsi="Courier New" w:hint="default"/>
      </w:rPr>
    </w:lvl>
    <w:lvl w:ilvl="8" w:tplc="0C090005" w:tentative="1">
      <w:start w:val="1"/>
      <w:numFmt w:val="bullet"/>
      <w:lvlText w:val=""/>
      <w:lvlJc w:val="left"/>
      <w:pPr>
        <w:ind w:left="6251" w:hanging="360"/>
      </w:pPr>
      <w:rPr>
        <w:rFonts w:ascii="Wingdings" w:hAnsi="Wingdings" w:hint="default"/>
      </w:rPr>
    </w:lvl>
  </w:abstractNum>
  <w:abstractNum w:abstractNumId="11" w15:restartNumberingAfterBreak="0">
    <w:nsid w:val="3F0B4A7E"/>
    <w:multiLevelType w:val="hybridMultilevel"/>
    <w:tmpl w:val="F5C65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7720FF"/>
    <w:multiLevelType w:val="hybridMultilevel"/>
    <w:tmpl w:val="950EE70C"/>
    <w:lvl w:ilvl="0" w:tplc="62A028A2">
      <w:start w:val="1"/>
      <w:numFmt w:val="bullet"/>
      <w:lvlText w:val=""/>
      <w:lvlJc w:val="left"/>
      <w:pPr>
        <w:ind w:left="360" w:hanging="360"/>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4" w15:restartNumberingAfterBreak="0">
    <w:nsid w:val="49E515B4"/>
    <w:multiLevelType w:val="multilevel"/>
    <w:tmpl w:val="A49C9C3E"/>
    <w:lvl w:ilvl="0">
      <w:start w:val="1"/>
      <w:numFmt w:val="bullet"/>
      <w:pStyle w:val="Bullet"/>
      <w:lvlText w:val="•"/>
      <w:lvlJc w:val="left"/>
      <w:pPr>
        <w:tabs>
          <w:tab w:val="num" w:pos="1134"/>
        </w:tabs>
        <w:ind w:left="1134" w:hanging="567"/>
      </w:pPr>
      <w:rPr>
        <w:rFonts w:ascii="Times New Roman" w:hAnsi="Times New Roman"/>
      </w:rPr>
    </w:lvl>
    <w:lvl w:ilvl="1">
      <w:start w:val="1"/>
      <w:numFmt w:val="bullet"/>
      <w:pStyle w:val="Dash"/>
      <w:lvlText w:val="–"/>
      <w:lvlJc w:val="left"/>
      <w:pPr>
        <w:tabs>
          <w:tab w:val="num" w:pos="1701"/>
        </w:tabs>
        <w:ind w:left="1701" w:hanging="567"/>
      </w:pPr>
      <w:rPr>
        <w:rFonts w:ascii="Times New Roman" w:hAnsi="Times New Roman"/>
      </w:rPr>
    </w:lvl>
    <w:lvl w:ilvl="2">
      <w:start w:val="1"/>
      <w:numFmt w:val="bullet"/>
      <w:pStyle w:val="DoubleDot"/>
      <w:lvlText w:val=":"/>
      <w:lvlJc w:val="left"/>
      <w:pPr>
        <w:tabs>
          <w:tab w:val="num" w:pos="2268"/>
        </w:tabs>
        <w:ind w:left="2268" w:hanging="567"/>
      </w:pPr>
      <w:rPr>
        <w:rFonts w:ascii="Times New Roman" w:hAnsi="Times New Roman"/>
      </w:rPr>
    </w:lvl>
    <w:lvl w:ilvl="3">
      <w:start w:val="1"/>
      <w:numFmt w:val="decimal"/>
      <w:lvlText w:val="(%4)"/>
      <w:lvlJc w:val="left"/>
      <w:pPr>
        <w:tabs>
          <w:tab w:val="num" w:pos="2007"/>
        </w:tabs>
        <w:ind w:left="2007" w:hanging="360"/>
      </w:pPr>
      <w:rPr>
        <w:rFonts w:cs="Times New Roman"/>
      </w:rPr>
    </w:lvl>
    <w:lvl w:ilvl="4">
      <w:start w:val="1"/>
      <w:numFmt w:val="lowerLetter"/>
      <w:lvlText w:val="(%5)"/>
      <w:lvlJc w:val="left"/>
      <w:pPr>
        <w:tabs>
          <w:tab w:val="num" w:pos="2367"/>
        </w:tabs>
        <w:ind w:left="2367" w:hanging="360"/>
      </w:pPr>
      <w:rPr>
        <w:rFonts w:cs="Times New Roman"/>
      </w:rPr>
    </w:lvl>
    <w:lvl w:ilvl="5">
      <w:start w:val="1"/>
      <w:numFmt w:val="lowerRoman"/>
      <w:lvlText w:val="(%6)"/>
      <w:lvlJc w:val="left"/>
      <w:pPr>
        <w:tabs>
          <w:tab w:val="num" w:pos="2727"/>
        </w:tabs>
        <w:ind w:left="2727" w:hanging="360"/>
      </w:pPr>
      <w:rPr>
        <w:rFonts w:cs="Times New Roman"/>
      </w:rPr>
    </w:lvl>
    <w:lvl w:ilvl="6">
      <w:start w:val="1"/>
      <w:numFmt w:val="decimal"/>
      <w:lvlText w:val="%7."/>
      <w:lvlJc w:val="left"/>
      <w:pPr>
        <w:tabs>
          <w:tab w:val="num" w:pos="3087"/>
        </w:tabs>
        <w:ind w:left="3087" w:hanging="360"/>
      </w:pPr>
      <w:rPr>
        <w:rFonts w:cs="Times New Roman"/>
      </w:rPr>
    </w:lvl>
    <w:lvl w:ilvl="7">
      <w:start w:val="1"/>
      <w:numFmt w:val="lowerLetter"/>
      <w:lvlText w:val="%8."/>
      <w:lvlJc w:val="left"/>
      <w:pPr>
        <w:tabs>
          <w:tab w:val="num" w:pos="3447"/>
        </w:tabs>
        <w:ind w:left="3447" w:hanging="360"/>
      </w:pPr>
      <w:rPr>
        <w:rFonts w:cs="Times New Roman"/>
      </w:rPr>
    </w:lvl>
    <w:lvl w:ilvl="8">
      <w:start w:val="1"/>
      <w:numFmt w:val="lowerRoman"/>
      <w:lvlText w:val="%9."/>
      <w:lvlJc w:val="left"/>
      <w:pPr>
        <w:tabs>
          <w:tab w:val="num" w:pos="3807"/>
        </w:tabs>
        <w:ind w:left="3807" w:hanging="360"/>
      </w:pPr>
      <w:rPr>
        <w:rFonts w:cs="Times New Roman"/>
      </w:rPr>
    </w:lvl>
  </w:abstractNum>
  <w:abstractNum w:abstractNumId="15"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6" w15:restartNumberingAfterBreak="0">
    <w:nsid w:val="4D226441"/>
    <w:multiLevelType w:val="hybridMultilevel"/>
    <w:tmpl w:val="C8528E4C"/>
    <w:lvl w:ilvl="0" w:tplc="62A028A2">
      <w:start w:val="1"/>
      <w:numFmt w:val="bullet"/>
      <w:lvlText w:val=""/>
      <w:lvlJc w:val="left"/>
      <w:pPr>
        <w:ind w:left="360" w:hanging="360"/>
      </w:pPr>
      <w:rPr>
        <w:rFonts w:ascii="Symbol" w:hAnsi="Symbol" w:hint="default"/>
        <w:b w:val="0"/>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1E733E"/>
    <w:multiLevelType w:val="hybridMultilevel"/>
    <w:tmpl w:val="E2EAD9DA"/>
    <w:lvl w:ilvl="0" w:tplc="0C090019">
      <w:start w:val="1"/>
      <w:numFmt w:val="lowerLetter"/>
      <w:lvlText w:val="%1."/>
      <w:lvlJc w:val="left"/>
      <w:pPr>
        <w:tabs>
          <w:tab w:val="num" w:pos="1287"/>
        </w:tabs>
        <w:ind w:left="1287" w:hanging="567"/>
      </w:pPr>
      <w:rPr>
        <w:rFonts w:cs="Times New Roman" w:hint="default"/>
      </w:rPr>
    </w:lvl>
    <w:lvl w:ilvl="1" w:tplc="0C090019">
      <w:start w:val="1"/>
      <w:numFmt w:val="lowerLetter"/>
      <w:lvlText w:val="%2."/>
      <w:lvlJc w:val="left"/>
      <w:pPr>
        <w:tabs>
          <w:tab w:val="num" w:pos="2586"/>
        </w:tabs>
        <w:ind w:left="2586" w:hanging="360"/>
      </w:pPr>
      <w:rPr>
        <w:rFonts w:cs="Times New Roman" w:hint="default"/>
      </w:rPr>
    </w:lvl>
    <w:lvl w:ilvl="2" w:tplc="0C09001B">
      <w:start w:val="1"/>
      <w:numFmt w:val="lowerRoman"/>
      <w:lvlText w:val="%3."/>
      <w:lvlJc w:val="right"/>
      <w:pPr>
        <w:tabs>
          <w:tab w:val="num" w:pos="3306"/>
        </w:tabs>
        <w:ind w:left="3306" w:hanging="180"/>
      </w:pPr>
      <w:rPr>
        <w:rFonts w:cs="Times New Roman"/>
      </w:rPr>
    </w:lvl>
    <w:lvl w:ilvl="3" w:tplc="0C09000F">
      <w:start w:val="1"/>
      <w:numFmt w:val="decimal"/>
      <w:lvlText w:val="%4."/>
      <w:lvlJc w:val="left"/>
      <w:pPr>
        <w:tabs>
          <w:tab w:val="num" w:pos="4026"/>
        </w:tabs>
        <w:ind w:left="4026" w:hanging="360"/>
      </w:pPr>
      <w:rPr>
        <w:rFonts w:cs="Times New Roman"/>
      </w:rPr>
    </w:lvl>
    <w:lvl w:ilvl="4" w:tplc="0C090019">
      <w:start w:val="1"/>
      <w:numFmt w:val="lowerLetter"/>
      <w:lvlText w:val="%5."/>
      <w:lvlJc w:val="left"/>
      <w:pPr>
        <w:tabs>
          <w:tab w:val="num" w:pos="4746"/>
        </w:tabs>
        <w:ind w:left="4746" w:hanging="360"/>
      </w:pPr>
      <w:rPr>
        <w:rFonts w:cs="Times New Roman"/>
      </w:rPr>
    </w:lvl>
    <w:lvl w:ilvl="5" w:tplc="0C09001B">
      <w:start w:val="1"/>
      <w:numFmt w:val="lowerRoman"/>
      <w:lvlText w:val="%6."/>
      <w:lvlJc w:val="right"/>
      <w:pPr>
        <w:tabs>
          <w:tab w:val="num" w:pos="5466"/>
        </w:tabs>
        <w:ind w:left="5466" w:hanging="180"/>
      </w:pPr>
      <w:rPr>
        <w:rFonts w:cs="Times New Roman"/>
      </w:rPr>
    </w:lvl>
    <w:lvl w:ilvl="6" w:tplc="0C09000F">
      <w:start w:val="1"/>
      <w:numFmt w:val="decimal"/>
      <w:lvlText w:val="%7."/>
      <w:lvlJc w:val="left"/>
      <w:pPr>
        <w:tabs>
          <w:tab w:val="num" w:pos="6186"/>
        </w:tabs>
        <w:ind w:left="6186" w:hanging="360"/>
      </w:pPr>
      <w:rPr>
        <w:rFonts w:cs="Times New Roman"/>
      </w:rPr>
    </w:lvl>
    <w:lvl w:ilvl="7" w:tplc="0C090019">
      <w:start w:val="1"/>
      <w:numFmt w:val="lowerLetter"/>
      <w:lvlText w:val="%8."/>
      <w:lvlJc w:val="left"/>
      <w:pPr>
        <w:tabs>
          <w:tab w:val="num" w:pos="6906"/>
        </w:tabs>
        <w:ind w:left="6906" w:hanging="360"/>
      </w:pPr>
      <w:rPr>
        <w:rFonts w:cs="Times New Roman"/>
      </w:rPr>
    </w:lvl>
    <w:lvl w:ilvl="8" w:tplc="0C09001B">
      <w:start w:val="1"/>
      <w:numFmt w:val="lowerRoman"/>
      <w:lvlText w:val="%9."/>
      <w:lvlJc w:val="right"/>
      <w:pPr>
        <w:tabs>
          <w:tab w:val="num" w:pos="7626"/>
        </w:tabs>
        <w:ind w:left="7626" w:hanging="180"/>
      </w:pPr>
      <w:rPr>
        <w:rFonts w:cs="Times New Roman"/>
      </w:rPr>
    </w:lvl>
  </w:abstractNum>
  <w:abstractNum w:abstractNumId="18" w15:restartNumberingAfterBreak="0">
    <w:nsid w:val="55CE0768"/>
    <w:multiLevelType w:val="hybridMultilevel"/>
    <w:tmpl w:val="9190AFEA"/>
    <w:lvl w:ilvl="0" w:tplc="F822E092">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F662C77E">
      <w:start w:val="1"/>
      <w:numFmt w:val="bullet"/>
      <w:lvlText w:val="o"/>
      <w:lvlJc w:val="left"/>
      <w:pPr>
        <w:tabs>
          <w:tab w:val="num" w:pos="1440"/>
        </w:tabs>
        <w:ind w:left="1440" w:hanging="360"/>
      </w:pPr>
      <w:rPr>
        <w:rFonts w:ascii="Courier New" w:hAnsi="Courier New" w:hint="default"/>
      </w:rPr>
    </w:lvl>
    <w:lvl w:ilvl="2" w:tplc="A50EA4A2">
      <w:start w:val="1"/>
      <w:numFmt w:val="bullet"/>
      <w:lvlText w:val=""/>
      <w:lvlJc w:val="left"/>
      <w:pPr>
        <w:tabs>
          <w:tab w:val="num" w:pos="2160"/>
        </w:tabs>
        <w:ind w:left="2160" w:hanging="360"/>
      </w:pPr>
      <w:rPr>
        <w:rFonts w:ascii="Wingdings" w:hAnsi="Wingdings" w:hint="default"/>
      </w:rPr>
    </w:lvl>
    <w:lvl w:ilvl="3" w:tplc="59989DA6">
      <w:start w:val="1"/>
      <w:numFmt w:val="bullet"/>
      <w:lvlText w:val=""/>
      <w:lvlJc w:val="left"/>
      <w:pPr>
        <w:tabs>
          <w:tab w:val="num" w:pos="2880"/>
        </w:tabs>
        <w:ind w:left="2880" w:hanging="360"/>
      </w:pPr>
      <w:rPr>
        <w:rFonts w:ascii="Symbol" w:hAnsi="Symbol" w:hint="default"/>
      </w:rPr>
    </w:lvl>
    <w:lvl w:ilvl="4" w:tplc="61AC827C">
      <w:start w:val="1"/>
      <w:numFmt w:val="bullet"/>
      <w:lvlText w:val="o"/>
      <w:lvlJc w:val="left"/>
      <w:pPr>
        <w:tabs>
          <w:tab w:val="num" w:pos="3600"/>
        </w:tabs>
        <w:ind w:left="3600" w:hanging="360"/>
      </w:pPr>
      <w:rPr>
        <w:rFonts w:ascii="Courier New" w:hAnsi="Courier New" w:hint="default"/>
      </w:rPr>
    </w:lvl>
    <w:lvl w:ilvl="5" w:tplc="580C4FAA">
      <w:start w:val="1"/>
      <w:numFmt w:val="bullet"/>
      <w:lvlText w:val=""/>
      <w:lvlJc w:val="left"/>
      <w:pPr>
        <w:tabs>
          <w:tab w:val="num" w:pos="4320"/>
        </w:tabs>
        <w:ind w:left="4320" w:hanging="360"/>
      </w:pPr>
      <w:rPr>
        <w:rFonts w:ascii="Wingdings" w:hAnsi="Wingdings" w:hint="default"/>
      </w:rPr>
    </w:lvl>
    <w:lvl w:ilvl="6" w:tplc="A8A8A1D0">
      <w:start w:val="1"/>
      <w:numFmt w:val="bullet"/>
      <w:lvlText w:val=""/>
      <w:lvlJc w:val="left"/>
      <w:pPr>
        <w:tabs>
          <w:tab w:val="num" w:pos="5040"/>
        </w:tabs>
        <w:ind w:left="5040" w:hanging="360"/>
      </w:pPr>
      <w:rPr>
        <w:rFonts w:ascii="Symbol" w:hAnsi="Symbol" w:hint="default"/>
      </w:rPr>
    </w:lvl>
    <w:lvl w:ilvl="7" w:tplc="1F267B26">
      <w:start w:val="1"/>
      <w:numFmt w:val="bullet"/>
      <w:lvlText w:val="o"/>
      <w:lvlJc w:val="left"/>
      <w:pPr>
        <w:tabs>
          <w:tab w:val="num" w:pos="5760"/>
        </w:tabs>
        <w:ind w:left="5760" w:hanging="360"/>
      </w:pPr>
      <w:rPr>
        <w:rFonts w:ascii="Courier New" w:hAnsi="Courier New" w:hint="default"/>
      </w:rPr>
    </w:lvl>
    <w:lvl w:ilvl="8" w:tplc="CC0465E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20" w15:restartNumberingAfterBreak="0">
    <w:nsid w:val="59B70749"/>
    <w:multiLevelType w:val="multilevel"/>
    <w:tmpl w:val="2E0CEB00"/>
    <w:lvl w:ilvl="0">
      <w:start w:val="1"/>
      <w:numFmt w:val="lowerLetter"/>
      <w:lvlRestart w:val="0"/>
      <w:pStyle w:val="AlphaParagraph"/>
      <w:lvlText w:val="(%1)"/>
      <w:lvlJc w:val="left"/>
      <w:pPr>
        <w:tabs>
          <w:tab w:val="num" w:pos="1134"/>
        </w:tabs>
        <w:ind w:left="567"/>
      </w:pPr>
      <w:rPr>
        <w:rFonts w:cs="Times New Roman" w:hint="default"/>
        <w:b w:val="0"/>
        <w:bCs w:val="0"/>
        <w:i w:val="0"/>
        <w:iCs w:val="0"/>
        <w:color w:val="000000"/>
      </w:rPr>
    </w:lvl>
    <w:lvl w:ilvl="1">
      <w:start w:val="1"/>
      <w:numFmt w:val="decimal"/>
      <w:lvlText w:val="%2"/>
      <w:lvlJc w:val="left"/>
      <w:pPr>
        <w:tabs>
          <w:tab w:val="num" w:pos="1134"/>
        </w:tabs>
        <w:ind w:left="1134" w:hanging="567"/>
      </w:pPr>
      <w:rPr>
        <w:rFonts w:cs="Times New Roman" w:hint="default"/>
        <w:b w:val="0"/>
        <w:bCs w:val="0"/>
        <w:i w:val="0"/>
        <w:iCs w:val="0"/>
        <w:color w:val="000000"/>
      </w:rPr>
    </w:lvl>
    <w:lvl w:ilvl="2">
      <w:start w:val="1"/>
      <w:numFmt w:val="decimal"/>
      <w:lvlText w:val="%3"/>
      <w:lvlJc w:val="left"/>
      <w:pPr>
        <w:tabs>
          <w:tab w:val="num" w:pos="1701"/>
        </w:tabs>
        <w:ind w:left="1701" w:hanging="567"/>
      </w:pPr>
      <w:rPr>
        <w:rFonts w:cs="Times New Roman" w:hint="default"/>
        <w:b w:val="0"/>
        <w:bCs w:val="0"/>
        <w:i w:val="0"/>
        <w:iCs w:val="0"/>
        <w:color w:val="000000"/>
      </w:rPr>
    </w:lvl>
    <w:lvl w:ilvl="3">
      <w:start w:val="1"/>
      <w:numFmt w:val="decimal"/>
      <w:lvlText w:val="%4"/>
      <w:lvlJc w:val="left"/>
      <w:pPr>
        <w:tabs>
          <w:tab w:val="num" w:pos="2268"/>
        </w:tabs>
        <w:ind w:left="2268" w:hanging="567"/>
      </w:pPr>
      <w:rPr>
        <w:rFonts w:cs="Times New Roman" w:hint="default"/>
        <w:b w:val="0"/>
        <w:bCs w:val="0"/>
        <w:i w:val="0"/>
        <w:iCs w:val="0"/>
        <w:color w:val="000000"/>
      </w:rPr>
    </w:lvl>
    <w:lvl w:ilvl="4">
      <w:start w:val="1"/>
      <w:numFmt w:val="decimal"/>
      <w:lvlText w:val="%5"/>
      <w:lvlJc w:val="left"/>
      <w:pPr>
        <w:tabs>
          <w:tab w:val="num" w:pos="2835"/>
        </w:tabs>
        <w:ind w:left="2835" w:hanging="567"/>
      </w:pPr>
      <w:rPr>
        <w:rFonts w:cs="Times New Roman" w:hint="default"/>
        <w:b w:val="0"/>
        <w:bCs w:val="0"/>
        <w:i w:val="0"/>
        <w:iCs w:val="0"/>
        <w:color w:val="000000"/>
      </w:rPr>
    </w:lvl>
    <w:lvl w:ilvl="5">
      <w:start w:val="1"/>
      <w:numFmt w:val="decimal"/>
      <w:lvlText w:val="%6"/>
      <w:lvlJc w:val="left"/>
      <w:pPr>
        <w:tabs>
          <w:tab w:val="num" w:pos="3402"/>
        </w:tabs>
        <w:ind w:left="3402" w:hanging="567"/>
      </w:pPr>
      <w:rPr>
        <w:rFonts w:cs="Times New Roman" w:hint="default"/>
        <w:b w:val="0"/>
        <w:bCs w:val="0"/>
        <w:i w:val="0"/>
        <w:iCs w:val="0"/>
        <w:color w:val="000000"/>
      </w:rPr>
    </w:lvl>
    <w:lvl w:ilvl="6">
      <w:start w:val="1"/>
      <w:numFmt w:val="decimal"/>
      <w:lvlText w:val="%7"/>
      <w:lvlJc w:val="left"/>
      <w:pPr>
        <w:tabs>
          <w:tab w:val="num" w:pos="3969"/>
        </w:tabs>
        <w:ind w:left="3969" w:hanging="567"/>
      </w:pPr>
      <w:rPr>
        <w:rFonts w:cs="Times New Roman" w:hint="default"/>
        <w:b w:val="0"/>
        <w:bCs w:val="0"/>
        <w:i w:val="0"/>
        <w:iCs w:val="0"/>
        <w:color w:val="000000"/>
      </w:rPr>
    </w:lvl>
    <w:lvl w:ilvl="7">
      <w:start w:val="1"/>
      <w:numFmt w:val="decimal"/>
      <w:lvlText w:val="%8"/>
      <w:lvlJc w:val="left"/>
      <w:pPr>
        <w:tabs>
          <w:tab w:val="num" w:pos="4536"/>
        </w:tabs>
        <w:ind w:left="4536" w:hanging="567"/>
      </w:pPr>
      <w:rPr>
        <w:rFonts w:cs="Times New Roman" w:hint="default"/>
        <w:b w:val="0"/>
        <w:bCs w:val="0"/>
        <w:i w:val="0"/>
        <w:iCs w:val="0"/>
        <w:color w:val="000000"/>
      </w:rPr>
    </w:lvl>
    <w:lvl w:ilvl="8">
      <w:start w:val="1"/>
      <w:numFmt w:val="decimal"/>
      <w:lvlText w:val="%9"/>
      <w:lvlJc w:val="left"/>
      <w:pPr>
        <w:tabs>
          <w:tab w:val="num" w:pos="5103"/>
        </w:tabs>
        <w:ind w:left="5103" w:hanging="567"/>
      </w:pPr>
      <w:rPr>
        <w:rFonts w:cs="Times New Roman" w:hint="default"/>
        <w:b w:val="0"/>
        <w:bCs w:val="0"/>
        <w:i w:val="0"/>
        <w:iCs w:val="0"/>
        <w:color w:val="000000"/>
      </w:rPr>
    </w:lvl>
  </w:abstractNum>
  <w:abstractNum w:abstractNumId="21" w15:restartNumberingAfterBreak="0">
    <w:nsid w:val="5AF812B6"/>
    <w:multiLevelType w:val="hybridMultilevel"/>
    <w:tmpl w:val="205E30FA"/>
    <w:lvl w:ilvl="0" w:tplc="F000DD02">
      <w:start w:val="1"/>
      <w:numFmt w:val="decimal"/>
      <w:pStyle w:val="Bullet1"/>
      <w:lvlText w:val="%1."/>
      <w:lvlJc w:val="left"/>
      <w:pPr>
        <w:ind w:left="1287" w:hanging="360"/>
      </w:pPr>
      <w:rPr>
        <w:rFonts w:cs="Times New Roman"/>
      </w:rPr>
    </w:lvl>
    <w:lvl w:ilvl="1" w:tplc="1D8E2386">
      <w:start w:val="1"/>
      <w:numFmt w:val="lowerLetter"/>
      <w:lvlText w:val="%2."/>
      <w:lvlJc w:val="left"/>
      <w:pPr>
        <w:ind w:left="2007" w:hanging="360"/>
      </w:pPr>
      <w:rPr>
        <w:rFonts w:cs="Times New Roman"/>
      </w:rPr>
    </w:lvl>
    <w:lvl w:ilvl="2" w:tplc="54709E00">
      <w:start w:val="1"/>
      <w:numFmt w:val="lowerRoman"/>
      <w:lvlText w:val="%3."/>
      <w:lvlJc w:val="right"/>
      <w:pPr>
        <w:ind w:left="2727" w:hanging="180"/>
      </w:pPr>
      <w:rPr>
        <w:rFonts w:cs="Times New Roman"/>
      </w:rPr>
    </w:lvl>
    <w:lvl w:ilvl="3" w:tplc="DCF08D54">
      <w:start w:val="1"/>
      <w:numFmt w:val="decimal"/>
      <w:lvlText w:val="%4."/>
      <w:lvlJc w:val="left"/>
      <w:pPr>
        <w:ind w:left="3447" w:hanging="360"/>
      </w:pPr>
      <w:rPr>
        <w:rFonts w:cs="Times New Roman"/>
      </w:rPr>
    </w:lvl>
    <w:lvl w:ilvl="4" w:tplc="330E2D12">
      <w:start w:val="1"/>
      <w:numFmt w:val="lowerLetter"/>
      <w:lvlText w:val="%5."/>
      <w:lvlJc w:val="left"/>
      <w:pPr>
        <w:ind w:left="4167" w:hanging="360"/>
      </w:pPr>
      <w:rPr>
        <w:rFonts w:cs="Times New Roman"/>
      </w:rPr>
    </w:lvl>
    <w:lvl w:ilvl="5" w:tplc="6980C6C2">
      <w:start w:val="1"/>
      <w:numFmt w:val="lowerRoman"/>
      <w:lvlText w:val="%6."/>
      <w:lvlJc w:val="right"/>
      <w:pPr>
        <w:ind w:left="4887" w:hanging="180"/>
      </w:pPr>
      <w:rPr>
        <w:rFonts w:cs="Times New Roman"/>
      </w:rPr>
    </w:lvl>
    <w:lvl w:ilvl="6" w:tplc="9352383A">
      <w:start w:val="1"/>
      <w:numFmt w:val="decimal"/>
      <w:lvlText w:val="%7."/>
      <w:lvlJc w:val="left"/>
      <w:pPr>
        <w:ind w:left="5607" w:hanging="360"/>
      </w:pPr>
      <w:rPr>
        <w:rFonts w:cs="Times New Roman"/>
      </w:rPr>
    </w:lvl>
    <w:lvl w:ilvl="7" w:tplc="51CA46FA">
      <w:start w:val="1"/>
      <w:numFmt w:val="lowerLetter"/>
      <w:lvlText w:val="%8."/>
      <w:lvlJc w:val="left"/>
      <w:pPr>
        <w:ind w:left="6327" w:hanging="360"/>
      </w:pPr>
      <w:rPr>
        <w:rFonts w:cs="Times New Roman"/>
      </w:rPr>
    </w:lvl>
    <w:lvl w:ilvl="8" w:tplc="630EA262">
      <w:start w:val="1"/>
      <w:numFmt w:val="lowerRoman"/>
      <w:lvlText w:val="%9."/>
      <w:lvlJc w:val="right"/>
      <w:pPr>
        <w:ind w:left="7047" w:hanging="180"/>
      </w:pPr>
      <w:rPr>
        <w:rFonts w:cs="Times New Roman"/>
      </w:rPr>
    </w:lvl>
  </w:abstractNum>
  <w:abstractNum w:abstractNumId="22" w15:restartNumberingAfterBreak="0">
    <w:nsid w:val="5D583D10"/>
    <w:multiLevelType w:val="hybridMultilevel"/>
    <w:tmpl w:val="90BAA26A"/>
    <w:lvl w:ilvl="0" w:tplc="F4700380">
      <w:start w:val="1"/>
      <w:numFmt w:val="lowerLetter"/>
      <w:lvlText w:val="%1)"/>
      <w:lvlJc w:val="left"/>
      <w:pPr>
        <w:ind w:left="408" w:hanging="360"/>
      </w:pPr>
      <w:rPr>
        <w:rFonts w:cs="Times New Roman" w:hint="default"/>
      </w:rPr>
    </w:lvl>
    <w:lvl w:ilvl="1" w:tplc="0C090019" w:tentative="1">
      <w:start w:val="1"/>
      <w:numFmt w:val="lowerLetter"/>
      <w:lvlText w:val="%2."/>
      <w:lvlJc w:val="left"/>
      <w:pPr>
        <w:ind w:left="1128" w:hanging="360"/>
      </w:pPr>
      <w:rPr>
        <w:rFonts w:cs="Times New Roman"/>
      </w:rPr>
    </w:lvl>
    <w:lvl w:ilvl="2" w:tplc="0C09001B" w:tentative="1">
      <w:start w:val="1"/>
      <w:numFmt w:val="lowerRoman"/>
      <w:lvlText w:val="%3."/>
      <w:lvlJc w:val="right"/>
      <w:pPr>
        <w:ind w:left="1848" w:hanging="180"/>
      </w:pPr>
      <w:rPr>
        <w:rFonts w:cs="Times New Roman"/>
      </w:rPr>
    </w:lvl>
    <w:lvl w:ilvl="3" w:tplc="0C09000F" w:tentative="1">
      <w:start w:val="1"/>
      <w:numFmt w:val="decimal"/>
      <w:lvlText w:val="%4."/>
      <w:lvlJc w:val="left"/>
      <w:pPr>
        <w:ind w:left="2568" w:hanging="360"/>
      </w:pPr>
      <w:rPr>
        <w:rFonts w:cs="Times New Roman"/>
      </w:rPr>
    </w:lvl>
    <w:lvl w:ilvl="4" w:tplc="0C090019" w:tentative="1">
      <w:start w:val="1"/>
      <w:numFmt w:val="lowerLetter"/>
      <w:lvlText w:val="%5."/>
      <w:lvlJc w:val="left"/>
      <w:pPr>
        <w:ind w:left="3288" w:hanging="360"/>
      </w:pPr>
      <w:rPr>
        <w:rFonts w:cs="Times New Roman"/>
      </w:rPr>
    </w:lvl>
    <w:lvl w:ilvl="5" w:tplc="0C09001B" w:tentative="1">
      <w:start w:val="1"/>
      <w:numFmt w:val="lowerRoman"/>
      <w:lvlText w:val="%6."/>
      <w:lvlJc w:val="right"/>
      <w:pPr>
        <w:ind w:left="4008" w:hanging="180"/>
      </w:pPr>
      <w:rPr>
        <w:rFonts w:cs="Times New Roman"/>
      </w:rPr>
    </w:lvl>
    <w:lvl w:ilvl="6" w:tplc="0C09000F" w:tentative="1">
      <w:start w:val="1"/>
      <w:numFmt w:val="decimal"/>
      <w:lvlText w:val="%7."/>
      <w:lvlJc w:val="left"/>
      <w:pPr>
        <w:ind w:left="4728" w:hanging="360"/>
      </w:pPr>
      <w:rPr>
        <w:rFonts w:cs="Times New Roman"/>
      </w:rPr>
    </w:lvl>
    <w:lvl w:ilvl="7" w:tplc="0C090019" w:tentative="1">
      <w:start w:val="1"/>
      <w:numFmt w:val="lowerLetter"/>
      <w:lvlText w:val="%8."/>
      <w:lvlJc w:val="left"/>
      <w:pPr>
        <w:ind w:left="5448" w:hanging="360"/>
      </w:pPr>
      <w:rPr>
        <w:rFonts w:cs="Times New Roman"/>
      </w:rPr>
    </w:lvl>
    <w:lvl w:ilvl="8" w:tplc="0C09001B" w:tentative="1">
      <w:start w:val="1"/>
      <w:numFmt w:val="lowerRoman"/>
      <w:lvlText w:val="%9."/>
      <w:lvlJc w:val="right"/>
      <w:pPr>
        <w:ind w:left="6168" w:hanging="180"/>
      </w:pPr>
      <w:rPr>
        <w:rFonts w:cs="Times New Roman"/>
      </w:rPr>
    </w:lvl>
  </w:abstractNum>
  <w:abstractNum w:abstractNumId="23" w15:restartNumberingAfterBreak="0">
    <w:nsid w:val="6D7A39BC"/>
    <w:multiLevelType w:val="multilevel"/>
    <w:tmpl w:val="F64C5FBE"/>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rPr>
    </w:lvl>
  </w:abstractNum>
  <w:abstractNum w:abstractNumId="24" w15:restartNumberingAfterBreak="0">
    <w:nsid w:val="6DAD42C3"/>
    <w:multiLevelType w:val="multilevel"/>
    <w:tmpl w:val="9E129E6C"/>
    <w:lvl w:ilvl="0">
      <w:start w:val="1"/>
      <w:numFmt w:val="lowerLetter"/>
      <w:pStyle w:val="AlphaList"/>
      <w:lvlText w:val="%1)"/>
      <w:lvlJc w:val="left"/>
      <w:pPr>
        <w:tabs>
          <w:tab w:val="num" w:pos="567"/>
        </w:tabs>
        <w:ind w:left="567" w:hanging="567"/>
      </w:pPr>
      <w:rPr>
        <w:rFonts w:cs="Times New Roman" w:hint="default"/>
      </w:rPr>
    </w:lvl>
    <w:lvl w:ilvl="1">
      <w:start w:val="1"/>
      <w:numFmt w:val="lowerLetter"/>
      <w:pStyle w:val="AlphaList"/>
      <w:lvlText w:val="%2."/>
      <w:lvlJc w:val="left"/>
      <w:pPr>
        <w:ind w:left="1440" w:hanging="360"/>
      </w:pPr>
      <w:rPr>
        <w:rFonts w:cs="Times New Roman"/>
      </w:rPr>
    </w:lvl>
    <w:lvl w:ilvl="2">
      <w:start w:val="1"/>
      <w:numFmt w:val="lowerRoman"/>
      <w:pStyle w:val="AlphaList"/>
      <w:lvlText w:val="%3."/>
      <w:lvlJc w:val="right"/>
      <w:pPr>
        <w:ind w:left="2160" w:hanging="180"/>
      </w:pPr>
      <w:rPr>
        <w:rFonts w:cs="Times New Roman"/>
      </w:rPr>
    </w:lvl>
    <w:lvl w:ilvl="3">
      <w:start w:val="1"/>
      <w:numFmt w:val="decimal"/>
      <w:pStyle w:val="AlphaList"/>
      <w:lvlText w:val="%4."/>
      <w:lvlJc w:val="left"/>
      <w:pPr>
        <w:ind w:left="2880" w:hanging="360"/>
      </w:pPr>
      <w:rPr>
        <w:rFonts w:cs="Times New Roman"/>
      </w:rPr>
    </w:lvl>
    <w:lvl w:ilvl="4">
      <w:start w:val="1"/>
      <w:numFmt w:val="lowerLetter"/>
      <w:pStyle w:val="AlphaList"/>
      <w:lvlText w:val="%5."/>
      <w:lvlJc w:val="left"/>
      <w:pPr>
        <w:ind w:left="3600" w:hanging="360"/>
      </w:pPr>
      <w:rPr>
        <w:rFonts w:cs="Times New Roman"/>
      </w:rPr>
    </w:lvl>
    <w:lvl w:ilvl="5">
      <w:start w:val="1"/>
      <w:numFmt w:val="lowerRoman"/>
      <w:pStyle w:val="AlphaList"/>
      <w:lvlText w:val="%6."/>
      <w:lvlJc w:val="right"/>
      <w:pPr>
        <w:ind w:left="4320" w:hanging="180"/>
      </w:pPr>
      <w:rPr>
        <w:rFonts w:cs="Times New Roman"/>
      </w:rPr>
    </w:lvl>
    <w:lvl w:ilvl="6">
      <w:start w:val="1"/>
      <w:numFmt w:val="decimal"/>
      <w:pStyle w:val="AlphaList"/>
      <w:lvlText w:val="%7."/>
      <w:lvlJc w:val="left"/>
      <w:pPr>
        <w:ind w:left="5040" w:hanging="360"/>
      </w:pPr>
      <w:rPr>
        <w:rFonts w:cs="Times New Roman"/>
      </w:rPr>
    </w:lvl>
    <w:lvl w:ilvl="7">
      <w:start w:val="1"/>
      <w:numFmt w:val="lowerLetter"/>
      <w:pStyle w:val="AlphaList"/>
      <w:lvlText w:val="%8."/>
      <w:lvlJc w:val="left"/>
      <w:pPr>
        <w:ind w:left="5760" w:hanging="360"/>
      </w:pPr>
      <w:rPr>
        <w:rFonts w:cs="Times New Roman"/>
      </w:rPr>
    </w:lvl>
    <w:lvl w:ilvl="8">
      <w:start w:val="1"/>
      <w:numFmt w:val="lowerRoman"/>
      <w:pStyle w:val="AlphaList"/>
      <w:lvlText w:val="%9."/>
      <w:lvlJc w:val="right"/>
      <w:pPr>
        <w:ind w:left="6480" w:hanging="180"/>
      </w:pPr>
      <w:rPr>
        <w:rFonts w:cs="Times New Roman"/>
      </w:rPr>
    </w:lvl>
  </w:abstractNum>
  <w:abstractNum w:abstractNumId="25" w15:restartNumberingAfterBreak="0">
    <w:nsid w:val="6F1249EB"/>
    <w:multiLevelType w:val="hybridMultilevel"/>
    <w:tmpl w:val="EF948D48"/>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6" w15:restartNumberingAfterBreak="0">
    <w:nsid w:val="74B335C5"/>
    <w:multiLevelType w:val="hybridMultilevel"/>
    <w:tmpl w:val="EF948D48"/>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7" w15:restartNumberingAfterBreak="0">
    <w:nsid w:val="78854AAC"/>
    <w:multiLevelType w:val="hybridMultilevel"/>
    <w:tmpl w:val="451E0452"/>
    <w:lvl w:ilvl="0" w:tplc="A76EBCC0">
      <w:start w:val="1"/>
      <w:numFmt w:val="decimal"/>
      <w:pStyle w:val="Normalnumbered"/>
      <w:lvlText w:val="%1."/>
      <w:lvlJc w:val="left"/>
      <w:pPr>
        <w:tabs>
          <w:tab w:val="num" w:pos="567"/>
        </w:tabs>
        <w:ind w:left="567" w:hanging="567"/>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15:restartNumberingAfterBreak="0">
    <w:nsid w:val="7C325E16"/>
    <w:multiLevelType w:val="hybridMultilevel"/>
    <w:tmpl w:val="7A8484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D980194"/>
    <w:multiLevelType w:val="hybridMultilevel"/>
    <w:tmpl w:val="EEB0634A"/>
    <w:lvl w:ilvl="0" w:tplc="9B9883F0">
      <w:start w:val="1"/>
      <w:numFmt w:val="bullet"/>
      <w:pStyle w:val="BullettedList"/>
      <w:lvlText w:val=""/>
      <w:lvlJc w:val="left"/>
      <w:pPr>
        <w:tabs>
          <w:tab w:val="num" w:pos="360"/>
        </w:tabs>
        <w:ind w:left="360" w:hanging="360"/>
      </w:pPr>
      <w:rPr>
        <w:rFonts w:ascii="Symbol" w:hAnsi="Symbol" w:hint="default"/>
        <w:color w:val="auto"/>
      </w:rPr>
    </w:lvl>
    <w:lvl w:ilvl="1" w:tplc="14FEA248">
      <w:start w:val="1"/>
      <w:numFmt w:val="lowerLetter"/>
      <w:lvlText w:val="%2)"/>
      <w:lvlJc w:val="left"/>
      <w:pPr>
        <w:tabs>
          <w:tab w:val="num" w:pos="1440"/>
        </w:tabs>
        <w:ind w:left="1440" w:hanging="360"/>
      </w:pPr>
      <w:rPr>
        <w:rFonts w:cs="Times New Roman" w:hint="default"/>
        <w:color w:val="auto"/>
      </w:rPr>
    </w:lvl>
    <w:lvl w:ilvl="2" w:tplc="50A8C20C">
      <w:start w:val="1"/>
      <w:numFmt w:val="bullet"/>
      <w:lvlText w:val=""/>
      <w:lvlJc w:val="left"/>
      <w:pPr>
        <w:tabs>
          <w:tab w:val="num" w:pos="2160"/>
        </w:tabs>
        <w:ind w:left="2160" w:hanging="360"/>
      </w:pPr>
      <w:rPr>
        <w:rFonts w:ascii="Wingdings" w:hAnsi="Wingdings" w:hint="default"/>
      </w:rPr>
    </w:lvl>
    <w:lvl w:ilvl="3" w:tplc="D3089726">
      <w:start w:val="1"/>
      <w:numFmt w:val="bullet"/>
      <w:lvlText w:val=""/>
      <w:lvlJc w:val="left"/>
      <w:pPr>
        <w:tabs>
          <w:tab w:val="num" w:pos="2880"/>
        </w:tabs>
        <w:ind w:left="2880" w:hanging="360"/>
      </w:pPr>
      <w:rPr>
        <w:rFonts w:ascii="Symbol" w:hAnsi="Symbol" w:hint="default"/>
      </w:rPr>
    </w:lvl>
    <w:lvl w:ilvl="4" w:tplc="28127F9C">
      <w:start w:val="1"/>
      <w:numFmt w:val="bullet"/>
      <w:lvlText w:val="o"/>
      <w:lvlJc w:val="left"/>
      <w:pPr>
        <w:tabs>
          <w:tab w:val="num" w:pos="3600"/>
        </w:tabs>
        <w:ind w:left="3600" w:hanging="360"/>
      </w:pPr>
      <w:rPr>
        <w:rFonts w:ascii="Courier New" w:hAnsi="Courier New" w:hint="default"/>
      </w:rPr>
    </w:lvl>
    <w:lvl w:ilvl="5" w:tplc="E8C6973A">
      <w:start w:val="1"/>
      <w:numFmt w:val="bullet"/>
      <w:lvlText w:val=""/>
      <w:lvlJc w:val="left"/>
      <w:pPr>
        <w:tabs>
          <w:tab w:val="num" w:pos="4320"/>
        </w:tabs>
        <w:ind w:left="4320" w:hanging="360"/>
      </w:pPr>
      <w:rPr>
        <w:rFonts w:ascii="Wingdings" w:hAnsi="Wingdings" w:hint="default"/>
      </w:rPr>
    </w:lvl>
    <w:lvl w:ilvl="6" w:tplc="3A82D9F2">
      <w:start w:val="1"/>
      <w:numFmt w:val="bullet"/>
      <w:lvlText w:val=""/>
      <w:lvlJc w:val="left"/>
      <w:pPr>
        <w:tabs>
          <w:tab w:val="num" w:pos="5040"/>
        </w:tabs>
        <w:ind w:left="5040" w:hanging="360"/>
      </w:pPr>
      <w:rPr>
        <w:rFonts w:ascii="Symbol" w:hAnsi="Symbol" w:hint="default"/>
      </w:rPr>
    </w:lvl>
    <w:lvl w:ilvl="7" w:tplc="A342A468">
      <w:start w:val="1"/>
      <w:numFmt w:val="bullet"/>
      <w:lvlText w:val="o"/>
      <w:lvlJc w:val="left"/>
      <w:pPr>
        <w:tabs>
          <w:tab w:val="num" w:pos="5760"/>
        </w:tabs>
        <w:ind w:left="5760" w:hanging="360"/>
      </w:pPr>
      <w:rPr>
        <w:rFonts w:ascii="Courier New" w:hAnsi="Courier New" w:hint="default"/>
      </w:rPr>
    </w:lvl>
    <w:lvl w:ilvl="8" w:tplc="D92CFCB4">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8"/>
  </w:num>
  <w:num w:numId="4">
    <w:abstractNumId w:val="3"/>
  </w:num>
  <w:num w:numId="5">
    <w:abstractNumId w:val="19"/>
  </w:num>
  <w:num w:numId="6">
    <w:abstractNumId w:val="2"/>
  </w:num>
  <w:num w:numId="7">
    <w:abstractNumId w:val="20"/>
  </w:num>
  <w:num w:numId="8">
    <w:abstractNumId w:val="13"/>
  </w:num>
  <w:num w:numId="9">
    <w:abstractNumId w:val="27"/>
  </w:num>
  <w:num w:numId="10">
    <w:abstractNumId w:val="23"/>
  </w:num>
  <w:num w:numId="11">
    <w:abstractNumId w:val="24"/>
  </w:num>
  <w:num w:numId="12">
    <w:abstractNumId w:val="29"/>
  </w:num>
  <w:num w:numId="13">
    <w:abstractNumId w:val="21"/>
  </w:num>
  <w:num w:numId="14">
    <w:abstractNumId w:val="9"/>
  </w:num>
  <w:num w:numId="15">
    <w:abstractNumId w:val="15"/>
  </w:num>
  <w:num w:numId="16">
    <w:abstractNumId w:val="7"/>
  </w:num>
  <w:num w:numId="17">
    <w:abstractNumId w:val="1"/>
  </w:num>
  <w:num w:numId="18">
    <w:abstractNumId w:val="25"/>
  </w:num>
  <w:num w:numId="19">
    <w:abstractNumId w:val="4"/>
  </w:num>
  <w:num w:numId="20">
    <w:abstractNumId w:val="6"/>
  </w:num>
  <w:num w:numId="21">
    <w:abstractNumId w:val="26"/>
  </w:num>
  <w:num w:numId="22">
    <w:abstractNumId w:val="12"/>
  </w:num>
  <w:num w:numId="23">
    <w:abstractNumId w:val="5"/>
  </w:num>
  <w:num w:numId="24">
    <w:abstractNumId w:val="10"/>
  </w:num>
  <w:num w:numId="25">
    <w:abstractNumId w:val="22"/>
  </w:num>
  <w:num w:numId="26">
    <w:abstractNumId w:val="16"/>
  </w:num>
  <w:num w:numId="27">
    <w:abstractNumId w:val="11"/>
  </w:num>
  <w:num w:numId="28">
    <w:abstractNumId w:val="2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7"/>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E"/>
    <w:rsid w:val="0000042F"/>
    <w:rsid w:val="000014B1"/>
    <w:rsid w:val="00003A92"/>
    <w:rsid w:val="00003EAE"/>
    <w:rsid w:val="00011DA2"/>
    <w:rsid w:val="00012AAE"/>
    <w:rsid w:val="00013A91"/>
    <w:rsid w:val="00023C24"/>
    <w:rsid w:val="000240B5"/>
    <w:rsid w:val="00024B99"/>
    <w:rsid w:val="0002586A"/>
    <w:rsid w:val="00025C24"/>
    <w:rsid w:val="00025F50"/>
    <w:rsid w:val="000263CE"/>
    <w:rsid w:val="00027D02"/>
    <w:rsid w:val="000306F2"/>
    <w:rsid w:val="00030F67"/>
    <w:rsid w:val="00034877"/>
    <w:rsid w:val="000375F8"/>
    <w:rsid w:val="00041625"/>
    <w:rsid w:val="0004432A"/>
    <w:rsid w:val="0004447D"/>
    <w:rsid w:val="00044E74"/>
    <w:rsid w:val="00045778"/>
    <w:rsid w:val="00045AD7"/>
    <w:rsid w:val="00047FE7"/>
    <w:rsid w:val="00051439"/>
    <w:rsid w:val="00054A8D"/>
    <w:rsid w:val="0005527C"/>
    <w:rsid w:val="000563A2"/>
    <w:rsid w:val="00056C4B"/>
    <w:rsid w:val="00057BDA"/>
    <w:rsid w:val="00062172"/>
    <w:rsid w:val="0006519C"/>
    <w:rsid w:val="00074A44"/>
    <w:rsid w:val="0007564F"/>
    <w:rsid w:val="000758BF"/>
    <w:rsid w:val="00075F29"/>
    <w:rsid w:val="00085277"/>
    <w:rsid w:val="00085780"/>
    <w:rsid w:val="00086B8C"/>
    <w:rsid w:val="000873E5"/>
    <w:rsid w:val="00087DB1"/>
    <w:rsid w:val="00091BA8"/>
    <w:rsid w:val="000925CD"/>
    <w:rsid w:val="00093235"/>
    <w:rsid w:val="000A1323"/>
    <w:rsid w:val="000A13E6"/>
    <w:rsid w:val="000A6D4F"/>
    <w:rsid w:val="000A72D2"/>
    <w:rsid w:val="000A75C0"/>
    <w:rsid w:val="000B09BC"/>
    <w:rsid w:val="000B353A"/>
    <w:rsid w:val="000B5864"/>
    <w:rsid w:val="000C017B"/>
    <w:rsid w:val="000C0207"/>
    <w:rsid w:val="000C0614"/>
    <w:rsid w:val="000C08E2"/>
    <w:rsid w:val="000C0977"/>
    <w:rsid w:val="000C1698"/>
    <w:rsid w:val="000C53FE"/>
    <w:rsid w:val="000C7402"/>
    <w:rsid w:val="000D2E12"/>
    <w:rsid w:val="000D3494"/>
    <w:rsid w:val="000D4B5B"/>
    <w:rsid w:val="000D5B7F"/>
    <w:rsid w:val="000D5C4C"/>
    <w:rsid w:val="000D76C5"/>
    <w:rsid w:val="000D7C4C"/>
    <w:rsid w:val="000E3092"/>
    <w:rsid w:val="000E6FFC"/>
    <w:rsid w:val="000E78C0"/>
    <w:rsid w:val="000F1C0B"/>
    <w:rsid w:val="000F354C"/>
    <w:rsid w:val="000F39A3"/>
    <w:rsid w:val="000F52CD"/>
    <w:rsid w:val="000F5EB9"/>
    <w:rsid w:val="00102898"/>
    <w:rsid w:val="00102DDE"/>
    <w:rsid w:val="00105402"/>
    <w:rsid w:val="00105FB1"/>
    <w:rsid w:val="0011115F"/>
    <w:rsid w:val="00111B9C"/>
    <w:rsid w:val="0011223F"/>
    <w:rsid w:val="001129AA"/>
    <w:rsid w:val="00113524"/>
    <w:rsid w:val="0011673E"/>
    <w:rsid w:val="001168E4"/>
    <w:rsid w:val="00120218"/>
    <w:rsid w:val="0012049E"/>
    <w:rsid w:val="001273B5"/>
    <w:rsid w:val="001331EC"/>
    <w:rsid w:val="00144562"/>
    <w:rsid w:val="00146B46"/>
    <w:rsid w:val="00150526"/>
    <w:rsid w:val="001572E0"/>
    <w:rsid w:val="00162710"/>
    <w:rsid w:val="001637AC"/>
    <w:rsid w:val="00163D91"/>
    <w:rsid w:val="00164CEE"/>
    <w:rsid w:val="00166312"/>
    <w:rsid w:val="00170639"/>
    <w:rsid w:val="00170688"/>
    <w:rsid w:val="00170B1A"/>
    <w:rsid w:val="00171B14"/>
    <w:rsid w:val="00172229"/>
    <w:rsid w:val="00172B12"/>
    <w:rsid w:val="00174BD4"/>
    <w:rsid w:val="001755D1"/>
    <w:rsid w:val="0017650E"/>
    <w:rsid w:val="00181615"/>
    <w:rsid w:val="00187A15"/>
    <w:rsid w:val="00191251"/>
    <w:rsid w:val="001918B1"/>
    <w:rsid w:val="00192CDE"/>
    <w:rsid w:val="00196EE3"/>
    <w:rsid w:val="00197A7E"/>
    <w:rsid w:val="001A3766"/>
    <w:rsid w:val="001A652E"/>
    <w:rsid w:val="001A7804"/>
    <w:rsid w:val="001B276B"/>
    <w:rsid w:val="001B5415"/>
    <w:rsid w:val="001B7FB5"/>
    <w:rsid w:val="001C0AC6"/>
    <w:rsid w:val="001C1144"/>
    <w:rsid w:val="001C29EF"/>
    <w:rsid w:val="001C2B8A"/>
    <w:rsid w:val="001C4851"/>
    <w:rsid w:val="001C56EC"/>
    <w:rsid w:val="001C6061"/>
    <w:rsid w:val="001C6B67"/>
    <w:rsid w:val="001C6EC2"/>
    <w:rsid w:val="001D14B8"/>
    <w:rsid w:val="001D43E8"/>
    <w:rsid w:val="001D47EA"/>
    <w:rsid w:val="001D5134"/>
    <w:rsid w:val="001E4E1F"/>
    <w:rsid w:val="001E67A2"/>
    <w:rsid w:val="001E74D0"/>
    <w:rsid w:val="001F141A"/>
    <w:rsid w:val="001F45C6"/>
    <w:rsid w:val="001F47BE"/>
    <w:rsid w:val="001F5305"/>
    <w:rsid w:val="001F6764"/>
    <w:rsid w:val="001F68F6"/>
    <w:rsid w:val="001F7A0E"/>
    <w:rsid w:val="001F7CB8"/>
    <w:rsid w:val="002010E0"/>
    <w:rsid w:val="002010E8"/>
    <w:rsid w:val="00206671"/>
    <w:rsid w:val="0021159F"/>
    <w:rsid w:val="002168CE"/>
    <w:rsid w:val="00221363"/>
    <w:rsid w:val="00224997"/>
    <w:rsid w:val="002254D2"/>
    <w:rsid w:val="00225E9B"/>
    <w:rsid w:val="002268B0"/>
    <w:rsid w:val="00227BC0"/>
    <w:rsid w:val="002311B1"/>
    <w:rsid w:val="002330D9"/>
    <w:rsid w:val="002355D5"/>
    <w:rsid w:val="00241B51"/>
    <w:rsid w:val="00243E8B"/>
    <w:rsid w:val="00246418"/>
    <w:rsid w:val="002514DE"/>
    <w:rsid w:val="00254BF5"/>
    <w:rsid w:val="0025586C"/>
    <w:rsid w:val="00256AB0"/>
    <w:rsid w:val="00257088"/>
    <w:rsid w:val="00257EB8"/>
    <w:rsid w:val="00261564"/>
    <w:rsid w:val="002616A0"/>
    <w:rsid w:val="00261E9E"/>
    <w:rsid w:val="00264509"/>
    <w:rsid w:val="002648E8"/>
    <w:rsid w:val="0026503A"/>
    <w:rsid w:val="002678DE"/>
    <w:rsid w:val="00267B81"/>
    <w:rsid w:val="00270D9D"/>
    <w:rsid w:val="00277DAF"/>
    <w:rsid w:val="00281AE3"/>
    <w:rsid w:val="00282641"/>
    <w:rsid w:val="002840B4"/>
    <w:rsid w:val="00285609"/>
    <w:rsid w:val="00286FA2"/>
    <w:rsid w:val="00290330"/>
    <w:rsid w:val="00292CB8"/>
    <w:rsid w:val="00292F4F"/>
    <w:rsid w:val="00295B13"/>
    <w:rsid w:val="002A0B94"/>
    <w:rsid w:val="002A3BF1"/>
    <w:rsid w:val="002A53DD"/>
    <w:rsid w:val="002A7553"/>
    <w:rsid w:val="002B5BE3"/>
    <w:rsid w:val="002C39DE"/>
    <w:rsid w:val="002C49A2"/>
    <w:rsid w:val="002C5FEA"/>
    <w:rsid w:val="002C7F72"/>
    <w:rsid w:val="002D0CB9"/>
    <w:rsid w:val="002D3ACC"/>
    <w:rsid w:val="002D46C5"/>
    <w:rsid w:val="002D75EA"/>
    <w:rsid w:val="002D76C5"/>
    <w:rsid w:val="002E061E"/>
    <w:rsid w:val="002E328E"/>
    <w:rsid w:val="002F3761"/>
    <w:rsid w:val="002F5890"/>
    <w:rsid w:val="002F6256"/>
    <w:rsid w:val="00301382"/>
    <w:rsid w:val="003020F6"/>
    <w:rsid w:val="0030267C"/>
    <w:rsid w:val="003060F1"/>
    <w:rsid w:val="00306502"/>
    <w:rsid w:val="00306791"/>
    <w:rsid w:val="00307C5E"/>
    <w:rsid w:val="0031129A"/>
    <w:rsid w:val="00312179"/>
    <w:rsid w:val="00314D9E"/>
    <w:rsid w:val="003258BF"/>
    <w:rsid w:val="003259CC"/>
    <w:rsid w:val="00326AD1"/>
    <w:rsid w:val="00326B13"/>
    <w:rsid w:val="00334C02"/>
    <w:rsid w:val="00336199"/>
    <w:rsid w:val="003422D5"/>
    <w:rsid w:val="003437FB"/>
    <w:rsid w:val="003478BB"/>
    <w:rsid w:val="00347F6D"/>
    <w:rsid w:val="0035792A"/>
    <w:rsid w:val="00357F8E"/>
    <w:rsid w:val="003612EA"/>
    <w:rsid w:val="0036301F"/>
    <w:rsid w:val="003633B6"/>
    <w:rsid w:val="00363430"/>
    <w:rsid w:val="00363A1B"/>
    <w:rsid w:val="00363A72"/>
    <w:rsid w:val="0036671E"/>
    <w:rsid w:val="0036688B"/>
    <w:rsid w:val="003706A6"/>
    <w:rsid w:val="003715B6"/>
    <w:rsid w:val="003733C3"/>
    <w:rsid w:val="00374A51"/>
    <w:rsid w:val="00374AC0"/>
    <w:rsid w:val="003752CA"/>
    <w:rsid w:val="00376922"/>
    <w:rsid w:val="00377F3C"/>
    <w:rsid w:val="003815E5"/>
    <w:rsid w:val="0038188F"/>
    <w:rsid w:val="003820C9"/>
    <w:rsid w:val="00384D6E"/>
    <w:rsid w:val="00391D0E"/>
    <w:rsid w:val="00392679"/>
    <w:rsid w:val="00394698"/>
    <w:rsid w:val="003976F6"/>
    <w:rsid w:val="00397BEB"/>
    <w:rsid w:val="003A1A3E"/>
    <w:rsid w:val="003A2E07"/>
    <w:rsid w:val="003A40F2"/>
    <w:rsid w:val="003A6794"/>
    <w:rsid w:val="003B1409"/>
    <w:rsid w:val="003B149C"/>
    <w:rsid w:val="003B21D1"/>
    <w:rsid w:val="003B31DB"/>
    <w:rsid w:val="003B6C45"/>
    <w:rsid w:val="003B7DE3"/>
    <w:rsid w:val="003C590D"/>
    <w:rsid w:val="003C6FEC"/>
    <w:rsid w:val="003C7037"/>
    <w:rsid w:val="003D0FF5"/>
    <w:rsid w:val="003D7056"/>
    <w:rsid w:val="003E14C4"/>
    <w:rsid w:val="003E2135"/>
    <w:rsid w:val="003E230C"/>
    <w:rsid w:val="003E2CD7"/>
    <w:rsid w:val="003E3308"/>
    <w:rsid w:val="003E59CF"/>
    <w:rsid w:val="003F0918"/>
    <w:rsid w:val="003F5357"/>
    <w:rsid w:val="003F5382"/>
    <w:rsid w:val="00403BD6"/>
    <w:rsid w:val="004058AB"/>
    <w:rsid w:val="00406094"/>
    <w:rsid w:val="00411AEC"/>
    <w:rsid w:val="00411F49"/>
    <w:rsid w:val="0041257A"/>
    <w:rsid w:val="0041365C"/>
    <w:rsid w:val="00413980"/>
    <w:rsid w:val="00413EC6"/>
    <w:rsid w:val="00414DA3"/>
    <w:rsid w:val="00422ED7"/>
    <w:rsid w:val="0042391D"/>
    <w:rsid w:val="00423987"/>
    <w:rsid w:val="00424699"/>
    <w:rsid w:val="00426754"/>
    <w:rsid w:val="00432B5D"/>
    <w:rsid w:val="00435169"/>
    <w:rsid w:val="0044353F"/>
    <w:rsid w:val="00447A22"/>
    <w:rsid w:val="00450CC7"/>
    <w:rsid w:val="0045119E"/>
    <w:rsid w:val="00453758"/>
    <w:rsid w:val="00454D37"/>
    <w:rsid w:val="004554D1"/>
    <w:rsid w:val="00455FF8"/>
    <w:rsid w:val="0045685E"/>
    <w:rsid w:val="00456E48"/>
    <w:rsid w:val="00456FE1"/>
    <w:rsid w:val="0045732B"/>
    <w:rsid w:val="00464B1D"/>
    <w:rsid w:val="00466411"/>
    <w:rsid w:val="00466976"/>
    <w:rsid w:val="0046735E"/>
    <w:rsid w:val="00470E82"/>
    <w:rsid w:val="00473439"/>
    <w:rsid w:val="004762A5"/>
    <w:rsid w:val="0048144D"/>
    <w:rsid w:val="00481AF4"/>
    <w:rsid w:val="00481B0B"/>
    <w:rsid w:val="00483F1D"/>
    <w:rsid w:val="004845AA"/>
    <w:rsid w:val="00484714"/>
    <w:rsid w:val="004867EA"/>
    <w:rsid w:val="00492C8D"/>
    <w:rsid w:val="00495678"/>
    <w:rsid w:val="00497DC1"/>
    <w:rsid w:val="004A23CE"/>
    <w:rsid w:val="004A3502"/>
    <w:rsid w:val="004A4390"/>
    <w:rsid w:val="004B1483"/>
    <w:rsid w:val="004B2FF6"/>
    <w:rsid w:val="004B4105"/>
    <w:rsid w:val="004B764C"/>
    <w:rsid w:val="004C0E2F"/>
    <w:rsid w:val="004C37AB"/>
    <w:rsid w:val="004C58FA"/>
    <w:rsid w:val="004C6399"/>
    <w:rsid w:val="004D4FD7"/>
    <w:rsid w:val="004D70B3"/>
    <w:rsid w:val="004D77A4"/>
    <w:rsid w:val="004D78CB"/>
    <w:rsid w:val="004E1366"/>
    <w:rsid w:val="004E1C97"/>
    <w:rsid w:val="004E4069"/>
    <w:rsid w:val="004E5C62"/>
    <w:rsid w:val="004F50D8"/>
    <w:rsid w:val="004F63A5"/>
    <w:rsid w:val="004F6CAC"/>
    <w:rsid w:val="004F6F15"/>
    <w:rsid w:val="004F7679"/>
    <w:rsid w:val="00500237"/>
    <w:rsid w:val="005052EB"/>
    <w:rsid w:val="00506F80"/>
    <w:rsid w:val="00514835"/>
    <w:rsid w:val="0051547D"/>
    <w:rsid w:val="005160EA"/>
    <w:rsid w:val="00516681"/>
    <w:rsid w:val="00520331"/>
    <w:rsid w:val="005215AD"/>
    <w:rsid w:val="0052492E"/>
    <w:rsid w:val="00524DF0"/>
    <w:rsid w:val="005252BB"/>
    <w:rsid w:val="0052720F"/>
    <w:rsid w:val="005304E0"/>
    <w:rsid w:val="00532D46"/>
    <w:rsid w:val="0053370B"/>
    <w:rsid w:val="00534699"/>
    <w:rsid w:val="00535722"/>
    <w:rsid w:val="0053594B"/>
    <w:rsid w:val="00536679"/>
    <w:rsid w:val="005371C5"/>
    <w:rsid w:val="0053794F"/>
    <w:rsid w:val="00540238"/>
    <w:rsid w:val="00543CF2"/>
    <w:rsid w:val="0054585B"/>
    <w:rsid w:val="005467A6"/>
    <w:rsid w:val="00557E9F"/>
    <w:rsid w:val="005637C4"/>
    <w:rsid w:val="00564642"/>
    <w:rsid w:val="0056746A"/>
    <w:rsid w:val="0057278B"/>
    <w:rsid w:val="00576D34"/>
    <w:rsid w:val="0058036E"/>
    <w:rsid w:val="00580B08"/>
    <w:rsid w:val="005816ED"/>
    <w:rsid w:val="00582B9D"/>
    <w:rsid w:val="005916C4"/>
    <w:rsid w:val="005944CD"/>
    <w:rsid w:val="005971F4"/>
    <w:rsid w:val="005A0BC4"/>
    <w:rsid w:val="005A28AA"/>
    <w:rsid w:val="005A409C"/>
    <w:rsid w:val="005A5C86"/>
    <w:rsid w:val="005A785C"/>
    <w:rsid w:val="005B43AC"/>
    <w:rsid w:val="005B6897"/>
    <w:rsid w:val="005B7422"/>
    <w:rsid w:val="005B7E19"/>
    <w:rsid w:val="005C5BE0"/>
    <w:rsid w:val="005C5F3F"/>
    <w:rsid w:val="005D0E5D"/>
    <w:rsid w:val="005D34CF"/>
    <w:rsid w:val="005D354B"/>
    <w:rsid w:val="005D5FE0"/>
    <w:rsid w:val="005E0B1E"/>
    <w:rsid w:val="005E36CD"/>
    <w:rsid w:val="005F0ECB"/>
    <w:rsid w:val="005F2AA4"/>
    <w:rsid w:val="005F38E2"/>
    <w:rsid w:val="006001B2"/>
    <w:rsid w:val="006016C6"/>
    <w:rsid w:val="006051B7"/>
    <w:rsid w:val="006110D7"/>
    <w:rsid w:val="0061190F"/>
    <w:rsid w:val="00612001"/>
    <w:rsid w:val="006131E0"/>
    <w:rsid w:val="00614C99"/>
    <w:rsid w:val="00615A4D"/>
    <w:rsid w:val="00615F14"/>
    <w:rsid w:val="00623A09"/>
    <w:rsid w:val="006253D2"/>
    <w:rsid w:val="006260DA"/>
    <w:rsid w:val="0062623F"/>
    <w:rsid w:val="00626E51"/>
    <w:rsid w:val="00634EA2"/>
    <w:rsid w:val="006353DA"/>
    <w:rsid w:val="00635B00"/>
    <w:rsid w:val="00637E40"/>
    <w:rsid w:val="00642796"/>
    <w:rsid w:val="00645CF3"/>
    <w:rsid w:val="00646513"/>
    <w:rsid w:val="006469DB"/>
    <w:rsid w:val="00651117"/>
    <w:rsid w:val="006557F7"/>
    <w:rsid w:val="00657AC0"/>
    <w:rsid w:val="0066045D"/>
    <w:rsid w:val="0066154C"/>
    <w:rsid w:val="0066191D"/>
    <w:rsid w:val="00664722"/>
    <w:rsid w:val="00664B5C"/>
    <w:rsid w:val="006663CA"/>
    <w:rsid w:val="00670C93"/>
    <w:rsid w:val="00671692"/>
    <w:rsid w:val="00672EF8"/>
    <w:rsid w:val="00672F29"/>
    <w:rsid w:val="00673F80"/>
    <w:rsid w:val="006744F3"/>
    <w:rsid w:val="00674BD1"/>
    <w:rsid w:val="006835A1"/>
    <w:rsid w:val="0069039D"/>
    <w:rsid w:val="00692418"/>
    <w:rsid w:val="006932B9"/>
    <w:rsid w:val="00693514"/>
    <w:rsid w:val="00695736"/>
    <w:rsid w:val="00695DE1"/>
    <w:rsid w:val="00697643"/>
    <w:rsid w:val="00697B63"/>
    <w:rsid w:val="00697EFC"/>
    <w:rsid w:val="006A1B19"/>
    <w:rsid w:val="006A2577"/>
    <w:rsid w:val="006A700D"/>
    <w:rsid w:val="006B1FEC"/>
    <w:rsid w:val="006B2276"/>
    <w:rsid w:val="006B38A5"/>
    <w:rsid w:val="006B73B2"/>
    <w:rsid w:val="006C5FD6"/>
    <w:rsid w:val="006C674D"/>
    <w:rsid w:val="006D1860"/>
    <w:rsid w:val="006D2308"/>
    <w:rsid w:val="006D2E7E"/>
    <w:rsid w:val="006D3692"/>
    <w:rsid w:val="006D3ED0"/>
    <w:rsid w:val="006E1ED6"/>
    <w:rsid w:val="006E26BF"/>
    <w:rsid w:val="006E3E61"/>
    <w:rsid w:val="006F3324"/>
    <w:rsid w:val="006F39E8"/>
    <w:rsid w:val="006F3BF3"/>
    <w:rsid w:val="006F4089"/>
    <w:rsid w:val="006F42AA"/>
    <w:rsid w:val="00701076"/>
    <w:rsid w:val="00702027"/>
    <w:rsid w:val="007045EF"/>
    <w:rsid w:val="0070504A"/>
    <w:rsid w:val="007059E4"/>
    <w:rsid w:val="007102AF"/>
    <w:rsid w:val="00710578"/>
    <w:rsid w:val="00710A58"/>
    <w:rsid w:val="00711463"/>
    <w:rsid w:val="00711D54"/>
    <w:rsid w:val="00711E9F"/>
    <w:rsid w:val="00712CD4"/>
    <w:rsid w:val="0071515C"/>
    <w:rsid w:val="00717FF1"/>
    <w:rsid w:val="00724B5D"/>
    <w:rsid w:val="00725CEC"/>
    <w:rsid w:val="00725D61"/>
    <w:rsid w:val="00726B43"/>
    <w:rsid w:val="00726ECC"/>
    <w:rsid w:val="0073017A"/>
    <w:rsid w:val="00730ACE"/>
    <w:rsid w:val="007322F4"/>
    <w:rsid w:val="007374A0"/>
    <w:rsid w:val="00737A4C"/>
    <w:rsid w:val="00737BBB"/>
    <w:rsid w:val="00740B95"/>
    <w:rsid w:val="00740C7B"/>
    <w:rsid w:val="00741883"/>
    <w:rsid w:val="007418C0"/>
    <w:rsid w:val="00741BC1"/>
    <w:rsid w:val="00742F33"/>
    <w:rsid w:val="00743A3B"/>
    <w:rsid w:val="007445C9"/>
    <w:rsid w:val="007538EC"/>
    <w:rsid w:val="00753B56"/>
    <w:rsid w:val="0075438A"/>
    <w:rsid w:val="00756F0C"/>
    <w:rsid w:val="0076189D"/>
    <w:rsid w:val="00761ECE"/>
    <w:rsid w:val="007626F3"/>
    <w:rsid w:val="00762C15"/>
    <w:rsid w:val="0076354F"/>
    <w:rsid w:val="0076557B"/>
    <w:rsid w:val="007732AB"/>
    <w:rsid w:val="0077559C"/>
    <w:rsid w:val="00775FCE"/>
    <w:rsid w:val="0078054D"/>
    <w:rsid w:val="0078156F"/>
    <w:rsid w:val="007830BC"/>
    <w:rsid w:val="007850D7"/>
    <w:rsid w:val="00785C43"/>
    <w:rsid w:val="00790285"/>
    <w:rsid w:val="00791880"/>
    <w:rsid w:val="00792303"/>
    <w:rsid w:val="00793ABA"/>
    <w:rsid w:val="00794FAA"/>
    <w:rsid w:val="0079521A"/>
    <w:rsid w:val="00795BE6"/>
    <w:rsid w:val="00795BF2"/>
    <w:rsid w:val="00797672"/>
    <w:rsid w:val="007A0B18"/>
    <w:rsid w:val="007A21EE"/>
    <w:rsid w:val="007A36B5"/>
    <w:rsid w:val="007B0CDF"/>
    <w:rsid w:val="007B1E44"/>
    <w:rsid w:val="007B257C"/>
    <w:rsid w:val="007B69EC"/>
    <w:rsid w:val="007B7FDC"/>
    <w:rsid w:val="007C0559"/>
    <w:rsid w:val="007C2142"/>
    <w:rsid w:val="007C43EC"/>
    <w:rsid w:val="007C664E"/>
    <w:rsid w:val="007D43A7"/>
    <w:rsid w:val="007D4DCE"/>
    <w:rsid w:val="007D55E2"/>
    <w:rsid w:val="007D5D74"/>
    <w:rsid w:val="007D600E"/>
    <w:rsid w:val="007E37B4"/>
    <w:rsid w:val="007E7F84"/>
    <w:rsid w:val="007F0686"/>
    <w:rsid w:val="007F231E"/>
    <w:rsid w:val="007F3428"/>
    <w:rsid w:val="007F40E6"/>
    <w:rsid w:val="007F5A8E"/>
    <w:rsid w:val="008031E3"/>
    <w:rsid w:val="00805249"/>
    <w:rsid w:val="00806FFA"/>
    <w:rsid w:val="00807E0D"/>
    <w:rsid w:val="00811C8E"/>
    <w:rsid w:val="0081390E"/>
    <w:rsid w:val="008201C5"/>
    <w:rsid w:val="00820835"/>
    <w:rsid w:val="00821A01"/>
    <w:rsid w:val="00821AA6"/>
    <w:rsid w:val="00823720"/>
    <w:rsid w:val="00826E80"/>
    <w:rsid w:val="00827310"/>
    <w:rsid w:val="00827F04"/>
    <w:rsid w:val="00833711"/>
    <w:rsid w:val="008349B0"/>
    <w:rsid w:val="00841237"/>
    <w:rsid w:val="00846C3D"/>
    <w:rsid w:val="00847218"/>
    <w:rsid w:val="008479DE"/>
    <w:rsid w:val="00851070"/>
    <w:rsid w:val="008512FD"/>
    <w:rsid w:val="00853DC4"/>
    <w:rsid w:val="00856320"/>
    <w:rsid w:val="00862E8C"/>
    <w:rsid w:val="008630BC"/>
    <w:rsid w:val="008641ED"/>
    <w:rsid w:val="00866C07"/>
    <w:rsid w:val="00867BDE"/>
    <w:rsid w:val="00871380"/>
    <w:rsid w:val="008740A8"/>
    <w:rsid w:val="0087421D"/>
    <w:rsid w:val="00874371"/>
    <w:rsid w:val="00880A5C"/>
    <w:rsid w:val="008816B1"/>
    <w:rsid w:val="00881A35"/>
    <w:rsid w:val="00882149"/>
    <w:rsid w:val="0088309A"/>
    <w:rsid w:val="00883B42"/>
    <w:rsid w:val="00884E25"/>
    <w:rsid w:val="008858EC"/>
    <w:rsid w:val="00892AB4"/>
    <w:rsid w:val="008949AC"/>
    <w:rsid w:val="00895C19"/>
    <w:rsid w:val="008A02DF"/>
    <w:rsid w:val="008A1747"/>
    <w:rsid w:val="008A1ADB"/>
    <w:rsid w:val="008A2457"/>
    <w:rsid w:val="008A2566"/>
    <w:rsid w:val="008A728E"/>
    <w:rsid w:val="008B1186"/>
    <w:rsid w:val="008B2C3C"/>
    <w:rsid w:val="008C11FF"/>
    <w:rsid w:val="008C23FF"/>
    <w:rsid w:val="008C3C94"/>
    <w:rsid w:val="008C7CDD"/>
    <w:rsid w:val="008D12CD"/>
    <w:rsid w:val="008D2EFE"/>
    <w:rsid w:val="008D36C0"/>
    <w:rsid w:val="008D7145"/>
    <w:rsid w:val="008E5657"/>
    <w:rsid w:val="008E6627"/>
    <w:rsid w:val="008E6D3E"/>
    <w:rsid w:val="008F1F0E"/>
    <w:rsid w:val="008F5323"/>
    <w:rsid w:val="008F6DF1"/>
    <w:rsid w:val="008F7C6D"/>
    <w:rsid w:val="00901DB8"/>
    <w:rsid w:val="00902C70"/>
    <w:rsid w:val="00903748"/>
    <w:rsid w:val="00903874"/>
    <w:rsid w:val="00904DE4"/>
    <w:rsid w:val="00912B42"/>
    <w:rsid w:val="00913044"/>
    <w:rsid w:val="00913BCE"/>
    <w:rsid w:val="0091451C"/>
    <w:rsid w:val="00916F5D"/>
    <w:rsid w:val="009172C7"/>
    <w:rsid w:val="00920FC6"/>
    <w:rsid w:val="0092442B"/>
    <w:rsid w:val="00925961"/>
    <w:rsid w:val="00926157"/>
    <w:rsid w:val="00926AD5"/>
    <w:rsid w:val="00931375"/>
    <w:rsid w:val="00934F9B"/>
    <w:rsid w:val="009356AC"/>
    <w:rsid w:val="00935897"/>
    <w:rsid w:val="00935D2E"/>
    <w:rsid w:val="0093628D"/>
    <w:rsid w:val="00936FD4"/>
    <w:rsid w:val="00937713"/>
    <w:rsid w:val="00943512"/>
    <w:rsid w:val="00950344"/>
    <w:rsid w:val="00950AF2"/>
    <w:rsid w:val="00950DCC"/>
    <w:rsid w:val="0095265D"/>
    <w:rsid w:val="009564F8"/>
    <w:rsid w:val="00956E74"/>
    <w:rsid w:val="0096003C"/>
    <w:rsid w:val="00961C19"/>
    <w:rsid w:val="009629ED"/>
    <w:rsid w:val="009629F2"/>
    <w:rsid w:val="00964AFD"/>
    <w:rsid w:val="00967793"/>
    <w:rsid w:val="00971E73"/>
    <w:rsid w:val="009753AE"/>
    <w:rsid w:val="00976C6E"/>
    <w:rsid w:val="00977256"/>
    <w:rsid w:val="00985315"/>
    <w:rsid w:val="00990792"/>
    <w:rsid w:val="00991787"/>
    <w:rsid w:val="00991B97"/>
    <w:rsid w:val="009956D5"/>
    <w:rsid w:val="00995DF4"/>
    <w:rsid w:val="00997CA0"/>
    <w:rsid w:val="00997FA3"/>
    <w:rsid w:val="009A1656"/>
    <w:rsid w:val="009A202D"/>
    <w:rsid w:val="009A489E"/>
    <w:rsid w:val="009A5F27"/>
    <w:rsid w:val="009A5FF9"/>
    <w:rsid w:val="009A67F3"/>
    <w:rsid w:val="009A6ADF"/>
    <w:rsid w:val="009A74D4"/>
    <w:rsid w:val="009B041B"/>
    <w:rsid w:val="009B0F83"/>
    <w:rsid w:val="009B2905"/>
    <w:rsid w:val="009B2DE1"/>
    <w:rsid w:val="009B475C"/>
    <w:rsid w:val="009B538E"/>
    <w:rsid w:val="009B7028"/>
    <w:rsid w:val="009C24E2"/>
    <w:rsid w:val="009C48DE"/>
    <w:rsid w:val="009C68EB"/>
    <w:rsid w:val="009E143F"/>
    <w:rsid w:val="009E17B0"/>
    <w:rsid w:val="009E2880"/>
    <w:rsid w:val="009E2929"/>
    <w:rsid w:val="009E4D9F"/>
    <w:rsid w:val="009E6514"/>
    <w:rsid w:val="009E7395"/>
    <w:rsid w:val="009E7480"/>
    <w:rsid w:val="009F4008"/>
    <w:rsid w:val="009F4238"/>
    <w:rsid w:val="009F4A5B"/>
    <w:rsid w:val="00A0024E"/>
    <w:rsid w:val="00A00980"/>
    <w:rsid w:val="00A02BD1"/>
    <w:rsid w:val="00A10AF5"/>
    <w:rsid w:val="00A113A9"/>
    <w:rsid w:val="00A11622"/>
    <w:rsid w:val="00A127B6"/>
    <w:rsid w:val="00A12DDE"/>
    <w:rsid w:val="00A134DE"/>
    <w:rsid w:val="00A14209"/>
    <w:rsid w:val="00A17D70"/>
    <w:rsid w:val="00A20C1A"/>
    <w:rsid w:val="00A21407"/>
    <w:rsid w:val="00A21633"/>
    <w:rsid w:val="00A21A05"/>
    <w:rsid w:val="00A22683"/>
    <w:rsid w:val="00A304B9"/>
    <w:rsid w:val="00A30520"/>
    <w:rsid w:val="00A342D3"/>
    <w:rsid w:val="00A36A37"/>
    <w:rsid w:val="00A4089A"/>
    <w:rsid w:val="00A40C62"/>
    <w:rsid w:val="00A41058"/>
    <w:rsid w:val="00A4144A"/>
    <w:rsid w:val="00A43902"/>
    <w:rsid w:val="00A459E0"/>
    <w:rsid w:val="00A45AE5"/>
    <w:rsid w:val="00A512C0"/>
    <w:rsid w:val="00A54DD4"/>
    <w:rsid w:val="00A5669B"/>
    <w:rsid w:val="00A567F0"/>
    <w:rsid w:val="00A573A3"/>
    <w:rsid w:val="00A6718F"/>
    <w:rsid w:val="00A720F3"/>
    <w:rsid w:val="00A74588"/>
    <w:rsid w:val="00A75DF2"/>
    <w:rsid w:val="00A77446"/>
    <w:rsid w:val="00A7767B"/>
    <w:rsid w:val="00A86184"/>
    <w:rsid w:val="00A86D73"/>
    <w:rsid w:val="00A94024"/>
    <w:rsid w:val="00A97329"/>
    <w:rsid w:val="00AA0E00"/>
    <w:rsid w:val="00AA45EF"/>
    <w:rsid w:val="00AA59FF"/>
    <w:rsid w:val="00AA64AF"/>
    <w:rsid w:val="00AB1B9F"/>
    <w:rsid w:val="00AC0477"/>
    <w:rsid w:val="00AC0B68"/>
    <w:rsid w:val="00AC376C"/>
    <w:rsid w:val="00AC525C"/>
    <w:rsid w:val="00AC5296"/>
    <w:rsid w:val="00AC530A"/>
    <w:rsid w:val="00AC64AA"/>
    <w:rsid w:val="00AC6A39"/>
    <w:rsid w:val="00AD0639"/>
    <w:rsid w:val="00AD1631"/>
    <w:rsid w:val="00AD2E8B"/>
    <w:rsid w:val="00AD3518"/>
    <w:rsid w:val="00AD483C"/>
    <w:rsid w:val="00AE16BB"/>
    <w:rsid w:val="00AE325C"/>
    <w:rsid w:val="00AF2007"/>
    <w:rsid w:val="00AF2429"/>
    <w:rsid w:val="00AF6AFA"/>
    <w:rsid w:val="00B05A60"/>
    <w:rsid w:val="00B06563"/>
    <w:rsid w:val="00B07788"/>
    <w:rsid w:val="00B07B16"/>
    <w:rsid w:val="00B07D83"/>
    <w:rsid w:val="00B15DEB"/>
    <w:rsid w:val="00B16941"/>
    <w:rsid w:val="00B16D26"/>
    <w:rsid w:val="00B172DA"/>
    <w:rsid w:val="00B21E7E"/>
    <w:rsid w:val="00B24B34"/>
    <w:rsid w:val="00B26A78"/>
    <w:rsid w:val="00B2724A"/>
    <w:rsid w:val="00B276EB"/>
    <w:rsid w:val="00B314DA"/>
    <w:rsid w:val="00B33F8E"/>
    <w:rsid w:val="00B36CBE"/>
    <w:rsid w:val="00B37AF0"/>
    <w:rsid w:val="00B37EA8"/>
    <w:rsid w:val="00B40CA1"/>
    <w:rsid w:val="00B42587"/>
    <w:rsid w:val="00B4457D"/>
    <w:rsid w:val="00B5581B"/>
    <w:rsid w:val="00B55C78"/>
    <w:rsid w:val="00B605E5"/>
    <w:rsid w:val="00B63E23"/>
    <w:rsid w:val="00B64B72"/>
    <w:rsid w:val="00B65FDC"/>
    <w:rsid w:val="00B6768A"/>
    <w:rsid w:val="00B704A8"/>
    <w:rsid w:val="00B71936"/>
    <w:rsid w:val="00B71DB2"/>
    <w:rsid w:val="00B83A11"/>
    <w:rsid w:val="00B934F5"/>
    <w:rsid w:val="00B960B9"/>
    <w:rsid w:val="00B9767E"/>
    <w:rsid w:val="00BA2E35"/>
    <w:rsid w:val="00BA56A2"/>
    <w:rsid w:val="00BA6205"/>
    <w:rsid w:val="00BA67A7"/>
    <w:rsid w:val="00BB0F3B"/>
    <w:rsid w:val="00BB27A2"/>
    <w:rsid w:val="00BB28A8"/>
    <w:rsid w:val="00BB349A"/>
    <w:rsid w:val="00BB36CB"/>
    <w:rsid w:val="00BB5A3F"/>
    <w:rsid w:val="00BB5AE1"/>
    <w:rsid w:val="00BB5FD7"/>
    <w:rsid w:val="00BB6AF9"/>
    <w:rsid w:val="00BC0F74"/>
    <w:rsid w:val="00BC1253"/>
    <w:rsid w:val="00BC2AFD"/>
    <w:rsid w:val="00BC3EE5"/>
    <w:rsid w:val="00BC5FA5"/>
    <w:rsid w:val="00BD09BB"/>
    <w:rsid w:val="00BD1061"/>
    <w:rsid w:val="00BD10DF"/>
    <w:rsid w:val="00BD44D2"/>
    <w:rsid w:val="00BD5E05"/>
    <w:rsid w:val="00BD6CB7"/>
    <w:rsid w:val="00BE1840"/>
    <w:rsid w:val="00BE19EA"/>
    <w:rsid w:val="00BE3B0F"/>
    <w:rsid w:val="00BE3B28"/>
    <w:rsid w:val="00BE472E"/>
    <w:rsid w:val="00BE4B5C"/>
    <w:rsid w:val="00BE5523"/>
    <w:rsid w:val="00BE6FD1"/>
    <w:rsid w:val="00BE73AE"/>
    <w:rsid w:val="00BF0182"/>
    <w:rsid w:val="00BF5863"/>
    <w:rsid w:val="00BF5F25"/>
    <w:rsid w:val="00BF7C9F"/>
    <w:rsid w:val="00BF7CA1"/>
    <w:rsid w:val="00C0573A"/>
    <w:rsid w:val="00C0629B"/>
    <w:rsid w:val="00C120F6"/>
    <w:rsid w:val="00C22701"/>
    <w:rsid w:val="00C23C42"/>
    <w:rsid w:val="00C26A29"/>
    <w:rsid w:val="00C27447"/>
    <w:rsid w:val="00C31746"/>
    <w:rsid w:val="00C4045D"/>
    <w:rsid w:val="00C41399"/>
    <w:rsid w:val="00C44D75"/>
    <w:rsid w:val="00C450B4"/>
    <w:rsid w:val="00C458BC"/>
    <w:rsid w:val="00C45FD8"/>
    <w:rsid w:val="00C46E80"/>
    <w:rsid w:val="00C50000"/>
    <w:rsid w:val="00C51281"/>
    <w:rsid w:val="00C5363A"/>
    <w:rsid w:val="00C57F76"/>
    <w:rsid w:val="00C601B7"/>
    <w:rsid w:val="00C60217"/>
    <w:rsid w:val="00C61EB5"/>
    <w:rsid w:val="00C621DE"/>
    <w:rsid w:val="00C6397E"/>
    <w:rsid w:val="00C65B2D"/>
    <w:rsid w:val="00C71062"/>
    <w:rsid w:val="00C75F10"/>
    <w:rsid w:val="00C83A8D"/>
    <w:rsid w:val="00C84398"/>
    <w:rsid w:val="00C85701"/>
    <w:rsid w:val="00C85D70"/>
    <w:rsid w:val="00C9144D"/>
    <w:rsid w:val="00C92A30"/>
    <w:rsid w:val="00C9535C"/>
    <w:rsid w:val="00CA0744"/>
    <w:rsid w:val="00CA34B2"/>
    <w:rsid w:val="00CA48B7"/>
    <w:rsid w:val="00CA4D0B"/>
    <w:rsid w:val="00CA4F7A"/>
    <w:rsid w:val="00CA6221"/>
    <w:rsid w:val="00CA63C8"/>
    <w:rsid w:val="00CB2493"/>
    <w:rsid w:val="00CB2523"/>
    <w:rsid w:val="00CB5B74"/>
    <w:rsid w:val="00CB7F19"/>
    <w:rsid w:val="00CC14D3"/>
    <w:rsid w:val="00CC1970"/>
    <w:rsid w:val="00CC2C29"/>
    <w:rsid w:val="00CC7566"/>
    <w:rsid w:val="00CD3DC7"/>
    <w:rsid w:val="00CD5739"/>
    <w:rsid w:val="00CD59D0"/>
    <w:rsid w:val="00CE11F9"/>
    <w:rsid w:val="00CE28B8"/>
    <w:rsid w:val="00CE34D7"/>
    <w:rsid w:val="00CE5578"/>
    <w:rsid w:val="00CE723B"/>
    <w:rsid w:val="00CF05C5"/>
    <w:rsid w:val="00CF207E"/>
    <w:rsid w:val="00CF5698"/>
    <w:rsid w:val="00CF6596"/>
    <w:rsid w:val="00D027F7"/>
    <w:rsid w:val="00D03F9B"/>
    <w:rsid w:val="00D04458"/>
    <w:rsid w:val="00D07BBC"/>
    <w:rsid w:val="00D12A0F"/>
    <w:rsid w:val="00D136B3"/>
    <w:rsid w:val="00D14204"/>
    <w:rsid w:val="00D1426E"/>
    <w:rsid w:val="00D179BE"/>
    <w:rsid w:val="00D23AF6"/>
    <w:rsid w:val="00D24267"/>
    <w:rsid w:val="00D25B98"/>
    <w:rsid w:val="00D2629A"/>
    <w:rsid w:val="00D3241C"/>
    <w:rsid w:val="00D365EA"/>
    <w:rsid w:val="00D40B0E"/>
    <w:rsid w:val="00D42064"/>
    <w:rsid w:val="00D42934"/>
    <w:rsid w:val="00D430F7"/>
    <w:rsid w:val="00D4370C"/>
    <w:rsid w:val="00D43E61"/>
    <w:rsid w:val="00D45B7E"/>
    <w:rsid w:val="00D45D49"/>
    <w:rsid w:val="00D46B9A"/>
    <w:rsid w:val="00D517E6"/>
    <w:rsid w:val="00D52EC0"/>
    <w:rsid w:val="00D52EC8"/>
    <w:rsid w:val="00D5437C"/>
    <w:rsid w:val="00D579C1"/>
    <w:rsid w:val="00D57B16"/>
    <w:rsid w:val="00D60677"/>
    <w:rsid w:val="00D61146"/>
    <w:rsid w:val="00D633A7"/>
    <w:rsid w:val="00D67F9A"/>
    <w:rsid w:val="00D70214"/>
    <w:rsid w:val="00D703F6"/>
    <w:rsid w:val="00D70F2B"/>
    <w:rsid w:val="00D76F80"/>
    <w:rsid w:val="00D77C3A"/>
    <w:rsid w:val="00D81D66"/>
    <w:rsid w:val="00D83863"/>
    <w:rsid w:val="00D83DE1"/>
    <w:rsid w:val="00D87C30"/>
    <w:rsid w:val="00D92955"/>
    <w:rsid w:val="00D92C97"/>
    <w:rsid w:val="00D92F3F"/>
    <w:rsid w:val="00D94630"/>
    <w:rsid w:val="00D953ED"/>
    <w:rsid w:val="00DA038E"/>
    <w:rsid w:val="00DA058B"/>
    <w:rsid w:val="00DA3B2B"/>
    <w:rsid w:val="00DA5878"/>
    <w:rsid w:val="00DA6284"/>
    <w:rsid w:val="00DA68EA"/>
    <w:rsid w:val="00DA69C4"/>
    <w:rsid w:val="00DB3196"/>
    <w:rsid w:val="00DB3377"/>
    <w:rsid w:val="00DB59F5"/>
    <w:rsid w:val="00DB5DD6"/>
    <w:rsid w:val="00DB6AE7"/>
    <w:rsid w:val="00DB71E4"/>
    <w:rsid w:val="00DB7FCA"/>
    <w:rsid w:val="00DC0703"/>
    <w:rsid w:val="00DC188E"/>
    <w:rsid w:val="00DC7660"/>
    <w:rsid w:val="00DD2E0A"/>
    <w:rsid w:val="00DD68A3"/>
    <w:rsid w:val="00DE0B15"/>
    <w:rsid w:val="00DE1881"/>
    <w:rsid w:val="00DE28F3"/>
    <w:rsid w:val="00DE34B4"/>
    <w:rsid w:val="00DE39E4"/>
    <w:rsid w:val="00DE4056"/>
    <w:rsid w:val="00DE47B6"/>
    <w:rsid w:val="00DE5F1A"/>
    <w:rsid w:val="00DE5F39"/>
    <w:rsid w:val="00DE692E"/>
    <w:rsid w:val="00DE6BDB"/>
    <w:rsid w:val="00DF0CC5"/>
    <w:rsid w:val="00DF2B7E"/>
    <w:rsid w:val="00DF33A8"/>
    <w:rsid w:val="00DF351A"/>
    <w:rsid w:val="00DF41AC"/>
    <w:rsid w:val="00E00D48"/>
    <w:rsid w:val="00E10974"/>
    <w:rsid w:val="00E12F01"/>
    <w:rsid w:val="00E13456"/>
    <w:rsid w:val="00E141A1"/>
    <w:rsid w:val="00E151E6"/>
    <w:rsid w:val="00E153AF"/>
    <w:rsid w:val="00E15EBE"/>
    <w:rsid w:val="00E21903"/>
    <w:rsid w:val="00E21957"/>
    <w:rsid w:val="00E21E11"/>
    <w:rsid w:val="00E22229"/>
    <w:rsid w:val="00E23B82"/>
    <w:rsid w:val="00E25F6D"/>
    <w:rsid w:val="00E27404"/>
    <w:rsid w:val="00E31076"/>
    <w:rsid w:val="00E3110E"/>
    <w:rsid w:val="00E31BC6"/>
    <w:rsid w:val="00E32FA9"/>
    <w:rsid w:val="00E35BAF"/>
    <w:rsid w:val="00E37B4C"/>
    <w:rsid w:val="00E4007F"/>
    <w:rsid w:val="00E41DFF"/>
    <w:rsid w:val="00E43636"/>
    <w:rsid w:val="00E43CEF"/>
    <w:rsid w:val="00E447D2"/>
    <w:rsid w:val="00E47C62"/>
    <w:rsid w:val="00E503CB"/>
    <w:rsid w:val="00E51046"/>
    <w:rsid w:val="00E520B3"/>
    <w:rsid w:val="00E60585"/>
    <w:rsid w:val="00E61E47"/>
    <w:rsid w:val="00E61FE1"/>
    <w:rsid w:val="00E63FA2"/>
    <w:rsid w:val="00E65248"/>
    <w:rsid w:val="00E66132"/>
    <w:rsid w:val="00E66A12"/>
    <w:rsid w:val="00E721AC"/>
    <w:rsid w:val="00E73924"/>
    <w:rsid w:val="00E75BBD"/>
    <w:rsid w:val="00E766C0"/>
    <w:rsid w:val="00E76E07"/>
    <w:rsid w:val="00E77CDD"/>
    <w:rsid w:val="00E8360A"/>
    <w:rsid w:val="00E8431B"/>
    <w:rsid w:val="00E84CEE"/>
    <w:rsid w:val="00E87D48"/>
    <w:rsid w:val="00E94FF3"/>
    <w:rsid w:val="00EA14CF"/>
    <w:rsid w:val="00EA201E"/>
    <w:rsid w:val="00EA76D3"/>
    <w:rsid w:val="00EB0830"/>
    <w:rsid w:val="00EB0CBF"/>
    <w:rsid w:val="00EB52F4"/>
    <w:rsid w:val="00EC1D21"/>
    <w:rsid w:val="00EC468B"/>
    <w:rsid w:val="00EC50B3"/>
    <w:rsid w:val="00EC7B84"/>
    <w:rsid w:val="00ED3657"/>
    <w:rsid w:val="00ED3B14"/>
    <w:rsid w:val="00ED76DB"/>
    <w:rsid w:val="00EE09D8"/>
    <w:rsid w:val="00EE3819"/>
    <w:rsid w:val="00EE5D3E"/>
    <w:rsid w:val="00EF12E8"/>
    <w:rsid w:val="00F00003"/>
    <w:rsid w:val="00F00938"/>
    <w:rsid w:val="00F0314A"/>
    <w:rsid w:val="00F05A8B"/>
    <w:rsid w:val="00F06F33"/>
    <w:rsid w:val="00F073B0"/>
    <w:rsid w:val="00F10C35"/>
    <w:rsid w:val="00F118D6"/>
    <w:rsid w:val="00F11A75"/>
    <w:rsid w:val="00F12AA8"/>
    <w:rsid w:val="00F143D9"/>
    <w:rsid w:val="00F14AB9"/>
    <w:rsid w:val="00F16280"/>
    <w:rsid w:val="00F20501"/>
    <w:rsid w:val="00F2328A"/>
    <w:rsid w:val="00F2493A"/>
    <w:rsid w:val="00F2796D"/>
    <w:rsid w:val="00F30A59"/>
    <w:rsid w:val="00F31B37"/>
    <w:rsid w:val="00F32707"/>
    <w:rsid w:val="00F33970"/>
    <w:rsid w:val="00F368C9"/>
    <w:rsid w:val="00F4253E"/>
    <w:rsid w:val="00F437C8"/>
    <w:rsid w:val="00F43C6E"/>
    <w:rsid w:val="00F43E64"/>
    <w:rsid w:val="00F44EA8"/>
    <w:rsid w:val="00F461D5"/>
    <w:rsid w:val="00F52240"/>
    <w:rsid w:val="00F53028"/>
    <w:rsid w:val="00F55115"/>
    <w:rsid w:val="00F627AB"/>
    <w:rsid w:val="00F6354B"/>
    <w:rsid w:val="00F64102"/>
    <w:rsid w:val="00F64C74"/>
    <w:rsid w:val="00F654E0"/>
    <w:rsid w:val="00F666E2"/>
    <w:rsid w:val="00F66EFD"/>
    <w:rsid w:val="00F74759"/>
    <w:rsid w:val="00F76351"/>
    <w:rsid w:val="00F81174"/>
    <w:rsid w:val="00F84720"/>
    <w:rsid w:val="00F9039F"/>
    <w:rsid w:val="00F91C6A"/>
    <w:rsid w:val="00F92208"/>
    <w:rsid w:val="00F939E2"/>
    <w:rsid w:val="00F961DF"/>
    <w:rsid w:val="00FA2AAF"/>
    <w:rsid w:val="00FA2DAE"/>
    <w:rsid w:val="00FA46BB"/>
    <w:rsid w:val="00FA486F"/>
    <w:rsid w:val="00FB0F1F"/>
    <w:rsid w:val="00FB3067"/>
    <w:rsid w:val="00FB34C2"/>
    <w:rsid w:val="00FB43B3"/>
    <w:rsid w:val="00FC0A11"/>
    <w:rsid w:val="00FC0C06"/>
    <w:rsid w:val="00FC22F4"/>
    <w:rsid w:val="00FC248E"/>
    <w:rsid w:val="00FC3672"/>
    <w:rsid w:val="00FC55E9"/>
    <w:rsid w:val="00FD4D69"/>
    <w:rsid w:val="00FD569D"/>
    <w:rsid w:val="00FD652B"/>
    <w:rsid w:val="00FD78BF"/>
    <w:rsid w:val="00FE0271"/>
    <w:rsid w:val="00FE089D"/>
    <w:rsid w:val="00FE0D26"/>
    <w:rsid w:val="00FE421E"/>
    <w:rsid w:val="00FE7F17"/>
    <w:rsid w:val="00FF1CA4"/>
    <w:rsid w:val="00FF4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A2450C5"/>
  <w14:defaultImageDpi w14:val="0"/>
  <w15:docId w15:val="{AEFA9E96-9DC6-411D-B84B-34C8A6BB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qFormat="1"/>
    <w:lsdException w:name="Default Paragraph Font" w:semiHidden="1" w:uiPriority="1" w:unhideWhenUsed="1"/>
    <w:lsdException w:name="Subtitle" w:locked="1" w:qFormat="1"/>
    <w:lsdException w:name="Salutation" w:semiHidden="1" w:unhideWhenUsed="1"/>
    <w:lsdException w:name="Date" w:semiHidden="1" w:unhideWhenUsed="1"/>
    <w:lsdException w:name="Body Text First Indent" w:semiHidden="1" w:unhideWhenUsed="1"/>
    <w:lsdException w:name="Hyperlink" w:semiHidden="1" w:unhideWhenUsed="1"/>
    <w:lsdException w:name="Strong" w:locked="1" w:qFormat="1"/>
    <w:lsdException w:name="Emphasis" w:locked="1" w:qFormat="1"/>
    <w:lsdException w:name="Normal (Web)" w:locked="1"/>
    <w:lsdException w:name="HTML Acronym"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149"/>
    <w:rPr>
      <w:rFonts w:ascii="Corbel" w:hAnsi="Corbel"/>
      <w:color w:val="000000" w:themeColor="text1"/>
      <w:sz w:val="23"/>
      <w:szCs w:val="24"/>
    </w:rPr>
  </w:style>
  <w:style w:type="paragraph" w:styleId="Heading1">
    <w:name w:val="heading 1"/>
    <w:basedOn w:val="Normal"/>
    <w:next w:val="Normal"/>
    <w:link w:val="Heading1Char"/>
    <w:uiPriority w:val="9"/>
    <w:qFormat/>
    <w:rsid w:val="00A17D70"/>
    <w:pPr>
      <w:keepNext/>
      <w:keepLines/>
      <w:spacing w:before="480"/>
      <w:outlineLvl w:val="0"/>
    </w:pPr>
    <w:rPr>
      <w:rFonts w:ascii="Consolas" w:hAnsi="Consolas" w:cs="Arial"/>
      <w:bCs/>
      <w:caps/>
      <w:color w:val="3D4B67"/>
      <w:kern w:val="32"/>
      <w:sz w:val="32"/>
      <w:szCs w:val="36"/>
    </w:rPr>
  </w:style>
  <w:style w:type="paragraph" w:styleId="Heading2">
    <w:name w:val="heading 2"/>
    <w:basedOn w:val="Normal"/>
    <w:next w:val="Normal"/>
    <w:link w:val="Heading2Char"/>
    <w:uiPriority w:val="99"/>
    <w:qFormat/>
    <w:rsid w:val="00A17D70"/>
    <w:pPr>
      <w:keepNext/>
      <w:keepLines/>
      <w:spacing w:before="200"/>
      <w:outlineLvl w:val="1"/>
    </w:pPr>
    <w:rPr>
      <w:rFonts w:cs="Arial"/>
      <w:b/>
      <w:bCs/>
      <w:iCs/>
      <w:color w:val="3D4B67"/>
      <w:sz w:val="29"/>
      <w:szCs w:val="28"/>
    </w:rPr>
  </w:style>
  <w:style w:type="paragraph" w:styleId="Heading3">
    <w:name w:val="heading 3"/>
    <w:basedOn w:val="Normal"/>
    <w:next w:val="Normal"/>
    <w:link w:val="Heading3Char"/>
    <w:uiPriority w:val="99"/>
    <w:qFormat/>
    <w:rsid w:val="00A17D70"/>
    <w:pPr>
      <w:keepNext/>
      <w:spacing w:before="240" w:after="240"/>
      <w:outlineLvl w:val="2"/>
    </w:pPr>
    <w:rPr>
      <w:rFonts w:ascii="Consolas" w:hAnsi="Consolas"/>
      <w:b/>
      <w:color w:val="3D4B67"/>
      <w:szCs w:val="20"/>
    </w:rPr>
  </w:style>
  <w:style w:type="paragraph" w:styleId="Heading4">
    <w:name w:val="heading 4"/>
    <w:basedOn w:val="Normal"/>
    <w:next w:val="Normal"/>
    <w:link w:val="Heading4Char"/>
    <w:uiPriority w:val="9"/>
    <w:semiHidden/>
    <w:unhideWhenUsed/>
    <w:qFormat/>
    <w:locked/>
    <w:rsid w:val="00BB36CB"/>
    <w:pPr>
      <w:keepNext/>
      <w:keepLines/>
      <w:spacing w:before="200"/>
      <w:outlineLvl w:val="3"/>
    </w:pPr>
    <w:rPr>
      <w:rFonts w:asciiTheme="majorHAnsi" w:eastAsiaTheme="majorEastAsia" w:hAnsiTheme="majorHAnsi"/>
      <w:b/>
      <w:bCs/>
      <w:i/>
      <w:iCs/>
      <w:color w:val="4F81BD" w:themeColor="accent1"/>
    </w:rPr>
  </w:style>
  <w:style w:type="paragraph" w:styleId="Heading9">
    <w:name w:val="heading 9"/>
    <w:basedOn w:val="CoverTitleMain"/>
    <w:next w:val="Normal"/>
    <w:link w:val="Heading9Char"/>
    <w:uiPriority w:val="99"/>
    <w:qFormat/>
    <w:pPr>
      <w:numPr>
        <w:ilvl w:val="8"/>
        <w:numId w:val="10"/>
      </w:numPr>
      <w:spacing w:before="120" w:after="120"/>
      <w:jc w:val="right"/>
      <w:outlineLvl w:val="8"/>
    </w:pPr>
    <w:rPr>
      <w:rFonts w:ascii="Corbel" w:hAnsi="Corbel" w:cs="Corbel"/>
      <w:cap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17D70"/>
    <w:rPr>
      <w:rFonts w:ascii="Consolas" w:hAnsi="Consolas" w:cs="Arial"/>
      <w:bCs/>
      <w:caps/>
      <w:color w:val="3D4B67"/>
      <w:kern w:val="32"/>
      <w:sz w:val="36"/>
      <w:szCs w:val="36"/>
    </w:rPr>
  </w:style>
  <w:style w:type="character" w:customStyle="1" w:styleId="Heading2Char">
    <w:name w:val="Heading 2 Char"/>
    <w:basedOn w:val="DefaultParagraphFont"/>
    <w:link w:val="Heading2"/>
    <w:uiPriority w:val="99"/>
    <w:locked/>
    <w:rsid w:val="00A17D70"/>
    <w:rPr>
      <w:rFonts w:ascii="Corbel" w:hAnsi="Corbel" w:cs="Arial"/>
      <w:b/>
      <w:bCs/>
      <w:iCs/>
      <w:color w:val="3D4B67"/>
      <w:sz w:val="28"/>
      <w:szCs w:val="28"/>
    </w:rPr>
  </w:style>
  <w:style w:type="character" w:customStyle="1" w:styleId="Heading3Char">
    <w:name w:val="Heading 3 Char"/>
    <w:basedOn w:val="DefaultParagraphFont"/>
    <w:link w:val="Heading3"/>
    <w:uiPriority w:val="99"/>
    <w:locked/>
    <w:rsid w:val="00A17D70"/>
    <w:rPr>
      <w:rFonts w:ascii="Consolas" w:hAnsi="Consolas" w:cs="Times New Roman"/>
      <w:b/>
      <w:color w:val="3D4B67"/>
      <w:sz w:val="23"/>
    </w:rPr>
  </w:style>
  <w:style w:type="character" w:customStyle="1" w:styleId="Heading4Char">
    <w:name w:val="Heading 4 Char"/>
    <w:basedOn w:val="DefaultParagraphFont"/>
    <w:link w:val="Heading4"/>
    <w:uiPriority w:val="9"/>
    <w:semiHidden/>
    <w:locked/>
    <w:rsid w:val="00BB36CB"/>
    <w:rPr>
      <w:rFonts w:asciiTheme="majorHAnsi" w:eastAsiaTheme="majorEastAsia" w:hAnsiTheme="majorHAnsi" w:cs="Times New Roman"/>
      <w:b/>
      <w:bCs/>
      <w:i/>
      <w:iCs/>
      <w:color w:val="4F81BD" w:themeColor="accent1"/>
      <w:sz w:val="24"/>
      <w:szCs w:val="24"/>
    </w:rPr>
  </w:style>
  <w:style w:type="character" w:customStyle="1" w:styleId="Heading9Char">
    <w:name w:val="Heading 9 Char"/>
    <w:basedOn w:val="DefaultParagraphFont"/>
    <w:link w:val="Heading9"/>
    <w:uiPriority w:val="99"/>
    <w:locked/>
    <w:rPr>
      <w:rFonts w:ascii="Corbel" w:hAnsi="Corbel" w:cs="Corbel"/>
      <w:color w:val="3D4B67"/>
      <w:sz w:val="36"/>
      <w:szCs w:val="36"/>
    </w:rPr>
  </w:style>
  <w:style w:type="paragraph" w:styleId="ListParagraph">
    <w:name w:val="List Paragraph"/>
    <w:basedOn w:val="Normal"/>
    <w:link w:val="ListParagraphChar"/>
    <w:uiPriority w:val="34"/>
    <w:qFormat/>
    <w:rsid w:val="00B21E7E"/>
    <w:pPr>
      <w:ind w:left="720"/>
    </w:pPr>
  </w:style>
  <w:style w:type="character" w:styleId="CommentReference">
    <w:name w:val="annotation reference"/>
    <w:basedOn w:val="DefaultParagraphFont"/>
    <w:uiPriority w:val="99"/>
    <w:semiHidden/>
    <w:rsid w:val="00B21E7E"/>
    <w:rPr>
      <w:rFonts w:cs="Times New Roman"/>
      <w:sz w:val="16"/>
      <w:szCs w:val="16"/>
    </w:rPr>
  </w:style>
  <w:style w:type="paragraph" w:styleId="CommentText">
    <w:name w:val="annotation text"/>
    <w:basedOn w:val="Normal"/>
    <w:link w:val="CommentTextChar"/>
    <w:uiPriority w:val="99"/>
    <w:semiHidden/>
    <w:rsid w:val="00B21E7E"/>
    <w:rPr>
      <w:sz w:val="20"/>
      <w:szCs w:val="20"/>
    </w:rPr>
  </w:style>
  <w:style w:type="character" w:customStyle="1" w:styleId="CommentTextChar">
    <w:name w:val="Comment Text Char"/>
    <w:basedOn w:val="DefaultParagraphFont"/>
    <w:link w:val="CommentText"/>
    <w:uiPriority w:val="99"/>
    <w:locked/>
    <w:rsid w:val="00B21E7E"/>
    <w:rPr>
      <w:rFonts w:cs="Times New Roman"/>
    </w:rPr>
  </w:style>
  <w:style w:type="paragraph" w:styleId="BalloonText">
    <w:name w:val="Balloon Text"/>
    <w:basedOn w:val="Normal"/>
    <w:link w:val="BalloonTextChar"/>
    <w:uiPriority w:val="99"/>
    <w:semiHidden/>
    <w:rsid w:val="00B21E7E"/>
    <w:rPr>
      <w:rFonts w:ascii="Tahoma" w:hAnsi="Tahoma" w:cs="Tahoma"/>
      <w:sz w:val="16"/>
      <w:szCs w:val="16"/>
    </w:rPr>
  </w:style>
  <w:style w:type="character" w:customStyle="1" w:styleId="BalloonTextChar">
    <w:name w:val="Balloon Text Char"/>
    <w:basedOn w:val="DefaultParagraphFont"/>
    <w:link w:val="BalloonText"/>
    <w:uiPriority w:val="99"/>
    <w:locked/>
    <w:rsid w:val="00B21E7E"/>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NumberedParagraph">
    <w:name w:val="Numbered Paragraph"/>
    <w:basedOn w:val="Normal"/>
    <w:uiPriority w:val="99"/>
    <w:pPr>
      <w:spacing w:after="240"/>
    </w:pPr>
  </w:style>
  <w:style w:type="paragraph" w:customStyle="1" w:styleId="Bullet">
    <w:name w:val="Bullet"/>
    <w:basedOn w:val="Normal"/>
    <w:link w:val="BulletChar"/>
    <w:uiPriority w:val="99"/>
    <w:pPr>
      <w:numPr>
        <w:numId w:val="1"/>
      </w:numPr>
      <w:spacing w:after="240"/>
    </w:pPr>
  </w:style>
  <w:style w:type="paragraph" w:customStyle="1" w:styleId="Dash">
    <w:name w:val="Dash"/>
    <w:basedOn w:val="Normal"/>
    <w:uiPriority w:val="99"/>
    <w:pPr>
      <w:numPr>
        <w:ilvl w:val="1"/>
        <w:numId w:val="1"/>
      </w:numPr>
      <w:spacing w:after="240"/>
    </w:pPr>
  </w:style>
  <w:style w:type="paragraph" w:customStyle="1" w:styleId="DoubleDot">
    <w:name w:val="Double Dot"/>
    <w:basedOn w:val="Normal"/>
    <w:uiPriority w:val="99"/>
    <w:pPr>
      <w:numPr>
        <w:ilvl w:val="2"/>
        <w:numId w:val="1"/>
      </w:numPr>
      <w:spacing w:after="240"/>
    </w:pPr>
  </w:style>
  <w:style w:type="character" w:customStyle="1" w:styleId="BulletChar">
    <w:name w:val="Bullet Char"/>
    <w:basedOn w:val="DefaultParagraphFont"/>
    <w:link w:val="Bullet"/>
    <w:uiPriority w:val="99"/>
    <w:locked/>
    <w:rPr>
      <w:rFonts w:ascii="Corbel" w:hAnsi="Corbel"/>
      <w:color w:val="000000" w:themeColor="text1"/>
      <w:sz w:val="23"/>
      <w:szCs w:val="24"/>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p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locked/>
    <w:rPr>
      <w:rFonts w:cs="Times New Roman"/>
      <w:b/>
      <w:bCs/>
    </w:rPr>
  </w:style>
  <w:style w:type="paragraph" w:styleId="FootnoteText">
    <w:name w:val="footnote text"/>
    <w:basedOn w:val="Normal"/>
    <w:link w:val="FootnoteTextChar"/>
    <w:uiPriority w:val="99"/>
    <w:semiHidden/>
    <w:pPr>
      <w:spacing w:after="240"/>
    </w:pPr>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semiHidden/>
    <w:rPr>
      <w:rFonts w:cs="Times New Roman"/>
      <w:vertAlign w:val="superscript"/>
    </w:rPr>
  </w:style>
  <w:style w:type="table" w:styleId="Table3Deffects3">
    <w:name w:val="Table 3D effects 3"/>
    <w:basedOn w:val="TableNormal"/>
    <w:uiPriority w:val="9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Pr>
      <w:sz w:val="24"/>
      <w:szCs w:val="24"/>
    </w:rPr>
  </w:style>
  <w:style w:type="character" w:styleId="HTMLAcronym">
    <w:name w:val="HTML Acronym"/>
    <w:basedOn w:val="DefaultParagraphFont"/>
    <w:uiPriority w:val="99"/>
    <w:rPr>
      <w:rFonts w:cs="Times New Roman"/>
    </w:rPr>
  </w:style>
  <w:style w:type="character" w:styleId="Strong">
    <w:name w:val="Strong"/>
    <w:basedOn w:val="DefaultParagraphFont"/>
    <w:uiPriority w:val="99"/>
    <w:qFormat/>
    <w:rPr>
      <w:rFonts w:cs="Times New Roman"/>
      <w:b/>
      <w:bCs/>
    </w:rPr>
  </w:style>
  <w:style w:type="paragraph" w:customStyle="1" w:styleId="Default">
    <w:name w:val="Default"/>
    <w:uiPriority w:val="99"/>
    <w:pPr>
      <w:autoSpaceDE w:val="0"/>
      <w:autoSpaceDN w:val="0"/>
      <w:adjustRightInd w:val="0"/>
    </w:pPr>
    <w:rPr>
      <w:rFonts w:ascii="Corbel" w:hAnsi="Corbel" w:cs="Corbel"/>
      <w:color w:val="000000"/>
      <w:sz w:val="24"/>
      <w:szCs w:val="24"/>
    </w:rPr>
  </w:style>
  <w:style w:type="paragraph" w:customStyle="1" w:styleId="SingleParagraph">
    <w:name w:val="Single Paragraph"/>
    <w:basedOn w:val="Normal"/>
    <w:uiPriority w:val="99"/>
  </w:style>
  <w:style w:type="paragraph" w:customStyle="1" w:styleId="CoverTitleMain">
    <w:name w:val="Cover Title Main"/>
    <w:basedOn w:val="Normal"/>
    <w:next w:val="Normal"/>
    <w:uiPriority w:val="99"/>
    <w:pPr>
      <w:keepNext/>
    </w:pPr>
    <w:rPr>
      <w:rFonts w:ascii="Consolas" w:hAnsi="Consolas" w:cs="Consolas"/>
      <w:caps/>
      <w:color w:val="3D4B67"/>
      <w:sz w:val="84"/>
      <w:szCs w:val="84"/>
    </w:rPr>
  </w:style>
  <w:style w:type="paragraph" w:customStyle="1" w:styleId="CoverTitleSub">
    <w:name w:val="Cover Title Sub"/>
    <w:basedOn w:val="Normal"/>
    <w:uiPriority w:val="99"/>
    <w:pPr>
      <w:keepNext/>
    </w:pPr>
    <w:rPr>
      <w:rFonts w:cs="Corbel"/>
      <w:color w:val="FFFFFF"/>
      <w:sz w:val="36"/>
      <w:szCs w:val="36"/>
    </w:rPr>
  </w:style>
  <w:style w:type="paragraph" w:customStyle="1" w:styleId="StatesList">
    <w:name w:val="StatesList"/>
    <w:basedOn w:val="AgreementParties"/>
    <w:uiPriority w:val="99"/>
    <w:pPr>
      <w:numPr>
        <w:numId w:val="2"/>
      </w:numPr>
    </w:pPr>
  </w:style>
  <w:style w:type="paragraph" w:customStyle="1" w:styleId="Abstract">
    <w:name w:val="Abstract"/>
    <w:basedOn w:val="Normal"/>
    <w:uiPriority w:val="99"/>
    <w:pPr>
      <w:spacing w:before="240"/>
    </w:pPr>
    <w:rPr>
      <w:rFonts w:ascii="Consolas" w:hAnsi="Consolas" w:cs="Consolas"/>
      <w:color w:val="3D4B67"/>
      <w:sz w:val="20"/>
      <w:szCs w:val="20"/>
    </w:rPr>
  </w:style>
  <w:style w:type="paragraph" w:customStyle="1" w:styleId="AgreementHeading">
    <w:name w:val="AgreementHeading"/>
    <w:basedOn w:val="StatesList"/>
    <w:next w:val="StatesList"/>
    <w:uiPriority w:val="99"/>
    <w:pPr>
      <w:numPr>
        <w:numId w:val="0"/>
      </w:numPr>
      <w:ind w:left="1560"/>
    </w:pPr>
  </w:style>
  <w:style w:type="paragraph" w:customStyle="1" w:styleId="AgreementParties">
    <w:name w:val="AgreementParties"/>
    <w:uiPriority w:val="99"/>
    <w:pPr>
      <w:numPr>
        <w:numId w:val="3"/>
      </w:numPr>
      <w:spacing w:before="120" w:after="120"/>
    </w:pPr>
    <w:rPr>
      <w:rFonts w:ascii="Consolas" w:hAnsi="Consolas" w:cs="Consolas"/>
      <w:color w:val="3D4B67"/>
      <w:sz w:val="30"/>
      <w:szCs w:val="30"/>
      <w:lang w:eastAsia="ja-JP"/>
    </w:rPr>
  </w:style>
  <w:style w:type="paragraph" w:customStyle="1" w:styleId="OutlineNumbered1">
    <w:name w:val="Outline Numbered 1"/>
    <w:basedOn w:val="Normal"/>
    <w:uiPriority w:val="99"/>
    <w:pPr>
      <w:numPr>
        <w:numId w:val="4"/>
      </w:numPr>
      <w:spacing w:after="240" w:line="260" w:lineRule="exact"/>
      <w:jc w:val="both"/>
    </w:pPr>
    <w:rPr>
      <w:rFonts w:cs="Corbel"/>
      <w:color w:val="000000"/>
      <w:szCs w:val="23"/>
    </w:rPr>
  </w:style>
  <w:style w:type="paragraph" w:customStyle="1" w:styleId="OutlineNumbered2">
    <w:name w:val="Outline Numbered 2"/>
    <w:basedOn w:val="Normal"/>
    <w:uiPriority w:val="99"/>
    <w:pPr>
      <w:numPr>
        <w:ilvl w:val="1"/>
        <w:numId w:val="4"/>
      </w:numPr>
      <w:spacing w:after="240" w:line="260" w:lineRule="exact"/>
      <w:jc w:val="both"/>
    </w:pPr>
    <w:rPr>
      <w:rFonts w:cs="Corbel"/>
      <w:color w:val="000000"/>
      <w:szCs w:val="23"/>
    </w:rPr>
  </w:style>
  <w:style w:type="paragraph" w:customStyle="1" w:styleId="OutlineNumbered3">
    <w:name w:val="Outline Numbered 3"/>
    <w:basedOn w:val="Normal"/>
    <w:uiPriority w:val="99"/>
    <w:pPr>
      <w:numPr>
        <w:ilvl w:val="2"/>
        <w:numId w:val="4"/>
      </w:numPr>
      <w:spacing w:after="240" w:line="260" w:lineRule="exact"/>
      <w:jc w:val="both"/>
    </w:pPr>
    <w:rPr>
      <w:rFonts w:cs="Corbel"/>
      <w:color w:val="000000"/>
      <w:szCs w:val="23"/>
    </w:rPr>
  </w:style>
  <w:style w:type="paragraph" w:customStyle="1" w:styleId="AlphaParagraph">
    <w:name w:val="Alpha Paragraph"/>
    <w:basedOn w:val="Normal"/>
    <w:link w:val="AlphaParagraphCharChar"/>
    <w:pPr>
      <w:numPr>
        <w:numId w:val="7"/>
      </w:numPr>
      <w:spacing w:after="240" w:line="260" w:lineRule="exact"/>
      <w:ind w:left="1134" w:hanging="567"/>
      <w:jc w:val="both"/>
    </w:pPr>
    <w:rPr>
      <w:rFonts w:cs="Corbel"/>
      <w:color w:val="000000"/>
      <w:szCs w:val="23"/>
    </w:rPr>
  </w:style>
  <w:style w:type="paragraph" w:customStyle="1" w:styleId="ChartorTableNote">
    <w:name w:val="Chart or Table Note"/>
    <w:next w:val="Normal"/>
    <w:uiPriority w:val="99"/>
    <w:pPr>
      <w:jc w:val="both"/>
    </w:pPr>
    <w:rPr>
      <w:rFonts w:ascii="Arial" w:hAnsi="Arial" w:cs="Arial"/>
      <w:color w:val="000000"/>
      <w:sz w:val="16"/>
      <w:szCs w:val="16"/>
    </w:rPr>
  </w:style>
  <w:style w:type="paragraph" w:customStyle="1" w:styleId="TableMainHeading">
    <w:name w:val="Table Main Heading"/>
    <w:basedOn w:val="Normal"/>
    <w:next w:val="Normal"/>
    <w:pPr>
      <w:keepNext/>
      <w:spacing w:after="20"/>
    </w:pPr>
    <w:rPr>
      <w:rFonts w:ascii="Consolas" w:hAnsi="Consolas" w:cs="Consolas"/>
      <w:b/>
      <w:bCs/>
      <w:color w:val="3D4B67"/>
    </w:rPr>
  </w:style>
  <w:style w:type="paragraph" w:customStyle="1" w:styleId="BoxBullet">
    <w:name w:val="Box Bullet"/>
    <w:basedOn w:val="Normal"/>
    <w:uiPriority w:val="99"/>
    <w:pPr>
      <w:numPr>
        <w:numId w:val="5"/>
      </w:numPr>
      <w:spacing w:after="240" w:line="260" w:lineRule="exact"/>
      <w:jc w:val="both"/>
    </w:pPr>
    <w:rPr>
      <w:rFonts w:cs="Corbel"/>
      <w:color w:val="000000"/>
      <w:szCs w:val="23"/>
    </w:rPr>
  </w:style>
  <w:style w:type="paragraph" w:customStyle="1" w:styleId="BoxDash">
    <w:name w:val="Box Dash"/>
    <w:basedOn w:val="Normal"/>
    <w:uiPriority w:val="99"/>
    <w:pPr>
      <w:numPr>
        <w:ilvl w:val="1"/>
        <w:numId w:val="5"/>
      </w:numPr>
      <w:spacing w:after="240" w:line="260" w:lineRule="exact"/>
      <w:jc w:val="both"/>
    </w:pPr>
    <w:rPr>
      <w:rFonts w:cs="Corbel"/>
      <w:color w:val="000000"/>
      <w:szCs w:val="23"/>
    </w:rPr>
  </w:style>
  <w:style w:type="paragraph" w:customStyle="1" w:styleId="BoxDoubleDot">
    <w:name w:val="Box Double Dot"/>
    <w:basedOn w:val="Normal"/>
    <w:uiPriority w:val="99"/>
    <w:pPr>
      <w:numPr>
        <w:ilvl w:val="2"/>
        <w:numId w:val="5"/>
      </w:numPr>
      <w:spacing w:after="240" w:line="260" w:lineRule="exact"/>
      <w:jc w:val="both"/>
    </w:pPr>
    <w:rPr>
      <w:rFonts w:cs="Corbel"/>
      <w:color w:val="000000"/>
      <w:szCs w:val="23"/>
    </w:rPr>
  </w:style>
  <w:style w:type="paragraph" w:customStyle="1" w:styleId="Romannumeral">
    <w:name w:val="Roman numeral"/>
    <w:basedOn w:val="Normal"/>
    <w:uiPriority w:val="99"/>
    <w:pPr>
      <w:numPr>
        <w:numId w:val="6"/>
      </w:numPr>
      <w:spacing w:after="240" w:line="260" w:lineRule="exact"/>
      <w:jc w:val="both"/>
    </w:pPr>
    <w:rPr>
      <w:rFonts w:cs="Corbel"/>
      <w:color w:val="000000"/>
      <w:szCs w:val="23"/>
    </w:rPr>
  </w:style>
  <w:style w:type="paragraph" w:customStyle="1" w:styleId="ScheduleStartNnumber">
    <w:name w:val="ScheduleStartNnumber"/>
    <w:uiPriority w:val="99"/>
    <w:pPr>
      <w:numPr>
        <w:numId w:val="8"/>
      </w:numPr>
    </w:pPr>
    <w:rPr>
      <w:rFonts w:ascii="Consolas" w:hAnsi="Consolas" w:cs="Consolas"/>
      <w:vanish/>
      <w:color w:val="000000"/>
      <w:kern w:val="32"/>
      <w:sz w:val="12"/>
      <w:szCs w:val="12"/>
    </w:rPr>
  </w:style>
  <w:style w:type="paragraph" w:styleId="Subtitle">
    <w:name w:val="Subtitle"/>
    <w:basedOn w:val="Normal"/>
    <w:link w:val="SubtitleChar"/>
    <w:uiPriority w:val="99"/>
    <w:qFormat/>
    <w:rsid w:val="00A17D70"/>
    <w:pPr>
      <w:spacing w:after="600"/>
    </w:pPr>
    <w:rPr>
      <w:rFonts w:ascii="Consolas" w:hAnsi="Consolas" w:cs="Consolas"/>
      <w:b/>
      <w:bCs/>
      <w:caps/>
      <w:color w:val="C7823E"/>
      <w:spacing w:val="50"/>
      <w:lang w:eastAsia="ja-JP"/>
    </w:rPr>
  </w:style>
  <w:style w:type="character" w:customStyle="1" w:styleId="SubtitleChar">
    <w:name w:val="Subtitle Char"/>
    <w:basedOn w:val="DefaultParagraphFont"/>
    <w:link w:val="Subtitle"/>
    <w:uiPriority w:val="99"/>
    <w:locked/>
    <w:rsid w:val="00A17D70"/>
    <w:rPr>
      <w:rFonts w:ascii="Consolas" w:hAnsi="Consolas" w:cs="Consolas"/>
      <w:b/>
      <w:bCs/>
      <w:caps/>
      <w:color w:val="C7823E"/>
      <w:spacing w:val="50"/>
      <w:sz w:val="24"/>
      <w:szCs w:val="24"/>
      <w:lang w:val="x-none" w:eastAsia="ja-JP"/>
    </w:rPr>
  </w:style>
  <w:style w:type="paragraph" w:styleId="Title">
    <w:name w:val="Title"/>
    <w:basedOn w:val="Normal"/>
    <w:next w:val="Subtitle"/>
    <w:link w:val="TitleChar"/>
    <w:uiPriority w:val="99"/>
    <w:qFormat/>
    <w:rsid w:val="00A17D70"/>
    <w:rPr>
      <w:rFonts w:cs="Corbel"/>
      <w:color w:val="3D4B67"/>
      <w:sz w:val="72"/>
      <w:szCs w:val="72"/>
      <w:lang w:eastAsia="ja-JP"/>
    </w:rPr>
  </w:style>
  <w:style w:type="character" w:customStyle="1" w:styleId="TitleChar">
    <w:name w:val="Title Char"/>
    <w:basedOn w:val="DefaultParagraphFont"/>
    <w:link w:val="Title"/>
    <w:uiPriority w:val="99"/>
    <w:locked/>
    <w:rsid w:val="00A17D70"/>
    <w:rPr>
      <w:rFonts w:ascii="Corbel" w:hAnsi="Corbel" w:cs="Corbel"/>
      <w:color w:val="3D4B67"/>
      <w:sz w:val="72"/>
      <w:szCs w:val="72"/>
      <w:lang w:val="x-none" w:eastAsia="ja-JP"/>
    </w:rPr>
  </w:style>
  <w:style w:type="character" w:customStyle="1" w:styleId="AlphaParagraphCharChar">
    <w:name w:val="Alpha Paragraph Char Char"/>
    <w:basedOn w:val="DefaultParagraphFont"/>
    <w:link w:val="AlphaParagraph"/>
    <w:locked/>
    <w:rPr>
      <w:rFonts w:ascii="Corbel" w:hAnsi="Corbel" w:cs="Corbel"/>
      <w:color w:val="000000"/>
      <w:sz w:val="23"/>
      <w:szCs w:val="23"/>
    </w:rPr>
  </w:style>
  <w:style w:type="paragraph" w:customStyle="1" w:styleId="ScheduleNumberedPara">
    <w:name w:val="ScheduleNumberedPara"/>
    <w:basedOn w:val="Normal"/>
    <w:link w:val="ScheduleNumberedParaCharChar"/>
    <w:pPr>
      <w:numPr>
        <w:ilvl w:val="1"/>
        <w:numId w:val="8"/>
      </w:numPr>
      <w:spacing w:after="240" w:line="260" w:lineRule="exact"/>
      <w:jc w:val="both"/>
    </w:pPr>
    <w:rPr>
      <w:rFonts w:cs="Corbel"/>
      <w:color w:val="000000"/>
      <w:szCs w:val="23"/>
    </w:rPr>
  </w:style>
  <w:style w:type="paragraph" w:customStyle="1" w:styleId="FooterEven">
    <w:name w:val="Footer Even"/>
    <w:basedOn w:val="Footer"/>
    <w:uiPriority w:val="99"/>
    <w:pPr>
      <w:tabs>
        <w:tab w:val="clear" w:pos="4513"/>
        <w:tab w:val="clear" w:pos="9026"/>
      </w:tabs>
    </w:pPr>
    <w:rPr>
      <w:rFonts w:cs="Corbel"/>
      <w:color w:val="3D4B67"/>
      <w:sz w:val="18"/>
      <w:szCs w:val="18"/>
    </w:rPr>
  </w:style>
  <w:style w:type="paragraph" w:customStyle="1" w:styleId="FooterOdd">
    <w:name w:val="Footer Odd"/>
    <w:basedOn w:val="Footer"/>
    <w:uiPriority w:val="99"/>
    <w:pPr>
      <w:tabs>
        <w:tab w:val="clear" w:pos="4513"/>
        <w:tab w:val="clear" w:pos="9026"/>
      </w:tabs>
      <w:jc w:val="right"/>
    </w:pPr>
    <w:rPr>
      <w:rFonts w:cs="Corbel"/>
      <w:color w:val="3D4B67"/>
      <w:sz w:val="18"/>
      <w:szCs w:val="18"/>
    </w:rPr>
  </w:style>
  <w:style w:type="paragraph" w:customStyle="1" w:styleId="HeaderEven">
    <w:name w:val="Header Even"/>
    <w:basedOn w:val="Header"/>
    <w:uiPriority w:val="99"/>
    <w:pPr>
      <w:tabs>
        <w:tab w:val="clear" w:pos="4513"/>
        <w:tab w:val="clear" w:pos="9026"/>
      </w:tabs>
    </w:pPr>
    <w:rPr>
      <w:rFonts w:cs="Corbel"/>
      <w:color w:val="3D4B67"/>
      <w:sz w:val="18"/>
      <w:szCs w:val="18"/>
    </w:rPr>
  </w:style>
  <w:style w:type="paragraph" w:customStyle="1" w:styleId="HeaderOdd">
    <w:name w:val="Header Odd"/>
    <w:basedOn w:val="Header"/>
    <w:uiPriority w:val="99"/>
    <w:pPr>
      <w:keepNext/>
      <w:tabs>
        <w:tab w:val="clear" w:pos="4513"/>
        <w:tab w:val="clear" w:pos="9026"/>
      </w:tabs>
      <w:jc w:val="right"/>
    </w:pPr>
    <w:rPr>
      <w:rFonts w:cs="Corbel"/>
      <w:color w:val="3D4B67"/>
      <w:sz w:val="18"/>
      <w:szCs w:val="18"/>
    </w:rPr>
  </w:style>
  <w:style w:type="paragraph" w:customStyle="1" w:styleId="Normalnumbered">
    <w:name w:val="Normal numbered"/>
    <w:basedOn w:val="Normal"/>
    <w:link w:val="NormalnumberedChar"/>
    <w:pPr>
      <w:numPr>
        <w:numId w:val="9"/>
      </w:numPr>
    </w:pPr>
  </w:style>
  <w:style w:type="paragraph" w:customStyle="1" w:styleId="Signed">
    <w:name w:val="Signed"/>
    <w:basedOn w:val="Normal"/>
    <w:uiPriority w:val="99"/>
    <w:pPr>
      <w:spacing w:after="120"/>
    </w:pPr>
    <w:rPr>
      <w:rFonts w:ascii="Book Antiqua" w:hAnsi="Book Antiqua" w:cs="Book Antiqua"/>
      <w:i/>
      <w:iCs/>
      <w:sz w:val="22"/>
      <w:szCs w:val="22"/>
    </w:rPr>
  </w:style>
  <w:style w:type="character" w:styleId="PageNumber">
    <w:name w:val="page number"/>
    <w:basedOn w:val="DefaultParagraphFont"/>
    <w:uiPriority w:val="99"/>
    <w:rPr>
      <w:rFonts w:cs="Times New Roman"/>
    </w:rPr>
  </w:style>
  <w:style w:type="paragraph" w:customStyle="1" w:styleId="Position">
    <w:name w:val="Position"/>
    <w:basedOn w:val="Normal"/>
    <w:uiPriority w:val="99"/>
    <w:pPr>
      <w:spacing w:after="120"/>
    </w:pPr>
    <w:rPr>
      <w:sz w:val="20"/>
      <w:szCs w:val="20"/>
    </w:rPr>
  </w:style>
  <w:style w:type="character" w:customStyle="1" w:styleId="SignedBold">
    <w:name w:val="SignedBold"/>
    <w:basedOn w:val="DefaultParagraphFont"/>
    <w:uiPriority w:val="99"/>
    <w:rPr>
      <w:rFonts w:cs="Times New Roman"/>
      <w:b/>
      <w:bCs/>
      <w:i/>
      <w:iCs/>
    </w:rPr>
  </w:style>
  <w:style w:type="paragraph" w:customStyle="1" w:styleId="LineForSignature">
    <w:name w:val="LineForSignature"/>
    <w:basedOn w:val="Normal"/>
    <w:uiPriority w:val="99"/>
    <w:pPr>
      <w:tabs>
        <w:tab w:val="left" w:leader="underscore" w:pos="3686"/>
      </w:tabs>
      <w:spacing w:before="360" w:after="60"/>
    </w:pPr>
    <w:rPr>
      <w:rFonts w:ascii="Book Antiqua" w:hAnsi="Book Antiqua" w:cs="Book Antiqua"/>
      <w:color w:val="C0C0C0"/>
      <w:lang w:val="en-GB"/>
    </w:rPr>
  </w:style>
  <w:style w:type="paragraph" w:customStyle="1" w:styleId="AlphaList">
    <w:name w:val="Alpha List"/>
    <w:basedOn w:val="Normal"/>
    <w:uiPriority w:val="99"/>
    <w:pPr>
      <w:numPr>
        <w:numId w:val="11"/>
      </w:numPr>
      <w:spacing w:after="120"/>
    </w:pPr>
    <w:rPr>
      <w:rFonts w:ascii="Arial" w:hAnsi="Arial" w:cs="Arial"/>
      <w:spacing w:val="4"/>
      <w:sz w:val="20"/>
      <w:szCs w:val="20"/>
      <w:lang w:eastAsia="en-US"/>
    </w:rPr>
  </w:style>
  <w:style w:type="paragraph" w:customStyle="1" w:styleId="BullettedList">
    <w:name w:val="Bulletted List"/>
    <w:basedOn w:val="Normal"/>
    <w:uiPriority w:val="99"/>
    <w:pPr>
      <w:numPr>
        <w:numId w:val="12"/>
      </w:numPr>
      <w:spacing w:after="120"/>
      <w:ind w:left="357" w:hanging="357"/>
    </w:pPr>
    <w:rPr>
      <w:rFonts w:ascii="Arial" w:hAnsi="Arial" w:cs="Arial"/>
      <w:spacing w:val="4"/>
      <w:sz w:val="20"/>
      <w:szCs w:val="20"/>
      <w:lang w:eastAsia="en-US"/>
    </w:rPr>
  </w:style>
  <w:style w:type="paragraph" w:styleId="BodyText">
    <w:name w:val="Body Text"/>
    <w:basedOn w:val="Normal"/>
    <w:link w:val="BodyTextChar"/>
    <w:uiPriority w:val="99"/>
    <w:pPr>
      <w:spacing w:before="240" w:after="240" w:line="240" w:lineRule="atLeast"/>
    </w:pPr>
    <w:rPr>
      <w:rFonts w:ascii="Arial" w:hAnsi="Arial" w:cs="Arial"/>
      <w:spacing w:val="4"/>
      <w:sz w:val="20"/>
      <w:szCs w:val="20"/>
      <w:lang w:val="en-US" w:eastAsia="en-US"/>
    </w:rPr>
  </w:style>
  <w:style w:type="character" w:customStyle="1" w:styleId="BodyTextChar">
    <w:name w:val="Body Text Char"/>
    <w:basedOn w:val="DefaultParagraphFont"/>
    <w:link w:val="BodyText"/>
    <w:uiPriority w:val="99"/>
    <w:locked/>
    <w:rPr>
      <w:rFonts w:ascii="Arial" w:hAnsi="Arial" w:cs="Arial"/>
      <w:spacing w:val="4"/>
      <w:lang w:val="en-US" w:eastAsia="en-US"/>
    </w:rPr>
  </w:style>
  <w:style w:type="paragraph" w:customStyle="1" w:styleId="TableHeading">
    <w:name w:val="Table Heading"/>
    <w:basedOn w:val="Normal"/>
    <w:uiPriority w:val="99"/>
    <w:pPr>
      <w:spacing w:before="60" w:after="60"/>
    </w:pPr>
    <w:rPr>
      <w:rFonts w:ascii="Arial" w:hAnsi="Arial" w:cs="Arial"/>
      <w:b/>
      <w:bCs/>
      <w:spacing w:val="4"/>
      <w:sz w:val="18"/>
      <w:szCs w:val="18"/>
      <w:lang w:val="en-US" w:eastAsia="en-US"/>
    </w:rPr>
  </w:style>
  <w:style w:type="paragraph" w:customStyle="1" w:styleId="FigureTitle">
    <w:name w:val="Figure Title"/>
    <w:basedOn w:val="Normal"/>
    <w:uiPriority w:val="99"/>
    <w:pPr>
      <w:spacing w:before="240" w:after="60"/>
    </w:pPr>
    <w:rPr>
      <w:rFonts w:ascii="Arial" w:hAnsi="Arial" w:cs="Arial"/>
      <w:b/>
      <w:bCs/>
      <w:spacing w:val="4"/>
      <w:sz w:val="18"/>
      <w:szCs w:val="18"/>
      <w:lang w:eastAsia="en-US"/>
    </w:rPr>
  </w:style>
  <w:style w:type="paragraph" w:customStyle="1" w:styleId="Bullet1">
    <w:name w:val="Bullet 1"/>
    <w:basedOn w:val="Bullet"/>
    <w:uiPriority w:val="99"/>
    <w:pPr>
      <w:numPr>
        <w:numId w:val="13"/>
      </w:numPr>
    </w:pPr>
    <w:rPr>
      <w:rFonts w:ascii="Arial" w:hAnsi="Arial" w:cs="Arial"/>
      <w:sz w:val="22"/>
      <w:szCs w:val="22"/>
    </w:rPr>
  </w:style>
  <w:style w:type="character" w:styleId="Emphasis">
    <w:name w:val="Emphasis"/>
    <w:basedOn w:val="DefaultParagraphFont"/>
    <w:uiPriority w:val="99"/>
    <w:qFormat/>
    <w:rPr>
      <w:rFonts w:cs="Times New Roman"/>
      <w:i/>
      <w:iCs/>
    </w:rPr>
  </w:style>
  <w:style w:type="paragraph" w:customStyle="1" w:styleId="SubBullets">
    <w:name w:val="Sub Bullets"/>
    <w:basedOn w:val="Normal"/>
    <w:uiPriority w:val="99"/>
    <w:pPr>
      <w:numPr>
        <w:ilvl w:val="1"/>
        <w:numId w:val="14"/>
      </w:numPr>
      <w:tabs>
        <w:tab w:val="num" w:pos="720"/>
      </w:tabs>
      <w:spacing w:after="120"/>
      <w:ind w:left="714" w:hanging="357"/>
    </w:pPr>
    <w:rPr>
      <w:rFonts w:ascii="Arial" w:hAnsi="Arial" w:cs="Arial"/>
      <w:spacing w:val="4"/>
      <w:sz w:val="20"/>
      <w:szCs w:val="20"/>
      <w:lang w:eastAsia="en-US"/>
    </w:rPr>
  </w:style>
  <w:style w:type="paragraph" w:customStyle="1" w:styleId="TableText">
    <w:name w:val="Table Text"/>
    <w:basedOn w:val="Normal"/>
    <w:uiPriority w:val="99"/>
    <w:pPr>
      <w:spacing w:before="60" w:after="60"/>
    </w:pPr>
    <w:rPr>
      <w:rFonts w:ascii="Arial" w:hAnsi="Arial" w:cs="Arial"/>
      <w:spacing w:val="4"/>
      <w:sz w:val="18"/>
      <w:szCs w:val="18"/>
      <w:lang w:eastAsia="en-US"/>
    </w:rPr>
  </w:style>
  <w:style w:type="paragraph" w:customStyle="1" w:styleId="ChartandTableFootnoteAlpha">
    <w:name w:val="Chart and Table Footnote Alpha"/>
    <w:rsid w:val="00FD4D69"/>
    <w:pPr>
      <w:numPr>
        <w:numId w:val="15"/>
      </w:numPr>
      <w:jc w:val="both"/>
    </w:pPr>
    <w:rPr>
      <w:rFonts w:ascii="Arial" w:hAnsi="Arial"/>
      <w:color w:val="000000"/>
      <w:sz w:val="16"/>
      <w:szCs w:val="16"/>
    </w:rPr>
  </w:style>
  <w:style w:type="paragraph" w:customStyle="1" w:styleId="TableGraphic">
    <w:name w:val="Table Graphic"/>
    <w:basedOn w:val="Normal"/>
    <w:next w:val="Normal"/>
    <w:rsid w:val="00FD4D69"/>
    <w:pPr>
      <w:keepNext/>
    </w:pPr>
    <w:rPr>
      <w:color w:val="3D4B67"/>
      <w:sz w:val="20"/>
      <w:szCs w:val="20"/>
    </w:rPr>
  </w:style>
  <w:style w:type="character" w:customStyle="1" w:styleId="NormalnumberedChar">
    <w:name w:val="Normal numbered Char"/>
    <w:basedOn w:val="DefaultParagraphFont"/>
    <w:link w:val="Normalnumbered"/>
    <w:locked/>
    <w:rsid w:val="00FD4D69"/>
    <w:rPr>
      <w:rFonts w:ascii="Corbel" w:hAnsi="Corbel"/>
      <w:color w:val="000000" w:themeColor="text1"/>
      <w:sz w:val="23"/>
      <w:szCs w:val="24"/>
    </w:rPr>
  </w:style>
  <w:style w:type="character" w:customStyle="1" w:styleId="AlphaParagraphChar">
    <w:name w:val="Alpha Paragraph Char"/>
    <w:basedOn w:val="DefaultParagraphFont"/>
    <w:locked/>
    <w:rsid w:val="00CD3DC7"/>
    <w:rPr>
      <w:rFonts w:ascii="Calibri" w:hAnsi="Calibri" w:cs="Times New Roman"/>
    </w:rPr>
  </w:style>
  <w:style w:type="character" w:customStyle="1" w:styleId="ScheduleNumberedParaCharChar">
    <w:name w:val="ScheduleNumberedPara Char Char"/>
    <w:basedOn w:val="DefaultParagraphFont"/>
    <w:link w:val="ScheduleNumberedPara"/>
    <w:locked/>
    <w:rsid w:val="00CD3DC7"/>
    <w:rPr>
      <w:rFonts w:ascii="Corbel" w:hAnsi="Corbel" w:cs="Corbel"/>
      <w:color w:val="000000"/>
      <w:sz w:val="23"/>
      <w:szCs w:val="23"/>
    </w:rPr>
  </w:style>
  <w:style w:type="character" w:styleId="FollowedHyperlink">
    <w:name w:val="FollowedHyperlink"/>
    <w:basedOn w:val="DefaultParagraphFont"/>
    <w:uiPriority w:val="99"/>
    <w:semiHidden/>
    <w:unhideWhenUsed/>
    <w:rsid w:val="00227BC0"/>
    <w:rPr>
      <w:rFonts w:cs="Times New Roman"/>
      <w:color w:val="800080" w:themeColor="followedHyperlink"/>
      <w:u w:val="single"/>
    </w:rPr>
  </w:style>
  <w:style w:type="paragraph" w:customStyle="1" w:styleId="TableParagraph">
    <w:name w:val="Table Paragraph"/>
    <w:basedOn w:val="Normal"/>
    <w:uiPriority w:val="1"/>
    <w:qFormat/>
    <w:rsid w:val="00BB28A8"/>
    <w:pPr>
      <w:widowControl w:val="0"/>
    </w:pPr>
    <w:rPr>
      <w:rFonts w:asciiTheme="minorHAnsi" w:hAnsiTheme="minorHAnsi"/>
      <w:color w:val="auto"/>
      <w:sz w:val="22"/>
      <w:szCs w:val="22"/>
      <w:lang w:val="en-US" w:eastAsia="en-US"/>
    </w:rPr>
  </w:style>
  <w:style w:type="table" w:customStyle="1" w:styleId="TableGrid1">
    <w:name w:val="Table Grid1"/>
    <w:basedOn w:val="TableNormal"/>
    <w:next w:val="TableGrid"/>
    <w:uiPriority w:val="39"/>
    <w:rsid w:val="00CB25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47B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6110D7"/>
    <w:rPr>
      <w:rFonts w:ascii="Corbel" w:hAnsi="Corbel"/>
      <w:color w:val="000000" w:themeColor="text1"/>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3235">
      <w:marLeft w:val="0"/>
      <w:marRight w:val="0"/>
      <w:marTop w:val="0"/>
      <w:marBottom w:val="0"/>
      <w:divBdr>
        <w:top w:val="none" w:sz="0" w:space="0" w:color="auto"/>
        <w:left w:val="none" w:sz="0" w:space="0" w:color="auto"/>
        <w:bottom w:val="none" w:sz="0" w:space="0" w:color="auto"/>
        <w:right w:val="none" w:sz="0" w:space="0" w:color="auto"/>
      </w:divBdr>
    </w:div>
    <w:div w:id="104273236">
      <w:marLeft w:val="0"/>
      <w:marRight w:val="0"/>
      <w:marTop w:val="0"/>
      <w:marBottom w:val="0"/>
      <w:divBdr>
        <w:top w:val="none" w:sz="0" w:space="0" w:color="auto"/>
        <w:left w:val="none" w:sz="0" w:space="0" w:color="auto"/>
        <w:bottom w:val="none" w:sz="0" w:space="0" w:color="auto"/>
        <w:right w:val="none" w:sz="0" w:space="0" w:color="auto"/>
      </w:divBdr>
    </w:div>
    <w:div w:id="104273237">
      <w:marLeft w:val="0"/>
      <w:marRight w:val="0"/>
      <w:marTop w:val="0"/>
      <w:marBottom w:val="0"/>
      <w:divBdr>
        <w:top w:val="none" w:sz="0" w:space="0" w:color="auto"/>
        <w:left w:val="none" w:sz="0" w:space="0" w:color="auto"/>
        <w:bottom w:val="none" w:sz="0" w:space="0" w:color="auto"/>
        <w:right w:val="none" w:sz="0" w:space="0" w:color="auto"/>
      </w:divBdr>
    </w:div>
    <w:div w:id="104273238">
      <w:marLeft w:val="0"/>
      <w:marRight w:val="0"/>
      <w:marTop w:val="0"/>
      <w:marBottom w:val="0"/>
      <w:divBdr>
        <w:top w:val="none" w:sz="0" w:space="0" w:color="auto"/>
        <w:left w:val="none" w:sz="0" w:space="0" w:color="auto"/>
        <w:bottom w:val="none" w:sz="0" w:space="0" w:color="auto"/>
        <w:right w:val="none" w:sz="0" w:space="0" w:color="auto"/>
      </w:divBdr>
    </w:div>
    <w:div w:id="262538463">
      <w:bodyDiv w:val="1"/>
      <w:marLeft w:val="0"/>
      <w:marRight w:val="0"/>
      <w:marTop w:val="0"/>
      <w:marBottom w:val="0"/>
      <w:divBdr>
        <w:top w:val="none" w:sz="0" w:space="0" w:color="auto"/>
        <w:left w:val="none" w:sz="0" w:space="0" w:color="auto"/>
        <w:bottom w:val="none" w:sz="0" w:space="0" w:color="auto"/>
        <w:right w:val="none" w:sz="0" w:space="0" w:color="auto"/>
      </w:divBdr>
    </w:div>
    <w:div w:id="1295676917">
      <w:bodyDiv w:val="1"/>
      <w:marLeft w:val="0"/>
      <w:marRight w:val="0"/>
      <w:marTop w:val="0"/>
      <w:marBottom w:val="0"/>
      <w:divBdr>
        <w:top w:val="none" w:sz="0" w:space="0" w:color="auto"/>
        <w:left w:val="none" w:sz="0" w:space="0" w:color="auto"/>
        <w:bottom w:val="none" w:sz="0" w:space="0" w:color="auto"/>
        <w:right w:val="none" w:sz="0" w:space="0" w:color="auto"/>
      </w:divBdr>
    </w:div>
    <w:div w:id="1874151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D4304DD3F94C5A99244F305A84BE72"/>
        <w:category>
          <w:name w:val="General"/>
          <w:gallery w:val="placeholder"/>
        </w:category>
        <w:types>
          <w:type w:val="bbPlcHdr"/>
        </w:types>
        <w:behaviors>
          <w:behavior w:val="content"/>
        </w:behaviors>
        <w:guid w:val="{9B3E7D64-CB56-4B8A-BE46-013DD5A9C05D}"/>
      </w:docPartPr>
      <w:docPartBody>
        <w:p w:rsidR="00807253" w:rsidRDefault="007F5E11" w:rsidP="007F5E11">
          <w:pPr>
            <w:pStyle w:val="CAD4304DD3F94C5A99244F305A84BE72"/>
          </w:pPr>
          <w:r w:rsidRPr="00867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1"/>
    <w:rsid w:val="007F5E11"/>
    <w:rsid w:val="00807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E11"/>
  </w:style>
  <w:style w:type="paragraph" w:customStyle="1" w:styleId="360767E1132A4894BEB4EDC0F2337034">
    <w:name w:val="360767E1132A4894BEB4EDC0F2337034"/>
    <w:rsid w:val="007F5E11"/>
  </w:style>
  <w:style w:type="paragraph" w:customStyle="1" w:styleId="CAD4304DD3F94C5A99244F305A84BE72">
    <w:name w:val="CAD4304DD3F94C5A99244F305A84BE72"/>
    <w:rsid w:val="007F5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28329" ma:contentTypeDescription=" " ma:contentTypeScope="" ma:versionID="e9d0d946c49d07804d15deba41ae0e0b">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2019FG-64-58468</_dlc_DocId>
    <_dlc_DocIdUrl xmlns="0f563589-9cf9-4143-b1eb-fb0534803d38">
      <Url>http://tweb/sites/fg/csrd/_layouts/15/DocIdRedir.aspx?ID=2019FG-64-58468</Url>
      <Description>2019FG-64-58468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6BF8-F758-4017-8FC5-2C4F4CF49793}">
  <ds:schemaRefs>
    <ds:schemaRef ds:uri="Microsoft.SharePoint.Taxonomy.ContentTypeSync"/>
  </ds:schemaRefs>
</ds:datastoreItem>
</file>

<file path=customXml/itemProps2.xml><?xml version="1.0" encoding="utf-8"?>
<ds:datastoreItem xmlns:ds="http://schemas.openxmlformats.org/officeDocument/2006/customXml" ds:itemID="{BE475156-FEA6-4E84-AA9F-22D63F8F3F6F}">
  <ds:schemaRefs>
    <ds:schemaRef ds:uri="http://schemas.microsoft.com/sharepoint/v3/contenttype/forms"/>
  </ds:schemaRefs>
</ds:datastoreItem>
</file>

<file path=customXml/itemProps3.xml><?xml version="1.0" encoding="utf-8"?>
<ds:datastoreItem xmlns:ds="http://schemas.openxmlformats.org/officeDocument/2006/customXml" ds:itemID="{A796CD5E-4747-4B1C-8FE8-5FAEF640CBC9}">
  <ds:schemaRefs>
    <ds:schemaRef ds:uri="office.server.policy"/>
  </ds:schemaRefs>
</ds:datastoreItem>
</file>

<file path=customXml/itemProps4.xml><?xml version="1.0" encoding="utf-8"?>
<ds:datastoreItem xmlns:ds="http://schemas.openxmlformats.org/officeDocument/2006/customXml" ds:itemID="{24E5A319-BAE3-4825-9D45-CB2A3398CF14}"/>
</file>

<file path=customXml/itemProps5.xml><?xml version="1.0" encoding="utf-8"?>
<ds:datastoreItem xmlns:ds="http://schemas.openxmlformats.org/officeDocument/2006/customXml" ds:itemID="{8F6C4F51-1BA9-44E5-BEB7-4D531B13251E}">
  <ds:schemaRefs>
    <ds:schemaRef ds:uri="http://schemas.microsoft.com/sharepoint/events"/>
  </ds:schemaRefs>
</ds:datastoreItem>
</file>

<file path=customXml/itemProps6.xml><?xml version="1.0" encoding="utf-8"?>
<ds:datastoreItem xmlns:ds="http://schemas.openxmlformats.org/officeDocument/2006/customXml" ds:itemID="{E99174F4-53E3-4918-BB72-11E7A81C7286}">
  <ds:schemaRefs>
    <ds:schemaRef ds:uri="http://purl.org/dc/dcmitype/"/>
    <ds:schemaRef ds:uri="0f563589-9cf9-4143-b1eb-fb0534803d38"/>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3"/>
    <ds:schemaRef ds:uri="http://schemas.openxmlformats.org/package/2006/metadata/core-properties"/>
    <ds:schemaRef ds:uri="http://schemas.microsoft.com/sharepoint/v4"/>
    <ds:schemaRef ds:uri="e544e5cc-ab70-42e1-849e-1a0f8bb1f4ef"/>
  </ds:schemaRefs>
</ds:datastoreItem>
</file>

<file path=customXml/itemProps7.xml><?xml version="1.0" encoding="utf-8"?>
<ds:datastoreItem xmlns:ds="http://schemas.openxmlformats.org/officeDocument/2006/customXml" ds:itemID="{EE6CCEA6-EF5F-4377-88E9-67915D93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5858</Words>
  <Characters>33441</Characters>
  <Application>Microsoft Office Word</Application>
  <DocSecurity>0</DocSecurity>
  <Lines>1363</Lines>
  <Paragraphs>584</Paragraphs>
  <ScaleCrop>false</ScaleCrop>
  <HeadingPairs>
    <vt:vector size="2" baseType="variant">
      <vt:variant>
        <vt:lpstr>Title</vt:lpstr>
      </vt:variant>
      <vt:variant>
        <vt:i4>1</vt:i4>
      </vt:variant>
    </vt:vector>
  </HeadingPairs>
  <TitlesOfParts>
    <vt:vector size="1" baseType="lpstr">
      <vt:lpstr>Children and Schooling Implementation Plan </vt:lpstr>
    </vt:vector>
  </TitlesOfParts>
  <Company>Australian Government - The Treasury</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Schooling Implementation Plan </dc:title>
  <dc:subject/>
  <dc:creator>Council on Federal Financial Relations</dc:creator>
  <cp:keywords/>
  <dc:description/>
  <cp:lastModifiedBy>Hill, Christine</cp:lastModifiedBy>
  <cp:revision>3</cp:revision>
  <cp:lastPrinted>2018-03-28T08:52:00Z</cp:lastPrinted>
  <dcterms:created xsi:type="dcterms:W3CDTF">2019-02-22T00:10:00Z</dcterms:created>
  <dcterms:modified xsi:type="dcterms:W3CDTF">2019-04-26T02:12:00Z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becf4b50-0291-457d-b420-899c409818ea</vt:lpwstr>
  </property>
  <property fmtid="{D5CDD505-2E9C-101B-9397-08002B2CF9AE}" pid="3" name="ContentTypeId">
    <vt:lpwstr>0x010100348D01E61E107C4DA4B97E380EA20D47005CDF45B49E80F24CAD80DFC012154DA9</vt:lpwstr>
  </property>
  <property fmtid="{D5CDD505-2E9C-101B-9397-08002B2CF9AE}" pid="4" name="TSYRecordClass">
    <vt:lpwstr>2;#TSY RA-8748 - Retain as national archives|243f2231-dbfc-4282-b24a-c9b768286bd0</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{4435c73b-6585-4bc2-a76a-5d21b1a02e06}</vt:lpwstr>
  </property>
  <property fmtid="{D5CDD505-2E9C-101B-9397-08002B2CF9AE}" pid="8" name="RecordPoint_ActiveItemUniqueId">
    <vt:lpwstr>{becf4b50-0291-457d-b420-899c409818ea}</vt:lpwstr>
  </property>
  <property fmtid="{D5CDD505-2E9C-101B-9397-08002B2CF9AE}" pid="9" name="RecordPoint_ActiveItemWebId">
    <vt:lpwstr>{a4589788-615f-4b8b-8296-7f9f6dfbab44}</vt:lpwstr>
  </property>
  <property fmtid="{D5CDD505-2E9C-101B-9397-08002B2CF9AE}" pid="10" name="RecordPoint_RecordNumberSubmitted">
    <vt:lpwstr>R0002258726</vt:lpwstr>
  </property>
  <property fmtid="{D5CDD505-2E9C-101B-9397-08002B2CF9AE}" pid="11" name="RecordPoint_SubmissionCompleted">
    <vt:lpwstr>2020-04-30T13:06:24.6431691+10:00</vt:lpwstr>
  </property>
</Properties>
</file>