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rsidRPr="00613427" w14:paraId="2165E581" w14:textId="77777777">
        <w:tc>
          <w:tcPr>
            <w:tcW w:w="5000" w:type="pct"/>
            <w:gridSpan w:val="2"/>
          </w:tcPr>
          <w:p w14:paraId="6E71DE31" w14:textId="77777777" w:rsidR="00814667" w:rsidRPr="00613427" w:rsidRDefault="00814667" w:rsidP="00353DED">
            <w:pPr>
              <w:pStyle w:val="CoverTitleMain"/>
            </w:pPr>
            <w:bookmarkStart w:id="0" w:name="_GoBack"/>
            <w:bookmarkEnd w:id="0"/>
            <w:r w:rsidRPr="00613427">
              <w:t>Nat</w:t>
            </w:r>
            <w:r w:rsidR="007A6E20" w:rsidRPr="00613427">
              <w:t xml:space="preserve">ional partnership </w:t>
            </w:r>
            <w:r w:rsidR="00C7093C" w:rsidRPr="00613427">
              <w:t>on</w:t>
            </w:r>
            <w:r w:rsidR="00353DED" w:rsidRPr="00613427">
              <w:t xml:space="preserve"> The</w:t>
            </w:r>
            <w:r w:rsidR="0059362E" w:rsidRPr="00613427">
              <w:t xml:space="preserve"> </w:t>
            </w:r>
            <w:r w:rsidR="00353DED" w:rsidRPr="00613427">
              <w:t>Skilling Australians Fund</w:t>
            </w:r>
          </w:p>
        </w:tc>
      </w:tr>
      <w:tr w:rsidR="00814667" w:rsidRPr="00613427" w14:paraId="073D766A" w14:textId="77777777" w:rsidTr="0059362E">
        <w:trPr>
          <w:trHeight w:val="1585"/>
        </w:trPr>
        <w:tc>
          <w:tcPr>
            <w:tcW w:w="5000" w:type="pct"/>
            <w:gridSpan w:val="2"/>
            <w:vAlign w:val="bottom"/>
          </w:tcPr>
          <w:p w14:paraId="5D224853" w14:textId="77777777" w:rsidR="00814667" w:rsidRPr="00613427" w:rsidRDefault="00814667">
            <w:pPr>
              <w:pStyle w:val="AgreementHeading"/>
              <w:tabs>
                <w:tab w:val="clear" w:pos="1134"/>
              </w:tabs>
            </w:pPr>
            <w:r w:rsidRPr="00613427">
              <w:t>An agreement between</w:t>
            </w:r>
          </w:p>
        </w:tc>
      </w:tr>
      <w:tr w:rsidR="00814667" w:rsidRPr="00613427" w14:paraId="582D33D6" w14:textId="77777777">
        <w:tc>
          <w:tcPr>
            <w:tcW w:w="767" w:type="pct"/>
          </w:tcPr>
          <w:p w14:paraId="5BF48750" w14:textId="77777777" w:rsidR="00814667" w:rsidRPr="00613427" w:rsidRDefault="00814667">
            <w:pPr>
              <w:pStyle w:val="AgreementHeading"/>
              <w:tabs>
                <w:tab w:val="clear" w:pos="1134"/>
              </w:tabs>
              <w:ind w:left="522"/>
            </w:pPr>
          </w:p>
        </w:tc>
        <w:tc>
          <w:tcPr>
            <w:tcW w:w="4233" w:type="pct"/>
          </w:tcPr>
          <w:p w14:paraId="4EF7FADA" w14:textId="77777777" w:rsidR="00814667" w:rsidRPr="00613427" w:rsidRDefault="00814667">
            <w:pPr>
              <w:pStyle w:val="AgreementParties"/>
            </w:pPr>
            <w:r w:rsidRPr="00613427">
              <w:t xml:space="preserve">the </w:t>
            </w:r>
            <w:r w:rsidRPr="00613427">
              <w:rPr>
                <w:rStyle w:val="Bold"/>
              </w:rPr>
              <w:t>Commonwealth of Australia</w:t>
            </w:r>
            <w:r w:rsidRPr="00613427">
              <w:t xml:space="preserve"> and</w:t>
            </w:r>
          </w:p>
          <w:p w14:paraId="1A5F6187" w14:textId="77777777" w:rsidR="00814667" w:rsidRPr="00613427" w:rsidRDefault="00814667">
            <w:pPr>
              <w:pStyle w:val="AgreementParties"/>
            </w:pPr>
            <w:r w:rsidRPr="00613427">
              <w:t xml:space="preserve">the </w:t>
            </w:r>
            <w:r w:rsidRPr="00613427">
              <w:rPr>
                <w:rStyle w:val="Bold"/>
              </w:rPr>
              <w:t>States and Territories</w:t>
            </w:r>
            <w:r w:rsidRPr="00613427">
              <w:t>, being:</w:t>
            </w:r>
          </w:p>
        </w:tc>
      </w:tr>
      <w:tr w:rsidR="00814667" w:rsidRPr="00613427" w14:paraId="3EFB64F6" w14:textId="77777777">
        <w:tc>
          <w:tcPr>
            <w:tcW w:w="767" w:type="pct"/>
          </w:tcPr>
          <w:p w14:paraId="592A70A2" w14:textId="77777777" w:rsidR="00814667" w:rsidRPr="00613427" w:rsidRDefault="00814667">
            <w:pPr>
              <w:pStyle w:val="SingleParagraph"/>
              <w:tabs>
                <w:tab w:val="num" w:pos="1134"/>
              </w:tabs>
              <w:spacing w:after="240"/>
              <w:ind w:left="1134" w:hanging="567"/>
            </w:pPr>
          </w:p>
        </w:tc>
        <w:tc>
          <w:tcPr>
            <w:tcW w:w="4233" w:type="pct"/>
            <w:tcBorders>
              <w:left w:val="nil"/>
            </w:tcBorders>
          </w:tcPr>
          <w:p w14:paraId="4C2FD32A" w14:textId="77777777" w:rsidR="00814667" w:rsidRPr="00613427" w:rsidRDefault="00814667" w:rsidP="00D508FD">
            <w:pPr>
              <w:pStyle w:val="StatesList"/>
              <w:numPr>
                <w:ilvl w:val="0"/>
                <w:numId w:val="7"/>
              </w:numPr>
            </w:pPr>
            <w:r w:rsidRPr="00613427">
              <w:t>New South Wales</w:t>
            </w:r>
          </w:p>
          <w:p w14:paraId="61C4C3B4" w14:textId="77777777" w:rsidR="00814667" w:rsidRPr="00613427" w:rsidRDefault="00814667" w:rsidP="00D508FD">
            <w:pPr>
              <w:pStyle w:val="StatesList"/>
              <w:numPr>
                <w:ilvl w:val="0"/>
                <w:numId w:val="7"/>
              </w:numPr>
            </w:pPr>
            <w:r w:rsidRPr="00613427">
              <w:t>Victoria</w:t>
            </w:r>
          </w:p>
          <w:p w14:paraId="5494BB3D" w14:textId="77777777" w:rsidR="00814667" w:rsidRPr="00613427" w:rsidRDefault="00814667" w:rsidP="00D508FD">
            <w:pPr>
              <w:pStyle w:val="StatesList"/>
              <w:numPr>
                <w:ilvl w:val="0"/>
                <w:numId w:val="7"/>
              </w:numPr>
            </w:pPr>
            <w:r w:rsidRPr="00613427">
              <w:t>Queensland</w:t>
            </w:r>
          </w:p>
          <w:p w14:paraId="68DFEDBF" w14:textId="77777777" w:rsidR="00814667" w:rsidRPr="00613427" w:rsidRDefault="00814667" w:rsidP="00D508FD">
            <w:pPr>
              <w:pStyle w:val="StatesList"/>
              <w:numPr>
                <w:ilvl w:val="0"/>
                <w:numId w:val="7"/>
              </w:numPr>
            </w:pPr>
            <w:r w:rsidRPr="00613427">
              <w:t>Western Australia</w:t>
            </w:r>
          </w:p>
          <w:p w14:paraId="71B0A960" w14:textId="77777777" w:rsidR="00814667" w:rsidRPr="00613427" w:rsidRDefault="00814667" w:rsidP="00D508FD">
            <w:pPr>
              <w:pStyle w:val="StatesList"/>
              <w:numPr>
                <w:ilvl w:val="0"/>
                <w:numId w:val="7"/>
              </w:numPr>
            </w:pPr>
            <w:r w:rsidRPr="00613427">
              <w:t>South Australia</w:t>
            </w:r>
          </w:p>
          <w:p w14:paraId="215EC4C8" w14:textId="77777777" w:rsidR="00814667" w:rsidRPr="00613427" w:rsidRDefault="00814667" w:rsidP="00D508FD">
            <w:pPr>
              <w:pStyle w:val="StatesList"/>
              <w:numPr>
                <w:ilvl w:val="0"/>
                <w:numId w:val="7"/>
              </w:numPr>
            </w:pPr>
            <w:r w:rsidRPr="00613427">
              <w:t>Tasmania</w:t>
            </w:r>
          </w:p>
          <w:p w14:paraId="4BAFFEB4" w14:textId="77777777" w:rsidR="00814667" w:rsidRPr="00613427" w:rsidRDefault="006B2D1B" w:rsidP="00D508FD">
            <w:pPr>
              <w:pStyle w:val="StatesList"/>
              <w:numPr>
                <w:ilvl w:val="0"/>
                <w:numId w:val="7"/>
              </w:numPr>
            </w:pPr>
            <w:r w:rsidRPr="00613427">
              <w:t>t</w:t>
            </w:r>
            <w:r w:rsidR="00814667" w:rsidRPr="00613427">
              <w:t>he Australian Capital Territory</w:t>
            </w:r>
          </w:p>
          <w:p w14:paraId="39CB1542" w14:textId="77777777" w:rsidR="00EC215C" w:rsidRPr="00613427" w:rsidRDefault="006B2D1B" w:rsidP="0059362E">
            <w:pPr>
              <w:pStyle w:val="StatesList"/>
              <w:numPr>
                <w:ilvl w:val="0"/>
                <w:numId w:val="7"/>
              </w:numPr>
            </w:pPr>
            <w:r w:rsidRPr="00613427">
              <w:t>the Northern Territory</w:t>
            </w:r>
          </w:p>
        </w:tc>
      </w:tr>
      <w:tr w:rsidR="00814667" w:rsidRPr="00613427" w14:paraId="03AF3703" w14:textId="77777777" w:rsidTr="0059362E">
        <w:trPr>
          <w:trHeight w:val="4400"/>
        </w:trPr>
        <w:tc>
          <w:tcPr>
            <w:tcW w:w="5000" w:type="pct"/>
            <w:gridSpan w:val="2"/>
            <w:vAlign w:val="bottom"/>
          </w:tcPr>
          <w:p w14:paraId="4D5CFEFE" w14:textId="77777777" w:rsidR="00814667" w:rsidRPr="00613427" w:rsidRDefault="00895B61" w:rsidP="00034540">
            <w:pPr>
              <w:pStyle w:val="Abstract"/>
              <w:spacing w:before="0"/>
              <w:jc w:val="left"/>
            </w:pPr>
            <w:r w:rsidRPr="00613427">
              <w:t xml:space="preserve">This Agreement will contribute to </w:t>
            </w:r>
            <w:r w:rsidR="009F2E38" w:rsidRPr="00613427">
              <w:t>improved</w:t>
            </w:r>
            <w:r w:rsidRPr="00613427">
              <w:t xml:space="preserve"> employment outcomes by</w:t>
            </w:r>
            <w:r w:rsidR="00295A38" w:rsidRPr="00613427">
              <w:t xml:space="preserve"> supporting Australians to obtain the skills and training they need </w:t>
            </w:r>
            <w:r w:rsidR="00034540" w:rsidRPr="00613427">
              <w:t xml:space="preserve">and </w:t>
            </w:r>
            <w:r w:rsidRPr="00613427">
              <w:t xml:space="preserve">increasing the uptake of </w:t>
            </w:r>
            <w:r w:rsidR="00180E44" w:rsidRPr="00613427">
              <w:t>apprenticeships and traineeships</w:t>
            </w:r>
            <w:r w:rsidR="00295A38" w:rsidRPr="00613427">
              <w:t>, pre-apprenticeships, pre-traineeships, higher-apprenticeships,</w:t>
            </w:r>
            <w:r w:rsidR="00180E44" w:rsidRPr="00613427">
              <w:t xml:space="preserve"> and other </w:t>
            </w:r>
            <w:r w:rsidRPr="00613427">
              <w:t>relevant employment related training</w:t>
            </w:r>
            <w:r w:rsidR="00806F09" w:rsidRPr="00613427" w:rsidDel="00023745">
              <w:t>.</w:t>
            </w:r>
          </w:p>
        </w:tc>
      </w:tr>
    </w:tbl>
    <w:p w14:paraId="73DE0E4E" w14:textId="77777777" w:rsidR="00814667" w:rsidRPr="00613427" w:rsidRDefault="007A6E20" w:rsidP="00D836BA">
      <w:pPr>
        <w:pStyle w:val="Title"/>
        <w:pageBreakBefore/>
      </w:pPr>
      <w:r w:rsidRPr="00613427">
        <w:lastRenderedPageBreak/>
        <w:t>National Partnership</w:t>
      </w:r>
      <w:r w:rsidR="0059362E" w:rsidRPr="00613427">
        <w:t xml:space="preserve"> </w:t>
      </w:r>
      <w:r w:rsidR="00814667" w:rsidRPr="00613427">
        <w:t>on</w:t>
      </w:r>
      <w:r w:rsidR="00C7093C" w:rsidRPr="00613427">
        <w:t xml:space="preserve"> </w:t>
      </w:r>
      <w:r w:rsidR="00353DED" w:rsidRPr="00613427">
        <w:t>the Skilling Australians Fund</w:t>
      </w:r>
    </w:p>
    <w:p w14:paraId="28D7CA96" w14:textId="77777777" w:rsidR="003D26BA" w:rsidRPr="00613427" w:rsidRDefault="00F1611B" w:rsidP="00D836BA">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rsidRPr="00613427">
        <w:t>overview</w:t>
      </w:r>
    </w:p>
    <w:p w14:paraId="7983A6E5" w14:textId="77777777" w:rsidR="00C960AA" w:rsidRPr="00613427" w:rsidRDefault="00C960AA" w:rsidP="00D836B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613427">
        <w:rPr>
          <w:color w:val="auto"/>
        </w:rPr>
        <w:t xml:space="preserve">This National Partnership (the Agreement) is created subject to the provisions of the Intergovernmental Agreement on Federal Financial Relations </w:t>
      </w:r>
      <w:r w:rsidR="00E31BCF" w:rsidRPr="00613427">
        <w:rPr>
          <w:color w:val="auto"/>
        </w:rPr>
        <w:t xml:space="preserve">(IGA FFR) </w:t>
      </w:r>
      <w:r w:rsidRPr="00613427">
        <w:rPr>
          <w:color w:val="auto"/>
        </w:rPr>
        <w:t xml:space="preserve">and should be read in conjunction with that Agreement and </w:t>
      </w:r>
      <w:r w:rsidR="001C346E" w:rsidRPr="00613427">
        <w:rPr>
          <w:color w:val="auto"/>
        </w:rPr>
        <w:t>its</w:t>
      </w:r>
      <w:r w:rsidRPr="00613427">
        <w:rPr>
          <w:color w:val="auto"/>
        </w:rPr>
        <w:t xml:space="preserve"> </w:t>
      </w:r>
      <w:r w:rsidR="001C346E" w:rsidRPr="00613427">
        <w:rPr>
          <w:color w:val="auto"/>
        </w:rPr>
        <w:t>S</w:t>
      </w:r>
      <w:r w:rsidRPr="00613427">
        <w:rPr>
          <w:color w:val="auto"/>
        </w:rPr>
        <w:t>chedules</w:t>
      </w:r>
      <w:r w:rsidR="001C346E" w:rsidRPr="00613427">
        <w:rPr>
          <w:color w:val="auto"/>
        </w:rPr>
        <w:t xml:space="preserve">, which provide information in relation to </w:t>
      </w:r>
      <w:proofErr w:type="gramStart"/>
      <w:r w:rsidRPr="00613427">
        <w:rPr>
          <w:color w:val="auto"/>
        </w:rPr>
        <w:t>performance</w:t>
      </w:r>
      <w:proofErr w:type="gramEnd"/>
      <w:r w:rsidRPr="00613427">
        <w:rPr>
          <w:color w:val="auto"/>
        </w:rPr>
        <w:t xml:space="preserve"> reporting and payment arrangements</w:t>
      </w:r>
      <w:r w:rsidR="001C346E" w:rsidRPr="00613427">
        <w:rPr>
          <w:color w:val="auto"/>
        </w:rPr>
        <w:t xml:space="preserve"> under the IGA</w:t>
      </w:r>
      <w:r w:rsidR="00E31BCF" w:rsidRPr="00613427">
        <w:rPr>
          <w:color w:val="auto"/>
        </w:rPr>
        <w:t xml:space="preserve"> FFR</w:t>
      </w:r>
      <w:r w:rsidRPr="00613427">
        <w:rPr>
          <w:color w:val="auto"/>
        </w:rPr>
        <w:t>.</w:t>
      </w:r>
    </w:p>
    <w:p w14:paraId="4AA68731" w14:textId="77777777" w:rsidR="00FE4A16" w:rsidRPr="00613427" w:rsidRDefault="00FE4A16" w:rsidP="00D836B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613427">
        <w:rPr>
          <w:rFonts w:cs="Arial"/>
          <w:b/>
          <w:bCs/>
          <w:iCs/>
          <w:color w:val="3D4B67"/>
          <w:sz w:val="29"/>
          <w:szCs w:val="28"/>
        </w:rPr>
        <w:t>Purpose</w:t>
      </w:r>
    </w:p>
    <w:p w14:paraId="719D4122" w14:textId="77777777" w:rsidR="00255E8B" w:rsidRPr="00613427" w:rsidRDefault="00E7195E" w:rsidP="00D836B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613427">
        <w:rPr>
          <w:color w:val="auto"/>
        </w:rPr>
        <w:t xml:space="preserve">In entering this Agreement, the Commonwealth </w:t>
      </w:r>
      <w:r w:rsidR="00715018" w:rsidRPr="00613427">
        <w:rPr>
          <w:color w:val="auto"/>
        </w:rPr>
        <w:t>and the States and Territories (</w:t>
      </w:r>
      <w:r w:rsidRPr="00613427">
        <w:rPr>
          <w:color w:val="auto"/>
        </w:rPr>
        <w:t xml:space="preserve">the States) recognise that they have a </w:t>
      </w:r>
      <w:r w:rsidR="00BE4113" w:rsidRPr="00613427">
        <w:rPr>
          <w:color w:val="auto"/>
        </w:rPr>
        <w:t>mutual interest in improving outcomes in vocation</w:t>
      </w:r>
      <w:r w:rsidR="00C7088F" w:rsidRPr="00613427">
        <w:rPr>
          <w:color w:val="auto"/>
        </w:rPr>
        <w:t>al</w:t>
      </w:r>
      <w:r w:rsidR="00BE4113" w:rsidRPr="00613427">
        <w:rPr>
          <w:color w:val="auto"/>
        </w:rPr>
        <w:t xml:space="preserve"> education and training, including through </w:t>
      </w:r>
      <w:r w:rsidR="007B5E3F" w:rsidRPr="00613427">
        <w:rPr>
          <w:color w:val="auto"/>
        </w:rPr>
        <w:t xml:space="preserve">a high quality vocational education and training system </w:t>
      </w:r>
      <w:r w:rsidR="00BE4113" w:rsidRPr="00613427">
        <w:rPr>
          <w:color w:val="auto"/>
        </w:rPr>
        <w:t>that</w:t>
      </w:r>
      <w:r w:rsidR="007B5E3F" w:rsidRPr="00613427">
        <w:rPr>
          <w:color w:val="auto"/>
        </w:rPr>
        <w:t xml:space="preserve"> </w:t>
      </w:r>
      <w:r w:rsidR="005402BC" w:rsidRPr="00613427">
        <w:rPr>
          <w:color w:val="auto"/>
        </w:rPr>
        <w:t>contribute</w:t>
      </w:r>
      <w:r w:rsidR="00BE4113" w:rsidRPr="00613427">
        <w:rPr>
          <w:color w:val="auto"/>
        </w:rPr>
        <w:t>s</w:t>
      </w:r>
      <w:r w:rsidR="005402BC" w:rsidRPr="00613427">
        <w:rPr>
          <w:color w:val="auto"/>
        </w:rPr>
        <w:t xml:space="preserve"> to Australia’s economic productivity and </w:t>
      </w:r>
      <w:r w:rsidR="006172E7" w:rsidRPr="00613427">
        <w:rPr>
          <w:color w:val="auto"/>
        </w:rPr>
        <w:t>growth</w:t>
      </w:r>
      <w:r w:rsidR="00034540" w:rsidRPr="00613427">
        <w:rPr>
          <w:color w:val="auto"/>
        </w:rPr>
        <w:t>, and need to work together to achieve those outcomes</w:t>
      </w:r>
      <w:r w:rsidR="007B5E3F" w:rsidRPr="00613427">
        <w:rPr>
          <w:color w:val="auto"/>
        </w:rPr>
        <w:t>.</w:t>
      </w:r>
    </w:p>
    <w:p w14:paraId="38D8A97E" w14:textId="77777777" w:rsidR="00255E8B" w:rsidRPr="00613427" w:rsidRDefault="00852ED8" w:rsidP="00D836B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613427">
        <w:rPr>
          <w:color w:val="auto"/>
        </w:rPr>
        <w:t>This Agreement will contribute to</w:t>
      </w:r>
      <w:r w:rsidR="00FB199F" w:rsidRPr="00613427">
        <w:rPr>
          <w:color w:val="auto"/>
        </w:rPr>
        <w:t xml:space="preserve"> </w:t>
      </w:r>
      <w:r w:rsidR="00A401D1" w:rsidRPr="00613427">
        <w:rPr>
          <w:color w:val="auto"/>
        </w:rPr>
        <w:t>improved</w:t>
      </w:r>
      <w:r w:rsidR="00FB199F" w:rsidRPr="00613427">
        <w:rPr>
          <w:color w:val="auto"/>
        </w:rPr>
        <w:t xml:space="preserve"> </w:t>
      </w:r>
      <w:r w:rsidR="00FB199F" w:rsidRPr="00613427">
        <w:t xml:space="preserve">employment outcomes by supporting Australians to obtain the skills and training they need for jobs in demand through increasing the uptake of </w:t>
      </w:r>
      <w:r w:rsidR="0059362E" w:rsidRPr="00613427">
        <w:t xml:space="preserve">apprenticeships and traineeships and other </w:t>
      </w:r>
      <w:r w:rsidR="00FB199F" w:rsidRPr="00613427">
        <w:t>releva</w:t>
      </w:r>
      <w:r w:rsidR="005402BC" w:rsidRPr="00613427">
        <w:t>nt employment</w:t>
      </w:r>
      <w:r w:rsidR="007E5FC1" w:rsidRPr="00613427">
        <w:t>-</w:t>
      </w:r>
      <w:r w:rsidR="005402BC" w:rsidRPr="00613427">
        <w:t>related training.</w:t>
      </w:r>
    </w:p>
    <w:p w14:paraId="6AEB0F14" w14:textId="77777777" w:rsidR="00FE4A16" w:rsidRPr="00613427" w:rsidRDefault="00FE4A16" w:rsidP="00D836B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613427">
        <w:rPr>
          <w:rFonts w:cs="Arial"/>
          <w:b/>
          <w:bCs/>
          <w:iCs/>
          <w:color w:val="3D4B67"/>
          <w:sz w:val="29"/>
          <w:szCs w:val="28"/>
        </w:rPr>
        <w:t>Reporting Arrangements</w:t>
      </w:r>
    </w:p>
    <w:p w14:paraId="56AE56F8" w14:textId="77777777" w:rsidR="00FE4A16" w:rsidRPr="00613427" w:rsidRDefault="00935CB8" w:rsidP="00D836B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b/>
          <w:color w:val="3D4B67"/>
          <w:sz w:val="29"/>
        </w:rPr>
      </w:pPr>
      <w:r w:rsidRPr="00613427">
        <w:t>The States will report</w:t>
      </w:r>
      <w:r w:rsidR="00F80AAE" w:rsidRPr="00613427">
        <w:t xml:space="preserve"> </w:t>
      </w:r>
      <w:r w:rsidR="008A63FE" w:rsidRPr="00613427">
        <w:t xml:space="preserve">the minimum required to demonstrate that performance benchmarks </w:t>
      </w:r>
      <w:r w:rsidR="0017093A" w:rsidRPr="00613427">
        <w:t xml:space="preserve">and milestones </w:t>
      </w:r>
      <w:r w:rsidR="008A63FE" w:rsidRPr="00613427">
        <w:t xml:space="preserve">have been met during the operation of the Agreement, </w:t>
      </w:r>
      <w:r w:rsidR="0059362E" w:rsidRPr="00613427">
        <w:t>that is</w:t>
      </w:r>
      <w:r w:rsidR="00BE4113" w:rsidRPr="00613427">
        <w:t>,</w:t>
      </w:r>
      <w:r w:rsidR="00A72761" w:rsidRPr="00613427">
        <w:t xml:space="preserve"> no</w:t>
      </w:r>
      <w:r w:rsidR="00BE4113" w:rsidRPr="00613427">
        <w:t>t</w:t>
      </w:r>
      <w:r w:rsidR="00A72761" w:rsidRPr="00613427">
        <w:t xml:space="preserve"> more frequent than six monthly</w:t>
      </w:r>
      <w:r w:rsidR="0059362E" w:rsidRPr="00613427">
        <w:t xml:space="preserve">, </w:t>
      </w:r>
      <w:r w:rsidRPr="00613427">
        <w:t xml:space="preserve">as set out in </w:t>
      </w:r>
      <w:r w:rsidR="008C5DB3" w:rsidRPr="00613427">
        <w:fldChar w:fldCharType="begin"/>
      </w:r>
      <w:r w:rsidR="008C5DB3" w:rsidRPr="00613427">
        <w:instrText xml:space="preserve"> REF _Ref496535994 </w:instrText>
      </w:r>
      <w:r w:rsidR="00D836BA" w:rsidRPr="00613427">
        <w:instrText xml:space="preserve"> \* MERGEFORMAT </w:instrText>
      </w:r>
      <w:r w:rsidR="008C5DB3" w:rsidRPr="00613427">
        <w:fldChar w:fldCharType="separate"/>
      </w:r>
      <w:r w:rsidR="00DF2EA9" w:rsidRPr="00613427">
        <w:t>Part 4 — Performance Monitoring and Reporting</w:t>
      </w:r>
      <w:r w:rsidR="008C5DB3" w:rsidRPr="00613427">
        <w:fldChar w:fldCharType="end"/>
      </w:r>
      <w:r w:rsidR="00A401D1" w:rsidRPr="00613427">
        <w:t>.</w:t>
      </w:r>
    </w:p>
    <w:p w14:paraId="794B46BA" w14:textId="77777777" w:rsidR="00FE4A16" w:rsidRPr="00613427" w:rsidRDefault="00FE4A16" w:rsidP="00D836B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613427">
        <w:rPr>
          <w:rFonts w:cs="Arial"/>
          <w:b/>
          <w:bCs/>
          <w:iCs/>
          <w:color w:val="3D4B67"/>
          <w:sz w:val="29"/>
          <w:szCs w:val="28"/>
        </w:rPr>
        <w:t xml:space="preserve">Financial </w:t>
      </w:r>
      <w:r w:rsidR="003D26BA" w:rsidRPr="00613427">
        <w:rPr>
          <w:rFonts w:cs="Arial"/>
          <w:b/>
          <w:bCs/>
          <w:iCs/>
          <w:color w:val="3D4B67"/>
          <w:sz w:val="29"/>
          <w:szCs w:val="28"/>
        </w:rPr>
        <w:t>Arrangements</w:t>
      </w:r>
    </w:p>
    <w:p w14:paraId="57E53738" w14:textId="77777777" w:rsidR="0019494F" w:rsidRPr="00613427" w:rsidRDefault="0019494F" w:rsidP="00DC3002">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b/>
          <w:color w:val="3D4B67"/>
          <w:sz w:val="29"/>
        </w:rPr>
      </w:pPr>
      <w:r w:rsidRPr="00613427">
        <w:t>The Skilling Australian</w:t>
      </w:r>
      <w:r w:rsidR="00904D03" w:rsidRPr="00613427">
        <w:t>s</w:t>
      </w:r>
      <w:r w:rsidRPr="00613427">
        <w:t xml:space="preserve"> Fund (the Fund) has been established to ensure that the businesses that benefit from employing skilled migrants are also skilling Australians.  Employers that sponsor migrants under the new temporary skill shortage visa and certain permanent skills </w:t>
      </w:r>
      <w:proofErr w:type="gramStart"/>
      <w:r w:rsidRPr="00613427">
        <w:t>visas,</w:t>
      </w:r>
      <w:proofErr w:type="gramEnd"/>
      <w:r w:rsidRPr="00613427">
        <w:t xml:space="preserve"> will be required to pay a levy to generate revenue for the Fund.</w:t>
      </w:r>
    </w:p>
    <w:p w14:paraId="0F843D88" w14:textId="77777777" w:rsidR="00A72761" w:rsidRPr="00613427" w:rsidRDefault="001B7AE5" w:rsidP="0081681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613427">
        <w:t xml:space="preserve">As set out in Part 5 – Financial Arrangements, </w:t>
      </w:r>
      <w:r w:rsidR="00816816" w:rsidRPr="00613427">
        <w:t xml:space="preserve">the Commonwealth will provide </w:t>
      </w:r>
      <w:r w:rsidR="00816816" w:rsidRPr="00816816">
        <w:t xml:space="preserve">an </w:t>
      </w:r>
      <w:r w:rsidR="00424CD9">
        <w:t>estimated</w:t>
      </w:r>
      <w:r w:rsidR="00816816" w:rsidRPr="00613427">
        <w:t xml:space="preserve"> </w:t>
      </w:r>
      <w:r w:rsidR="00A9022E">
        <w:t xml:space="preserve">financial </w:t>
      </w:r>
      <w:r w:rsidR="00816816" w:rsidRPr="00613427">
        <w:t xml:space="preserve">contribution of </w:t>
      </w:r>
      <w:r w:rsidR="001C0F95" w:rsidRPr="00613427">
        <w:t>$1.2 billion</w:t>
      </w:r>
      <w:r w:rsidR="00655D30" w:rsidRPr="00613427">
        <w:rPr>
          <w:rStyle w:val="FootnoteReference"/>
        </w:rPr>
        <w:footnoteReference w:id="2"/>
      </w:r>
      <w:r w:rsidR="004152AB" w:rsidRPr="00613427">
        <w:t xml:space="preserve">.  In 2018-19, the Commonwealth will provide </w:t>
      </w:r>
      <w:r w:rsidR="00424CD9">
        <w:t xml:space="preserve">an estimated </w:t>
      </w:r>
      <w:r w:rsidR="004152AB" w:rsidRPr="00613427">
        <w:t>financial contribution to the States of $</w:t>
      </w:r>
      <w:r w:rsidR="002A4A2D" w:rsidRPr="00613427">
        <w:t>2</w:t>
      </w:r>
      <w:r w:rsidR="00A709C1" w:rsidRPr="00613427">
        <w:t>9</w:t>
      </w:r>
      <w:r w:rsidR="002A4A2D" w:rsidRPr="00613427">
        <w:t>3.</w:t>
      </w:r>
      <w:r w:rsidR="00684ACF" w:rsidRPr="00613427">
        <w:t>4</w:t>
      </w:r>
      <w:r w:rsidR="004152AB" w:rsidRPr="00613427">
        <w:t xml:space="preserve"> million. </w:t>
      </w:r>
      <w:r w:rsidR="001C0F95" w:rsidRPr="00613427">
        <w:t xml:space="preserve"> </w:t>
      </w:r>
      <w:r w:rsidR="004152AB" w:rsidRPr="00613427">
        <w:t xml:space="preserve">From 2019-20 to 2021-22, the Commonwealth will provide </w:t>
      </w:r>
      <w:r w:rsidR="00670E5A">
        <w:t>an</w:t>
      </w:r>
      <w:r w:rsidR="00424CD9">
        <w:t xml:space="preserve"> estimated</w:t>
      </w:r>
      <w:r w:rsidR="00B75575" w:rsidRPr="00613427">
        <w:t xml:space="preserve"> </w:t>
      </w:r>
      <w:r w:rsidR="004152AB" w:rsidRPr="00613427">
        <w:t>financial contribution to the States of $50 million each year plus actual revenue from the Levy collected in the previous financial year</w:t>
      </w:r>
      <w:r w:rsidR="00347565" w:rsidRPr="00613427">
        <w:t>.</w:t>
      </w:r>
      <w:r w:rsidR="00816816" w:rsidRPr="00613427">
        <w:t xml:space="preserve"> </w:t>
      </w:r>
      <w:r w:rsidR="00347565" w:rsidRPr="00613427">
        <w:t xml:space="preserve"> </w:t>
      </w:r>
      <w:r w:rsidR="00816816" w:rsidRPr="00613427">
        <w:t>All payments are exclusive of GST.</w:t>
      </w:r>
    </w:p>
    <w:p w14:paraId="5F394A3E" w14:textId="77777777" w:rsidR="00814667" w:rsidRPr="00613427" w:rsidRDefault="00814667" w:rsidP="00820693">
      <w:pPr>
        <w:pStyle w:val="Heading1"/>
        <w:spacing w:before="360"/>
      </w:pPr>
      <w:r w:rsidRPr="00613427">
        <w:lastRenderedPageBreak/>
        <w:t>Part 1 — Formalities</w:t>
      </w:r>
    </w:p>
    <w:p w14:paraId="33E22370" w14:textId="77777777" w:rsidR="00814667" w:rsidRPr="00613427" w:rsidRDefault="00814667" w:rsidP="00D836BA">
      <w:pPr>
        <w:pStyle w:val="Heading2"/>
      </w:pPr>
      <w:r w:rsidRPr="00613427">
        <w:t>Parties to this Agreement</w:t>
      </w:r>
    </w:p>
    <w:p w14:paraId="05763D48" w14:textId="77777777" w:rsidR="007B4B03" w:rsidRPr="00613427" w:rsidRDefault="00E7195E" w:rsidP="00D836BA">
      <w:pPr>
        <w:pStyle w:val="Normalnumbered"/>
        <w:numPr>
          <w:ilvl w:val="0"/>
          <w:numId w:val="10"/>
        </w:numPr>
        <w:jc w:val="left"/>
      </w:pPr>
      <w:r w:rsidRPr="00613427">
        <w:t>This Agreement is between the Commonwealth of Australia (the Commonwealth) and the States and Territories (the States).</w:t>
      </w:r>
    </w:p>
    <w:p w14:paraId="2419B279" w14:textId="77777777" w:rsidR="00814667" w:rsidRPr="00613427" w:rsidRDefault="00814667" w:rsidP="00D836BA">
      <w:pPr>
        <w:pStyle w:val="Heading2"/>
      </w:pPr>
      <w:r w:rsidRPr="00613427">
        <w:t>Term of the Agreement</w:t>
      </w:r>
    </w:p>
    <w:p w14:paraId="08E09218" w14:textId="77777777" w:rsidR="00FE4A16" w:rsidRPr="00613427" w:rsidRDefault="001D6C45" w:rsidP="00D836BA">
      <w:pPr>
        <w:pStyle w:val="Normalnumbered"/>
        <w:numPr>
          <w:ilvl w:val="0"/>
          <w:numId w:val="10"/>
        </w:numPr>
        <w:jc w:val="left"/>
      </w:pPr>
      <w:r w:rsidRPr="00613427">
        <w:t xml:space="preserve">This Agreement will commence as soon as the Commonwealth and one other Party sign </w:t>
      </w:r>
      <w:r w:rsidR="00490352" w:rsidRPr="00613427">
        <w:t xml:space="preserve">it </w:t>
      </w:r>
      <w:r w:rsidRPr="00613427">
        <w:t xml:space="preserve">and will expire on </w:t>
      </w:r>
      <w:r w:rsidR="00353DED" w:rsidRPr="00613427">
        <w:t>30 June 202</w:t>
      </w:r>
      <w:r w:rsidR="002D6163" w:rsidRPr="00613427">
        <w:t>2</w:t>
      </w:r>
      <w:r w:rsidR="008F7639" w:rsidRPr="00613427">
        <w:t xml:space="preserve"> </w:t>
      </w:r>
      <w:r w:rsidRPr="00613427">
        <w:t>or on completion of final performance reporting and processing of final payments against performance benchmarks or milestones</w:t>
      </w:r>
      <w:r w:rsidR="00F9751B" w:rsidRPr="00613427">
        <w:t>, whichever is the later</w:t>
      </w:r>
      <w:r w:rsidRPr="00613427">
        <w:t>.  The Agreement may be terminated earlier or extended as agreed in writing by the Parties.</w:t>
      </w:r>
    </w:p>
    <w:p w14:paraId="2A5156CC" w14:textId="77777777" w:rsidR="00814667" w:rsidRPr="00613427" w:rsidRDefault="00814667" w:rsidP="00820693">
      <w:pPr>
        <w:pStyle w:val="Heading1"/>
        <w:spacing w:before="360"/>
      </w:pPr>
      <w:r w:rsidRPr="00613427">
        <w:t>part 2 — objectives, outcomes and outputs</w:t>
      </w:r>
    </w:p>
    <w:p w14:paraId="0D7B8CCE" w14:textId="77777777" w:rsidR="00F46237" w:rsidRPr="00613427" w:rsidRDefault="00F46237" w:rsidP="00D836BA">
      <w:pPr>
        <w:pStyle w:val="Heading2"/>
      </w:pPr>
      <w:r w:rsidRPr="00613427">
        <w:t>Objectives</w:t>
      </w:r>
    </w:p>
    <w:p w14:paraId="57D57341" w14:textId="77777777" w:rsidR="002C08DC" w:rsidRPr="00613427" w:rsidRDefault="00353DED" w:rsidP="003A0B2B">
      <w:pPr>
        <w:pStyle w:val="ListParagraph"/>
        <w:numPr>
          <w:ilvl w:val="0"/>
          <w:numId w:val="10"/>
        </w:numPr>
        <w:spacing w:after="240"/>
        <w:rPr>
          <w:rFonts w:ascii="Corbel" w:hAnsi="Corbel"/>
          <w:color w:val="000000"/>
          <w:sz w:val="23"/>
          <w:szCs w:val="20"/>
        </w:rPr>
      </w:pPr>
      <w:r w:rsidRPr="00613427">
        <w:rPr>
          <w:rFonts w:ascii="Corbel" w:hAnsi="Corbel"/>
          <w:color w:val="000000"/>
          <w:sz w:val="23"/>
          <w:szCs w:val="20"/>
        </w:rPr>
        <w:t>The</w:t>
      </w:r>
      <w:r w:rsidR="00873338" w:rsidRPr="00613427">
        <w:rPr>
          <w:rFonts w:ascii="Corbel" w:hAnsi="Corbel"/>
          <w:color w:val="000000"/>
          <w:sz w:val="23"/>
          <w:szCs w:val="20"/>
        </w:rPr>
        <w:t xml:space="preserve"> objective of this</w:t>
      </w:r>
      <w:r w:rsidRPr="00613427">
        <w:rPr>
          <w:rFonts w:ascii="Corbel" w:hAnsi="Corbel"/>
          <w:color w:val="000000"/>
          <w:sz w:val="23"/>
          <w:szCs w:val="20"/>
        </w:rPr>
        <w:t xml:space="preserve"> Agreement </w:t>
      </w:r>
      <w:r w:rsidR="002D4FC8" w:rsidRPr="00613427">
        <w:rPr>
          <w:rFonts w:ascii="Corbel" w:hAnsi="Corbel"/>
          <w:color w:val="000000"/>
          <w:sz w:val="23"/>
          <w:szCs w:val="20"/>
        </w:rPr>
        <w:t xml:space="preserve">is </w:t>
      </w:r>
      <w:r w:rsidRPr="00613427">
        <w:rPr>
          <w:rFonts w:ascii="Corbel" w:hAnsi="Corbel"/>
          <w:color w:val="000000"/>
          <w:sz w:val="23"/>
          <w:szCs w:val="20"/>
        </w:rPr>
        <w:t xml:space="preserve">to improve employment outcomes by supporting Australians to obtain the skills and training they need for jobs in demand </w:t>
      </w:r>
      <w:r w:rsidR="002C08DC" w:rsidRPr="00613427">
        <w:rPr>
          <w:rFonts w:ascii="Corbel" w:hAnsi="Corbel"/>
          <w:color w:val="000000"/>
          <w:sz w:val="23"/>
          <w:szCs w:val="20"/>
        </w:rPr>
        <w:t>through increasing the uptake of apprenticeships and traineeships, pre-apprenticeships, pre-traineeships, higher-apprenticeships, and other relevant employment related training</w:t>
      </w:r>
      <w:r w:rsidR="003A0B2B" w:rsidRPr="00613427">
        <w:rPr>
          <w:rFonts w:ascii="Corbel" w:hAnsi="Corbel"/>
          <w:color w:val="000000"/>
          <w:sz w:val="23"/>
          <w:szCs w:val="20"/>
        </w:rPr>
        <w:t>.</w:t>
      </w:r>
    </w:p>
    <w:p w14:paraId="32B37C33" w14:textId="77777777" w:rsidR="00814667" w:rsidRPr="00613427" w:rsidRDefault="0070784E" w:rsidP="00D836BA">
      <w:pPr>
        <w:pStyle w:val="Heading2"/>
      </w:pPr>
      <w:r w:rsidRPr="00613427">
        <w:t>Outcome</w:t>
      </w:r>
    </w:p>
    <w:p w14:paraId="2AB08679" w14:textId="77777777" w:rsidR="00353DED" w:rsidRPr="00613427" w:rsidRDefault="00353DED" w:rsidP="00556077">
      <w:pPr>
        <w:pStyle w:val="ListParagraph"/>
        <w:numPr>
          <w:ilvl w:val="0"/>
          <w:numId w:val="10"/>
        </w:numPr>
        <w:spacing w:after="240"/>
        <w:rPr>
          <w:rFonts w:ascii="Corbel" w:hAnsi="Corbel"/>
          <w:sz w:val="23"/>
        </w:rPr>
      </w:pPr>
      <w:bookmarkStart w:id="1" w:name="_Ref496537565"/>
      <w:r w:rsidRPr="00613427">
        <w:rPr>
          <w:rFonts w:ascii="Corbel" w:hAnsi="Corbel"/>
          <w:color w:val="000000"/>
          <w:sz w:val="23"/>
          <w:szCs w:val="20"/>
        </w:rPr>
        <w:t xml:space="preserve">This </w:t>
      </w:r>
      <w:r w:rsidRPr="00613427">
        <w:rPr>
          <w:rFonts w:ascii="Corbel" w:hAnsi="Corbel"/>
          <w:sz w:val="23"/>
        </w:rPr>
        <w:t>Agreement</w:t>
      </w:r>
      <w:r w:rsidRPr="00613427">
        <w:rPr>
          <w:rFonts w:ascii="Corbel" w:hAnsi="Corbel"/>
          <w:color w:val="000000"/>
          <w:sz w:val="23"/>
          <w:szCs w:val="20"/>
        </w:rPr>
        <w:t xml:space="preserve"> will</w:t>
      </w:r>
      <w:r w:rsidR="00664FD6" w:rsidRPr="00613427">
        <w:rPr>
          <w:rFonts w:ascii="Corbel" w:hAnsi="Corbel"/>
          <w:color w:val="000000"/>
          <w:sz w:val="23"/>
          <w:szCs w:val="20"/>
        </w:rPr>
        <w:t xml:space="preserve"> </w:t>
      </w:r>
      <w:r w:rsidR="0070784E" w:rsidRPr="00613427">
        <w:rPr>
          <w:rFonts w:ascii="Corbel" w:hAnsi="Corbel"/>
          <w:sz w:val="23"/>
        </w:rPr>
        <w:t xml:space="preserve">facilitate </w:t>
      </w:r>
      <w:r w:rsidR="00B31607" w:rsidRPr="00613427">
        <w:rPr>
          <w:rFonts w:ascii="Corbel" w:hAnsi="Corbel"/>
          <w:sz w:val="23"/>
        </w:rPr>
        <w:t>Australians</w:t>
      </w:r>
      <w:r w:rsidR="0054318D" w:rsidRPr="00613427">
        <w:rPr>
          <w:rFonts w:ascii="Corbel" w:hAnsi="Corbel"/>
          <w:sz w:val="23"/>
        </w:rPr>
        <w:t xml:space="preserve"> to obtain the skills and training they need</w:t>
      </w:r>
      <w:r w:rsidR="00B31607" w:rsidRPr="00613427">
        <w:rPr>
          <w:rFonts w:ascii="Corbel" w:hAnsi="Corbel"/>
          <w:sz w:val="23"/>
        </w:rPr>
        <w:t>,</w:t>
      </w:r>
      <w:r w:rsidR="008A1326" w:rsidRPr="00613427">
        <w:rPr>
          <w:rFonts w:ascii="Corbel" w:hAnsi="Corbel"/>
          <w:sz w:val="23"/>
        </w:rPr>
        <w:t xml:space="preserve"> </w:t>
      </w:r>
      <w:r w:rsidR="003429DF" w:rsidRPr="00613427">
        <w:rPr>
          <w:rFonts w:ascii="Corbel" w:hAnsi="Corbel"/>
          <w:sz w:val="23"/>
        </w:rPr>
        <w:t>and</w:t>
      </w:r>
      <w:r w:rsidR="00B31607" w:rsidRPr="00613427">
        <w:rPr>
          <w:rFonts w:ascii="Corbel" w:hAnsi="Corbel"/>
          <w:sz w:val="23"/>
        </w:rPr>
        <w:t xml:space="preserve"> meet</w:t>
      </w:r>
      <w:r w:rsidR="003429DF" w:rsidRPr="00613427">
        <w:rPr>
          <w:rFonts w:ascii="Corbel" w:hAnsi="Corbel"/>
          <w:sz w:val="23"/>
        </w:rPr>
        <w:t xml:space="preserve"> </w:t>
      </w:r>
      <w:r w:rsidR="00B31607" w:rsidRPr="00613427">
        <w:rPr>
          <w:rFonts w:ascii="Corbel" w:hAnsi="Corbel"/>
          <w:sz w:val="23"/>
        </w:rPr>
        <w:t>employer, industry and labour market needs for skilled workers</w:t>
      </w:r>
      <w:r w:rsidR="00556077" w:rsidRPr="00613427">
        <w:rPr>
          <w:rFonts w:ascii="Corbel" w:hAnsi="Corbel"/>
          <w:sz w:val="23"/>
        </w:rPr>
        <w:t xml:space="preserve">.  It will be supported by the Fund which is estimated to deliver a national target of </w:t>
      </w:r>
      <w:bookmarkEnd w:id="1"/>
      <w:r w:rsidRPr="00613427">
        <w:rPr>
          <w:rFonts w:ascii="Corbel" w:hAnsi="Corbel"/>
          <w:sz w:val="23"/>
        </w:rPr>
        <w:t xml:space="preserve">up to 300,000 </w:t>
      </w:r>
      <w:r w:rsidR="00AF3BE2" w:rsidRPr="00613427">
        <w:rPr>
          <w:rFonts w:ascii="Corbel" w:hAnsi="Corbel"/>
          <w:sz w:val="23"/>
        </w:rPr>
        <w:t>additional</w:t>
      </w:r>
      <w:r w:rsidRPr="00613427">
        <w:rPr>
          <w:rFonts w:ascii="Corbel" w:hAnsi="Corbel"/>
          <w:sz w:val="23"/>
        </w:rPr>
        <w:t xml:space="preserve"> apprenticeships, traineeships, pre-apprenticeships, pre-traineeships, higher-apprenticeships, and other relevant employment</w:t>
      </w:r>
      <w:r w:rsidR="007E5FC1" w:rsidRPr="00613427">
        <w:rPr>
          <w:rFonts w:ascii="Corbel" w:hAnsi="Corbel"/>
          <w:sz w:val="23"/>
        </w:rPr>
        <w:t>-</w:t>
      </w:r>
      <w:r w:rsidRPr="00613427">
        <w:rPr>
          <w:rFonts w:ascii="Corbel" w:hAnsi="Corbel"/>
          <w:sz w:val="23"/>
        </w:rPr>
        <w:t>related training</w:t>
      </w:r>
      <w:r w:rsidR="00556077" w:rsidRPr="00613427">
        <w:rPr>
          <w:rFonts w:ascii="Corbel" w:hAnsi="Corbel"/>
          <w:sz w:val="23"/>
        </w:rPr>
        <w:t>, relative to agreed baselines</w:t>
      </w:r>
      <w:r w:rsidR="007E7708" w:rsidRPr="00613427">
        <w:rPr>
          <w:rFonts w:ascii="Corbel" w:hAnsi="Corbel"/>
          <w:sz w:val="23"/>
        </w:rPr>
        <w:t>.</w:t>
      </w:r>
    </w:p>
    <w:p w14:paraId="5123908B" w14:textId="77777777" w:rsidR="00814667" w:rsidRPr="00613427" w:rsidRDefault="00814667" w:rsidP="00D836BA">
      <w:pPr>
        <w:pStyle w:val="Heading2"/>
      </w:pPr>
      <w:r w:rsidRPr="00613427">
        <w:t>Outputs</w:t>
      </w:r>
    </w:p>
    <w:p w14:paraId="5C6D145D" w14:textId="77777777" w:rsidR="00380F18" w:rsidRPr="00613427" w:rsidDel="00DF65B2" w:rsidRDefault="00C16E88" w:rsidP="007E5FC1">
      <w:pPr>
        <w:pStyle w:val="ListParagraph"/>
        <w:numPr>
          <w:ilvl w:val="0"/>
          <w:numId w:val="10"/>
        </w:numPr>
        <w:spacing w:after="240"/>
      </w:pPr>
      <w:bookmarkStart w:id="2" w:name="_Ref496266382"/>
      <w:bookmarkStart w:id="3" w:name="_Ref497381786"/>
      <w:r w:rsidRPr="00613427">
        <w:rPr>
          <w:rFonts w:ascii="Corbel" w:hAnsi="Corbel" w:cs="Arial"/>
          <w:sz w:val="23"/>
          <w:szCs w:val="23"/>
        </w:rPr>
        <w:t xml:space="preserve">The </w:t>
      </w:r>
      <w:bookmarkEnd w:id="2"/>
      <w:r w:rsidR="00DF65B2" w:rsidRPr="00613427">
        <w:rPr>
          <w:rFonts w:ascii="Corbel" w:hAnsi="Corbel" w:cs="Arial"/>
          <w:sz w:val="23"/>
          <w:szCs w:val="23"/>
        </w:rPr>
        <w:t xml:space="preserve">objectives and </w:t>
      </w:r>
      <w:r w:rsidR="00380F18" w:rsidRPr="00613427">
        <w:rPr>
          <w:rFonts w:ascii="Corbel" w:hAnsi="Corbel" w:cs="Arial"/>
          <w:sz w:val="23"/>
          <w:szCs w:val="23"/>
        </w:rPr>
        <w:t>out</w:t>
      </w:r>
      <w:r w:rsidR="00DF65B2" w:rsidRPr="00613427">
        <w:rPr>
          <w:rFonts w:ascii="Corbel" w:hAnsi="Corbel" w:cs="Arial"/>
          <w:sz w:val="23"/>
          <w:szCs w:val="23"/>
        </w:rPr>
        <w:t>comes of this Agreement will be achieved by d</w:t>
      </w:r>
      <w:r w:rsidR="00932E51" w:rsidRPr="00613427">
        <w:rPr>
          <w:rFonts w:ascii="Corbel" w:hAnsi="Corbel" w:cs="Arial"/>
          <w:sz w:val="23"/>
          <w:szCs w:val="23"/>
        </w:rPr>
        <w:t>elivering projects that support the</w:t>
      </w:r>
      <w:r w:rsidR="00AF506E" w:rsidRPr="00613427">
        <w:rPr>
          <w:rFonts w:ascii="Corbel" w:hAnsi="Corbel" w:cs="Arial"/>
          <w:sz w:val="23"/>
          <w:szCs w:val="23"/>
        </w:rPr>
        <w:t xml:space="preserve"> </w:t>
      </w:r>
      <w:r w:rsidR="007E5FC1" w:rsidRPr="00613427">
        <w:rPr>
          <w:rFonts w:ascii="Corbel" w:hAnsi="Corbel" w:cs="Arial"/>
          <w:sz w:val="23"/>
          <w:szCs w:val="23"/>
        </w:rPr>
        <w:t xml:space="preserve">delivery </w:t>
      </w:r>
      <w:r w:rsidR="00AF506E" w:rsidRPr="00613427">
        <w:rPr>
          <w:rFonts w:ascii="Corbel" w:hAnsi="Corbel" w:cs="Arial"/>
          <w:sz w:val="23"/>
          <w:szCs w:val="23"/>
        </w:rPr>
        <w:t xml:space="preserve">of </w:t>
      </w:r>
      <w:r w:rsidR="00C158F5" w:rsidRPr="00613427">
        <w:rPr>
          <w:rFonts w:ascii="Corbel" w:hAnsi="Corbel" w:cs="Arial"/>
          <w:sz w:val="23"/>
          <w:szCs w:val="23"/>
        </w:rPr>
        <w:t>up to</w:t>
      </w:r>
      <w:r w:rsidR="007B5E3F" w:rsidRPr="00613427">
        <w:rPr>
          <w:rFonts w:ascii="Corbel" w:hAnsi="Corbel" w:cs="Arial"/>
          <w:sz w:val="23"/>
          <w:szCs w:val="23"/>
        </w:rPr>
        <w:t xml:space="preserve"> </w:t>
      </w:r>
      <w:r w:rsidR="00DF65B2" w:rsidRPr="00613427">
        <w:rPr>
          <w:rFonts w:ascii="Corbel" w:hAnsi="Corbel" w:cs="Arial"/>
          <w:sz w:val="23"/>
          <w:szCs w:val="23"/>
        </w:rPr>
        <w:t>300,000</w:t>
      </w:r>
      <w:r w:rsidR="00932E51" w:rsidRPr="00613427">
        <w:rPr>
          <w:rFonts w:ascii="Corbel" w:hAnsi="Corbel" w:cs="Arial"/>
          <w:sz w:val="23"/>
          <w:szCs w:val="23"/>
        </w:rPr>
        <w:t xml:space="preserve"> </w:t>
      </w:r>
      <w:r w:rsidR="00FE299B" w:rsidRPr="00613427">
        <w:rPr>
          <w:rFonts w:ascii="Corbel" w:hAnsi="Corbel" w:cs="Arial"/>
          <w:sz w:val="23"/>
          <w:szCs w:val="23"/>
        </w:rPr>
        <w:t>additional</w:t>
      </w:r>
      <w:r w:rsidR="007E5FC1" w:rsidRPr="00613427">
        <w:rPr>
          <w:rFonts w:ascii="Corbel" w:hAnsi="Corbel" w:cs="Arial"/>
          <w:sz w:val="23"/>
          <w:szCs w:val="23"/>
        </w:rPr>
        <w:t xml:space="preserve"> </w:t>
      </w:r>
      <w:r w:rsidR="007E5FC1" w:rsidRPr="00613427">
        <w:rPr>
          <w:rFonts w:ascii="Corbel" w:hAnsi="Corbel"/>
          <w:color w:val="000000"/>
          <w:sz w:val="23"/>
          <w:szCs w:val="20"/>
        </w:rPr>
        <w:t>apprenticeships, traineeships, pre-apprenticeships, pre-traineeships, higher-apprenticeships, and other relevant employment</w:t>
      </w:r>
      <w:r w:rsidR="007E5FC1" w:rsidRPr="00613427">
        <w:t>-</w:t>
      </w:r>
      <w:r w:rsidR="007E5FC1" w:rsidRPr="00613427">
        <w:rPr>
          <w:rFonts w:ascii="Corbel" w:hAnsi="Corbel"/>
          <w:color w:val="000000"/>
          <w:sz w:val="23"/>
          <w:szCs w:val="20"/>
        </w:rPr>
        <w:t xml:space="preserve">related training, </w:t>
      </w:r>
      <w:r w:rsidR="00E07291" w:rsidRPr="00613427">
        <w:rPr>
          <w:rFonts w:ascii="Corbel" w:hAnsi="Corbel"/>
          <w:color w:val="000000"/>
          <w:sz w:val="23"/>
          <w:szCs w:val="20"/>
        </w:rPr>
        <w:t>in the following</w:t>
      </w:r>
      <w:r w:rsidR="007E5FC1" w:rsidRPr="00613427">
        <w:rPr>
          <w:rFonts w:ascii="Corbel" w:hAnsi="Corbel"/>
          <w:color w:val="000000"/>
          <w:sz w:val="23"/>
          <w:szCs w:val="20"/>
        </w:rPr>
        <w:t xml:space="preserve"> agreed </w:t>
      </w:r>
      <w:r w:rsidR="00FD0A33" w:rsidRPr="00613427">
        <w:rPr>
          <w:rFonts w:ascii="Corbel" w:hAnsi="Corbel"/>
          <w:color w:val="000000"/>
          <w:sz w:val="23"/>
          <w:szCs w:val="20"/>
        </w:rPr>
        <w:t>priorities</w:t>
      </w:r>
      <w:r w:rsidR="007E5FC1" w:rsidRPr="00613427">
        <w:rPr>
          <w:rFonts w:ascii="Corbel" w:hAnsi="Corbel"/>
          <w:color w:val="000000"/>
          <w:sz w:val="23"/>
          <w:szCs w:val="20"/>
        </w:rPr>
        <w:t>:</w:t>
      </w:r>
      <w:bookmarkEnd w:id="3"/>
    </w:p>
    <w:p w14:paraId="5FB314E4" w14:textId="77777777" w:rsidR="00921704" w:rsidRPr="00613427" w:rsidRDefault="00AF506E" w:rsidP="002C6212">
      <w:pPr>
        <w:pStyle w:val="Normalnumbered"/>
        <w:numPr>
          <w:ilvl w:val="0"/>
          <w:numId w:val="28"/>
        </w:numPr>
        <w:tabs>
          <w:tab w:val="clear" w:pos="1440"/>
          <w:tab w:val="num" w:pos="1134"/>
        </w:tabs>
        <w:ind w:hanging="873"/>
        <w:jc w:val="left"/>
        <w:rPr>
          <w:color w:val="auto"/>
        </w:rPr>
      </w:pPr>
      <w:r w:rsidRPr="00613427">
        <w:rPr>
          <w:color w:val="auto"/>
        </w:rPr>
        <w:t>occupations in demand;</w:t>
      </w:r>
    </w:p>
    <w:p w14:paraId="74355840" w14:textId="77777777" w:rsidR="00921704" w:rsidRPr="00613427" w:rsidRDefault="00AF506E" w:rsidP="002C6212">
      <w:pPr>
        <w:pStyle w:val="Normalnumbered"/>
        <w:numPr>
          <w:ilvl w:val="0"/>
          <w:numId w:val="28"/>
        </w:numPr>
        <w:tabs>
          <w:tab w:val="clear" w:pos="1440"/>
          <w:tab w:val="num" w:pos="1134"/>
        </w:tabs>
        <w:ind w:hanging="873"/>
        <w:jc w:val="left"/>
        <w:rPr>
          <w:color w:val="auto"/>
        </w:rPr>
      </w:pPr>
      <w:r w:rsidRPr="00613427">
        <w:rPr>
          <w:color w:val="auto"/>
        </w:rPr>
        <w:t>occupations with a reliance on skilled migration pathways;</w:t>
      </w:r>
    </w:p>
    <w:p w14:paraId="3D877EE5" w14:textId="77777777" w:rsidR="00AF506E" w:rsidRPr="00613427" w:rsidRDefault="00AF506E" w:rsidP="002C6212">
      <w:pPr>
        <w:pStyle w:val="Normalnumbered"/>
        <w:numPr>
          <w:ilvl w:val="0"/>
          <w:numId w:val="28"/>
        </w:numPr>
        <w:tabs>
          <w:tab w:val="clear" w:pos="1440"/>
          <w:tab w:val="num" w:pos="1134"/>
        </w:tabs>
        <w:ind w:left="1134" w:hanging="567"/>
        <w:jc w:val="left"/>
        <w:rPr>
          <w:color w:val="auto"/>
        </w:rPr>
      </w:pPr>
      <w:r w:rsidRPr="00613427">
        <w:rPr>
          <w:color w:val="auto"/>
        </w:rPr>
        <w:t>industries and sectors of future growth</w:t>
      </w:r>
      <w:r w:rsidR="00F42C9C" w:rsidRPr="00613427">
        <w:rPr>
          <w:rFonts w:cs="Arial"/>
          <w:color w:val="auto"/>
          <w:szCs w:val="23"/>
        </w:rPr>
        <w:t xml:space="preserve"> that</w:t>
      </w:r>
      <w:r w:rsidRPr="00613427">
        <w:rPr>
          <w:color w:val="auto"/>
        </w:rPr>
        <w:t xml:space="preserve"> include</w:t>
      </w:r>
      <w:r w:rsidR="00944C36" w:rsidRPr="00613427">
        <w:rPr>
          <w:color w:val="auto"/>
        </w:rPr>
        <w:t>,</w:t>
      </w:r>
      <w:r w:rsidRPr="00613427">
        <w:rPr>
          <w:color w:val="auto"/>
        </w:rPr>
        <w:t xml:space="preserve"> but are not limited</w:t>
      </w:r>
      <w:r w:rsidR="00944C36" w:rsidRPr="00613427">
        <w:rPr>
          <w:color w:val="auto"/>
        </w:rPr>
        <w:t>,</w:t>
      </w:r>
      <w:r w:rsidRPr="00613427">
        <w:rPr>
          <w:color w:val="auto"/>
        </w:rPr>
        <w:t xml:space="preserve"> to the following priorities:</w:t>
      </w:r>
    </w:p>
    <w:p w14:paraId="121BE366"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t>tourism;</w:t>
      </w:r>
    </w:p>
    <w:p w14:paraId="52EF691D"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t>hospitality;</w:t>
      </w:r>
    </w:p>
    <w:p w14:paraId="45A06C0E"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t xml:space="preserve">health, ageing, and community and social services; </w:t>
      </w:r>
    </w:p>
    <w:p w14:paraId="365E2BDB"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t>engineering;</w:t>
      </w:r>
    </w:p>
    <w:p w14:paraId="55C53112"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t>manufacturing;</w:t>
      </w:r>
    </w:p>
    <w:p w14:paraId="08F86871"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t>building and construction;</w:t>
      </w:r>
    </w:p>
    <w:p w14:paraId="3CCB75EB"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lastRenderedPageBreak/>
        <w:t>agriculture; and</w:t>
      </w:r>
    </w:p>
    <w:p w14:paraId="64777B0E" w14:textId="77777777" w:rsidR="00AF506E" w:rsidRPr="00613427" w:rsidRDefault="00AF506E" w:rsidP="00640898">
      <w:pPr>
        <w:pStyle w:val="Normalnumbered"/>
        <w:numPr>
          <w:ilvl w:val="2"/>
          <w:numId w:val="10"/>
        </w:numPr>
        <w:tabs>
          <w:tab w:val="clear" w:pos="2160"/>
          <w:tab w:val="num" w:pos="1701"/>
        </w:tabs>
        <w:ind w:left="1701" w:hanging="567"/>
        <w:jc w:val="left"/>
      </w:pPr>
      <w:r w:rsidRPr="00613427">
        <w:t>digital technologies;</w:t>
      </w:r>
    </w:p>
    <w:p w14:paraId="56B8BB40" w14:textId="77777777" w:rsidR="00AF506E" w:rsidRPr="00613427" w:rsidRDefault="00AF506E" w:rsidP="003D4512">
      <w:pPr>
        <w:pStyle w:val="Normalnumbered"/>
        <w:numPr>
          <w:ilvl w:val="0"/>
          <w:numId w:val="25"/>
        </w:numPr>
        <w:tabs>
          <w:tab w:val="clear" w:pos="1440"/>
          <w:tab w:val="num" w:pos="1134"/>
        </w:tabs>
        <w:ind w:left="1134" w:hanging="567"/>
        <w:jc w:val="left"/>
        <w:rPr>
          <w:color w:val="auto"/>
        </w:rPr>
      </w:pPr>
      <w:bookmarkStart w:id="4" w:name="tempbookmark"/>
      <w:r w:rsidRPr="00613427">
        <w:rPr>
          <w:color w:val="auto"/>
        </w:rPr>
        <w:t xml:space="preserve">trade apprenticeships; </w:t>
      </w:r>
    </w:p>
    <w:p w14:paraId="07F46710" w14:textId="77777777" w:rsidR="00AF506E" w:rsidRPr="00613427" w:rsidRDefault="00AF506E" w:rsidP="003D4512">
      <w:pPr>
        <w:pStyle w:val="Normalnumbered"/>
        <w:numPr>
          <w:ilvl w:val="0"/>
          <w:numId w:val="25"/>
        </w:numPr>
        <w:tabs>
          <w:tab w:val="clear" w:pos="1440"/>
          <w:tab w:val="num" w:pos="1134"/>
        </w:tabs>
        <w:ind w:left="1134" w:hanging="567"/>
        <w:jc w:val="left"/>
        <w:rPr>
          <w:color w:val="auto"/>
        </w:rPr>
      </w:pPr>
      <w:r w:rsidRPr="00613427">
        <w:rPr>
          <w:color w:val="auto"/>
        </w:rPr>
        <w:t xml:space="preserve">rural, regional and remote areas; </w:t>
      </w:r>
    </w:p>
    <w:p w14:paraId="46227800" w14:textId="77777777" w:rsidR="00AF506E" w:rsidRPr="00613427" w:rsidRDefault="00AF506E" w:rsidP="003D4512">
      <w:pPr>
        <w:pStyle w:val="Normalnumbered"/>
        <w:numPr>
          <w:ilvl w:val="0"/>
          <w:numId w:val="25"/>
        </w:numPr>
        <w:tabs>
          <w:tab w:val="clear" w:pos="1440"/>
          <w:tab w:val="num" w:pos="1134"/>
        </w:tabs>
        <w:ind w:left="1134" w:hanging="567"/>
        <w:jc w:val="left"/>
        <w:rPr>
          <w:color w:val="auto"/>
        </w:rPr>
      </w:pPr>
      <w:r w:rsidRPr="00613427">
        <w:rPr>
          <w:color w:val="auto"/>
        </w:rPr>
        <w:t>targeted cohorts;</w:t>
      </w:r>
    </w:p>
    <w:p w14:paraId="336271C4" w14:textId="77777777" w:rsidR="00AF506E" w:rsidRPr="00613427" w:rsidRDefault="00AF506E" w:rsidP="003D4512">
      <w:pPr>
        <w:pStyle w:val="Normalnumbered"/>
        <w:numPr>
          <w:ilvl w:val="0"/>
          <w:numId w:val="25"/>
        </w:numPr>
        <w:tabs>
          <w:tab w:val="clear" w:pos="1440"/>
          <w:tab w:val="num" w:pos="1134"/>
        </w:tabs>
        <w:ind w:left="1134" w:hanging="567"/>
        <w:jc w:val="left"/>
        <w:rPr>
          <w:color w:val="auto"/>
        </w:rPr>
      </w:pPr>
      <w:r w:rsidRPr="00613427">
        <w:rPr>
          <w:color w:val="auto"/>
        </w:rPr>
        <w:t>industries and communities expe</w:t>
      </w:r>
      <w:r w:rsidR="007E5FC1" w:rsidRPr="00613427">
        <w:rPr>
          <w:color w:val="auto"/>
        </w:rPr>
        <w:t>riencing structural adjustment;</w:t>
      </w:r>
    </w:p>
    <w:p w14:paraId="62B336E8" w14:textId="77777777" w:rsidR="00AF506E" w:rsidRPr="00613427" w:rsidRDefault="00AF506E" w:rsidP="003D4512">
      <w:pPr>
        <w:pStyle w:val="Normalnumbered"/>
        <w:numPr>
          <w:ilvl w:val="0"/>
          <w:numId w:val="25"/>
        </w:numPr>
        <w:tabs>
          <w:tab w:val="clear" w:pos="1440"/>
          <w:tab w:val="num" w:pos="1134"/>
        </w:tabs>
        <w:ind w:left="1134" w:hanging="567"/>
        <w:jc w:val="left"/>
        <w:rPr>
          <w:color w:val="auto"/>
        </w:rPr>
      </w:pPr>
      <w:bookmarkStart w:id="5" w:name="_Ref497381731"/>
      <w:r w:rsidRPr="00613427">
        <w:rPr>
          <w:color w:val="auto"/>
        </w:rPr>
        <w:t>other workforce priorities agreed on a bilateral basis, for example, to support implementation of the National Disability Insurance Scheme, Family Violence Reforms and other signific</w:t>
      </w:r>
      <w:r w:rsidR="007E5FC1" w:rsidRPr="00613427">
        <w:rPr>
          <w:color w:val="auto"/>
        </w:rPr>
        <w:t>ant areas of workforce growth; and</w:t>
      </w:r>
      <w:bookmarkEnd w:id="5"/>
    </w:p>
    <w:p w14:paraId="104E3FCC" w14:textId="77777777" w:rsidR="00AF506E" w:rsidRPr="00613427" w:rsidRDefault="007E5FC1" w:rsidP="003D4512">
      <w:pPr>
        <w:pStyle w:val="Normalnumbered"/>
        <w:numPr>
          <w:ilvl w:val="0"/>
          <w:numId w:val="26"/>
        </w:numPr>
        <w:tabs>
          <w:tab w:val="clear" w:pos="1440"/>
          <w:tab w:val="num" w:pos="1134"/>
        </w:tabs>
        <w:ind w:left="1134" w:hanging="567"/>
        <w:jc w:val="left"/>
        <w:rPr>
          <w:color w:val="auto"/>
        </w:rPr>
      </w:pPr>
      <w:bookmarkStart w:id="6" w:name="_Ref497381758"/>
      <w:bookmarkEnd w:id="4"/>
      <w:proofErr w:type="gramStart"/>
      <w:r w:rsidRPr="00613427">
        <w:rPr>
          <w:color w:val="auto"/>
        </w:rPr>
        <w:t>o</w:t>
      </w:r>
      <w:r w:rsidR="00AF506E" w:rsidRPr="00613427">
        <w:rPr>
          <w:color w:val="auto"/>
        </w:rPr>
        <w:t>ther</w:t>
      </w:r>
      <w:proofErr w:type="gramEnd"/>
      <w:r w:rsidR="00AF506E" w:rsidRPr="00613427">
        <w:rPr>
          <w:color w:val="auto"/>
        </w:rPr>
        <w:t xml:space="preserve"> priorities, agreed on a bilateral basis, including industries and sectors for future growth.</w:t>
      </w:r>
      <w:bookmarkEnd w:id="6"/>
    </w:p>
    <w:p w14:paraId="24F21C99" w14:textId="77777777" w:rsidR="006A309D" w:rsidRPr="00613427" w:rsidRDefault="006A309D" w:rsidP="00804D5F">
      <w:pPr>
        <w:pStyle w:val="Normalnumbered"/>
        <w:numPr>
          <w:ilvl w:val="0"/>
          <w:numId w:val="10"/>
        </w:numPr>
        <w:jc w:val="left"/>
      </w:pPr>
      <w:bookmarkStart w:id="7" w:name="_Ref497382181"/>
      <w:r w:rsidRPr="00613427">
        <w:t>In addition to delivery of projects,</w:t>
      </w:r>
      <w:r w:rsidR="007E5FC1" w:rsidRPr="00613427">
        <w:t xml:space="preserve"> </w:t>
      </w:r>
      <w:r w:rsidR="007E5FC1" w:rsidRPr="00613427">
        <w:rPr>
          <w:rFonts w:cs="Arial"/>
          <w:szCs w:val="23"/>
        </w:rPr>
        <w:t xml:space="preserve">the objectives and outcomes of this Agreement will be achieved </w:t>
      </w:r>
      <w:r w:rsidR="00202DEB" w:rsidRPr="00613427">
        <w:rPr>
          <w:rFonts w:cs="Arial"/>
          <w:szCs w:val="23"/>
        </w:rPr>
        <w:t>following</w:t>
      </w:r>
      <w:r w:rsidR="007E5FC1" w:rsidRPr="00613427">
        <w:rPr>
          <w:rFonts w:cs="Arial"/>
          <w:szCs w:val="23"/>
        </w:rPr>
        <w:t xml:space="preserve"> prerequisite agreement to</w:t>
      </w:r>
      <w:r w:rsidRPr="00613427">
        <w:t>:</w:t>
      </w:r>
      <w:bookmarkEnd w:id="7"/>
    </w:p>
    <w:p w14:paraId="773FE8DA" w14:textId="77777777" w:rsidR="003D4512" w:rsidRPr="00613427" w:rsidRDefault="00FD0A33" w:rsidP="003D4512">
      <w:pPr>
        <w:pStyle w:val="Normalnumbered"/>
        <w:numPr>
          <w:ilvl w:val="1"/>
          <w:numId w:val="27"/>
        </w:numPr>
        <w:tabs>
          <w:tab w:val="clear" w:pos="1440"/>
          <w:tab w:val="num" w:pos="1134"/>
        </w:tabs>
        <w:ind w:left="1134" w:hanging="567"/>
        <w:jc w:val="left"/>
      </w:pPr>
      <w:r w:rsidRPr="00613427">
        <w:t>State-specific</w:t>
      </w:r>
      <w:r w:rsidR="002D3B47" w:rsidRPr="00613427">
        <w:t xml:space="preserve"> Budget Benchmark</w:t>
      </w:r>
      <w:r w:rsidR="007E5FC1" w:rsidRPr="00613427">
        <w:t>s</w:t>
      </w:r>
      <w:r w:rsidR="002D3B47" w:rsidRPr="00613427">
        <w:t xml:space="preserve"> that establish a baseline for</w:t>
      </w:r>
      <w:r w:rsidR="007E5FC1" w:rsidRPr="00613427">
        <w:t xml:space="preserve"> States’</w:t>
      </w:r>
      <w:r w:rsidR="002C08DC" w:rsidRPr="00613427">
        <w:t xml:space="preserve"> </w:t>
      </w:r>
      <w:r w:rsidR="006A309D" w:rsidRPr="00613427">
        <w:t>vocational education and training</w:t>
      </w:r>
      <w:r w:rsidR="00712D3A" w:rsidRPr="00613427">
        <w:t>;</w:t>
      </w:r>
    </w:p>
    <w:p w14:paraId="69D4FA24" w14:textId="77777777" w:rsidR="002C08DC" w:rsidRPr="00613427" w:rsidRDefault="00C31C6C" w:rsidP="00E07291">
      <w:pPr>
        <w:pStyle w:val="Normalnumbered"/>
        <w:numPr>
          <w:ilvl w:val="1"/>
          <w:numId w:val="27"/>
        </w:numPr>
        <w:tabs>
          <w:tab w:val="clear" w:pos="1440"/>
          <w:tab w:val="num" w:pos="1134"/>
        </w:tabs>
        <w:ind w:left="1134" w:hanging="567"/>
        <w:rPr>
          <w:color w:val="auto"/>
        </w:rPr>
      </w:pPr>
      <w:r w:rsidRPr="00613427">
        <w:rPr>
          <w:color w:val="auto"/>
        </w:rPr>
        <w:t xml:space="preserve">State-specific </w:t>
      </w:r>
      <w:r w:rsidR="002C08DC" w:rsidRPr="00613427">
        <w:rPr>
          <w:color w:val="auto"/>
        </w:rPr>
        <w:t xml:space="preserve">baselines </w:t>
      </w:r>
      <w:r w:rsidR="00704B79" w:rsidRPr="00613427">
        <w:rPr>
          <w:color w:val="auto"/>
        </w:rPr>
        <w:t>of existing training activity</w:t>
      </w:r>
      <w:r w:rsidR="00B75575" w:rsidRPr="00613427">
        <w:rPr>
          <w:color w:val="auto"/>
        </w:rPr>
        <w:t>, adjusted for the cessation of the training outcome component of the National Partnership Agreement on Skills Reform (NPASR)</w:t>
      </w:r>
      <w:r w:rsidR="00704B79" w:rsidRPr="00613427">
        <w:rPr>
          <w:color w:val="auto"/>
        </w:rPr>
        <w:t>;</w:t>
      </w:r>
    </w:p>
    <w:p w14:paraId="2A8D162A" w14:textId="77777777" w:rsidR="006A309D" w:rsidRPr="00613427" w:rsidRDefault="00877DBE" w:rsidP="00E07291">
      <w:pPr>
        <w:pStyle w:val="Normalnumbered"/>
        <w:numPr>
          <w:ilvl w:val="1"/>
          <w:numId w:val="27"/>
        </w:numPr>
        <w:tabs>
          <w:tab w:val="clear" w:pos="1440"/>
          <w:tab w:val="num" w:pos="1134"/>
        </w:tabs>
        <w:ind w:left="1134" w:hanging="567"/>
        <w:rPr>
          <w:color w:val="auto"/>
        </w:rPr>
      </w:pPr>
      <w:r w:rsidRPr="00613427">
        <w:rPr>
          <w:color w:val="auto"/>
        </w:rPr>
        <w:t>matched</w:t>
      </w:r>
      <w:r w:rsidR="00993081" w:rsidRPr="00613427">
        <w:rPr>
          <w:color w:val="auto"/>
        </w:rPr>
        <w:t xml:space="preserve"> </w:t>
      </w:r>
      <w:r w:rsidR="000005FB" w:rsidRPr="00613427">
        <w:rPr>
          <w:color w:val="auto"/>
        </w:rPr>
        <w:t>financial contributions to</w:t>
      </w:r>
      <w:r w:rsidRPr="00613427">
        <w:rPr>
          <w:color w:val="auto"/>
        </w:rPr>
        <w:t xml:space="preserve"> individual projects;</w:t>
      </w:r>
      <w:r w:rsidR="006C1DCA" w:rsidRPr="00613427">
        <w:rPr>
          <w:color w:val="auto"/>
        </w:rPr>
        <w:t xml:space="preserve"> and</w:t>
      </w:r>
    </w:p>
    <w:p w14:paraId="01980FFF" w14:textId="77777777" w:rsidR="00760D89" w:rsidRPr="00613427" w:rsidRDefault="006C1DCA" w:rsidP="00E07291">
      <w:pPr>
        <w:pStyle w:val="Normalnumbered"/>
        <w:numPr>
          <w:ilvl w:val="1"/>
          <w:numId w:val="27"/>
        </w:numPr>
        <w:tabs>
          <w:tab w:val="clear" w:pos="1440"/>
          <w:tab w:val="num" w:pos="1134"/>
        </w:tabs>
        <w:ind w:left="1134" w:hanging="567"/>
      </w:pPr>
      <w:bookmarkStart w:id="8" w:name="_Ref497484726"/>
      <w:r w:rsidRPr="00613427">
        <w:t>a</w:t>
      </w:r>
      <w:r w:rsidR="00760D89" w:rsidRPr="00613427">
        <w:t xml:space="preserve">rrangements </w:t>
      </w:r>
      <w:r w:rsidR="004E66B3" w:rsidRPr="00613427">
        <w:t>with the Commonwealth on a cost sharing mechanism for VET Student Loans (VSL), which</w:t>
      </w:r>
      <w:r w:rsidR="00760D89" w:rsidRPr="00613427">
        <w:t xml:space="preserve"> will include an agreement for states to pay 50 per cent of the debt not expected to be repaid for </w:t>
      </w:r>
      <w:r w:rsidR="004E66B3" w:rsidRPr="00613427">
        <w:t>VSLs</w:t>
      </w:r>
      <w:r w:rsidR="00760D89" w:rsidRPr="00613427">
        <w:t xml:space="preserve"> taken out in their State for </w:t>
      </w:r>
      <w:r w:rsidR="00EE2CB0" w:rsidRPr="00613427">
        <w:t xml:space="preserve">vocational education and training (VET) </w:t>
      </w:r>
      <w:r w:rsidR="00800020" w:rsidRPr="00613427">
        <w:rPr>
          <w:color w:val="auto"/>
        </w:rPr>
        <w:t xml:space="preserve">Australian Qualifications Framework level 5 (Diploma) or level 6 (Advanced Diploma) </w:t>
      </w:r>
      <w:r w:rsidR="00760D89" w:rsidRPr="00613427">
        <w:t>courses to which a state subsidy applies plus 50 per cent of public debt interest costs for these loans, arising from the concessional treatment that applies to VSL.</w:t>
      </w:r>
      <w:r w:rsidR="00095560" w:rsidRPr="00613427">
        <w:t xml:space="preserve"> </w:t>
      </w:r>
      <w:r w:rsidR="00760D89" w:rsidRPr="00613427">
        <w:t xml:space="preserve"> This will be paid annually in arrears</w:t>
      </w:r>
      <w:r w:rsidR="00C10226" w:rsidRPr="00613427">
        <w:t>.</w:t>
      </w:r>
      <w:bookmarkEnd w:id="8"/>
    </w:p>
    <w:p w14:paraId="41AA48BB" w14:textId="77777777" w:rsidR="00814667" w:rsidRPr="00613427" w:rsidRDefault="00814667" w:rsidP="00820693">
      <w:pPr>
        <w:pStyle w:val="Heading1"/>
        <w:spacing w:before="360"/>
      </w:pPr>
      <w:r w:rsidRPr="00613427">
        <w:t xml:space="preserve">Part 3 — </w:t>
      </w:r>
      <w:r w:rsidR="008C5DB3" w:rsidRPr="00613427">
        <w:t>R</w:t>
      </w:r>
      <w:r w:rsidRPr="00613427">
        <w:t xml:space="preserve">oles and </w:t>
      </w:r>
      <w:r w:rsidR="008C5DB3" w:rsidRPr="00613427">
        <w:t>R</w:t>
      </w:r>
      <w:r w:rsidRPr="00613427">
        <w:t xml:space="preserve">esponsibilities of </w:t>
      </w:r>
      <w:r w:rsidR="008C5DB3" w:rsidRPr="00613427">
        <w:t>E</w:t>
      </w:r>
      <w:r w:rsidRPr="00613427">
        <w:t xml:space="preserve">ach </w:t>
      </w:r>
      <w:r w:rsidR="008C5DB3" w:rsidRPr="00613427">
        <w:t>P</w:t>
      </w:r>
      <w:r w:rsidRPr="00613427">
        <w:t>arty</w:t>
      </w:r>
    </w:p>
    <w:p w14:paraId="3CB51663" w14:textId="77777777" w:rsidR="00814667" w:rsidRPr="00613427" w:rsidRDefault="00AB79E9" w:rsidP="00D836BA">
      <w:pPr>
        <w:pStyle w:val="Normalnumbered"/>
        <w:numPr>
          <w:ilvl w:val="0"/>
          <w:numId w:val="10"/>
        </w:numPr>
        <w:jc w:val="left"/>
      </w:pPr>
      <w:r w:rsidRPr="00613427">
        <w:t>To realise the objectives and commitments in this Agreement, each Party has specific roles and responsibilities, as outlined below.</w:t>
      </w:r>
    </w:p>
    <w:p w14:paraId="0A289ADA" w14:textId="77777777" w:rsidR="00814667" w:rsidRPr="00613427" w:rsidRDefault="00814667" w:rsidP="00D836BA">
      <w:pPr>
        <w:pStyle w:val="Heading2"/>
      </w:pPr>
      <w:r w:rsidRPr="00613427">
        <w:t>Role of the Commonwealth</w:t>
      </w:r>
    </w:p>
    <w:p w14:paraId="52C94A3A" w14:textId="77777777" w:rsidR="000F03FD" w:rsidRPr="00613427" w:rsidRDefault="000F03FD" w:rsidP="003855CF">
      <w:pPr>
        <w:pStyle w:val="NoSpacing"/>
        <w:numPr>
          <w:ilvl w:val="0"/>
          <w:numId w:val="10"/>
        </w:numPr>
        <w:spacing w:after="240"/>
        <w:rPr>
          <w:rFonts w:ascii="Corbel" w:eastAsia="Times New Roman" w:hAnsi="Corbel" w:cs="Times New Roman"/>
          <w:color w:val="000000"/>
          <w:sz w:val="23"/>
          <w:szCs w:val="20"/>
          <w:lang w:eastAsia="en-AU"/>
        </w:rPr>
      </w:pPr>
      <w:bookmarkStart w:id="9" w:name="_Ref496537474"/>
      <w:r w:rsidRPr="00613427">
        <w:rPr>
          <w:rFonts w:ascii="Corbel" w:eastAsia="Times New Roman" w:hAnsi="Corbel" w:cs="Times New Roman"/>
          <w:color w:val="000000"/>
          <w:sz w:val="23"/>
          <w:szCs w:val="20"/>
          <w:lang w:eastAsia="en-AU"/>
        </w:rPr>
        <w:t>The Commonwealth</w:t>
      </w:r>
      <w:r w:rsidR="004312A9" w:rsidRPr="00613427">
        <w:rPr>
          <w:rFonts w:ascii="Corbel" w:eastAsia="Times New Roman" w:hAnsi="Corbel" w:cs="Times New Roman"/>
          <w:color w:val="000000"/>
          <w:sz w:val="23"/>
          <w:szCs w:val="20"/>
          <w:lang w:eastAsia="en-AU"/>
        </w:rPr>
        <w:t xml:space="preserve"> </w:t>
      </w:r>
      <w:r w:rsidR="00BE76C7" w:rsidRPr="00613427">
        <w:rPr>
          <w:rFonts w:ascii="Corbel" w:eastAsia="Times New Roman" w:hAnsi="Corbel" w:cs="Times New Roman"/>
          <w:color w:val="000000"/>
          <w:sz w:val="23"/>
          <w:szCs w:val="20"/>
          <w:lang w:eastAsia="en-AU"/>
        </w:rPr>
        <w:t xml:space="preserve">agrees to be </w:t>
      </w:r>
      <w:r w:rsidR="004312A9" w:rsidRPr="00613427">
        <w:rPr>
          <w:rFonts w:ascii="Corbel" w:eastAsia="Times New Roman" w:hAnsi="Corbel" w:cs="Times New Roman"/>
          <w:color w:val="000000"/>
          <w:sz w:val="23"/>
          <w:szCs w:val="20"/>
          <w:lang w:eastAsia="en-AU"/>
        </w:rPr>
        <w:t>responsible for</w:t>
      </w:r>
      <w:bookmarkEnd w:id="9"/>
      <w:r w:rsidR="003855CF" w:rsidRPr="00613427">
        <w:rPr>
          <w:rFonts w:ascii="Corbel" w:eastAsia="Times New Roman" w:hAnsi="Corbel" w:cs="Times New Roman"/>
          <w:color w:val="000000"/>
          <w:sz w:val="23"/>
          <w:szCs w:val="20"/>
          <w:lang w:eastAsia="en-AU"/>
        </w:rPr>
        <w:t>:</w:t>
      </w:r>
    </w:p>
    <w:p w14:paraId="0F317348" w14:textId="77777777" w:rsidR="00BE76C7" w:rsidRPr="00613427" w:rsidRDefault="00460F52" w:rsidP="003D4512">
      <w:pPr>
        <w:numPr>
          <w:ilvl w:val="0"/>
          <w:numId w:val="23"/>
        </w:numPr>
        <w:ind w:left="1134" w:hanging="567"/>
        <w:jc w:val="left"/>
        <w:rPr>
          <w:color w:val="auto"/>
        </w:rPr>
      </w:pPr>
      <w:r w:rsidRPr="00613427">
        <w:rPr>
          <w:color w:val="auto"/>
        </w:rPr>
        <w:t>a</w:t>
      </w:r>
      <w:r w:rsidR="00BE76C7" w:rsidRPr="00613427">
        <w:rPr>
          <w:color w:val="auto"/>
        </w:rPr>
        <w:t xml:space="preserve">ssessing </w:t>
      </w:r>
      <w:r w:rsidR="00441859" w:rsidRPr="00613427">
        <w:rPr>
          <w:color w:val="auto"/>
        </w:rPr>
        <w:t xml:space="preserve">project proposals </w:t>
      </w:r>
      <w:r w:rsidR="00BE76C7" w:rsidRPr="00613427">
        <w:rPr>
          <w:color w:val="auto"/>
        </w:rPr>
        <w:t>and determining which projects are to be funded under this Agreement</w:t>
      </w:r>
      <w:r w:rsidR="00760D89" w:rsidRPr="00613427">
        <w:rPr>
          <w:color w:val="auto"/>
        </w:rPr>
        <w:t>;</w:t>
      </w:r>
    </w:p>
    <w:p w14:paraId="77204D52" w14:textId="77777777" w:rsidR="00441859" w:rsidRPr="00613427" w:rsidRDefault="00441859" w:rsidP="003D4512">
      <w:pPr>
        <w:numPr>
          <w:ilvl w:val="0"/>
          <w:numId w:val="23"/>
        </w:numPr>
        <w:ind w:left="1134" w:hanging="567"/>
        <w:jc w:val="left"/>
        <w:rPr>
          <w:color w:val="auto"/>
        </w:rPr>
      </w:pPr>
      <w:r w:rsidRPr="00613427">
        <w:rPr>
          <w:color w:val="auto"/>
        </w:rPr>
        <w:t>advising the States of the outcomes of the project assessment process</w:t>
      </w:r>
      <w:r w:rsidR="00760D89" w:rsidRPr="00613427">
        <w:rPr>
          <w:color w:val="auto"/>
        </w:rPr>
        <w:t>;</w:t>
      </w:r>
    </w:p>
    <w:p w14:paraId="2D433D86" w14:textId="77777777" w:rsidR="000F03FD" w:rsidRPr="00613427" w:rsidRDefault="000F03FD" w:rsidP="003D4512">
      <w:pPr>
        <w:numPr>
          <w:ilvl w:val="0"/>
          <w:numId w:val="23"/>
        </w:numPr>
        <w:ind w:left="1134" w:hanging="567"/>
        <w:jc w:val="left"/>
        <w:rPr>
          <w:color w:val="auto"/>
        </w:rPr>
      </w:pPr>
      <w:r w:rsidRPr="00613427">
        <w:rPr>
          <w:color w:val="auto"/>
        </w:rPr>
        <w:t>providing a financial contribution to the States to support the implementation of this Agreement;</w:t>
      </w:r>
    </w:p>
    <w:p w14:paraId="079C0564" w14:textId="77777777" w:rsidR="00BE76C7" w:rsidRPr="00613427" w:rsidRDefault="00BE76C7" w:rsidP="003D4512">
      <w:pPr>
        <w:numPr>
          <w:ilvl w:val="0"/>
          <w:numId w:val="23"/>
        </w:numPr>
        <w:ind w:left="1134" w:hanging="567"/>
        <w:jc w:val="left"/>
        <w:rPr>
          <w:color w:val="auto"/>
        </w:rPr>
      </w:pPr>
      <w:r w:rsidRPr="00613427">
        <w:rPr>
          <w:color w:val="auto"/>
        </w:rPr>
        <w:lastRenderedPageBreak/>
        <w:t>monitoring and assessing performance in the delivery of projects under this Agreement to ensure that outputs are delivered and outcomes are achieved within agreed timeframes</w:t>
      </w:r>
      <w:r w:rsidR="00833F57" w:rsidRPr="00613427">
        <w:rPr>
          <w:color w:val="auto"/>
        </w:rPr>
        <w:t>;</w:t>
      </w:r>
    </w:p>
    <w:p w14:paraId="07877A4A" w14:textId="77777777" w:rsidR="00480A15" w:rsidRPr="00613427" w:rsidRDefault="00480A15" w:rsidP="003179DC">
      <w:pPr>
        <w:numPr>
          <w:ilvl w:val="0"/>
          <w:numId w:val="23"/>
        </w:numPr>
        <w:ind w:left="1134" w:hanging="567"/>
        <w:jc w:val="left"/>
        <w:rPr>
          <w:color w:val="auto"/>
        </w:rPr>
      </w:pPr>
      <w:r w:rsidRPr="00613427">
        <w:t>monitoring the retention, progression and completion rates for training and the impact of these factors on the ‘in-training’ numbers using publicly available data;</w:t>
      </w:r>
    </w:p>
    <w:p w14:paraId="736B1BC2" w14:textId="77777777" w:rsidR="00474AB1" w:rsidRPr="00613427" w:rsidRDefault="00353304" w:rsidP="003179DC">
      <w:pPr>
        <w:numPr>
          <w:ilvl w:val="0"/>
          <w:numId w:val="23"/>
        </w:numPr>
        <w:ind w:left="1134" w:hanging="567"/>
        <w:jc w:val="left"/>
        <w:rPr>
          <w:color w:val="auto"/>
        </w:rPr>
      </w:pPr>
      <w:r w:rsidRPr="00613427">
        <w:t>monitoring each State’s expenditure on vocational education and training</w:t>
      </w:r>
      <w:r w:rsidR="00474AB1" w:rsidRPr="00613427">
        <w:t xml:space="preserve"> relative to the agreed Budget </w:t>
      </w:r>
      <w:r w:rsidR="00474AB1" w:rsidRPr="00613427">
        <w:rPr>
          <w:color w:val="auto"/>
        </w:rPr>
        <w:t>Benchmark</w:t>
      </w:r>
      <w:r w:rsidR="003179DC" w:rsidRPr="00613427">
        <w:t xml:space="preserve"> using publicly available data and statistics and taking into account circumstances that may impact on the demand for vocational education and training;</w:t>
      </w:r>
    </w:p>
    <w:p w14:paraId="6F14C820" w14:textId="77777777" w:rsidR="003855CF" w:rsidRPr="00613427" w:rsidRDefault="003855CF" w:rsidP="003D4512">
      <w:pPr>
        <w:numPr>
          <w:ilvl w:val="0"/>
          <w:numId w:val="23"/>
        </w:numPr>
        <w:ind w:left="1134" w:hanging="567"/>
        <w:jc w:val="left"/>
        <w:rPr>
          <w:color w:val="auto"/>
        </w:rPr>
      </w:pPr>
      <w:r w:rsidRPr="00613427">
        <w:rPr>
          <w:color w:val="auto"/>
        </w:rPr>
        <w:t xml:space="preserve">monitoring </w:t>
      </w:r>
      <w:r w:rsidR="005B218C" w:rsidRPr="00613427">
        <w:rPr>
          <w:color w:val="auto"/>
        </w:rPr>
        <w:t xml:space="preserve">each </w:t>
      </w:r>
      <w:r w:rsidRPr="00613427">
        <w:rPr>
          <w:color w:val="auto"/>
        </w:rPr>
        <w:t>States’ project</w:t>
      </w:r>
      <w:r w:rsidR="005B218C" w:rsidRPr="00613427">
        <w:rPr>
          <w:color w:val="auto"/>
        </w:rPr>
        <w:t>-related</w:t>
      </w:r>
      <w:r w:rsidRPr="00613427">
        <w:rPr>
          <w:color w:val="auto"/>
        </w:rPr>
        <w:t xml:space="preserve"> expenditure to ensure that financial matching requirements are being met;</w:t>
      </w:r>
    </w:p>
    <w:p w14:paraId="0B4E6DFD" w14:textId="77777777" w:rsidR="005B218C" w:rsidRPr="00613427" w:rsidRDefault="003855CF" w:rsidP="003D4512">
      <w:pPr>
        <w:numPr>
          <w:ilvl w:val="0"/>
          <w:numId w:val="23"/>
        </w:numPr>
        <w:ind w:left="1134" w:hanging="567"/>
        <w:jc w:val="left"/>
        <w:rPr>
          <w:color w:val="auto"/>
        </w:rPr>
      </w:pPr>
      <w:r w:rsidRPr="00613427">
        <w:rPr>
          <w:color w:val="auto"/>
        </w:rPr>
        <w:t xml:space="preserve">publishing estimates of </w:t>
      </w:r>
      <w:r w:rsidR="004A6D74" w:rsidRPr="00613427">
        <w:rPr>
          <w:color w:val="auto"/>
        </w:rPr>
        <w:t>t</w:t>
      </w:r>
      <w:r w:rsidR="00684ACF" w:rsidRPr="00613427">
        <w:rPr>
          <w:color w:val="auto"/>
        </w:rPr>
        <w:t xml:space="preserve">he Levy </w:t>
      </w:r>
      <w:r w:rsidRPr="00613427">
        <w:rPr>
          <w:color w:val="auto"/>
        </w:rPr>
        <w:t>revenue</w:t>
      </w:r>
      <w:r w:rsidR="005B218C" w:rsidRPr="00613427">
        <w:rPr>
          <w:color w:val="auto"/>
        </w:rPr>
        <w:t>;</w:t>
      </w:r>
    </w:p>
    <w:p w14:paraId="5ADE27D9" w14:textId="77777777" w:rsidR="00833F57" w:rsidRPr="00613427" w:rsidRDefault="000F03FD" w:rsidP="00480A15">
      <w:pPr>
        <w:numPr>
          <w:ilvl w:val="0"/>
          <w:numId w:val="23"/>
        </w:numPr>
        <w:ind w:left="1134" w:hanging="567"/>
        <w:jc w:val="left"/>
        <w:rPr>
          <w:color w:val="auto"/>
        </w:rPr>
      </w:pPr>
      <w:r w:rsidRPr="00613427">
        <w:rPr>
          <w:color w:val="auto"/>
        </w:rPr>
        <w:t xml:space="preserve">notifying the </w:t>
      </w:r>
      <w:r w:rsidR="005B218C" w:rsidRPr="00613427">
        <w:rPr>
          <w:color w:val="auto"/>
        </w:rPr>
        <w:t>S</w:t>
      </w:r>
      <w:r w:rsidRPr="00613427">
        <w:rPr>
          <w:color w:val="auto"/>
        </w:rPr>
        <w:t xml:space="preserve">tates of any matters of which the Commonwealth becomes aware, that may affect </w:t>
      </w:r>
      <w:r w:rsidR="005B218C" w:rsidRPr="00613427">
        <w:rPr>
          <w:color w:val="auto"/>
        </w:rPr>
        <w:t>Fund</w:t>
      </w:r>
      <w:r w:rsidRPr="00613427">
        <w:rPr>
          <w:color w:val="auto"/>
        </w:rPr>
        <w:t xml:space="preserve"> revenue</w:t>
      </w:r>
      <w:r w:rsidR="00CB0C61" w:rsidRPr="00613427">
        <w:rPr>
          <w:color w:val="auto"/>
        </w:rPr>
        <w:t>;</w:t>
      </w:r>
      <w:r w:rsidR="00480A15" w:rsidRPr="00613427">
        <w:rPr>
          <w:color w:val="auto"/>
        </w:rPr>
        <w:t xml:space="preserve"> </w:t>
      </w:r>
      <w:r w:rsidR="00833F57" w:rsidRPr="00613427">
        <w:t>and</w:t>
      </w:r>
    </w:p>
    <w:p w14:paraId="17AB9EBB" w14:textId="77777777" w:rsidR="000976A7" w:rsidRPr="00613427" w:rsidRDefault="00353304" w:rsidP="003D4512">
      <w:pPr>
        <w:pStyle w:val="Normalnumbered"/>
        <w:numPr>
          <w:ilvl w:val="0"/>
          <w:numId w:val="23"/>
        </w:numPr>
        <w:ind w:left="1134" w:hanging="567"/>
        <w:jc w:val="left"/>
      </w:pPr>
      <w:proofErr w:type="gramStart"/>
      <w:r w:rsidRPr="00613427">
        <w:t>monitor</w:t>
      </w:r>
      <w:r w:rsidR="00833F57" w:rsidRPr="00613427">
        <w:t>ing</w:t>
      </w:r>
      <w:proofErr w:type="gramEnd"/>
      <w:r w:rsidRPr="00613427">
        <w:t xml:space="preserve"> the intersection of </w:t>
      </w:r>
      <w:r w:rsidR="005B218C" w:rsidRPr="00613427">
        <w:t xml:space="preserve">other </w:t>
      </w:r>
      <w:r w:rsidRPr="00613427">
        <w:t xml:space="preserve">Commonwealth funding streams </w:t>
      </w:r>
      <w:r w:rsidR="005B218C" w:rsidRPr="00613427">
        <w:t xml:space="preserve">and </w:t>
      </w:r>
      <w:r w:rsidRPr="00613427">
        <w:t xml:space="preserve">funding under this Agreement to </w:t>
      </w:r>
      <w:r w:rsidR="005B218C" w:rsidRPr="00613427">
        <w:t xml:space="preserve">maximise effectiveness </w:t>
      </w:r>
      <w:r w:rsidRPr="00613427">
        <w:t>of the Commonwealth’s investment.</w:t>
      </w:r>
    </w:p>
    <w:p w14:paraId="2DF518D1" w14:textId="77777777" w:rsidR="00814667" w:rsidRPr="00613427" w:rsidRDefault="00814667" w:rsidP="00D836BA">
      <w:pPr>
        <w:pStyle w:val="Heading2"/>
      </w:pPr>
      <w:r w:rsidRPr="00613427">
        <w:t>Role of the States</w:t>
      </w:r>
    </w:p>
    <w:p w14:paraId="2EC5DC33" w14:textId="77777777" w:rsidR="00814590" w:rsidRPr="00613427" w:rsidRDefault="000F03FD" w:rsidP="00D836BA">
      <w:pPr>
        <w:pStyle w:val="Normalnumbered"/>
        <w:numPr>
          <w:ilvl w:val="0"/>
          <w:numId w:val="10"/>
        </w:numPr>
        <w:jc w:val="left"/>
      </w:pPr>
      <w:r w:rsidRPr="00613427">
        <w:t xml:space="preserve">The States agree to be </w:t>
      </w:r>
      <w:r w:rsidR="000D441F" w:rsidRPr="00613427">
        <w:t>responsible for</w:t>
      </w:r>
      <w:r w:rsidR="00814590" w:rsidRPr="00613427">
        <w:t>:</w:t>
      </w:r>
    </w:p>
    <w:p w14:paraId="779D54EF" w14:textId="77777777" w:rsidR="00183F47" w:rsidRPr="00613427" w:rsidRDefault="00183F47" w:rsidP="003D4512">
      <w:pPr>
        <w:numPr>
          <w:ilvl w:val="0"/>
          <w:numId w:val="18"/>
        </w:numPr>
        <w:ind w:left="1134" w:hanging="567"/>
        <w:jc w:val="left"/>
        <w:rPr>
          <w:color w:val="auto"/>
        </w:rPr>
      </w:pPr>
      <w:r w:rsidRPr="00613427">
        <w:t>advising the Commonwealth of its proposed Budget Benchmark, what the constituent parts are, and how it is related to public budget documentation;</w:t>
      </w:r>
    </w:p>
    <w:p w14:paraId="69D04ECE" w14:textId="77777777" w:rsidR="00DD2174" w:rsidRPr="00613427" w:rsidRDefault="00DD2174" w:rsidP="003D4512">
      <w:pPr>
        <w:numPr>
          <w:ilvl w:val="0"/>
          <w:numId w:val="18"/>
        </w:numPr>
        <w:ind w:left="1134" w:hanging="567"/>
        <w:jc w:val="left"/>
        <w:rPr>
          <w:color w:val="auto"/>
        </w:rPr>
      </w:pPr>
      <w:r w:rsidRPr="00613427">
        <w:rPr>
          <w:color w:val="auto"/>
        </w:rPr>
        <w:t xml:space="preserve">submitting project proposals </w:t>
      </w:r>
      <w:r w:rsidR="00183F47" w:rsidRPr="00613427">
        <w:rPr>
          <w:color w:val="auto"/>
        </w:rPr>
        <w:t>and supporting evidence demonstrating how the proposed project will support delivery of the outcomes of this Agreement;</w:t>
      </w:r>
    </w:p>
    <w:p w14:paraId="776C29F2" w14:textId="77777777" w:rsidR="00183F47" w:rsidRPr="00613427" w:rsidRDefault="00183F47" w:rsidP="003D4512">
      <w:pPr>
        <w:numPr>
          <w:ilvl w:val="0"/>
          <w:numId w:val="18"/>
        </w:numPr>
        <w:ind w:left="1134" w:hanging="567"/>
        <w:jc w:val="left"/>
        <w:rPr>
          <w:color w:val="auto"/>
        </w:rPr>
      </w:pPr>
      <w:r w:rsidRPr="00613427">
        <w:rPr>
          <w:color w:val="auto"/>
        </w:rPr>
        <w:t>providing a matching financial contribution to support delivery of projects under this Agreement</w:t>
      </w:r>
      <w:r w:rsidR="006C1DCA" w:rsidRPr="00613427">
        <w:rPr>
          <w:color w:val="auto"/>
        </w:rPr>
        <w:t>;</w:t>
      </w:r>
    </w:p>
    <w:p w14:paraId="0B922573" w14:textId="77777777" w:rsidR="00DD2174" w:rsidRPr="00613427" w:rsidRDefault="00DD2174" w:rsidP="003D4512">
      <w:pPr>
        <w:numPr>
          <w:ilvl w:val="0"/>
          <w:numId w:val="18"/>
        </w:numPr>
        <w:ind w:left="1134" w:hanging="567"/>
        <w:jc w:val="left"/>
        <w:rPr>
          <w:color w:val="auto"/>
        </w:rPr>
      </w:pPr>
      <w:r w:rsidRPr="00613427">
        <w:rPr>
          <w:color w:val="auto"/>
        </w:rPr>
        <w:t xml:space="preserve">delivering on outcomes and outputs </w:t>
      </w:r>
      <w:r w:rsidR="001B7AE5" w:rsidRPr="00613427">
        <w:rPr>
          <w:color w:val="auto"/>
        </w:rPr>
        <w:t>of this Agreement</w:t>
      </w:r>
      <w:r w:rsidR="00C274A9" w:rsidRPr="00613427">
        <w:rPr>
          <w:color w:val="auto"/>
        </w:rPr>
        <w:t>;</w:t>
      </w:r>
    </w:p>
    <w:p w14:paraId="00B35BE9" w14:textId="77777777" w:rsidR="00DD2174" w:rsidRPr="00613427" w:rsidRDefault="00DD2174" w:rsidP="003D4512">
      <w:pPr>
        <w:numPr>
          <w:ilvl w:val="0"/>
          <w:numId w:val="18"/>
        </w:numPr>
        <w:ind w:left="1134" w:hanging="567"/>
        <w:jc w:val="left"/>
      </w:pPr>
      <w:r w:rsidRPr="00613427">
        <w:rPr>
          <w:color w:val="auto"/>
        </w:rPr>
        <w:t xml:space="preserve">reporting on </w:t>
      </w:r>
      <w:r w:rsidR="00183F47" w:rsidRPr="00613427">
        <w:rPr>
          <w:color w:val="auto"/>
        </w:rPr>
        <w:t xml:space="preserve">the delivery of outcomes and outputs </w:t>
      </w:r>
      <w:r w:rsidRPr="00613427">
        <w:rPr>
          <w:color w:val="auto"/>
        </w:rPr>
        <w:t xml:space="preserve">as set out in </w:t>
      </w:r>
      <w:r w:rsidRPr="00613427">
        <w:rPr>
          <w:color w:val="auto"/>
        </w:rPr>
        <w:fldChar w:fldCharType="begin"/>
      </w:r>
      <w:r w:rsidRPr="00613427">
        <w:rPr>
          <w:color w:val="auto"/>
        </w:rPr>
        <w:instrText xml:space="preserve"> REF _Ref496535994  \* MERGEFORMAT </w:instrText>
      </w:r>
      <w:r w:rsidRPr="00613427">
        <w:rPr>
          <w:color w:val="auto"/>
        </w:rPr>
        <w:fldChar w:fldCharType="separate"/>
      </w:r>
      <w:r w:rsidR="00DF2EA9" w:rsidRPr="00613427">
        <w:t>Part 4 — Performance Monitoring and Reporting</w:t>
      </w:r>
      <w:r w:rsidRPr="00613427">
        <w:rPr>
          <w:color w:val="auto"/>
        </w:rPr>
        <w:fldChar w:fldCharType="end"/>
      </w:r>
      <w:r w:rsidR="00D30E66" w:rsidRPr="00613427">
        <w:rPr>
          <w:color w:val="auto"/>
        </w:rPr>
        <w:t>; and</w:t>
      </w:r>
    </w:p>
    <w:p w14:paraId="7BD9B6C8" w14:textId="77777777" w:rsidR="00D30E66" w:rsidRPr="00613427" w:rsidRDefault="00D30E66" w:rsidP="003D4512">
      <w:pPr>
        <w:numPr>
          <w:ilvl w:val="0"/>
          <w:numId w:val="18"/>
        </w:numPr>
        <w:ind w:left="1134" w:hanging="567"/>
        <w:jc w:val="left"/>
      </w:pPr>
      <w:proofErr w:type="gramStart"/>
      <w:r w:rsidRPr="00613427">
        <w:t>recognis</w:t>
      </w:r>
      <w:r w:rsidR="00E13170" w:rsidRPr="00613427">
        <w:t>ing</w:t>
      </w:r>
      <w:proofErr w:type="gramEnd"/>
      <w:r w:rsidRPr="00613427">
        <w:t xml:space="preserve"> and correctly acknowledg</w:t>
      </w:r>
      <w:r w:rsidR="00E13170" w:rsidRPr="00613427">
        <w:t>ing</w:t>
      </w:r>
      <w:r w:rsidRPr="00613427">
        <w:t xml:space="preserve"> the respective contribution of the Commonwealth and the States to the activities supported under this Agreement in accordance with clause </w:t>
      </w:r>
      <w:r w:rsidR="002E3008" w:rsidRPr="00613427">
        <w:fldChar w:fldCharType="begin"/>
      </w:r>
      <w:r w:rsidR="002E3008" w:rsidRPr="00613427">
        <w:instrText xml:space="preserve"> REF _Ref497378514 \r \h </w:instrText>
      </w:r>
      <w:r w:rsidR="002C1692" w:rsidRPr="00613427">
        <w:instrText xml:space="preserve"> \* MERGEFORMAT </w:instrText>
      </w:r>
      <w:r w:rsidR="002E3008" w:rsidRPr="00613427">
        <w:fldChar w:fldCharType="separate"/>
      </w:r>
      <w:r w:rsidR="00DF2EA9">
        <w:t>17</w:t>
      </w:r>
      <w:r w:rsidR="002E3008" w:rsidRPr="00613427">
        <w:fldChar w:fldCharType="end"/>
      </w:r>
      <w:r w:rsidRPr="00613427">
        <w:t xml:space="preserve"> of this Agreement.</w:t>
      </w:r>
    </w:p>
    <w:p w14:paraId="6A461F40" w14:textId="77777777" w:rsidR="00AB79E9" w:rsidRPr="00613427" w:rsidRDefault="00AB79E9" w:rsidP="00D836BA">
      <w:pPr>
        <w:pStyle w:val="Heading2"/>
      </w:pPr>
      <w:r w:rsidRPr="00613427">
        <w:t>Shared roles and responsibilities</w:t>
      </w:r>
    </w:p>
    <w:p w14:paraId="1F29C493" w14:textId="77777777" w:rsidR="000F03FD" w:rsidRPr="00613427" w:rsidRDefault="000F03FD" w:rsidP="00D836BA">
      <w:pPr>
        <w:pStyle w:val="Normalnumbered"/>
        <w:numPr>
          <w:ilvl w:val="0"/>
          <w:numId w:val="10"/>
        </w:numPr>
        <w:jc w:val="left"/>
      </w:pPr>
      <w:bookmarkStart w:id="10" w:name="_Ref496537603"/>
      <w:r w:rsidRPr="00613427">
        <w:t xml:space="preserve">The Commonwealth and the States </w:t>
      </w:r>
      <w:r w:rsidR="00183F47" w:rsidRPr="00613427">
        <w:t>agree to be jointly responsible for</w:t>
      </w:r>
      <w:r w:rsidRPr="00613427">
        <w:t>:</w:t>
      </w:r>
      <w:bookmarkEnd w:id="10"/>
    </w:p>
    <w:p w14:paraId="20670B94" w14:textId="77777777" w:rsidR="005A468D" w:rsidRPr="00613427" w:rsidRDefault="005A468D" w:rsidP="003D4512">
      <w:pPr>
        <w:numPr>
          <w:ilvl w:val="0"/>
          <w:numId w:val="19"/>
        </w:numPr>
        <w:ind w:left="1134" w:hanging="567"/>
        <w:jc w:val="left"/>
        <w:rPr>
          <w:color w:val="auto"/>
        </w:rPr>
      </w:pPr>
      <w:r w:rsidRPr="00613427">
        <w:rPr>
          <w:color w:val="auto"/>
        </w:rPr>
        <w:t xml:space="preserve">agreeing </w:t>
      </w:r>
      <w:r w:rsidR="00FD0A33" w:rsidRPr="00613427">
        <w:rPr>
          <w:color w:val="auto"/>
        </w:rPr>
        <w:t>State-specific</w:t>
      </w:r>
      <w:r w:rsidRPr="00613427">
        <w:rPr>
          <w:color w:val="auto"/>
        </w:rPr>
        <w:t xml:space="preserve"> Budget Benchmarks</w:t>
      </w:r>
      <w:r w:rsidR="006E45B9" w:rsidRPr="00613427">
        <w:rPr>
          <w:color w:val="auto"/>
        </w:rPr>
        <w:t>, which may involve the Commonwealth seeking clarification from a State on the components of the Budget Benchmark, how it was calculated, and how it is derived from public budget documentation</w:t>
      </w:r>
      <w:r w:rsidRPr="00613427">
        <w:rPr>
          <w:color w:val="auto"/>
        </w:rPr>
        <w:t>;</w:t>
      </w:r>
    </w:p>
    <w:p w14:paraId="2C33EDE1" w14:textId="77777777" w:rsidR="00BD6FB7" w:rsidRPr="00613427" w:rsidRDefault="00BD6FB7" w:rsidP="003D4512">
      <w:pPr>
        <w:numPr>
          <w:ilvl w:val="0"/>
          <w:numId w:val="19"/>
        </w:numPr>
        <w:ind w:left="1134" w:hanging="567"/>
        <w:jc w:val="left"/>
        <w:rPr>
          <w:color w:val="auto"/>
        </w:rPr>
      </w:pPr>
      <w:r w:rsidRPr="00613427">
        <w:rPr>
          <w:color w:val="auto"/>
        </w:rPr>
        <w:t>agreeing</w:t>
      </w:r>
      <w:r w:rsidRPr="00613427">
        <w:t xml:space="preserve"> the baseline of existing training activity for each State</w:t>
      </w:r>
      <w:r w:rsidR="00B75575" w:rsidRPr="00613427">
        <w:t>,</w:t>
      </w:r>
      <w:r w:rsidR="00B75575" w:rsidRPr="00613427">
        <w:rPr>
          <w:color w:val="auto"/>
        </w:rPr>
        <w:t xml:space="preserve"> adjusted for the cessation of the training outcome component of the NPASR</w:t>
      </w:r>
      <w:r w:rsidR="00B75575" w:rsidRPr="00613427">
        <w:t xml:space="preserve"> </w:t>
      </w:r>
      <w:r w:rsidRPr="00613427">
        <w:t>;</w:t>
      </w:r>
    </w:p>
    <w:p w14:paraId="5F39A4A8" w14:textId="77777777" w:rsidR="005A468D" w:rsidRPr="00613427" w:rsidRDefault="00463F96" w:rsidP="003D4512">
      <w:pPr>
        <w:numPr>
          <w:ilvl w:val="0"/>
          <w:numId w:val="19"/>
        </w:numPr>
        <w:ind w:left="1134" w:hanging="567"/>
        <w:jc w:val="left"/>
        <w:rPr>
          <w:color w:val="auto"/>
        </w:rPr>
      </w:pPr>
      <w:r w:rsidRPr="00613427">
        <w:t xml:space="preserve"> sharing costs of VSL for state funded VET students</w:t>
      </w:r>
      <w:r w:rsidR="00630924" w:rsidRPr="00613427">
        <w:t xml:space="preserve"> in accordance with</w:t>
      </w:r>
      <w:r w:rsidR="00A04916" w:rsidRPr="00613427">
        <w:t xml:space="preserve"> clause</w:t>
      </w:r>
      <w:r w:rsidR="00630924" w:rsidRPr="00613427">
        <w:t xml:space="preserve"> </w:t>
      </w:r>
      <w:r w:rsidR="00914539" w:rsidRPr="00613427">
        <w:t>12</w:t>
      </w:r>
      <w:r w:rsidR="00206668" w:rsidRPr="00613427">
        <w:fldChar w:fldCharType="begin"/>
      </w:r>
      <w:r w:rsidR="00206668" w:rsidRPr="00613427">
        <w:instrText xml:space="preserve"> REF _Ref497484726 \r \h </w:instrText>
      </w:r>
      <w:r w:rsidR="002C1692" w:rsidRPr="00613427">
        <w:instrText xml:space="preserve"> \* MERGEFORMAT </w:instrText>
      </w:r>
      <w:r w:rsidR="00206668" w:rsidRPr="00613427">
        <w:fldChar w:fldCharType="separate"/>
      </w:r>
      <w:r w:rsidR="00DF2EA9">
        <w:t>(d)</w:t>
      </w:r>
      <w:r w:rsidR="00206668" w:rsidRPr="00613427">
        <w:fldChar w:fldCharType="end"/>
      </w:r>
      <w:r w:rsidR="00A04916" w:rsidRPr="00613427">
        <w:t xml:space="preserve"> of this Agreement</w:t>
      </w:r>
      <w:r w:rsidR="00D30E66" w:rsidRPr="00613427">
        <w:t>;</w:t>
      </w:r>
    </w:p>
    <w:p w14:paraId="416EABA8" w14:textId="77777777" w:rsidR="000F03FD" w:rsidRPr="00613427" w:rsidRDefault="000F03FD" w:rsidP="003D4512">
      <w:pPr>
        <w:numPr>
          <w:ilvl w:val="0"/>
          <w:numId w:val="19"/>
        </w:numPr>
        <w:ind w:left="1134" w:hanging="567"/>
        <w:jc w:val="left"/>
        <w:rPr>
          <w:color w:val="auto"/>
        </w:rPr>
      </w:pPr>
      <w:r w:rsidRPr="00613427">
        <w:rPr>
          <w:color w:val="auto"/>
        </w:rPr>
        <w:lastRenderedPageBreak/>
        <w:t>participating in consultations as appropriate regarding the im</w:t>
      </w:r>
      <w:r w:rsidR="00D30E66" w:rsidRPr="00613427">
        <w:rPr>
          <w:color w:val="auto"/>
        </w:rPr>
        <w:t>plementation of this Agreement;</w:t>
      </w:r>
    </w:p>
    <w:p w14:paraId="4DBC11B7" w14:textId="77777777" w:rsidR="002A4B0C" w:rsidRPr="00613427" w:rsidRDefault="002A4B0C" w:rsidP="003D4512">
      <w:pPr>
        <w:pStyle w:val="Normalnumbered"/>
        <w:numPr>
          <w:ilvl w:val="0"/>
          <w:numId w:val="19"/>
        </w:numPr>
        <w:ind w:left="1134" w:hanging="567"/>
        <w:jc w:val="left"/>
        <w:rPr>
          <w:color w:val="auto"/>
        </w:rPr>
      </w:pPr>
      <w:r w:rsidRPr="00613427">
        <w:rPr>
          <w:color w:val="auto"/>
        </w:rPr>
        <w:t xml:space="preserve">agreeing bilateral </w:t>
      </w:r>
      <w:r w:rsidRPr="00613427" w:rsidDel="00045A53">
        <w:rPr>
          <w:color w:val="auto"/>
        </w:rPr>
        <w:t>s</w:t>
      </w:r>
      <w:r w:rsidRPr="00613427">
        <w:rPr>
          <w:color w:val="auto"/>
        </w:rPr>
        <w:t xml:space="preserve">chedules to this Agreement in accordance with </w:t>
      </w:r>
      <w:r w:rsidR="008C5DB3" w:rsidRPr="00613427">
        <w:rPr>
          <w:color w:val="auto"/>
        </w:rPr>
        <w:fldChar w:fldCharType="begin"/>
      </w:r>
      <w:r w:rsidR="008C5DB3" w:rsidRPr="00613427">
        <w:rPr>
          <w:color w:val="auto"/>
        </w:rPr>
        <w:instrText xml:space="preserve"> REF _Ref496535994 </w:instrText>
      </w:r>
      <w:r w:rsidR="00D836BA" w:rsidRPr="00613427">
        <w:rPr>
          <w:color w:val="auto"/>
        </w:rPr>
        <w:instrText xml:space="preserve"> \* MERGEFORMAT </w:instrText>
      </w:r>
      <w:r w:rsidR="008C5DB3" w:rsidRPr="00613427">
        <w:rPr>
          <w:color w:val="auto"/>
        </w:rPr>
        <w:fldChar w:fldCharType="separate"/>
      </w:r>
      <w:r w:rsidR="00DF2EA9" w:rsidRPr="00613427">
        <w:t>Part 4 — Performance Monitoring and Reporting</w:t>
      </w:r>
      <w:r w:rsidR="008C5DB3" w:rsidRPr="00613427">
        <w:rPr>
          <w:color w:val="auto"/>
        </w:rPr>
        <w:fldChar w:fldCharType="end"/>
      </w:r>
      <w:r w:rsidR="00183F47" w:rsidRPr="00613427">
        <w:rPr>
          <w:color w:val="auto"/>
        </w:rPr>
        <w:t>;</w:t>
      </w:r>
      <w:r w:rsidR="00D30E66" w:rsidRPr="00613427">
        <w:rPr>
          <w:color w:val="auto"/>
        </w:rPr>
        <w:t xml:space="preserve"> and</w:t>
      </w:r>
    </w:p>
    <w:p w14:paraId="43007079" w14:textId="77777777" w:rsidR="00D30E66" w:rsidRPr="00613427" w:rsidRDefault="00D30E66" w:rsidP="003D4512">
      <w:pPr>
        <w:pStyle w:val="Normalnumbered"/>
        <w:numPr>
          <w:ilvl w:val="0"/>
          <w:numId w:val="19"/>
        </w:numPr>
        <w:ind w:left="1134" w:hanging="567"/>
        <w:jc w:val="left"/>
      </w:pPr>
      <w:proofErr w:type="gramStart"/>
      <w:r w:rsidRPr="00613427">
        <w:t>agree</w:t>
      </w:r>
      <w:r w:rsidR="005E3694" w:rsidRPr="00613427">
        <w:t>ing</w:t>
      </w:r>
      <w:proofErr w:type="gramEnd"/>
      <w:r w:rsidRPr="00613427">
        <w:t xml:space="preserve"> a protocol for project announcements in accordance with clause 17 of this Agreement.</w:t>
      </w:r>
    </w:p>
    <w:p w14:paraId="02E7A761" w14:textId="77777777" w:rsidR="00A33136" w:rsidRPr="00613427" w:rsidRDefault="000F03FD" w:rsidP="00EB78FA">
      <w:pPr>
        <w:pStyle w:val="Normalnumbered"/>
        <w:numPr>
          <w:ilvl w:val="0"/>
          <w:numId w:val="10"/>
        </w:numPr>
        <w:jc w:val="left"/>
      </w:pPr>
      <w:bookmarkStart w:id="11" w:name="_Ref497378514"/>
      <w:r w:rsidRPr="00613427">
        <w:t>The Parties will meet the requirements of Schedule E, Clause 26 of the I</w:t>
      </w:r>
      <w:r w:rsidR="001254F7" w:rsidRPr="00613427">
        <w:t>GA FFR</w:t>
      </w:r>
      <w:r w:rsidRPr="00613427">
        <w:t>, by ensuring that prior agreement is reached on the nature and content of any events, announcements, promotional material or publicity relating to activities in respect of an agreed project, and that the roles of both Parties will be acknowledged and recognised appropriately.</w:t>
      </w:r>
      <w:bookmarkEnd w:id="11"/>
    </w:p>
    <w:p w14:paraId="0C0CEA6A" w14:textId="77777777" w:rsidR="000F20E4" w:rsidRPr="00613427" w:rsidRDefault="00814667" w:rsidP="00820693">
      <w:pPr>
        <w:pStyle w:val="Heading1"/>
        <w:spacing w:before="360"/>
      </w:pPr>
      <w:bookmarkStart w:id="12" w:name="_Ref496535994"/>
      <w:r w:rsidRPr="00613427">
        <w:t xml:space="preserve">Part 4 — </w:t>
      </w:r>
      <w:r w:rsidR="008C5DB3" w:rsidRPr="00613427">
        <w:t>P</w:t>
      </w:r>
      <w:r w:rsidRPr="00613427">
        <w:t xml:space="preserve">erformance </w:t>
      </w:r>
      <w:r w:rsidR="008C5DB3" w:rsidRPr="00613427">
        <w:t>M</w:t>
      </w:r>
      <w:r w:rsidR="00ED0175" w:rsidRPr="00613427">
        <w:t xml:space="preserve">onitoring </w:t>
      </w:r>
      <w:r w:rsidRPr="00613427">
        <w:t xml:space="preserve">and </w:t>
      </w:r>
      <w:r w:rsidR="008C5DB3" w:rsidRPr="00613427">
        <w:t>R</w:t>
      </w:r>
      <w:r w:rsidRPr="00613427">
        <w:t>eporting</w:t>
      </w:r>
      <w:bookmarkEnd w:id="12"/>
    </w:p>
    <w:p w14:paraId="6689A47F" w14:textId="77777777" w:rsidR="001254F7" w:rsidRPr="00613427" w:rsidRDefault="001254F7" w:rsidP="00D836BA">
      <w:pPr>
        <w:pStyle w:val="Heading2"/>
      </w:pPr>
      <w:r w:rsidRPr="00613427">
        <w:t>Performance indicators</w:t>
      </w:r>
    </w:p>
    <w:p w14:paraId="4978919D" w14:textId="77777777" w:rsidR="001254F7" w:rsidRPr="00613427" w:rsidRDefault="001254F7" w:rsidP="001254F7">
      <w:pPr>
        <w:pStyle w:val="Normalnumbered"/>
        <w:numPr>
          <w:ilvl w:val="0"/>
          <w:numId w:val="10"/>
        </w:numPr>
        <w:jc w:val="left"/>
      </w:pPr>
      <w:r w:rsidRPr="00613427">
        <w:t>Achievement of the objectives and outcomes of this Agreement will be informed with reference to the following performance indicators:</w:t>
      </w:r>
    </w:p>
    <w:p w14:paraId="31771DC3" w14:textId="77777777" w:rsidR="001254F7" w:rsidRPr="00613427" w:rsidDel="00DF65B2" w:rsidRDefault="001254F7" w:rsidP="002C6212">
      <w:pPr>
        <w:pStyle w:val="Normalnumbered"/>
        <w:numPr>
          <w:ilvl w:val="0"/>
          <w:numId w:val="29"/>
        </w:numPr>
        <w:tabs>
          <w:tab w:val="clear" w:pos="1440"/>
          <w:tab w:val="num" w:pos="1134"/>
        </w:tabs>
        <w:ind w:left="1134" w:hanging="567"/>
        <w:jc w:val="left"/>
      </w:pPr>
      <w:r w:rsidRPr="00613427">
        <w:rPr>
          <w:color w:val="auto"/>
        </w:rPr>
        <w:t>The increase in the number of apprenticeships</w:t>
      </w:r>
      <w:r w:rsidRPr="00613427">
        <w:t>, traineeships, pre-apprenticeships, pre-traineeships, higher-apprenticeships, and other relevant employment-related training, relative to agreed baselines in:</w:t>
      </w:r>
    </w:p>
    <w:p w14:paraId="41BD80A1" w14:textId="77777777" w:rsidR="001254F7" w:rsidRPr="00613427" w:rsidRDefault="001254F7" w:rsidP="002C6212">
      <w:pPr>
        <w:pStyle w:val="Normalnumbered"/>
        <w:numPr>
          <w:ilvl w:val="0"/>
          <w:numId w:val="30"/>
        </w:numPr>
        <w:tabs>
          <w:tab w:val="clear" w:pos="1440"/>
          <w:tab w:val="num" w:pos="1701"/>
        </w:tabs>
        <w:ind w:left="1701" w:hanging="425"/>
        <w:jc w:val="left"/>
        <w:rPr>
          <w:color w:val="auto"/>
        </w:rPr>
      </w:pPr>
      <w:r w:rsidRPr="00613427">
        <w:rPr>
          <w:color w:val="auto"/>
        </w:rPr>
        <w:t>occupations in demand;</w:t>
      </w:r>
    </w:p>
    <w:p w14:paraId="1DFC8292" w14:textId="77777777" w:rsidR="001254F7" w:rsidRPr="00613427" w:rsidRDefault="001254F7" w:rsidP="002C6212">
      <w:pPr>
        <w:pStyle w:val="Normalnumbered"/>
        <w:numPr>
          <w:ilvl w:val="0"/>
          <w:numId w:val="30"/>
        </w:numPr>
        <w:tabs>
          <w:tab w:val="clear" w:pos="1440"/>
          <w:tab w:val="num" w:pos="1701"/>
        </w:tabs>
        <w:ind w:left="1701" w:hanging="425"/>
        <w:jc w:val="left"/>
        <w:rPr>
          <w:color w:val="auto"/>
        </w:rPr>
      </w:pPr>
      <w:r w:rsidRPr="00613427">
        <w:rPr>
          <w:color w:val="auto"/>
        </w:rPr>
        <w:t>occupations with a reliance on skilled migration pathways;</w:t>
      </w:r>
    </w:p>
    <w:p w14:paraId="7B29EBF5" w14:textId="77777777" w:rsidR="00C10226" w:rsidRPr="00613427" w:rsidRDefault="00C10226" w:rsidP="002C6212">
      <w:pPr>
        <w:pStyle w:val="Normalnumbered"/>
        <w:numPr>
          <w:ilvl w:val="0"/>
          <w:numId w:val="30"/>
        </w:numPr>
        <w:tabs>
          <w:tab w:val="clear" w:pos="1440"/>
          <w:tab w:val="num" w:pos="1701"/>
        </w:tabs>
        <w:ind w:left="1701" w:hanging="425"/>
        <w:jc w:val="left"/>
        <w:rPr>
          <w:color w:val="auto"/>
        </w:rPr>
      </w:pPr>
      <w:r w:rsidRPr="00613427">
        <w:rPr>
          <w:color w:val="auto"/>
        </w:rPr>
        <w:t>industries and sectors of future growth</w:t>
      </w:r>
      <w:r w:rsidR="006C1DCA" w:rsidRPr="00613427">
        <w:rPr>
          <w:color w:val="auto"/>
        </w:rPr>
        <w:t>;</w:t>
      </w:r>
      <w:r w:rsidRPr="00613427">
        <w:rPr>
          <w:color w:val="auto"/>
        </w:rPr>
        <w:t xml:space="preserve"> </w:t>
      </w:r>
    </w:p>
    <w:p w14:paraId="124E1CCE" w14:textId="77777777" w:rsidR="00C10226" w:rsidRPr="00613427" w:rsidRDefault="00C10226" w:rsidP="002C6212">
      <w:pPr>
        <w:pStyle w:val="Normalnumbered"/>
        <w:numPr>
          <w:ilvl w:val="0"/>
          <w:numId w:val="30"/>
        </w:numPr>
        <w:tabs>
          <w:tab w:val="clear" w:pos="1440"/>
          <w:tab w:val="num" w:pos="1701"/>
        </w:tabs>
        <w:ind w:left="1701" w:hanging="425"/>
        <w:jc w:val="left"/>
        <w:rPr>
          <w:color w:val="auto"/>
        </w:rPr>
      </w:pPr>
      <w:r w:rsidRPr="00613427">
        <w:rPr>
          <w:color w:val="auto"/>
        </w:rPr>
        <w:t xml:space="preserve">trade apprenticeships; </w:t>
      </w:r>
    </w:p>
    <w:p w14:paraId="59B3B59E" w14:textId="77777777" w:rsidR="00C10226" w:rsidRPr="00613427" w:rsidRDefault="00C10226" w:rsidP="002C6212">
      <w:pPr>
        <w:pStyle w:val="Normalnumbered"/>
        <w:numPr>
          <w:ilvl w:val="0"/>
          <w:numId w:val="30"/>
        </w:numPr>
        <w:tabs>
          <w:tab w:val="clear" w:pos="1440"/>
          <w:tab w:val="num" w:pos="1701"/>
        </w:tabs>
        <w:ind w:left="1701" w:hanging="425"/>
        <w:jc w:val="left"/>
        <w:rPr>
          <w:color w:val="auto"/>
        </w:rPr>
      </w:pPr>
      <w:r w:rsidRPr="00613427">
        <w:rPr>
          <w:color w:val="auto"/>
        </w:rPr>
        <w:t xml:space="preserve">rural, regional and remote areas; </w:t>
      </w:r>
    </w:p>
    <w:p w14:paraId="5E4B63BC" w14:textId="77777777" w:rsidR="00F52046" w:rsidRPr="00613427" w:rsidRDefault="00F52046" w:rsidP="002C6212">
      <w:pPr>
        <w:pStyle w:val="Normalnumbered"/>
        <w:numPr>
          <w:ilvl w:val="0"/>
          <w:numId w:val="30"/>
        </w:numPr>
        <w:tabs>
          <w:tab w:val="clear" w:pos="1440"/>
          <w:tab w:val="num" w:pos="1701"/>
        </w:tabs>
        <w:ind w:left="1701" w:hanging="425"/>
        <w:rPr>
          <w:color w:val="auto"/>
        </w:rPr>
      </w:pPr>
      <w:r w:rsidRPr="00613427">
        <w:rPr>
          <w:color w:val="auto"/>
        </w:rPr>
        <w:t xml:space="preserve">targeted cohorts; </w:t>
      </w:r>
    </w:p>
    <w:p w14:paraId="0D3E0E5F" w14:textId="77777777" w:rsidR="00C10226" w:rsidRPr="00613427" w:rsidRDefault="00C10226" w:rsidP="002C6212">
      <w:pPr>
        <w:pStyle w:val="Normalnumbered"/>
        <w:numPr>
          <w:ilvl w:val="0"/>
          <w:numId w:val="30"/>
        </w:numPr>
        <w:tabs>
          <w:tab w:val="clear" w:pos="1440"/>
          <w:tab w:val="num" w:pos="1701"/>
        </w:tabs>
        <w:ind w:left="1701" w:hanging="425"/>
        <w:jc w:val="left"/>
        <w:rPr>
          <w:color w:val="auto"/>
        </w:rPr>
      </w:pPr>
      <w:r w:rsidRPr="00613427">
        <w:rPr>
          <w:color w:val="auto"/>
        </w:rPr>
        <w:t>industries and communities experiencing structural adjustment;</w:t>
      </w:r>
    </w:p>
    <w:p w14:paraId="20BA1BA5" w14:textId="77777777" w:rsidR="001254F7" w:rsidRPr="00613427" w:rsidRDefault="001254F7" w:rsidP="002C6212">
      <w:pPr>
        <w:pStyle w:val="Normalnumbered"/>
        <w:numPr>
          <w:ilvl w:val="0"/>
          <w:numId w:val="30"/>
        </w:numPr>
        <w:tabs>
          <w:tab w:val="clear" w:pos="1440"/>
          <w:tab w:val="num" w:pos="1701"/>
        </w:tabs>
        <w:ind w:left="1701" w:hanging="425"/>
        <w:jc w:val="left"/>
        <w:rPr>
          <w:color w:val="auto"/>
        </w:rPr>
      </w:pPr>
      <w:r w:rsidRPr="00613427">
        <w:rPr>
          <w:color w:val="auto"/>
        </w:rPr>
        <w:t>other workforce priorities agreed on a bilateral basis</w:t>
      </w:r>
      <w:r w:rsidR="007230D2" w:rsidRPr="00613427">
        <w:rPr>
          <w:color w:val="auto"/>
        </w:rPr>
        <w:t xml:space="preserve"> in accordance with clause </w:t>
      </w:r>
      <w:r w:rsidR="00CF5F21" w:rsidRPr="00613427">
        <w:rPr>
          <w:color w:val="auto"/>
        </w:rPr>
        <w:t>11</w:t>
      </w:r>
      <w:r w:rsidR="00CF5F21" w:rsidRPr="00613427">
        <w:rPr>
          <w:color w:val="auto"/>
        </w:rPr>
        <w:fldChar w:fldCharType="begin"/>
      </w:r>
      <w:r w:rsidR="00CF5F21" w:rsidRPr="00613427">
        <w:rPr>
          <w:color w:val="auto"/>
        </w:rPr>
        <w:instrText xml:space="preserve"> REF _Ref497381731 \r \h </w:instrText>
      </w:r>
      <w:r w:rsidR="00C10226" w:rsidRPr="00613427">
        <w:rPr>
          <w:color w:val="auto"/>
        </w:rPr>
        <w:instrText xml:space="preserve"> \* MERGEFORMAT </w:instrText>
      </w:r>
      <w:r w:rsidR="00CF5F21" w:rsidRPr="00613427">
        <w:rPr>
          <w:color w:val="auto"/>
        </w:rPr>
      </w:r>
      <w:r w:rsidR="00CF5F21" w:rsidRPr="00613427">
        <w:rPr>
          <w:color w:val="auto"/>
        </w:rPr>
        <w:fldChar w:fldCharType="separate"/>
      </w:r>
      <w:r w:rsidR="00DF2EA9">
        <w:rPr>
          <w:color w:val="auto"/>
        </w:rPr>
        <w:t>(h)</w:t>
      </w:r>
      <w:r w:rsidR="00CF5F21" w:rsidRPr="00613427">
        <w:rPr>
          <w:color w:val="auto"/>
        </w:rPr>
        <w:fldChar w:fldCharType="end"/>
      </w:r>
      <w:r w:rsidR="002C1692" w:rsidRPr="00613427">
        <w:rPr>
          <w:color w:val="auto"/>
        </w:rPr>
        <w:t xml:space="preserve"> </w:t>
      </w:r>
      <w:r w:rsidR="007230D2" w:rsidRPr="00613427">
        <w:rPr>
          <w:color w:val="auto"/>
        </w:rPr>
        <w:t>of this Agreement</w:t>
      </w:r>
      <w:r w:rsidRPr="00613427">
        <w:rPr>
          <w:color w:val="auto"/>
        </w:rPr>
        <w:t>; and</w:t>
      </w:r>
    </w:p>
    <w:p w14:paraId="1EC34736" w14:textId="77777777" w:rsidR="001254F7" w:rsidRPr="009F6047" w:rsidRDefault="001254F7" w:rsidP="002C6212">
      <w:pPr>
        <w:pStyle w:val="Normalnumbered"/>
        <w:numPr>
          <w:ilvl w:val="0"/>
          <w:numId w:val="30"/>
        </w:numPr>
        <w:tabs>
          <w:tab w:val="clear" w:pos="1440"/>
          <w:tab w:val="num" w:pos="1701"/>
        </w:tabs>
        <w:ind w:left="1701" w:hanging="425"/>
        <w:jc w:val="left"/>
        <w:rPr>
          <w:color w:val="auto"/>
        </w:rPr>
      </w:pPr>
      <w:proofErr w:type="gramStart"/>
      <w:r w:rsidRPr="00613427">
        <w:rPr>
          <w:color w:val="auto"/>
        </w:rPr>
        <w:t>other</w:t>
      </w:r>
      <w:proofErr w:type="gramEnd"/>
      <w:r w:rsidRPr="00613427">
        <w:rPr>
          <w:color w:val="auto"/>
        </w:rPr>
        <w:t xml:space="preserve"> priorities, agreed on a bilateral basis</w:t>
      </w:r>
      <w:r w:rsidR="007230D2" w:rsidRPr="00613427">
        <w:rPr>
          <w:color w:val="auto"/>
        </w:rPr>
        <w:t xml:space="preserve"> in accordance with </w:t>
      </w:r>
      <w:r w:rsidR="007230D2" w:rsidRPr="00670E5A">
        <w:rPr>
          <w:color w:val="auto"/>
        </w:rPr>
        <w:t xml:space="preserve">clause </w:t>
      </w:r>
      <w:r w:rsidR="00CF5F21" w:rsidRPr="00670E5A">
        <w:rPr>
          <w:color w:val="auto"/>
        </w:rPr>
        <w:t>11</w:t>
      </w:r>
      <w:r w:rsidR="00CF5F21" w:rsidRPr="00670E5A">
        <w:rPr>
          <w:color w:val="auto"/>
        </w:rPr>
        <w:fldChar w:fldCharType="begin"/>
      </w:r>
      <w:r w:rsidR="00CF5F21" w:rsidRPr="00670E5A">
        <w:rPr>
          <w:color w:val="auto"/>
        </w:rPr>
        <w:instrText xml:space="preserve"> REF _Ref497381758 \r \h </w:instrText>
      </w:r>
      <w:r w:rsidR="00C10226" w:rsidRPr="00670E5A">
        <w:rPr>
          <w:color w:val="auto"/>
        </w:rPr>
        <w:instrText xml:space="preserve"> \* MERGEFORMAT </w:instrText>
      </w:r>
      <w:r w:rsidR="00CF5F21" w:rsidRPr="00670E5A">
        <w:rPr>
          <w:color w:val="auto"/>
        </w:rPr>
      </w:r>
      <w:r w:rsidR="00CF5F21" w:rsidRPr="00670E5A">
        <w:rPr>
          <w:color w:val="auto"/>
        </w:rPr>
        <w:fldChar w:fldCharType="separate"/>
      </w:r>
      <w:r w:rsidR="00DF2EA9">
        <w:rPr>
          <w:color w:val="auto"/>
        </w:rPr>
        <w:t>(</w:t>
      </w:r>
      <w:proofErr w:type="spellStart"/>
      <w:r w:rsidR="00DF2EA9">
        <w:rPr>
          <w:color w:val="auto"/>
        </w:rPr>
        <w:t>i</w:t>
      </w:r>
      <w:proofErr w:type="spellEnd"/>
      <w:r w:rsidR="00DF2EA9">
        <w:rPr>
          <w:color w:val="auto"/>
        </w:rPr>
        <w:t>)</w:t>
      </w:r>
      <w:r w:rsidR="00CF5F21" w:rsidRPr="00670E5A">
        <w:rPr>
          <w:color w:val="auto"/>
        </w:rPr>
        <w:fldChar w:fldCharType="end"/>
      </w:r>
      <w:r w:rsidR="002C1692" w:rsidRPr="00613427">
        <w:rPr>
          <w:color w:val="auto"/>
        </w:rPr>
        <w:t xml:space="preserve"> </w:t>
      </w:r>
      <w:r w:rsidR="007230D2" w:rsidRPr="00613427">
        <w:rPr>
          <w:color w:val="auto"/>
        </w:rPr>
        <w:t xml:space="preserve">of this </w:t>
      </w:r>
      <w:r w:rsidR="007230D2" w:rsidRPr="009F6047">
        <w:rPr>
          <w:color w:val="auto"/>
        </w:rPr>
        <w:t>Agreement.</w:t>
      </w:r>
    </w:p>
    <w:p w14:paraId="448F93EC" w14:textId="77777777" w:rsidR="00243871" w:rsidRPr="009F6047" w:rsidRDefault="0046329D" w:rsidP="00D836BA">
      <w:pPr>
        <w:pStyle w:val="Heading2"/>
      </w:pPr>
      <w:r w:rsidRPr="009F6047">
        <w:t xml:space="preserve">Performance </w:t>
      </w:r>
      <w:r w:rsidR="00D30E66" w:rsidRPr="009F6047">
        <w:t>targets</w:t>
      </w:r>
    </w:p>
    <w:p w14:paraId="532A8C24" w14:textId="77777777" w:rsidR="00243871" w:rsidRPr="009F6047" w:rsidRDefault="00D143C8" w:rsidP="00820693">
      <w:pPr>
        <w:pStyle w:val="Normalnumbered"/>
        <w:numPr>
          <w:ilvl w:val="0"/>
          <w:numId w:val="10"/>
        </w:numPr>
        <w:jc w:val="left"/>
      </w:pPr>
      <w:bookmarkStart w:id="13" w:name="_Ref496537641"/>
      <w:bookmarkStart w:id="14" w:name="_Ref497382580"/>
      <w:r w:rsidRPr="009F6047">
        <w:t xml:space="preserve">In accordance with clause </w:t>
      </w:r>
      <w:r w:rsidR="00CF5F21" w:rsidRPr="009F6047">
        <w:fldChar w:fldCharType="begin"/>
      </w:r>
      <w:r w:rsidR="00CF5F21" w:rsidRPr="009F6047">
        <w:instrText xml:space="preserve"> REF _Ref497381786 \r \h </w:instrText>
      </w:r>
      <w:r w:rsidR="002C1692" w:rsidRPr="009F6047">
        <w:instrText xml:space="preserve"> \* MERGEFORMAT </w:instrText>
      </w:r>
      <w:r w:rsidR="00CF5F21" w:rsidRPr="009F6047">
        <w:fldChar w:fldCharType="separate"/>
      </w:r>
      <w:r w:rsidR="00DF2EA9">
        <w:t>11</w:t>
      </w:r>
      <w:r w:rsidR="00CF5F21" w:rsidRPr="009F6047">
        <w:fldChar w:fldCharType="end"/>
      </w:r>
      <w:r w:rsidRPr="009F6047">
        <w:t>, t</w:t>
      </w:r>
      <w:r w:rsidR="00243871" w:rsidRPr="009F6047">
        <w:t xml:space="preserve">he </w:t>
      </w:r>
      <w:r w:rsidR="00556077" w:rsidRPr="009F6047">
        <w:t>Fund</w:t>
      </w:r>
      <w:r w:rsidR="00434C50" w:rsidRPr="009F6047">
        <w:rPr>
          <w:rFonts w:cs="Arial"/>
          <w:szCs w:val="23"/>
        </w:rPr>
        <w:t xml:space="preserve"> </w:t>
      </w:r>
      <w:r w:rsidR="00556077" w:rsidRPr="009F6047">
        <w:rPr>
          <w:rFonts w:cs="Arial"/>
          <w:szCs w:val="23"/>
        </w:rPr>
        <w:t xml:space="preserve">will </w:t>
      </w:r>
      <w:r w:rsidR="00434C50" w:rsidRPr="009F6047">
        <w:rPr>
          <w:rFonts w:cs="Arial"/>
          <w:szCs w:val="23"/>
        </w:rPr>
        <w:t xml:space="preserve">support delivery of </w:t>
      </w:r>
      <w:r w:rsidR="00556077" w:rsidRPr="009F6047">
        <w:rPr>
          <w:rFonts w:cs="Arial"/>
          <w:szCs w:val="23"/>
        </w:rPr>
        <w:t xml:space="preserve">a national target of </w:t>
      </w:r>
      <w:r w:rsidR="00434C50" w:rsidRPr="009F6047">
        <w:rPr>
          <w:rFonts w:cs="Arial"/>
          <w:szCs w:val="23"/>
        </w:rPr>
        <w:t xml:space="preserve">up to 300,000 additional training </w:t>
      </w:r>
      <w:r w:rsidR="00434C50" w:rsidRPr="009F6047">
        <w:t>contracts</w:t>
      </w:r>
      <w:r w:rsidR="00556077" w:rsidRPr="009F6047">
        <w:rPr>
          <w:rFonts w:cs="Arial"/>
          <w:szCs w:val="23"/>
        </w:rPr>
        <w:t xml:space="preserve">, or equivalent if the training does not include a training </w:t>
      </w:r>
      <w:r w:rsidR="00556077" w:rsidRPr="009F6047">
        <w:t>contract</w:t>
      </w:r>
      <w:r w:rsidR="00556077" w:rsidRPr="009F6047">
        <w:rPr>
          <w:rFonts w:cs="Arial"/>
          <w:szCs w:val="23"/>
        </w:rPr>
        <w:t xml:space="preserve">, relative to agreed baselines. </w:t>
      </w:r>
      <w:r w:rsidR="009C130D" w:rsidRPr="009F6047">
        <w:t xml:space="preserve"> </w:t>
      </w:r>
      <w:r w:rsidR="00556077" w:rsidRPr="009F6047">
        <w:rPr>
          <w:rFonts w:cs="Arial"/>
          <w:szCs w:val="23"/>
        </w:rPr>
        <w:t xml:space="preserve">This </w:t>
      </w:r>
      <w:r w:rsidR="00C01740" w:rsidRPr="009F6047">
        <w:rPr>
          <w:rFonts w:cs="Arial"/>
          <w:szCs w:val="23"/>
        </w:rPr>
        <w:t>A</w:t>
      </w:r>
      <w:r w:rsidR="00556077" w:rsidRPr="009F6047">
        <w:rPr>
          <w:rFonts w:cs="Arial"/>
          <w:szCs w:val="23"/>
        </w:rPr>
        <w:t xml:space="preserve">greement will contribute to the national target </w:t>
      </w:r>
      <w:r w:rsidR="003A44E5" w:rsidRPr="009F6047">
        <w:t xml:space="preserve">, which is </w:t>
      </w:r>
      <w:r w:rsidR="00243871" w:rsidRPr="009F6047">
        <w:t>comprise</w:t>
      </w:r>
      <w:r w:rsidR="004565EB" w:rsidRPr="009F6047">
        <w:t xml:space="preserve">d </w:t>
      </w:r>
      <w:r w:rsidR="00B36231" w:rsidRPr="009F6047">
        <w:t>of</w:t>
      </w:r>
      <w:r w:rsidR="00556077" w:rsidRPr="009F6047">
        <w:t xml:space="preserve"> approximately</w:t>
      </w:r>
      <w:bookmarkEnd w:id="13"/>
      <w:r w:rsidR="00D30E66" w:rsidRPr="009F6047">
        <w:t>:</w:t>
      </w:r>
      <w:bookmarkEnd w:id="14"/>
    </w:p>
    <w:p w14:paraId="224F1EE4" w14:textId="77777777" w:rsidR="00243871" w:rsidRPr="00613427" w:rsidRDefault="00243871" w:rsidP="00993081">
      <w:pPr>
        <w:numPr>
          <w:ilvl w:val="0"/>
          <w:numId w:val="20"/>
        </w:numPr>
        <w:ind w:left="1134" w:hanging="567"/>
        <w:jc w:val="left"/>
      </w:pPr>
      <w:r w:rsidRPr="00613427">
        <w:t>230,000 apprenticeships and traineeships</w:t>
      </w:r>
      <w:r w:rsidR="00993081" w:rsidRPr="00613427">
        <w:t xml:space="preserve"> which </w:t>
      </w:r>
      <w:r w:rsidR="00993081" w:rsidRPr="00613427" w:rsidDel="007C5D3D">
        <w:t>may include training that shares similar characteristics to an apprenticeship or traineeship provided that the training is</w:t>
      </w:r>
      <w:r w:rsidR="00993081" w:rsidRPr="00613427">
        <w:t xml:space="preserve"> </w:t>
      </w:r>
      <w:r w:rsidR="00993081" w:rsidRPr="00613427" w:rsidDel="007C5D3D">
        <w:t>at certificate III or</w:t>
      </w:r>
      <w:r w:rsidR="00993081" w:rsidRPr="00613427">
        <w:t xml:space="preserve"> IV</w:t>
      </w:r>
      <w:r w:rsidR="00C978B7" w:rsidRPr="00613427">
        <w:t>;</w:t>
      </w:r>
    </w:p>
    <w:p w14:paraId="5060D430" w14:textId="77777777" w:rsidR="00243871" w:rsidRPr="00613427" w:rsidRDefault="00243871" w:rsidP="003D4512">
      <w:pPr>
        <w:numPr>
          <w:ilvl w:val="0"/>
          <w:numId w:val="20"/>
        </w:numPr>
        <w:ind w:left="1134" w:hanging="567"/>
        <w:jc w:val="left"/>
        <w:rPr>
          <w:color w:val="auto"/>
        </w:rPr>
      </w:pPr>
      <w:r w:rsidRPr="00613427">
        <w:rPr>
          <w:color w:val="auto"/>
        </w:rPr>
        <w:t>50,</w:t>
      </w:r>
      <w:r w:rsidRPr="00613427">
        <w:t>000</w:t>
      </w:r>
      <w:r w:rsidRPr="00613427">
        <w:rPr>
          <w:color w:val="auto"/>
        </w:rPr>
        <w:t xml:space="preserve"> pre-apprenticeships and pre-traineeships</w:t>
      </w:r>
      <w:r w:rsidR="001B7AE5" w:rsidRPr="00613427">
        <w:rPr>
          <w:color w:val="auto"/>
        </w:rPr>
        <w:t>; and</w:t>
      </w:r>
    </w:p>
    <w:p w14:paraId="2DB91A98" w14:textId="77777777" w:rsidR="00243871" w:rsidRPr="00613427" w:rsidRDefault="00243871" w:rsidP="003D4512">
      <w:pPr>
        <w:numPr>
          <w:ilvl w:val="0"/>
          <w:numId w:val="20"/>
        </w:numPr>
        <w:ind w:left="1134" w:hanging="567"/>
        <w:jc w:val="left"/>
        <w:rPr>
          <w:rFonts w:ascii="Arial" w:hAnsi="Arial" w:cs="Arial"/>
          <w:sz w:val="24"/>
          <w:szCs w:val="24"/>
        </w:rPr>
      </w:pPr>
      <w:r w:rsidRPr="00613427">
        <w:rPr>
          <w:color w:val="auto"/>
        </w:rPr>
        <w:lastRenderedPageBreak/>
        <w:t>20,</w:t>
      </w:r>
      <w:r w:rsidRPr="00613427">
        <w:t>000</w:t>
      </w:r>
      <w:r w:rsidRPr="00613427">
        <w:rPr>
          <w:color w:val="auto"/>
        </w:rPr>
        <w:t xml:space="preserve"> higher apprenticeships</w:t>
      </w:r>
      <w:r w:rsidR="00D30E66" w:rsidRPr="00613427">
        <w:rPr>
          <w:rFonts w:ascii="Arial" w:hAnsi="Arial" w:cs="Arial"/>
          <w:sz w:val="24"/>
          <w:szCs w:val="24"/>
        </w:rPr>
        <w:t>.</w:t>
      </w:r>
    </w:p>
    <w:p w14:paraId="313DF4F0" w14:textId="77777777" w:rsidR="001254F7" w:rsidRPr="00613427" w:rsidRDefault="001254F7" w:rsidP="001254F7">
      <w:pPr>
        <w:pStyle w:val="Normalnumbered"/>
        <w:numPr>
          <w:ilvl w:val="0"/>
          <w:numId w:val="10"/>
        </w:numPr>
        <w:jc w:val="left"/>
      </w:pPr>
      <w:bookmarkStart w:id="15" w:name="_Ref496537716"/>
      <w:r w:rsidRPr="00613427">
        <w:t xml:space="preserve">Unless the Commonwealth determines otherwise, State targets </w:t>
      </w:r>
      <w:r w:rsidR="005B2D17" w:rsidRPr="00613427">
        <w:t>supported</w:t>
      </w:r>
      <w:r w:rsidR="00EE6F39" w:rsidRPr="00613427">
        <w:t xml:space="preserve"> by</w:t>
      </w:r>
      <w:r w:rsidR="007362B8" w:rsidRPr="00613427">
        <w:t xml:space="preserve"> the Fund </w:t>
      </w:r>
      <w:r w:rsidRPr="00613427">
        <w:t xml:space="preserve">will </w:t>
      </w:r>
      <w:r w:rsidR="00C01740" w:rsidRPr="00613427">
        <w:t xml:space="preserve">contribute </w:t>
      </w:r>
      <w:r w:rsidRPr="00613427">
        <w:t>to the national target and will be commensurate with each State’s population share of available Fund revenue.</w:t>
      </w:r>
    </w:p>
    <w:p w14:paraId="30EA6C1C" w14:textId="77777777" w:rsidR="001254F7" w:rsidRPr="00613427" w:rsidRDefault="00FB69F2" w:rsidP="00D143C8">
      <w:pPr>
        <w:pStyle w:val="Normalnumbered"/>
        <w:numPr>
          <w:ilvl w:val="0"/>
          <w:numId w:val="10"/>
        </w:numPr>
        <w:jc w:val="left"/>
      </w:pPr>
      <w:r w:rsidRPr="00613427">
        <w:t xml:space="preserve">The national target and </w:t>
      </w:r>
      <w:r w:rsidR="00D30E66" w:rsidRPr="00613427">
        <w:t>State</w:t>
      </w:r>
      <w:r w:rsidRPr="00613427">
        <w:t xml:space="preserve"> targets may be adjusted </w:t>
      </w:r>
      <w:r w:rsidR="00D143C8" w:rsidRPr="00613427">
        <w:t xml:space="preserve">on a pro rata basis </w:t>
      </w:r>
      <w:r w:rsidRPr="00613427">
        <w:t xml:space="preserve">over time </w:t>
      </w:r>
      <w:r w:rsidR="00D30E66" w:rsidRPr="00613427">
        <w:t xml:space="preserve">for </w:t>
      </w:r>
      <w:r w:rsidRPr="00613427">
        <w:t xml:space="preserve">any variations in </w:t>
      </w:r>
      <w:r w:rsidR="00D30E66" w:rsidRPr="00613427">
        <w:t>Fund revenue</w:t>
      </w:r>
      <w:r w:rsidR="00D143C8" w:rsidRPr="00613427">
        <w:t>.</w:t>
      </w:r>
    </w:p>
    <w:bookmarkEnd w:id="15"/>
    <w:p w14:paraId="2C424E9B" w14:textId="77777777" w:rsidR="00D143C8" w:rsidRPr="00613427" w:rsidRDefault="00D143C8" w:rsidP="00D143C8">
      <w:pPr>
        <w:pStyle w:val="Heading2"/>
      </w:pPr>
      <w:r w:rsidRPr="00613427">
        <w:t xml:space="preserve">Bilateral </w:t>
      </w:r>
      <w:r w:rsidR="0079260B" w:rsidRPr="00613427">
        <w:t>s</w:t>
      </w:r>
      <w:r w:rsidRPr="00613427">
        <w:t>chedules</w:t>
      </w:r>
    </w:p>
    <w:p w14:paraId="06CE6163" w14:textId="77777777" w:rsidR="0079260B" w:rsidRPr="00613427" w:rsidRDefault="0079260B" w:rsidP="00D143C8">
      <w:pPr>
        <w:pStyle w:val="Normalnumbered"/>
        <w:numPr>
          <w:ilvl w:val="0"/>
          <w:numId w:val="10"/>
        </w:numPr>
        <w:jc w:val="left"/>
      </w:pPr>
      <w:r w:rsidRPr="00613427">
        <w:t>In accordance with clause</w:t>
      </w:r>
      <w:r w:rsidR="00855973" w:rsidRPr="00613427">
        <w:t>s 16(e) and</w:t>
      </w:r>
      <w:r w:rsidRPr="00613427">
        <w:t xml:space="preserve"> </w:t>
      </w:r>
      <w:r w:rsidR="00DD7656" w:rsidRPr="00613427">
        <w:fldChar w:fldCharType="begin"/>
      </w:r>
      <w:r w:rsidR="00DD7656" w:rsidRPr="00613427">
        <w:instrText xml:space="preserve"> REF _Ref497381933 \r \h </w:instrText>
      </w:r>
      <w:r w:rsidR="005969EF" w:rsidRPr="00613427">
        <w:instrText xml:space="preserve"> \* MERGEFORMAT </w:instrText>
      </w:r>
      <w:r w:rsidR="00DD7656" w:rsidRPr="00613427">
        <w:fldChar w:fldCharType="separate"/>
      </w:r>
      <w:r w:rsidR="00DF2EA9">
        <w:t>53</w:t>
      </w:r>
      <w:r w:rsidR="00DD7656" w:rsidRPr="00613427">
        <w:fldChar w:fldCharType="end"/>
      </w:r>
      <w:r w:rsidRPr="00613427">
        <w:t xml:space="preserve"> of this Agreement, the Commonwealth and relevant State ministers with portfolio responsibility for vocational education and training will agree bilateral schedules to this Agreement.</w:t>
      </w:r>
    </w:p>
    <w:p w14:paraId="367AB49C" w14:textId="77777777" w:rsidR="0079260B" w:rsidRPr="00613427" w:rsidRDefault="0079260B" w:rsidP="00D143C8">
      <w:pPr>
        <w:pStyle w:val="Normalnumbered"/>
        <w:numPr>
          <w:ilvl w:val="0"/>
          <w:numId w:val="10"/>
        </w:numPr>
        <w:jc w:val="left"/>
      </w:pPr>
      <w:r w:rsidRPr="00613427">
        <w:t>Bilateral schedules will set out:</w:t>
      </w:r>
    </w:p>
    <w:p w14:paraId="1C6F8D81" w14:textId="77777777" w:rsidR="0079260B" w:rsidRPr="00613427" w:rsidRDefault="0079260B" w:rsidP="000B3B21">
      <w:pPr>
        <w:numPr>
          <w:ilvl w:val="0"/>
          <w:numId w:val="21"/>
        </w:numPr>
        <w:ind w:left="1134" w:hanging="567"/>
        <w:jc w:val="left"/>
        <w:rPr>
          <w:color w:val="auto"/>
        </w:rPr>
      </w:pPr>
      <w:r w:rsidRPr="00613427">
        <w:rPr>
          <w:color w:val="auto"/>
        </w:rPr>
        <w:t xml:space="preserve">the State’s </w:t>
      </w:r>
      <w:r w:rsidR="00FE7D40" w:rsidRPr="00613427">
        <w:rPr>
          <w:color w:val="auto"/>
        </w:rPr>
        <w:t xml:space="preserve">agreed </w:t>
      </w:r>
      <w:r w:rsidRPr="00613427">
        <w:rPr>
          <w:color w:val="auto"/>
        </w:rPr>
        <w:t>Budget Benchmark;</w:t>
      </w:r>
    </w:p>
    <w:p w14:paraId="7E94569D" w14:textId="77777777" w:rsidR="003D4512" w:rsidRPr="00613427" w:rsidRDefault="003D4512" w:rsidP="000B3B21">
      <w:pPr>
        <w:numPr>
          <w:ilvl w:val="0"/>
          <w:numId w:val="21"/>
        </w:numPr>
        <w:ind w:left="1134" w:hanging="567"/>
        <w:jc w:val="left"/>
        <w:rPr>
          <w:color w:val="auto"/>
        </w:rPr>
      </w:pPr>
      <w:r w:rsidRPr="00613427">
        <w:rPr>
          <w:color w:val="auto"/>
        </w:rPr>
        <w:t>the Commonwealth’s estimated financial contribution and State’s matched financial contribution to each project;</w:t>
      </w:r>
    </w:p>
    <w:p w14:paraId="1BCBD38D" w14:textId="77777777" w:rsidR="00621E62" w:rsidRPr="00613427" w:rsidRDefault="00621E62" w:rsidP="00621E62">
      <w:pPr>
        <w:numPr>
          <w:ilvl w:val="0"/>
          <w:numId w:val="21"/>
        </w:numPr>
        <w:ind w:left="1134" w:hanging="567"/>
        <w:jc w:val="left"/>
        <w:rPr>
          <w:color w:val="auto"/>
        </w:rPr>
      </w:pPr>
      <w:r w:rsidRPr="00613427">
        <w:rPr>
          <w:color w:val="auto"/>
        </w:rPr>
        <w:t>the State’s baseline of existing training activity</w:t>
      </w:r>
      <w:r w:rsidR="000C13BB" w:rsidRPr="00613427">
        <w:rPr>
          <w:color w:val="auto"/>
        </w:rPr>
        <w:t xml:space="preserve"> adjusted for the cessation of the training outcome component of the NPASR</w:t>
      </w:r>
      <w:r w:rsidR="00CE1559" w:rsidRPr="00613427">
        <w:rPr>
          <w:color w:val="auto"/>
        </w:rPr>
        <w:t>;</w:t>
      </w:r>
    </w:p>
    <w:p w14:paraId="757F8E21" w14:textId="77777777" w:rsidR="00FB750E" w:rsidRPr="00613427" w:rsidRDefault="004152AB" w:rsidP="000B3B21">
      <w:pPr>
        <w:numPr>
          <w:ilvl w:val="0"/>
          <w:numId w:val="21"/>
        </w:numPr>
        <w:ind w:left="1134" w:hanging="567"/>
        <w:jc w:val="left"/>
        <w:rPr>
          <w:color w:val="auto"/>
        </w:rPr>
      </w:pPr>
      <w:r w:rsidRPr="00613427">
        <w:rPr>
          <w:color w:val="auto"/>
        </w:rPr>
        <w:t>the number</w:t>
      </w:r>
      <w:r w:rsidR="00AA2FC4" w:rsidRPr="00613427">
        <w:rPr>
          <w:color w:val="auto"/>
        </w:rPr>
        <w:t>,</w:t>
      </w:r>
      <w:r w:rsidR="00AE6D17" w:rsidRPr="00613427">
        <w:rPr>
          <w:color w:val="auto"/>
        </w:rPr>
        <w:t xml:space="preserve"> type </w:t>
      </w:r>
      <w:r w:rsidR="00AA2FC4" w:rsidRPr="00613427">
        <w:rPr>
          <w:color w:val="auto"/>
        </w:rPr>
        <w:t xml:space="preserve">and priority areas </w:t>
      </w:r>
      <w:r w:rsidRPr="00613427">
        <w:rPr>
          <w:color w:val="auto"/>
        </w:rPr>
        <w:t xml:space="preserve">of additional training </w:t>
      </w:r>
      <w:r w:rsidRPr="00670E5A">
        <w:rPr>
          <w:color w:val="auto"/>
        </w:rPr>
        <w:t>contracts</w:t>
      </w:r>
      <w:r w:rsidRPr="00613427">
        <w:rPr>
          <w:color w:val="auto"/>
        </w:rPr>
        <w:t xml:space="preserve"> </w:t>
      </w:r>
      <w:r w:rsidR="00F078F0" w:rsidRPr="00613427">
        <w:rPr>
          <w:color w:val="auto"/>
        </w:rPr>
        <w:t xml:space="preserve">or equivalent </w:t>
      </w:r>
      <w:r w:rsidR="007C10DC" w:rsidRPr="00613427">
        <w:rPr>
          <w:color w:val="auto"/>
        </w:rPr>
        <w:t>expected to be delivered</w:t>
      </w:r>
      <w:r w:rsidR="00FB750E" w:rsidRPr="00613427">
        <w:rPr>
          <w:color w:val="auto"/>
        </w:rPr>
        <w:t>;</w:t>
      </w:r>
      <w:r w:rsidR="005B2D17" w:rsidRPr="00613427">
        <w:rPr>
          <w:color w:val="auto"/>
        </w:rPr>
        <w:t xml:space="preserve"> and</w:t>
      </w:r>
    </w:p>
    <w:p w14:paraId="397C73E3" w14:textId="77777777" w:rsidR="005203E5" w:rsidRPr="00613427" w:rsidRDefault="005203E5" w:rsidP="000B3B21">
      <w:pPr>
        <w:numPr>
          <w:ilvl w:val="0"/>
          <w:numId w:val="21"/>
        </w:numPr>
        <w:ind w:left="1134" w:hanging="567"/>
        <w:jc w:val="left"/>
        <w:rPr>
          <w:color w:val="auto"/>
        </w:rPr>
      </w:pPr>
      <w:r w:rsidRPr="00613427">
        <w:rPr>
          <w:color w:val="auto"/>
        </w:rPr>
        <w:t>performance benchmarks and/or milestones for agreed projects, their relationship to the outcome and outputs of this Agreement, expected completion dates, relevant reporting data and expected payments to be made; and</w:t>
      </w:r>
    </w:p>
    <w:p w14:paraId="76769484" w14:textId="77777777" w:rsidR="00D143C8" w:rsidRPr="00613427" w:rsidRDefault="00D143C8" w:rsidP="005B2D17">
      <w:pPr>
        <w:numPr>
          <w:ilvl w:val="0"/>
          <w:numId w:val="21"/>
        </w:numPr>
        <w:ind w:left="1134" w:hanging="567"/>
        <w:jc w:val="left"/>
        <w:rPr>
          <w:color w:val="auto"/>
        </w:rPr>
      </w:pPr>
      <w:proofErr w:type="gramStart"/>
      <w:r w:rsidRPr="00613427">
        <w:rPr>
          <w:color w:val="auto"/>
        </w:rPr>
        <w:t>data</w:t>
      </w:r>
      <w:proofErr w:type="gramEnd"/>
      <w:r w:rsidRPr="00613427">
        <w:rPr>
          <w:color w:val="auto"/>
        </w:rPr>
        <w:t xml:space="preserve"> to be used to report</w:t>
      </w:r>
      <w:r w:rsidR="004476A2" w:rsidRPr="00613427">
        <w:rPr>
          <w:color w:val="auto"/>
        </w:rPr>
        <w:t xml:space="preserve"> the </w:t>
      </w:r>
      <w:r w:rsidR="00A04BA0" w:rsidRPr="00613427">
        <w:rPr>
          <w:color w:val="auto"/>
        </w:rPr>
        <w:t xml:space="preserve">delivery of </w:t>
      </w:r>
      <w:r w:rsidR="005B2D17" w:rsidRPr="00613427">
        <w:rPr>
          <w:color w:val="auto"/>
        </w:rPr>
        <w:t xml:space="preserve">performance benchmarks and/or </w:t>
      </w:r>
      <w:r w:rsidR="007362B8" w:rsidRPr="00613427">
        <w:rPr>
          <w:color w:val="auto"/>
        </w:rPr>
        <w:t xml:space="preserve">milestones and </w:t>
      </w:r>
      <w:r w:rsidRPr="00613427">
        <w:rPr>
          <w:color w:val="auto"/>
        </w:rPr>
        <w:t xml:space="preserve">achievement against performance </w:t>
      </w:r>
      <w:r w:rsidR="007362B8" w:rsidRPr="00613427">
        <w:rPr>
          <w:color w:val="auto"/>
        </w:rPr>
        <w:t>benchmarks</w:t>
      </w:r>
      <w:r w:rsidR="003D4512" w:rsidRPr="00613427">
        <w:rPr>
          <w:color w:val="auto"/>
        </w:rPr>
        <w:t>.</w:t>
      </w:r>
    </w:p>
    <w:p w14:paraId="3E2C8FFA" w14:textId="77777777" w:rsidR="00441859" w:rsidRPr="00613427" w:rsidRDefault="00441859" w:rsidP="000B3B21">
      <w:pPr>
        <w:pStyle w:val="Normalnumbered"/>
        <w:numPr>
          <w:ilvl w:val="0"/>
          <w:numId w:val="10"/>
        </w:numPr>
        <w:jc w:val="left"/>
        <w:rPr>
          <w:color w:val="auto"/>
        </w:rPr>
      </w:pPr>
      <w:r w:rsidRPr="00613427">
        <w:rPr>
          <w:color w:val="auto"/>
        </w:rPr>
        <w:t xml:space="preserve">Arrangements for multi-jurisdictional projects will be set out in the bilateral schedules of </w:t>
      </w:r>
      <w:r w:rsidR="007D77AC" w:rsidRPr="00613427">
        <w:rPr>
          <w:color w:val="auto"/>
        </w:rPr>
        <w:t xml:space="preserve">the </w:t>
      </w:r>
      <w:r w:rsidRPr="00613427">
        <w:rPr>
          <w:color w:val="auto"/>
        </w:rPr>
        <w:t>relevant States.</w:t>
      </w:r>
    </w:p>
    <w:p w14:paraId="4E9C459B" w14:textId="77777777" w:rsidR="000B3B21" w:rsidRPr="00613427" w:rsidRDefault="000B3B21" w:rsidP="000B3B21">
      <w:pPr>
        <w:pStyle w:val="Normalnumbered"/>
        <w:numPr>
          <w:ilvl w:val="0"/>
          <w:numId w:val="10"/>
        </w:numPr>
        <w:jc w:val="left"/>
        <w:rPr>
          <w:color w:val="auto"/>
        </w:rPr>
      </w:pPr>
      <w:r w:rsidRPr="00613427">
        <w:rPr>
          <w:color w:val="auto"/>
        </w:rPr>
        <w:t xml:space="preserve">In accordance </w:t>
      </w:r>
      <w:r w:rsidR="00671858" w:rsidRPr="00613427">
        <w:rPr>
          <w:color w:val="auto"/>
        </w:rPr>
        <w:t xml:space="preserve">with clause </w:t>
      </w:r>
      <w:r w:rsidR="00C45AE6" w:rsidRPr="00613427">
        <w:rPr>
          <w:color w:val="auto"/>
        </w:rPr>
        <w:fldChar w:fldCharType="begin"/>
      </w:r>
      <w:r w:rsidR="00C45AE6" w:rsidRPr="00613427">
        <w:rPr>
          <w:color w:val="auto"/>
        </w:rPr>
        <w:instrText xml:space="preserve"> REF _Ref497382142 \r \h </w:instrText>
      </w:r>
      <w:r w:rsidR="001A57D2" w:rsidRPr="00613427">
        <w:rPr>
          <w:color w:val="auto"/>
        </w:rPr>
        <w:instrText xml:space="preserve"> \* MERGEFORMAT </w:instrText>
      </w:r>
      <w:r w:rsidR="00C45AE6" w:rsidRPr="00613427">
        <w:rPr>
          <w:color w:val="auto"/>
        </w:rPr>
      </w:r>
      <w:r w:rsidR="00C45AE6" w:rsidRPr="00613427">
        <w:rPr>
          <w:color w:val="auto"/>
        </w:rPr>
        <w:fldChar w:fldCharType="separate"/>
      </w:r>
      <w:r w:rsidR="00DF2EA9">
        <w:rPr>
          <w:color w:val="auto"/>
        </w:rPr>
        <w:t>50</w:t>
      </w:r>
      <w:r w:rsidR="00C45AE6" w:rsidRPr="00613427">
        <w:rPr>
          <w:color w:val="auto"/>
        </w:rPr>
        <w:fldChar w:fldCharType="end"/>
      </w:r>
      <w:r w:rsidRPr="00613427">
        <w:rPr>
          <w:color w:val="auto"/>
        </w:rPr>
        <w:t xml:space="preserve"> of this Agreement, </w:t>
      </w:r>
      <w:r w:rsidRPr="00613427">
        <w:t xml:space="preserve">bilateral schedules may be amended </w:t>
      </w:r>
      <w:r w:rsidR="00887B1A" w:rsidRPr="00613427">
        <w:t xml:space="preserve">from time to time </w:t>
      </w:r>
      <w:r w:rsidRPr="00613427">
        <w:t>to</w:t>
      </w:r>
      <w:r w:rsidR="008C29EB" w:rsidRPr="00613427">
        <w:t xml:space="preserve"> </w:t>
      </w:r>
      <w:r w:rsidR="00887B1A" w:rsidRPr="00613427">
        <w:t xml:space="preserve">amend </w:t>
      </w:r>
      <w:r w:rsidR="008C29EB" w:rsidRPr="00613427">
        <w:t xml:space="preserve">existing projects </w:t>
      </w:r>
      <w:r w:rsidR="005737A1" w:rsidRPr="00613427">
        <w:t xml:space="preserve">or </w:t>
      </w:r>
      <w:r w:rsidRPr="00613427">
        <w:t>include additional projects</w:t>
      </w:r>
      <w:r w:rsidR="00FF541D" w:rsidRPr="00613427">
        <w:t xml:space="preserve"> </w:t>
      </w:r>
      <w:r w:rsidRPr="00613427">
        <w:t xml:space="preserve">up to the maximum estimated Commonwealth financial contribution for </w:t>
      </w:r>
      <w:r w:rsidR="00441859" w:rsidRPr="00613427">
        <w:t>each</w:t>
      </w:r>
      <w:r w:rsidRPr="00613427">
        <w:t xml:space="preserve"> State, subject to Commonwealth budget rules as appropriate, and the written agreement of Commonwealth and State ministers</w:t>
      </w:r>
      <w:r w:rsidR="00441859" w:rsidRPr="00613427">
        <w:t xml:space="preserve"> with portfolio responsibility for vocational education and training</w:t>
      </w:r>
      <w:r w:rsidRPr="00613427">
        <w:t>.</w:t>
      </w:r>
    </w:p>
    <w:p w14:paraId="5C2738B4" w14:textId="77777777" w:rsidR="00470A57" w:rsidRPr="00613427" w:rsidRDefault="009F50E0" w:rsidP="00470A57">
      <w:pPr>
        <w:pStyle w:val="Heading2"/>
      </w:pPr>
      <w:r w:rsidRPr="00613427">
        <w:t>P</w:t>
      </w:r>
      <w:r w:rsidR="0045345B" w:rsidRPr="00613427">
        <w:t>rojects</w:t>
      </w:r>
    </w:p>
    <w:p w14:paraId="67B732B8" w14:textId="77777777" w:rsidR="000B3B21" w:rsidRPr="00613427" w:rsidRDefault="00202DEB" w:rsidP="008028DA">
      <w:pPr>
        <w:pStyle w:val="Normalnumbered"/>
        <w:numPr>
          <w:ilvl w:val="0"/>
          <w:numId w:val="10"/>
        </w:numPr>
        <w:jc w:val="left"/>
      </w:pPr>
      <w:r w:rsidRPr="00613427">
        <w:t xml:space="preserve">In accordance with clause </w:t>
      </w:r>
      <w:r w:rsidR="002A1FD8" w:rsidRPr="00613427">
        <w:fldChar w:fldCharType="begin"/>
      </w:r>
      <w:r w:rsidR="002A1FD8" w:rsidRPr="00613427">
        <w:instrText xml:space="preserve"> REF _Ref497382181 \r \h </w:instrText>
      </w:r>
      <w:r w:rsidR="0045615E" w:rsidRPr="00613427">
        <w:instrText xml:space="preserve"> \* MERGEFORMAT </w:instrText>
      </w:r>
      <w:r w:rsidR="002A1FD8" w:rsidRPr="00613427">
        <w:fldChar w:fldCharType="separate"/>
      </w:r>
      <w:r w:rsidR="00DF2EA9">
        <w:t>12</w:t>
      </w:r>
      <w:r w:rsidR="002A1FD8" w:rsidRPr="00613427">
        <w:fldChar w:fldCharType="end"/>
      </w:r>
      <w:r w:rsidRPr="00613427">
        <w:t xml:space="preserve"> of this Agreement, project</w:t>
      </w:r>
      <w:r w:rsidR="007355C3" w:rsidRPr="00613427">
        <w:t xml:space="preserve"> proposal</w:t>
      </w:r>
      <w:r w:rsidRPr="00613427">
        <w:t xml:space="preserve">s will be </w:t>
      </w:r>
      <w:r w:rsidR="007355C3" w:rsidRPr="00613427">
        <w:t xml:space="preserve">approved </w:t>
      </w:r>
      <w:r w:rsidRPr="00613427">
        <w:t xml:space="preserve">following </w:t>
      </w:r>
      <w:r w:rsidR="000B3B21" w:rsidRPr="00613427">
        <w:t>agreement to:</w:t>
      </w:r>
    </w:p>
    <w:p w14:paraId="7A21BB2B" w14:textId="77777777" w:rsidR="000B3B21" w:rsidRPr="00613427" w:rsidRDefault="00FD0A33" w:rsidP="002C6212">
      <w:pPr>
        <w:numPr>
          <w:ilvl w:val="0"/>
          <w:numId w:val="32"/>
        </w:numPr>
        <w:ind w:hanging="513"/>
        <w:jc w:val="left"/>
        <w:rPr>
          <w:color w:val="auto"/>
        </w:rPr>
      </w:pPr>
      <w:r w:rsidRPr="00613427">
        <w:rPr>
          <w:color w:val="auto"/>
        </w:rPr>
        <w:t>State-specific</w:t>
      </w:r>
      <w:r w:rsidR="000B3B21" w:rsidRPr="00613427">
        <w:rPr>
          <w:color w:val="auto"/>
        </w:rPr>
        <w:t xml:space="preserve"> Budget Benchmarks;</w:t>
      </w:r>
    </w:p>
    <w:p w14:paraId="7B166A43" w14:textId="77777777" w:rsidR="00A0676A" w:rsidRPr="00613427" w:rsidRDefault="000B3B21" w:rsidP="002C6212">
      <w:pPr>
        <w:numPr>
          <w:ilvl w:val="0"/>
          <w:numId w:val="32"/>
        </w:numPr>
        <w:ind w:hanging="513"/>
        <w:jc w:val="left"/>
        <w:rPr>
          <w:color w:val="auto"/>
        </w:rPr>
      </w:pPr>
      <w:r w:rsidRPr="00613427">
        <w:rPr>
          <w:color w:val="auto"/>
        </w:rPr>
        <w:t>bilateral baselines of existing training activity;</w:t>
      </w:r>
      <w:r w:rsidR="006C1DCA" w:rsidRPr="00613427">
        <w:rPr>
          <w:color w:val="auto"/>
        </w:rPr>
        <w:t xml:space="preserve"> and</w:t>
      </w:r>
    </w:p>
    <w:p w14:paraId="25F7801B" w14:textId="77777777" w:rsidR="000B3B21" w:rsidRPr="00613427" w:rsidRDefault="00A0676A" w:rsidP="002C6212">
      <w:pPr>
        <w:numPr>
          <w:ilvl w:val="0"/>
          <w:numId w:val="32"/>
        </w:numPr>
        <w:ind w:hanging="513"/>
        <w:jc w:val="left"/>
        <w:rPr>
          <w:color w:val="auto"/>
        </w:rPr>
      </w:pPr>
      <w:proofErr w:type="gramStart"/>
      <w:r w:rsidRPr="00613427">
        <w:t>matched</w:t>
      </w:r>
      <w:proofErr w:type="gramEnd"/>
      <w:r w:rsidRPr="00613427">
        <w:t xml:space="preserve"> financial contributions to individual projects</w:t>
      </w:r>
      <w:r w:rsidR="006C1DCA" w:rsidRPr="00613427">
        <w:t>.</w:t>
      </w:r>
    </w:p>
    <w:p w14:paraId="22FA57B7" w14:textId="77777777" w:rsidR="00F52046" w:rsidRPr="00613427" w:rsidRDefault="00707E0C" w:rsidP="00E07291">
      <w:pPr>
        <w:pStyle w:val="Normalnumbered"/>
        <w:numPr>
          <w:ilvl w:val="0"/>
          <w:numId w:val="10"/>
        </w:numPr>
      </w:pPr>
      <w:bookmarkStart w:id="16" w:name="_Ref496536579"/>
      <w:r w:rsidRPr="00613427">
        <w:t>Project proposals should include the following information</w:t>
      </w:r>
      <w:r w:rsidR="00F52046" w:rsidRPr="00613427">
        <w:t>:</w:t>
      </w:r>
    </w:p>
    <w:bookmarkEnd w:id="16"/>
    <w:p w14:paraId="7903BB07" w14:textId="77777777" w:rsidR="00707E0C" w:rsidRPr="00613427" w:rsidRDefault="00707E0C" w:rsidP="002C6212">
      <w:pPr>
        <w:numPr>
          <w:ilvl w:val="0"/>
          <w:numId w:val="31"/>
        </w:numPr>
        <w:ind w:left="1134" w:hanging="567"/>
        <w:jc w:val="left"/>
        <w:rPr>
          <w:color w:val="auto"/>
        </w:rPr>
      </w:pPr>
      <w:r w:rsidRPr="00613427">
        <w:rPr>
          <w:color w:val="auto"/>
        </w:rPr>
        <w:lastRenderedPageBreak/>
        <w:t xml:space="preserve">a </w:t>
      </w:r>
      <w:r w:rsidR="003B4AB5" w:rsidRPr="00613427">
        <w:rPr>
          <w:color w:val="auto"/>
        </w:rPr>
        <w:t>description</w:t>
      </w:r>
      <w:r w:rsidRPr="00613427">
        <w:rPr>
          <w:color w:val="auto"/>
        </w:rPr>
        <w:t xml:space="preserve"> of </w:t>
      </w:r>
      <w:r w:rsidR="003B4AB5" w:rsidRPr="00613427">
        <w:rPr>
          <w:color w:val="auto"/>
        </w:rPr>
        <w:t>the pr</w:t>
      </w:r>
      <w:r w:rsidRPr="00613427">
        <w:rPr>
          <w:color w:val="auto"/>
        </w:rPr>
        <w:t>oject</w:t>
      </w:r>
      <w:r w:rsidR="003B4AB5" w:rsidRPr="00613427">
        <w:rPr>
          <w:color w:val="auto"/>
        </w:rPr>
        <w:t>’s purpose, objectives and timelines</w:t>
      </w:r>
      <w:r w:rsidRPr="00613427">
        <w:rPr>
          <w:color w:val="auto"/>
        </w:rPr>
        <w:t>;</w:t>
      </w:r>
    </w:p>
    <w:p w14:paraId="1F2AFA8C" w14:textId="77777777" w:rsidR="00707E0C" w:rsidRPr="00613427" w:rsidRDefault="00CA5C7C" w:rsidP="00DB6235">
      <w:pPr>
        <w:numPr>
          <w:ilvl w:val="0"/>
          <w:numId w:val="31"/>
        </w:numPr>
        <w:ind w:left="1134" w:hanging="567"/>
        <w:jc w:val="left"/>
        <w:rPr>
          <w:color w:val="auto"/>
        </w:rPr>
      </w:pPr>
      <w:r w:rsidRPr="00613427">
        <w:rPr>
          <w:color w:val="auto"/>
        </w:rPr>
        <w:t xml:space="preserve">project deliverables and timing, </w:t>
      </w:r>
      <w:r w:rsidR="00E91CD0" w:rsidRPr="00613427">
        <w:rPr>
          <w:color w:val="auto"/>
        </w:rPr>
        <w:t>demonstrati</w:t>
      </w:r>
      <w:r w:rsidRPr="00613427">
        <w:rPr>
          <w:color w:val="auto"/>
        </w:rPr>
        <w:t>ng</w:t>
      </w:r>
      <w:r w:rsidR="00707E0C" w:rsidRPr="00613427">
        <w:rPr>
          <w:color w:val="auto"/>
        </w:rPr>
        <w:t xml:space="preserve"> how the project supports the outcomes </w:t>
      </w:r>
      <w:r w:rsidR="00DB6235" w:rsidRPr="00613427">
        <w:rPr>
          <w:color w:val="auto"/>
        </w:rPr>
        <w:t xml:space="preserve">of </w:t>
      </w:r>
      <w:r w:rsidR="00707E0C" w:rsidRPr="00613427">
        <w:rPr>
          <w:color w:val="auto"/>
        </w:rPr>
        <w:t>this Agreement</w:t>
      </w:r>
      <w:r w:rsidRPr="00613427">
        <w:rPr>
          <w:color w:val="auto"/>
        </w:rPr>
        <w:t>;</w:t>
      </w:r>
    </w:p>
    <w:p w14:paraId="4EDAA234" w14:textId="77777777" w:rsidR="007C2D92" w:rsidRPr="00613427" w:rsidRDefault="007C2D92" w:rsidP="002C6212">
      <w:pPr>
        <w:numPr>
          <w:ilvl w:val="0"/>
          <w:numId w:val="31"/>
        </w:numPr>
        <w:ind w:left="1134" w:hanging="567"/>
        <w:jc w:val="left"/>
        <w:rPr>
          <w:color w:val="auto"/>
        </w:rPr>
      </w:pPr>
      <w:bookmarkStart w:id="17" w:name="_Ref497382431"/>
      <w:r w:rsidRPr="00613427">
        <w:rPr>
          <w:color w:val="auto"/>
        </w:rPr>
        <w:t xml:space="preserve">the annual cost of the project and the basis for the costings, and  </w:t>
      </w:r>
      <w:r w:rsidR="00264B4E" w:rsidRPr="00613427">
        <w:rPr>
          <w:color w:val="auto"/>
        </w:rPr>
        <w:t xml:space="preserve">assurance </w:t>
      </w:r>
      <w:r w:rsidRPr="00613427">
        <w:rPr>
          <w:color w:val="auto"/>
        </w:rPr>
        <w:t>of the State’s matching contribution;</w:t>
      </w:r>
      <w:bookmarkEnd w:id="17"/>
    </w:p>
    <w:p w14:paraId="348D7A76" w14:textId="77777777" w:rsidR="00DB6235" w:rsidRPr="00613427" w:rsidRDefault="00DB6235" w:rsidP="00DB6235">
      <w:pPr>
        <w:numPr>
          <w:ilvl w:val="0"/>
          <w:numId w:val="31"/>
        </w:numPr>
        <w:ind w:left="1134" w:hanging="567"/>
        <w:jc w:val="left"/>
        <w:rPr>
          <w:color w:val="auto"/>
        </w:rPr>
      </w:pPr>
      <w:r w:rsidRPr="00613427">
        <w:rPr>
          <w:color w:val="auto"/>
        </w:rPr>
        <w:t xml:space="preserve">the number, type and priority areas of additional training </w:t>
      </w:r>
      <w:r w:rsidRPr="00670E5A">
        <w:rPr>
          <w:color w:val="auto"/>
        </w:rPr>
        <w:t>contracts</w:t>
      </w:r>
      <w:r w:rsidRPr="00613427">
        <w:rPr>
          <w:color w:val="auto"/>
        </w:rPr>
        <w:t xml:space="preserve"> </w:t>
      </w:r>
      <w:r w:rsidR="002E56E0" w:rsidRPr="00613427">
        <w:rPr>
          <w:color w:val="auto"/>
        </w:rPr>
        <w:t xml:space="preserve">or equivalent </w:t>
      </w:r>
      <w:r w:rsidRPr="00613427">
        <w:rPr>
          <w:color w:val="auto"/>
        </w:rPr>
        <w:t>to be delivered</w:t>
      </w:r>
      <w:r w:rsidR="007362B8" w:rsidRPr="00613427">
        <w:rPr>
          <w:color w:val="auto"/>
        </w:rPr>
        <w:t xml:space="preserve"> </w:t>
      </w:r>
      <w:r w:rsidRPr="00613427">
        <w:rPr>
          <w:color w:val="auto"/>
        </w:rPr>
        <w:t xml:space="preserve">above </w:t>
      </w:r>
      <w:r w:rsidR="005203E5" w:rsidRPr="00613427">
        <w:rPr>
          <w:color w:val="auto"/>
        </w:rPr>
        <w:t xml:space="preserve">the </w:t>
      </w:r>
      <w:r w:rsidRPr="00613427">
        <w:rPr>
          <w:color w:val="auto"/>
        </w:rPr>
        <w:t>agreed baseline</w:t>
      </w:r>
      <w:r w:rsidR="005203E5" w:rsidRPr="00613427">
        <w:rPr>
          <w:color w:val="auto"/>
        </w:rPr>
        <w:t>, over the term of the Agreement and adjusted for the cessation of the training outcome component of the NPASR</w:t>
      </w:r>
      <w:r w:rsidRPr="00613427">
        <w:rPr>
          <w:color w:val="auto"/>
        </w:rPr>
        <w:t>;</w:t>
      </w:r>
    </w:p>
    <w:p w14:paraId="329FC4FA" w14:textId="77777777" w:rsidR="007C2D92" w:rsidRPr="00613427" w:rsidRDefault="007C2D92" w:rsidP="00DB6235">
      <w:pPr>
        <w:numPr>
          <w:ilvl w:val="0"/>
          <w:numId w:val="31"/>
        </w:numPr>
        <w:ind w:left="1134" w:hanging="567"/>
        <w:jc w:val="left"/>
        <w:rPr>
          <w:color w:val="auto"/>
        </w:rPr>
      </w:pPr>
      <w:r w:rsidRPr="00613427">
        <w:rPr>
          <w:color w:val="auto"/>
        </w:rPr>
        <w:t xml:space="preserve">the </w:t>
      </w:r>
      <w:r w:rsidR="00493D73" w:rsidRPr="00613427">
        <w:rPr>
          <w:color w:val="auto"/>
        </w:rPr>
        <w:t>performance benchmarks</w:t>
      </w:r>
      <w:r w:rsidRPr="00613427">
        <w:rPr>
          <w:color w:val="auto"/>
        </w:rPr>
        <w:t xml:space="preserve"> </w:t>
      </w:r>
      <w:r w:rsidR="00EA1BDD" w:rsidRPr="00613427">
        <w:rPr>
          <w:color w:val="auto"/>
        </w:rPr>
        <w:t>and/</w:t>
      </w:r>
      <w:r w:rsidR="00493D73" w:rsidRPr="00613427">
        <w:rPr>
          <w:color w:val="auto"/>
        </w:rPr>
        <w:t>or</w:t>
      </w:r>
      <w:r w:rsidR="00DB6235" w:rsidRPr="00613427">
        <w:rPr>
          <w:color w:val="auto"/>
        </w:rPr>
        <w:t xml:space="preserve"> </w:t>
      </w:r>
      <w:r w:rsidRPr="00613427">
        <w:rPr>
          <w:color w:val="auto"/>
        </w:rPr>
        <w:t>milestones that are proposed for payment, and the proposed amount of payment against each</w:t>
      </w:r>
      <w:r w:rsidR="00493D73" w:rsidRPr="00613427">
        <w:rPr>
          <w:color w:val="auto"/>
        </w:rPr>
        <w:t xml:space="preserve"> performance benchmark or</w:t>
      </w:r>
      <w:r w:rsidR="00B36231" w:rsidRPr="00613427">
        <w:rPr>
          <w:color w:val="auto"/>
        </w:rPr>
        <w:t xml:space="preserve"> milestone;</w:t>
      </w:r>
    </w:p>
    <w:p w14:paraId="365488EE" w14:textId="77777777" w:rsidR="007C2D92" w:rsidRPr="00613427" w:rsidRDefault="007C2D92" w:rsidP="002C6212">
      <w:pPr>
        <w:numPr>
          <w:ilvl w:val="0"/>
          <w:numId w:val="31"/>
        </w:numPr>
        <w:ind w:left="1134" w:hanging="567"/>
        <w:jc w:val="left"/>
        <w:rPr>
          <w:color w:val="auto"/>
        </w:rPr>
      </w:pPr>
      <w:r w:rsidRPr="00613427">
        <w:rPr>
          <w:color w:val="auto"/>
        </w:rPr>
        <w:t>how and when the</w:t>
      </w:r>
      <w:r w:rsidR="00493D73" w:rsidRPr="00613427">
        <w:rPr>
          <w:color w:val="auto"/>
        </w:rPr>
        <w:t xml:space="preserve"> </w:t>
      </w:r>
      <w:r w:rsidR="00493D73" w:rsidRPr="00613427" w:rsidDel="007C10DC">
        <w:rPr>
          <w:color w:val="auto"/>
        </w:rPr>
        <w:t>performance benchmarks</w:t>
      </w:r>
      <w:r w:rsidR="007C10DC" w:rsidRPr="00613427">
        <w:rPr>
          <w:color w:val="auto"/>
        </w:rPr>
        <w:t xml:space="preserve"> and</w:t>
      </w:r>
      <w:r w:rsidR="00EA1BDD" w:rsidRPr="00613427">
        <w:rPr>
          <w:color w:val="auto"/>
        </w:rPr>
        <w:t>/or</w:t>
      </w:r>
      <w:r w:rsidRPr="00613427">
        <w:rPr>
          <w:color w:val="auto"/>
        </w:rPr>
        <w:t xml:space="preserve"> milestones </w:t>
      </w:r>
      <w:r w:rsidR="00EA1BDD" w:rsidRPr="00613427">
        <w:rPr>
          <w:color w:val="auto"/>
        </w:rPr>
        <w:t xml:space="preserve">for </w:t>
      </w:r>
      <w:r w:rsidRPr="00613427">
        <w:rPr>
          <w:color w:val="auto"/>
        </w:rPr>
        <w:t>the project would be measured, including the data sources that will be used and when the relevant data will be available (noting that payment</w:t>
      </w:r>
      <w:r w:rsidR="004476A2" w:rsidRPr="00613427">
        <w:rPr>
          <w:color w:val="auto"/>
        </w:rPr>
        <w:t>s</w:t>
      </w:r>
      <w:r w:rsidRPr="00613427">
        <w:rPr>
          <w:color w:val="auto"/>
        </w:rPr>
        <w:t xml:space="preserve"> will be dependent on data that demonstrates </w:t>
      </w:r>
      <w:r w:rsidR="00264B4E" w:rsidRPr="00613427">
        <w:rPr>
          <w:color w:val="auto"/>
        </w:rPr>
        <w:t xml:space="preserve">that </w:t>
      </w:r>
      <w:r w:rsidRPr="00613427">
        <w:rPr>
          <w:color w:val="auto"/>
        </w:rPr>
        <w:t xml:space="preserve">the </w:t>
      </w:r>
      <w:r w:rsidR="00493D73" w:rsidRPr="00613427">
        <w:rPr>
          <w:color w:val="auto"/>
        </w:rPr>
        <w:t xml:space="preserve">performance benchmark </w:t>
      </w:r>
      <w:r w:rsidR="00EA1BDD" w:rsidRPr="00613427">
        <w:rPr>
          <w:color w:val="auto"/>
        </w:rPr>
        <w:t>and/</w:t>
      </w:r>
      <w:r w:rsidR="00493D73" w:rsidRPr="00613427">
        <w:rPr>
          <w:color w:val="auto"/>
        </w:rPr>
        <w:t xml:space="preserve">or </w:t>
      </w:r>
      <w:r w:rsidRPr="00613427">
        <w:rPr>
          <w:color w:val="auto"/>
        </w:rPr>
        <w:t>milestone has been met);</w:t>
      </w:r>
    </w:p>
    <w:p w14:paraId="6415F1B1" w14:textId="77777777" w:rsidR="007C2D92" w:rsidRPr="00613427" w:rsidRDefault="007C2D92" w:rsidP="002C6212">
      <w:pPr>
        <w:numPr>
          <w:ilvl w:val="0"/>
          <w:numId w:val="31"/>
        </w:numPr>
        <w:ind w:left="1134" w:hanging="567"/>
        <w:jc w:val="left"/>
        <w:rPr>
          <w:color w:val="auto"/>
        </w:rPr>
      </w:pPr>
      <w:r w:rsidRPr="00613427">
        <w:rPr>
          <w:color w:val="auto"/>
        </w:rPr>
        <w:t>demonstration of industry and employer engagement in the design of the project and their level of support for the project;</w:t>
      </w:r>
    </w:p>
    <w:p w14:paraId="38E60E55" w14:textId="77777777" w:rsidR="00707E0C" w:rsidRPr="00613427" w:rsidRDefault="00707E0C" w:rsidP="002C6212">
      <w:pPr>
        <w:numPr>
          <w:ilvl w:val="0"/>
          <w:numId w:val="31"/>
        </w:numPr>
        <w:ind w:left="1134" w:hanging="567"/>
        <w:jc w:val="left"/>
        <w:rPr>
          <w:color w:val="auto"/>
        </w:rPr>
      </w:pPr>
      <w:r w:rsidRPr="00613427">
        <w:rPr>
          <w:color w:val="auto"/>
        </w:rPr>
        <w:t>relevant State context, including government policies and priorities;</w:t>
      </w:r>
      <w:r w:rsidR="007C2D92" w:rsidRPr="00613427">
        <w:rPr>
          <w:color w:val="auto"/>
        </w:rPr>
        <w:t xml:space="preserve"> and</w:t>
      </w:r>
    </w:p>
    <w:p w14:paraId="6CC0B675" w14:textId="77777777" w:rsidR="00676806" w:rsidRPr="00613427" w:rsidRDefault="007C2D92" w:rsidP="002C6212">
      <w:pPr>
        <w:numPr>
          <w:ilvl w:val="0"/>
          <w:numId w:val="31"/>
        </w:numPr>
        <w:ind w:left="1134" w:hanging="567"/>
        <w:jc w:val="left"/>
        <w:rPr>
          <w:color w:val="auto"/>
        </w:rPr>
      </w:pPr>
      <w:proofErr w:type="gramStart"/>
      <w:r w:rsidRPr="00613427">
        <w:rPr>
          <w:color w:val="auto"/>
        </w:rPr>
        <w:t>any</w:t>
      </w:r>
      <w:proofErr w:type="gramEnd"/>
      <w:r w:rsidRPr="00613427">
        <w:rPr>
          <w:color w:val="auto"/>
        </w:rPr>
        <w:t xml:space="preserve"> other supporting </w:t>
      </w:r>
      <w:r w:rsidR="004F6EE9" w:rsidRPr="00613427">
        <w:rPr>
          <w:color w:val="auto"/>
        </w:rPr>
        <w:t xml:space="preserve">evidence to </w:t>
      </w:r>
      <w:r w:rsidRPr="00613427">
        <w:rPr>
          <w:color w:val="auto"/>
        </w:rPr>
        <w:t xml:space="preserve">enable </w:t>
      </w:r>
      <w:r w:rsidR="00230862" w:rsidRPr="00613427">
        <w:rPr>
          <w:color w:val="auto"/>
        </w:rPr>
        <w:t>assessment</w:t>
      </w:r>
      <w:r w:rsidR="004F6EE9" w:rsidRPr="00613427">
        <w:rPr>
          <w:color w:val="auto"/>
        </w:rPr>
        <w:t xml:space="preserve"> </w:t>
      </w:r>
      <w:r w:rsidR="0018042C" w:rsidRPr="00613427">
        <w:rPr>
          <w:color w:val="auto"/>
        </w:rPr>
        <w:t xml:space="preserve">of </w:t>
      </w:r>
      <w:r w:rsidR="004F6EE9" w:rsidRPr="00613427">
        <w:rPr>
          <w:color w:val="auto"/>
        </w:rPr>
        <w:t>the proposal.</w:t>
      </w:r>
    </w:p>
    <w:p w14:paraId="38248FB4" w14:textId="77777777" w:rsidR="00441859" w:rsidRPr="00613427" w:rsidRDefault="00441859" w:rsidP="00441859">
      <w:pPr>
        <w:pStyle w:val="Normalnumbered"/>
        <w:numPr>
          <w:ilvl w:val="0"/>
          <w:numId w:val="10"/>
        </w:numPr>
        <w:jc w:val="left"/>
      </w:pPr>
      <w:r w:rsidRPr="00613427">
        <w:t>Projects proposals may:</w:t>
      </w:r>
    </w:p>
    <w:p w14:paraId="6DA9C720" w14:textId="77777777" w:rsidR="00441859" w:rsidRPr="00613427" w:rsidRDefault="00441859" w:rsidP="002C6212">
      <w:pPr>
        <w:numPr>
          <w:ilvl w:val="0"/>
          <w:numId w:val="33"/>
        </w:numPr>
        <w:ind w:left="1134" w:hanging="567"/>
        <w:jc w:val="left"/>
      </w:pPr>
      <w:r w:rsidRPr="00613427">
        <w:t>be submitted at any time for any period within the term of the Agreement;</w:t>
      </w:r>
    </w:p>
    <w:p w14:paraId="2549158E" w14:textId="77777777" w:rsidR="001F1D2C" w:rsidRPr="00613427" w:rsidRDefault="001F1D2C" w:rsidP="002C6212">
      <w:pPr>
        <w:numPr>
          <w:ilvl w:val="0"/>
          <w:numId w:val="33"/>
        </w:numPr>
        <w:ind w:left="1134" w:hanging="567"/>
        <w:jc w:val="left"/>
      </w:pPr>
      <w:r w:rsidRPr="00613427">
        <w:t>include a range of measures such as training activities, tax relief or payments for employers and/or individuals, and strategies to improve commencements, progression rates and completion rates;</w:t>
      </w:r>
    </w:p>
    <w:p w14:paraId="7FCCB6E2" w14:textId="77777777" w:rsidR="00441859" w:rsidRPr="00613427" w:rsidRDefault="00441859" w:rsidP="002C6212">
      <w:pPr>
        <w:numPr>
          <w:ilvl w:val="0"/>
          <w:numId w:val="33"/>
        </w:numPr>
        <w:ind w:left="1134" w:hanging="567"/>
        <w:jc w:val="left"/>
      </w:pPr>
      <w:r w:rsidRPr="00613427">
        <w:t xml:space="preserve">include training with similar characteristics to apprenticeships and traineeships provided that they </w:t>
      </w:r>
      <w:r w:rsidR="00B36231" w:rsidRPr="00613427">
        <w:t xml:space="preserve">deliver </w:t>
      </w:r>
      <w:r w:rsidR="004C2F82" w:rsidRPr="00613427">
        <w:t>additional training</w:t>
      </w:r>
      <w:r w:rsidRPr="00613427">
        <w:t>;</w:t>
      </w:r>
      <w:r w:rsidR="001F1D2C" w:rsidRPr="00613427">
        <w:t xml:space="preserve"> and</w:t>
      </w:r>
    </w:p>
    <w:p w14:paraId="6B90F52F" w14:textId="77777777" w:rsidR="008028DA" w:rsidRPr="00613427" w:rsidRDefault="00441859" w:rsidP="002C6212">
      <w:pPr>
        <w:numPr>
          <w:ilvl w:val="0"/>
          <w:numId w:val="33"/>
        </w:numPr>
        <w:ind w:left="1134" w:hanging="567"/>
        <w:jc w:val="left"/>
      </w:pPr>
      <w:proofErr w:type="gramStart"/>
      <w:r w:rsidRPr="00613427">
        <w:t>be</w:t>
      </w:r>
      <w:proofErr w:type="gramEnd"/>
      <w:r w:rsidR="008028DA" w:rsidRPr="00613427">
        <w:t xml:space="preserve"> </w:t>
      </w:r>
      <w:r w:rsidRPr="00613427">
        <w:t xml:space="preserve">for </w:t>
      </w:r>
      <w:r w:rsidR="008028DA" w:rsidRPr="00613427">
        <w:t>multi-jurisdictional projects.</w:t>
      </w:r>
    </w:p>
    <w:p w14:paraId="331AFA4B" w14:textId="77777777" w:rsidR="001F1D2C" w:rsidRPr="00613427" w:rsidRDefault="001F1D2C" w:rsidP="001F1D2C">
      <w:pPr>
        <w:numPr>
          <w:ilvl w:val="0"/>
          <w:numId w:val="10"/>
        </w:numPr>
        <w:jc w:val="left"/>
      </w:pPr>
      <w:bookmarkStart w:id="18" w:name="_Ref496536574"/>
      <w:bookmarkStart w:id="19" w:name="_Ref496536578"/>
      <w:bookmarkEnd w:id="18"/>
      <w:bookmarkEnd w:id="19"/>
      <w:r w:rsidRPr="00613427">
        <w:t xml:space="preserve">In assessing project proposals, the Commonwealth Minister will </w:t>
      </w:r>
      <w:r w:rsidRPr="00613427">
        <w:rPr>
          <w:color w:val="auto"/>
        </w:rPr>
        <w:t>consider:</w:t>
      </w:r>
    </w:p>
    <w:p w14:paraId="2D00F094" w14:textId="77777777" w:rsidR="001F1D2C" w:rsidRPr="00613427" w:rsidRDefault="001F1D2C" w:rsidP="002C6212">
      <w:pPr>
        <w:numPr>
          <w:ilvl w:val="0"/>
          <w:numId w:val="34"/>
        </w:numPr>
        <w:ind w:left="1134" w:hanging="567"/>
        <w:jc w:val="left"/>
      </w:pPr>
      <w:r w:rsidRPr="00613427">
        <w:t>consistency of the proposal with the objectives and outcomes of this Agreement;</w:t>
      </w:r>
    </w:p>
    <w:p w14:paraId="181A35BC" w14:textId="77777777" w:rsidR="001F1D2C" w:rsidRPr="00613427" w:rsidRDefault="001F1D2C" w:rsidP="002C6212">
      <w:pPr>
        <w:numPr>
          <w:ilvl w:val="0"/>
          <w:numId w:val="34"/>
        </w:numPr>
        <w:ind w:left="1134" w:hanging="567"/>
        <w:jc w:val="left"/>
      </w:pPr>
      <w:r w:rsidRPr="00613427">
        <w:t xml:space="preserve">the extent to which the proposed project will </w:t>
      </w:r>
      <w:r w:rsidR="00B36231" w:rsidRPr="00613427">
        <w:t xml:space="preserve">deliver </w:t>
      </w:r>
      <w:r w:rsidR="004C2F82" w:rsidRPr="00613427">
        <w:rPr>
          <w:color w:val="auto"/>
        </w:rPr>
        <w:t xml:space="preserve">additional training </w:t>
      </w:r>
      <w:r w:rsidR="004C2F82" w:rsidRPr="00670E5A">
        <w:rPr>
          <w:color w:val="auto"/>
        </w:rPr>
        <w:t>contracts</w:t>
      </w:r>
      <w:r w:rsidR="00C01740" w:rsidRPr="00613427">
        <w:t xml:space="preserve"> </w:t>
      </w:r>
      <w:r w:rsidR="002E56E0" w:rsidRPr="00613427">
        <w:t xml:space="preserve">or equivalent </w:t>
      </w:r>
      <w:r w:rsidR="00C01740" w:rsidRPr="00613427">
        <w:t>relative to</w:t>
      </w:r>
      <w:r w:rsidRPr="00613427" w:rsidDel="00DB6235">
        <w:t xml:space="preserve"> the baseline</w:t>
      </w:r>
      <w:r w:rsidRPr="00613427">
        <w:t>;</w:t>
      </w:r>
    </w:p>
    <w:p w14:paraId="408C2A37" w14:textId="77777777" w:rsidR="00173010" w:rsidRPr="00613427" w:rsidRDefault="001F1D2C" w:rsidP="002C6212">
      <w:pPr>
        <w:numPr>
          <w:ilvl w:val="0"/>
          <w:numId w:val="34"/>
        </w:numPr>
        <w:ind w:left="1134" w:hanging="567"/>
        <w:jc w:val="left"/>
      </w:pPr>
      <w:r w:rsidRPr="00613427">
        <w:t>the extent to which the proposed project demonstrates value for money;</w:t>
      </w:r>
    </w:p>
    <w:p w14:paraId="5C3C4D4E" w14:textId="77777777" w:rsidR="001F1D2C" w:rsidRPr="00613427" w:rsidRDefault="00173010" w:rsidP="002C6212">
      <w:pPr>
        <w:numPr>
          <w:ilvl w:val="0"/>
          <w:numId w:val="34"/>
        </w:numPr>
        <w:ind w:left="1134" w:hanging="567"/>
        <w:jc w:val="left"/>
      </w:pPr>
      <w:r w:rsidRPr="00613427">
        <w:t>the State’s matching contribution;</w:t>
      </w:r>
      <w:r w:rsidR="001F1D2C" w:rsidRPr="00613427">
        <w:t xml:space="preserve"> and</w:t>
      </w:r>
    </w:p>
    <w:p w14:paraId="106E9490" w14:textId="77777777" w:rsidR="001F1D2C" w:rsidRPr="00613427" w:rsidRDefault="001F1D2C" w:rsidP="002C6212">
      <w:pPr>
        <w:numPr>
          <w:ilvl w:val="0"/>
          <w:numId w:val="34"/>
        </w:numPr>
        <w:ind w:left="1134" w:hanging="567"/>
        <w:jc w:val="left"/>
      </w:pPr>
      <w:proofErr w:type="gramStart"/>
      <w:r w:rsidRPr="00613427">
        <w:t>supporting</w:t>
      </w:r>
      <w:proofErr w:type="gramEnd"/>
      <w:r w:rsidRPr="00613427">
        <w:t xml:space="preserve"> evidence from industry and/or employers.</w:t>
      </w:r>
    </w:p>
    <w:p w14:paraId="7D460903" w14:textId="77777777" w:rsidR="00183F47" w:rsidRPr="00613427" w:rsidRDefault="00F3245D" w:rsidP="005E7683">
      <w:pPr>
        <w:pStyle w:val="Heading2"/>
      </w:pPr>
      <w:r w:rsidRPr="00613427">
        <w:lastRenderedPageBreak/>
        <w:t>Reporting arrangements</w:t>
      </w:r>
    </w:p>
    <w:p w14:paraId="02D4BAD8" w14:textId="77777777" w:rsidR="0045615E" w:rsidRPr="00613427" w:rsidRDefault="00540FA2" w:rsidP="0045615E">
      <w:pPr>
        <w:pStyle w:val="Normalnumbered"/>
        <w:numPr>
          <w:ilvl w:val="0"/>
          <w:numId w:val="10"/>
        </w:numPr>
        <w:jc w:val="left"/>
      </w:pPr>
      <w:r w:rsidRPr="00613427">
        <w:t xml:space="preserve">The States will report the minimum required to demonstrate that </w:t>
      </w:r>
      <w:r w:rsidRPr="00613427" w:rsidDel="003A62D5">
        <w:t>performance benchmarks</w:t>
      </w:r>
      <w:r w:rsidR="004F6EE9" w:rsidRPr="00613427" w:rsidDel="00CA5C7C">
        <w:t xml:space="preserve"> or </w:t>
      </w:r>
      <w:r w:rsidR="004F6EE9" w:rsidRPr="00613427">
        <w:t xml:space="preserve">milestones </w:t>
      </w:r>
      <w:r w:rsidRPr="00613427">
        <w:t xml:space="preserve">have been met, </w:t>
      </w:r>
      <w:r w:rsidR="003951B6" w:rsidRPr="00613427">
        <w:t xml:space="preserve">that is, not more frequent than six monthly, </w:t>
      </w:r>
      <w:r w:rsidRPr="00613427">
        <w:t>during the operation of the Agreement.</w:t>
      </w:r>
      <w:r w:rsidR="00D143C8" w:rsidRPr="00613427">
        <w:t xml:space="preserve"> </w:t>
      </w:r>
      <w:r w:rsidRPr="00613427">
        <w:t xml:space="preserve"> Reports are expected by</w:t>
      </w:r>
      <w:r w:rsidR="00D143C8" w:rsidRPr="00613427">
        <w:t xml:space="preserve"> dates agreed in the bilateral s</w:t>
      </w:r>
      <w:r w:rsidR="0045615E" w:rsidRPr="00613427">
        <w:t>chedules.</w:t>
      </w:r>
    </w:p>
    <w:p w14:paraId="3610A299" w14:textId="77777777" w:rsidR="0054318D" w:rsidRPr="00613427" w:rsidRDefault="001F1D2C" w:rsidP="002C6E08">
      <w:pPr>
        <w:pStyle w:val="Normalnumbered"/>
        <w:numPr>
          <w:ilvl w:val="0"/>
          <w:numId w:val="10"/>
        </w:numPr>
        <w:spacing w:before="120" w:line="240" w:lineRule="auto"/>
        <w:jc w:val="left"/>
      </w:pPr>
      <w:r w:rsidRPr="00613427">
        <w:t xml:space="preserve">For the purposes of the Budget Benchmark, </w:t>
      </w:r>
      <w:r w:rsidR="00B36231" w:rsidRPr="00613427">
        <w:t xml:space="preserve">from </w:t>
      </w:r>
      <w:r w:rsidR="009F7409" w:rsidRPr="00613427">
        <w:t xml:space="preserve">2018-19, </w:t>
      </w:r>
      <w:r w:rsidRPr="00613427">
        <w:t>t</w:t>
      </w:r>
      <w:r w:rsidR="00192D4C" w:rsidRPr="00613427">
        <w:t>he States will</w:t>
      </w:r>
      <w:r w:rsidR="009F50E0" w:rsidRPr="00613427">
        <w:t xml:space="preserve"> </w:t>
      </w:r>
      <w:r w:rsidR="005969EF" w:rsidRPr="00613427">
        <w:t xml:space="preserve">provide a statement of assurance that that </w:t>
      </w:r>
      <w:r w:rsidR="009F50E0" w:rsidRPr="00613427">
        <w:t xml:space="preserve">their </w:t>
      </w:r>
      <w:r w:rsidR="00BA4624" w:rsidRPr="00613427">
        <w:t>a</w:t>
      </w:r>
      <w:r w:rsidR="009F50E0" w:rsidRPr="00613427">
        <w:t xml:space="preserve">nnual </w:t>
      </w:r>
      <w:r w:rsidR="00BA4624" w:rsidRPr="00613427">
        <w:t>b</w:t>
      </w:r>
      <w:r w:rsidR="009F50E0" w:rsidRPr="00613427">
        <w:t xml:space="preserve">udget for </w:t>
      </w:r>
      <w:r w:rsidRPr="00613427">
        <w:t xml:space="preserve">vocational education and </w:t>
      </w:r>
      <w:r w:rsidR="0054318D" w:rsidRPr="00613427">
        <w:t xml:space="preserve">training </w:t>
      </w:r>
      <w:r w:rsidR="009F7409" w:rsidRPr="00613427">
        <w:t>at least equals</w:t>
      </w:r>
      <w:r w:rsidR="0054318D" w:rsidRPr="00613427">
        <w:t xml:space="preserve"> the</w:t>
      </w:r>
      <w:r w:rsidR="009F7409" w:rsidRPr="00613427">
        <w:t xml:space="preserve"> agreed </w:t>
      </w:r>
      <w:r w:rsidR="00E14C7E" w:rsidRPr="00613427">
        <w:t>B</w:t>
      </w:r>
      <w:r w:rsidR="0054318D" w:rsidRPr="00613427">
        <w:t xml:space="preserve">udget </w:t>
      </w:r>
      <w:r w:rsidR="00E14C7E" w:rsidRPr="00613427">
        <w:t>B</w:t>
      </w:r>
      <w:r w:rsidR="0054318D" w:rsidRPr="00613427">
        <w:t xml:space="preserve">enchmark and has been calculated using the </w:t>
      </w:r>
      <w:r w:rsidR="00F52046" w:rsidRPr="00613427">
        <w:t>same</w:t>
      </w:r>
      <w:r w:rsidR="0054318D" w:rsidRPr="00613427">
        <w:t xml:space="preserve"> method</w:t>
      </w:r>
      <w:r w:rsidR="00F52046" w:rsidRPr="00613427">
        <w:t xml:space="preserve"> </w:t>
      </w:r>
      <w:r w:rsidR="009F7409" w:rsidRPr="00613427">
        <w:t xml:space="preserve">that was used to calculate the agreed </w:t>
      </w:r>
      <w:r w:rsidR="00F52046" w:rsidRPr="00613427">
        <w:t>Budget Benchmark</w:t>
      </w:r>
      <w:r w:rsidR="0054318D" w:rsidRPr="00613427">
        <w:t>.</w:t>
      </w:r>
    </w:p>
    <w:p w14:paraId="373A8EEB" w14:textId="77777777" w:rsidR="001F1D2C" w:rsidRPr="00613427" w:rsidRDefault="00173010" w:rsidP="00173010">
      <w:pPr>
        <w:pStyle w:val="Normalnumbered"/>
        <w:numPr>
          <w:ilvl w:val="0"/>
          <w:numId w:val="10"/>
        </w:numPr>
        <w:spacing w:before="120" w:line="240" w:lineRule="auto"/>
        <w:jc w:val="left"/>
      </w:pPr>
      <w:r w:rsidRPr="00613427">
        <w:t xml:space="preserve">For the purposes of </w:t>
      </w:r>
      <w:r w:rsidR="00305EE7" w:rsidRPr="00613427">
        <w:t xml:space="preserve">matched funding for </w:t>
      </w:r>
      <w:r w:rsidRPr="00613427">
        <w:t xml:space="preserve">agreed projects, the States will report their total expenditure for each agreed project in </w:t>
      </w:r>
      <w:r w:rsidR="00D30D7C" w:rsidRPr="00613427">
        <w:t xml:space="preserve">the </w:t>
      </w:r>
      <w:r w:rsidRPr="00613427">
        <w:t>financial year in which the project receives Commonwealth</w:t>
      </w:r>
      <w:r w:rsidR="00F52046" w:rsidRPr="00613427">
        <w:t xml:space="preserve"> funding</w:t>
      </w:r>
      <w:r w:rsidRPr="00613427">
        <w:t>, including their matched contribution, and relevant data on expenditure for all in-scope initiatives and services consistent with the data identified by the State in its project proposals.</w:t>
      </w:r>
      <w:r w:rsidR="001F1D2C" w:rsidRPr="00613427">
        <w:t xml:space="preserve"> </w:t>
      </w:r>
      <w:r w:rsidRPr="00613427">
        <w:t xml:space="preserve"> </w:t>
      </w:r>
      <w:r w:rsidR="001F1D2C" w:rsidRPr="00613427">
        <w:t>Publicly available data should be used wherever possible.</w:t>
      </w:r>
    </w:p>
    <w:p w14:paraId="5C8994DA" w14:textId="77777777" w:rsidR="00612D77" w:rsidRPr="00613427" w:rsidRDefault="00814667" w:rsidP="00D836BA">
      <w:pPr>
        <w:pStyle w:val="Heading2"/>
      </w:pPr>
      <w:bookmarkStart w:id="20" w:name="_Ref496536046"/>
      <w:r w:rsidRPr="00613427">
        <w:t xml:space="preserve">Part 5 — </w:t>
      </w:r>
      <w:r w:rsidR="008C5DB3" w:rsidRPr="00613427">
        <w:t>F</w:t>
      </w:r>
      <w:r w:rsidRPr="00613427">
        <w:t xml:space="preserve">inancial </w:t>
      </w:r>
      <w:r w:rsidR="008C5DB3" w:rsidRPr="00613427">
        <w:t>A</w:t>
      </w:r>
      <w:r w:rsidRPr="00613427">
        <w:t>rrangements</w:t>
      </w:r>
      <w:bookmarkEnd w:id="20"/>
      <w:r w:rsidR="00CE6AE2" w:rsidRPr="00613427">
        <w:t xml:space="preserve"> </w:t>
      </w:r>
    </w:p>
    <w:p w14:paraId="252053FA" w14:textId="77777777" w:rsidR="009F50E0" w:rsidRPr="00613427" w:rsidRDefault="00C22729" w:rsidP="00D836BA">
      <w:pPr>
        <w:pStyle w:val="Heading2"/>
      </w:pPr>
      <w:r w:rsidRPr="00613427">
        <w:t xml:space="preserve">Financial </w:t>
      </w:r>
      <w:r w:rsidR="00175720" w:rsidRPr="00613427">
        <w:t>c</w:t>
      </w:r>
      <w:r w:rsidRPr="00613427">
        <w:t>ontributions</w:t>
      </w:r>
    </w:p>
    <w:p w14:paraId="64425D0F" w14:textId="77777777" w:rsidR="0095108B" w:rsidRPr="00613427" w:rsidRDefault="00816816" w:rsidP="00816816">
      <w:pPr>
        <w:pStyle w:val="Normalnumbered"/>
        <w:numPr>
          <w:ilvl w:val="0"/>
          <w:numId w:val="10"/>
        </w:numPr>
        <w:jc w:val="left"/>
      </w:pPr>
      <w:bookmarkStart w:id="21" w:name="_Ref496537002"/>
      <w:r w:rsidRPr="00613427">
        <w:t xml:space="preserve">The Commonwealth will provide an estimated </w:t>
      </w:r>
      <w:r w:rsidR="00102B26" w:rsidRPr="00613427">
        <w:t xml:space="preserve">total financial </w:t>
      </w:r>
      <w:r w:rsidRPr="00613427">
        <w:t xml:space="preserve">contribution </w:t>
      </w:r>
      <w:r w:rsidR="00102B26" w:rsidRPr="00613427">
        <w:t xml:space="preserve">to the States </w:t>
      </w:r>
      <w:r w:rsidRPr="00613427">
        <w:t xml:space="preserve">of </w:t>
      </w:r>
      <w:r w:rsidR="003C2414" w:rsidRPr="00613427">
        <w:t>$1.2 </w:t>
      </w:r>
      <w:r w:rsidR="0095108B" w:rsidRPr="00613427">
        <w:t>billion</w:t>
      </w:r>
      <w:r w:rsidR="0088249B" w:rsidRPr="00613427">
        <w:rPr>
          <w:rStyle w:val="FootnoteReference"/>
        </w:rPr>
        <w:footnoteReference w:id="3"/>
      </w:r>
      <w:r w:rsidR="00102B26" w:rsidRPr="00613427">
        <w:t xml:space="preserve"> in respect of this Agreement</w:t>
      </w:r>
      <w:r w:rsidR="007B6E48" w:rsidRPr="00613427">
        <w:t>.  All payments are exclusive of GST.</w:t>
      </w:r>
    </w:p>
    <w:p w14:paraId="60F8EDFA" w14:textId="77777777" w:rsidR="0095108B" w:rsidRPr="00613427" w:rsidRDefault="007B6E48" w:rsidP="00856EE7">
      <w:pPr>
        <w:pStyle w:val="Normalnumbered"/>
        <w:numPr>
          <w:ilvl w:val="0"/>
          <w:numId w:val="10"/>
        </w:numPr>
        <w:jc w:val="left"/>
      </w:pPr>
      <w:r w:rsidRPr="00613427">
        <w:t xml:space="preserve">In 2018-19, the Commonwealth will </w:t>
      </w:r>
      <w:proofErr w:type="gramStart"/>
      <w:r w:rsidRPr="00613427">
        <w:t xml:space="preserve">provide </w:t>
      </w:r>
      <w:r w:rsidR="00276EF4" w:rsidRPr="00613427">
        <w:t xml:space="preserve"> a</w:t>
      </w:r>
      <w:r w:rsidR="00424CD9">
        <w:t>n</w:t>
      </w:r>
      <w:proofErr w:type="gramEnd"/>
      <w:r w:rsidR="00424CD9">
        <w:t xml:space="preserve"> estimated</w:t>
      </w:r>
      <w:r w:rsidR="00276EF4" w:rsidRPr="00613427">
        <w:t xml:space="preserve"> </w:t>
      </w:r>
      <w:r w:rsidR="00152C15" w:rsidRPr="00613427">
        <w:t xml:space="preserve">total financial contribution to the States of </w:t>
      </w:r>
      <w:r w:rsidR="0095108B" w:rsidRPr="00613427">
        <w:t>$</w:t>
      </w:r>
      <w:r w:rsidR="00810E7C" w:rsidRPr="00613427">
        <w:t>293.4 million</w:t>
      </w:r>
      <w:r w:rsidR="00152C15" w:rsidRPr="00613427">
        <w:t>.</w:t>
      </w:r>
    </w:p>
    <w:p w14:paraId="48CE6E61" w14:textId="77777777" w:rsidR="00547750" w:rsidRPr="00613427" w:rsidRDefault="0095108B" w:rsidP="00856EE7">
      <w:pPr>
        <w:pStyle w:val="Normalnumbered"/>
        <w:numPr>
          <w:ilvl w:val="0"/>
          <w:numId w:val="10"/>
        </w:numPr>
        <w:jc w:val="left"/>
      </w:pPr>
      <w:r w:rsidRPr="00613427">
        <w:t xml:space="preserve">From 2019-20 </w:t>
      </w:r>
      <w:r w:rsidR="00856EE7" w:rsidRPr="00613427">
        <w:t xml:space="preserve">to 2021-22, the Commonwealth will provide </w:t>
      </w:r>
      <w:r w:rsidR="00276EF4" w:rsidRPr="00613427">
        <w:t>a</w:t>
      </w:r>
      <w:r w:rsidR="00424CD9">
        <w:t>n estimated</w:t>
      </w:r>
      <w:r w:rsidR="00152C15" w:rsidRPr="00613427">
        <w:t xml:space="preserve"> total</w:t>
      </w:r>
      <w:r w:rsidR="00FD6DD5" w:rsidRPr="00613427">
        <w:t xml:space="preserve"> </w:t>
      </w:r>
      <w:r w:rsidR="00856EE7" w:rsidRPr="00613427">
        <w:t>financial contribution to the States of</w:t>
      </w:r>
      <w:r w:rsidR="00547750" w:rsidRPr="00613427">
        <w:t xml:space="preserve"> </w:t>
      </w:r>
      <w:r w:rsidRPr="00613427">
        <w:t xml:space="preserve">$50 million </w:t>
      </w:r>
      <w:r w:rsidR="00640E82" w:rsidRPr="00613427">
        <w:t xml:space="preserve">each year </w:t>
      </w:r>
      <w:r w:rsidRPr="00613427">
        <w:t xml:space="preserve">plus actual </w:t>
      </w:r>
      <w:r w:rsidR="00856EE7" w:rsidRPr="00613427">
        <w:t xml:space="preserve">revenue from the Fund </w:t>
      </w:r>
      <w:r w:rsidR="00547750" w:rsidRPr="00613427">
        <w:t xml:space="preserve">Levy </w:t>
      </w:r>
      <w:r w:rsidRPr="00613427">
        <w:t>collected in the previous financial year.</w:t>
      </w:r>
    </w:p>
    <w:p w14:paraId="326D61EC" w14:textId="77777777" w:rsidR="00816816" w:rsidRPr="00613427" w:rsidRDefault="00640E82" w:rsidP="0088249B">
      <w:pPr>
        <w:numPr>
          <w:ilvl w:val="1"/>
          <w:numId w:val="44"/>
        </w:numPr>
        <w:ind w:left="1134" w:hanging="567"/>
        <w:jc w:val="left"/>
      </w:pPr>
      <w:r w:rsidRPr="00613427">
        <w:t xml:space="preserve">Where </w:t>
      </w:r>
      <w:r w:rsidR="001B5F92" w:rsidRPr="00613427">
        <w:t xml:space="preserve">actual </w:t>
      </w:r>
      <w:r w:rsidR="00816816" w:rsidRPr="00613427">
        <w:t xml:space="preserve">revenue </w:t>
      </w:r>
      <w:r w:rsidR="00547750" w:rsidRPr="00613427">
        <w:t>collect</w:t>
      </w:r>
      <w:r w:rsidRPr="00613427">
        <w:t>ions</w:t>
      </w:r>
      <w:r w:rsidR="00547750" w:rsidRPr="00613427">
        <w:t xml:space="preserve"> </w:t>
      </w:r>
      <w:r w:rsidRPr="00613427">
        <w:t xml:space="preserve">are greater than estimated, the additional funding </w:t>
      </w:r>
      <w:r w:rsidR="00816816" w:rsidRPr="00613427">
        <w:t>will be available to States, subject to the requiremen</w:t>
      </w:r>
      <w:r w:rsidR="007B6E48" w:rsidRPr="00613427">
        <w:t>ts of this Agreement being met.</w:t>
      </w:r>
    </w:p>
    <w:p w14:paraId="295256AE" w14:textId="77777777" w:rsidR="00547750" w:rsidRPr="00613427" w:rsidRDefault="00640E82" w:rsidP="0088249B">
      <w:pPr>
        <w:numPr>
          <w:ilvl w:val="1"/>
          <w:numId w:val="44"/>
        </w:numPr>
        <w:ind w:left="1134" w:hanging="567"/>
        <w:jc w:val="left"/>
      </w:pPr>
      <w:r w:rsidRPr="00613427">
        <w:t xml:space="preserve">Where actual </w:t>
      </w:r>
      <w:r w:rsidR="00547750" w:rsidRPr="00613427">
        <w:t xml:space="preserve">revenue </w:t>
      </w:r>
      <w:r w:rsidRPr="00613427">
        <w:t xml:space="preserve">collections are less than </w:t>
      </w:r>
      <w:r w:rsidR="00547750" w:rsidRPr="00613427">
        <w:t>estimated</w:t>
      </w:r>
      <w:r w:rsidRPr="00613427">
        <w:t xml:space="preserve">, funding available to the States </w:t>
      </w:r>
      <w:r w:rsidR="00276EF4" w:rsidRPr="00613427">
        <w:t>will</w:t>
      </w:r>
      <w:r w:rsidR="0040002F" w:rsidRPr="00613427">
        <w:t xml:space="preserve"> </w:t>
      </w:r>
      <w:proofErr w:type="gramStart"/>
      <w:r w:rsidR="00276EF4" w:rsidRPr="00613427">
        <w:t>be</w:t>
      </w:r>
      <w:proofErr w:type="gramEnd"/>
      <w:r w:rsidR="00276EF4" w:rsidRPr="00613427">
        <w:t xml:space="preserve"> the actual revenue collections from the previous year </w:t>
      </w:r>
      <w:r w:rsidR="0040002F" w:rsidRPr="00613427">
        <w:t xml:space="preserve">and </w:t>
      </w:r>
      <w:r w:rsidR="00276EF4" w:rsidRPr="00613427">
        <w:t>with a</w:t>
      </w:r>
      <w:r w:rsidR="00E12EF4" w:rsidRPr="00613427">
        <w:t xml:space="preserve"> minimum of </w:t>
      </w:r>
      <w:r w:rsidR="00113BBC" w:rsidRPr="00613427">
        <w:t xml:space="preserve">$50 million available to </w:t>
      </w:r>
      <w:r w:rsidR="00E12EF4" w:rsidRPr="00613427">
        <w:t>the S</w:t>
      </w:r>
      <w:r w:rsidR="00113BBC" w:rsidRPr="00613427">
        <w:t xml:space="preserve">tates, </w:t>
      </w:r>
      <w:r w:rsidR="00547750" w:rsidRPr="00613427">
        <w:t>subject to the requirements of this Agreement being met.</w:t>
      </w:r>
    </w:p>
    <w:p w14:paraId="56D410AD" w14:textId="77777777" w:rsidR="00D81DAC" w:rsidRPr="00613427" w:rsidRDefault="00D81DAC" w:rsidP="00D81DAC">
      <w:pPr>
        <w:pStyle w:val="Normalnumbered"/>
        <w:numPr>
          <w:ilvl w:val="0"/>
          <w:numId w:val="10"/>
        </w:numPr>
        <w:jc w:val="left"/>
      </w:pPr>
      <w:r w:rsidRPr="00613427">
        <w:t>In all years, funding will be allocated on an equal per capita basis.</w:t>
      </w:r>
    </w:p>
    <w:p w14:paraId="209090EB" w14:textId="77777777" w:rsidR="006B07CD" w:rsidRPr="00613427" w:rsidRDefault="006B07CD" w:rsidP="00816816">
      <w:pPr>
        <w:pStyle w:val="Normalnumbered"/>
        <w:numPr>
          <w:ilvl w:val="0"/>
          <w:numId w:val="10"/>
        </w:numPr>
        <w:jc w:val="left"/>
      </w:pPr>
      <w:r w:rsidRPr="00613427">
        <w:t>The Commonwealth’s funding contribution will not be reduced where the States secure funding from other activity partners.</w:t>
      </w:r>
      <w:r w:rsidR="00816816" w:rsidRPr="00613427">
        <w:rPr>
          <w:rStyle w:val="FootnoteReference"/>
        </w:rPr>
        <w:t xml:space="preserve"> </w:t>
      </w:r>
    </w:p>
    <w:p w14:paraId="65145991" w14:textId="77777777" w:rsidR="00152C15" w:rsidRPr="00613427" w:rsidRDefault="00152C15" w:rsidP="00152C15">
      <w:pPr>
        <w:pStyle w:val="Heading2"/>
      </w:pPr>
      <w:r w:rsidRPr="00613427">
        <w:t>Budget benchmarks</w:t>
      </w:r>
    </w:p>
    <w:p w14:paraId="58BCF37B" w14:textId="77777777" w:rsidR="00152C15" w:rsidRPr="00613427" w:rsidRDefault="00152C15" w:rsidP="00152C15">
      <w:pPr>
        <w:numPr>
          <w:ilvl w:val="0"/>
          <w:numId w:val="10"/>
        </w:numPr>
        <w:spacing w:before="120"/>
        <w:jc w:val="left"/>
      </w:pPr>
      <w:r w:rsidRPr="00613427">
        <w:t>Budget Benchmarks for each State will be based on the lowest annual budget for vocational education and training in 2014-15, 2015-16 and 2016-17, adjusted for the cessation of the NPASR and the commencement of this Agreement.</w:t>
      </w:r>
    </w:p>
    <w:p w14:paraId="63D58D6C" w14:textId="77777777" w:rsidR="00152C15" w:rsidRPr="00613427" w:rsidRDefault="00152C15" w:rsidP="00152C15">
      <w:pPr>
        <w:numPr>
          <w:ilvl w:val="0"/>
          <w:numId w:val="10"/>
        </w:numPr>
        <w:spacing w:before="120"/>
        <w:jc w:val="left"/>
      </w:pPr>
      <w:bookmarkStart w:id="22" w:name="_Ref497382305"/>
      <w:r w:rsidRPr="00613427">
        <w:t xml:space="preserve">If a State’s budget estimate for vocational education and training for the forthcoming financial year, as provided in accordance with clause 31 of this Agreement, falls below the agreed Budget Benchmark, the funding available for that State in that year will be reduced by 50 cents for </w:t>
      </w:r>
      <w:r w:rsidRPr="00613427">
        <w:lastRenderedPageBreak/>
        <w:t>every dollar that the State’s budget estimate is below the agreed Budget Benchmark.  Forgone funds:</w:t>
      </w:r>
      <w:bookmarkEnd w:id="22"/>
    </w:p>
    <w:p w14:paraId="129F5CFA" w14:textId="77777777" w:rsidR="00152C15" w:rsidRPr="00613427" w:rsidRDefault="00152C15" w:rsidP="00152C15">
      <w:pPr>
        <w:numPr>
          <w:ilvl w:val="0"/>
          <w:numId w:val="35"/>
        </w:numPr>
        <w:ind w:left="1134" w:hanging="567"/>
        <w:jc w:val="left"/>
      </w:pPr>
      <w:r w:rsidRPr="00613427">
        <w:t>may result in a reduction in funding for certain agreed projects but the State’s funding allocation cannot fall below zero; and</w:t>
      </w:r>
    </w:p>
    <w:p w14:paraId="06BE9626" w14:textId="77777777" w:rsidR="00152C15" w:rsidRPr="00613427" w:rsidRDefault="00152C15" w:rsidP="00152C15">
      <w:pPr>
        <w:numPr>
          <w:ilvl w:val="0"/>
          <w:numId w:val="35"/>
        </w:numPr>
        <w:ind w:left="1134" w:hanging="567"/>
        <w:jc w:val="left"/>
      </w:pPr>
      <w:proofErr w:type="gramStart"/>
      <w:r w:rsidRPr="00613427">
        <w:t>will</w:t>
      </w:r>
      <w:proofErr w:type="gramEnd"/>
      <w:r w:rsidRPr="00613427">
        <w:t xml:space="preserve"> be reallocated on an equal per capita basis in the subsequent year where the reduction is less than or equal to State’s equal per capita share of revenue from the Fund.  Where the reduction is greater than the State’s equal per capita share of revenue from the Fund, the amount additional to that share up to a maximum of that State’s equal per capita share of $50 million will be returned to the Commonwealth budget.</w:t>
      </w:r>
    </w:p>
    <w:p w14:paraId="5892F38A" w14:textId="77777777" w:rsidR="00152C15" w:rsidRPr="00613427" w:rsidRDefault="00152C15" w:rsidP="00152C15">
      <w:pPr>
        <w:numPr>
          <w:ilvl w:val="0"/>
          <w:numId w:val="10"/>
        </w:numPr>
        <w:spacing w:before="240"/>
        <w:jc w:val="left"/>
      </w:pPr>
      <w:r w:rsidRPr="00613427">
        <w:t xml:space="preserve">The Commonwealth will not make a payment to a State until it has been established whether that State’s funding allocation is subject to the provisions of clause </w:t>
      </w:r>
      <w:r w:rsidRPr="00613427">
        <w:fldChar w:fldCharType="begin"/>
      </w:r>
      <w:r w:rsidRPr="00613427">
        <w:instrText xml:space="preserve"> REF _Ref497382305 \r \h  \* MERGEFORMAT </w:instrText>
      </w:r>
      <w:r w:rsidRPr="00613427">
        <w:fldChar w:fldCharType="separate"/>
      </w:r>
      <w:r w:rsidR="00DF2EA9">
        <w:t>39</w:t>
      </w:r>
      <w:r w:rsidRPr="00613427">
        <w:fldChar w:fldCharType="end"/>
      </w:r>
      <w:r w:rsidRPr="00613427">
        <w:t xml:space="preserve"> of this Agreement.</w:t>
      </w:r>
    </w:p>
    <w:p w14:paraId="1895D6C4" w14:textId="77777777" w:rsidR="00152C15" w:rsidRPr="00613427" w:rsidRDefault="00152C15" w:rsidP="00152C15">
      <w:pPr>
        <w:pStyle w:val="Heading2"/>
      </w:pPr>
      <w:r w:rsidRPr="00613427">
        <w:t>Matching</w:t>
      </w:r>
    </w:p>
    <w:p w14:paraId="475CEAAE" w14:textId="77777777" w:rsidR="00152C15" w:rsidRPr="00613427" w:rsidRDefault="00152C15" w:rsidP="00152C15">
      <w:pPr>
        <w:numPr>
          <w:ilvl w:val="0"/>
          <w:numId w:val="10"/>
        </w:numPr>
        <w:spacing w:before="120"/>
        <w:jc w:val="left"/>
      </w:pPr>
      <w:r w:rsidRPr="00613427">
        <w:t>States will match the Commonwealth’s financial contribution to agreed projects only with recurrent expenditure or forgone revenue.  Capital depreciation and the user cost of capital will not be eligible for matching purposes.  Project proposals will include information on the amount and nature of the State’s matching contribution, in accordance with clause 27</w:t>
      </w:r>
      <w:r w:rsidRPr="00613427">
        <w:fldChar w:fldCharType="begin"/>
      </w:r>
      <w:r w:rsidRPr="00613427">
        <w:instrText xml:space="preserve"> REF _Ref497382431 \r \h  \* MERGEFORMAT </w:instrText>
      </w:r>
      <w:r w:rsidRPr="00613427">
        <w:fldChar w:fldCharType="separate"/>
      </w:r>
      <w:r w:rsidR="00DF2EA9">
        <w:t>(c)</w:t>
      </w:r>
      <w:r w:rsidRPr="00613427">
        <w:fldChar w:fldCharType="end"/>
      </w:r>
      <w:r w:rsidRPr="00613427">
        <w:t xml:space="preserve"> of this Agreement.</w:t>
      </w:r>
    </w:p>
    <w:p w14:paraId="52A3E802" w14:textId="77777777" w:rsidR="00152C15" w:rsidRPr="00613427" w:rsidRDefault="00152C15" w:rsidP="00152C15">
      <w:pPr>
        <w:numPr>
          <w:ilvl w:val="0"/>
          <w:numId w:val="10"/>
        </w:numPr>
        <w:spacing w:before="120"/>
        <w:jc w:val="left"/>
      </w:pPr>
      <w:r w:rsidRPr="00613427">
        <w:t>Having regard to the agreed estimated costs of projects for the purposes of the matching requirements of this Agreement, States will not be required to pay a refund to the Commonwealth if the actual cost of a project is less than the agreed estimated cost.  Similarly, the Commonwealth’s financial contribution will not increase should the cost of a project exceed the agreed estimated cost.</w:t>
      </w:r>
    </w:p>
    <w:p w14:paraId="7508638C" w14:textId="77777777" w:rsidR="00152C15" w:rsidRPr="00613427" w:rsidRDefault="00152C15" w:rsidP="00152C15">
      <w:pPr>
        <w:pStyle w:val="Heading2"/>
      </w:pPr>
      <w:r w:rsidRPr="00613427">
        <w:t>Payments</w:t>
      </w:r>
    </w:p>
    <w:p w14:paraId="5DDFF55B" w14:textId="77777777" w:rsidR="00152C15" w:rsidRPr="00613427" w:rsidRDefault="00152C15" w:rsidP="00152C15">
      <w:pPr>
        <w:pStyle w:val="Normalnumbered"/>
        <w:numPr>
          <w:ilvl w:val="0"/>
          <w:numId w:val="10"/>
        </w:numPr>
        <w:jc w:val="left"/>
      </w:pPr>
      <w:r w:rsidRPr="00613427">
        <w:t xml:space="preserve">Payments will be made in arrears on achievement of </w:t>
      </w:r>
      <w:r w:rsidR="005B2D17" w:rsidRPr="00613427">
        <w:t xml:space="preserve">performance benchmarks and </w:t>
      </w:r>
      <w:r w:rsidRPr="00613427">
        <w:t>milestones</w:t>
      </w:r>
      <w:r w:rsidR="0080537E" w:rsidRPr="00613427">
        <w:t xml:space="preserve">, </w:t>
      </w:r>
      <w:r w:rsidR="008E659A" w:rsidRPr="00613427">
        <w:t>as agreed in the bilateral schedules to this Agreement</w:t>
      </w:r>
      <w:r w:rsidRPr="00613427">
        <w:t>.  Where a performance report demonstrates that a performance benchmark or milestone has been met in advance of the due date, the Commonwealth may make the associated payment earlier than scheduled provided it falls within the same financial year as the original performance benchmark or milestone date.</w:t>
      </w:r>
    </w:p>
    <w:p w14:paraId="73D49BDE" w14:textId="77777777" w:rsidR="00152C15" w:rsidRPr="00613427" w:rsidRDefault="00152C15" w:rsidP="00152C15">
      <w:pPr>
        <w:numPr>
          <w:ilvl w:val="0"/>
          <w:numId w:val="10"/>
        </w:numPr>
        <w:spacing w:before="120"/>
        <w:jc w:val="left"/>
      </w:pPr>
      <w:r w:rsidRPr="00613427">
        <w:t xml:space="preserve">Payments for </w:t>
      </w:r>
      <w:r w:rsidR="000C1FE5" w:rsidRPr="00613427">
        <w:t xml:space="preserve">milestones </w:t>
      </w:r>
      <w:r w:rsidRPr="00613427">
        <w:t xml:space="preserve">will not be made unless the State has achieved </w:t>
      </w:r>
      <w:r w:rsidR="000C1FE5" w:rsidRPr="00613427">
        <w:t>the milestone</w:t>
      </w:r>
      <w:r w:rsidR="00C01740" w:rsidRPr="00613427">
        <w:t xml:space="preserve"> in full</w:t>
      </w:r>
      <w:r w:rsidR="000C1FE5" w:rsidRPr="00613427">
        <w:t xml:space="preserve">.  Payments for performance benchmarks will not be made unless </w:t>
      </w:r>
      <w:r w:rsidRPr="00613427">
        <w:t>at least 50 percent of the relevant performance benchmark</w:t>
      </w:r>
      <w:r w:rsidR="000C1FE5" w:rsidRPr="00613427">
        <w:t xml:space="preserve"> has been achieved</w:t>
      </w:r>
      <w:r w:rsidRPr="00613427">
        <w:t>.  Payments will be made proportional to achievement against the performance benchmark on a pro rata basis to the nearest per cent, from 50 per cent to 100 per cent of funding.</w:t>
      </w:r>
    </w:p>
    <w:p w14:paraId="3E6C7E7F" w14:textId="77777777" w:rsidR="00152C15" w:rsidRPr="00613427" w:rsidRDefault="00152C15" w:rsidP="00152C15">
      <w:pPr>
        <w:numPr>
          <w:ilvl w:val="0"/>
          <w:numId w:val="10"/>
        </w:numPr>
        <w:spacing w:before="120"/>
        <w:jc w:val="left"/>
      </w:pPr>
      <w:r w:rsidRPr="00613427">
        <w:t xml:space="preserve">Where appropriate, the Commonwealth will make provisional payments subject to early data, or proxy data, demonstrating achievement of the relevant target.  Provisional payments </w:t>
      </w:r>
      <w:r w:rsidR="00DF2EA9">
        <w:t>may</w:t>
      </w:r>
      <w:r w:rsidRPr="00613427">
        <w:t xml:space="preserve"> be adjusted subsequently for any differences arising from final, verified data.</w:t>
      </w:r>
    </w:p>
    <w:p w14:paraId="633DA8B9" w14:textId="77777777" w:rsidR="001F127C" w:rsidRPr="00613427" w:rsidRDefault="00131404" w:rsidP="00D836BA">
      <w:pPr>
        <w:pStyle w:val="Normalnumbered"/>
        <w:numPr>
          <w:ilvl w:val="0"/>
          <w:numId w:val="10"/>
        </w:numPr>
        <w:jc w:val="left"/>
      </w:pPr>
      <w:r w:rsidRPr="00613427">
        <w:t xml:space="preserve">The Commonwealth’s and the States’ estimated financial contributions to the operation of this </w:t>
      </w:r>
      <w:r w:rsidR="00152C15" w:rsidRPr="00613427">
        <w:t>A</w:t>
      </w:r>
      <w:r w:rsidRPr="00613427">
        <w:t xml:space="preserve">greement, including through National Partnership payments to the States paid in accordance with </w:t>
      </w:r>
      <w:r w:rsidRPr="00613427">
        <w:rPr>
          <w:i/>
        </w:rPr>
        <w:t>Schedule D – Payment Arrangements</w:t>
      </w:r>
      <w:r w:rsidRPr="00613427">
        <w:t xml:space="preserve"> of the IGA FFR, </w:t>
      </w:r>
      <w:r w:rsidR="00152C15" w:rsidRPr="00613427">
        <w:t>are shown in Table 1</w:t>
      </w:r>
      <w:r w:rsidRPr="00613427">
        <w:t>.</w:t>
      </w:r>
    </w:p>
    <w:p w14:paraId="4F7EB233" w14:textId="77777777" w:rsidR="00DD70D0" w:rsidRPr="00613427" w:rsidRDefault="004B5042" w:rsidP="004B5042">
      <w:pPr>
        <w:pStyle w:val="TableMainHeading"/>
        <w:spacing w:after="120"/>
      </w:pPr>
      <w:r w:rsidRPr="00613427">
        <w:lastRenderedPageBreak/>
        <w:t xml:space="preserve">Table </w:t>
      </w:r>
      <w:r w:rsidR="008B5758" w:rsidRPr="00613427">
        <w:t>1</w:t>
      </w:r>
      <w:r w:rsidRPr="00613427">
        <w:t xml:space="preserve">: Estimated financial </w:t>
      </w:r>
      <w:proofErr w:type="gramStart"/>
      <w:r w:rsidRPr="00613427">
        <w:t>contributions</w:t>
      </w:r>
      <w:r w:rsidR="00C56217" w:rsidRPr="00613427">
        <w:rPr>
          <w:vertAlign w:val="superscript"/>
        </w:rPr>
        <w:t>(</w:t>
      </w:r>
      <w:proofErr w:type="gramEnd"/>
      <w:r w:rsidR="00C56217" w:rsidRPr="00613427">
        <w:rPr>
          <w:vertAlign w:val="superscript"/>
        </w:rPr>
        <w:t>a)</w:t>
      </w:r>
    </w:p>
    <w:tbl>
      <w:tblPr>
        <w:tblW w:w="9747" w:type="dxa"/>
        <w:tblCellMar>
          <w:left w:w="0" w:type="dxa"/>
          <w:right w:w="0" w:type="dxa"/>
        </w:tblCellMar>
        <w:tblLook w:val="04A0" w:firstRow="1" w:lastRow="0" w:firstColumn="1" w:lastColumn="0" w:noHBand="0" w:noVBand="1"/>
      </w:tblPr>
      <w:tblGrid>
        <w:gridCol w:w="4644"/>
        <w:gridCol w:w="1020"/>
        <w:gridCol w:w="1021"/>
        <w:gridCol w:w="1020"/>
        <w:gridCol w:w="1021"/>
        <w:gridCol w:w="1021"/>
      </w:tblGrid>
      <w:tr w:rsidR="004B5042" w:rsidRPr="00613427" w14:paraId="7D1A327F" w14:textId="77777777" w:rsidTr="00053685">
        <w:trPr>
          <w:cantSplit/>
        </w:trPr>
        <w:tc>
          <w:tcPr>
            <w:tcW w:w="4644" w:type="dxa"/>
            <w:tcMar>
              <w:top w:w="0" w:type="dxa"/>
              <w:left w:w="108" w:type="dxa"/>
              <w:bottom w:w="0" w:type="dxa"/>
              <w:right w:w="108" w:type="dxa"/>
            </w:tcMar>
            <w:vAlign w:val="center"/>
            <w:hideMark/>
          </w:tcPr>
          <w:p w14:paraId="4A872512" w14:textId="77777777" w:rsidR="004B5042" w:rsidRPr="00613427" w:rsidRDefault="004B5042">
            <w:pPr>
              <w:keepNext/>
              <w:spacing w:before="40" w:after="40"/>
              <w:rPr>
                <w:rFonts w:eastAsiaTheme="minorHAnsi"/>
                <w:b/>
                <w:bCs/>
                <w:sz w:val="22"/>
                <w:szCs w:val="22"/>
                <w:lang w:eastAsia="en-US"/>
              </w:rPr>
            </w:pPr>
            <w:r w:rsidRPr="00613427">
              <w:rPr>
                <w:b/>
                <w:bCs/>
                <w:sz w:val="22"/>
                <w:szCs w:val="22"/>
              </w:rPr>
              <w:t>($ million)</w:t>
            </w:r>
          </w:p>
        </w:tc>
        <w:tc>
          <w:tcPr>
            <w:tcW w:w="1020" w:type="dxa"/>
            <w:tcBorders>
              <w:top w:val="nil"/>
              <w:left w:val="nil"/>
              <w:bottom w:val="single" w:sz="8" w:space="0" w:color="000080"/>
              <w:right w:val="nil"/>
            </w:tcBorders>
            <w:tcMar>
              <w:top w:w="0" w:type="dxa"/>
              <w:left w:w="108" w:type="dxa"/>
              <w:bottom w:w="0" w:type="dxa"/>
              <w:right w:w="108" w:type="dxa"/>
            </w:tcMar>
            <w:hideMark/>
          </w:tcPr>
          <w:p w14:paraId="3DA5F583" w14:textId="77777777" w:rsidR="004B5042" w:rsidRPr="00613427" w:rsidRDefault="004B5042" w:rsidP="004B5042">
            <w:pPr>
              <w:keepNext/>
              <w:spacing w:before="40" w:after="40"/>
              <w:jc w:val="right"/>
              <w:rPr>
                <w:rFonts w:eastAsiaTheme="minorHAnsi"/>
                <w:sz w:val="22"/>
                <w:szCs w:val="22"/>
                <w:lang w:eastAsia="en-US"/>
              </w:rPr>
            </w:pPr>
            <w:r w:rsidRPr="00613427">
              <w:rPr>
                <w:sz w:val="22"/>
                <w:szCs w:val="22"/>
              </w:rPr>
              <w:t>2018-19</w:t>
            </w:r>
          </w:p>
        </w:tc>
        <w:tc>
          <w:tcPr>
            <w:tcW w:w="1021" w:type="dxa"/>
            <w:tcBorders>
              <w:top w:val="nil"/>
              <w:left w:val="nil"/>
              <w:bottom w:val="single" w:sz="8" w:space="0" w:color="000080"/>
              <w:right w:val="nil"/>
            </w:tcBorders>
            <w:tcMar>
              <w:top w:w="0" w:type="dxa"/>
              <w:left w:w="108" w:type="dxa"/>
              <w:bottom w:w="0" w:type="dxa"/>
              <w:right w:w="108" w:type="dxa"/>
            </w:tcMar>
            <w:hideMark/>
          </w:tcPr>
          <w:p w14:paraId="22C8717E" w14:textId="77777777" w:rsidR="004B5042" w:rsidRPr="00613427" w:rsidRDefault="004B5042" w:rsidP="004B5042">
            <w:pPr>
              <w:keepNext/>
              <w:spacing w:before="40" w:after="40"/>
              <w:jc w:val="right"/>
              <w:rPr>
                <w:rFonts w:eastAsiaTheme="minorHAnsi"/>
                <w:sz w:val="22"/>
                <w:szCs w:val="22"/>
                <w:lang w:eastAsia="en-US"/>
              </w:rPr>
            </w:pPr>
            <w:r w:rsidRPr="00613427">
              <w:rPr>
                <w:sz w:val="22"/>
                <w:szCs w:val="22"/>
              </w:rPr>
              <w:t>2019-20</w:t>
            </w:r>
          </w:p>
        </w:tc>
        <w:tc>
          <w:tcPr>
            <w:tcW w:w="1020" w:type="dxa"/>
            <w:tcBorders>
              <w:top w:val="nil"/>
              <w:left w:val="nil"/>
              <w:bottom w:val="single" w:sz="8" w:space="0" w:color="000080"/>
              <w:right w:val="nil"/>
            </w:tcBorders>
            <w:tcMar>
              <w:top w:w="0" w:type="dxa"/>
              <w:left w:w="108" w:type="dxa"/>
              <w:bottom w:w="0" w:type="dxa"/>
              <w:right w:w="108" w:type="dxa"/>
            </w:tcMar>
            <w:hideMark/>
          </w:tcPr>
          <w:p w14:paraId="7EB6AC83" w14:textId="77777777" w:rsidR="004B5042" w:rsidRPr="00613427" w:rsidRDefault="004B5042" w:rsidP="004B5042">
            <w:pPr>
              <w:keepNext/>
              <w:spacing w:before="40" w:after="40"/>
              <w:jc w:val="right"/>
              <w:rPr>
                <w:rFonts w:ascii="Calibri" w:eastAsiaTheme="minorHAnsi" w:hAnsi="Calibri"/>
                <w:sz w:val="22"/>
                <w:szCs w:val="22"/>
                <w:lang w:eastAsia="en-US"/>
              </w:rPr>
            </w:pPr>
            <w:r w:rsidRPr="00613427">
              <w:rPr>
                <w:sz w:val="22"/>
                <w:szCs w:val="22"/>
              </w:rPr>
              <w:t>2020-21</w:t>
            </w:r>
          </w:p>
        </w:tc>
        <w:tc>
          <w:tcPr>
            <w:tcW w:w="1021" w:type="dxa"/>
            <w:tcBorders>
              <w:top w:val="nil"/>
              <w:left w:val="nil"/>
              <w:bottom w:val="single" w:sz="8" w:space="0" w:color="000080"/>
              <w:right w:val="nil"/>
            </w:tcBorders>
          </w:tcPr>
          <w:p w14:paraId="41051134" w14:textId="77777777" w:rsidR="004B5042" w:rsidRPr="00613427" w:rsidRDefault="004B5042" w:rsidP="00774885">
            <w:pPr>
              <w:keepNext/>
              <w:spacing w:before="40" w:after="40"/>
              <w:jc w:val="right"/>
              <w:rPr>
                <w:sz w:val="22"/>
                <w:szCs w:val="22"/>
              </w:rPr>
            </w:pPr>
            <w:r w:rsidRPr="00613427">
              <w:rPr>
                <w:sz w:val="22"/>
                <w:szCs w:val="22"/>
              </w:rPr>
              <w:t>2021-22</w:t>
            </w:r>
          </w:p>
        </w:tc>
        <w:tc>
          <w:tcPr>
            <w:tcW w:w="1021" w:type="dxa"/>
            <w:tcBorders>
              <w:top w:val="nil"/>
              <w:left w:val="nil"/>
              <w:bottom w:val="single" w:sz="8" w:space="0" w:color="000080"/>
              <w:right w:val="nil"/>
            </w:tcBorders>
          </w:tcPr>
          <w:p w14:paraId="7A71DC37" w14:textId="77777777" w:rsidR="004B5042" w:rsidRPr="00613427" w:rsidRDefault="004B5042" w:rsidP="004B5042">
            <w:pPr>
              <w:keepNext/>
              <w:spacing w:before="40" w:after="40"/>
              <w:jc w:val="right"/>
              <w:rPr>
                <w:sz w:val="22"/>
                <w:szCs w:val="22"/>
              </w:rPr>
            </w:pPr>
            <w:r w:rsidRPr="00613427">
              <w:rPr>
                <w:sz w:val="22"/>
                <w:szCs w:val="22"/>
              </w:rPr>
              <w:t>Total</w:t>
            </w:r>
          </w:p>
        </w:tc>
      </w:tr>
      <w:tr w:rsidR="00086B9F" w:rsidRPr="00613427" w14:paraId="296D3901" w14:textId="77777777" w:rsidTr="00B424F1">
        <w:trPr>
          <w:cantSplit/>
        </w:trPr>
        <w:tc>
          <w:tcPr>
            <w:tcW w:w="4644" w:type="dxa"/>
            <w:tcBorders>
              <w:top w:val="single" w:sz="8" w:space="0" w:color="000080"/>
              <w:left w:val="nil"/>
              <w:bottom w:val="nil"/>
              <w:right w:val="nil"/>
            </w:tcBorders>
            <w:tcMar>
              <w:top w:w="0" w:type="dxa"/>
              <w:left w:w="108" w:type="dxa"/>
              <w:bottom w:w="0" w:type="dxa"/>
              <w:right w:w="108" w:type="dxa"/>
            </w:tcMar>
            <w:hideMark/>
          </w:tcPr>
          <w:p w14:paraId="71103063" w14:textId="77777777" w:rsidR="00086B9F" w:rsidRPr="00613427" w:rsidRDefault="00086B9F" w:rsidP="00053685">
            <w:pPr>
              <w:keepNext/>
              <w:spacing w:before="40" w:after="40"/>
              <w:jc w:val="left"/>
              <w:rPr>
                <w:rFonts w:eastAsiaTheme="minorHAnsi"/>
                <w:b/>
                <w:bCs/>
                <w:sz w:val="22"/>
                <w:szCs w:val="22"/>
                <w:lang w:eastAsia="en-US"/>
              </w:rPr>
            </w:pPr>
            <w:r w:rsidRPr="00613427">
              <w:rPr>
                <w:b/>
                <w:bCs/>
                <w:i/>
                <w:iCs/>
                <w:sz w:val="22"/>
                <w:szCs w:val="22"/>
              </w:rPr>
              <w:t>Estimated</w:t>
            </w:r>
            <w:r w:rsidRPr="00613427">
              <w:rPr>
                <w:sz w:val="22"/>
                <w:szCs w:val="22"/>
              </w:rPr>
              <w:t xml:space="preserve"> total budget (1)</w:t>
            </w:r>
          </w:p>
        </w:tc>
        <w:tc>
          <w:tcPr>
            <w:tcW w:w="1020" w:type="dxa"/>
            <w:tcBorders>
              <w:top w:val="nil"/>
              <w:left w:val="nil"/>
              <w:bottom w:val="single" w:sz="8" w:space="0" w:color="000080"/>
              <w:right w:val="nil"/>
            </w:tcBorders>
            <w:tcMar>
              <w:top w:w="0" w:type="dxa"/>
              <w:left w:w="108" w:type="dxa"/>
              <w:bottom w:w="0" w:type="dxa"/>
              <w:right w:w="108" w:type="dxa"/>
            </w:tcMar>
            <w:vAlign w:val="bottom"/>
          </w:tcPr>
          <w:p w14:paraId="151D48B8" w14:textId="77777777" w:rsidR="00086B9F" w:rsidRPr="00613427" w:rsidRDefault="00086B9F" w:rsidP="00230862">
            <w:pPr>
              <w:keepNext/>
              <w:spacing w:before="40" w:after="40"/>
              <w:jc w:val="right"/>
              <w:rPr>
                <w:rFonts w:eastAsiaTheme="minorHAnsi"/>
                <w:bCs/>
                <w:sz w:val="22"/>
                <w:szCs w:val="22"/>
                <w:lang w:eastAsia="en-US"/>
              </w:rPr>
            </w:pPr>
            <w:r w:rsidRPr="00613427">
              <w:rPr>
                <w:rFonts w:eastAsiaTheme="minorHAnsi"/>
                <w:bCs/>
                <w:sz w:val="22"/>
                <w:szCs w:val="22"/>
                <w:lang w:eastAsia="en-US"/>
              </w:rPr>
              <w:t>586.8</w:t>
            </w:r>
          </w:p>
        </w:tc>
        <w:tc>
          <w:tcPr>
            <w:tcW w:w="1021" w:type="dxa"/>
            <w:tcBorders>
              <w:top w:val="nil"/>
              <w:left w:val="nil"/>
              <w:bottom w:val="single" w:sz="8" w:space="0" w:color="000080"/>
              <w:right w:val="nil"/>
            </w:tcBorders>
            <w:tcMar>
              <w:top w:w="0" w:type="dxa"/>
              <w:left w:w="108" w:type="dxa"/>
              <w:bottom w:w="0" w:type="dxa"/>
              <w:right w:w="108" w:type="dxa"/>
            </w:tcMar>
            <w:vAlign w:val="bottom"/>
          </w:tcPr>
          <w:p w14:paraId="1F7B6CF9" w14:textId="77777777" w:rsidR="00086B9F" w:rsidRPr="00613427" w:rsidRDefault="00086B9F">
            <w:pPr>
              <w:keepNext/>
              <w:spacing w:before="40" w:after="40"/>
              <w:jc w:val="right"/>
              <w:rPr>
                <w:rFonts w:eastAsiaTheme="minorHAnsi"/>
                <w:bCs/>
                <w:sz w:val="22"/>
                <w:szCs w:val="22"/>
                <w:lang w:eastAsia="en-US"/>
              </w:rPr>
            </w:pPr>
            <w:r w:rsidRPr="00613427">
              <w:rPr>
                <w:rFonts w:eastAsiaTheme="minorHAnsi"/>
                <w:bCs/>
                <w:sz w:val="22"/>
                <w:szCs w:val="22"/>
                <w:lang w:eastAsia="en-US"/>
              </w:rPr>
              <w:t>586.8</w:t>
            </w:r>
          </w:p>
        </w:tc>
        <w:tc>
          <w:tcPr>
            <w:tcW w:w="1020" w:type="dxa"/>
            <w:tcBorders>
              <w:top w:val="nil"/>
              <w:left w:val="nil"/>
              <w:bottom w:val="single" w:sz="8" w:space="0" w:color="000080"/>
              <w:right w:val="nil"/>
            </w:tcBorders>
            <w:tcMar>
              <w:top w:w="0" w:type="dxa"/>
              <w:left w:w="108" w:type="dxa"/>
              <w:bottom w:w="0" w:type="dxa"/>
              <w:right w:w="108" w:type="dxa"/>
            </w:tcMar>
            <w:vAlign w:val="bottom"/>
          </w:tcPr>
          <w:p w14:paraId="5D1053CA" w14:textId="77777777" w:rsidR="00086B9F" w:rsidRPr="00613427" w:rsidRDefault="00086B9F">
            <w:pPr>
              <w:keepNext/>
              <w:spacing w:before="40" w:after="40"/>
              <w:jc w:val="right"/>
              <w:rPr>
                <w:rFonts w:eastAsiaTheme="minorHAnsi"/>
                <w:bCs/>
                <w:sz w:val="22"/>
                <w:szCs w:val="22"/>
                <w:lang w:eastAsia="en-US"/>
              </w:rPr>
            </w:pPr>
            <w:r w:rsidRPr="00613427">
              <w:rPr>
                <w:rFonts w:eastAsiaTheme="minorHAnsi"/>
                <w:bCs/>
                <w:sz w:val="22"/>
                <w:szCs w:val="22"/>
                <w:lang w:eastAsia="en-US"/>
              </w:rPr>
              <w:t>676.6</w:t>
            </w:r>
          </w:p>
        </w:tc>
        <w:tc>
          <w:tcPr>
            <w:tcW w:w="1021" w:type="dxa"/>
            <w:tcBorders>
              <w:top w:val="nil"/>
              <w:left w:val="nil"/>
              <w:bottom w:val="single" w:sz="8" w:space="0" w:color="000080"/>
              <w:right w:val="nil"/>
            </w:tcBorders>
            <w:vAlign w:val="bottom"/>
          </w:tcPr>
          <w:p w14:paraId="566B4339" w14:textId="77777777" w:rsidR="00086B9F" w:rsidRPr="00613427" w:rsidRDefault="00086B9F">
            <w:pPr>
              <w:keepNext/>
              <w:spacing w:before="40" w:after="40"/>
              <w:jc w:val="right"/>
              <w:rPr>
                <w:rFonts w:eastAsiaTheme="minorHAnsi"/>
                <w:bCs/>
                <w:sz w:val="22"/>
                <w:szCs w:val="22"/>
                <w:lang w:eastAsia="en-US"/>
              </w:rPr>
            </w:pPr>
            <w:r w:rsidRPr="00613427">
              <w:rPr>
                <w:rFonts w:eastAsiaTheme="minorHAnsi"/>
                <w:bCs/>
                <w:sz w:val="22"/>
                <w:szCs w:val="22"/>
                <w:lang w:eastAsia="en-US"/>
              </w:rPr>
              <w:t>596.4</w:t>
            </w:r>
          </w:p>
        </w:tc>
        <w:tc>
          <w:tcPr>
            <w:tcW w:w="1021" w:type="dxa"/>
            <w:tcBorders>
              <w:top w:val="nil"/>
              <w:left w:val="nil"/>
              <w:bottom w:val="single" w:sz="8" w:space="0" w:color="000080"/>
              <w:right w:val="nil"/>
            </w:tcBorders>
            <w:vAlign w:val="bottom"/>
          </w:tcPr>
          <w:p w14:paraId="6BFECF8D" w14:textId="77777777" w:rsidR="00086B9F" w:rsidRPr="00613427" w:rsidRDefault="00086B9F">
            <w:pPr>
              <w:keepNext/>
              <w:spacing w:before="40" w:after="40"/>
              <w:jc w:val="right"/>
              <w:rPr>
                <w:rFonts w:eastAsiaTheme="minorHAnsi"/>
                <w:bCs/>
                <w:sz w:val="22"/>
                <w:szCs w:val="22"/>
                <w:lang w:eastAsia="en-US"/>
              </w:rPr>
            </w:pPr>
            <w:r w:rsidRPr="00613427">
              <w:rPr>
                <w:rFonts w:eastAsiaTheme="minorHAnsi"/>
                <w:bCs/>
                <w:sz w:val="22"/>
                <w:szCs w:val="22"/>
                <w:lang w:eastAsia="en-US"/>
              </w:rPr>
              <w:t>2,446.6</w:t>
            </w:r>
          </w:p>
        </w:tc>
      </w:tr>
      <w:tr w:rsidR="00BF25CF" w:rsidRPr="00613427" w14:paraId="7AE58236" w14:textId="77777777" w:rsidTr="00FB750E">
        <w:trPr>
          <w:cantSplit/>
          <w:trHeight w:val="2939"/>
        </w:trPr>
        <w:tc>
          <w:tcPr>
            <w:tcW w:w="4644" w:type="dxa"/>
            <w:tcMar>
              <w:top w:w="0" w:type="dxa"/>
              <w:left w:w="108" w:type="dxa"/>
              <w:bottom w:w="0" w:type="dxa"/>
              <w:right w:w="108" w:type="dxa"/>
            </w:tcMar>
            <w:hideMark/>
          </w:tcPr>
          <w:p w14:paraId="5E309AAD" w14:textId="77777777" w:rsidR="00BF25CF" w:rsidRPr="00613427" w:rsidRDefault="00BF25CF" w:rsidP="00986666">
            <w:pPr>
              <w:keepNext/>
              <w:spacing w:before="60" w:after="60"/>
              <w:jc w:val="left"/>
              <w:rPr>
                <w:sz w:val="22"/>
                <w:szCs w:val="22"/>
                <w:vertAlign w:val="superscript"/>
              </w:rPr>
            </w:pPr>
            <w:r w:rsidRPr="00613427">
              <w:rPr>
                <w:b/>
                <w:bCs/>
                <w:i/>
                <w:iCs/>
                <w:sz w:val="22"/>
                <w:szCs w:val="22"/>
              </w:rPr>
              <w:t>Estimated</w:t>
            </w:r>
            <w:r w:rsidRPr="00613427">
              <w:rPr>
                <w:sz w:val="22"/>
                <w:szCs w:val="22"/>
              </w:rPr>
              <w:t xml:space="preserve"> National Partnership payments (2)</w:t>
            </w:r>
            <w:r w:rsidR="00C56217" w:rsidRPr="00613427">
              <w:rPr>
                <w:sz w:val="22"/>
                <w:szCs w:val="22"/>
                <w:vertAlign w:val="superscript"/>
              </w:rPr>
              <w:t xml:space="preserve"> (b</w:t>
            </w:r>
            <w:r w:rsidRPr="00613427">
              <w:rPr>
                <w:sz w:val="22"/>
                <w:szCs w:val="22"/>
                <w:vertAlign w:val="superscript"/>
              </w:rPr>
              <w:t>)</w:t>
            </w:r>
          </w:p>
          <w:p w14:paraId="09AACB59" w14:textId="77777777" w:rsidR="00BF25CF" w:rsidRPr="00613427" w:rsidRDefault="00BF25CF" w:rsidP="00053685">
            <w:pPr>
              <w:keepNext/>
              <w:spacing w:before="40" w:after="40"/>
              <w:jc w:val="left"/>
              <w:rPr>
                <w:rFonts w:eastAsiaTheme="minorHAnsi"/>
                <w:bCs/>
                <w:sz w:val="22"/>
                <w:szCs w:val="22"/>
                <w:lang w:eastAsia="en-US"/>
              </w:rPr>
            </w:pPr>
            <w:r w:rsidRPr="00613427">
              <w:rPr>
                <w:sz w:val="22"/>
                <w:szCs w:val="22"/>
                <w:vertAlign w:val="superscript"/>
              </w:rPr>
              <w:tab/>
            </w:r>
            <w:r w:rsidRPr="00613427">
              <w:rPr>
                <w:rFonts w:eastAsiaTheme="minorHAnsi"/>
                <w:bCs/>
                <w:sz w:val="22"/>
                <w:szCs w:val="22"/>
                <w:lang w:eastAsia="en-US"/>
              </w:rPr>
              <w:t>New South Wales</w:t>
            </w:r>
          </w:p>
          <w:p w14:paraId="7847C967" w14:textId="77777777" w:rsidR="00BF25CF" w:rsidRPr="00613427" w:rsidRDefault="00BF25CF" w:rsidP="00053685">
            <w:pPr>
              <w:keepNext/>
              <w:spacing w:before="40" w:after="40"/>
              <w:jc w:val="left"/>
              <w:rPr>
                <w:rFonts w:eastAsiaTheme="minorHAnsi"/>
                <w:bCs/>
                <w:sz w:val="22"/>
                <w:szCs w:val="22"/>
                <w:lang w:eastAsia="en-US"/>
              </w:rPr>
            </w:pPr>
            <w:r w:rsidRPr="00613427">
              <w:rPr>
                <w:rFonts w:eastAsiaTheme="minorHAnsi"/>
                <w:bCs/>
                <w:sz w:val="22"/>
                <w:szCs w:val="22"/>
                <w:lang w:eastAsia="en-US"/>
              </w:rPr>
              <w:tab/>
              <w:t>Victoria</w:t>
            </w:r>
          </w:p>
          <w:p w14:paraId="75067DD5" w14:textId="77777777" w:rsidR="00BF25CF" w:rsidRPr="00613427" w:rsidRDefault="00BF25CF" w:rsidP="00053685">
            <w:pPr>
              <w:keepNext/>
              <w:spacing w:before="40" w:after="40"/>
              <w:jc w:val="left"/>
              <w:rPr>
                <w:rFonts w:eastAsiaTheme="minorHAnsi"/>
                <w:bCs/>
                <w:sz w:val="22"/>
                <w:szCs w:val="22"/>
                <w:lang w:eastAsia="en-US"/>
              </w:rPr>
            </w:pPr>
            <w:r w:rsidRPr="00613427">
              <w:rPr>
                <w:rFonts w:eastAsiaTheme="minorHAnsi"/>
                <w:bCs/>
                <w:sz w:val="22"/>
                <w:szCs w:val="22"/>
                <w:lang w:eastAsia="en-US"/>
              </w:rPr>
              <w:tab/>
              <w:t>Queensland</w:t>
            </w:r>
          </w:p>
          <w:p w14:paraId="15165988" w14:textId="77777777" w:rsidR="00BF25CF" w:rsidRPr="00613427" w:rsidRDefault="00BF25CF" w:rsidP="00053685">
            <w:pPr>
              <w:keepNext/>
              <w:spacing w:before="40" w:after="40"/>
              <w:jc w:val="left"/>
              <w:rPr>
                <w:rFonts w:eastAsiaTheme="minorHAnsi"/>
                <w:bCs/>
                <w:sz w:val="22"/>
                <w:szCs w:val="22"/>
                <w:lang w:eastAsia="en-US"/>
              </w:rPr>
            </w:pPr>
            <w:r w:rsidRPr="00613427">
              <w:rPr>
                <w:rFonts w:eastAsiaTheme="minorHAnsi"/>
                <w:bCs/>
                <w:sz w:val="22"/>
                <w:szCs w:val="22"/>
                <w:lang w:eastAsia="en-US"/>
              </w:rPr>
              <w:tab/>
              <w:t>Western Australia</w:t>
            </w:r>
          </w:p>
          <w:p w14:paraId="15756158" w14:textId="77777777" w:rsidR="00BF25CF" w:rsidRPr="00613427" w:rsidRDefault="00BF25CF" w:rsidP="00053685">
            <w:pPr>
              <w:keepNext/>
              <w:spacing w:before="40" w:after="40"/>
              <w:jc w:val="left"/>
              <w:rPr>
                <w:rFonts w:eastAsiaTheme="minorHAnsi"/>
                <w:bCs/>
                <w:sz w:val="22"/>
                <w:szCs w:val="22"/>
                <w:lang w:eastAsia="en-US"/>
              </w:rPr>
            </w:pPr>
            <w:r w:rsidRPr="00613427">
              <w:rPr>
                <w:rFonts w:eastAsiaTheme="minorHAnsi"/>
                <w:bCs/>
                <w:sz w:val="22"/>
                <w:szCs w:val="22"/>
                <w:lang w:eastAsia="en-US"/>
              </w:rPr>
              <w:tab/>
              <w:t>South Australia</w:t>
            </w:r>
          </w:p>
          <w:p w14:paraId="53242384" w14:textId="77777777" w:rsidR="00BF25CF" w:rsidRPr="00613427" w:rsidRDefault="00BF25CF" w:rsidP="00053685">
            <w:pPr>
              <w:keepNext/>
              <w:spacing w:before="40" w:after="40"/>
              <w:jc w:val="left"/>
              <w:rPr>
                <w:rFonts w:eastAsiaTheme="minorHAnsi"/>
                <w:bCs/>
                <w:sz w:val="22"/>
                <w:szCs w:val="22"/>
                <w:lang w:eastAsia="en-US"/>
              </w:rPr>
            </w:pPr>
            <w:r w:rsidRPr="00613427">
              <w:rPr>
                <w:rFonts w:eastAsiaTheme="minorHAnsi"/>
                <w:bCs/>
                <w:sz w:val="22"/>
                <w:szCs w:val="22"/>
                <w:lang w:eastAsia="en-US"/>
              </w:rPr>
              <w:tab/>
              <w:t>Tasmania</w:t>
            </w:r>
          </w:p>
          <w:p w14:paraId="2C7361C9" w14:textId="77777777" w:rsidR="00BF25CF" w:rsidRPr="00613427" w:rsidRDefault="00BF25CF" w:rsidP="00053685">
            <w:pPr>
              <w:keepNext/>
              <w:spacing w:before="40" w:after="40"/>
              <w:jc w:val="left"/>
              <w:rPr>
                <w:rFonts w:eastAsiaTheme="minorHAnsi"/>
                <w:bCs/>
                <w:sz w:val="22"/>
                <w:szCs w:val="22"/>
                <w:lang w:eastAsia="en-US"/>
              </w:rPr>
            </w:pPr>
            <w:r w:rsidRPr="00613427">
              <w:rPr>
                <w:rFonts w:eastAsiaTheme="minorHAnsi"/>
                <w:bCs/>
                <w:sz w:val="22"/>
                <w:szCs w:val="22"/>
                <w:lang w:eastAsia="en-US"/>
              </w:rPr>
              <w:tab/>
              <w:t>ACT</w:t>
            </w:r>
          </w:p>
          <w:p w14:paraId="617B25E6" w14:textId="77777777" w:rsidR="00BF25CF" w:rsidRPr="00613427" w:rsidRDefault="00BF25CF" w:rsidP="00053685">
            <w:pPr>
              <w:keepNext/>
              <w:spacing w:before="40" w:after="40"/>
              <w:jc w:val="left"/>
              <w:rPr>
                <w:rFonts w:eastAsiaTheme="minorHAnsi"/>
                <w:sz w:val="22"/>
                <w:szCs w:val="22"/>
                <w:lang w:eastAsia="en-US"/>
              </w:rPr>
            </w:pPr>
            <w:r w:rsidRPr="00613427">
              <w:rPr>
                <w:rFonts w:eastAsiaTheme="minorHAnsi"/>
                <w:bCs/>
                <w:sz w:val="22"/>
                <w:szCs w:val="22"/>
                <w:lang w:eastAsia="en-US"/>
              </w:rPr>
              <w:tab/>
              <w:t>NT</w:t>
            </w:r>
          </w:p>
        </w:tc>
        <w:tc>
          <w:tcPr>
            <w:tcW w:w="1020" w:type="dxa"/>
            <w:tcBorders>
              <w:top w:val="nil"/>
              <w:left w:val="nil"/>
              <w:bottom w:val="single" w:sz="8" w:space="0" w:color="auto"/>
              <w:right w:val="nil"/>
            </w:tcBorders>
            <w:tcMar>
              <w:top w:w="0" w:type="dxa"/>
              <w:left w:w="108" w:type="dxa"/>
              <w:bottom w:w="0" w:type="dxa"/>
              <w:right w:w="108" w:type="dxa"/>
            </w:tcMar>
          </w:tcPr>
          <w:p w14:paraId="4C69C624"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293.4</w:t>
            </w:r>
          </w:p>
          <w:p w14:paraId="10E327E6" w14:textId="77777777" w:rsidR="00BF25CF" w:rsidRPr="00613427" w:rsidRDefault="00040D98"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9</w:t>
            </w:r>
            <w:r w:rsidR="00E43885" w:rsidRPr="00613427">
              <w:rPr>
                <w:rFonts w:eastAsiaTheme="minorHAnsi"/>
                <w:bCs/>
                <w:sz w:val="22"/>
                <w:szCs w:val="22"/>
                <w:lang w:eastAsia="en-US"/>
              </w:rPr>
              <w:t>3.8</w:t>
            </w:r>
          </w:p>
          <w:p w14:paraId="757E6DB4"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76.1</w:t>
            </w:r>
          </w:p>
          <w:p w14:paraId="0E4399B7"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58.7</w:t>
            </w:r>
          </w:p>
          <w:p w14:paraId="526CB69B"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30.5</w:t>
            </w:r>
          </w:p>
          <w:p w14:paraId="2FA629D5"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20.3</w:t>
            </w:r>
          </w:p>
          <w:p w14:paraId="149F9BD6"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6.1</w:t>
            </w:r>
          </w:p>
          <w:p w14:paraId="4A2A10D9"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4.9</w:t>
            </w:r>
          </w:p>
          <w:p w14:paraId="4AD51FD6" w14:textId="77777777" w:rsidR="00BF25CF" w:rsidRPr="00613427" w:rsidRDefault="00E43885" w:rsidP="0039333C">
            <w:pPr>
              <w:keepNext/>
              <w:spacing w:before="40" w:after="40"/>
              <w:jc w:val="right"/>
              <w:rPr>
                <w:rFonts w:eastAsiaTheme="minorHAnsi"/>
                <w:bCs/>
                <w:sz w:val="22"/>
                <w:szCs w:val="22"/>
                <w:lang w:eastAsia="en-US"/>
              </w:rPr>
            </w:pPr>
            <w:r w:rsidRPr="00613427">
              <w:rPr>
                <w:rFonts w:eastAsiaTheme="minorHAnsi"/>
                <w:bCs/>
                <w:sz w:val="22"/>
                <w:szCs w:val="22"/>
                <w:lang w:eastAsia="en-US"/>
              </w:rPr>
              <w:t>2.9</w:t>
            </w:r>
          </w:p>
        </w:tc>
        <w:tc>
          <w:tcPr>
            <w:tcW w:w="1021" w:type="dxa"/>
            <w:tcBorders>
              <w:top w:val="nil"/>
              <w:left w:val="nil"/>
              <w:bottom w:val="single" w:sz="8" w:space="0" w:color="auto"/>
              <w:right w:val="nil"/>
            </w:tcBorders>
            <w:tcMar>
              <w:top w:w="0" w:type="dxa"/>
              <w:left w:w="108" w:type="dxa"/>
              <w:bottom w:w="0" w:type="dxa"/>
              <w:right w:w="108" w:type="dxa"/>
            </w:tcMar>
          </w:tcPr>
          <w:p w14:paraId="6D3327C3"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293.4</w:t>
            </w:r>
          </w:p>
          <w:p w14:paraId="5E894791"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93.9</w:t>
            </w:r>
          </w:p>
          <w:p w14:paraId="538B7CE3"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76.6</w:t>
            </w:r>
          </w:p>
          <w:p w14:paraId="2942E9EE"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58.7</w:t>
            </w:r>
          </w:p>
          <w:p w14:paraId="071524A9"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30.3</w:t>
            </w:r>
          </w:p>
          <w:p w14:paraId="512C08A9"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20.1</w:t>
            </w:r>
          </w:p>
          <w:p w14:paraId="21552E1D"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6.1</w:t>
            </w:r>
          </w:p>
          <w:p w14:paraId="5BD6C588"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4.9</w:t>
            </w:r>
          </w:p>
          <w:p w14:paraId="5964D8AF" w14:textId="77777777" w:rsidR="00BF25CF" w:rsidRPr="00613427" w:rsidRDefault="00E43885" w:rsidP="0039333C">
            <w:pPr>
              <w:keepNext/>
              <w:spacing w:before="40" w:after="40"/>
              <w:jc w:val="right"/>
              <w:rPr>
                <w:rFonts w:eastAsiaTheme="minorHAnsi"/>
                <w:bCs/>
                <w:sz w:val="22"/>
                <w:szCs w:val="22"/>
                <w:lang w:eastAsia="en-US"/>
              </w:rPr>
            </w:pPr>
            <w:r w:rsidRPr="00613427">
              <w:rPr>
                <w:rFonts w:eastAsiaTheme="minorHAnsi"/>
                <w:bCs/>
                <w:sz w:val="22"/>
                <w:szCs w:val="22"/>
                <w:lang w:eastAsia="en-US"/>
              </w:rPr>
              <w:t>2.8</w:t>
            </w:r>
          </w:p>
        </w:tc>
        <w:tc>
          <w:tcPr>
            <w:tcW w:w="1020" w:type="dxa"/>
            <w:tcBorders>
              <w:top w:val="nil"/>
              <w:left w:val="nil"/>
              <w:bottom w:val="single" w:sz="8" w:space="0" w:color="auto"/>
              <w:right w:val="nil"/>
            </w:tcBorders>
            <w:tcMar>
              <w:top w:w="0" w:type="dxa"/>
              <w:left w:w="108" w:type="dxa"/>
              <w:bottom w:w="0" w:type="dxa"/>
              <w:right w:w="108" w:type="dxa"/>
            </w:tcMar>
          </w:tcPr>
          <w:p w14:paraId="0CD98918"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338.3</w:t>
            </w:r>
          </w:p>
          <w:p w14:paraId="106D1731"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108.3</w:t>
            </w:r>
          </w:p>
          <w:p w14:paraId="441F727D"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88.8</w:t>
            </w:r>
          </w:p>
          <w:p w14:paraId="05780E63"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67.6</w:t>
            </w:r>
          </w:p>
          <w:p w14:paraId="69CCB1CC"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34.8</w:t>
            </w:r>
          </w:p>
          <w:p w14:paraId="6CCDC409"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23.</w:t>
            </w:r>
            <w:r w:rsidR="00E43885" w:rsidRPr="00613427">
              <w:rPr>
                <w:rFonts w:eastAsiaTheme="minorHAnsi"/>
                <w:bCs/>
                <w:sz w:val="22"/>
                <w:szCs w:val="22"/>
                <w:lang w:eastAsia="en-US"/>
              </w:rPr>
              <w:t>0</w:t>
            </w:r>
          </w:p>
          <w:p w14:paraId="2CE680CF"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6.9</w:t>
            </w:r>
          </w:p>
          <w:p w14:paraId="21E8627D"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5.6</w:t>
            </w:r>
          </w:p>
          <w:p w14:paraId="6B170E5A"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w:t>
            </w:r>
            <w:r w:rsidR="00E43885" w:rsidRPr="00613427">
              <w:rPr>
                <w:rFonts w:eastAsiaTheme="minorHAnsi"/>
                <w:bCs/>
                <w:sz w:val="22"/>
                <w:szCs w:val="22"/>
                <w:lang w:eastAsia="en-US"/>
              </w:rPr>
              <w:t>2</w:t>
            </w:r>
          </w:p>
        </w:tc>
        <w:tc>
          <w:tcPr>
            <w:tcW w:w="1021" w:type="dxa"/>
            <w:tcBorders>
              <w:top w:val="nil"/>
              <w:left w:val="nil"/>
              <w:bottom w:val="single" w:sz="8" w:space="0" w:color="auto"/>
              <w:right w:val="nil"/>
            </w:tcBorders>
          </w:tcPr>
          <w:p w14:paraId="6E8E94B2"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298.2</w:t>
            </w:r>
          </w:p>
          <w:p w14:paraId="6EEB5032"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9</w:t>
            </w:r>
            <w:r w:rsidR="00E43885" w:rsidRPr="00613427">
              <w:rPr>
                <w:rFonts w:eastAsiaTheme="minorHAnsi"/>
                <w:bCs/>
                <w:sz w:val="22"/>
                <w:szCs w:val="22"/>
                <w:lang w:eastAsia="en-US"/>
              </w:rPr>
              <w:t>5</w:t>
            </w:r>
            <w:r w:rsidR="00040D98" w:rsidRPr="00613427">
              <w:rPr>
                <w:rFonts w:eastAsiaTheme="minorHAnsi"/>
                <w:bCs/>
                <w:sz w:val="22"/>
                <w:szCs w:val="22"/>
                <w:lang w:eastAsia="en-US"/>
              </w:rPr>
              <w:t>.</w:t>
            </w:r>
            <w:r w:rsidR="00E43885" w:rsidRPr="00613427">
              <w:rPr>
                <w:rFonts w:eastAsiaTheme="minorHAnsi"/>
                <w:bCs/>
                <w:sz w:val="22"/>
                <w:szCs w:val="22"/>
                <w:lang w:eastAsia="en-US"/>
              </w:rPr>
              <w:t>5</w:t>
            </w:r>
          </w:p>
          <w:p w14:paraId="54707EC8"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78.7</w:t>
            </w:r>
          </w:p>
          <w:p w14:paraId="7ABC98CB" w14:textId="77777777" w:rsidR="00BF25CF" w:rsidRPr="00613427" w:rsidRDefault="00040D98"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59.</w:t>
            </w:r>
            <w:r w:rsidR="00E43885" w:rsidRPr="00613427">
              <w:rPr>
                <w:rFonts w:eastAsiaTheme="minorHAnsi"/>
                <w:bCs/>
                <w:sz w:val="22"/>
                <w:szCs w:val="22"/>
                <w:lang w:eastAsia="en-US"/>
              </w:rPr>
              <w:t>6</w:t>
            </w:r>
          </w:p>
          <w:p w14:paraId="303E914B"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30.5</w:t>
            </w:r>
          </w:p>
          <w:p w14:paraId="6B58B326"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20.1</w:t>
            </w:r>
          </w:p>
          <w:p w14:paraId="44DDAEE4" w14:textId="77777777" w:rsidR="00BF25CF" w:rsidRPr="00613427" w:rsidRDefault="00040D98"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6.</w:t>
            </w:r>
            <w:r w:rsidR="00E43885" w:rsidRPr="00613427">
              <w:rPr>
                <w:rFonts w:eastAsiaTheme="minorHAnsi"/>
                <w:bCs/>
                <w:sz w:val="22"/>
                <w:szCs w:val="22"/>
                <w:lang w:eastAsia="en-US"/>
              </w:rPr>
              <w:t>0</w:t>
            </w:r>
          </w:p>
          <w:p w14:paraId="078B44DC"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5</w:t>
            </w:r>
            <w:r w:rsidR="00040D98" w:rsidRPr="00613427">
              <w:rPr>
                <w:rFonts w:eastAsiaTheme="minorHAnsi"/>
                <w:bCs/>
                <w:sz w:val="22"/>
                <w:szCs w:val="22"/>
                <w:lang w:eastAsia="en-US"/>
              </w:rPr>
              <w:t>.</w:t>
            </w:r>
            <w:r w:rsidRPr="00613427">
              <w:rPr>
                <w:rFonts w:eastAsiaTheme="minorHAnsi"/>
                <w:bCs/>
                <w:sz w:val="22"/>
                <w:szCs w:val="22"/>
                <w:lang w:eastAsia="en-US"/>
              </w:rPr>
              <w:t>0</w:t>
            </w:r>
          </w:p>
          <w:p w14:paraId="04DD7235" w14:textId="77777777" w:rsidR="00BF25CF" w:rsidRPr="00613427" w:rsidRDefault="00BF25CF" w:rsidP="00E43885">
            <w:pPr>
              <w:keepNext/>
              <w:spacing w:before="40" w:after="40"/>
              <w:jc w:val="right"/>
              <w:rPr>
                <w:rFonts w:eastAsiaTheme="minorHAnsi"/>
                <w:bCs/>
                <w:sz w:val="22"/>
                <w:szCs w:val="22"/>
                <w:lang w:eastAsia="en-US"/>
              </w:rPr>
            </w:pPr>
            <w:r w:rsidRPr="00613427">
              <w:rPr>
                <w:rFonts w:eastAsiaTheme="minorHAnsi"/>
                <w:bCs/>
                <w:sz w:val="22"/>
                <w:szCs w:val="22"/>
                <w:lang w:eastAsia="en-US"/>
              </w:rPr>
              <w:t>2.</w:t>
            </w:r>
            <w:r w:rsidR="00E43885" w:rsidRPr="00613427">
              <w:rPr>
                <w:rFonts w:eastAsiaTheme="minorHAnsi"/>
                <w:bCs/>
                <w:sz w:val="22"/>
                <w:szCs w:val="22"/>
                <w:lang w:eastAsia="en-US"/>
              </w:rPr>
              <w:t>8</w:t>
            </w:r>
          </w:p>
        </w:tc>
        <w:tc>
          <w:tcPr>
            <w:tcW w:w="1021" w:type="dxa"/>
            <w:tcBorders>
              <w:top w:val="nil"/>
              <w:left w:val="nil"/>
              <w:bottom w:val="single" w:sz="8" w:space="0" w:color="auto"/>
              <w:right w:val="nil"/>
            </w:tcBorders>
          </w:tcPr>
          <w:p w14:paraId="3E731D44"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1</w:t>
            </w:r>
            <w:r w:rsidR="00086B9F" w:rsidRPr="00613427">
              <w:rPr>
                <w:rFonts w:eastAsiaTheme="minorHAnsi"/>
                <w:bCs/>
                <w:sz w:val="22"/>
                <w:szCs w:val="22"/>
                <w:lang w:eastAsia="en-US"/>
              </w:rPr>
              <w:t>,</w:t>
            </w:r>
            <w:r w:rsidRPr="00613427">
              <w:rPr>
                <w:rFonts w:eastAsiaTheme="minorHAnsi"/>
                <w:bCs/>
                <w:sz w:val="22"/>
                <w:szCs w:val="22"/>
                <w:lang w:eastAsia="en-US"/>
              </w:rPr>
              <w:t>223.3</w:t>
            </w:r>
          </w:p>
          <w:p w14:paraId="61369484"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39</w:t>
            </w:r>
            <w:r w:rsidR="00E43885" w:rsidRPr="00613427">
              <w:rPr>
                <w:rFonts w:eastAsiaTheme="minorHAnsi"/>
                <w:bCs/>
                <w:sz w:val="22"/>
                <w:szCs w:val="22"/>
                <w:lang w:eastAsia="en-US"/>
              </w:rPr>
              <w:t>1.6</w:t>
            </w:r>
          </w:p>
          <w:p w14:paraId="05EC6B7E"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320.1</w:t>
            </w:r>
          </w:p>
          <w:p w14:paraId="59E46497" w14:textId="77777777" w:rsidR="00BF25CF"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244.7</w:t>
            </w:r>
          </w:p>
          <w:p w14:paraId="29F3C7F4"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126.1</w:t>
            </w:r>
          </w:p>
          <w:p w14:paraId="084A9FFB"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83.5</w:t>
            </w:r>
          </w:p>
          <w:p w14:paraId="31E80679"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25.1</w:t>
            </w:r>
          </w:p>
          <w:p w14:paraId="2D4D22D4" w14:textId="77777777" w:rsidR="00BF25CF" w:rsidRPr="00613427" w:rsidRDefault="00E43885"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20.4</w:t>
            </w:r>
          </w:p>
          <w:p w14:paraId="033DF4D0" w14:textId="77777777" w:rsidR="00BF25CF" w:rsidRPr="00613427" w:rsidRDefault="00E43885" w:rsidP="0039333C">
            <w:pPr>
              <w:keepNext/>
              <w:spacing w:before="40" w:after="40"/>
              <w:jc w:val="right"/>
              <w:rPr>
                <w:rFonts w:eastAsiaTheme="minorHAnsi"/>
                <w:bCs/>
                <w:sz w:val="22"/>
                <w:szCs w:val="22"/>
                <w:lang w:eastAsia="en-US"/>
              </w:rPr>
            </w:pPr>
            <w:r w:rsidRPr="00613427">
              <w:rPr>
                <w:rFonts w:eastAsiaTheme="minorHAnsi"/>
                <w:bCs/>
                <w:sz w:val="22"/>
                <w:szCs w:val="22"/>
                <w:lang w:eastAsia="en-US"/>
              </w:rPr>
              <w:t>11.7</w:t>
            </w:r>
          </w:p>
        </w:tc>
      </w:tr>
      <w:tr w:rsidR="004B5042" w:rsidRPr="00613427" w14:paraId="7A29D159" w14:textId="77777777" w:rsidTr="00053685">
        <w:trPr>
          <w:cantSplit/>
        </w:trPr>
        <w:tc>
          <w:tcPr>
            <w:tcW w:w="4644" w:type="dxa"/>
            <w:tcMar>
              <w:top w:w="0" w:type="dxa"/>
              <w:left w:w="108" w:type="dxa"/>
              <w:bottom w:w="0" w:type="dxa"/>
              <w:right w:w="108" w:type="dxa"/>
            </w:tcMar>
            <w:hideMark/>
          </w:tcPr>
          <w:p w14:paraId="51C149BB" w14:textId="77777777" w:rsidR="004B5042" w:rsidRPr="00613427" w:rsidRDefault="004B5042" w:rsidP="00986666">
            <w:pPr>
              <w:keepNext/>
              <w:spacing w:before="40" w:after="40"/>
              <w:jc w:val="left"/>
              <w:rPr>
                <w:rFonts w:eastAsiaTheme="minorHAnsi"/>
                <w:sz w:val="22"/>
                <w:szCs w:val="22"/>
                <w:lang w:eastAsia="en-US"/>
              </w:rPr>
            </w:pPr>
            <w:r w:rsidRPr="00613427">
              <w:rPr>
                <w:sz w:val="22"/>
                <w:szCs w:val="22"/>
              </w:rPr>
              <w:t>Commonwealth own purpose expense (3)</w:t>
            </w:r>
          </w:p>
        </w:tc>
        <w:tc>
          <w:tcPr>
            <w:tcW w:w="1020" w:type="dxa"/>
            <w:tcBorders>
              <w:top w:val="nil"/>
              <w:left w:val="nil"/>
              <w:bottom w:val="single" w:sz="8" w:space="0" w:color="000080"/>
              <w:right w:val="nil"/>
            </w:tcBorders>
            <w:tcMar>
              <w:top w:w="0" w:type="dxa"/>
              <w:left w:w="108" w:type="dxa"/>
              <w:bottom w:w="0" w:type="dxa"/>
              <w:right w:w="108" w:type="dxa"/>
            </w:tcMar>
          </w:tcPr>
          <w:p w14:paraId="7F365BED" w14:textId="77777777" w:rsidR="004B5042" w:rsidRPr="00613427" w:rsidRDefault="009B1441" w:rsidP="009B1441">
            <w:pPr>
              <w:keepNext/>
              <w:spacing w:before="40" w:after="40"/>
              <w:jc w:val="right"/>
              <w:rPr>
                <w:rFonts w:eastAsiaTheme="minorHAnsi"/>
                <w:sz w:val="22"/>
                <w:szCs w:val="22"/>
                <w:lang w:eastAsia="en-US"/>
              </w:rPr>
            </w:pPr>
            <w:r w:rsidRPr="00613427">
              <w:rPr>
                <w:rFonts w:eastAsiaTheme="minorHAnsi"/>
                <w:sz w:val="22"/>
                <w:szCs w:val="22"/>
                <w:lang w:eastAsia="en-US"/>
              </w:rPr>
              <w:t>0.0</w:t>
            </w:r>
          </w:p>
        </w:tc>
        <w:tc>
          <w:tcPr>
            <w:tcW w:w="1021" w:type="dxa"/>
            <w:tcBorders>
              <w:top w:val="nil"/>
              <w:left w:val="nil"/>
              <w:bottom w:val="single" w:sz="8" w:space="0" w:color="000080"/>
              <w:right w:val="nil"/>
            </w:tcBorders>
            <w:tcMar>
              <w:top w:w="0" w:type="dxa"/>
              <w:left w:w="108" w:type="dxa"/>
              <w:bottom w:w="0" w:type="dxa"/>
              <w:right w:w="108" w:type="dxa"/>
            </w:tcMar>
          </w:tcPr>
          <w:p w14:paraId="6371A0DC" w14:textId="77777777" w:rsidR="004B5042" w:rsidRPr="00613427" w:rsidRDefault="009B1441" w:rsidP="009B1441">
            <w:pPr>
              <w:keepNext/>
              <w:spacing w:before="40" w:after="40"/>
              <w:jc w:val="right"/>
              <w:rPr>
                <w:rFonts w:eastAsiaTheme="minorHAnsi"/>
                <w:sz w:val="22"/>
                <w:szCs w:val="22"/>
                <w:lang w:eastAsia="en-US"/>
              </w:rPr>
            </w:pPr>
            <w:r w:rsidRPr="00613427">
              <w:rPr>
                <w:rFonts w:eastAsiaTheme="minorHAnsi"/>
                <w:sz w:val="22"/>
                <w:szCs w:val="22"/>
                <w:lang w:eastAsia="en-US"/>
              </w:rPr>
              <w:t>0.0</w:t>
            </w:r>
          </w:p>
        </w:tc>
        <w:tc>
          <w:tcPr>
            <w:tcW w:w="1020" w:type="dxa"/>
            <w:tcBorders>
              <w:top w:val="nil"/>
              <w:left w:val="nil"/>
              <w:bottom w:val="single" w:sz="8" w:space="0" w:color="000080"/>
              <w:right w:val="nil"/>
            </w:tcBorders>
            <w:tcMar>
              <w:top w:w="0" w:type="dxa"/>
              <w:left w:w="108" w:type="dxa"/>
              <w:bottom w:w="0" w:type="dxa"/>
              <w:right w:w="108" w:type="dxa"/>
            </w:tcMar>
          </w:tcPr>
          <w:p w14:paraId="19350B3D" w14:textId="77777777" w:rsidR="004B5042" w:rsidRPr="00613427" w:rsidRDefault="009B1441" w:rsidP="009B1441">
            <w:pPr>
              <w:keepNext/>
              <w:spacing w:before="40" w:after="40"/>
              <w:jc w:val="right"/>
              <w:rPr>
                <w:rFonts w:eastAsiaTheme="minorHAnsi"/>
                <w:sz w:val="22"/>
                <w:szCs w:val="22"/>
                <w:lang w:eastAsia="en-US"/>
              </w:rPr>
            </w:pPr>
            <w:r w:rsidRPr="00613427">
              <w:rPr>
                <w:rFonts w:eastAsiaTheme="minorHAnsi"/>
                <w:sz w:val="22"/>
                <w:szCs w:val="22"/>
                <w:lang w:eastAsia="en-US"/>
              </w:rPr>
              <w:t>0.0</w:t>
            </w:r>
          </w:p>
        </w:tc>
        <w:tc>
          <w:tcPr>
            <w:tcW w:w="1021" w:type="dxa"/>
            <w:tcBorders>
              <w:top w:val="nil"/>
              <w:left w:val="nil"/>
              <w:bottom w:val="single" w:sz="8" w:space="0" w:color="000080"/>
              <w:right w:val="nil"/>
            </w:tcBorders>
          </w:tcPr>
          <w:p w14:paraId="22FCEB8B" w14:textId="77777777" w:rsidR="004B5042" w:rsidRPr="00613427" w:rsidRDefault="009B1441" w:rsidP="009B1441">
            <w:pPr>
              <w:keepNext/>
              <w:spacing w:before="40" w:after="40"/>
              <w:jc w:val="right"/>
              <w:rPr>
                <w:rFonts w:eastAsiaTheme="minorHAnsi"/>
                <w:sz w:val="22"/>
                <w:szCs w:val="22"/>
                <w:lang w:eastAsia="en-US"/>
              </w:rPr>
            </w:pPr>
            <w:r w:rsidRPr="00613427">
              <w:rPr>
                <w:rFonts w:eastAsiaTheme="minorHAnsi"/>
                <w:sz w:val="22"/>
                <w:szCs w:val="22"/>
                <w:lang w:eastAsia="en-US"/>
              </w:rPr>
              <w:t>0.0</w:t>
            </w:r>
          </w:p>
        </w:tc>
        <w:tc>
          <w:tcPr>
            <w:tcW w:w="1021" w:type="dxa"/>
            <w:tcBorders>
              <w:top w:val="nil"/>
              <w:left w:val="nil"/>
              <w:bottom w:val="single" w:sz="8" w:space="0" w:color="000080"/>
              <w:right w:val="nil"/>
            </w:tcBorders>
          </w:tcPr>
          <w:p w14:paraId="5BE4F8CE" w14:textId="77777777" w:rsidR="004B5042" w:rsidRPr="00613427" w:rsidRDefault="009B1441" w:rsidP="009B1441">
            <w:pPr>
              <w:keepNext/>
              <w:spacing w:before="40" w:after="40"/>
              <w:jc w:val="right"/>
              <w:rPr>
                <w:rFonts w:eastAsiaTheme="minorHAnsi"/>
                <w:sz w:val="22"/>
                <w:szCs w:val="22"/>
                <w:lang w:eastAsia="en-US"/>
              </w:rPr>
            </w:pPr>
            <w:r w:rsidRPr="00613427">
              <w:rPr>
                <w:rFonts w:eastAsiaTheme="minorHAnsi"/>
                <w:sz w:val="22"/>
                <w:szCs w:val="22"/>
                <w:lang w:eastAsia="en-US"/>
              </w:rPr>
              <w:t>0.0</w:t>
            </w:r>
          </w:p>
        </w:tc>
      </w:tr>
      <w:tr w:rsidR="004B5042" w:rsidRPr="00613427" w14:paraId="3E3705E3" w14:textId="77777777" w:rsidTr="00053685">
        <w:trPr>
          <w:cantSplit/>
        </w:trPr>
        <w:tc>
          <w:tcPr>
            <w:tcW w:w="4644" w:type="dxa"/>
            <w:tcMar>
              <w:top w:w="0" w:type="dxa"/>
              <w:left w:w="108" w:type="dxa"/>
              <w:bottom w:w="0" w:type="dxa"/>
              <w:right w:w="108" w:type="dxa"/>
            </w:tcMar>
            <w:hideMark/>
          </w:tcPr>
          <w:p w14:paraId="31512D5B" w14:textId="77777777" w:rsidR="004B5042" w:rsidRPr="00613427" w:rsidRDefault="004B5042" w:rsidP="00986666">
            <w:pPr>
              <w:keepNext/>
              <w:spacing w:before="60" w:after="60"/>
              <w:jc w:val="left"/>
              <w:rPr>
                <w:rFonts w:eastAsiaTheme="minorHAnsi"/>
                <w:bCs/>
                <w:i/>
                <w:iCs/>
                <w:sz w:val="22"/>
                <w:szCs w:val="22"/>
                <w:lang w:eastAsia="en-US"/>
              </w:rPr>
            </w:pPr>
            <w:r w:rsidRPr="00613427">
              <w:rPr>
                <w:sz w:val="22"/>
                <w:szCs w:val="22"/>
              </w:rPr>
              <w:t>Total Commonwealth contribution (4) = (2) + (3)</w:t>
            </w:r>
          </w:p>
        </w:tc>
        <w:tc>
          <w:tcPr>
            <w:tcW w:w="1020" w:type="dxa"/>
            <w:tcBorders>
              <w:top w:val="nil"/>
              <w:left w:val="nil"/>
              <w:right w:val="nil"/>
            </w:tcBorders>
            <w:tcMar>
              <w:top w:w="0" w:type="dxa"/>
              <w:left w:w="108" w:type="dxa"/>
              <w:bottom w:w="0" w:type="dxa"/>
              <w:right w:w="108" w:type="dxa"/>
            </w:tcMar>
          </w:tcPr>
          <w:p w14:paraId="1245D6CD" w14:textId="77777777" w:rsidR="004B5042"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293.4</w:t>
            </w:r>
          </w:p>
        </w:tc>
        <w:tc>
          <w:tcPr>
            <w:tcW w:w="1021" w:type="dxa"/>
            <w:tcBorders>
              <w:top w:val="nil"/>
              <w:left w:val="nil"/>
              <w:right w:val="nil"/>
            </w:tcBorders>
            <w:tcMar>
              <w:top w:w="0" w:type="dxa"/>
              <w:left w:w="108" w:type="dxa"/>
              <w:bottom w:w="0" w:type="dxa"/>
              <w:right w:w="108" w:type="dxa"/>
            </w:tcMar>
          </w:tcPr>
          <w:p w14:paraId="1C4E28AD" w14:textId="77777777" w:rsidR="004B5042" w:rsidRPr="00613427" w:rsidRDefault="00BF25CF">
            <w:pPr>
              <w:keepNext/>
              <w:spacing w:before="40" w:after="40"/>
              <w:jc w:val="right"/>
              <w:rPr>
                <w:rFonts w:eastAsiaTheme="minorHAnsi"/>
                <w:sz w:val="22"/>
                <w:szCs w:val="22"/>
                <w:lang w:eastAsia="en-US"/>
              </w:rPr>
            </w:pPr>
            <w:r w:rsidRPr="00613427">
              <w:rPr>
                <w:rFonts w:eastAsiaTheme="minorHAnsi"/>
                <w:bCs/>
                <w:sz w:val="22"/>
                <w:szCs w:val="22"/>
                <w:lang w:eastAsia="en-US"/>
              </w:rPr>
              <w:t>293.4</w:t>
            </w:r>
          </w:p>
        </w:tc>
        <w:tc>
          <w:tcPr>
            <w:tcW w:w="1020" w:type="dxa"/>
            <w:tcBorders>
              <w:top w:val="nil"/>
              <w:left w:val="nil"/>
              <w:right w:val="nil"/>
            </w:tcBorders>
            <w:tcMar>
              <w:top w:w="0" w:type="dxa"/>
              <w:left w:w="108" w:type="dxa"/>
              <w:bottom w:w="0" w:type="dxa"/>
              <w:right w:w="108" w:type="dxa"/>
            </w:tcMar>
          </w:tcPr>
          <w:p w14:paraId="7D7B4325" w14:textId="77777777" w:rsidR="004B5042" w:rsidRPr="00613427" w:rsidRDefault="00BF25CF" w:rsidP="00BF25CF">
            <w:pPr>
              <w:keepNext/>
              <w:spacing w:before="40" w:after="40"/>
              <w:jc w:val="right"/>
              <w:rPr>
                <w:rFonts w:eastAsiaTheme="minorHAnsi"/>
                <w:bCs/>
                <w:sz w:val="22"/>
                <w:szCs w:val="22"/>
                <w:lang w:eastAsia="en-US"/>
              </w:rPr>
            </w:pPr>
            <w:r w:rsidRPr="00613427">
              <w:rPr>
                <w:rFonts w:eastAsiaTheme="minorHAnsi"/>
                <w:bCs/>
                <w:sz w:val="22"/>
                <w:szCs w:val="22"/>
                <w:lang w:eastAsia="en-US"/>
              </w:rPr>
              <w:t>338.3</w:t>
            </w:r>
          </w:p>
        </w:tc>
        <w:tc>
          <w:tcPr>
            <w:tcW w:w="1021" w:type="dxa"/>
            <w:tcBorders>
              <w:top w:val="nil"/>
              <w:left w:val="nil"/>
              <w:right w:val="nil"/>
            </w:tcBorders>
          </w:tcPr>
          <w:p w14:paraId="7CCBDB86" w14:textId="77777777" w:rsidR="004B5042" w:rsidRPr="00613427" w:rsidRDefault="00086B9F" w:rsidP="00086B9F">
            <w:pPr>
              <w:keepNext/>
              <w:spacing w:before="40" w:after="40"/>
              <w:jc w:val="right"/>
              <w:rPr>
                <w:rFonts w:eastAsiaTheme="minorHAnsi"/>
                <w:bCs/>
                <w:sz w:val="22"/>
                <w:szCs w:val="22"/>
                <w:lang w:eastAsia="en-US"/>
              </w:rPr>
            </w:pPr>
            <w:r w:rsidRPr="00613427">
              <w:rPr>
                <w:rFonts w:eastAsiaTheme="minorHAnsi"/>
                <w:bCs/>
                <w:sz w:val="22"/>
                <w:szCs w:val="22"/>
                <w:lang w:eastAsia="en-US"/>
              </w:rPr>
              <w:t>298.2</w:t>
            </w:r>
          </w:p>
        </w:tc>
        <w:tc>
          <w:tcPr>
            <w:tcW w:w="1021" w:type="dxa"/>
            <w:tcBorders>
              <w:top w:val="nil"/>
              <w:left w:val="nil"/>
              <w:right w:val="nil"/>
            </w:tcBorders>
          </w:tcPr>
          <w:p w14:paraId="33B191E6" w14:textId="77777777" w:rsidR="004B5042" w:rsidRPr="00613427" w:rsidRDefault="00086B9F" w:rsidP="00086B9F">
            <w:pPr>
              <w:keepNext/>
              <w:spacing w:before="40" w:after="40"/>
              <w:jc w:val="right"/>
              <w:rPr>
                <w:rFonts w:eastAsiaTheme="minorHAnsi"/>
                <w:bCs/>
                <w:sz w:val="22"/>
                <w:szCs w:val="22"/>
                <w:lang w:eastAsia="en-US"/>
              </w:rPr>
            </w:pPr>
            <w:r w:rsidRPr="00613427">
              <w:rPr>
                <w:rFonts w:eastAsiaTheme="minorHAnsi"/>
                <w:bCs/>
                <w:sz w:val="22"/>
                <w:szCs w:val="22"/>
                <w:lang w:eastAsia="en-US"/>
              </w:rPr>
              <w:t>1,223.3</w:t>
            </w:r>
          </w:p>
        </w:tc>
      </w:tr>
      <w:tr w:rsidR="00086B9F" w:rsidRPr="00613427" w14:paraId="1E93C301" w14:textId="77777777" w:rsidTr="00053685">
        <w:trPr>
          <w:cantSplit/>
        </w:trPr>
        <w:tc>
          <w:tcPr>
            <w:tcW w:w="4644" w:type="dxa"/>
            <w:tcBorders>
              <w:top w:val="nil"/>
              <w:left w:val="nil"/>
              <w:bottom w:val="single" w:sz="8" w:space="0" w:color="auto"/>
              <w:right w:val="nil"/>
            </w:tcBorders>
            <w:tcMar>
              <w:top w:w="0" w:type="dxa"/>
              <w:left w:w="108" w:type="dxa"/>
              <w:bottom w:w="0" w:type="dxa"/>
              <w:right w:w="108" w:type="dxa"/>
            </w:tcMar>
            <w:hideMark/>
          </w:tcPr>
          <w:p w14:paraId="5FE9AD6E" w14:textId="77777777" w:rsidR="00086B9F" w:rsidRPr="00613427" w:rsidRDefault="00086B9F" w:rsidP="009537AB">
            <w:pPr>
              <w:keepNext/>
              <w:spacing w:before="60" w:after="60"/>
              <w:jc w:val="left"/>
              <w:rPr>
                <w:rFonts w:eastAsiaTheme="minorHAnsi"/>
                <w:sz w:val="22"/>
                <w:szCs w:val="22"/>
                <w:lang w:eastAsia="en-US"/>
              </w:rPr>
            </w:pPr>
            <w:r w:rsidRPr="00613427">
              <w:rPr>
                <w:sz w:val="22"/>
                <w:szCs w:val="22"/>
              </w:rPr>
              <w:t xml:space="preserve">Balance of non-Commonwealth contributions (5) = (1) – (4) </w:t>
            </w:r>
            <w:r w:rsidR="00C56217" w:rsidRPr="00613427">
              <w:rPr>
                <w:sz w:val="22"/>
                <w:szCs w:val="22"/>
                <w:vertAlign w:val="superscript"/>
              </w:rPr>
              <w:t>(c</w:t>
            </w:r>
            <w:r w:rsidRPr="00613427">
              <w:rPr>
                <w:sz w:val="22"/>
                <w:szCs w:val="22"/>
                <w:vertAlign w:val="superscript"/>
              </w:rPr>
              <w:t>)</w:t>
            </w:r>
          </w:p>
        </w:tc>
        <w:tc>
          <w:tcPr>
            <w:tcW w:w="1020" w:type="dxa"/>
            <w:tcBorders>
              <w:top w:val="nil"/>
              <w:left w:val="nil"/>
              <w:bottom w:val="single" w:sz="8" w:space="0" w:color="auto"/>
              <w:right w:val="nil"/>
            </w:tcBorders>
            <w:tcMar>
              <w:top w:w="0" w:type="dxa"/>
              <w:left w:w="108" w:type="dxa"/>
              <w:bottom w:w="0" w:type="dxa"/>
              <w:right w:w="108" w:type="dxa"/>
            </w:tcMar>
          </w:tcPr>
          <w:p w14:paraId="22AF383E" w14:textId="77777777" w:rsidR="00086B9F" w:rsidRPr="00613427" w:rsidRDefault="00086B9F" w:rsidP="00774885">
            <w:pPr>
              <w:keepNext/>
              <w:spacing w:before="40" w:after="40"/>
              <w:jc w:val="right"/>
              <w:rPr>
                <w:rFonts w:eastAsiaTheme="minorHAnsi"/>
                <w:sz w:val="22"/>
                <w:szCs w:val="22"/>
                <w:lang w:eastAsia="en-US"/>
              </w:rPr>
            </w:pPr>
            <w:r w:rsidRPr="00613427">
              <w:rPr>
                <w:rFonts w:eastAsiaTheme="minorHAnsi"/>
                <w:bCs/>
                <w:sz w:val="22"/>
                <w:szCs w:val="22"/>
                <w:lang w:eastAsia="en-US"/>
              </w:rPr>
              <w:t>293.4</w:t>
            </w:r>
          </w:p>
        </w:tc>
        <w:tc>
          <w:tcPr>
            <w:tcW w:w="1021" w:type="dxa"/>
            <w:tcBorders>
              <w:top w:val="nil"/>
              <w:left w:val="nil"/>
              <w:bottom w:val="single" w:sz="8" w:space="0" w:color="auto"/>
              <w:right w:val="nil"/>
            </w:tcBorders>
            <w:tcMar>
              <w:top w:w="0" w:type="dxa"/>
              <w:left w:w="108" w:type="dxa"/>
              <w:bottom w:w="0" w:type="dxa"/>
              <w:right w:w="108" w:type="dxa"/>
            </w:tcMar>
          </w:tcPr>
          <w:p w14:paraId="370D6FDA" w14:textId="77777777" w:rsidR="00086B9F" w:rsidRPr="00613427" w:rsidRDefault="00086B9F" w:rsidP="00774885">
            <w:pPr>
              <w:keepNext/>
              <w:spacing w:before="40" w:after="40"/>
              <w:jc w:val="right"/>
              <w:rPr>
                <w:rFonts w:eastAsiaTheme="minorHAnsi"/>
                <w:sz w:val="22"/>
                <w:szCs w:val="22"/>
                <w:lang w:eastAsia="en-US"/>
              </w:rPr>
            </w:pPr>
            <w:r w:rsidRPr="00613427">
              <w:rPr>
                <w:rFonts w:eastAsiaTheme="minorHAnsi"/>
                <w:bCs/>
                <w:sz w:val="22"/>
                <w:szCs w:val="22"/>
                <w:lang w:eastAsia="en-US"/>
              </w:rPr>
              <w:t>293.4</w:t>
            </w:r>
          </w:p>
        </w:tc>
        <w:tc>
          <w:tcPr>
            <w:tcW w:w="1020" w:type="dxa"/>
            <w:tcBorders>
              <w:top w:val="nil"/>
              <w:left w:val="nil"/>
              <w:bottom w:val="single" w:sz="8" w:space="0" w:color="auto"/>
              <w:right w:val="nil"/>
            </w:tcBorders>
            <w:tcMar>
              <w:top w:w="0" w:type="dxa"/>
              <w:left w:w="108" w:type="dxa"/>
              <w:bottom w:w="0" w:type="dxa"/>
              <w:right w:w="108" w:type="dxa"/>
            </w:tcMar>
          </w:tcPr>
          <w:p w14:paraId="1988C30F" w14:textId="77777777" w:rsidR="00086B9F" w:rsidRPr="00613427" w:rsidRDefault="00086B9F">
            <w:pPr>
              <w:keepNext/>
              <w:spacing w:before="40" w:after="40"/>
              <w:jc w:val="right"/>
              <w:rPr>
                <w:rFonts w:eastAsiaTheme="minorHAnsi"/>
                <w:sz w:val="22"/>
                <w:szCs w:val="22"/>
                <w:lang w:eastAsia="en-US"/>
              </w:rPr>
            </w:pPr>
            <w:r w:rsidRPr="00613427">
              <w:rPr>
                <w:rFonts w:eastAsiaTheme="minorHAnsi"/>
                <w:bCs/>
                <w:sz w:val="22"/>
                <w:szCs w:val="22"/>
                <w:lang w:eastAsia="en-US"/>
              </w:rPr>
              <w:t>338.3</w:t>
            </w:r>
          </w:p>
        </w:tc>
        <w:tc>
          <w:tcPr>
            <w:tcW w:w="1021" w:type="dxa"/>
            <w:tcBorders>
              <w:top w:val="nil"/>
              <w:left w:val="nil"/>
              <w:bottom w:val="single" w:sz="8" w:space="0" w:color="auto"/>
              <w:right w:val="nil"/>
            </w:tcBorders>
          </w:tcPr>
          <w:p w14:paraId="2EAFC727" w14:textId="77777777" w:rsidR="00086B9F" w:rsidRPr="00613427" w:rsidRDefault="00086B9F">
            <w:pPr>
              <w:keepNext/>
              <w:spacing w:before="40" w:after="40"/>
              <w:jc w:val="right"/>
              <w:rPr>
                <w:rFonts w:eastAsiaTheme="minorHAnsi"/>
                <w:sz w:val="22"/>
                <w:szCs w:val="22"/>
                <w:lang w:eastAsia="en-US"/>
              </w:rPr>
            </w:pPr>
            <w:r w:rsidRPr="00613427">
              <w:rPr>
                <w:rFonts w:eastAsiaTheme="minorHAnsi"/>
                <w:bCs/>
                <w:sz w:val="22"/>
                <w:szCs w:val="22"/>
                <w:lang w:eastAsia="en-US"/>
              </w:rPr>
              <w:t>298.2</w:t>
            </w:r>
          </w:p>
        </w:tc>
        <w:tc>
          <w:tcPr>
            <w:tcW w:w="1021" w:type="dxa"/>
            <w:tcBorders>
              <w:top w:val="nil"/>
              <w:left w:val="nil"/>
              <w:bottom w:val="single" w:sz="8" w:space="0" w:color="auto"/>
              <w:right w:val="nil"/>
            </w:tcBorders>
          </w:tcPr>
          <w:p w14:paraId="2877FF8E" w14:textId="77777777" w:rsidR="00086B9F" w:rsidRPr="00613427" w:rsidRDefault="00086B9F">
            <w:pPr>
              <w:keepNext/>
              <w:spacing w:before="40" w:after="40"/>
              <w:jc w:val="right"/>
              <w:rPr>
                <w:rFonts w:eastAsiaTheme="minorHAnsi"/>
                <w:sz w:val="22"/>
                <w:szCs w:val="22"/>
                <w:lang w:eastAsia="en-US"/>
              </w:rPr>
            </w:pPr>
            <w:r w:rsidRPr="00613427">
              <w:rPr>
                <w:rFonts w:eastAsiaTheme="minorHAnsi"/>
                <w:bCs/>
                <w:sz w:val="22"/>
                <w:szCs w:val="22"/>
                <w:lang w:eastAsia="en-US"/>
              </w:rPr>
              <w:t>1,223.3</w:t>
            </w:r>
          </w:p>
        </w:tc>
      </w:tr>
    </w:tbl>
    <w:p w14:paraId="25ACBDBB" w14:textId="77777777" w:rsidR="00C56217" w:rsidRPr="00613427" w:rsidRDefault="002C1C63" w:rsidP="002C1C63">
      <w:pPr>
        <w:spacing w:after="0"/>
        <w:ind w:left="284" w:hanging="284"/>
        <w:jc w:val="left"/>
        <w:rPr>
          <w:sz w:val="20"/>
        </w:rPr>
      </w:pPr>
      <w:bookmarkStart w:id="23" w:name="_Ref496537878"/>
      <w:bookmarkEnd w:id="21"/>
      <w:r w:rsidRPr="00613427">
        <w:rPr>
          <w:vertAlign w:val="superscript"/>
        </w:rPr>
        <w:t>(a)</w:t>
      </w:r>
      <w:r w:rsidRPr="00613427">
        <w:rPr>
          <w:sz w:val="20"/>
        </w:rPr>
        <w:t xml:space="preserve"> </w:t>
      </w:r>
      <w:r w:rsidR="00C56217" w:rsidRPr="00613427">
        <w:rPr>
          <w:sz w:val="20"/>
        </w:rPr>
        <w:t>All estimates are rounded and may not add.</w:t>
      </w:r>
    </w:p>
    <w:p w14:paraId="6EF76388" w14:textId="77777777" w:rsidR="002C1C63" w:rsidRPr="00613427" w:rsidRDefault="00C56217" w:rsidP="002C1C63">
      <w:pPr>
        <w:spacing w:after="0"/>
        <w:ind w:left="284" w:hanging="284"/>
        <w:jc w:val="left"/>
        <w:rPr>
          <w:sz w:val="20"/>
        </w:rPr>
      </w:pPr>
      <w:r w:rsidRPr="00613427">
        <w:rPr>
          <w:vertAlign w:val="superscript"/>
        </w:rPr>
        <w:t xml:space="preserve">(b) </w:t>
      </w:r>
      <w:r w:rsidR="002C1C63" w:rsidRPr="00613427">
        <w:rPr>
          <w:sz w:val="20"/>
        </w:rPr>
        <w:t>The Commonwealth’s</w:t>
      </w:r>
      <w:r w:rsidR="00670E5A">
        <w:rPr>
          <w:sz w:val="20"/>
        </w:rPr>
        <w:t xml:space="preserve"> </w:t>
      </w:r>
      <w:r w:rsidR="00424CD9">
        <w:rPr>
          <w:sz w:val="20"/>
        </w:rPr>
        <w:t>estimated</w:t>
      </w:r>
      <w:r w:rsidR="002C1C63" w:rsidRPr="00613427">
        <w:rPr>
          <w:sz w:val="20"/>
        </w:rPr>
        <w:t xml:space="preserve"> financial contribution </w:t>
      </w:r>
      <w:r w:rsidR="0096776B" w:rsidRPr="00613427">
        <w:rPr>
          <w:sz w:val="20"/>
        </w:rPr>
        <w:t>is based on 2018-19 Budget estimates.</w:t>
      </w:r>
      <w:r w:rsidR="006F6FA1" w:rsidRPr="00613427">
        <w:rPr>
          <w:sz w:val="20"/>
        </w:rPr>
        <w:t xml:space="preserve"> </w:t>
      </w:r>
      <w:r w:rsidR="0096776B" w:rsidRPr="00613427">
        <w:rPr>
          <w:sz w:val="20"/>
        </w:rPr>
        <w:t xml:space="preserve"> </w:t>
      </w:r>
      <w:r w:rsidR="008910D2" w:rsidRPr="00613427">
        <w:rPr>
          <w:sz w:val="20"/>
        </w:rPr>
        <w:t>Estimates</w:t>
      </w:r>
      <w:r w:rsidR="001C0F95" w:rsidRPr="00613427">
        <w:rPr>
          <w:sz w:val="20"/>
        </w:rPr>
        <w:t xml:space="preserve"> from 2019-20 onwards are </w:t>
      </w:r>
      <w:r w:rsidR="0096776B" w:rsidRPr="00613427">
        <w:rPr>
          <w:sz w:val="20"/>
        </w:rPr>
        <w:t>subject to adjustment in accordance with clause 3</w:t>
      </w:r>
      <w:r w:rsidR="008910D2" w:rsidRPr="00613427">
        <w:rPr>
          <w:sz w:val="20"/>
        </w:rPr>
        <w:t>5</w:t>
      </w:r>
      <w:r w:rsidR="0096776B" w:rsidRPr="00613427">
        <w:rPr>
          <w:sz w:val="20"/>
        </w:rPr>
        <w:t xml:space="preserve"> of this Agreement.</w:t>
      </w:r>
    </w:p>
    <w:p w14:paraId="23B245E1" w14:textId="77777777" w:rsidR="002C1C63" w:rsidRPr="00613427" w:rsidRDefault="00C56217" w:rsidP="002C1C63">
      <w:pPr>
        <w:spacing w:after="0"/>
        <w:ind w:left="284" w:hanging="284"/>
        <w:jc w:val="left"/>
        <w:rPr>
          <w:sz w:val="20"/>
        </w:rPr>
      </w:pPr>
      <w:r w:rsidRPr="00613427">
        <w:rPr>
          <w:vertAlign w:val="superscript"/>
        </w:rPr>
        <w:t>(c</w:t>
      </w:r>
      <w:r w:rsidR="002C1C63" w:rsidRPr="00613427">
        <w:rPr>
          <w:vertAlign w:val="superscript"/>
        </w:rPr>
        <w:t>)</w:t>
      </w:r>
      <w:r w:rsidR="002C1C63" w:rsidRPr="00613427">
        <w:rPr>
          <w:sz w:val="20"/>
        </w:rPr>
        <w:t xml:space="preserve"> Balance of non-Commonwealth contributions is subject to matching of agreed projects from States’ own source funding.</w:t>
      </w:r>
    </w:p>
    <w:bookmarkEnd w:id="23"/>
    <w:p w14:paraId="092F8AC1" w14:textId="77777777" w:rsidR="00814667" w:rsidRPr="00613427" w:rsidRDefault="00814667" w:rsidP="00D836BA">
      <w:pPr>
        <w:pStyle w:val="Heading1"/>
        <w:spacing w:before="180"/>
      </w:pPr>
      <w:r w:rsidRPr="00613427">
        <w:t xml:space="preserve">Part 6 — </w:t>
      </w:r>
      <w:r w:rsidR="008C5DB3" w:rsidRPr="00613427">
        <w:t>G</w:t>
      </w:r>
      <w:r w:rsidRPr="00613427">
        <w:t xml:space="preserve">overnance </w:t>
      </w:r>
      <w:r w:rsidR="008C5DB3" w:rsidRPr="00613427">
        <w:t>A</w:t>
      </w:r>
      <w:r w:rsidRPr="00613427">
        <w:t>rrangements</w:t>
      </w:r>
    </w:p>
    <w:p w14:paraId="7FEAC28F" w14:textId="77777777" w:rsidR="000A7553" w:rsidRPr="00613427" w:rsidRDefault="000A7553" w:rsidP="00D836BA">
      <w:pPr>
        <w:pStyle w:val="Heading2"/>
      </w:pPr>
      <w:r w:rsidRPr="00613427">
        <w:t>Enforceability of the Agreement</w:t>
      </w:r>
    </w:p>
    <w:p w14:paraId="6C36EDD8" w14:textId="77777777" w:rsidR="000A7553" w:rsidRPr="00613427" w:rsidRDefault="004E6528" w:rsidP="00D836BA">
      <w:pPr>
        <w:numPr>
          <w:ilvl w:val="0"/>
          <w:numId w:val="10"/>
        </w:numPr>
        <w:jc w:val="left"/>
      </w:pPr>
      <w:r w:rsidRPr="00613427">
        <w:t>T</w:t>
      </w:r>
      <w:r w:rsidR="000A7553" w:rsidRPr="00613427">
        <w:t xml:space="preserve">he Parties do not intend any of the provisions of this Agreement to be legally enforceable. However, </w:t>
      </w:r>
      <w:r w:rsidR="007219B9" w:rsidRPr="00613427">
        <w:t xml:space="preserve">this </w:t>
      </w:r>
      <w:r w:rsidR="000A7553" w:rsidRPr="00613427">
        <w:t>does not lessen the Parties’ commitment to this Agreement.</w:t>
      </w:r>
    </w:p>
    <w:p w14:paraId="124F6817" w14:textId="77777777" w:rsidR="00E51D1B" w:rsidRPr="00613427" w:rsidRDefault="00E51D1B" w:rsidP="00D836BA">
      <w:pPr>
        <w:pStyle w:val="Heading2"/>
      </w:pPr>
      <w:r w:rsidRPr="00613427">
        <w:t>Review of the Agreement</w:t>
      </w:r>
    </w:p>
    <w:p w14:paraId="0B58EE22" w14:textId="77777777" w:rsidR="00D36590" w:rsidRPr="00613427" w:rsidRDefault="00D36590" w:rsidP="00D836BA">
      <w:pPr>
        <w:numPr>
          <w:ilvl w:val="0"/>
          <w:numId w:val="10"/>
        </w:numPr>
        <w:jc w:val="left"/>
      </w:pPr>
      <w:r w:rsidRPr="00613427">
        <w:t xml:space="preserve">In accordance with clause E23 of the </w:t>
      </w:r>
      <w:r w:rsidR="00ED1452" w:rsidRPr="00613427">
        <w:t>IGA FFR</w:t>
      </w:r>
      <w:r w:rsidRPr="00613427">
        <w:t>, this Agreement is time limited. To assess the degree to which the agreed objectives and outcomes and/or outputs have been achieved, and inform decisions regarding the appropriate treatment following its expiry, a</w:t>
      </w:r>
      <w:r w:rsidR="00B97F2E" w:rsidRPr="00613427">
        <w:t>n independent</w:t>
      </w:r>
      <w:r w:rsidRPr="00613427">
        <w:t xml:space="preserve"> review of the Agreement will be scheduled to be completed approximately 12 months prior to its expiry.</w:t>
      </w:r>
    </w:p>
    <w:p w14:paraId="6DB45588" w14:textId="77777777" w:rsidR="00CB3D16" w:rsidRPr="00613427" w:rsidRDefault="00D14F28" w:rsidP="00CB3D16">
      <w:pPr>
        <w:numPr>
          <w:ilvl w:val="0"/>
          <w:numId w:val="10"/>
        </w:numPr>
        <w:jc w:val="left"/>
      </w:pPr>
      <w:r w:rsidRPr="00613427">
        <w:t xml:space="preserve">This Agreement is intended to provide funding to support the delivery of services in the areas of the </w:t>
      </w:r>
      <w:r w:rsidR="00175720" w:rsidRPr="00613427">
        <w:t>vocational education</w:t>
      </w:r>
      <w:r w:rsidRPr="00613427">
        <w:t xml:space="preserve"> and training</w:t>
      </w:r>
      <w:r w:rsidR="00FB750E" w:rsidRPr="00613427">
        <w:t xml:space="preserve"> that improve employment outcomes by supporting Australians to obtain the skills and training they need and increasing the uptake of apprenticeships and traineeships, pre-apprenticeships, pre-traineeships, higher-apprenticeships, and other relevant employment related training</w:t>
      </w:r>
      <w:r w:rsidR="000B4D91" w:rsidRPr="00613427">
        <w:t>.</w:t>
      </w:r>
      <w:r w:rsidR="00FB750E" w:rsidRPr="00613427">
        <w:t xml:space="preserve"> </w:t>
      </w:r>
    </w:p>
    <w:p w14:paraId="3A4231AD" w14:textId="77777777" w:rsidR="00280BAA" w:rsidRPr="00613427" w:rsidRDefault="00D14F28" w:rsidP="00A96C81">
      <w:pPr>
        <w:pStyle w:val="ListParagraph"/>
        <w:numPr>
          <w:ilvl w:val="0"/>
          <w:numId w:val="46"/>
        </w:numPr>
        <w:spacing w:after="240"/>
        <w:ind w:left="1134" w:hanging="567"/>
        <w:rPr>
          <w:rFonts w:ascii="Corbel" w:hAnsi="Corbel"/>
          <w:sz w:val="23"/>
          <w:szCs w:val="23"/>
        </w:rPr>
      </w:pPr>
      <w:r w:rsidRPr="00613427">
        <w:rPr>
          <w:rFonts w:ascii="Corbel" w:hAnsi="Corbel"/>
          <w:sz w:val="23"/>
          <w:szCs w:val="23"/>
        </w:rPr>
        <w:t>As part of this process, the Parties should consider whether the overall objectives, outcomes and/or outputs of the Agreement have been achieved and whether the activity</w:t>
      </w:r>
      <w:r w:rsidR="00175720" w:rsidRPr="00613427">
        <w:rPr>
          <w:rFonts w:ascii="Corbel" w:hAnsi="Corbel"/>
          <w:sz w:val="23"/>
          <w:szCs w:val="23"/>
        </w:rPr>
        <w:t xml:space="preserve"> </w:t>
      </w:r>
      <w:r w:rsidRPr="00613427">
        <w:rPr>
          <w:rFonts w:ascii="Corbel" w:hAnsi="Corbel"/>
          <w:sz w:val="23"/>
          <w:szCs w:val="23"/>
        </w:rPr>
        <w:t>levels have been raised in an effective, efficient and appropriate manner</w:t>
      </w:r>
      <w:r w:rsidR="00175720" w:rsidRPr="00613427">
        <w:rPr>
          <w:rFonts w:ascii="Corbel" w:hAnsi="Corbel"/>
          <w:sz w:val="23"/>
          <w:szCs w:val="23"/>
        </w:rPr>
        <w:t>.</w:t>
      </w:r>
    </w:p>
    <w:p w14:paraId="187889A6" w14:textId="77777777" w:rsidR="00E51D1B" w:rsidRPr="00613427" w:rsidRDefault="00E51D1B" w:rsidP="00D836BA">
      <w:pPr>
        <w:pStyle w:val="Heading2"/>
      </w:pPr>
      <w:r w:rsidRPr="00613427">
        <w:t>Variation of the Agreement</w:t>
      </w:r>
    </w:p>
    <w:p w14:paraId="634569F0" w14:textId="77777777" w:rsidR="00280BAA" w:rsidRPr="00613427" w:rsidRDefault="00E51D1B" w:rsidP="00D836BA">
      <w:pPr>
        <w:numPr>
          <w:ilvl w:val="0"/>
          <w:numId w:val="10"/>
        </w:numPr>
        <w:jc w:val="left"/>
      </w:pPr>
      <w:bookmarkStart w:id="24" w:name="_Ref497382142"/>
      <w:r w:rsidRPr="00613427">
        <w:t>The Agreement may be amended at any time by agreement in writing by all the Parties</w:t>
      </w:r>
      <w:r w:rsidR="0045345B" w:rsidRPr="00613427">
        <w:t>.</w:t>
      </w:r>
      <w:bookmarkEnd w:id="24"/>
    </w:p>
    <w:p w14:paraId="78FE04B6" w14:textId="77777777" w:rsidR="00280BAA" w:rsidRPr="00613427" w:rsidRDefault="00280BAA" w:rsidP="00280BAA">
      <w:pPr>
        <w:numPr>
          <w:ilvl w:val="0"/>
          <w:numId w:val="10"/>
        </w:numPr>
        <w:jc w:val="left"/>
      </w:pPr>
      <w:r w:rsidRPr="00613427">
        <w:lastRenderedPageBreak/>
        <w:t>A Party to the Agreement may terminate their participation in the Agreement at any time by notifying all the other Parties in writing.</w:t>
      </w:r>
    </w:p>
    <w:p w14:paraId="4407A2DE" w14:textId="77777777" w:rsidR="002A4B0C" w:rsidRPr="00613427" w:rsidRDefault="00280BAA" w:rsidP="00D836BA">
      <w:pPr>
        <w:numPr>
          <w:ilvl w:val="0"/>
          <w:numId w:val="10"/>
        </w:numPr>
        <w:jc w:val="left"/>
      </w:pPr>
      <w:r w:rsidRPr="00613427">
        <w:t>S</w:t>
      </w:r>
      <w:r w:rsidR="002A4B0C" w:rsidRPr="00613427">
        <w:t xml:space="preserve">chedules to this Agreement that have no impact on other Parties </w:t>
      </w:r>
      <w:r w:rsidRPr="00613427">
        <w:t xml:space="preserve">to this Agreement </w:t>
      </w:r>
      <w:r w:rsidR="002A4B0C" w:rsidRPr="00613427">
        <w:t>may be amended at any time by agreement in writing by the relevant Commonwealth and State portfolio ministers.</w:t>
      </w:r>
    </w:p>
    <w:p w14:paraId="73FFF5F0" w14:textId="77777777" w:rsidR="002665E5" w:rsidRPr="00613427" w:rsidRDefault="002665E5" w:rsidP="00D836BA">
      <w:pPr>
        <w:pStyle w:val="Heading2"/>
      </w:pPr>
      <w:r w:rsidRPr="00613427">
        <w:t>Delegations</w:t>
      </w:r>
    </w:p>
    <w:p w14:paraId="3D8AE97B" w14:textId="77777777" w:rsidR="002665E5" w:rsidRPr="00613427" w:rsidRDefault="002665E5" w:rsidP="00D836BA">
      <w:pPr>
        <w:numPr>
          <w:ilvl w:val="0"/>
          <w:numId w:val="10"/>
        </w:numPr>
        <w:jc w:val="left"/>
      </w:pPr>
      <w:bookmarkStart w:id="25" w:name="_Ref497381933"/>
      <w:r w:rsidRPr="00613427">
        <w:t xml:space="preserve">The relevant Commonwealth Minister with portfolio responsibility for </w:t>
      </w:r>
      <w:r w:rsidR="00F667E4" w:rsidRPr="00613427">
        <w:t xml:space="preserve">vocational education and training </w:t>
      </w:r>
      <w:r w:rsidRPr="00613427">
        <w:t>is</w:t>
      </w:r>
      <w:r w:rsidR="00EB30A3" w:rsidRPr="00613427">
        <w:t xml:space="preserve"> authorised to agree and amend s</w:t>
      </w:r>
      <w:r w:rsidRPr="00613427">
        <w:t>chedules</w:t>
      </w:r>
      <w:r w:rsidR="00EB30A3" w:rsidRPr="00613427">
        <w:t xml:space="preserve"> </w:t>
      </w:r>
      <w:r w:rsidRPr="00613427">
        <w:t>to this Agreement and to certify that performance benchmarks</w:t>
      </w:r>
      <w:r w:rsidR="00623256" w:rsidRPr="00613427">
        <w:t xml:space="preserve"> and milestones</w:t>
      </w:r>
      <w:r w:rsidRPr="00613427">
        <w:t xml:space="preserve"> specified under this Agreement have been achieved</w:t>
      </w:r>
      <w:r w:rsidR="00EB30A3" w:rsidRPr="00613427">
        <w:t>, so that payments may be made.</w:t>
      </w:r>
      <w:bookmarkEnd w:id="25"/>
    </w:p>
    <w:p w14:paraId="152BDFBD" w14:textId="77777777" w:rsidR="002665E5" w:rsidRPr="00613427" w:rsidRDefault="002665E5" w:rsidP="00D836BA">
      <w:pPr>
        <w:numPr>
          <w:ilvl w:val="0"/>
          <w:numId w:val="10"/>
        </w:numPr>
        <w:jc w:val="left"/>
      </w:pPr>
      <w:r w:rsidRPr="00613427">
        <w:t xml:space="preserve">Respective State and Territory Ministers with portfolio responsibility for </w:t>
      </w:r>
      <w:r w:rsidR="00F667E4" w:rsidRPr="00613427">
        <w:t xml:space="preserve">vocational education and training </w:t>
      </w:r>
      <w:r w:rsidRPr="00613427">
        <w:t xml:space="preserve">are authorised to agree </w:t>
      </w:r>
      <w:r w:rsidR="006C7FA2" w:rsidRPr="00613427">
        <w:t>and</w:t>
      </w:r>
      <w:r w:rsidRPr="00613427">
        <w:t xml:space="preserve"> amend</w:t>
      </w:r>
      <w:r w:rsidR="00B97F2E" w:rsidRPr="00613427">
        <w:t xml:space="preserve"> </w:t>
      </w:r>
      <w:r w:rsidR="00EB30A3" w:rsidRPr="00613427">
        <w:t>s</w:t>
      </w:r>
      <w:r w:rsidR="00280BAA" w:rsidRPr="00613427">
        <w:t>chedules</w:t>
      </w:r>
      <w:r w:rsidR="00EB30A3" w:rsidRPr="00613427">
        <w:t xml:space="preserve"> </w:t>
      </w:r>
      <w:r w:rsidRPr="00613427">
        <w:t>to this Agreement.</w:t>
      </w:r>
    </w:p>
    <w:p w14:paraId="4F331726" w14:textId="77777777" w:rsidR="002665E5" w:rsidRPr="00613427" w:rsidRDefault="002665E5" w:rsidP="00D836BA">
      <w:pPr>
        <w:numPr>
          <w:ilvl w:val="0"/>
          <w:numId w:val="10"/>
        </w:numPr>
        <w:jc w:val="left"/>
      </w:pPr>
      <w:r w:rsidRPr="00613427">
        <w:t xml:space="preserve">The Commonwealth Minister may delegate the assessment of project-based performance benchmarks </w:t>
      </w:r>
      <w:r w:rsidR="00EA1BDD" w:rsidRPr="00613427">
        <w:t>and</w:t>
      </w:r>
      <w:r w:rsidRPr="00613427">
        <w:t xml:space="preserve"> milestones and the authorisation of related project payments to senior Commonwealth officials, having regard to the financial and policy risks a</w:t>
      </w:r>
      <w:r w:rsidR="00EB30A3" w:rsidRPr="00613427">
        <w:t>ssociated with those payments.</w:t>
      </w:r>
    </w:p>
    <w:p w14:paraId="760BDD33" w14:textId="77777777" w:rsidR="002665E5" w:rsidRPr="00613427" w:rsidRDefault="002665E5" w:rsidP="00D836BA">
      <w:pPr>
        <w:pStyle w:val="Heading2"/>
      </w:pPr>
      <w:r w:rsidRPr="00613427">
        <w:t>Dispute resolution</w:t>
      </w:r>
    </w:p>
    <w:p w14:paraId="4031E9E9" w14:textId="77777777" w:rsidR="002665E5" w:rsidRPr="00613427" w:rsidRDefault="002665E5" w:rsidP="00D836BA">
      <w:pPr>
        <w:numPr>
          <w:ilvl w:val="0"/>
          <w:numId w:val="10"/>
        </w:numPr>
        <w:jc w:val="left"/>
      </w:pPr>
      <w:r w:rsidRPr="00613427">
        <w:t>Any Party may give notice to other Parties of a dispute under this Agreement.</w:t>
      </w:r>
    </w:p>
    <w:p w14:paraId="55E75733" w14:textId="77777777" w:rsidR="002665E5" w:rsidRPr="00613427" w:rsidRDefault="002665E5" w:rsidP="00D836BA">
      <w:pPr>
        <w:numPr>
          <w:ilvl w:val="0"/>
          <w:numId w:val="10"/>
        </w:numPr>
        <w:jc w:val="left"/>
      </w:pPr>
      <w:r w:rsidRPr="00613427">
        <w:t>Officials of relevant Parties will attempt to resolve any dispute in the first instance.</w:t>
      </w:r>
    </w:p>
    <w:p w14:paraId="27092B47" w14:textId="77777777" w:rsidR="002665E5" w:rsidRPr="00613427" w:rsidRDefault="002665E5" w:rsidP="00D836BA">
      <w:pPr>
        <w:numPr>
          <w:ilvl w:val="0"/>
          <w:numId w:val="10"/>
        </w:numPr>
        <w:jc w:val="left"/>
      </w:pPr>
      <w:r w:rsidRPr="00613427">
        <w:t>If a dispute cannot be resolved by officials, it may be escalated to the relevant Ministers.</w:t>
      </w:r>
    </w:p>
    <w:p w14:paraId="25CDFDEA" w14:textId="77777777" w:rsidR="002665E5" w:rsidRPr="00613427" w:rsidRDefault="002665E5" w:rsidP="00D836BA">
      <w:pPr>
        <w:pStyle w:val="Heading2"/>
      </w:pPr>
      <w:r w:rsidRPr="00613427">
        <w:t>Interpretation</w:t>
      </w:r>
    </w:p>
    <w:p w14:paraId="6A92B98B" w14:textId="77777777" w:rsidR="002665E5" w:rsidRPr="00613427" w:rsidRDefault="002665E5" w:rsidP="00D836BA">
      <w:pPr>
        <w:numPr>
          <w:ilvl w:val="0"/>
          <w:numId w:val="10"/>
        </w:numPr>
        <w:jc w:val="left"/>
      </w:pPr>
      <w:r w:rsidRPr="00613427">
        <w:t>For the purposes of this Agreement:</w:t>
      </w:r>
    </w:p>
    <w:p w14:paraId="19E50AE6" w14:textId="77777777" w:rsidR="00B234AA" w:rsidRPr="00613427" w:rsidRDefault="00B234AA" w:rsidP="00AC03A8">
      <w:pPr>
        <w:numPr>
          <w:ilvl w:val="0"/>
          <w:numId w:val="22"/>
        </w:numPr>
        <w:ind w:left="1134" w:hanging="567"/>
        <w:jc w:val="left"/>
        <w:rPr>
          <w:color w:val="auto"/>
        </w:rPr>
      </w:pPr>
      <w:r w:rsidRPr="00613427">
        <w:rPr>
          <w:b/>
          <w:color w:val="auto"/>
        </w:rPr>
        <w:t>Apprenticeships and traineeships</w:t>
      </w:r>
      <w:r w:rsidR="00C22FDB" w:rsidRPr="00613427">
        <w:rPr>
          <w:color w:val="auto"/>
        </w:rPr>
        <w:t xml:space="preserve"> - A</w:t>
      </w:r>
      <w:r w:rsidRPr="00613427">
        <w:rPr>
          <w:color w:val="auto"/>
        </w:rPr>
        <w:t>pprenticeships and traineeships are an arrangement underpinned by a Contract of Training between an employer, an apprentice or trainee that is approved by training authorities in each jurisdiction under legislation.</w:t>
      </w:r>
    </w:p>
    <w:p w14:paraId="02DFE7A2" w14:textId="77777777" w:rsidR="00B234AA" w:rsidRPr="00613427" w:rsidRDefault="00B234AA" w:rsidP="00AC03A8">
      <w:pPr>
        <w:numPr>
          <w:ilvl w:val="0"/>
          <w:numId w:val="22"/>
        </w:numPr>
        <w:ind w:left="1134" w:hanging="567"/>
        <w:jc w:val="left"/>
        <w:rPr>
          <w:color w:val="auto"/>
        </w:rPr>
      </w:pPr>
      <w:r w:rsidRPr="00613427">
        <w:rPr>
          <w:b/>
          <w:color w:val="auto"/>
        </w:rPr>
        <w:t>Training that shares similar characteristics to an apprenticeship or traineeship</w:t>
      </w:r>
      <w:r w:rsidRPr="00613427">
        <w:rPr>
          <w:color w:val="auto"/>
        </w:rPr>
        <w:t xml:space="preserve"> may also be included for the purpose of contributing to</w:t>
      </w:r>
      <w:r w:rsidR="00F77C58" w:rsidRPr="00613427">
        <w:rPr>
          <w:color w:val="auto"/>
        </w:rPr>
        <w:t xml:space="preserve"> additional training</w:t>
      </w:r>
      <w:r w:rsidRPr="00613427">
        <w:rPr>
          <w:color w:val="auto"/>
        </w:rPr>
        <w:t>, provided the training is at certificate III or IV level.</w:t>
      </w:r>
    </w:p>
    <w:p w14:paraId="62C5EFAA" w14:textId="77777777" w:rsidR="00B234AA" w:rsidRPr="00613427" w:rsidRDefault="00B234AA" w:rsidP="00AC03A8">
      <w:pPr>
        <w:numPr>
          <w:ilvl w:val="0"/>
          <w:numId w:val="22"/>
        </w:numPr>
        <w:ind w:left="1134" w:hanging="567"/>
        <w:jc w:val="left"/>
        <w:rPr>
          <w:color w:val="auto"/>
        </w:rPr>
      </w:pPr>
      <w:r w:rsidRPr="00613427">
        <w:rPr>
          <w:b/>
          <w:color w:val="auto"/>
        </w:rPr>
        <w:t>Pre-apprenticeships/traineeship</w:t>
      </w:r>
      <w:r w:rsidR="002D3C88" w:rsidRPr="00613427">
        <w:rPr>
          <w:b/>
          <w:color w:val="auto"/>
        </w:rPr>
        <w:t>s</w:t>
      </w:r>
      <w:r w:rsidR="00C22FDB" w:rsidRPr="00613427">
        <w:rPr>
          <w:color w:val="auto"/>
        </w:rPr>
        <w:t xml:space="preserve"> </w:t>
      </w:r>
      <w:r w:rsidRPr="00613427">
        <w:rPr>
          <w:color w:val="auto"/>
        </w:rPr>
        <w:t xml:space="preserve">are programs of training to prepare individuals for successful entry into an apprenticeship or traineeship and the workplace through a short training course which may combine general and industry-specific competencies. Pre-apprenticeships can include a range of elements such as work ready skills, the experience that employer’s need and nationally accredited training to support the student gain employment, particularly in an apprenticeship or traineeship, on completion. </w:t>
      </w:r>
    </w:p>
    <w:p w14:paraId="5E884757" w14:textId="77777777" w:rsidR="005969EF" w:rsidRPr="00613427" w:rsidRDefault="00B234AA" w:rsidP="008F28D6">
      <w:pPr>
        <w:numPr>
          <w:ilvl w:val="0"/>
          <w:numId w:val="22"/>
        </w:numPr>
        <w:spacing w:after="0" w:line="240" w:lineRule="auto"/>
        <w:ind w:left="1134" w:hanging="567"/>
        <w:jc w:val="left"/>
        <w:rPr>
          <w:lang w:val="en-GB"/>
        </w:rPr>
      </w:pPr>
      <w:r w:rsidRPr="00613427">
        <w:rPr>
          <w:b/>
          <w:color w:val="auto"/>
        </w:rPr>
        <w:t>Higher apprenticeships</w:t>
      </w:r>
      <w:r w:rsidRPr="00613427">
        <w:rPr>
          <w:color w:val="auto"/>
        </w:rPr>
        <w:t xml:space="preserve"> combine a program of structured on-the-job training with formal study, with the study component leading to the award of a </w:t>
      </w:r>
      <w:r w:rsidR="00EE2CB0" w:rsidRPr="00613427">
        <w:rPr>
          <w:color w:val="auto"/>
        </w:rPr>
        <w:t xml:space="preserve">VET </w:t>
      </w:r>
      <w:r w:rsidRPr="00613427">
        <w:rPr>
          <w:color w:val="auto"/>
        </w:rPr>
        <w:t>qualification at the Australian Qualifications Framework level 5 (Diploma)</w:t>
      </w:r>
      <w:r w:rsidR="00AC03A8" w:rsidRPr="00613427">
        <w:rPr>
          <w:color w:val="auto"/>
        </w:rPr>
        <w:t xml:space="preserve"> or level 6 (Advanced Diploma).</w:t>
      </w:r>
      <w:r w:rsidR="005969EF" w:rsidRPr="00613427">
        <w:rPr>
          <w:lang w:val="en-GB"/>
        </w:rPr>
        <w:br w:type="page"/>
      </w:r>
    </w:p>
    <w:p w14:paraId="2D25CBBE" w14:textId="77777777" w:rsidR="002665E5" w:rsidRPr="00613427" w:rsidRDefault="002665E5" w:rsidP="002665E5">
      <w:pPr>
        <w:pStyle w:val="AlphaParagraph"/>
        <w:tabs>
          <w:tab w:val="clear" w:pos="0"/>
        </w:tabs>
        <w:ind w:left="0" w:firstLine="0"/>
      </w:pPr>
      <w:r w:rsidRPr="00613427">
        <w:rPr>
          <w:lang w:val="en-GB"/>
        </w:rPr>
        <w:lastRenderedPageBreak/>
        <w:t xml:space="preserve">The </w:t>
      </w:r>
      <w:r w:rsidRPr="00613427">
        <w:rPr>
          <w:sz w:val="24"/>
          <w:szCs w:val="24"/>
        </w:rPr>
        <w:t>Parties</w:t>
      </w:r>
      <w:r w:rsidRPr="00613427">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613427" w14:paraId="35BBEED5" w14:textId="77777777" w:rsidTr="00B40E38">
        <w:trPr>
          <w:cantSplit/>
          <w:jc w:val="center"/>
        </w:trPr>
        <w:tc>
          <w:tcPr>
            <w:tcW w:w="4536" w:type="dxa"/>
          </w:tcPr>
          <w:p w14:paraId="1E060A86" w14:textId="77777777" w:rsidR="002665E5" w:rsidRPr="00613427" w:rsidRDefault="002665E5" w:rsidP="00B40E38">
            <w:pPr>
              <w:pStyle w:val="Signed"/>
            </w:pPr>
            <w:r w:rsidRPr="00613427">
              <w:rPr>
                <w:rStyle w:val="SignedBold"/>
              </w:rPr>
              <w:t>Signed</w:t>
            </w:r>
            <w:r w:rsidRPr="00613427">
              <w:t xml:space="preserve"> for and on behalf of the Commonwealth of Australia by</w:t>
            </w:r>
          </w:p>
          <w:p w14:paraId="68CE69A1" w14:textId="77777777" w:rsidR="002665E5" w:rsidRPr="00613427" w:rsidRDefault="002665E5" w:rsidP="00B40E38">
            <w:pPr>
              <w:pStyle w:val="LineForSignature"/>
            </w:pPr>
            <w:r w:rsidRPr="00613427">
              <w:tab/>
            </w:r>
          </w:p>
          <w:p w14:paraId="51B7331C" w14:textId="77777777" w:rsidR="002665E5" w:rsidRPr="00613427" w:rsidRDefault="002665E5" w:rsidP="00B40E38">
            <w:pPr>
              <w:pStyle w:val="SingleParagraph"/>
              <w:rPr>
                <w:rStyle w:val="Bold"/>
              </w:rPr>
            </w:pPr>
            <w:r w:rsidRPr="00613427">
              <w:rPr>
                <w:rStyle w:val="Bold"/>
              </w:rPr>
              <w:t xml:space="preserve">The Honourable </w:t>
            </w:r>
            <w:r w:rsidR="0034186E" w:rsidRPr="00613427">
              <w:rPr>
                <w:rStyle w:val="Bold"/>
              </w:rPr>
              <w:t>Malcolm Turnbull</w:t>
            </w:r>
            <w:r w:rsidRPr="00613427">
              <w:rPr>
                <w:rStyle w:val="Bold"/>
              </w:rPr>
              <w:t xml:space="preserve"> MP</w:t>
            </w:r>
          </w:p>
          <w:p w14:paraId="7C30890B" w14:textId="77777777" w:rsidR="002665E5" w:rsidRPr="00613427" w:rsidRDefault="002665E5" w:rsidP="00B40E38">
            <w:pPr>
              <w:pStyle w:val="Position"/>
              <w:rPr>
                <w:lang w:val="en-GB"/>
              </w:rPr>
            </w:pPr>
            <w:r w:rsidRPr="00613427">
              <w:rPr>
                <w:lang w:val="en-GB"/>
              </w:rPr>
              <w:t>Prime Minister of the Commonwealth of Australia</w:t>
            </w:r>
          </w:p>
          <w:p w14:paraId="6D065CF6" w14:textId="77777777" w:rsidR="002665E5" w:rsidRPr="00613427" w:rsidRDefault="002665E5" w:rsidP="00B40E38">
            <w:pPr>
              <w:pStyle w:val="SingleParagraph"/>
              <w:tabs>
                <w:tab w:val="num" w:pos="1134"/>
              </w:tabs>
              <w:spacing w:after="240"/>
              <w:ind w:left="1134" w:hanging="567"/>
              <w:rPr>
                <w:b/>
                <w:lang w:val="en-GB"/>
              </w:rPr>
            </w:pPr>
            <w:r w:rsidRPr="00613427">
              <w:rPr>
                <w:lang w:val="en-GB"/>
              </w:rPr>
              <w:t>[Day]  [Month]  [Year]</w:t>
            </w:r>
          </w:p>
        </w:tc>
        <w:tc>
          <w:tcPr>
            <w:tcW w:w="284" w:type="dxa"/>
            <w:tcMar>
              <w:left w:w="0" w:type="dxa"/>
              <w:right w:w="0" w:type="dxa"/>
            </w:tcMar>
          </w:tcPr>
          <w:p w14:paraId="28292DD9" w14:textId="77777777" w:rsidR="002665E5" w:rsidRPr="00613427" w:rsidRDefault="002665E5" w:rsidP="00B40E38">
            <w:pPr>
              <w:rPr>
                <w:rFonts w:ascii="Book Antiqua" w:hAnsi="Book Antiqua"/>
                <w:lang w:val="en-GB"/>
              </w:rPr>
            </w:pPr>
          </w:p>
        </w:tc>
        <w:tc>
          <w:tcPr>
            <w:tcW w:w="4536" w:type="dxa"/>
          </w:tcPr>
          <w:p w14:paraId="4ED0A7A3" w14:textId="77777777" w:rsidR="002665E5" w:rsidRPr="00613427" w:rsidRDefault="002665E5" w:rsidP="00B40E38">
            <w:pPr>
              <w:rPr>
                <w:rFonts w:ascii="Book Antiqua" w:hAnsi="Book Antiqua"/>
                <w:lang w:val="en-GB"/>
              </w:rPr>
            </w:pPr>
          </w:p>
        </w:tc>
      </w:tr>
      <w:tr w:rsidR="002665E5" w:rsidRPr="00613427" w14:paraId="18E46143" w14:textId="77777777" w:rsidTr="00B40E38">
        <w:trPr>
          <w:cantSplit/>
          <w:jc w:val="center"/>
        </w:trPr>
        <w:tc>
          <w:tcPr>
            <w:tcW w:w="4536" w:type="dxa"/>
          </w:tcPr>
          <w:p w14:paraId="05C63A53" w14:textId="77777777" w:rsidR="002665E5" w:rsidRPr="00613427" w:rsidRDefault="002665E5" w:rsidP="00B40E38">
            <w:pPr>
              <w:pStyle w:val="SingleParagraph"/>
              <w:rPr>
                <w:rFonts w:ascii="Book Antiqua" w:hAnsi="Book Antiqua"/>
                <w:lang w:val="en-GB"/>
              </w:rPr>
            </w:pPr>
          </w:p>
        </w:tc>
        <w:tc>
          <w:tcPr>
            <w:tcW w:w="284" w:type="dxa"/>
            <w:tcMar>
              <w:left w:w="0" w:type="dxa"/>
              <w:right w:w="0" w:type="dxa"/>
            </w:tcMar>
          </w:tcPr>
          <w:p w14:paraId="20B82692" w14:textId="77777777" w:rsidR="002665E5" w:rsidRPr="00613427" w:rsidRDefault="002665E5" w:rsidP="00B40E38">
            <w:pPr>
              <w:pStyle w:val="SingleParagraph"/>
              <w:rPr>
                <w:rFonts w:ascii="Book Antiqua" w:hAnsi="Book Antiqua"/>
                <w:lang w:val="en-GB"/>
              </w:rPr>
            </w:pPr>
          </w:p>
        </w:tc>
        <w:tc>
          <w:tcPr>
            <w:tcW w:w="4536" w:type="dxa"/>
          </w:tcPr>
          <w:p w14:paraId="53AC6D27" w14:textId="77777777" w:rsidR="002665E5" w:rsidRPr="00613427" w:rsidRDefault="002665E5" w:rsidP="00B40E38">
            <w:pPr>
              <w:pStyle w:val="SingleParagraph"/>
              <w:rPr>
                <w:rFonts w:ascii="Book Antiqua" w:hAnsi="Book Antiqua"/>
                <w:lang w:val="en-GB"/>
              </w:rPr>
            </w:pPr>
          </w:p>
        </w:tc>
      </w:tr>
      <w:tr w:rsidR="002665E5" w:rsidRPr="00613427" w14:paraId="3F8ECD38" w14:textId="77777777" w:rsidTr="00B40E38">
        <w:trPr>
          <w:cantSplit/>
          <w:jc w:val="center"/>
        </w:trPr>
        <w:tc>
          <w:tcPr>
            <w:tcW w:w="4536" w:type="dxa"/>
          </w:tcPr>
          <w:p w14:paraId="0C7416FE" w14:textId="77777777" w:rsidR="002665E5" w:rsidRPr="00613427" w:rsidRDefault="002665E5" w:rsidP="00B40E38">
            <w:pPr>
              <w:pStyle w:val="Signed"/>
            </w:pPr>
            <w:r w:rsidRPr="00613427">
              <w:rPr>
                <w:rStyle w:val="SignedBold"/>
              </w:rPr>
              <w:t>Signed</w:t>
            </w:r>
            <w:r w:rsidRPr="00613427">
              <w:t xml:space="preserve"> for and on behalf of the </w:t>
            </w:r>
            <w:r w:rsidRPr="00613427">
              <w:br/>
              <w:t>State of New South Wales by</w:t>
            </w:r>
          </w:p>
          <w:p w14:paraId="5CA2C4F8" w14:textId="77777777" w:rsidR="002665E5" w:rsidRPr="00613427" w:rsidRDefault="002665E5" w:rsidP="00B40E38">
            <w:pPr>
              <w:pStyle w:val="LineForSignature"/>
            </w:pPr>
            <w:r w:rsidRPr="00613427">
              <w:tab/>
            </w:r>
          </w:p>
          <w:p w14:paraId="6B6B4EDC" w14:textId="77777777" w:rsidR="002665E5" w:rsidRPr="00613427" w:rsidRDefault="002665E5" w:rsidP="00B40E38">
            <w:pPr>
              <w:pStyle w:val="SingleParagraph"/>
              <w:rPr>
                <w:rStyle w:val="Bold"/>
              </w:rPr>
            </w:pPr>
            <w:r w:rsidRPr="00613427">
              <w:rPr>
                <w:rStyle w:val="Bold"/>
              </w:rPr>
              <w:t xml:space="preserve">The Honourable </w:t>
            </w:r>
            <w:r w:rsidR="0034186E" w:rsidRPr="00613427">
              <w:rPr>
                <w:rStyle w:val="Bold"/>
                <w:bCs/>
              </w:rPr>
              <w:t xml:space="preserve">Gladys </w:t>
            </w:r>
            <w:proofErr w:type="spellStart"/>
            <w:r w:rsidR="0034186E" w:rsidRPr="00613427">
              <w:rPr>
                <w:rStyle w:val="Bold"/>
                <w:bCs/>
              </w:rPr>
              <w:t>Berejiklian</w:t>
            </w:r>
            <w:proofErr w:type="spellEnd"/>
            <w:r w:rsidRPr="00613427">
              <w:rPr>
                <w:rStyle w:val="Bold"/>
                <w:bCs/>
              </w:rPr>
              <w:t xml:space="preserve"> </w:t>
            </w:r>
            <w:r w:rsidRPr="00613427">
              <w:rPr>
                <w:rStyle w:val="Bold"/>
              </w:rPr>
              <w:t>MP</w:t>
            </w:r>
          </w:p>
          <w:p w14:paraId="0EBD35ED" w14:textId="77777777" w:rsidR="002665E5" w:rsidRPr="00613427" w:rsidRDefault="002665E5" w:rsidP="00B40E38">
            <w:pPr>
              <w:pStyle w:val="Position"/>
              <w:rPr>
                <w:rFonts w:ascii="Book Antiqua" w:hAnsi="Book Antiqua"/>
                <w:bCs w:val="0"/>
                <w:lang w:val="en-GB"/>
              </w:rPr>
            </w:pPr>
            <w:r w:rsidRPr="00613427">
              <w:rPr>
                <w:bCs w:val="0"/>
                <w:lang w:val="en-GB"/>
              </w:rPr>
              <w:t xml:space="preserve">Premier of the State of New </w:t>
            </w:r>
            <w:r w:rsidRPr="00613427">
              <w:rPr>
                <w:lang w:val="en-GB"/>
              </w:rPr>
              <w:t>South</w:t>
            </w:r>
            <w:r w:rsidRPr="00613427">
              <w:rPr>
                <w:bCs w:val="0"/>
                <w:lang w:val="en-GB"/>
              </w:rPr>
              <w:t xml:space="preserve"> Wales</w:t>
            </w:r>
          </w:p>
          <w:p w14:paraId="0BCA7D13" w14:textId="77777777" w:rsidR="002665E5" w:rsidRPr="00613427" w:rsidRDefault="002665E5" w:rsidP="00B40E38">
            <w:pPr>
              <w:pStyle w:val="SingleParagraph"/>
              <w:tabs>
                <w:tab w:val="num" w:pos="1134"/>
              </w:tabs>
              <w:spacing w:after="240"/>
              <w:ind w:left="1134" w:hanging="567"/>
              <w:rPr>
                <w:szCs w:val="22"/>
                <w:lang w:val="en-GB"/>
              </w:rPr>
            </w:pPr>
            <w:r w:rsidRPr="00613427">
              <w:rPr>
                <w:lang w:val="en-GB"/>
              </w:rPr>
              <w:t>[Day]  [Month]  [Year]</w:t>
            </w:r>
          </w:p>
        </w:tc>
        <w:tc>
          <w:tcPr>
            <w:tcW w:w="284" w:type="dxa"/>
            <w:tcMar>
              <w:left w:w="0" w:type="dxa"/>
              <w:right w:w="0" w:type="dxa"/>
            </w:tcMar>
          </w:tcPr>
          <w:p w14:paraId="722CE950" w14:textId="77777777" w:rsidR="002665E5" w:rsidRPr="00613427" w:rsidRDefault="002665E5" w:rsidP="00B40E38">
            <w:pPr>
              <w:rPr>
                <w:rFonts w:ascii="Book Antiqua" w:hAnsi="Book Antiqua"/>
                <w:lang w:val="en-GB"/>
              </w:rPr>
            </w:pPr>
          </w:p>
        </w:tc>
        <w:tc>
          <w:tcPr>
            <w:tcW w:w="4536" w:type="dxa"/>
          </w:tcPr>
          <w:p w14:paraId="3FFF90BB" w14:textId="77777777" w:rsidR="002665E5" w:rsidRPr="00613427" w:rsidRDefault="002665E5" w:rsidP="00B40E38">
            <w:pPr>
              <w:pStyle w:val="Signed"/>
            </w:pPr>
            <w:r w:rsidRPr="00613427">
              <w:rPr>
                <w:rStyle w:val="SignedBold"/>
              </w:rPr>
              <w:t>Signed</w:t>
            </w:r>
            <w:r w:rsidRPr="00613427">
              <w:t xml:space="preserve"> for and on behalf of the</w:t>
            </w:r>
            <w:r w:rsidRPr="00613427">
              <w:br/>
              <w:t>State of Victoria by</w:t>
            </w:r>
          </w:p>
          <w:p w14:paraId="4A603AB6" w14:textId="77777777" w:rsidR="002665E5" w:rsidRPr="00613427" w:rsidRDefault="002665E5" w:rsidP="00B40E38">
            <w:pPr>
              <w:pStyle w:val="LineForSignature"/>
            </w:pPr>
            <w:r w:rsidRPr="00613427">
              <w:tab/>
            </w:r>
          </w:p>
          <w:p w14:paraId="68B93DB8" w14:textId="77777777" w:rsidR="002665E5" w:rsidRPr="00613427" w:rsidRDefault="002665E5" w:rsidP="00B40E38">
            <w:pPr>
              <w:pStyle w:val="SingleParagraph"/>
              <w:rPr>
                <w:rStyle w:val="Bold"/>
              </w:rPr>
            </w:pPr>
            <w:r w:rsidRPr="00613427">
              <w:rPr>
                <w:rStyle w:val="Bold"/>
              </w:rPr>
              <w:t xml:space="preserve">The Honourable </w:t>
            </w:r>
            <w:r w:rsidR="0046371B" w:rsidRPr="00613427">
              <w:rPr>
                <w:rStyle w:val="Bold"/>
              </w:rPr>
              <w:t>Daniel Andrews</w:t>
            </w:r>
            <w:r w:rsidR="005A53F6" w:rsidRPr="00613427">
              <w:rPr>
                <w:rStyle w:val="Bold"/>
              </w:rPr>
              <w:t xml:space="preserve"> </w:t>
            </w:r>
            <w:r w:rsidR="00D47710" w:rsidRPr="00613427">
              <w:rPr>
                <w:rStyle w:val="Bold"/>
              </w:rPr>
              <w:t>MP</w:t>
            </w:r>
          </w:p>
          <w:p w14:paraId="2581A160" w14:textId="77777777" w:rsidR="002665E5" w:rsidRPr="00613427" w:rsidRDefault="002665E5" w:rsidP="00B40E38">
            <w:pPr>
              <w:pStyle w:val="Position"/>
              <w:rPr>
                <w:rFonts w:ascii="Book Antiqua" w:hAnsi="Book Antiqua"/>
                <w:bCs w:val="0"/>
                <w:lang w:val="en-GB"/>
              </w:rPr>
            </w:pPr>
            <w:r w:rsidRPr="00613427">
              <w:rPr>
                <w:bCs w:val="0"/>
                <w:lang w:val="en-GB"/>
              </w:rPr>
              <w:t>Premier of the State of Victoria</w:t>
            </w:r>
          </w:p>
          <w:p w14:paraId="79189811" w14:textId="77777777" w:rsidR="002665E5" w:rsidRPr="00613427" w:rsidRDefault="002665E5" w:rsidP="00B40E38">
            <w:pPr>
              <w:pStyle w:val="SingleParagraph"/>
              <w:tabs>
                <w:tab w:val="num" w:pos="1134"/>
              </w:tabs>
              <w:spacing w:after="240"/>
              <w:ind w:left="1134" w:hanging="567"/>
              <w:rPr>
                <w:lang w:val="en-GB"/>
              </w:rPr>
            </w:pPr>
            <w:r w:rsidRPr="00613427">
              <w:rPr>
                <w:lang w:val="en-GB"/>
              </w:rPr>
              <w:t>[Day]  [Month]  [Year]</w:t>
            </w:r>
          </w:p>
        </w:tc>
      </w:tr>
      <w:tr w:rsidR="002665E5" w:rsidRPr="00613427" w14:paraId="5AF53EA2" w14:textId="77777777" w:rsidTr="00B40E38">
        <w:trPr>
          <w:cantSplit/>
          <w:jc w:val="center"/>
        </w:trPr>
        <w:tc>
          <w:tcPr>
            <w:tcW w:w="4536" w:type="dxa"/>
          </w:tcPr>
          <w:p w14:paraId="6463BFB9" w14:textId="77777777" w:rsidR="002665E5" w:rsidRPr="00613427" w:rsidRDefault="002665E5" w:rsidP="00B40E38">
            <w:pPr>
              <w:pStyle w:val="SingleParagraph"/>
              <w:rPr>
                <w:rFonts w:ascii="Book Antiqua" w:hAnsi="Book Antiqua"/>
                <w:lang w:val="en-GB"/>
              </w:rPr>
            </w:pPr>
          </w:p>
        </w:tc>
        <w:tc>
          <w:tcPr>
            <w:tcW w:w="284" w:type="dxa"/>
            <w:tcMar>
              <w:left w:w="0" w:type="dxa"/>
              <w:right w:w="0" w:type="dxa"/>
            </w:tcMar>
          </w:tcPr>
          <w:p w14:paraId="61BF0900" w14:textId="77777777" w:rsidR="002665E5" w:rsidRPr="00613427" w:rsidRDefault="002665E5" w:rsidP="00B40E38">
            <w:pPr>
              <w:pStyle w:val="SingleParagraph"/>
              <w:rPr>
                <w:rFonts w:ascii="Book Antiqua" w:hAnsi="Book Antiqua"/>
                <w:lang w:val="en-GB"/>
              </w:rPr>
            </w:pPr>
          </w:p>
        </w:tc>
        <w:tc>
          <w:tcPr>
            <w:tcW w:w="4536" w:type="dxa"/>
          </w:tcPr>
          <w:p w14:paraId="78C93B4F" w14:textId="77777777" w:rsidR="002665E5" w:rsidRPr="00613427" w:rsidRDefault="002665E5" w:rsidP="00B40E38">
            <w:pPr>
              <w:pStyle w:val="SingleParagraph"/>
              <w:rPr>
                <w:rFonts w:ascii="Book Antiqua" w:hAnsi="Book Antiqua"/>
                <w:lang w:val="en-GB"/>
              </w:rPr>
            </w:pPr>
          </w:p>
        </w:tc>
      </w:tr>
      <w:tr w:rsidR="002665E5" w:rsidRPr="00613427" w14:paraId="20A8DA0A" w14:textId="77777777" w:rsidTr="00B40E38">
        <w:trPr>
          <w:cantSplit/>
          <w:jc w:val="center"/>
        </w:trPr>
        <w:tc>
          <w:tcPr>
            <w:tcW w:w="4536" w:type="dxa"/>
          </w:tcPr>
          <w:p w14:paraId="0D70AD23" w14:textId="77777777" w:rsidR="002665E5" w:rsidRPr="00613427" w:rsidRDefault="002665E5" w:rsidP="00B40E38">
            <w:pPr>
              <w:pStyle w:val="Signed"/>
            </w:pPr>
            <w:r w:rsidRPr="00613427">
              <w:rPr>
                <w:rStyle w:val="SignedBold"/>
              </w:rPr>
              <w:t>Signed</w:t>
            </w:r>
            <w:r w:rsidRPr="00613427">
              <w:t xml:space="preserve"> for and on behalf of the</w:t>
            </w:r>
            <w:r w:rsidRPr="00613427">
              <w:br/>
              <w:t>State of Queensland by</w:t>
            </w:r>
          </w:p>
          <w:p w14:paraId="36AEDADA" w14:textId="77777777" w:rsidR="002665E5" w:rsidRPr="00613427" w:rsidRDefault="002665E5" w:rsidP="00B40E38">
            <w:pPr>
              <w:pStyle w:val="LineForSignature"/>
            </w:pPr>
            <w:r w:rsidRPr="00613427">
              <w:tab/>
            </w:r>
          </w:p>
          <w:p w14:paraId="6D0EAD71" w14:textId="77777777" w:rsidR="002665E5" w:rsidRPr="00613427" w:rsidRDefault="002665E5" w:rsidP="00B40E38">
            <w:pPr>
              <w:pStyle w:val="SingleParagraph"/>
              <w:rPr>
                <w:b/>
              </w:rPr>
            </w:pPr>
            <w:r w:rsidRPr="00613427">
              <w:rPr>
                <w:b/>
              </w:rPr>
              <w:t xml:space="preserve">The Honourable </w:t>
            </w:r>
            <w:proofErr w:type="spellStart"/>
            <w:r w:rsidR="004A5DF7" w:rsidRPr="00613427">
              <w:rPr>
                <w:b/>
              </w:rPr>
              <w:t>Annastacia</w:t>
            </w:r>
            <w:proofErr w:type="spellEnd"/>
            <w:r w:rsidR="004A5DF7" w:rsidRPr="00613427">
              <w:rPr>
                <w:b/>
              </w:rPr>
              <w:t xml:space="preserve"> Palaszczuk </w:t>
            </w:r>
            <w:r w:rsidRPr="00613427">
              <w:rPr>
                <w:b/>
              </w:rPr>
              <w:t xml:space="preserve"> MP</w:t>
            </w:r>
          </w:p>
          <w:p w14:paraId="6720B67E" w14:textId="77777777" w:rsidR="002665E5" w:rsidRPr="00613427" w:rsidRDefault="002665E5" w:rsidP="00B40E38">
            <w:pPr>
              <w:pStyle w:val="Position"/>
              <w:rPr>
                <w:rFonts w:ascii="Book Antiqua" w:hAnsi="Book Antiqua"/>
                <w:bCs w:val="0"/>
                <w:lang w:val="en-GB"/>
              </w:rPr>
            </w:pPr>
            <w:r w:rsidRPr="00613427">
              <w:rPr>
                <w:bCs w:val="0"/>
                <w:lang w:val="en-GB"/>
              </w:rPr>
              <w:t xml:space="preserve">Premier of the State of </w:t>
            </w:r>
            <w:r w:rsidRPr="00613427">
              <w:rPr>
                <w:lang w:val="en-GB"/>
              </w:rPr>
              <w:t>Queensland</w:t>
            </w:r>
          </w:p>
          <w:p w14:paraId="6D05F5EF" w14:textId="77777777" w:rsidR="002665E5" w:rsidRPr="00613427" w:rsidRDefault="002665E5" w:rsidP="00B40E38">
            <w:pPr>
              <w:pStyle w:val="SingleParagraph"/>
              <w:tabs>
                <w:tab w:val="num" w:pos="1134"/>
              </w:tabs>
              <w:spacing w:after="240"/>
              <w:ind w:left="1134" w:hanging="567"/>
              <w:rPr>
                <w:lang w:val="en-GB"/>
              </w:rPr>
            </w:pPr>
            <w:r w:rsidRPr="00613427">
              <w:rPr>
                <w:lang w:val="en-GB"/>
              </w:rPr>
              <w:t>[Day]  [Month]  [Year]</w:t>
            </w:r>
          </w:p>
        </w:tc>
        <w:tc>
          <w:tcPr>
            <w:tcW w:w="284" w:type="dxa"/>
            <w:tcMar>
              <w:left w:w="0" w:type="dxa"/>
              <w:right w:w="0" w:type="dxa"/>
            </w:tcMar>
          </w:tcPr>
          <w:p w14:paraId="18B8BCD3" w14:textId="77777777" w:rsidR="002665E5" w:rsidRPr="00613427" w:rsidRDefault="002665E5" w:rsidP="00B40E38">
            <w:pPr>
              <w:rPr>
                <w:rFonts w:ascii="Book Antiqua" w:hAnsi="Book Antiqua"/>
                <w:lang w:val="en-GB"/>
              </w:rPr>
            </w:pPr>
          </w:p>
        </w:tc>
        <w:tc>
          <w:tcPr>
            <w:tcW w:w="4536" w:type="dxa"/>
          </w:tcPr>
          <w:p w14:paraId="0230ACD1" w14:textId="77777777" w:rsidR="002665E5" w:rsidRPr="00613427" w:rsidRDefault="002665E5" w:rsidP="00B40E38">
            <w:pPr>
              <w:pStyle w:val="Signed"/>
            </w:pPr>
            <w:r w:rsidRPr="00613427">
              <w:rPr>
                <w:rStyle w:val="SignedBold"/>
              </w:rPr>
              <w:t>Signed</w:t>
            </w:r>
            <w:r w:rsidRPr="00613427">
              <w:t xml:space="preserve"> for and on behalf of the</w:t>
            </w:r>
            <w:r w:rsidRPr="00613427">
              <w:br/>
              <w:t>State of Western Australia by</w:t>
            </w:r>
          </w:p>
          <w:p w14:paraId="20629051" w14:textId="77777777" w:rsidR="002665E5" w:rsidRPr="00613427" w:rsidRDefault="002665E5" w:rsidP="00B40E38">
            <w:pPr>
              <w:pStyle w:val="LineForSignature"/>
            </w:pPr>
            <w:r w:rsidRPr="00613427">
              <w:tab/>
            </w:r>
          </w:p>
          <w:p w14:paraId="0047245C" w14:textId="77777777" w:rsidR="002665E5" w:rsidRPr="00613427" w:rsidRDefault="002665E5" w:rsidP="00B40E38">
            <w:pPr>
              <w:pStyle w:val="SingleParagraph"/>
              <w:rPr>
                <w:rStyle w:val="Bold"/>
              </w:rPr>
            </w:pPr>
            <w:r w:rsidRPr="00613427">
              <w:rPr>
                <w:rStyle w:val="Bold"/>
              </w:rPr>
              <w:t xml:space="preserve">The Honourable </w:t>
            </w:r>
            <w:r w:rsidR="0034186E" w:rsidRPr="00613427">
              <w:rPr>
                <w:rStyle w:val="Bold"/>
              </w:rPr>
              <w:t>Mark McGowan</w:t>
            </w:r>
            <w:r w:rsidRPr="00613427">
              <w:rPr>
                <w:rStyle w:val="Bold"/>
              </w:rPr>
              <w:t xml:space="preserve"> MLA</w:t>
            </w:r>
          </w:p>
          <w:p w14:paraId="444A98FD" w14:textId="77777777" w:rsidR="002665E5" w:rsidRPr="00613427" w:rsidRDefault="002665E5" w:rsidP="00B40E38">
            <w:pPr>
              <w:pStyle w:val="Position"/>
              <w:rPr>
                <w:rFonts w:ascii="Book Antiqua" w:hAnsi="Book Antiqua"/>
                <w:bCs w:val="0"/>
                <w:lang w:val="en-GB"/>
              </w:rPr>
            </w:pPr>
            <w:r w:rsidRPr="00613427">
              <w:rPr>
                <w:lang w:val="en-GB"/>
              </w:rPr>
              <w:t>Premier</w:t>
            </w:r>
            <w:r w:rsidRPr="00613427">
              <w:rPr>
                <w:bCs w:val="0"/>
                <w:lang w:val="en-GB"/>
              </w:rPr>
              <w:t xml:space="preserve"> of the State of </w:t>
            </w:r>
            <w:r w:rsidRPr="00613427">
              <w:rPr>
                <w:bCs w:val="0"/>
                <w:spacing w:val="-4"/>
                <w:lang w:val="en-GB"/>
              </w:rPr>
              <w:t>Western Australia</w:t>
            </w:r>
          </w:p>
          <w:p w14:paraId="7CDC0B42" w14:textId="77777777" w:rsidR="002665E5" w:rsidRPr="00613427" w:rsidRDefault="002665E5" w:rsidP="00B40E38">
            <w:pPr>
              <w:pStyle w:val="SingleParagraph"/>
              <w:tabs>
                <w:tab w:val="num" w:pos="1134"/>
              </w:tabs>
              <w:spacing w:after="240"/>
              <w:ind w:left="1134" w:hanging="567"/>
              <w:rPr>
                <w:lang w:val="en-GB"/>
              </w:rPr>
            </w:pPr>
            <w:r w:rsidRPr="00613427">
              <w:rPr>
                <w:lang w:val="en-GB"/>
              </w:rPr>
              <w:t>[Day]  [Month]  [Year]</w:t>
            </w:r>
          </w:p>
        </w:tc>
      </w:tr>
      <w:tr w:rsidR="002665E5" w:rsidRPr="00613427" w14:paraId="6502F670" w14:textId="77777777" w:rsidTr="00B40E38">
        <w:trPr>
          <w:cantSplit/>
          <w:jc w:val="center"/>
        </w:trPr>
        <w:tc>
          <w:tcPr>
            <w:tcW w:w="4536" w:type="dxa"/>
          </w:tcPr>
          <w:p w14:paraId="08C17D3D" w14:textId="77777777" w:rsidR="002665E5" w:rsidRPr="00613427" w:rsidRDefault="002665E5" w:rsidP="00B40E38">
            <w:pPr>
              <w:pStyle w:val="SingleParagraph"/>
              <w:rPr>
                <w:rFonts w:ascii="Book Antiqua" w:hAnsi="Book Antiqua"/>
                <w:lang w:val="en-GB"/>
              </w:rPr>
            </w:pPr>
          </w:p>
        </w:tc>
        <w:tc>
          <w:tcPr>
            <w:tcW w:w="284" w:type="dxa"/>
            <w:tcMar>
              <w:left w:w="0" w:type="dxa"/>
              <w:right w:w="0" w:type="dxa"/>
            </w:tcMar>
          </w:tcPr>
          <w:p w14:paraId="01EE4B34" w14:textId="77777777" w:rsidR="002665E5" w:rsidRPr="00613427" w:rsidRDefault="002665E5" w:rsidP="00B40E38">
            <w:pPr>
              <w:pStyle w:val="SingleParagraph"/>
              <w:rPr>
                <w:rFonts w:ascii="Book Antiqua" w:hAnsi="Book Antiqua"/>
                <w:lang w:val="en-GB"/>
              </w:rPr>
            </w:pPr>
          </w:p>
        </w:tc>
        <w:tc>
          <w:tcPr>
            <w:tcW w:w="4536" w:type="dxa"/>
          </w:tcPr>
          <w:p w14:paraId="2DC7CCA7" w14:textId="77777777" w:rsidR="002665E5" w:rsidRPr="00613427" w:rsidRDefault="002665E5" w:rsidP="00B40E38">
            <w:pPr>
              <w:pStyle w:val="SingleParagraph"/>
              <w:rPr>
                <w:rFonts w:ascii="Book Antiqua" w:hAnsi="Book Antiqua"/>
                <w:lang w:val="en-GB"/>
              </w:rPr>
            </w:pPr>
          </w:p>
        </w:tc>
      </w:tr>
      <w:tr w:rsidR="002665E5" w:rsidRPr="00613427" w14:paraId="5B68A285" w14:textId="77777777" w:rsidTr="00B40E38">
        <w:trPr>
          <w:cantSplit/>
          <w:trHeight w:val="143"/>
          <w:jc w:val="center"/>
        </w:trPr>
        <w:tc>
          <w:tcPr>
            <w:tcW w:w="4536" w:type="dxa"/>
          </w:tcPr>
          <w:p w14:paraId="3DB51A61" w14:textId="77777777" w:rsidR="002665E5" w:rsidRPr="00613427" w:rsidRDefault="002665E5" w:rsidP="00B40E38">
            <w:pPr>
              <w:pStyle w:val="Signed"/>
            </w:pPr>
            <w:r w:rsidRPr="00613427">
              <w:rPr>
                <w:rStyle w:val="SignedBold"/>
              </w:rPr>
              <w:t>Signed</w:t>
            </w:r>
            <w:r w:rsidRPr="00613427">
              <w:t xml:space="preserve"> for and on behalf of the</w:t>
            </w:r>
            <w:r w:rsidRPr="00613427">
              <w:br/>
              <w:t>State of South Australia by</w:t>
            </w:r>
          </w:p>
          <w:p w14:paraId="67C1C018" w14:textId="77777777" w:rsidR="002665E5" w:rsidRPr="00613427" w:rsidRDefault="002665E5" w:rsidP="00B40E38">
            <w:pPr>
              <w:pStyle w:val="LineForSignature"/>
            </w:pPr>
            <w:r w:rsidRPr="00613427">
              <w:tab/>
            </w:r>
          </w:p>
          <w:p w14:paraId="0EF35627" w14:textId="77777777" w:rsidR="002665E5" w:rsidRPr="00613427" w:rsidRDefault="002665E5" w:rsidP="00B40E38">
            <w:pPr>
              <w:pStyle w:val="SingleParagraph"/>
              <w:rPr>
                <w:rStyle w:val="Bold"/>
              </w:rPr>
            </w:pPr>
            <w:r w:rsidRPr="00613427">
              <w:rPr>
                <w:rStyle w:val="Bold"/>
              </w:rPr>
              <w:t xml:space="preserve">The Honourable </w:t>
            </w:r>
            <w:r w:rsidR="008E659A" w:rsidRPr="00613427">
              <w:rPr>
                <w:rStyle w:val="Bold"/>
              </w:rPr>
              <w:t xml:space="preserve">Steven Marshall </w:t>
            </w:r>
            <w:r w:rsidRPr="00613427">
              <w:rPr>
                <w:rStyle w:val="Bold"/>
              </w:rPr>
              <w:t>MP</w:t>
            </w:r>
          </w:p>
          <w:p w14:paraId="283CCC31" w14:textId="77777777" w:rsidR="002665E5" w:rsidRPr="00613427" w:rsidRDefault="002665E5" w:rsidP="00B40E38">
            <w:pPr>
              <w:pStyle w:val="Position"/>
              <w:rPr>
                <w:rFonts w:ascii="Book Antiqua" w:hAnsi="Book Antiqua"/>
                <w:bCs w:val="0"/>
                <w:lang w:val="en-GB"/>
              </w:rPr>
            </w:pPr>
            <w:r w:rsidRPr="00613427">
              <w:rPr>
                <w:bCs w:val="0"/>
                <w:lang w:val="en-GB"/>
              </w:rPr>
              <w:t xml:space="preserve">Premier of the State of </w:t>
            </w:r>
            <w:r w:rsidRPr="00613427">
              <w:rPr>
                <w:lang w:val="en-GB"/>
              </w:rPr>
              <w:t>South</w:t>
            </w:r>
            <w:r w:rsidRPr="00613427">
              <w:rPr>
                <w:bCs w:val="0"/>
                <w:lang w:val="en-GB"/>
              </w:rPr>
              <w:t xml:space="preserve"> Australia</w:t>
            </w:r>
          </w:p>
          <w:p w14:paraId="3F724C37" w14:textId="77777777" w:rsidR="002665E5" w:rsidRPr="00613427" w:rsidRDefault="002665E5" w:rsidP="00B40E38">
            <w:pPr>
              <w:pStyle w:val="SingleParagraph"/>
              <w:tabs>
                <w:tab w:val="num" w:pos="1134"/>
              </w:tabs>
              <w:spacing w:after="240"/>
              <w:ind w:left="1134" w:hanging="567"/>
              <w:rPr>
                <w:lang w:val="en-GB"/>
              </w:rPr>
            </w:pPr>
            <w:r w:rsidRPr="00613427">
              <w:rPr>
                <w:lang w:val="en-GB"/>
              </w:rPr>
              <w:t>[Day]  [Month]  [Year]</w:t>
            </w:r>
          </w:p>
        </w:tc>
        <w:tc>
          <w:tcPr>
            <w:tcW w:w="284" w:type="dxa"/>
            <w:tcMar>
              <w:left w:w="0" w:type="dxa"/>
              <w:right w:w="0" w:type="dxa"/>
            </w:tcMar>
          </w:tcPr>
          <w:p w14:paraId="1EE2C0B6" w14:textId="77777777" w:rsidR="002665E5" w:rsidRPr="00613427" w:rsidRDefault="002665E5" w:rsidP="00B40E38">
            <w:pPr>
              <w:rPr>
                <w:rFonts w:ascii="Book Antiqua" w:hAnsi="Book Antiqua"/>
                <w:lang w:val="en-GB"/>
              </w:rPr>
            </w:pPr>
          </w:p>
        </w:tc>
        <w:tc>
          <w:tcPr>
            <w:tcW w:w="4536" w:type="dxa"/>
          </w:tcPr>
          <w:p w14:paraId="7C07BAB7" w14:textId="77777777" w:rsidR="002665E5" w:rsidRPr="00613427" w:rsidRDefault="002665E5" w:rsidP="00B40E38">
            <w:pPr>
              <w:pStyle w:val="Signed"/>
            </w:pPr>
            <w:r w:rsidRPr="00613427">
              <w:rPr>
                <w:rStyle w:val="SignedBold"/>
              </w:rPr>
              <w:t>Signed</w:t>
            </w:r>
            <w:r w:rsidRPr="00613427">
              <w:t xml:space="preserve"> for and on behalf of the</w:t>
            </w:r>
            <w:r w:rsidRPr="00613427">
              <w:br/>
              <w:t>State of Tasmania by</w:t>
            </w:r>
          </w:p>
          <w:p w14:paraId="4F92EBF3" w14:textId="77777777" w:rsidR="002665E5" w:rsidRPr="00613427" w:rsidRDefault="002665E5" w:rsidP="00B40E38">
            <w:pPr>
              <w:pStyle w:val="LineForSignature"/>
            </w:pPr>
            <w:r w:rsidRPr="00613427">
              <w:tab/>
            </w:r>
          </w:p>
          <w:p w14:paraId="5272B1A7" w14:textId="77777777" w:rsidR="002665E5" w:rsidRPr="00613427" w:rsidRDefault="002665E5" w:rsidP="00B40E38">
            <w:pPr>
              <w:pStyle w:val="SingleParagraph"/>
              <w:rPr>
                <w:rStyle w:val="Bold"/>
              </w:rPr>
            </w:pPr>
            <w:r w:rsidRPr="00613427">
              <w:rPr>
                <w:rStyle w:val="Bold"/>
              </w:rPr>
              <w:t xml:space="preserve">The Honourable </w:t>
            </w:r>
            <w:r w:rsidR="00FE4A16" w:rsidRPr="00613427">
              <w:rPr>
                <w:rStyle w:val="Bold"/>
              </w:rPr>
              <w:t xml:space="preserve">Will </w:t>
            </w:r>
            <w:proofErr w:type="spellStart"/>
            <w:r w:rsidR="00FE4A16" w:rsidRPr="00613427">
              <w:rPr>
                <w:rStyle w:val="Bold"/>
              </w:rPr>
              <w:t>Hodgman</w:t>
            </w:r>
            <w:proofErr w:type="spellEnd"/>
            <w:r w:rsidRPr="00613427">
              <w:rPr>
                <w:rStyle w:val="Bold"/>
              </w:rPr>
              <w:t xml:space="preserve"> MP</w:t>
            </w:r>
          </w:p>
          <w:p w14:paraId="15162E7C" w14:textId="77777777" w:rsidR="002665E5" w:rsidRPr="00613427" w:rsidRDefault="002665E5" w:rsidP="00B40E38">
            <w:pPr>
              <w:pStyle w:val="Position"/>
              <w:rPr>
                <w:rFonts w:ascii="Book Antiqua" w:hAnsi="Book Antiqua"/>
                <w:bCs w:val="0"/>
                <w:lang w:val="en-GB"/>
              </w:rPr>
            </w:pPr>
            <w:r w:rsidRPr="00613427">
              <w:rPr>
                <w:bCs w:val="0"/>
                <w:lang w:val="en-GB"/>
              </w:rPr>
              <w:t>Premier of the State of Tasmania</w:t>
            </w:r>
          </w:p>
          <w:p w14:paraId="0F020438" w14:textId="77777777" w:rsidR="002665E5" w:rsidRPr="00613427" w:rsidRDefault="002665E5" w:rsidP="00B40E38">
            <w:pPr>
              <w:pStyle w:val="SingleParagraph"/>
              <w:tabs>
                <w:tab w:val="num" w:pos="1134"/>
              </w:tabs>
              <w:spacing w:after="240"/>
              <w:ind w:left="1134" w:hanging="567"/>
              <w:rPr>
                <w:lang w:val="en-GB"/>
              </w:rPr>
            </w:pPr>
            <w:r w:rsidRPr="00613427">
              <w:rPr>
                <w:lang w:val="en-GB"/>
              </w:rPr>
              <w:t>[Day]  [Month]  [Year]</w:t>
            </w:r>
          </w:p>
        </w:tc>
      </w:tr>
      <w:tr w:rsidR="002665E5" w:rsidRPr="00613427" w14:paraId="3C8EDBF3" w14:textId="77777777" w:rsidTr="00B40E38">
        <w:trPr>
          <w:cantSplit/>
          <w:jc w:val="center"/>
        </w:trPr>
        <w:tc>
          <w:tcPr>
            <w:tcW w:w="4536" w:type="dxa"/>
          </w:tcPr>
          <w:p w14:paraId="582FC1C6" w14:textId="77777777" w:rsidR="002665E5" w:rsidRPr="00613427" w:rsidRDefault="002665E5" w:rsidP="00B40E38">
            <w:pPr>
              <w:pStyle w:val="SingleParagraph"/>
              <w:rPr>
                <w:rFonts w:ascii="Book Antiqua" w:hAnsi="Book Antiqua"/>
                <w:lang w:val="en-GB"/>
              </w:rPr>
            </w:pPr>
          </w:p>
        </w:tc>
        <w:tc>
          <w:tcPr>
            <w:tcW w:w="284" w:type="dxa"/>
            <w:tcMar>
              <w:left w:w="0" w:type="dxa"/>
              <w:right w:w="0" w:type="dxa"/>
            </w:tcMar>
          </w:tcPr>
          <w:p w14:paraId="3B29B3A1" w14:textId="77777777" w:rsidR="002665E5" w:rsidRPr="00613427" w:rsidRDefault="002665E5" w:rsidP="00B40E38">
            <w:pPr>
              <w:pStyle w:val="SingleParagraph"/>
              <w:rPr>
                <w:rFonts w:ascii="Book Antiqua" w:hAnsi="Book Antiqua"/>
                <w:lang w:val="en-GB"/>
              </w:rPr>
            </w:pPr>
          </w:p>
        </w:tc>
        <w:tc>
          <w:tcPr>
            <w:tcW w:w="4536" w:type="dxa"/>
          </w:tcPr>
          <w:p w14:paraId="49DCF424" w14:textId="77777777" w:rsidR="002665E5" w:rsidRPr="00613427" w:rsidRDefault="002665E5" w:rsidP="00B40E38">
            <w:pPr>
              <w:pStyle w:val="SingleParagraph"/>
              <w:rPr>
                <w:rFonts w:ascii="Book Antiqua" w:hAnsi="Book Antiqua"/>
                <w:lang w:val="en-GB"/>
              </w:rPr>
            </w:pPr>
          </w:p>
        </w:tc>
      </w:tr>
      <w:tr w:rsidR="002665E5" w:rsidRPr="00A50751" w14:paraId="00AE4926" w14:textId="77777777" w:rsidTr="00B40E38">
        <w:trPr>
          <w:cantSplit/>
          <w:jc w:val="center"/>
        </w:trPr>
        <w:tc>
          <w:tcPr>
            <w:tcW w:w="4536" w:type="dxa"/>
          </w:tcPr>
          <w:p w14:paraId="4F98CF12" w14:textId="77777777" w:rsidR="002665E5" w:rsidRPr="00613427" w:rsidRDefault="002665E5" w:rsidP="00B40E38">
            <w:pPr>
              <w:pStyle w:val="Signed"/>
            </w:pPr>
            <w:r w:rsidRPr="00613427">
              <w:rPr>
                <w:rStyle w:val="SignedBold"/>
              </w:rPr>
              <w:t>Signed</w:t>
            </w:r>
            <w:r w:rsidRPr="00613427">
              <w:rPr>
                <w:i w:val="0"/>
              </w:rPr>
              <w:t xml:space="preserve"> </w:t>
            </w:r>
            <w:r w:rsidRPr="00613427">
              <w:t>for and on behalf of the</w:t>
            </w:r>
            <w:r w:rsidRPr="00613427">
              <w:rPr>
                <w:i w:val="0"/>
              </w:rPr>
              <w:t xml:space="preserve"> </w:t>
            </w:r>
            <w:r w:rsidRPr="00613427">
              <w:t>Australian Capital Territory by</w:t>
            </w:r>
          </w:p>
          <w:p w14:paraId="344CBE8E" w14:textId="77777777" w:rsidR="002665E5" w:rsidRPr="00613427" w:rsidRDefault="002665E5" w:rsidP="00B40E38">
            <w:pPr>
              <w:pStyle w:val="LineForSignature"/>
            </w:pPr>
            <w:r w:rsidRPr="00613427">
              <w:tab/>
            </w:r>
          </w:p>
          <w:p w14:paraId="7F371F54" w14:textId="77777777" w:rsidR="002665E5" w:rsidRPr="00613427" w:rsidRDefault="00A3209E" w:rsidP="00B40E38">
            <w:pPr>
              <w:pStyle w:val="SingleParagraph"/>
              <w:rPr>
                <w:rStyle w:val="Bold"/>
              </w:rPr>
            </w:pPr>
            <w:r w:rsidRPr="00613427">
              <w:rPr>
                <w:rStyle w:val="Bold"/>
              </w:rPr>
              <w:t>Andrew Barr</w:t>
            </w:r>
            <w:r w:rsidR="002665E5" w:rsidRPr="00613427">
              <w:rPr>
                <w:rStyle w:val="Bold"/>
              </w:rPr>
              <w:t xml:space="preserve"> MLA</w:t>
            </w:r>
          </w:p>
          <w:p w14:paraId="00B9E03E" w14:textId="77777777" w:rsidR="002665E5" w:rsidRPr="00613427" w:rsidRDefault="002665E5" w:rsidP="00B40E38">
            <w:pPr>
              <w:pStyle w:val="Position"/>
              <w:rPr>
                <w:rFonts w:ascii="Book Antiqua" w:hAnsi="Book Antiqua"/>
                <w:bCs w:val="0"/>
                <w:lang w:val="en-GB"/>
              </w:rPr>
            </w:pPr>
            <w:r w:rsidRPr="00613427">
              <w:rPr>
                <w:lang w:val="en-GB"/>
              </w:rPr>
              <w:t>Chief Minister of the Australian Capital Territory</w:t>
            </w:r>
          </w:p>
          <w:p w14:paraId="75DC4E43" w14:textId="77777777" w:rsidR="002665E5" w:rsidRPr="00613427" w:rsidRDefault="002665E5" w:rsidP="00B40E38">
            <w:pPr>
              <w:pStyle w:val="SingleParagraph"/>
              <w:tabs>
                <w:tab w:val="num" w:pos="1134"/>
              </w:tabs>
              <w:spacing w:after="240"/>
              <w:ind w:left="1134" w:hanging="567"/>
              <w:rPr>
                <w:szCs w:val="22"/>
                <w:lang w:val="en-GB"/>
              </w:rPr>
            </w:pPr>
            <w:r w:rsidRPr="00613427">
              <w:rPr>
                <w:lang w:val="en-GB"/>
              </w:rPr>
              <w:t>[Day]  [Month]  [Year]</w:t>
            </w:r>
          </w:p>
        </w:tc>
        <w:tc>
          <w:tcPr>
            <w:tcW w:w="284" w:type="dxa"/>
            <w:tcMar>
              <w:left w:w="0" w:type="dxa"/>
              <w:right w:w="0" w:type="dxa"/>
            </w:tcMar>
          </w:tcPr>
          <w:p w14:paraId="1FB352D5" w14:textId="77777777" w:rsidR="002665E5" w:rsidRPr="00613427" w:rsidRDefault="002665E5" w:rsidP="00B40E38">
            <w:pPr>
              <w:rPr>
                <w:rFonts w:ascii="Book Antiqua" w:hAnsi="Book Antiqua"/>
                <w:lang w:val="en-GB"/>
              </w:rPr>
            </w:pPr>
          </w:p>
        </w:tc>
        <w:tc>
          <w:tcPr>
            <w:tcW w:w="4536" w:type="dxa"/>
          </w:tcPr>
          <w:p w14:paraId="3D7D8960" w14:textId="77777777" w:rsidR="002665E5" w:rsidRPr="00613427" w:rsidRDefault="002665E5" w:rsidP="00B40E38">
            <w:pPr>
              <w:pStyle w:val="Signed"/>
            </w:pPr>
            <w:r w:rsidRPr="00613427">
              <w:rPr>
                <w:rStyle w:val="SignedBold"/>
              </w:rPr>
              <w:t>Signed</w:t>
            </w:r>
            <w:r w:rsidRPr="00613427">
              <w:rPr>
                <w:i w:val="0"/>
              </w:rPr>
              <w:t xml:space="preserve"> </w:t>
            </w:r>
            <w:r w:rsidRPr="00613427">
              <w:t>for and on behalf of the</w:t>
            </w:r>
            <w:r w:rsidRPr="00613427">
              <w:rPr>
                <w:i w:val="0"/>
              </w:rPr>
              <w:t xml:space="preserve"> </w:t>
            </w:r>
            <w:r w:rsidRPr="00613427">
              <w:t>Northern Territory by</w:t>
            </w:r>
          </w:p>
          <w:p w14:paraId="140BF31B" w14:textId="77777777" w:rsidR="002665E5" w:rsidRPr="00613427" w:rsidRDefault="002665E5" w:rsidP="00B40E38">
            <w:pPr>
              <w:pStyle w:val="LineForSignature"/>
            </w:pPr>
            <w:r w:rsidRPr="00613427">
              <w:tab/>
            </w:r>
          </w:p>
          <w:p w14:paraId="297A145F" w14:textId="77777777" w:rsidR="002665E5" w:rsidRPr="00613427" w:rsidRDefault="005C2111" w:rsidP="005C2111">
            <w:pPr>
              <w:pStyle w:val="SingleParagraph"/>
              <w:rPr>
                <w:rStyle w:val="Bold"/>
              </w:rPr>
            </w:pPr>
            <w:r w:rsidRPr="00613427">
              <w:rPr>
                <w:rStyle w:val="Bold"/>
              </w:rPr>
              <w:t xml:space="preserve">The Honourable </w:t>
            </w:r>
            <w:r w:rsidR="0034186E" w:rsidRPr="00613427">
              <w:rPr>
                <w:rStyle w:val="Bold"/>
              </w:rPr>
              <w:t>Michael Gunner</w:t>
            </w:r>
            <w:r w:rsidR="002665E5" w:rsidRPr="00613427">
              <w:rPr>
                <w:rStyle w:val="Bold"/>
              </w:rPr>
              <w:t xml:space="preserve"> MLA</w:t>
            </w:r>
          </w:p>
          <w:p w14:paraId="4B6C57E1" w14:textId="77777777" w:rsidR="002665E5" w:rsidRPr="00613427" w:rsidRDefault="002665E5" w:rsidP="00B40E38">
            <w:pPr>
              <w:pStyle w:val="Position"/>
              <w:rPr>
                <w:rFonts w:ascii="Book Antiqua" w:hAnsi="Book Antiqua"/>
                <w:bCs w:val="0"/>
                <w:lang w:val="en-GB"/>
              </w:rPr>
            </w:pPr>
            <w:r w:rsidRPr="00613427">
              <w:rPr>
                <w:bCs w:val="0"/>
                <w:lang w:val="en-GB"/>
              </w:rPr>
              <w:t xml:space="preserve">Chief </w:t>
            </w:r>
            <w:r w:rsidRPr="00613427">
              <w:rPr>
                <w:lang w:val="en-GB"/>
              </w:rPr>
              <w:t>Minister</w:t>
            </w:r>
            <w:r w:rsidRPr="00613427">
              <w:rPr>
                <w:bCs w:val="0"/>
                <w:lang w:val="en-GB"/>
              </w:rPr>
              <w:t xml:space="preserve"> of the Northern Territory of Australia</w:t>
            </w:r>
          </w:p>
          <w:p w14:paraId="167424A3" w14:textId="77777777" w:rsidR="002665E5" w:rsidRPr="00A50751" w:rsidRDefault="002665E5" w:rsidP="00B40E38">
            <w:pPr>
              <w:pStyle w:val="SingleParagraph"/>
              <w:tabs>
                <w:tab w:val="num" w:pos="1134"/>
              </w:tabs>
              <w:spacing w:after="240"/>
              <w:ind w:left="1134" w:hanging="567"/>
              <w:rPr>
                <w:lang w:val="en-GB"/>
              </w:rPr>
            </w:pPr>
            <w:r w:rsidRPr="00613427">
              <w:rPr>
                <w:lang w:val="en-GB"/>
              </w:rPr>
              <w:t>[Day]  [Month]  [Year]</w:t>
            </w:r>
          </w:p>
        </w:tc>
      </w:tr>
    </w:tbl>
    <w:p w14:paraId="3938F8AB" w14:textId="77777777" w:rsidR="008843EE" w:rsidRPr="00621E62" w:rsidRDefault="008843EE" w:rsidP="002C1C63">
      <w:pPr>
        <w:pStyle w:val="Heading9"/>
        <w:numPr>
          <w:ilvl w:val="0"/>
          <w:numId w:val="0"/>
        </w:numPr>
        <w:jc w:val="both"/>
      </w:pPr>
    </w:p>
    <w:sectPr w:rsidR="008843EE" w:rsidRPr="00621E62" w:rsidSect="0019427A">
      <w:footerReference w:type="even" r:id="rId15"/>
      <w:footerReference w:type="default" r:id="rId16"/>
      <w:footerReference w:type="first" r:id="rId17"/>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4B3B" w14:textId="77777777" w:rsidR="005C3800" w:rsidRDefault="005C3800">
      <w:r>
        <w:separator/>
      </w:r>
    </w:p>
  </w:endnote>
  <w:endnote w:type="continuationSeparator" w:id="0">
    <w:p w14:paraId="7A532E58" w14:textId="77777777" w:rsidR="005C3800" w:rsidRDefault="005C3800">
      <w:r>
        <w:continuationSeparator/>
      </w:r>
    </w:p>
  </w:endnote>
  <w:endnote w:type="continuationNotice" w:id="1">
    <w:p w14:paraId="1A10995C" w14:textId="77777777" w:rsidR="005C3800" w:rsidRDefault="005C3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3F70" w14:textId="77777777" w:rsidR="0040002F" w:rsidRDefault="0040002F">
    <w:pPr>
      <w:pStyle w:val="FooterEven"/>
    </w:pPr>
    <w:r>
      <w:t>Page D-2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10064"/>
      <w:docPartObj>
        <w:docPartGallery w:val="Page Numbers (Bottom of Page)"/>
        <w:docPartUnique/>
      </w:docPartObj>
    </w:sdtPr>
    <w:sdtEndPr>
      <w:rPr>
        <w:noProof/>
      </w:rPr>
    </w:sdtEndPr>
    <w:sdtContent>
      <w:p w14:paraId="243CC32A" w14:textId="756E184F" w:rsidR="0040002F" w:rsidRDefault="0040002F">
        <w:pPr>
          <w:pStyle w:val="Footer"/>
          <w:jc w:val="right"/>
        </w:pPr>
        <w:r>
          <w:fldChar w:fldCharType="begin"/>
        </w:r>
        <w:r>
          <w:instrText xml:space="preserve"> PAGE   \* MERGEFORMAT </w:instrText>
        </w:r>
        <w:r>
          <w:fldChar w:fldCharType="separate"/>
        </w:r>
        <w:r w:rsidR="004C6E4F">
          <w:rPr>
            <w:noProof/>
          </w:rPr>
          <w:t>2</w:t>
        </w:r>
        <w:r>
          <w:rPr>
            <w:noProof/>
          </w:rPr>
          <w:fldChar w:fldCharType="end"/>
        </w:r>
      </w:p>
    </w:sdtContent>
  </w:sdt>
  <w:p w14:paraId="4A17EF95" w14:textId="77777777" w:rsidR="0040002F" w:rsidRPr="0019427A" w:rsidRDefault="0040002F" w:rsidP="00194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AF7C" w14:textId="36443B8E" w:rsidR="0040002F" w:rsidRDefault="0040002F">
    <w:pPr>
      <w:pStyle w:val="Footer"/>
      <w:jc w:val="right"/>
    </w:pPr>
  </w:p>
  <w:p w14:paraId="09FB0EC7" w14:textId="77777777" w:rsidR="0040002F" w:rsidRPr="0019427A" w:rsidRDefault="0040002F" w:rsidP="0019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884FF" w14:textId="77777777" w:rsidR="005C3800" w:rsidRDefault="005C3800">
      <w:r>
        <w:separator/>
      </w:r>
    </w:p>
  </w:footnote>
  <w:footnote w:type="continuationSeparator" w:id="0">
    <w:p w14:paraId="5F9E0226" w14:textId="77777777" w:rsidR="005C3800" w:rsidRDefault="005C3800">
      <w:r>
        <w:continuationSeparator/>
      </w:r>
    </w:p>
  </w:footnote>
  <w:footnote w:type="continuationNotice" w:id="1">
    <w:p w14:paraId="6D57D6B8" w14:textId="77777777" w:rsidR="005C3800" w:rsidRDefault="005C3800">
      <w:pPr>
        <w:spacing w:after="0" w:line="240" w:lineRule="auto"/>
      </w:pPr>
    </w:p>
  </w:footnote>
  <w:footnote w:id="2">
    <w:p w14:paraId="7288CED1" w14:textId="77777777" w:rsidR="0040002F" w:rsidRDefault="0040002F" w:rsidP="00655D30">
      <w:pPr>
        <w:pStyle w:val="FootnoteText"/>
      </w:pPr>
      <w:r>
        <w:rPr>
          <w:rStyle w:val="FootnoteReference"/>
        </w:rPr>
        <w:footnoteRef/>
      </w:r>
      <w:r>
        <w:t xml:space="preserve"> </w:t>
      </w:r>
      <w:r w:rsidRPr="007E7708">
        <w:t>The Commonwealth’s estimated contribution is based on 2018-19 Budget estimates</w:t>
      </w:r>
      <w:r>
        <w:t>.</w:t>
      </w:r>
    </w:p>
  </w:footnote>
  <w:footnote w:id="3">
    <w:p w14:paraId="05731EC4" w14:textId="77777777" w:rsidR="0040002F" w:rsidRDefault="0040002F" w:rsidP="0088249B">
      <w:pPr>
        <w:pStyle w:val="FootnoteText"/>
      </w:pPr>
      <w:r>
        <w:rPr>
          <w:rStyle w:val="FootnoteReference"/>
        </w:rPr>
        <w:footnoteRef/>
      </w:r>
      <w:r>
        <w:t xml:space="preserve"> </w:t>
      </w:r>
      <w:r w:rsidRPr="00AE6D17">
        <w:t>The Commonwealth’s estimated contribution is based on 2018-19 Budget estimates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94E"/>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487D8B"/>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7560F8"/>
    <w:multiLevelType w:val="hybridMultilevel"/>
    <w:tmpl w:val="999ECFFA"/>
    <w:lvl w:ilvl="0" w:tplc="925C42EE">
      <w:start w:val="4"/>
      <w:numFmt w:val="lowerLetter"/>
      <w:lvlText w:val="(%1)"/>
      <w:lvlJc w:val="left"/>
      <w:pPr>
        <w:tabs>
          <w:tab w:val="num" w:pos="1440"/>
        </w:tabs>
        <w:ind w:left="1440" w:hanging="360"/>
      </w:pPr>
      <w:rPr>
        <w:rFonts w:ascii="Corbel" w:hAnsi="Corbel"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nsid w:val="1583078F"/>
    <w:multiLevelType w:val="hybridMultilevel"/>
    <w:tmpl w:val="9A38EF3E"/>
    <w:lvl w:ilvl="0" w:tplc="A0B4AF9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nsid w:val="1A684877"/>
    <w:multiLevelType w:val="hybridMultilevel"/>
    <w:tmpl w:val="5C488A36"/>
    <w:lvl w:ilvl="0" w:tplc="F6281816">
      <w:start w:val="1"/>
      <w:numFmt w:val="lowerLetter"/>
      <w:lvlText w:val="(%1)"/>
      <w:lvlJc w:val="left"/>
      <w:pPr>
        <w:ind w:left="1080" w:hanging="360"/>
      </w:pPr>
      <w:rPr>
        <w:rFonts w:ascii="Corbel" w:hAnsi="Corbel" w:hint="default"/>
        <w:sz w:val="23"/>
        <w:szCs w:val="23"/>
      </w:rPr>
    </w:lvl>
    <w:lvl w:ilvl="1" w:tplc="1E3C28E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11">
    <w:nsid w:val="200D50FB"/>
    <w:multiLevelType w:val="hybridMultilevel"/>
    <w:tmpl w:val="B2FE29CC"/>
    <w:lvl w:ilvl="0" w:tplc="1E3C28E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0ED5A77"/>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4">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71C2988"/>
    <w:multiLevelType w:val="hybridMultilevel"/>
    <w:tmpl w:val="F2A8C408"/>
    <w:lvl w:ilvl="0" w:tplc="75861BD8">
      <w:start w:val="1"/>
      <w:numFmt w:val="decimal"/>
      <w:lvlText w:val="%1."/>
      <w:lvlJc w:val="left"/>
      <w:pPr>
        <w:tabs>
          <w:tab w:val="num" w:pos="567"/>
        </w:tabs>
        <w:ind w:left="567" w:hanging="567"/>
      </w:pPr>
      <w:rPr>
        <w:rFonts w:ascii="Corbel" w:hAnsi="Corbel" w:cs="Times New Roman" w:hint="default"/>
        <w:b w:val="0"/>
        <w:sz w:val="23"/>
        <w:szCs w:val="23"/>
      </w:rPr>
    </w:lvl>
    <w:lvl w:ilvl="1" w:tplc="F6281816">
      <w:start w:val="1"/>
      <w:numFmt w:val="lowerLetter"/>
      <w:lvlText w:val="(%2)"/>
      <w:lvlJc w:val="left"/>
      <w:pPr>
        <w:tabs>
          <w:tab w:val="num" w:pos="1440"/>
        </w:tabs>
        <w:ind w:left="1440" w:hanging="360"/>
      </w:pPr>
      <w:rPr>
        <w:rFonts w:ascii="Corbel" w:hAnsi="Corbel" w:hint="default"/>
        <w:sz w:val="23"/>
        <w:szCs w:val="23"/>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16">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9">
    <w:nsid w:val="2AED0712"/>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D47426A"/>
    <w:multiLevelType w:val="hybridMultilevel"/>
    <w:tmpl w:val="4ABC9CFE"/>
    <w:lvl w:ilvl="0" w:tplc="0C09001B">
      <w:start w:val="1"/>
      <w:numFmt w:val="lowerRoman"/>
      <w:lvlText w:val="%1."/>
      <w:lvlJc w:val="right"/>
      <w:pPr>
        <w:tabs>
          <w:tab w:val="num" w:pos="1440"/>
        </w:tabs>
        <w:ind w:left="1440" w:hanging="360"/>
      </w:pPr>
      <w:rPr>
        <w:rFonts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607E43"/>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23">
    <w:nsid w:val="385D042F"/>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5">
    <w:nsid w:val="44AF4247"/>
    <w:multiLevelType w:val="hybridMultilevel"/>
    <w:tmpl w:val="D1A06380"/>
    <w:lvl w:ilvl="0" w:tplc="F6281816">
      <w:start w:val="1"/>
      <w:numFmt w:val="lowerLetter"/>
      <w:lvlText w:val="(%1)"/>
      <w:lvlJc w:val="left"/>
      <w:pPr>
        <w:ind w:left="1080" w:hanging="360"/>
      </w:pPr>
      <w:rPr>
        <w:rFonts w:ascii="Corbel" w:hAnsi="Corbel" w:hint="default"/>
        <w:sz w:val="23"/>
        <w:szCs w:val="23"/>
      </w:rPr>
    </w:lvl>
    <w:lvl w:ilvl="1" w:tplc="0C09001B">
      <w:start w:val="1"/>
      <w:numFmt w:val="lowerRoman"/>
      <w:lvlText w:val="%2."/>
      <w:lvlJc w:val="right"/>
      <w:pPr>
        <w:ind w:left="1800" w:hanging="360"/>
      </w:pPr>
      <w:rPr>
        <w:rFonts w:hint="default"/>
      </w:rPr>
    </w:lvl>
    <w:lvl w:ilvl="2" w:tplc="B0ECBCA6">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7">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8">
    <w:nsid w:val="4D4B0B02"/>
    <w:multiLevelType w:val="hybridMultilevel"/>
    <w:tmpl w:val="13608E5A"/>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nsid w:val="4F897FE8"/>
    <w:multiLevelType w:val="hybridMultilevel"/>
    <w:tmpl w:val="8E9A10DC"/>
    <w:lvl w:ilvl="0" w:tplc="75861BD8">
      <w:start w:val="1"/>
      <w:numFmt w:val="decimal"/>
      <w:lvlText w:val="%1."/>
      <w:lvlJc w:val="left"/>
      <w:pPr>
        <w:tabs>
          <w:tab w:val="num" w:pos="567"/>
        </w:tabs>
        <w:ind w:left="567" w:hanging="567"/>
      </w:pPr>
      <w:rPr>
        <w:rFonts w:ascii="Corbel" w:hAnsi="Corbel" w:cs="Times New Roman" w:hint="default"/>
        <w:b w:val="0"/>
        <w:sz w:val="23"/>
        <w:szCs w:val="23"/>
      </w:rPr>
    </w:lvl>
    <w:lvl w:ilvl="1" w:tplc="F6281816">
      <w:start w:val="1"/>
      <w:numFmt w:val="lowerLetter"/>
      <w:lvlText w:val="(%2)"/>
      <w:lvlJc w:val="left"/>
      <w:pPr>
        <w:tabs>
          <w:tab w:val="num" w:pos="1440"/>
        </w:tabs>
        <w:ind w:left="1440" w:hanging="360"/>
      </w:pPr>
      <w:rPr>
        <w:rFonts w:ascii="Corbel" w:hAnsi="Corbel" w:hint="default"/>
        <w:sz w:val="23"/>
        <w:szCs w:val="23"/>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3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31">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3">
    <w:nsid w:val="60206576"/>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A4F1B7B"/>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D662AE8"/>
    <w:multiLevelType w:val="hybridMultilevel"/>
    <w:tmpl w:val="80723914"/>
    <w:lvl w:ilvl="0" w:tplc="1E8090BA">
      <w:start w:val="9"/>
      <w:numFmt w:val="lowerLetter"/>
      <w:lvlText w:val="(%1)"/>
      <w:lvlJc w:val="left"/>
      <w:pPr>
        <w:tabs>
          <w:tab w:val="num" w:pos="1440"/>
        </w:tabs>
        <w:ind w:left="1440" w:hanging="360"/>
      </w:pPr>
      <w:rPr>
        <w:rFonts w:ascii="Corbel" w:hAnsi="Corbel"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7">
    <w:nsid w:val="72FE3B06"/>
    <w:multiLevelType w:val="hybridMultilevel"/>
    <w:tmpl w:val="286656D8"/>
    <w:lvl w:ilvl="0" w:tplc="F6281816">
      <w:start w:val="1"/>
      <w:numFmt w:val="lowerLetter"/>
      <w:lvlText w:val="(%1)"/>
      <w:lvlJc w:val="left"/>
      <w:pPr>
        <w:tabs>
          <w:tab w:val="num" w:pos="1440"/>
        </w:tabs>
        <w:ind w:left="1440" w:hanging="360"/>
      </w:pPr>
      <w:rPr>
        <w:rFonts w:ascii="Corbel" w:hAnsi="Corbel"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412A75"/>
    <w:multiLevelType w:val="hybridMultilevel"/>
    <w:tmpl w:val="6144CC30"/>
    <w:lvl w:ilvl="0" w:tplc="F6281816">
      <w:start w:val="1"/>
      <w:numFmt w:val="lowerLetter"/>
      <w:lvlText w:val="(%1)"/>
      <w:lvlJc w:val="left"/>
      <w:pPr>
        <w:ind w:left="1080" w:hanging="360"/>
      </w:pPr>
      <w:rPr>
        <w:rFonts w:ascii="Corbel" w:hAnsi="Corbel" w:hint="default"/>
        <w:sz w:val="23"/>
        <w:szCs w:val="23"/>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40">
    <w:nsid w:val="78051710"/>
    <w:multiLevelType w:val="hybridMultilevel"/>
    <w:tmpl w:val="286656D8"/>
    <w:lvl w:ilvl="0" w:tplc="F6281816">
      <w:start w:val="1"/>
      <w:numFmt w:val="lowerLetter"/>
      <w:lvlText w:val="(%1)"/>
      <w:lvlJc w:val="left"/>
      <w:pPr>
        <w:tabs>
          <w:tab w:val="num" w:pos="1440"/>
        </w:tabs>
        <w:ind w:left="1440" w:hanging="360"/>
      </w:pPr>
      <w:rPr>
        <w:rFonts w:ascii="Corbel" w:hAnsi="Corbel"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854AAC"/>
    <w:multiLevelType w:val="hybridMultilevel"/>
    <w:tmpl w:val="98CC4810"/>
    <w:lvl w:ilvl="0" w:tplc="75861BD8">
      <w:start w:val="1"/>
      <w:numFmt w:val="decimal"/>
      <w:lvlText w:val="%1."/>
      <w:lvlJc w:val="left"/>
      <w:pPr>
        <w:tabs>
          <w:tab w:val="num" w:pos="567"/>
        </w:tabs>
        <w:ind w:left="567" w:hanging="567"/>
      </w:pPr>
      <w:rPr>
        <w:rFonts w:ascii="Corbel" w:hAnsi="Corbel" w:cs="Times New Roman" w:hint="default"/>
        <w:b w:val="0"/>
        <w:sz w:val="23"/>
        <w:szCs w:val="23"/>
      </w:rPr>
    </w:lvl>
    <w:lvl w:ilvl="1" w:tplc="5A7C9C54">
      <w:start w:val="1"/>
      <w:numFmt w:val="lowerRoman"/>
      <w:lvlText w:val="%2."/>
      <w:lvlJc w:val="right"/>
      <w:pPr>
        <w:tabs>
          <w:tab w:val="num" w:pos="1440"/>
        </w:tabs>
        <w:ind w:left="1440" w:hanging="360"/>
      </w:pPr>
      <w:rPr>
        <w:rFonts w:cs="Times New Roman" w:hint="default"/>
        <w:sz w:val="23"/>
        <w:szCs w:val="23"/>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42">
    <w:nsid w:val="7E317A29"/>
    <w:multiLevelType w:val="hybridMultilevel"/>
    <w:tmpl w:val="95A8F830"/>
    <w:lvl w:ilvl="0" w:tplc="25DE1416">
      <w:start w:val="1"/>
      <w:numFmt w:val="lowerLetter"/>
      <w:lvlText w:val="(%1)"/>
      <w:lvlJc w:val="left"/>
      <w:pPr>
        <w:ind w:left="1080" w:hanging="360"/>
      </w:pPr>
      <w:rPr>
        <w:rFonts w:ascii="Corbel" w:hAnsi="Corbel"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5B354C"/>
    <w:multiLevelType w:val="hybridMultilevel"/>
    <w:tmpl w:val="CC6E2F80"/>
    <w:lvl w:ilvl="0" w:tplc="5A7C9C54">
      <w:start w:val="1"/>
      <w:numFmt w:val="lowerRoman"/>
      <w:lvlText w:val="%1."/>
      <w:lvlJc w:val="right"/>
      <w:pPr>
        <w:ind w:left="1440" w:hanging="360"/>
      </w:pPr>
      <w:rPr>
        <w:rFonts w:cs="Times New Roman" w:hint="default"/>
        <w:sz w:val="23"/>
        <w:szCs w:val="23"/>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4"/>
  </w:num>
  <w:num w:numId="2">
    <w:abstractNumId w:val="27"/>
  </w:num>
  <w:num w:numId="3">
    <w:abstractNumId w:val="31"/>
  </w:num>
  <w:num w:numId="4">
    <w:abstractNumId w:val="7"/>
  </w:num>
  <w:num w:numId="5">
    <w:abstractNumId w:val="32"/>
  </w:num>
  <w:num w:numId="6">
    <w:abstractNumId w:val="16"/>
  </w:num>
  <w:num w:numId="7">
    <w:abstractNumId w:val="22"/>
  </w:num>
  <w:num w:numId="8">
    <w:abstractNumId w:val="9"/>
  </w:num>
  <w:num w:numId="9">
    <w:abstractNumId w:val="17"/>
  </w:num>
  <w:num w:numId="10">
    <w:abstractNumId w:val="41"/>
  </w:num>
  <w:num w:numId="11">
    <w:abstractNumId w:val="4"/>
  </w:num>
  <w:num w:numId="12">
    <w:abstractNumId w:val="30"/>
  </w:num>
  <w:num w:numId="13">
    <w:abstractNumId w:val="36"/>
  </w:num>
  <w:num w:numId="14">
    <w:abstractNumId w:val="26"/>
  </w:num>
  <w:num w:numId="15">
    <w:abstractNumId w:val="39"/>
  </w:num>
  <w:num w:numId="16">
    <w:abstractNumId w:val="13"/>
  </w:num>
  <w:num w:numId="17">
    <w:abstractNumId w:val="18"/>
  </w:num>
  <w:num w:numId="18">
    <w:abstractNumId w:val="11"/>
  </w:num>
  <w:num w:numId="19">
    <w:abstractNumId w:val="34"/>
  </w:num>
  <w:num w:numId="20">
    <w:abstractNumId w:val="25"/>
  </w:num>
  <w:num w:numId="21">
    <w:abstractNumId w:val="1"/>
  </w:num>
  <w:num w:numId="22">
    <w:abstractNumId w:val="21"/>
  </w:num>
  <w:num w:numId="23">
    <w:abstractNumId w:val="6"/>
  </w:num>
  <w:num w:numId="24">
    <w:abstractNumId w:val="29"/>
  </w:num>
  <w:num w:numId="25">
    <w:abstractNumId w:val="2"/>
  </w:num>
  <w:num w:numId="26">
    <w:abstractNumId w:val="35"/>
  </w:num>
  <w:num w:numId="27">
    <w:abstractNumId w:val="15"/>
  </w:num>
  <w:num w:numId="28">
    <w:abstractNumId w:val="37"/>
  </w:num>
  <w:num w:numId="29">
    <w:abstractNumId w:val="40"/>
  </w:num>
  <w:num w:numId="30">
    <w:abstractNumId w:val="20"/>
  </w:num>
  <w:num w:numId="31">
    <w:abstractNumId w:val="23"/>
  </w:num>
  <w:num w:numId="32">
    <w:abstractNumId w:val="0"/>
  </w:num>
  <w:num w:numId="33">
    <w:abstractNumId w:val="38"/>
  </w:num>
  <w:num w:numId="34">
    <w:abstractNumId w:val="12"/>
  </w:num>
  <w:num w:numId="35">
    <w:abstractNumId w:val="33"/>
  </w:num>
  <w:num w:numId="36">
    <w:abstractNumId w:val="42"/>
  </w:num>
  <w:num w:numId="37">
    <w:abstractNumId w:val="43"/>
  </w:num>
  <w:num w:numId="38">
    <w:abstractNumId w:val="22"/>
  </w:num>
  <w:num w:numId="39">
    <w:abstractNumId w:val="22"/>
  </w:num>
  <w:num w:numId="40">
    <w:abstractNumId w:val="19"/>
  </w:num>
  <w:num w:numId="41">
    <w:abstractNumId w:val="22"/>
  </w:num>
  <w:num w:numId="42">
    <w:abstractNumId w:val="22"/>
  </w:num>
  <w:num w:numId="43">
    <w:abstractNumId w:val="22"/>
  </w:num>
  <w:num w:numId="44">
    <w:abstractNumId w:val="8"/>
  </w:num>
  <w:num w:numId="45">
    <w:abstractNumId w:val="22"/>
  </w:num>
  <w:num w:numId="46">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05FB"/>
    <w:rsid w:val="0000070F"/>
    <w:rsid w:val="00000A01"/>
    <w:rsid w:val="00005A5D"/>
    <w:rsid w:val="000064E1"/>
    <w:rsid w:val="000076D9"/>
    <w:rsid w:val="000101A5"/>
    <w:rsid w:val="000102E2"/>
    <w:rsid w:val="00010B7C"/>
    <w:rsid w:val="00012B03"/>
    <w:rsid w:val="00012EF4"/>
    <w:rsid w:val="00013D4E"/>
    <w:rsid w:val="00017E7B"/>
    <w:rsid w:val="0002079B"/>
    <w:rsid w:val="00021708"/>
    <w:rsid w:val="00022361"/>
    <w:rsid w:val="00023745"/>
    <w:rsid w:val="00025539"/>
    <w:rsid w:val="0003074A"/>
    <w:rsid w:val="00030EE5"/>
    <w:rsid w:val="000311D9"/>
    <w:rsid w:val="0003272D"/>
    <w:rsid w:val="00032B72"/>
    <w:rsid w:val="00034540"/>
    <w:rsid w:val="00034E8E"/>
    <w:rsid w:val="00035F3D"/>
    <w:rsid w:val="000373D8"/>
    <w:rsid w:val="0004048C"/>
    <w:rsid w:val="00040D98"/>
    <w:rsid w:val="000415C3"/>
    <w:rsid w:val="000447B9"/>
    <w:rsid w:val="00045F32"/>
    <w:rsid w:val="00047EFF"/>
    <w:rsid w:val="00047F6E"/>
    <w:rsid w:val="00051895"/>
    <w:rsid w:val="00053685"/>
    <w:rsid w:val="00053907"/>
    <w:rsid w:val="0006140E"/>
    <w:rsid w:val="00062C1C"/>
    <w:rsid w:val="0006451A"/>
    <w:rsid w:val="00065EE6"/>
    <w:rsid w:val="000664A8"/>
    <w:rsid w:val="0007004C"/>
    <w:rsid w:val="0007028A"/>
    <w:rsid w:val="000717A5"/>
    <w:rsid w:val="000724F6"/>
    <w:rsid w:val="00073A8D"/>
    <w:rsid w:val="000740C8"/>
    <w:rsid w:val="00074399"/>
    <w:rsid w:val="00074611"/>
    <w:rsid w:val="000768EA"/>
    <w:rsid w:val="00077F4D"/>
    <w:rsid w:val="000808E0"/>
    <w:rsid w:val="00080983"/>
    <w:rsid w:val="00080A31"/>
    <w:rsid w:val="00085966"/>
    <w:rsid w:val="000869CA"/>
    <w:rsid w:val="00086B9F"/>
    <w:rsid w:val="00091DF8"/>
    <w:rsid w:val="00093DD8"/>
    <w:rsid w:val="000951BC"/>
    <w:rsid w:val="00095560"/>
    <w:rsid w:val="000976A7"/>
    <w:rsid w:val="000A05AC"/>
    <w:rsid w:val="000A082C"/>
    <w:rsid w:val="000A0C9E"/>
    <w:rsid w:val="000A1229"/>
    <w:rsid w:val="000A2431"/>
    <w:rsid w:val="000A2C32"/>
    <w:rsid w:val="000A3E7E"/>
    <w:rsid w:val="000A5191"/>
    <w:rsid w:val="000A5250"/>
    <w:rsid w:val="000A539E"/>
    <w:rsid w:val="000A59E5"/>
    <w:rsid w:val="000A5AB0"/>
    <w:rsid w:val="000A72D2"/>
    <w:rsid w:val="000A7553"/>
    <w:rsid w:val="000B2F7B"/>
    <w:rsid w:val="000B3B21"/>
    <w:rsid w:val="000B3B2D"/>
    <w:rsid w:val="000B4285"/>
    <w:rsid w:val="000B4550"/>
    <w:rsid w:val="000B4D91"/>
    <w:rsid w:val="000B509C"/>
    <w:rsid w:val="000B5AA9"/>
    <w:rsid w:val="000B7DF5"/>
    <w:rsid w:val="000C13BB"/>
    <w:rsid w:val="000C1FE5"/>
    <w:rsid w:val="000C3BBA"/>
    <w:rsid w:val="000C714F"/>
    <w:rsid w:val="000C7F8B"/>
    <w:rsid w:val="000D19D8"/>
    <w:rsid w:val="000D1C37"/>
    <w:rsid w:val="000D2CA1"/>
    <w:rsid w:val="000D36D3"/>
    <w:rsid w:val="000D3CD9"/>
    <w:rsid w:val="000D4377"/>
    <w:rsid w:val="000D441F"/>
    <w:rsid w:val="000D5654"/>
    <w:rsid w:val="000D7911"/>
    <w:rsid w:val="000E0898"/>
    <w:rsid w:val="000E19C0"/>
    <w:rsid w:val="000E3C70"/>
    <w:rsid w:val="000E48C3"/>
    <w:rsid w:val="000E49F0"/>
    <w:rsid w:val="000E6F56"/>
    <w:rsid w:val="000F03FD"/>
    <w:rsid w:val="000F041A"/>
    <w:rsid w:val="000F0880"/>
    <w:rsid w:val="000F20E4"/>
    <w:rsid w:val="000F26C7"/>
    <w:rsid w:val="000F3508"/>
    <w:rsid w:val="000F630F"/>
    <w:rsid w:val="000F6CF6"/>
    <w:rsid w:val="00100A1A"/>
    <w:rsid w:val="00101714"/>
    <w:rsid w:val="00102B26"/>
    <w:rsid w:val="00103FD6"/>
    <w:rsid w:val="001049DA"/>
    <w:rsid w:val="001051A9"/>
    <w:rsid w:val="0010573C"/>
    <w:rsid w:val="00106333"/>
    <w:rsid w:val="001065EE"/>
    <w:rsid w:val="00107915"/>
    <w:rsid w:val="00107D31"/>
    <w:rsid w:val="001102AA"/>
    <w:rsid w:val="00110B42"/>
    <w:rsid w:val="00110F5D"/>
    <w:rsid w:val="00112617"/>
    <w:rsid w:val="00112657"/>
    <w:rsid w:val="00113ADB"/>
    <w:rsid w:val="00113BBC"/>
    <w:rsid w:val="00114694"/>
    <w:rsid w:val="00114AA5"/>
    <w:rsid w:val="001165C0"/>
    <w:rsid w:val="00116D32"/>
    <w:rsid w:val="0011755C"/>
    <w:rsid w:val="0012178B"/>
    <w:rsid w:val="00122A0E"/>
    <w:rsid w:val="00122DBA"/>
    <w:rsid w:val="001231A1"/>
    <w:rsid w:val="00123A73"/>
    <w:rsid w:val="0012401C"/>
    <w:rsid w:val="001254F7"/>
    <w:rsid w:val="001256FD"/>
    <w:rsid w:val="0012641D"/>
    <w:rsid w:val="00126E1E"/>
    <w:rsid w:val="001307E9"/>
    <w:rsid w:val="00131404"/>
    <w:rsid w:val="0013156A"/>
    <w:rsid w:val="00131587"/>
    <w:rsid w:val="0013226C"/>
    <w:rsid w:val="00132587"/>
    <w:rsid w:val="001337AA"/>
    <w:rsid w:val="001354D9"/>
    <w:rsid w:val="0013646D"/>
    <w:rsid w:val="00137AFF"/>
    <w:rsid w:val="001404A9"/>
    <w:rsid w:val="00140F43"/>
    <w:rsid w:val="00141912"/>
    <w:rsid w:val="0014368A"/>
    <w:rsid w:val="00143DCA"/>
    <w:rsid w:val="001449D6"/>
    <w:rsid w:val="00145D5C"/>
    <w:rsid w:val="0014711E"/>
    <w:rsid w:val="0015050E"/>
    <w:rsid w:val="0015073F"/>
    <w:rsid w:val="00150CEF"/>
    <w:rsid w:val="00151340"/>
    <w:rsid w:val="00152C15"/>
    <w:rsid w:val="00153B9D"/>
    <w:rsid w:val="00153DE8"/>
    <w:rsid w:val="00154BD1"/>
    <w:rsid w:val="00160506"/>
    <w:rsid w:val="0016087B"/>
    <w:rsid w:val="00160C5F"/>
    <w:rsid w:val="00161BF8"/>
    <w:rsid w:val="00162AE5"/>
    <w:rsid w:val="00162E9B"/>
    <w:rsid w:val="00163C3F"/>
    <w:rsid w:val="00165F94"/>
    <w:rsid w:val="00166312"/>
    <w:rsid w:val="00166581"/>
    <w:rsid w:val="00166BAE"/>
    <w:rsid w:val="00167BB8"/>
    <w:rsid w:val="0017093A"/>
    <w:rsid w:val="0017185C"/>
    <w:rsid w:val="00171CAD"/>
    <w:rsid w:val="00173010"/>
    <w:rsid w:val="00173B2C"/>
    <w:rsid w:val="00173F81"/>
    <w:rsid w:val="00174945"/>
    <w:rsid w:val="00174C2A"/>
    <w:rsid w:val="00175720"/>
    <w:rsid w:val="00175FB9"/>
    <w:rsid w:val="001775DC"/>
    <w:rsid w:val="00177798"/>
    <w:rsid w:val="00177FC5"/>
    <w:rsid w:val="0018042C"/>
    <w:rsid w:val="001804EC"/>
    <w:rsid w:val="00180E44"/>
    <w:rsid w:val="00181240"/>
    <w:rsid w:val="00183EAB"/>
    <w:rsid w:val="00183F47"/>
    <w:rsid w:val="0018483B"/>
    <w:rsid w:val="00185CC1"/>
    <w:rsid w:val="00187B0E"/>
    <w:rsid w:val="00187BEB"/>
    <w:rsid w:val="00190B4F"/>
    <w:rsid w:val="00191CFE"/>
    <w:rsid w:val="00192D4C"/>
    <w:rsid w:val="001931E8"/>
    <w:rsid w:val="001941F3"/>
    <w:rsid w:val="00194232"/>
    <w:rsid w:val="0019427A"/>
    <w:rsid w:val="0019494F"/>
    <w:rsid w:val="001968F3"/>
    <w:rsid w:val="001975A0"/>
    <w:rsid w:val="0019788A"/>
    <w:rsid w:val="00197F71"/>
    <w:rsid w:val="001A0FD0"/>
    <w:rsid w:val="001A1422"/>
    <w:rsid w:val="001A3527"/>
    <w:rsid w:val="001A3A9A"/>
    <w:rsid w:val="001A4093"/>
    <w:rsid w:val="001A5569"/>
    <w:rsid w:val="001A57D2"/>
    <w:rsid w:val="001A668D"/>
    <w:rsid w:val="001A7A15"/>
    <w:rsid w:val="001B19A0"/>
    <w:rsid w:val="001B1CA3"/>
    <w:rsid w:val="001B25E6"/>
    <w:rsid w:val="001B2603"/>
    <w:rsid w:val="001B5F92"/>
    <w:rsid w:val="001B6F5E"/>
    <w:rsid w:val="001B6F83"/>
    <w:rsid w:val="001B7933"/>
    <w:rsid w:val="001B7AE5"/>
    <w:rsid w:val="001C0F95"/>
    <w:rsid w:val="001C25ED"/>
    <w:rsid w:val="001C346E"/>
    <w:rsid w:val="001C3717"/>
    <w:rsid w:val="001C525F"/>
    <w:rsid w:val="001C5CC5"/>
    <w:rsid w:val="001C5EE9"/>
    <w:rsid w:val="001D230F"/>
    <w:rsid w:val="001D3663"/>
    <w:rsid w:val="001D3684"/>
    <w:rsid w:val="001D46C6"/>
    <w:rsid w:val="001D4852"/>
    <w:rsid w:val="001D5C19"/>
    <w:rsid w:val="001D6C45"/>
    <w:rsid w:val="001E20EC"/>
    <w:rsid w:val="001E2591"/>
    <w:rsid w:val="001E35BF"/>
    <w:rsid w:val="001E4055"/>
    <w:rsid w:val="001E7173"/>
    <w:rsid w:val="001E74D0"/>
    <w:rsid w:val="001F127C"/>
    <w:rsid w:val="001F1D2C"/>
    <w:rsid w:val="001F1E0B"/>
    <w:rsid w:val="001F2B0C"/>
    <w:rsid w:val="001F4549"/>
    <w:rsid w:val="001F56D9"/>
    <w:rsid w:val="001F6F39"/>
    <w:rsid w:val="001F6FE8"/>
    <w:rsid w:val="00202DEB"/>
    <w:rsid w:val="00203681"/>
    <w:rsid w:val="00203BD2"/>
    <w:rsid w:val="00205E18"/>
    <w:rsid w:val="00206668"/>
    <w:rsid w:val="002077C7"/>
    <w:rsid w:val="00207F3F"/>
    <w:rsid w:val="002106A6"/>
    <w:rsid w:val="00215A35"/>
    <w:rsid w:val="0022013E"/>
    <w:rsid w:val="002204CF"/>
    <w:rsid w:val="00221308"/>
    <w:rsid w:val="0022141E"/>
    <w:rsid w:val="00222C97"/>
    <w:rsid w:val="00226D19"/>
    <w:rsid w:val="0022729E"/>
    <w:rsid w:val="00230862"/>
    <w:rsid w:val="0023212B"/>
    <w:rsid w:val="002323B9"/>
    <w:rsid w:val="00240716"/>
    <w:rsid w:val="00243871"/>
    <w:rsid w:val="00245F8D"/>
    <w:rsid w:val="002461BF"/>
    <w:rsid w:val="00247D45"/>
    <w:rsid w:val="002518F9"/>
    <w:rsid w:val="00251E46"/>
    <w:rsid w:val="00253719"/>
    <w:rsid w:val="00254106"/>
    <w:rsid w:val="00254AF8"/>
    <w:rsid w:val="00255834"/>
    <w:rsid w:val="00255E8B"/>
    <w:rsid w:val="002561CF"/>
    <w:rsid w:val="00257C6F"/>
    <w:rsid w:val="00257D3B"/>
    <w:rsid w:val="00262E18"/>
    <w:rsid w:val="0026455E"/>
    <w:rsid w:val="00264B4E"/>
    <w:rsid w:val="002665E5"/>
    <w:rsid w:val="0027078E"/>
    <w:rsid w:val="00272C83"/>
    <w:rsid w:val="00274DA1"/>
    <w:rsid w:val="00276EF4"/>
    <w:rsid w:val="002774E4"/>
    <w:rsid w:val="00277646"/>
    <w:rsid w:val="00280BAA"/>
    <w:rsid w:val="002811FF"/>
    <w:rsid w:val="00282C25"/>
    <w:rsid w:val="002830AB"/>
    <w:rsid w:val="00283812"/>
    <w:rsid w:val="00283C73"/>
    <w:rsid w:val="002847F2"/>
    <w:rsid w:val="00285003"/>
    <w:rsid w:val="002856EA"/>
    <w:rsid w:val="00285D2A"/>
    <w:rsid w:val="00286F55"/>
    <w:rsid w:val="00287DCC"/>
    <w:rsid w:val="00291CF1"/>
    <w:rsid w:val="002938BC"/>
    <w:rsid w:val="00293974"/>
    <w:rsid w:val="00295A38"/>
    <w:rsid w:val="002A143D"/>
    <w:rsid w:val="002A1FD8"/>
    <w:rsid w:val="002A31AF"/>
    <w:rsid w:val="002A493A"/>
    <w:rsid w:val="002A49B0"/>
    <w:rsid w:val="002A4A2D"/>
    <w:rsid w:val="002A4B0C"/>
    <w:rsid w:val="002A530A"/>
    <w:rsid w:val="002A69B0"/>
    <w:rsid w:val="002B2B3F"/>
    <w:rsid w:val="002B2D3D"/>
    <w:rsid w:val="002B73DE"/>
    <w:rsid w:val="002B7922"/>
    <w:rsid w:val="002B7B26"/>
    <w:rsid w:val="002B7E1B"/>
    <w:rsid w:val="002C04DA"/>
    <w:rsid w:val="002C08DC"/>
    <w:rsid w:val="002C1692"/>
    <w:rsid w:val="002C1C63"/>
    <w:rsid w:val="002C2529"/>
    <w:rsid w:val="002C40D6"/>
    <w:rsid w:val="002C4242"/>
    <w:rsid w:val="002C6212"/>
    <w:rsid w:val="002C62B3"/>
    <w:rsid w:val="002C6E08"/>
    <w:rsid w:val="002C7620"/>
    <w:rsid w:val="002D0EF4"/>
    <w:rsid w:val="002D1A33"/>
    <w:rsid w:val="002D1A59"/>
    <w:rsid w:val="002D1D66"/>
    <w:rsid w:val="002D2D27"/>
    <w:rsid w:val="002D3B47"/>
    <w:rsid w:val="002D3C88"/>
    <w:rsid w:val="002D4B6F"/>
    <w:rsid w:val="002D4EDF"/>
    <w:rsid w:val="002D4FC8"/>
    <w:rsid w:val="002D6163"/>
    <w:rsid w:val="002D61DD"/>
    <w:rsid w:val="002D7115"/>
    <w:rsid w:val="002D7CF9"/>
    <w:rsid w:val="002E2593"/>
    <w:rsid w:val="002E289C"/>
    <w:rsid w:val="002E2B50"/>
    <w:rsid w:val="002E3008"/>
    <w:rsid w:val="002E3501"/>
    <w:rsid w:val="002E430A"/>
    <w:rsid w:val="002E4B66"/>
    <w:rsid w:val="002E56E0"/>
    <w:rsid w:val="002F0100"/>
    <w:rsid w:val="002F0916"/>
    <w:rsid w:val="002F3DBC"/>
    <w:rsid w:val="002F4769"/>
    <w:rsid w:val="002F4CE2"/>
    <w:rsid w:val="002F576E"/>
    <w:rsid w:val="002F5C6C"/>
    <w:rsid w:val="002F6707"/>
    <w:rsid w:val="002F7CCE"/>
    <w:rsid w:val="002F7E40"/>
    <w:rsid w:val="00300753"/>
    <w:rsid w:val="003012DA"/>
    <w:rsid w:val="00301864"/>
    <w:rsid w:val="00301A73"/>
    <w:rsid w:val="00303804"/>
    <w:rsid w:val="00304DD7"/>
    <w:rsid w:val="003056FE"/>
    <w:rsid w:val="00305AC2"/>
    <w:rsid w:val="00305EE7"/>
    <w:rsid w:val="00306FB4"/>
    <w:rsid w:val="00307C5C"/>
    <w:rsid w:val="0031014D"/>
    <w:rsid w:val="003105F2"/>
    <w:rsid w:val="00313378"/>
    <w:rsid w:val="003133D4"/>
    <w:rsid w:val="00313480"/>
    <w:rsid w:val="00313E0F"/>
    <w:rsid w:val="003155BD"/>
    <w:rsid w:val="00315E33"/>
    <w:rsid w:val="003179DC"/>
    <w:rsid w:val="0032082B"/>
    <w:rsid w:val="00321E0A"/>
    <w:rsid w:val="00321FEE"/>
    <w:rsid w:val="00325F86"/>
    <w:rsid w:val="0032622F"/>
    <w:rsid w:val="00326883"/>
    <w:rsid w:val="00327E9A"/>
    <w:rsid w:val="00331553"/>
    <w:rsid w:val="00332E5D"/>
    <w:rsid w:val="00333506"/>
    <w:rsid w:val="00333EE4"/>
    <w:rsid w:val="00335E2C"/>
    <w:rsid w:val="00336371"/>
    <w:rsid w:val="00336F12"/>
    <w:rsid w:val="00337C78"/>
    <w:rsid w:val="003410AA"/>
    <w:rsid w:val="0034186E"/>
    <w:rsid w:val="003429DF"/>
    <w:rsid w:val="003433E8"/>
    <w:rsid w:val="00345E5F"/>
    <w:rsid w:val="00347565"/>
    <w:rsid w:val="003517EC"/>
    <w:rsid w:val="00351D36"/>
    <w:rsid w:val="00352A6B"/>
    <w:rsid w:val="00352EC1"/>
    <w:rsid w:val="00353304"/>
    <w:rsid w:val="00353DED"/>
    <w:rsid w:val="00355411"/>
    <w:rsid w:val="00361391"/>
    <w:rsid w:val="00362341"/>
    <w:rsid w:val="00363DE0"/>
    <w:rsid w:val="00364CF3"/>
    <w:rsid w:val="00365A66"/>
    <w:rsid w:val="00367EAB"/>
    <w:rsid w:val="0037181A"/>
    <w:rsid w:val="00371A4E"/>
    <w:rsid w:val="00372573"/>
    <w:rsid w:val="00377AB2"/>
    <w:rsid w:val="00380800"/>
    <w:rsid w:val="00380F18"/>
    <w:rsid w:val="003814B3"/>
    <w:rsid w:val="003855C7"/>
    <w:rsid w:val="003855CF"/>
    <w:rsid w:val="00391D29"/>
    <w:rsid w:val="0039201F"/>
    <w:rsid w:val="0039283B"/>
    <w:rsid w:val="003929D5"/>
    <w:rsid w:val="0039333C"/>
    <w:rsid w:val="003951B6"/>
    <w:rsid w:val="00396EA4"/>
    <w:rsid w:val="003A0B2B"/>
    <w:rsid w:val="003A2119"/>
    <w:rsid w:val="003A22B3"/>
    <w:rsid w:val="003A3363"/>
    <w:rsid w:val="003A3905"/>
    <w:rsid w:val="003A3CC1"/>
    <w:rsid w:val="003A44E5"/>
    <w:rsid w:val="003A62D5"/>
    <w:rsid w:val="003A6635"/>
    <w:rsid w:val="003A6B0E"/>
    <w:rsid w:val="003B073D"/>
    <w:rsid w:val="003B2A9D"/>
    <w:rsid w:val="003B3AA4"/>
    <w:rsid w:val="003B43C9"/>
    <w:rsid w:val="003B4AB5"/>
    <w:rsid w:val="003B5562"/>
    <w:rsid w:val="003B634C"/>
    <w:rsid w:val="003B68DE"/>
    <w:rsid w:val="003B737F"/>
    <w:rsid w:val="003B7C25"/>
    <w:rsid w:val="003C0390"/>
    <w:rsid w:val="003C044E"/>
    <w:rsid w:val="003C179F"/>
    <w:rsid w:val="003C1F47"/>
    <w:rsid w:val="003C2414"/>
    <w:rsid w:val="003C2450"/>
    <w:rsid w:val="003C27AB"/>
    <w:rsid w:val="003C5904"/>
    <w:rsid w:val="003C60DB"/>
    <w:rsid w:val="003D03C0"/>
    <w:rsid w:val="003D1BEF"/>
    <w:rsid w:val="003D1F9E"/>
    <w:rsid w:val="003D205E"/>
    <w:rsid w:val="003D26BA"/>
    <w:rsid w:val="003D345E"/>
    <w:rsid w:val="003D448E"/>
    <w:rsid w:val="003D4512"/>
    <w:rsid w:val="003D5150"/>
    <w:rsid w:val="003E2400"/>
    <w:rsid w:val="003E31BC"/>
    <w:rsid w:val="003E4C0D"/>
    <w:rsid w:val="003E4C17"/>
    <w:rsid w:val="003E5D96"/>
    <w:rsid w:val="003E6BA0"/>
    <w:rsid w:val="003E73DB"/>
    <w:rsid w:val="003E7F07"/>
    <w:rsid w:val="003F59E6"/>
    <w:rsid w:val="003F5EE8"/>
    <w:rsid w:val="003F6E6D"/>
    <w:rsid w:val="003F760B"/>
    <w:rsid w:val="003F79FD"/>
    <w:rsid w:val="0040002F"/>
    <w:rsid w:val="004005FC"/>
    <w:rsid w:val="0040250D"/>
    <w:rsid w:val="004040EB"/>
    <w:rsid w:val="0040426D"/>
    <w:rsid w:val="004043B6"/>
    <w:rsid w:val="00404A4A"/>
    <w:rsid w:val="00410676"/>
    <w:rsid w:val="004120B1"/>
    <w:rsid w:val="004124D3"/>
    <w:rsid w:val="0041421D"/>
    <w:rsid w:val="00414A5C"/>
    <w:rsid w:val="00414CE7"/>
    <w:rsid w:val="004152AB"/>
    <w:rsid w:val="004156B4"/>
    <w:rsid w:val="004164D7"/>
    <w:rsid w:val="0041697F"/>
    <w:rsid w:val="00417A40"/>
    <w:rsid w:val="00421F66"/>
    <w:rsid w:val="004223AA"/>
    <w:rsid w:val="00423104"/>
    <w:rsid w:val="004232A1"/>
    <w:rsid w:val="00424CD9"/>
    <w:rsid w:val="004267D3"/>
    <w:rsid w:val="004302D7"/>
    <w:rsid w:val="00430D0E"/>
    <w:rsid w:val="004312A9"/>
    <w:rsid w:val="00431395"/>
    <w:rsid w:val="00431E23"/>
    <w:rsid w:val="00433656"/>
    <w:rsid w:val="00433C6B"/>
    <w:rsid w:val="00433E65"/>
    <w:rsid w:val="0043477E"/>
    <w:rsid w:val="00434C50"/>
    <w:rsid w:val="004374B2"/>
    <w:rsid w:val="004378E0"/>
    <w:rsid w:val="004403BE"/>
    <w:rsid w:val="00440A90"/>
    <w:rsid w:val="00441859"/>
    <w:rsid w:val="00442AB8"/>
    <w:rsid w:val="004436EA"/>
    <w:rsid w:val="00443CF7"/>
    <w:rsid w:val="004447B2"/>
    <w:rsid w:val="004476A2"/>
    <w:rsid w:val="00447F0A"/>
    <w:rsid w:val="00450B39"/>
    <w:rsid w:val="00450EE5"/>
    <w:rsid w:val="0045345B"/>
    <w:rsid w:val="0045415C"/>
    <w:rsid w:val="00454498"/>
    <w:rsid w:val="0045615E"/>
    <w:rsid w:val="004565EB"/>
    <w:rsid w:val="00456C59"/>
    <w:rsid w:val="004604EE"/>
    <w:rsid w:val="00460F52"/>
    <w:rsid w:val="0046329D"/>
    <w:rsid w:val="0046371B"/>
    <w:rsid w:val="00463F96"/>
    <w:rsid w:val="00466350"/>
    <w:rsid w:val="00466FC6"/>
    <w:rsid w:val="00466FEC"/>
    <w:rsid w:val="00470A57"/>
    <w:rsid w:val="00470CC9"/>
    <w:rsid w:val="00472C5A"/>
    <w:rsid w:val="00474AB1"/>
    <w:rsid w:val="00476809"/>
    <w:rsid w:val="00480A15"/>
    <w:rsid w:val="004829C1"/>
    <w:rsid w:val="0048535D"/>
    <w:rsid w:val="00486BCA"/>
    <w:rsid w:val="00487FE4"/>
    <w:rsid w:val="00490177"/>
    <w:rsid w:val="00490198"/>
    <w:rsid w:val="00490352"/>
    <w:rsid w:val="00490E28"/>
    <w:rsid w:val="00491A9F"/>
    <w:rsid w:val="00491E1B"/>
    <w:rsid w:val="00492634"/>
    <w:rsid w:val="00493D73"/>
    <w:rsid w:val="00494435"/>
    <w:rsid w:val="00494C63"/>
    <w:rsid w:val="00495319"/>
    <w:rsid w:val="0049645A"/>
    <w:rsid w:val="00496930"/>
    <w:rsid w:val="00497362"/>
    <w:rsid w:val="00497E2A"/>
    <w:rsid w:val="004A0AE7"/>
    <w:rsid w:val="004A0C4F"/>
    <w:rsid w:val="004A12A9"/>
    <w:rsid w:val="004A159E"/>
    <w:rsid w:val="004A24B3"/>
    <w:rsid w:val="004A5DF7"/>
    <w:rsid w:val="004A6062"/>
    <w:rsid w:val="004A6D74"/>
    <w:rsid w:val="004A770F"/>
    <w:rsid w:val="004B11F7"/>
    <w:rsid w:val="004B17BC"/>
    <w:rsid w:val="004B1F38"/>
    <w:rsid w:val="004B27C1"/>
    <w:rsid w:val="004B38A9"/>
    <w:rsid w:val="004B5042"/>
    <w:rsid w:val="004C0117"/>
    <w:rsid w:val="004C1697"/>
    <w:rsid w:val="004C1A03"/>
    <w:rsid w:val="004C2C16"/>
    <w:rsid w:val="004C2F82"/>
    <w:rsid w:val="004C4C11"/>
    <w:rsid w:val="004C4FD1"/>
    <w:rsid w:val="004C5EFB"/>
    <w:rsid w:val="004C665A"/>
    <w:rsid w:val="004C6E4F"/>
    <w:rsid w:val="004C7398"/>
    <w:rsid w:val="004D1EC9"/>
    <w:rsid w:val="004D2D3F"/>
    <w:rsid w:val="004D310E"/>
    <w:rsid w:val="004D34C8"/>
    <w:rsid w:val="004D37D8"/>
    <w:rsid w:val="004D4B81"/>
    <w:rsid w:val="004D6D55"/>
    <w:rsid w:val="004D70EB"/>
    <w:rsid w:val="004E12E7"/>
    <w:rsid w:val="004E2861"/>
    <w:rsid w:val="004E2BF1"/>
    <w:rsid w:val="004E3378"/>
    <w:rsid w:val="004E4055"/>
    <w:rsid w:val="004E6528"/>
    <w:rsid w:val="004E66B3"/>
    <w:rsid w:val="004F0471"/>
    <w:rsid w:val="004F1A05"/>
    <w:rsid w:val="004F4442"/>
    <w:rsid w:val="004F6683"/>
    <w:rsid w:val="004F6B2B"/>
    <w:rsid w:val="004F6C9C"/>
    <w:rsid w:val="004F6EE9"/>
    <w:rsid w:val="005005DF"/>
    <w:rsid w:val="0050096C"/>
    <w:rsid w:val="00500B17"/>
    <w:rsid w:val="00502C9C"/>
    <w:rsid w:val="00503643"/>
    <w:rsid w:val="00504D12"/>
    <w:rsid w:val="00505045"/>
    <w:rsid w:val="00511501"/>
    <w:rsid w:val="005137EB"/>
    <w:rsid w:val="00514505"/>
    <w:rsid w:val="00514D32"/>
    <w:rsid w:val="0051602E"/>
    <w:rsid w:val="005161A9"/>
    <w:rsid w:val="0051640E"/>
    <w:rsid w:val="00516741"/>
    <w:rsid w:val="0051697E"/>
    <w:rsid w:val="005175A3"/>
    <w:rsid w:val="005203E5"/>
    <w:rsid w:val="0052054B"/>
    <w:rsid w:val="00520F7A"/>
    <w:rsid w:val="005248BF"/>
    <w:rsid w:val="0052503B"/>
    <w:rsid w:val="00525719"/>
    <w:rsid w:val="00526868"/>
    <w:rsid w:val="00527ABC"/>
    <w:rsid w:val="0053094D"/>
    <w:rsid w:val="0053226C"/>
    <w:rsid w:val="005350F1"/>
    <w:rsid w:val="005402BC"/>
    <w:rsid w:val="00540FA2"/>
    <w:rsid w:val="0054193D"/>
    <w:rsid w:val="005427B7"/>
    <w:rsid w:val="00542D59"/>
    <w:rsid w:val="0054318D"/>
    <w:rsid w:val="00544002"/>
    <w:rsid w:val="005462A5"/>
    <w:rsid w:val="00547750"/>
    <w:rsid w:val="0055023D"/>
    <w:rsid w:val="005513AF"/>
    <w:rsid w:val="00552455"/>
    <w:rsid w:val="0055503F"/>
    <w:rsid w:val="00555D76"/>
    <w:rsid w:val="00556077"/>
    <w:rsid w:val="00560D16"/>
    <w:rsid w:val="00561768"/>
    <w:rsid w:val="00561F3E"/>
    <w:rsid w:val="005624A6"/>
    <w:rsid w:val="005630A4"/>
    <w:rsid w:val="00563320"/>
    <w:rsid w:val="00563A03"/>
    <w:rsid w:val="00566234"/>
    <w:rsid w:val="005666D8"/>
    <w:rsid w:val="00567371"/>
    <w:rsid w:val="00567475"/>
    <w:rsid w:val="00571EB6"/>
    <w:rsid w:val="0057262B"/>
    <w:rsid w:val="0057337C"/>
    <w:rsid w:val="005737A1"/>
    <w:rsid w:val="00577721"/>
    <w:rsid w:val="00581A66"/>
    <w:rsid w:val="0058297B"/>
    <w:rsid w:val="00582A03"/>
    <w:rsid w:val="00582BEF"/>
    <w:rsid w:val="00583BD6"/>
    <w:rsid w:val="00583D82"/>
    <w:rsid w:val="00586584"/>
    <w:rsid w:val="005929BB"/>
    <w:rsid w:val="0059362E"/>
    <w:rsid w:val="00593B6D"/>
    <w:rsid w:val="00594BE3"/>
    <w:rsid w:val="00595FB8"/>
    <w:rsid w:val="005960F9"/>
    <w:rsid w:val="00596328"/>
    <w:rsid w:val="005969EF"/>
    <w:rsid w:val="00596E88"/>
    <w:rsid w:val="00597817"/>
    <w:rsid w:val="005A0969"/>
    <w:rsid w:val="005A09B1"/>
    <w:rsid w:val="005A1859"/>
    <w:rsid w:val="005A468D"/>
    <w:rsid w:val="005A4B86"/>
    <w:rsid w:val="005A5107"/>
    <w:rsid w:val="005A53F6"/>
    <w:rsid w:val="005A7CEB"/>
    <w:rsid w:val="005B1B5F"/>
    <w:rsid w:val="005B218C"/>
    <w:rsid w:val="005B2649"/>
    <w:rsid w:val="005B2D17"/>
    <w:rsid w:val="005B30C5"/>
    <w:rsid w:val="005B344F"/>
    <w:rsid w:val="005B6527"/>
    <w:rsid w:val="005B764F"/>
    <w:rsid w:val="005B7AAE"/>
    <w:rsid w:val="005C038B"/>
    <w:rsid w:val="005C0619"/>
    <w:rsid w:val="005C08C9"/>
    <w:rsid w:val="005C09FD"/>
    <w:rsid w:val="005C0BF4"/>
    <w:rsid w:val="005C1D31"/>
    <w:rsid w:val="005C2111"/>
    <w:rsid w:val="005C2684"/>
    <w:rsid w:val="005C2DDC"/>
    <w:rsid w:val="005C325C"/>
    <w:rsid w:val="005C3800"/>
    <w:rsid w:val="005C4C86"/>
    <w:rsid w:val="005C5620"/>
    <w:rsid w:val="005C5979"/>
    <w:rsid w:val="005C7AFF"/>
    <w:rsid w:val="005D22F7"/>
    <w:rsid w:val="005D3955"/>
    <w:rsid w:val="005D41F9"/>
    <w:rsid w:val="005D4A4E"/>
    <w:rsid w:val="005D7AE9"/>
    <w:rsid w:val="005E1297"/>
    <w:rsid w:val="005E25E0"/>
    <w:rsid w:val="005E29E0"/>
    <w:rsid w:val="005E3694"/>
    <w:rsid w:val="005E439D"/>
    <w:rsid w:val="005E724B"/>
    <w:rsid w:val="005E7683"/>
    <w:rsid w:val="005F59DA"/>
    <w:rsid w:val="005F63DE"/>
    <w:rsid w:val="005F7380"/>
    <w:rsid w:val="005F7CC6"/>
    <w:rsid w:val="00600353"/>
    <w:rsid w:val="006005FE"/>
    <w:rsid w:val="00602CB9"/>
    <w:rsid w:val="00602EF7"/>
    <w:rsid w:val="00604087"/>
    <w:rsid w:val="0060561B"/>
    <w:rsid w:val="00606874"/>
    <w:rsid w:val="00607B03"/>
    <w:rsid w:val="0061059D"/>
    <w:rsid w:val="00610D93"/>
    <w:rsid w:val="00612AD0"/>
    <w:rsid w:val="00612D77"/>
    <w:rsid w:val="00612DAD"/>
    <w:rsid w:val="006132DE"/>
    <w:rsid w:val="00613427"/>
    <w:rsid w:val="00613AB5"/>
    <w:rsid w:val="00614393"/>
    <w:rsid w:val="00614A4D"/>
    <w:rsid w:val="006172E7"/>
    <w:rsid w:val="00621E62"/>
    <w:rsid w:val="0062217C"/>
    <w:rsid w:val="00622557"/>
    <w:rsid w:val="00623256"/>
    <w:rsid w:val="00623567"/>
    <w:rsid w:val="0062369D"/>
    <w:rsid w:val="006242A3"/>
    <w:rsid w:val="00625F2E"/>
    <w:rsid w:val="00626AE5"/>
    <w:rsid w:val="00627B76"/>
    <w:rsid w:val="00630397"/>
    <w:rsid w:val="00630924"/>
    <w:rsid w:val="00634CA5"/>
    <w:rsid w:val="00635138"/>
    <w:rsid w:val="00636FDD"/>
    <w:rsid w:val="00640898"/>
    <w:rsid w:val="00640E82"/>
    <w:rsid w:val="006412B5"/>
    <w:rsid w:val="00641932"/>
    <w:rsid w:val="00643C05"/>
    <w:rsid w:val="0064477C"/>
    <w:rsid w:val="00645BAD"/>
    <w:rsid w:val="00650903"/>
    <w:rsid w:val="00650E08"/>
    <w:rsid w:val="00651441"/>
    <w:rsid w:val="0065229B"/>
    <w:rsid w:val="00655B47"/>
    <w:rsid w:val="00655D30"/>
    <w:rsid w:val="00656704"/>
    <w:rsid w:val="00656743"/>
    <w:rsid w:val="00656C11"/>
    <w:rsid w:val="00661180"/>
    <w:rsid w:val="00662025"/>
    <w:rsid w:val="00664688"/>
    <w:rsid w:val="00664FD6"/>
    <w:rsid w:val="006679C0"/>
    <w:rsid w:val="00667AFB"/>
    <w:rsid w:val="00670E2E"/>
    <w:rsid w:val="00670E5A"/>
    <w:rsid w:val="00671858"/>
    <w:rsid w:val="00673AB2"/>
    <w:rsid w:val="00674F26"/>
    <w:rsid w:val="00676806"/>
    <w:rsid w:val="006804DF"/>
    <w:rsid w:val="006807D3"/>
    <w:rsid w:val="00680ED5"/>
    <w:rsid w:val="0068149E"/>
    <w:rsid w:val="00681608"/>
    <w:rsid w:val="00681956"/>
    <w:rsid w:val="00682893"/>
    <w:rsid w:val="00682E56"/>
    <w:rsid w:val="00682FBA"/>
    <w:rsid w:val="00683370"/>
    <w:rsid w:val="006836AE"/>
    <w:rsid w:val="00684ACF"/>
    <w:rsid w:val="00684E54"/>
    <w:rsid w:val="00687907"/>
    <w:rsid w:val="006911BE"/>
    <w:rsid w:val="0069148C"/>
    <w:rsid w:val="00691C2E"/>
    <w:rsid w:val="00691D15"/>
    <w:rsid w:val="006923C8"/>
    <w:rsid w:val="0069372F"/>
    <w:rsid w:val="006957B8"/>
    <w:rsid w:val="00696AB4"/>
    <w:rsid w:val="006976BF"/>
    <w:rsid w:val="00697D34"/>
    <w:rsid w:val="006A05D7"/>
    <w:rsid w:val="006A0E8B"/>
    <w:rsid w:val="006A309D"/>
    <w:rsid w:val="006A4628"/>
    <w:rsid w:val="006A55F2"/>
    <w:rsid w:val="006A592B"/>
    <w:rsid w:val="006A6CA2"/>
    <w:rsid w:val="006A75F9"/>
    <w:rsid w:val="006B07CD"/>
    <w:rsid w:val="006B15D9"/>
    <w:rsid w:val="006B1C6E"/>
    <w:rsid w:val="006B2D1B"/>
    <w:rsid w:val="006B3544"/>
    <w:rsid w:val="006B3807"/>
    <w:rsid w:val="006B387B"/>
    <w:rsid w:val="006B4213"/>
    <w:rsid w:val="006B4DF0"/>
    <w:rsid w:val="006B573F"/>
    <w:rsid w:val="006B5A90"/>
    <w:rsid w:val="006B6557"/>
    <w:rsid w:val="006B7444"/>
    <w:rsid w:val="006B7D6A"/>
    <w:rsid w:val="006C1013"/>
    <w:rsid w:val="006C18CA"/>
    <w:rsid w:val="006C1DCA"/>
    <w:rsid w:val="006C228B"/>
    <w:rsid w:val="006C286B"/>
    <w:rsid w:val="006C2931"/>
    <w:rsid w:val="006C31C7"/>
    <w:rsid w:val="006C4142"/>
    <w:rsid w:val="006C6660"/>
    <w:rsid w:val="006C79E0"/>
    <w:rsid w:val="006C7ACC"/>
    <w:rsid w:val="006C7FA2"/>
    <w:rsid w:val="006D2A59"/>
    <w:rsid w:val="006D2D33"/>
    <w:rsid w:val="006D4078"/>
    <w:rsid w:val="006D466E"/>
    <w:rsid w:val="006D4A9E"/>
    <w:rsid w:val="006D4B70"/>
    <w:rsid w:val="006D5803"/>
    <w:rsid w:val="006D6848"/>
    <w:rsid w:val="006E0F30"/>
    <w:rsid w:val="006E3B48"/>
    <w:rsid w:val="006E3E81"/>
    <w:rsid w:val="006E45B9"/>
    <w:rsid w:val="006E4668"/>
    <w:rsid w:val="006E53C0"/>
    <w:rsid w:val="006E6184"/>
    <w:rsid w:val="006E64B4"/>
    <w:rsid w:val="006E7AB2"/>
    <w:rsid w:val="006F03AA"/>
    <w:rsid w:val="006F096A"/>
    <w:rsid w:val="006F25BE"/>
    <w:rsid w:val="006F3095"/>
    <w:rsid w:val="006F3B8D"/>
    <w:rsid w:val="006F539A"/>
    <w:rsid w:val="006F5455"/>
    <w:rsid w:val="006F5CB6"/>
    <w:rsid w:val="006F6FA1"/>
    <w:rsid w:val="006F73FE"/>
    <w:rsid w:val="0070242A"/>
    <w:rsid w:val="00703194"/>
    <w:rsid w:val="007034D7"/>
    <w:rsid w:val="00703A49"/>
    <w:rsid w:val="0070472E"/>
    <w:rsid w:val="00704B79"/>
    <w:rsid w:val="00706D54"/>
    <w:rsid w:val="0070737C"/>
    <w:rsid w:val="0070784E"/>
    <w:rsid w:val="00707E0C"/>
    <w:rsid w:val="007101EE"/>
    <w:rsid w:val="0071041C"/>
    <w:rsid w:val="00711229"/>
    <w:rsid w:val="00712A03"/>
    <w:rsid w:val="00712D3A"/>
    <w:rsid w:val="00715018"/>
    <w:rsid w:val="007150FD"/>
    <w:rsid w:val="00715456"/>
    <w:rsid w:val="007154E4"/>
    <w:rsid w:val="00715698"/>
    <w:rsid w:val="00715D38"/>
    <w:rsid w:val="007179FE"/>
    <w:rsid w:val="00717AD3"/>
    <w:rsid w:val="00717F25"/>
    <w:rsid w:val="007201B1"/>
    <w:rsid w:val="007201FF"/>
    <w:rsid w:val="007219B9"/>
    <w:rsid w:val="00721B2C"/>
    <w:rsid w:val="007230D2"/>
    <w:rsid w:val="00723B5D"/>
    <w:rsid w:val="007249D6"/>
    <w:rsid w:val="00724E14"/>
    <w:rsid w:val="00725AD5"/>
    <w:rsid w:val="00726199"/>
    <w:rsid w:val="00726271"/>
    <w:rsid w:val="00726EB4"/>
    <w:rsid w:val="00726FF5"/>
    <w:rsid w:val="00727B5C"/>
    <w:rsid w:val="0073178D"/>
    <w:rsid w:val="00731945"/>
    <w:rsid w:val="007355C3"/>
    <w:rsid w:val="007362B8"/>
    <w:rsid w:val="0073698D"/>
    <w:rsid w:val="00736C0B"/>
    <w:rsid w:val="00740C06"/>
    <w:rsid w:val="0074305D"/>
    <w:rsid w:val="00744A03"/>
    <w:rsid w:val="007452AE"/>
    <w:rsid w:val="007463D9"/>
    <w:rsid w:val="00746531"/>
    <w:rsid w:val="007503CD"/>
    <w:rsid w:val="00751725"/>
    <w:rsid w:val="00752892"/>
    <w:rsid w:val="0075316F"/>
    <w:rsid w:val="00753403"/>
    <w:rsid w:val="00753684"/>
    <w:rsid w:val="0075450A"/>
    <w:rsid w:val="00755B01"/>
    <w:rsid w:val="00756C41"/>
    <w:rsid w:val="00757E7E"/>
    <w:rsid w:val="0076017E"/>
    <w:rsid w:val="00760D89"/>
    <w:rsid w:val="00760DB6"/>
    <w:rsid w:val="00762558"/>
    <w:rsid w:val="00762730"/>
    <w:rsid w:val="007661AE"/>
    <w:rsid w:val="00766A51"/>
    <w:rsid w:val="00767A7C"/>
    <w:rsid w:val="0077120F"/>
    <w:rsid w:val="00772F1C"/>
    <w:rsid w:val="00774288"/>
    <w:rsid w:val="00774885"/>
    <w:rsid w:val="007752B6"/>
    <w:rsid w:val="0077548C"/>
    <w:rsid w:val="00775C1A"/>
    <w:rsid w:val="00777610"/>
    <w:rsid w:val="0077788E"/>
    <w:rsid w:val="007778F4"/>
    <w:rsid w:val="00780C76"/>
    <w:rsid w:val="00785EBA"/>
    <w:rsid w:val="007879E2"/>
    <w:rsid w:val="00787E75"/>
    <w:rsid w:val="0079189F"/>
    <w:rsid w:val="0079260B"/>
    <w:rsid w:val="00793420"/>
    <w:rsid w:val="00793A2E"/>
    <w:rsid w:val="00793D5D"/>
    <w:rsid w:val="00794148"/>
    <w:rsid w:val="007A250A"/>
    <w:rsid w:val="007A3157"/>
    <w:rsid w:val="007A38DE"/>
    <w:rsid w:val="007A4E11"/>
    <w:rsid w:val="007A6E20"/>
    <w:rsid w:val="007A70C8"/>
    <w:rsid w:val="007B080D"/>
    <w:rsid w:val="007B0AB2"/>
    <w:rsid w:val="007B0E32"/>
    <w:rsid w:val="007B10ED"/>
    <w:rsid w:val="007B3BFC"/>
    <w:rsid w:val="007B4B03"/>
    <w:rsid w:val="007B4FC0"/>
    <w:rsid w:val="007B5197"/>
    <w:rsid w:val="007B5E3F"/>
    <w:rsid w:val="007B6E48"/>
    <w:rsid w:val="007B726D"/>
    <w:rsid w:val="007C10DC"/>
    <w:rsid w:val="007C1433"/>
    <w:rsid w:val="007C15F4"/>
    <w:rsid w:val="007C1F03"/>
    <w:rsid w:val="007C2C53"/>
    <w:rsid w:val="007C2D92"/>
    <w:rsid w:val="007C4835"/>
    <w:rsid w:val="007D0CD3"/>
    <w:rsid w:val="007D20FF"/>
    <w:rsid w:val="007D2EB3"/>
    <w:rsid w:val="007D4024"/>
    <w:rsid w:val="007D44AD"/>
    <w:rsid w:val="007D615D"/>
    <w:rsid w:val="007D649B"/>
    <w:rsid w:val="007D77AC"/>
    <w:rsid w:val="007E02F1"/>
    <w:rsid w:val="007E24F2"/>
    <w:rsid w:val="007E5117"/>
    <w:rsid w:val="007E5FC1"/>
    <w:rsid w:val="007E65D0"/>
    <w:rsid w:val="007E7708"/>
    <w:rsid w:val="007F1CE2"/>
    <w:rsid w:val="007F2F8F"/>
    <w:rsid w:val="007F3F8A"/>
    <w:rsid w:val="007F4478"/>
    <w:rsid w:val="007F4538"/>
    <w:rsid w:val="007F5245"/>
    <w:rsid w:val="00800020"/>
    <w:rsid w:val="00800FEB"/>
    <w:rsid w:val="008028DA"/>
    <w:rsid w:val="00804357"/>
    <w:rsid w:val="00804D5F"/>
    <w:rsid w:val="0080537E"/>
    <w:rsid w:val="008068B9"/>
    <w:rsid w:val="00806F09"/>
    <w:rsid w:val="00807224"/>
    <w:rsid w:val="00807AD8"/>
    <w:rsid w:val="00810E7C"/>
    <w:rsid w:val="00813CFF"/>
    <w:rsid w:val="00813FC2"/>
    <w:rsid w:val="00814590"/>
    <w:rsid w:val="00814667"/>
    <w:rsid w:val="00814EAD"/>
    <w:rsid w:val="008156B7"/>
    <w:rsid w:val="00816464"/>
    <w:rsid w:val="00816816"/>
    <w:rsid w:val="00817D90"/>
    <w:rsid w:val="00820693"/>
    <w:rsid w:val="0082088C"/>
    <w:rsid w:val="0082402C"/>
    <w:rsid w:val="008242EB"/>
    <w:rsid w:val="008262F1"/>
    <w:rsid w:val="00826C57"/>
    <w:rsid w:val="008311FA"/>
    <w:rsid w:val="0083123A"/>
    <w:rsid w:val="008317EF"/>
    <w:rsid w:val="008325D4"/>
    <w:rsid w:val="0083302A"/>
    <w:rsid w:val="00833903"/>
    <w:rsid w:val="00833F57"/>
    <w:rsid w:val="00837090"/>
    <w:rsid w:val="0083781F"/>
    <w:rsid w:val="00837A93"/>
    <w:rsid w:val="00844F11"/>
    <w:rsid w:val="00845BCC"/>
    <w:rsid w:val="0084602C"/>
    <w:rsid w:val="00847AE8"/>
    <w:rsid w:val="008512DA"/>
    <w:rsid w:val="008512F9"/>
    <w:rsid w:val="00851465"/>
    <w:rsid w:val="00852ED8"/>
    <w:rsid w:val="0085533A"/>
    <w:rsid w:val="00855543"/>
    <w:rsid w:val="00855973"/>
    <w:rsid w:val="00856676"/>
    <w:rsid w:val="00856D79"/>
    <w:rsid w:val="00856EE7"/>
    <w:rsid w:val="00856F5F"/>
    <w:rsid w:val="0085738D"/>
    <w:rsid w:val="008605A8"/>
    <w:rsid w:val="00861086"/>
    <w:rsid w:val="00862395"/>
    <w:rsid w:val="0086782C"/>
    <w:rsid w:val="008708D6"/>
    <w:rsid w:val="00871491"/>
    <w:rsid w:val="00872093"/>
    <w:rsid w:val="0087255F"/>
    <w:rsid w:val="00873338"/>
    <w:rsid w:val="00874B30"/>
    <w:rsid w:val="008760D0"/>
    <w:rsid w:val="00876D3A"/>
    <w:rsid w:val="00877DBE"/>
    <w:rsid w:val="0088007A"/>
    <w:rsid w:val="00880573"/>
    <w:rsid w:val="00881317"/>
    <w:rsid w:val="0088249B"/>
    <w:rsid w:val="008827E0"/>
    <w:rsid w:val="008843EE"/>
    <w:rsid w:val="008873D2"/>
    <w:rsid w:val="00887B1A"/>
    <w:rsid w:val="008910D2"/>
    <w:rsid w:val="00891251"/>
    <w:rsid w:val="00891AD2"/>
    <w:rsid w:val="0089255A"/>
    <w:rsid w:val="0089301A"/>
    <w:rsid w:val="00895B61"/>
    <w:rsid w:val="00896477"/>
    <w:rsid w:val="00896F5A"/>
    <w:rsid w:val="008A1326"/>
    <w:rsid w:val="008A1EC8"/>
    <w:rsid w:val="008A3C37"/>
    <w:rsid w:val="008A47F8"/>
    <w:rsid w:val="008A5B8A"/>
    <w:rsid w:val="008A63FE"/>
    <w:rsid w:val="008A6E23"/>
    <w:rsid w:val="008A715A"/>
    <w:rsid w:val="008B0742"/>
    <w:rsid w:val="008B1840"/>
    <w:rsid w:val="008B1C10"/>
    <w:rsid w:val="008B24FA"/>
    <w:rsid w:val="008B3454"/>
    <w:rsid w:val="008B44F6"/>
    <w:rsid w:val="008B5758"/>
    <w:rsid w:val="008B73A2"/>
    <w:rsid w:val="008C121C"/>
    <w:rsid w:val="008C29EB"/>
    <w:rsid w:val="008C41F1"/>
    <w:rsid w:val="008C5DB3"/>
    <w:rsid w:val="008C6A7B"/>
    <w:rsid w:val="008C7F5B"/>
    <w:rsid w:val="008D079A"/>
    <w:rsid w:val="008D1379"/>
    <w:rsid w:val="008D36AE"/>
    <w:rsid w:val="008D485F"/>
    <w:rsid w:val="008D5B52"/>
    <w:rsid w:val="008D6DA4"/>
    <w:rsid w:val="008E1C97"/>
    <w:rsid w:val="008E48FC"/>
    <w:rsid w:val="008E659A"/>
    <w:rsid w:val="008E707F"/>
    <w:rsid w:val="008E76D0"/>
    <w:rsid w:val="008E7872"/>
    <w:rsid w:val="008F1894"/>
    <w:rsid w:val="008F1B6B"/>
    <w:rsid w:val="008F1F6F"/>
    <w:rsid w:val="008F2350"/>
    <w:rsid w:val="008F28D6"/>
    <w:rsid w:val="008F2AD6"/>
    <w:rsid w:val="008F4BA8"/>
    <w:rsid w:val="008F5C07"/>
    <w:rsid w:val="008F5C79"/>
    <w:rsid w:val="008F696D"/>
    <w:rsid w:val="008F7639"/>
    <w:rsid w:val="008F7ADB"/>
    <w:rsid w:val="00901CF5"/>
    <w:rsid w:val="00902097"/>
    <w:rsid w:val="00902565"/>
    <w:rsid w:val="00902C12"/>
    <w:rsid w:val="00903676"/>
    <w:rsid w:val="00904D03"/>
    <w:rsid w:val="00905F5A"/>
    <w:rsid w:val="009065E7"/>
    <w:rsid w:val="00906FB1"/>
    <w:rsid w:val="00910EA9"/>
    <w:rsid w:val="00913276"/>
    <w:rsid w:val="00913611"/>
    <w:rsid w:val="00913707"/>
    <w:rsid w:val="00914539"/>
    <w:rsid w:val="0091504D"/>
    <w:rsid w:val="00915308"/>
    <w:rsid w:val="00915797"/>
    <w:rsid w:val="009209B2"/>
    <w:rsid w:val="00920EEA"/>
    <w:rsid w:val="00921704"/>
    <w:rsid w:val="009221DF"/>
    <w:rsid w:val="009224FD"/>
    <w:rsid w:val="009248B5"/>
    <w:rsid w:val="00924AA4"/>
    <w:rsid w:val="00926CA7"/>
    <w:rsid w:val="00930026"/>
    <w:rsid w:val="0093296C"/>
    <w:rsid w:val="00932E51"/>
    <w:rsid w:val="009334D5"/>
    <w:rsid w:val="009342D6"/>
    <w:rsid w:val="00935450"/>
    <w:rsid w:val="00935CB8"/>
    <w:rsid w:val="00935CC7"/>
    <w:rsid w:val="0094002F"/>
    <w:rsid w:val="0094014A"/>
    <w:rsid w:val="0094042C"/>
    <w:rsid w:val="0094129D"/>
    <w:rsid w:val="009419E8"/>
    <w:rsid w:val="00941D34"/>
    <w:rsid w:val="00942ABC"/>
    <w:rsid w:val="0094337D"/>
    <w:rsid w:val="0094444B"/>
    <w:rsid w:val="00944C36"/>
    <w:rsid w:val="00946A91"/>
    <w:rsid w:val="00947A71"/>
    <w:rsid w:val="0095108B"/>
    <w:rsid w:val="00951BAD"/>
    <w:rsid w:val="009523EB"/>
    <w:rsid w:val="00952992"/>
    <w:rsid w:val="009537AB"/>
    <w:rsid w:val="00953FF0"/>
    <w:rsid w:val="00955B16"/>
    <w:rsid w:val="00956C81"/>
    <w:rsid w:val="00960EBA"/>
    <w:rsid w:val="00961432"/>
    <w:rsid w:val="00961FF2"/>
    <w:rsid w:val="0096341C"/>
    <w:rsid w:val="00963FC8"/>
    <w:rsid w:val="009641C4"/>
    <w:rsid w:val="0096776B"/>
    <w:rsid w:val="00967E4D"/>
    <w:rsid w:val="009704A5"/>
    <w:rsid w:val="00971149"/>
    <w:rsid w:val="0097198A"/>
    <w:rsid w:val="00973550"/>
    <w:rsid w:val="00977249"/>
    <w:rsid w:val="0097780B"/>
    <w:rsid w:val="00981188"/>
    <w:rsid w:val="00983DC2"/>
    <w:rsid w:val="00983DF0"/>
    <w:rsid w:val="00986666"/>
    <w:rsid w:val="00986A82"/>
    <w:rsid w:val="0099279C"/>
    <w:rsid w:val="00993081"/>
    <w:rsid w:val="00994C10"/>
    <w:rsid w:val="009A0446"/>
    <w:rsid w:val="009A062C"/>
    <w:rsid w:val="009A252B"/>
    <w:rsid w:val="009A48AF"/>
    <w:rsid w:val="009A5027"/>
    <w:rsid w:val="009A522D"/>
    <w:rsid w:val="009A5963"/>
    <w:rsid w:val="009A6929"/>
    <w:rsid w:val="009B1441"/>
    <w:rsid w:val="009B17D2"/>
    <w:rsid w:val="009B296B"/>
    <w:rsid w:val="009B3BCE"/>
    <w:rsid w:val="009B3F77"/>
    <w:rsid w:val="009B5132"/>
    <w:rsid w:val="009B5D62"/>
    <w:rsid w:val="009B5F6F"/>
    <w:rsid w:val="009B76E5"/>
    <w:rsid w:val="009C0848"/>
    <w:rsid w:val="009C0B46"/>
    <w:rsid w:val="009C130D"/>
    <w:rsid w:val="009C166A"/>
    <w:rsid w:val="009C1F17"/>
    <w:rsid w:val="009C283C"/>
    <w:rsid w:val="009C4F15"/>
    <w:rsid w:val="009C6FFB"/>
    <w:rsid w:val="009C7EF5"/>
    <w:rsid w:val="009D2CF4"/>
    <w:rsid w:val="009D2E97"/>
    <w:rsid w:val="009D2FAC"/>
    <w:rsid w:val="009D3428"/>
    <w:rsid w:val="009D3809"/>
    <w:rsid w:val="009D62CF"/>
    <w:rsid w:val="009E1311"/>
    <w:rsid w:val="009E13C9"/>
    <w:rsid w:val="009E151E"/>
    <w:rsid w:val="009E4A18"/>
    <w:rsid w:val="009E5DB6"/>
    <w:rsid w:val="009E733B"/>
    <w:rsid w:val="009E7462"/>
    <w:rsid w:val="009F2121"/>
    <w:rsid w:val="009F265F"/>
    <w:rsid w:val="009F2E38"/>
    <w:rsid w:val="009F47CB"/>
    <w:rsid w:val="009F48B0"/>
    <w:rsid w:val="009F50E0"/>
    <w:rsid w:val="009F6047"/>
    <w:rsid w:val="009F66FF"/>
    <w:rsid w:val="009F67D0"/>
    <w:rsid w:val="009F73B8"/>
    <w:rsid w:val="009F7409"/>
    <w:rsid w:val="009F7614"/>
    <w:rsid w:val="009F7937"/>
    <w:rsid w:val="009F7F52"/>
    <w:rsid w:val="00A0090D"/>
    <w:rsid w:val="00A00BA5"/>
    <w:rsid w:val="00A0202C"/>
    <w:rsid w:val="00A0227E"/>
    <w:rsid w:val="00A04916"/>
    <w:rsid w:val="00A04BA0"/>
    <w:rsid w:val="00A04C30"/>
    <w:rsid w:val="00A0676A"/>
    <w:rsid w:val="00A10974"/>
    <w:rsid w:val="00A14164"/>
    <w:rsid w:val="00A1427B"/>
    <w:rsid w:val="00A143E7"/>
    <w:rsid w:val="00A14966"/>
    <w:rsid w:val="00A14A73"/>
    <w:rsid w:val="00A1513A"/>
    <w:rsid w:val="00A17CCB"/>
    <w:rsid w:val="00A207A2"/>
    <w:rsid w:val="00A211C4"/>
    <w:rsid w:val="00A2219B"/>
    <w:rsid w:val="00A2422A"/>
    <w:rsid w:val="00A24361"/>
    <w:rsid w:val="00A27504"/>
    <w:rsid w:val="00A30217"/>
    <w:rsid w:val="00A303A1"/>
    <w:rsid w:val="00A3209E"/>
    <w:rsid w:val="00A3212A"/>
    <w:rsid w:val="00A322FB"/>
    <w:rsid w:val="00A325D2"/>
    <w:rsid w:val="00A32BE3"/>
    <w:rsid w:val="00A3303E"/>
    <w:rsid w:val="00A33136"/>
    <w:rsid w:val="00A37659"/>
    <w:rsid w:val="00A401D1"/>
    <w:rsid w:val="00A40309"/>
    <w:rsid w:val="00A4030E"/>
    <w:rsid w:val="00A4077B"/>
    <w:rsid w:val="00A41F08"/>
    <w:rsid w:val="00A42386"/>
    <w:rsid w:val="00A42D76"/>
    <w:rsid w:val="00A42DA9"/>
    <w:rsid w:val="00A44699"/>
    <w:rsid w:val="00A44DBF"/>
    <w:rsid w:val="00A453B3"/>
    <w:rsid w:val="00A469B9"/>
    <w:rsid w:val="00A47CA4"/>
    <w:rsid w:val="00A50751"/>
    <w:rsid w:val="00A50E72"/>
    <w:rsid w:val="00A51EEC"/>
    <w:rsid w:val="00A53189"/>
    <w:rsid w:val="00A54051"/>
    <w:rsid w:val="00A54166"/>
    <w:rsid w:val="00A54BE7"/>
    <w:rsid w:val="00A55B5A"/>
    <w:rsid w:val="00A564EB"/>
    <w:rsid w:val="00A57F6A"/>
    <w:rsid w:val="00A60DCA"/>
    <w:rsid w:val="00A61CA8"/>
    <w:rsid w:val="00A620C4"/>
    <w:rsid w:val="00A628D9"/>
    <w:rsid w:val="00A631F9"/>
    <w:rsid w:val="00A64E39"/>
    <w:rsid w:val="00A6500A"/>
    <w:rsid w:val="00A65573"/>
    <w:rsid w:val="00A6594D"/>
    <w:rsid w:val="00A671D3"/>
    <w:rsid w:val="00A705E3"/>
    <w:rsid w:val="00A709C1"/>
    <w:rsid w:val="00A71016"/>
    <w:rsid w:val="00A72761"/>
    <w:rsid w:val="00A72878"/>
    <w:rsid w:val="00A729B5"/>
    <w:rsid w:val="00A731B1"/>
    <w:rsid w:val="00A738B6"/>
    <w:rsid w:val="00A739F1"/>
    <w:rsid w:val="00A762F9"/>
    <w:rsid w:val="00A81EC4"/>
    <w:rsid w:val="00A8295A"/>
    <w:rsid w:val="00A838FA"/>
    <w:rsid w:val="00A8478F"/>
    <w:rsid w:val="00A858C4"/>
    <w:rsid w:val="00A85D64"/>
    <w:rsid w:val="00A86287"/>
    <w:rsid w:val="00A86F28"/>
    <w:rsid w:val="00A87286"/>
    <w:rsid w:val="00A9022E"/>
    <w:rsid w:val="00A91173"/>
    <w:rsid w:val="00A91FE4"/>
    <w:rsid w:val="00A92F0B"/>
    <w:rsid w:val="00A9304E"/>
    <w:rsid w:val="00A933A2"/>
    <w:rsid w:val="00A95699"/>
    <w:rsid w:val="00A96C81"/>
    <w:rsid w:val="00A974CA"/>
    <w:rsid w:val="00A97C02"/>
    <w:rsid w:val="00A97C4F"/>
    <w:rsid w:val="00AA0CA6"/>
    <w:rsid w:val="00AA2A0D"/>
    <w:rsid w:val="00AA2CD5"/>
    <w:rsid w:val="00AA2FC4"/>
    <w:rsid w:val="00AA4F6C"/>
    <w:rsid w:val="00AA7CFC"/>
    <w:rsid w:val="00AB16AE"/>
    <w:rsid w:val="00AB2011"/>
    <w:rsid w:val="00AB4440"/>
    <w:rsid w:val="00AB5A64"/>
    <w:rsid w:val="00AB79E9"/>
    <w:rsid w:val="00AC03A8"/>
    <w:rsid w:val="00AC1210"/>
    <w:rsid w:val="00AC276B"/>
    <w:rsid w:val="00AC4D12"/>
    <w:rsid w:val="00AC636D"/>
    <w:rsid w:val="00AC6B83"/>
    <w:rsid w:val="00AC6FC7"/>
    <w:rsid w:val="00AC7202"/>
    <w:rsid w:val="00AC7699"/>
    <w:rsid w:val="00AD04F4"/>
    <w:rsid w:val="00AD098D"/>
    <w:rsid w:val="00AD0CE6"/>
    <w:rsid w:val="00AD229E"/>
    <w:rsid w:val="00AD2867"/>
    <w:rsid w:val="00AD42CE"/>
    <w:rsid w:val="00AD670F"/>
    <w:rsid w:val="00AD6D80"/>
    <w:rsid w:val="00AD6DA9"/>
    <w:rsid w:val="00AD7219"/>
    <w:rsid w:val="00AE1E54"/>
    <w:rsid w:val="00AE478A"/>
    <w:rsid w:val="00AE6D17"/>
    <w:rsid w:val="00AE6D9E"/>
    <w:rsid w:val="00AF0971"/>
    <w:rsid w:val="00AF0D99"/>
    <w:rsid w:val="00AF3346"/>
    <w:rsid w:val="00AF3412"/>
    <w:rsid w:val="00AF3AD3"/>
    <w:rsid w:val="00AF3BE2"/>
    <w:rsid w:val="00AF506E"/>
    <w:rsid w:val="00B00778"/>
    <w:rsid w:val="00B009FE"/>
    <w:rsid w:val="00B00F9F"/>
    <w:rsid w:val="00B012ED"/>
    <w:rsid w:val="00B02FE5"/>
    <w:rsid w:val="00B04594"/>
    <w:rsid w:val="00B050C0"/>
    <w:rsid w:val="00B05642"/>
    <w:rsid w:val="00B06097"/>
    <w:rsid w:val="00B07D51"/>
    <w:rsid w:val="00B10514"/>
    <w:rsid w:val="00B10CAE"/>
    <w:rsid w:val="00B12190"/>
    <w:rsid w:val="00B1241F"/>
    <w:rsid w:val="00B14635"/>
    <w:rsid w:val="00B16A0A"/>
    <w:rsid w:val="00B171BB"/>
    <w:rsid w:val="00B204CB"/>
    <w:rsid w:val="00B2247A"/>
    <w:rsid w:val="00B234AA"/>
    <w:rsid w:val="00B244F3"/>
    <w:rsid w:val="00B24E0B"/>
    <w:rsid w:val="00B26739"/>
    <w:rsid w:val="00B31607"/>
    <w:rsid w:val="00B3187B"/>
    <w:rsid w:val="00B36231"/>
    <w:rsid w:val="00B36551"/>
    <w:rsid w:val="00B3669E"/>
    <w:rsid w:val="00B3723A"/>
    <w:rsid w:val="00B37EEF"/>
    <w:rsid w:val="00B40E38"/>
    <w:rsid w:val="00B40E60"/>
    <w:rsid w:val="00B418F3"/>
    <w:rsid w:val="00B424F1"/>
    <w:rsid w:val="00B44371"/>
    <w:rsid w:val="00B50344"/>
    <w:rsid w:val="00B51ACE"/>
    <w:rsid w:val="00B5216F"/>
    <w:rsid w:val="00B531BC"/>
    <w:rsid w:val="00B54F46"/>
    <w:rsid w:val="00B55061"/>
    <w:rsid w:val="00B56356"/>
    <w:rsid w:val="00B56482"/>
    <w:rsid w:val="00B623D7"/>
    <w:rsid w:val="00B62B9D"/>
    <w:rsid w:val="00B62F57"/>
    <w:rsid w:val="00B6486B"/>
    <w:rsid w:val="00B64D96"/>
    <w:rsid w:val="00B66623"/>
    <w:rsid w:val="00B66E7A"/>
    <w:rsid w:val="00B70780"/>
    <w:rsid w:val="00B718F4"/>
    <w:rsid w:val="00B71B93"/>
    <w:rsid w:val="00B72927"/>
    <w:rsid w:val="00B729EE"/>
    <w:rsid w:val="00B737FD"/>
    <w:rsid w:val="00B74A82"/>
    <w:rsid w:val="00B75575"/>
    <w:rsid w:val="00B77F5B"/>
    <w:rsid w:val="00B80BD7"/>
    <w:rsid w:val="00B816CA"/>
    <w:rsid w:val="00B83DC6"/>
    <w:rsid w:val="00B84275"/>
    <w:rsid w:val="00B84A7C"/>
    <w:rsid w:val="00B866ED"/>
    <w:rsid w:val="00B869CE"/>
    <w:rsid w:val="00B9206A"/>
    <w:rsid w:val="00B93C97"/>
    <w:rsid w:val="00B94D36"/>
    <w:rsid w:val="00B961B7"/>
    <w:rsid w:val="00B9660F"/>
    <w:rsid w:val="00B96C09"/>
    <w:rsid w:val="00B97F2E"/>
    <w:rsid w:val="00BA1CFA"/>
    <w:rsid w:val="00BA1D21"/>
    <w:rsid w:val="00BA2BF9"/>
    <w:rsid w:val="00BA4624"/>
    <w:rsid w:val="00BA7603"/>
    <w:rsid w:val="00BA7E17"/>
    <w:rsid w:val="00BB03F1"/>
    <w:rsid w:val="00BB159F"/>
    <w:rsid w:val="00BB1D7B"/>
    <w:rsid w:val="00BB6CE4"/>
    <w:rsid w:val="00BB7875"/>
    <w:rsid w:val="00BC2E80"/>
    <w:rsid w:val="00BC40D5"/>
    <w:rsid w:val="00BC4BF4"/>
    <w:rsid w:val="00BC7ECB"/>
    <w:rsid w:val="00BD016B"/>
    <w:rsid w:val="00BD1731"/>
    <w:rsid w:val="00BD3FD0"/>
    <w:rsid w:val="00BD6FB7"/>
    <w:rsid w:val="00BD7B4C"/>
    <w:rsid w:val="00BE042D"/>
    <w:rsid w:val="00BE4110"/>
    <w:rsid w:val="00BE4113"/>
    <w:rsid w:val="00BE412C"/>
    <w:rsid w:val="00BE4802"/>
    <w:rsid w:val="00BE7212"/>
    <w:rsid w:val="00BE76C7"/>
    <w:rsid w:val="00BF0671"/>
    <w:rsid w:val="00BF2510"/>
    <w:rsid w:val="00BF25CF"/>
    <w:rsid w:val="00BF331F"/>
    <w:rsid w:val="00BF4829"/>
    <w:rsid w:val="00BF4859"/>
    <w:rsid w:val="00BF4F4D"/>
    <w:rsid w:val="00BF5036"/>
    <w:rsid w:val="00BF5489"/>
    <w:rsid w:val="00BF6BCF"/>
    <w:rsid w:val="00BF6FF0"/>
    <w:rsid w:val="00C008D1"/>
    <w:rsid w:val="00C011BF"/>
    <w:rsid w:val="00C01740"/>
    <w:rsid w:val="00C0185F"/>
    <w:rsid w:val="00C024B8"/>
    <w:rsid w:val="00C03BAA"/>
    <w:rsid w:val="00C046A4"/>
    <w:rsid w:val="00C05CC6"/>
    <w:rsid w:val="00C064C1"/>
    <w:rsid w:val="00C06786"/>
    <w:rsid w:val="00C068C7"/>
    <w:rsid w:val="00C073C2"/>
    <w:rsid w:val="00C10226"/>
    <w:rsid w:val="00C10B4F"/>
    <w:rsid w:val="00C1203F"/>
    <w:rsid w:val="00C15830"/>
    <w:rsid w:val="00C158F5"/>
    <w:rsid w:val="00C160F4"/>
    <w:rsid w:val="00C1668C"/>
    <w:rsid w:val="00C16A39"/>
    <w:rsid w:val="00C16E88"/>
    <w:rsid w:val="00C2120D"/>
    <w:rsid w:val="00C22729"/>
    <w:rsid w:val="00C22FDB"/>
    <w:rsid w:val="00C233E9"/>
    <w:rsid w:val="00C2490E"/>
    <w:rsid w:val="00C25018"/>
    <w:rsid w:val="00C255D1"/>
    <w:rsid w:val="00C26A3D"/>
    <w:rsid w:val="00C274A9"/>
    <w:rsid w:val="00C303B4"/>
    <w:rsid w:val="00C3094E"/>
    <w:rsid w:val="00C31C6C"/>
    <w:rsid w:val="00C323BE"/>
    <w:rsid w:val="00C354DB"/>
    <w:rsid w:val="00C3671C"/>
    <w:rsid w:val="00C400A9"/>
    <w:rsid w:val="00C40481"/>
    <w:rsid w:val="00C40EBC"/>
    <w:rsid w:val="00C41FE1"/>
    <w:rsid w:val="00C4202E"/>
    <w:rsid w:val="00C42ACA"/>
    <w:rsid w:val="00C42BA5"/>
    <w:rsid w:val="00C4349A"/>
    <w:rsid w:val="00C4557B"/>
    <w:rsid w:val="00C45AE6"/>
    <w:rsid w:val="00C47261"/>
    <w:rsid w:val="00C51308"/>
    <w:rsid w:val="00C52865"/>
    <w:rsid w:val="00C539F8"/>
    <w:rsid w:val="00C53A47"/>
    <w:rsid w:val="00C5529B"/>
    <w:rsid w:val="00C559B5"/>
    <w:rsid w:val="00C56217"/>
    <w:rsid w:val="00C56A28"/>
    <w:rsid w:val="00C57BB9"/>
    <w:rsid w:val="00C61699"/>
    <w:rsid w:val="00C62B02"/>
    <w:rsid w:val="00C64908"/>
    <w:rsid w:val="00C6732E"/>
    <w:rsid w:val="00C67500"/>
    <w:rsid w:val="00C705B5"/>
    <w:rsid w:val="00C7088F"/>
    <w:rsid w:val="00C7093C"/>
    <w:rsid w:val="00C719CA"/>
    <w:rsid w:val="00C72C93"/>
    <w:rsid w:val="00C73658"/>
    <w:rsid w:val="00C738BD"/>
    <w:rsid w:val="00C753E9"/>
    <w:rsid w:val="00C75D40"/>
    <w:rsid w:val="00C80204"/>
    <w:rsid w:val="00C83627"/>
    <w:rsid w:val="00C8634F"/>
    <w:rsid w:val="00C876D9"/>
    <w:rsid w:val="00C87AE1"/>
    <w:rsid w:val="00C905E0"/>
    <w:rsid w:val="00C9125C"/>
    <w:rsid w:val="00C929DB"/>
    <w:rsid w:val="00C92AFE"/>
    <w:rsid w:val="00C92EA5"/>
    <w:rsid w:val="00C9405D"/>
    <w:rsid w:val="00C95D81"/>
    <w:rsid w:val="00C960AA"/>
    <w:rsid w:val="00C978B7"/>
    <w:rsid w:val="00CA121E"/>
    <w:rsid w:val="00CA28FF"/>
    <w:rsid w:val="00CA3103"/>
    <w:rsid w:val="00CA501D"/>
    <w:rsid w:val="00CA55C4"/>
    <w:rsid w:val="00CA5C7C"/>
    <w:rsid w:val="00CB0C61"/>
    <w:rsid w:val="00CB1789"/>
    <w:rsid w:val="00CB1CB2"/>
    <w:rsid w:val="00CB2557"/>
    <w:rsid w:val="00CB3672"/>
    <w:rsid w:val="00CB3D16"/>
    <w:rsid w:val="00CB3F27"/>
    <w:rsid w:val="00CB477A"/>
    <w:rsid w:val="00CB761C"/>
    <w:rsid w:val="00CB76EE"/>
    <w:rsid w:val="00CC39B1"/>
    <w:rsid w:val="00CC43A2"/>
    <w:rsid w:val="00CD526B"/>
    <w:rsid w:val="00CD580F"/>
    <w:rsid w:val="00CD5B93"/>
    <w:rsid w:val="00CD769B"/>
    <w:rsid w:val="00CE1559"/>
    <w:rsid w:val="00CE4AEF"/>
    <w:rsid w:val="00CE5A9A"/>
    <w:rsid w:val="00CE6AE2"/>
    <w:rsid w:val="00CE6F75"/>
    <w:rsid w:val="00CF0826"/>
    <w:rsid w:val="00CF0D8A"/>
    <w:rsid w:val="00CF0EA7"/>
    <w:rsid w:val="00CF1839"/>
    <w:rsid w:val="00CF194A"/>
    <w:rsid w:val="00CF267F"/>
    <w:rsid w:val="00CF2D02"/>
    <w:rsid w:val="00CF3ED4"/>
    <w:rsid w:val="00CF5F21"/>
    <w:rsid w:val="00CF776B"/>
    <w:rsid w:val="00CF7DA0"/>
    <w:rsid w:val="00D01B2C"/>
    <w:rsid w:val="00D04614"/>
    <w:rsid w:val="00D059D4"/>
    <w:rsid w:val="00D07540"/>
    <w:rsid w:val="00D11DD8"/>
    <w:rsid w:val="00D13F30"/>
    <w:rsid w:val="00D143C8"/>
    <w:rsid w:val="00D14F28"/>
    <w:rsid w:val="00D17144"/>
    <w:rsid w:val="00D171EC"/>
    <w:rsid w:val="00D1723F"/>
    <w:rsid w:val="00D1733D"/>
    <w:rsid w:val="00D26B64"/>
    <w:rsid w:val="00D27E00"/>
    <w:rsid w:val="00D30AA4"/>
    <w:rsid w:val="00D30D7C"/>
    <w:rsid w:val="00D30E66"/>
    <w:rsid w:val="00D345FE"/>
    <w:rsid w:val="00D35894"/>
    <w:rsid w:val="00D359B6"/>
    <w:rsid w:val="00D36590"/>
    <w:rsid w:val="00D3674A"/>
    <w:rsid w:val="00D36759"/>
    <w:rsid w:val="00D4085D"/>
    <w:rsid w:val="00D4437A"/>
    <w:rsid w:val="00D444AA"/>
    <w:rsid w:val="00D46033"/>
    <w:rsid w:val="00D47710"/>
    <w:rsid w:val="00D508FD"/>
    <w:rsid w:val="00D51210"/>
    <w:rsid w:val="00D522D3"/>
    <w:rsid w:val="00D52914"/>
    <w:rsid w:val="00D52966"/>
    <w:rsid w:val="00D53910"/>
    <w:rsid w:val="00D546B5"/>
    <w:rsid w:val="00D55300"/>
    <w:rsid w:val="00D5531C"/>
    <w:rsid w:val="00D55F5C"/>
    <w:rsid w:val="00D56B2A"/>
    <w:rsid w:val="00D57190"/>
    <w:rsid w:val="00D57346"/>
    <w:rsid w:val="00D60A11"/>
    <w:rsid w:val="00D61911"/>
    <w:rsid w:val="00D6237B"/>
    <w:rsid w:val="00D63438"/>
    <w:rsid w:val="00D63E84"/>
    <w:rsid w:val="00D64D21"/>
    <w:rsid w:val="00D65C09"/>
    <w:rsid w:val="00D66D08"/>
    <w:rsid w:val="00D672FA"/>
    <w:rsid w:val="00D677F9"/>
    <w:rsid w:val="00D7319F"/>
    <w:rsid w:val="00D73591"/>
    <w:rsid w:val="00D739E1"/>
    <w:rsid w:val="00D76452"/>
    <w:rsid w:val="00D800CF"/>
    <w:rsid w:val="00D802FC"/>
    <w:rsid w:val="00D806B3"/>
    <w:rsid w:val="00D81DAC"/>
    <w:rsid w:val="00D83260"/>
    <w:rsid w:val="00D836BA"/>
    <w:rsid w:val="00D83B39"/>
    <w:rsid w:val="00D84D4C"/>
    <w:rsid w:val="00D8532B"/>
    <w:rsid w:val="00D87591"/>
    <w:rsid w:val="00D93285"/>
    <w:rsid w:val="00D9402A"/>
    <w:rsid w:val="00D946FC"/>
    <w:rsid w:val="00D9547E"/>
    <w:rsid w:val="00D973A5"/>
    <w:rsid w:val="00DA0CAF"/>
    <w:rsid w:val="00DA126A"/>
    <w:rsid w:val="00DA1D33"/>
    <w:rsid w:val="00DA3AA7"/>
    <w:rsid w:val="00DA4853"/>
    <w:rsid w:val="00DA54C8"/>
    <w:rsid w:val="00DA552B"/>
    <w:rsid w:val="00DA60F3"/>
    <w:rsid w:val="00DA6E8B"/>
    <w:rsid w:val="00DB1640"/>
    <w:rsid w:val="00DB1DFE"/>
    <w:rsid w:val="00DB2504"/>
    <w:rsid w:val="00DB356C"/>
    <w:rsid w:val="00DB3636"/>
    <w:rsid w:val="00DB4DA8"/>
    <w:rsid w:val="00DB6235"/>
    <w:rsid w:val="00DB6EC5"/>
    <w:rsid w:val="00DB762D"/>
    <w:rsid w:val="00DC3002"/>
    <w:rsid w:val="00DC47A8"/>
    <w:rsid w:val="00DC50E5"/>
    <w:rsid w:val="00DC5109"/>
    <w:rsid w:val="00DC5B0B"/>
    <w:rsid w:val="00DD093B"/>
    <w:rsid w:val="00DD0D43"/>
    <w:rsid w:val="00DD1898"/>
    <w:rsid w:val="00DD1DF4"/>
    <w:rsid w:val="00DD2174"/>
    <w:rsid w:val="00DD57CD"/>
    <w:rsid w:val="00DD70D0"/>
    <w:rsid w:val="00DD7464"/>
    <w:rsid w:val="00DD7656"/>
    <w:rsid w:val="00DE1C1E"/>
    <w:rsid w:val="00DE4A6C"/>
    <w:rsid w:val="00DE5673"/>
    <w:rsid w:val="00DE5A0C"/>
    <w:rsid w:val="00DE64C1"/>
    <w:rsid w:val="00DE77BC"/>
    <w:rsid w:val="00DF2704"/>
    <w:rsid w:val="00DF2EA9"/>
    <w:rsid w:val="00DF45BD"/>
    <w:rsid w:val="00DF5A76"/>
    <w:rsid w:val="00DF65B2"/>
    <w:rsid w:val="00DF6A07"/>
    <w:rsid w:val="00DF7BCC"/>
    <w:rsid w:val="00E0263C"/>
    <w:rsid w:val="00E053ED"/>
    <w:rsid w:val="00E07291"/>
    <w:rsid w:val="00E106F4"/>
    <w:rsid w:val="00E115B5"/>
    <w:rsid w:val="00E11ACC"/>
    <w:rsid w:val="00E12EF4"/>
    <w:rsid w:val="00E13170"/>
    <w:rsid w:val="00E13217"/>
    <w:rsid w:val="00E14C7E"/>
    <w:rsid w:val="00E2118C"/>
    <w:rsid w:val="00E213F8"/>
    <w:rsid w:val="00E21E1E"/>
    <w:rsid w:val="00E21E55"/>
    <w:rsid w:val="00E220BC"/>
    <w:rsid w:val="00E23352"/>
    <w:rsid w:val="00E24621"/>
    <w:rsid w:val="00E27E6C"/>
    <w:rsid w:val="00E3071F"/>
    <w:rsid w:val="00E307C0"/>
    <w:rsid w:val="00E31BCF"/>
    <w:rsid w:val="00E32E94"/>
    <w:rsid w:val="00E33938"/>
    <w:rsid w:val="00E33F03"/>
    <w:rsid w:val="00E34AFB"/>
    <w:rsid w:val="00E3549D"/>
    <w:rsid w:val="00E354D8"/>
    <w:rsid w:val="00E35E39"/>
    <w:rsid w:val="00E3658A"/>
    <w:rsid w:val="00E3706A"/>
    <w:rsid w:val="00E3710E"/>
    <w:rsid w:val="00E3738B"/>
    <w:rsid w:val="00E37446"/>
    <w:rsid w:val="00E37635"/>
    <w:rsid w:val="00E4099E"/>
    <w:rsid w:val="00E42085"/>
    <w:rsid w:val="00E426E0"/>
    <w:rsid w:val="00E42D99"/>
    <w:rsid w:val="00E42F42"/>
    <w:rsid w:val="00E43885"/>
    <w:rsid w:val="00E450A0"/>
    <w:rsid w:val="00E456AA"/>
    <w:rsid w:val="00E4604E"/>
    <w:rsid w:val="00E506BB"/>
    <w:rsid w:val="00E50963"/>
    <w:rsid w:val="00E51D1B"/>
    <w:rsid w:val="00E52852"/>
    <w:rsid w:val="00E53463"/>
    <w:rsid w:val="00E5423B"/>
    <w:rsid w:val="00E55D2D"/>
    <w:rsid w:val="00E56C3D"/>
    <w:rsid w:val="00E579FF"/>
    <w:rsid w:val="00E60780"/>
    <w:rsid w:val="00E63680"/>
    <w:rsid w:val="00E6530C"/>
    <w:rsid w:val="00E70556"/>
    <w:rsid w:val="00E7195E"/>
    <w:rsid w:val="00E72DCD"/>
    <w:rsid w:val="00E72F4A"/>
    <w:rsid w:val="00E73341"/>
    <w:rsid w:val="00E73FDA"/>
    <w:rsid w:val="00E752FD"/>
    <w:rsid w:val="00E7567A"/>
    <w:rsid w:val="00E75BCA"/>
    <w:rsid w:val="00E801E4"/>
    <w:rsid w:val="00E8029D"/>
    <w:rsid w:val="00E80B48"/>
    <w:rsid w:val="00E82115"/>
    <w:rsid w:val="00E82150"/>
    <w:rsid w:val="00E8297E"/>
    <w:rsid w:val="00E83448"/>
    <w:rsid w:val="00E836E7"/>
    <w:rsid w:val="00E91411"/>
    <w:rsid w:val="00E91CD0"/>
    <w:rsid w:val="00E92C8A"/>
    <w:rsid w:val="00E9334B"/>
    <w:rsid w:val="00E9346D"/>
    <w:rsid w:val="00E93507"/>
    <w:rsid w:val="00E96611"/>
    <w:rsid w:val="00E968F6"/>
    <w:rsid w:val="00E96A62"/>
    <w:rsid w:val="00EA105E"/>
    <w:rsid w:val="00EA1BDD"/>
    <w:rsid w:val="00EA491E"/>
    <w:rsid w:val="00EA594C"/>
    <w:rsid w:val="00EB042A"/>
    <w:rsid w:val="00EB30A3"/>
    <w:rsid w:val="00EB3786"/>
    <w:rsid w:val="00EB4B50"/>
    <w:rsid w:val="00EB5961"/>
    <w:rsid w:val="00EB78FA"/>
    <w:rsid w:val="00EB7EDA"/>
    <w:rsid w:val="00EC1046"/>
    <w:rsid w:val="00EC10EB"/>
    <w:rsid w:val="00EC215C"/>
    <w:rsid w:val="00EC2EF9"/>
    <w:rsid w:val="00EC3218"/>
    <w:rsid w:val="00EC48AC"/>
    <w:rsid w:val="00EC5206"/>
    <w:rsid w:val="00EC5449"/>
    <w:rsid w:val="00EC56AD"/>
    <w:rsid w:val="00EC67FF"/>
    <w:rsid w:val="00ED0175"/>
    <w:rsid w:val="00ED0AC8"/>
    <w:rsid w:val="00ED1452"/>
    <w:rsid w:val="00ED249A"/>
    <w:rsid w:val="00ED4036"/>
    <w:rsid w:val="00ED4C5F"/>
    <w:rsid w:val="00ED5B3D"/>
    <w:rsid w:val="00ED6043"/>
    <w:rsid w:val="00ED738E"/>
    <w:rsid w:val="00EE268F"/>
    <w:rsid w:val="00EE2CB0"/>
    <w:rsid w:val="00EE2D31"/>
    <w:rsid w:val="00EE4B91"/>
    <w:rsid w:val="00EE54DB"/>
    <w:rsid w:val="00EE554B"/>
    <w:rsid w:val="00EE57AC"/>
    <w:rsid w:val="00EE5B53"/>
    <w:rsid w:val="00EE5BED"/>
    <w:rsid w:val="00EE6F39"/>
    <w:rsid w:val="00EF04E8"/>
    <w:rsid w:val="00EF0AAD"/>
    <w:rsid w:val="00EF2400"/>
    <w:rsid w:val="00EF4B2B"/>
    <w:rsid w:val="00EF56A7"/>
    <w:rsid w:val="00EF5F43"/>
    <w:rsid w:val="00EF67FB"/>
    <w:rsid w:val="00EF72D4"/>
    <w:rsid w:val="00F02503"/>
    <w:rsid w:val="00F02A4B"/>
    <w:rsid w:val="00F02ACF"/>
    <w:rsid w:val="00F053F5"/>
    <w:rsid w:val="00F06FAD"/>
    <w:rsid w:val="00F078F0"/>
    <w:rsid w:val="00F10583"/>
    <w:rsid w:val="00F11A23"/>
    <w:rsid w:val="00F11BE8"/>
    <w:rsid w:val="00F12987"/>
    <w:rsid w:val="00F12ACD"/>
    <w:rsid w:val="00F130EF"/>
    <w:rsid w:val="00F14DD8"/>
    <w:rsid w:val="00F14EE4"/>
    <w:rsid w:val="00F1611B"/>
    <w:rsid w:val="00F16589"/>
    <w:rsid w:val="00F171AB"/>
    <w:rsid w:val="00F173BE"/>
    <w:rsid w:val="00F2068C"/>
    <w:rsid w:val="00F21B9D"/>
    <w:rsid w:val="00F23942"/>
    <w:rsid w:val="00F25EB1"/>
    <w:rsid w:val="00F31020"/>
    <w:rsid w:val="00F3245D"/>
    <w:rsid w:val="00F3465E"/>
    <w:rsid w:val="00F34FD0"/>
    <w:rsid w:val="00F35103"/>
    <w:rsid w:val="00F35317"/>
    <w:rsid w:val="00F35C0D"/>
    <w:rsid w:val="00F36A13"/>
    <w:rsid w:val="00F36E9B"/>
    <w:rsid w:val="00F37B17"/>
    <w:rsid w:val="00F42C9C"/>
    <w:rsid w:val="00F4377A"/>
    <w:rsid w:val="00F43C61"/>
    <w:rsid w:val="00F44A2A"/>
    <w:rsid w:val="00F46237"/>
    <w:rsid w:val="00F46921"/>
    <w:rsid w:val="00F47765"/>
    <w:rsid w:val="00F51A33"/>
    <w:rsid w:val="00F52046"/>
    <w:rsid w:val="00F538AE"/>
    <w:rsid w:val="00F5512D"/>
    <w:rsid w:val="00F56568"/>
    <w:rsid w:val="00F57F07"/>
    <w:rsid w:val="00F60185"/>
    <w:rsid w:val="00F6403E"/>
    <w:rsid w:val="00F657C1"/>
    <w:rsid w:val="00F65E00"/>
    <w:rsid w:val="00F66746"/>
    <w:rsid w:val="00F667E4"/>
    <w:rsid w:val="00F66B4C"/>
    <w:rsid w:val="00F73DEB"/>
    <w:rsid w:val="00F74B41"/>
    <w:rsid w:val="00F750EC"/>
    <w:rsid w:val="00F768DF"/>
    <w:rsid w:val="00F76C87"/>
    <w:rsid w:val="00F76DEC"/>
    <w:rsid w:val="00F775CF"/>
    <w:rsid w:val="00F77C58"/>
    <w:rsid w:val="00F8065C"/>
    <w:rsid w:val="00F80AAE"/>
    <w:rsid w:val="00F81675"/>
    <w:rsid w:val="00F82D80"/>
    <w:rsid w:val="00F83D17"/>
    <w:rsid w:val="00F87F60"/>
    <w:rsid w:val="00F9063F"/>
    <w:rsid w:val="00F90838"/>
    <w:rsid w:val="00F9277A"/>
    <w:rsid w:val="00F953D3"/>
    <w:rsid w:val="00F95D26"/>
    <w:rsid w:val="00F9751B"/>
    <w:rsid w:val="00F979C5"/>
    <w:rsid w:val="00FA0554"/>
    <w:rsid w:val="00FA0CBF"/>
    <w:rsid w:val="00FA0E45"/>
    <w:rsid w:val="00FA1227"/>
    <w:rsid w:val="00FA302C"/>
    <w:rsid w:val="00FA529E"/>
    <w:rsid w:val="00FA64FD"/>
    <w:rsid w:val="00FB199F"/>
    <w:rsid w:val="00FB1E24"/>
    <w:rsid w:val="00FB2DD9"/>
    <w:rsid w:val="00FB395C"/>
    <w:rsid w:val="00FB4200"/>
    <w:rsid w:val="00FB5750"/>
    <w:rsid w:val="00FB69F2"/>
    <w:rsid w:val="00FB6A2E"/>
    <w:rsid w:val="00FB750E"/>
    <w:rsid w:val="00FB7733"/>
    <w:rsid w:val="00FC5C31"/>
    <w:rsid w:val="00FC6809"/>
    <w:rsid w:val="00FD0A33"/>
    <w:rsid w:val="00FD16D1"/>
    <w:rsid w:val="00FD3CEC"/>
    <w:rsid w:val="00FD4437"/>
    <w:rsid w:val="00FD5CC7"/>
    <w:rsid w:val="00FD5DF3"/>
    <w:rsid w:val="00FD6455"/>
    <w:rsid w:val="00FD6994"/>
    <w:rsid w:val="00FD6DD5"/>
    <w:rsid w:val="00FD74DC"/>
    <w:rsid w:val="00FE068B"/>
    <w:rsid w:val="00FE299B"/>
    <w:rsid w:val="00FE3088"/>
    <w:rsid w:val="00FE3214"/>
    <w:rsid w:val="00FE4A16"/>
    <w:rsid w:val="00FE7D40"/>
    <w:rsid w:val="00FF10DE"/>
    <w:rsid w:val="00FF2C8B"/>
    <w:rsid w:val="00FF541D"/>
    <w:rsid w:val="00FF61A8"/>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E9A5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uiPriority w:val="99"/>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NoSpacing">
    <w:name w:val="No Spacing"/>
    <w:uiPriority w:val="1"/>
    <w:qFormat/>
    <w:rsid w:val="00353DED"/>
    <w:rPr>
      <w:rFonts w:asciiTheme="minorHAnsi" w:eastAsiaTheme="minorHAnsi" w:hAnsiTheme="minorHAnsi" w:cstheme="minorBidi"/>
      <w:sz w:val="22"/>
      <w:szCs w:val="22"/>
      <w:lang w:eastAsia="en-US"/>
    </w:rPr>
  </w:style>
  <w:style w:type="paragraph" w:styleId="Revision">
    <w:name w:val="Revision"/>
    <w:hidden/>
    <w:uiPriority w:val="99"/>
    <w:semiHidden/>
    <w:rsid w:val="00AE6D9E"/>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uiPriority w:val="99"/>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NoSpacing">
    <w:name w:val="No Spacing"/>
    <w:uiPriority w:val="1"/>
    <w:qFormat/>
    <w:rsid w:val="00353DED"/>
    <w:rPr>
      <w:rFonts w:asciiTheme="minorHAnsi" w:eastAsiaTheme="minorHAnsi" w:hAnsiTheme="minorHAnsi" w:cstheme="minorBidi"/>
      <w:sz w:val="22"/>
      <w:szCs w:val="22"/>
      <w:lang w:eastAsia="en-US"/>
    </w:rPr>
  </w:style>
  <w:style w:type="paragraph" w:styleId="Revision">
    <w:name w:val="Revision"/>
    <w:hidden/>
    <w:uiPriority w:val="99"/>
    <w:semiHidden/>
    <w:rsid w:val="00AE6D9E"/>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8">
      <w:bodyDiv w:val="1"/>
      <w:marLeft w:val="0"/>
      <w:marRight w:val="0"/>
      <w:marTop w:val="0"/>
      <w:marBottom w:val="0"/>
      <w:divBdr>
        <w:top w:val="none" w:sz="0" w:space="0" w:color="auto"/>
        <w:left w:val="none" w:sz="0" w:space="0" w:color="auto"/>
        <w:bottom w:val="none" w:sz="0" w:space="0" w:color="auto"/>
        <w:right w:val="none" w:sz="0" w:space="0" w:color="auto"/>
      </w:divBdr>
    </w:div>
    <w:div w:id="116341839">
      <w:bodyDiv w:val="1"/>
      <w:marLeft w:val="0"/>
      <w:marRight w:val="0"/>
      <w:marTop w:val="0"/>
      <w:marBottom w:val="0"/>
      <w:divBdr>
        <w:top w:val="none" w:sz="0" w:space="0" w:color="auto"/>
        <w:left w:val="none" w:sz="0" w:space="0" w:color="auto"/>
        <w:bottom w:val="none" w:sz="0" w:space="0" w:color="auto"/>
        <w:right w:val="none" w:sz="0" w:space="0" w:color="auto"/>
      </w:divBdr>
    </w:div>
    <w:div w:id="277950294">
      <w:bodyDiv w:val="1"/>
      <w:marLeft w:val="0"/>
      <w:marRight w:val="0"/>
      <w:marTop w:val="0"/>
      <w:marBottom w:val="0"/>
      <w:divBdr>
        <w:top w:val="none" w:sz="0" w:space="0" w:color="auto"/>
        <w:left w:val="none" w:sz="0" w:space="0" w:color="auto"/>
        <w:bottom w:val="none" w:sz="0" w:space="0" w:color="auto"/>
        <w:right w:val="none" w:sz="0" w:space="0" w:color="auto"/>
      </w:divBdr>
    </w:div>
    <w:div w:id="368456927">
      <w:bodyDiv w:val="1"/>
      <w:marLeft w:val="0"/>
      <w:marRight w:val="0"/>
      <w:marTop w:val="0"/>
      <w:marBottom w:val="0"/>
      <w:divBdr>
        <w:top w:val="none" w:sz="0" w:space="0" w:color="auto"/>
        <w:left w:val="none" w:sz="0" w:space="0" w:color="auto"/>
        <w:bottom w:val="none" w:sz="0" w:space="0" w:color="auto"/>
        <w:right w:val="none" w:sz="0" w:space="0" w:color="auto"/>
      </w:divBdr>
    </w:div>
    <w:div w:id="536427997">
      <w:bodyDiv w:val="1"/>
      <w:marLeft w:val="0"/>
      <w:marRight w:val="0"/>
      <w:marTop w:val="0"/>
      <w:marBottom w:val="0"/>
      <w:divBdr>
        <w:top w:val="none" w:sz="0" w:space="0" w:color="auto"/>
        <w:left w:val="none" w:sz="0" w:space="0" w:color="auto"/>
        <w:bottom w:val="none" w:sz="0" w:space="0" w:color="auto"/>
        <w:right w:val="none" w:sz="0" w:space="0" w:color="auto"/>
      </w:divBdr>
    </w:div>
    <w:div w:id="610943022">
      <w:bodyDiv w:val="1"/>
      <w:marLeft w:val="0"/>
      <w:marRight w:val="0"/>
      <w:marTop w:val="0"/>
      <w:marBottom w:val="0"/>
      <w:divBdr>
        <w:top w:val="none" w:sz="0" w:space="0" w:color="auto"/>
        <w:left w:val="none" w:sz="0" w:space="0" w:color="auto"/>
        <w:bottom w:val="none" w:sz="0" w:space="0" w:color="auto"/>
        <w:right w:val="none" w:sz="0" w:space="0" w:color="auto"/>
      </w:divBdr>
    </w:div>
    <w:div w:id="688533040">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942032023">
      <w:bodyDiv w:val="1"/>
      <w:marLeft w:val="0"/>
      <w:marRight w:val="0"/>
      <w:marTop w:val="0"/>
      <w:marBottom w:val="0"/>
      <w:divBdr>
        <w:top w:val="none" w:sz="0" w:space="0" w:color="auto"/>
        <w:left w:val="none" w:sz="0" w:space="0" w:color="auto"/>
        <w:bottom w:val="none" w:sz="0" w:space="0" w:color="auto"/>
        <w:right w:val="none" w:sz="0" w:space="0" w:color="auto"/>
      </w:divBdr>
    </w:div>
    <w:div w:id="992028153">
      <w:bodyDiv w:val="1"/>
      <w:marLeft w:val="0"/>
      <w:marRight w:val="0"/>
      <w:marTop w:val="0"/>
      <w:marBottom w:val="0"/>
      <w:divBdr>
        <w:top w:val="none" w:sz="0" w:space="0" w:color="auto"/>
        <w:left w:val="none" w:sz="0" w:space="0" w:color="auto"/>
        <w:bottom w:val="none" w:sz="0" w:space="0" w:color="auto"/>
        <w:right w:val="none" w:sz="0" w:space="0" w:color="auto"/>
      </w:divBdr>
    </w:div>
    <w:div w:id="1085418406">
      <w:bodyDiv w:val="1"/>
      <w:marLeft w:val="0"/>
      <w:marRight w:val="0"/>
      <w:marTop w:val="0"/>
      <w:marBottom w:val="0"/>
      <w:divBdr>
        <w:top w:val="none" w:sz="0" w:space="0" w:color="auto"/>
        <w:left w:val="none" w:sz="0" w:space="0" w:color="auto"/>
        <w:bottom w:val="none" w:sz="0" w:space="0" w:color="auto"/>
        <w:right w:val="none" w:sz="0" w:space="0" w:color="auto"/>
      </w:divBdr>
    </w:div>
    <w:div w:id="1249383886">
      <w:bodyDiv w:val="1"/>
      <w:marLeft w:val="0"/>
      <w:marRight w:val="0"/>
      <w:marTop w:val="0"/>
      <w:marBottom w:val="0"/>
      <w:divBdr>
        <w:top w:val="none" w:sz="0" w:space="0" w:color="auto"/>
        <w:left w:val="none" w:sz="0" w:space="0" w:color="auto"/>
        <w:bottom w:val="none" w:sz="0" w:space="0" w:color="auto"/>
        <w:right w:val="none" w:sz="0" w:space="0" w:color="auto"/>
      </w:divBdr>
    </w:div>
    <w:div w:id="21436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2020FG-64-73527</_dlc_DocId>
    <_dlc_DocIdUrl xmlns="0f563589-9cf9-4143-b1eb-fb0534803d38">
      <Url>http://tweb/sites/fg/csrd/_layouts/15/DocIdRedir.aspx?ID=2020FG-64-73527</Url>
      <Description>2020FG-64-73527</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079F-41C4-486D-85EB-D074A22831CE}">
  <ds:schemaRefs>
    <ds:schemaRef ds:uri="Microsoft.SharePoint.Taxonomy.ContentTypeSync"/>
  </ds:schemaRefs>
</ds:datastoreItem>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654A87FD-9605-419C-ADF6-851E627BEBE5}">
  <ds:schemaRefs>
    <ds:schemaRef ds:uri="http://schemas.microsoft.com/office/2006/documentManagement/types"/>
    <ds:schemaRef ds:uri="http://purl.org/dc/dcmitype/"/>
    <ds:schemaRef ds:uri="http://schemas.openxmlformats.org/package/2006/metadata/core-properties"/>
    <ds:schemaRef ds:uri="http://schemas.microsoft.com/sharepoint/v3"/>
    <ds:schemaRef ds:uri="http://purl.org/dc/elements/1.1/"/>
    <ds:schemaRef ds:uri="http://purl.org/dc/terms/"/>
    <ds:schemaRef ds:uri="http://www.w3.org/XML/1998/namespace"/>
    <ds:schemaRef ds:uri="http://schemas.microsoft.com/office/2006/metadata/properties"/>
    <ds:schemaRef ds:uri="http://schemas.microsoft.com/sharepoint/v4"/>
    <ds:schemaRef ds:uri="http://schemas.microsoft.com/office/infopath/2007/PartnerControls"/>
    <ds:schemaRef ds:uri="e544e5cc-ab70-42e1-849e-1a0f8bb1f4ef"/>
  </ds:schemaRefs>
</ds:datastoreItem>
</file>

<file path=customXml/itemProps4.xml><?xml version="1.0" encoding="utf-8"?>
<ds:datastoreItem xmlns:ds="http://schemas.openxmlformats.org/officeDocument/2006/customXml" ds:itemID="{B2314E57-8315-408F-A064-F521D7E51FE6}">
  <ds:schemaRefs>
    <ds:schemaRef ds:uri="office.server.policy"/>
  </ds:schemaRefs>
</ds:datastoreItem>
</file>

<file path=customXml/itemProps5.xml><?xml version="1.0" encoding="utf-8"?>
<ds:datastoreItem xmlns:ds="http://schemas.openxmlformats.org/officeDocument/2006/customXml" ds:itemID="{3D48B768-61F2-4470-A93A-436CAC1A353F}"/>
</file>

<file path=customXml/itemProps6.xml><?xml version="1.0" encoding="utf-8"?>
<ds:datastoreItem xmlns:ds="http://schemas.openxmlformats.org/officeDocument/2006/customXml" ds:itemID="{84AEECAA-A519-459A-A32C-FEFC6286E195}">
  <ds:schemaRefs>
    <ds:schemaRef ds:uri="http://schemas.microsoft.com/sharepoint/events"/>
  </ds:schemaRefs>
</ds:datastoreItem>
</file>

<file path=customXml/itemProps7.xml><?xml version="1.0" encoding="utf-8"?>
<ds:datastoreItem xmlns:ds="http://schemas.openxmlformats.org/officeDocument/2006/customXml" ds:itemID="{8210BDA1-4A1F-42DA-AAB5-BDD0BF04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6</TotalTime>
  <Pages>13</Pages>
  <Words>4306</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Council of Australian Governments</dc:creator>
  <cp:keywords>[SEC=PROTECTED]</cp:keywords>
  <cp:lastModifiedBy>Le, Alan</cp:lastModifiedBy>
  <cp:revision>3</cp:revision>
  <cp:lastPrinted>2018-05-10T07:49:00Z</cp:lastPrinted>
  <dcterms:created xsi:type="dcterms:W3CDTF">2018-06-19T08:50:00Z</dcterms:created>
  <dcterms:modified xsi:type="dcterms:W3CDTF">2018-06-20T00:59:00Z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WebId">
    <vt:lpwstr>{a4589788-615f-4b8b-8296-7f9f6dfbab44}</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HPRMSecurityLevel">
    <vt:lpwstr>1;#UNCLASSIFIED|9c49a7c7-17c7-412f-8077-62dec89b9196</vt:lpwstr>
  </property>
  <property fmtid="{D5CDD505-2E9C-101B-9397-08002B2CF9AE}" pid="13" name="HPRMSecurityCaveat">
    <vt:lpwstr/>
  </property>
  <property fmtid="{D5CDD505-2E9C-101B-9397-08002B2CF9AE}" pid="14" name="_dlc_DocIdItemGuid">
    <vt:lpwstr>b6d602bb-912e-46a0-b411-126357b23027</vt:lpwstr>
  </property>
  <property fmtid="{D5CDD505-2E9C-101B-9397-08002B2CF9AE}" pid="15" name="RecordPoint_ActiveItemUniqueId">
    <vt:lpwstr>{b6d602bb-912e-46a0-b411-126357b23027}</vt:lpwstr>
  </property>
  <property fmtid="{D5CDD505-2E9C-101B-9397-08002B2CF9AE}" pid="16" name="RecordPoint_RecordNumberSubmitted">
    <vt:lpwstr>R0002257555</vt:lpwstr>
  </property>
  <property fmtid="{D5CDD505-2E9C-101B-9397-08002B2CF9AE}" pid="17" name="RecordPoint_SubmissionCompleted">
    <vt:lpwstr>2020-04-28T13:50:03.8288225+10:00</vt:lpwstr>
  </property>
  <property fmtid="{D5CDD505-2E9C-101B-9397-08002B2CF9AE}" pid="18" name="PM_Caveats_Count">
    <vt:lpwstr>0</vt:lpwstr>
  </property>
  <property fmtid="{D5CDD505-2E9C-101B-9397-08002B2CF9AE}" pid="19" name="PM_Originator_Hash_SHA1">
    <vt:lpwstr>A441CA52052A2DA5EEB78E78F72ECFEB0866F768</vt:lpwstr>
  </property>
  <property fmtid="{D5CDD505-2E9C-101B-9397-08002B2CF9AE}" pid="20" name="PM_SecurityClassification">
    <vt:lpwstr>PROTECTED</vt:lpwstr>
  </property>
  <property fmtid="{D5CDD505-2E9C-101B-9397-08002B2CF9AE}" pid="21" name="PM_DisplayValueSecClassificationWithQualifier">
    <vt:lpwstr>PROTECTED</vt:lpwstr>
  </property>
  <property fmtid="{D5CDD505-2E9C-101B-9397-08002B2CF9AE}" pid="22" name="PM_Qualifier">
    <vt:lpwstr/>
  </property>
  <property fmtid="{D5CDD505-2E9C-101B-9397-08002B2CF9AE}" pid="23" name="PM_InsertionValue">
    <vt:lpwstr>PROTECTED\r\n</vt:lpwstr>
  </property>
  <property fmtid="{D5CDD505-2E9C-101B-9397-08002B2CF9AE}" pid="24" name="PM_Hash_Salt">
    <vt:lpwstr>C9AB97DCCFA10A293A1B882CB49390D7</vt:lpwstr>
  </property>
  <property fmtid="{D5CDD505-2E9C-101B-9397-08002B2CF9AE}" pid="25" name="PM_Hash_Version">
    <vt:lpwstr>2014.2</vt:lpwstr>
  </property>
  <property fmtid="{D5CDD505-2E9C-101B-9397-08002B2CF9AE}" pid="26" name="PM_Hash_Salt_Prev">
    <vt:lpwstr>30DC5E3B634FD8230384E19C9DDEA649</vt:lpwstr>
  </property>
  <property fmtid="{D5CDD505-2E9C-101B-9397-08002B2CF9AE}" pid="27" name="PM_Hash_SHA1">
    <vt:lpwstr>F3F59482ED97780869EBE504CBA4E0C90D6E1E82</vt:lpwstr>
  </property>
  <property fmtid="{D5CDD505-2E9C-101B-9397-08002B2CF9AE}" pid="28" name="PM_SecurityClassification_Prev">
    <vt:lpwstr>PROTECTED</vt:lpwstr>
  </property>
  <property fmtid="{D5CDD505-2E9C-101B-9397-08002B2CF9AE}" pid="29" name="PM_Qualifier_Prev">
    <vt:lpwstr/>
  </property>
</Properties>
</file>