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9"/>
        <w:gridCol w:w="8160"/>
      </w:tblGrid>
      <w:tr w:rsidR="00D31036">
        <w:tc>
          <w:tcPr>
            <w:tcW w:w="5000" w:type="pct"/>
            <w:gridSpan w:val="2"/>
          </w:tcPr>
          <w:p w:rsidR="00A50E60" w:rsidRDefault="00BD6A96" w:rsidP="00A50E60">
            <w:pPr>
              <w:pStyle w:val="CoverTitleMain"/>
            </w:pPr>
            <w:bookmarkStart w:id="0" w:name="_GoBack"/>
            <w:bookmarkEnd w:id="0"/>
            <w:r>
              <w:t>Project AGreement</w:t>
            </w:r>
            <w:r w:rsidR="00C1049E">
              <w:t xml:space="preserve"> FOR</w:t>
            </w:r>
            <w:r w:rsidR="00292587">
              <w:t xml:space="preserve"> </w:t>
            </w:r>
            <w:r w:rsidR="00BF0507">
              <w:t>murray</w:t>
            </w:r>
            <w:r w:rsidR="00C1049E">
              <w:t>-</w:t>
            </w:r>
            <w:r w:rsidR="00BF0507">
              <w:t xml:space="preserve">darling </w:t>
            </w:r>
            <w:r w:rsidR="00946AE7">
              <w:t>basin water infrastructure</w:t>
            </w:r>
            <w:r w:rsidR="00A62ED5">
              <w:t>,</w:t>
            </w:r>
          </w:p>
          <w:p w:rsidR="00814667" w:rsidRDefault="00471AAC" w:rsidP="00A50E60">
            <w:pPr>
              <w:pStyle w:val="CoverTitleMain"/>
            </w:pPr>
            <w:r>
              <w:t>australian capital territory</w:t>
            </w:r>
            <w:r w:rsidR="00BF0507">
              <w:t>-led efficiency projects</w:t>
            </w:r>
          </w:p>
        </w:tc>
      </w:tr>
      <w:tr w:rsidR="00D31036">
        <w:tc>
          <w:tcPr>
            <w:tcW w:w="767" w:type="pct"/>
          </w:tcPr>
          <w:p w:rsidR="00814667" w:rsidRDefault="00814667">
            <w:pPr>
              <w:pStyle w:val="SingleParagraph"/>
              <w:tabs>
                <w:tab w:val="num" w:pos="1134"/>
              </w:tabs>
              <w:spacing w:after="240"/>
              <w:ind w:left="1134" w:hanging="567"/>
            </w:pPr>
          </w:p>
        </w:tc>
        <w:tc>
          <w:tcPr>
            <w:tcW w:w="4233" w:type="pct"/>
          </w:tcPr>
          <w:p w:rsidR="00814667" w:rsidRDefault="00814667">
            <w:pPr>
              <w:pStyle w:val="SingleParagraph"/>
              <w:tabs>
                <w:tab w:val="num" w:pos="1134"/>
              </w:tabs>
              <w:spacing w:after="240"/>
              <w:ind w:left="1134" w:hanging="567"/>
            </w:pPr>
          </w:p>
        </w:tc>
      </w:tr>
      <w:tr w:rsidR="00D31036">
        <w:tc>
          <w:tcPr>
            <w:tcW w:w="767" w:type="pct"/>
          </w:tcPr>
          <w:p w:rsidR="00814667" w:rsidRDefault="00814667">
            <w:pPr>
              <w:pStyle w:val="SingleParagraph"/>
              <w:tabs>
                <w:tab w:val="num" w:pos="1134"/>
              </w:tabs>
              <w:spacing w:after="240"/>
              <w:ind w:left="1134" w:hanging="567"/>
            </w:pPr>
          </w:p>
        </w:tc>
        <w:tc>
          <w:tcPr>
            <w:tcW w:w="4233" w:type="pct"/>
          </w:tcPr>
          <w:p w:rsidR="00814667" w:rsidRPr="001E74D0" w:rsidRDefault="00814667">
            <w:pPr>
              <w:pStyle w:val="SingleParagraph"/>
              <w:tabs>
                <w:tab w:val="num" w:pos="1134"/>
              </w:tabs>
              <w:spacing w:after="240"/>
              <w:ind w:left="1134" w:hanging="567"/>
            </w:pPr>
          </w:p>
        </w:tc>
      </w:tr>
      <w:tr w:rsidR="00D31036">
        <w:tc>
          <w:tcPr>
            <w:tcW w:w="5000" w:type="pct"/>
            <w:gridSpan w:val="2"/>
          </w:tcPr>
          <w:p w:rsidR="00814667" w:rsidRDefault="00BD6A96">
            <w:pPr>
              <w:pStyle w:val="AgreementHeading"/>
              <w:tabs>
                <w:tab w:val="clear" w:pos="1134"/>
              </w:tabs>
            </w:pPr>
            <w:r>
              <w:t>An agreement between</w:t>
            </w:r>
            <w:r w:rsidR="00697494">
              <w:t>:</w:t>
            </w:r>
          </w:p>
        </w:tc>
      </w:tr>
      <w:tr w:rsidR="00D31036">
        <w:tc>
          <w:tcPr>
            <w:tcW w:w="767" w:type="pct"/>
          </w:tcPr>
          <w:p w:rsidR="00814667" w:rsidRPr="001E74D0" w:rsidRDefault="00814667">
            <w:pPr>
              <w:pStyle w:val="AgreementHeading"/>
              <w:tabs>
                <w:tab w:val="clear" w:pos="1134"/>
              </w:tabs>
              <w:ind w:left="522"/>
            </w:pPr>
          </w:p>
        </w:tc>
        <w:tc>
          <w:tcPr>
            <w:tcW w:w="4233" w:type="pct"/>
          </w:tcPr>
          <w:p w:rsidR="00814667" w:rsidRDefault="00BD6A96">
            <w:pPr>
              <w:pStyle w:val="AgreementParties"/>
            </w:pPr>
            <w:r>
              <w:t xml:space="preserve">the </w:t>
            </w:r>
            <w:r>
              <w:rPr>
                <w:rStyle w:val="Bold"/>
              </w:rPr>
              <w:t>Commonwealth of Australia</w:t>
            </w:r>
            <w:r w:rsidR="00697494">
              <w:rPr>
                <w:rStyle w:val="Bold"/>
              </w:rPr>
              <w:t>;</w:t>
            </w:r>
            <w:r>
              <w:t xml:space="preserve"> and</w:t>
            </w:r>
          </w:p>
          <w:p w:rsidR="00814667" w:rsidRPr="004774B9" w:rsidRDefault="00471AAC" w:rsidP="00946AE7">
            <w:pPr>
              <w:pStyle w:val="AgreementParties"/>
              <w:rPr>
                <w:b/>
              </w:rPr>
            </w:pPr>
            <w:r>
              <w:rPr>
                <w:b/>
              </w:rPr>
              <w:t>the Australian Capital Territory</w:t>
            </w:r>
          </w:p>
        </w:tc>
      </w:tr>
      <w:tr w:rsidR="00D31036">
        <w:tc>
          <w:tcPr>
            <w:tcW w:w="767" w:type="pct"/>
          </w:tcPr>
          <w:p w:rsidR="00814667" w:rsidRDefault="00814667">
            <w:pPr>
              <w:pStyle w:val="SingleParagraph"/>
              <w:tabs>
                <w:tab w:val="num" w:pos="1134"/>
              </w:tabs>
              <w:spacing w:after="240"/>
              <w:ind w:left="1134" w:hanging="567"/>
            </w:pPr>
          </w:p>
        </w:tc>
        <w:tc>
          <w:tcPr>
            <w:tcW w:w="4233" w:type="pct"/>
            <w:tcBorders>
              <w:left w:val="nil"/>
            </w:tcBorders>
          </w:tcPr>
          <w:p w:rsidR="00EB7EDA" w:rsidRPr="00946AE7" w:rsidRDefault="00EB7EDA" w:rsidP="00946AE7">
            <w:pPr>
              <w:pStyle w:val="StatesList"/>
              <w:numPr>
                <w:ilvl w:val="0"/>
                <w:numId w:val="0"/>
              </w:numPr>
              <w:tabs>
                <w:tab w:val="clear" w:pos="1134"/>
              </w:tabs>
            </w:pPr>
          </w:p>
        </w:tc>
      </w:tr>
      <w:tr w:rsidR="00D31036">
        <w:tc>
          <w:tcPr>
            <w:tcW w:w="5000" w:type="pct"/>
            <w:gridSpan w:val="2"/>
          </w:tcPr>
          <w:p w:rsidR="00814667" w:rsidRDefault="00814667">
            <w:pPr>
              <w:pStyle w:val="SingleParagraph"/>
              <w:tabs>
                <w:tab w:val="num" w:pos="1134"/>
              </w:tabs>
              <w:spacing w:after="240"/>
              <w:ind w:left="1134" w:hanging="567"/>
            </w:pPr>
          </w:p>
        </w:tc>
      </w:tr>
      <w:tr w:rsidR="00D31036">
        <w:tc>
          <w:tcPr>
            <w:tcW w:w="5000" w:type="pct"/>
            <w:gridSpan w:val="2"/>
          </w:tcPr>
          <w:p w:rsidR="0009549D" w:rsidRPr="0009549D" w:rsidRDefault="0009549D" w:rsidP="00092323"/>
          <w:p w:rsidR="0009549D" w:rsidRPr="0009549D" w:rsidRDefault="0009549D" w:rsidP="0009549D"/>
          <w:p w:rsidR="0009549D" w:rsidRPr="0009549D" w:rsidRDefault="0009549D" w:rsidP="0009549D"/>
          <w:p w:rsidR="0009549D" w:rsidRPr="0009549D" w:rsidRDefault="0009549D" w:rsidP="0009549D"/>
          <w:p w:rsidR="00814667" w:rsidRPr="0009549D" w:rsidRDefault="00814667" w:rsidP="0009549D"/>
        </w:tc>
      </w:tr>
    </w:tbl>
    <w:p w:rsidR="00CD5112" w:rsidRPr="00CD5112" w:rsidRDefault="00BD6A96" w:rsidP="00CD5112">
      <w:pPr>
        <w:pageBreakBefore/>
        <w:spacing w:after="0" w:line="240" w:lineRule="auto"/>
        <w:jc w:val="left"/>
        <w:rPr>
          <w:color w:val="3D4B67"/>
          <w:sz w:val="72"/>
          <w:szCs w:val="48"/>
          <w:lang w:eastAsia="ja-JP"/>
        </w:rPr>
      </w:pPr>
      <w:r w:rsidRPr="00CD5112">
        <w:rPr>
          <w:color w:val="3D4B67"/>
          <w:sz w:val="72"/>
          <w:szCs w:val="48"/>
          <w:lang w:eastAsia="ja-JP"/>
        </w:rPr>
        <w:lastRenderedPageBreak/>
        <w:t>Project Agreement for Murray-Darling Basin Water Infrastructure</w:t>
      </w:r>
      <w:r w:rsidR="00E2044E">
        <w:rPr>
          <w:color w:val="3D4B67"/>
          <w:sz w:val="72"/>
          <w:szCs w:val="48"/>
          <w:lang w:eastAsia="ja-JP"/>
        </w:rPr>
        <w:t>,</w:t>
      </w:r>
      <w:r w:rsidRPr="00CD5112">
        <w:rPr>
          <w:color w:val="3D4B67"/>
          <w:sz w:val="72"/>
          <w:szCs w:val="48"/>
          <w:lang w:eastAsia="ja-JP"/>
        </w:rPr>
        <w:t xml:space="preserve"> </w:t>
      </w:r>
      <w:r w:rsidR="006161DF">
        <w:rPr>
          <w:color w:val="3D4B67"/>
          <w:sz w:val="72"/>
          <w:szCs w:val="48"/>
          <w:lang w:eastAsia="ja-JP"/>
        </w:rPr>
        <w:t>Australian Capital Territory</w:t>
      </w:r>
      <w:r w:rsidR="00946AE7">
        <w:rPr>
          <w:color w:val="3D4B67"/>
          <w:sz w:val="72"/>
          <w:szCs w:val="48"/>
          <w:lang w:eastAsia="ja-JP"/>
        </w:rPr>
        <w:t>-</w:t>
      </w:r>
      <w:r w:rsidRPr="00CD5112">
        <w:rPr>
          <w:color w:val="3D4B67"/>
          <w:sz w:val="72"/>
          <w:szCs w:val="48"/>
          <w:lang w:eastAsia="ja-JP"/>
        </w:rPr>
        <w:t xml:space="preserve">led </w:t>
      </w:r>
      <w:r w:rsidR="0066543C">
        <w:rPr>
          <w:color w:val="3D4B67"/>
          <w:sz w:val="72"/>
          <w:szCs w:val="48"/>
          <w:lang w:eastAsia="ja-JP"/>
        </w:rPr>
        <w:t>E</w:t>
      </w:r>
      <w:r w:rsidR="00946AE7">
        <w:rPr>
          <w:color w:val="3D4B67"/>
          <w:sz w:val="72"/>
          <w:szCs w:val="48"/>
          <w:lang w:eastAsia="ja-JP"/>
        </w:rPr>
        <w:t xml:space="preserve">fficiency </w:t>
      </w:r>
      <w:r w:rsidR="0066543C">
        <w:rPr>
          <w:color w:val="3D4B67"/>
          <w:sz w:val="72"/>
          <w:szCs w:val="48"/>
          <w:lang w:eastAsia="ja-JP"/>
        </w:rPr>
        <w:t>P</w:t>
      </w:r>
      <w:r w:rsidRPr="00CD5112">
        <w:rPr>
          <w:color w:val="3D4B67"/>
          <w:sz w:val="72"/>
          <w:szCs w:val="48"/>
          <w:lang w:eastAsia="ja-JP"/>
        </w:rPr>
        <w:t xml:space="preserve">rojects </w:t>
      </w:r>
    </w:p>
    <w:p w:rsidR="004B2EF6" w:rsidRPr="004B2EF6" w:rsidRDefault="00BD6A96"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rsidR="00C960AA" w:rsidRPr="0096732C" w:rsidRDefault="00BD6A96" w:rsidP="001741FF">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rsidR="0096732C" w:rsidRPr="004B1F38" w:rsidRDefault="00BD6A96"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rsidR="0096732C" w:rsidRDefault="00BD6A96" w:rsidP="001741FF">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DD3D14">
        <w:t>water recovery</w:t>
      </w:r>
      <w:r w:rsidR="00E71E48">
        <w:t xml:space="preserve"> for gap-bridging purposes and</w:t>
      </w:r>
      <w:r w:rsidR="00DD3D14">
        <w:t xml:space="preserve"> </w:t>
      </w:r>
      <w:r w:rsidR="00C47ED4">
        <w:t>State</w:t>
      </w:r>
      <w:r w:rsidR="00B263F0">
        <w:t xml:space="preserve">-led </w:t>
      </w:r>
      <w:r w:rsidR="00DD3D14">
        <w:t>efficiency measures</w:t>
      </w:r>
      <w:r w:rsidR="00B263F0">
        <w:t xml:space="preserve"> under the Murray-Darling Basin Water Infrastructure Program as agreed at the Murray-Darling Basin Ministerial Council meeting held on 8 June 2018.  At this meeting, Ministers agreed that Basin State and Territory governments could bring forward funding applications </w:t>
      </w:r>
      <w:r w:rsidR="00DD3D14">
        <w:t xml:space="preserve">for consideration </w:t>
      </w:r>
      <w:r w:rsidR="00B263F0">
        <w:t>directly to the</w:t>
      </w:r>
      <w:r w:rsidR="00FD59AC">
        <w:t xml:space="preserve"> Commonwealth</w:t>
      </w:r>
      <w:r w:rsidR="00B263F0">
        <w:t xml:space="preserve"> Department of Agriculture and Water Resources</w:t>
      </w:r>
      <w:r w:rsidR="00DD3D14">
        <w:t>.</w:t>
      </w:r>
      <w:r w:rsidR="00B263F0">
        <w:t xml:space="preserve"> </w:t>
      </w:r>
    </w:p>
    <w:p w:rsidR="0096732C" w:rsidRDefault="00BD6A96"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rsidR="0096732C" w:rsidRDefault="00AE287A" w:rsidP="00553B11">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Australian Capital Territory (ACT) </w:t>
      </w:r>
      <w:r w:rsidR="00770132">
        <w:t xml:space="preserve">will report against the agreed milestones </w:t>
      </w:r>
      <w:r w:rsidR="00041B50">
        <w:t xml:space="preserve">in each of the attached schedules </w:t>
      </w:r>
      <w:r w:rsidR="00770132">
        <w:t xml:space="preserve">during the operation of this Agreement, as set out in Part 4 – Project Milestones, Reporting and Payments. </w:t>
      </w:r>
    </w:p>
    <w:p w:rsidR="004362C1" w:rsidRPr="0096732C" w:rsidRDefault="00BD6A96"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r w:rsidR="00553B11">
        <w:rPr>
          <w:rFonts w:cs="Arial"/>
          <w:b/>
          <w:bCs/>
          <w:iCs/>
          <w:color w:val="3D4B67"/>
          <w:sz w:val="29"/>
          <w:szCs w:val="28"/>
        </w:rPr>
        <w:tab/>
      </w:r>
    </w:p>
    <w:p w:rsidR="0096732C" w:rsidRPr="004B1F38" w:rsidRDefault="00BD6A96" w:rsidP="00553B11">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The Commonwealth will provide financial contribution</w:t>
      </w:r>
      <w:r w:rsidR="00D51F0C">
        <w:t>s</w:t>
      </w:r>
      <w:r w:rsidRPr="007179FE">
        <w:t xml:space="preserve"> to </w:t>
      </w:r>
      <w:r w:rsidR="00AE287A">
        <w:t>the ACT</w:t>
      </w:r>
      <w:r w:rsidR="0024288C">
        <w:t xml:space="preserve"> </w:t>
      </w:r>
      <w:r w:rsidR="00D12FF3">
        <w:t>in respect of this Agreement</w:t>
      </w:r>
      <w:r w:rsidR="00F21423">
        <w:t xml:space="preserve"> up to a</w:t>
      </w:r>
      <w:r w:rsidR="002016C2">
        <w:t xml:space="preserve">n estimated </w:t>
      </w:r>
      <w:r w:rsidR="00F21423" w:rsidRPr="003B340C">
        <w:t>$</w:t>
      </w:r>
      <w:r w:rsidR="00E71E48">
        <w:t>50</w:t>
      </w:r>
      <w:r w:rsidR="00AE287A" w:rsidRPr="003B340C">
        <w:t xml:space="preserve"> </w:t>
      </w:r>
      <w:r w:rsidR="00F21423" w:rsidRPr="003B340C">
        <w:t>million</w:t>
      </w:r>
      <w:r w:rsidR="00D12FF3" w:rsidRPr="003B340C">
        <w:t>, as</w:t>
      </w:r>
      <w:r w:rsidR="00D12FF3">
        <w:t xml:space="preserve"> set out in Part 5 – Financial Arrangements </w:t>
      </w:r>
      <w:r w:rsidR="006B5497">
        <w:t xml:space="preserve">and </w:t>
      </w:r>
      <w:r w:rsidR="0024288C">
        <w:t xml:space="preserve">in individual </w:t>
      </w:r>
      <w:r w:rsidR="00CF03A8">
        <w:t xml:space="preserve">activity or </w:t>
      </w:r>
      <w:r w:rsidR="00D51F0C">
        <w:t xml:space="preserve">project </w:t>
      </w:r>
      <w:r w:rsidR="0024288C">
        <w:t>schedules</w:t>
      </w:r>
      <w:r w:rsidR="00D51F0C">
        <w:t xml:space="preserve"> to this Agreement</w:t>
      </w:r>
      <w:r w:rsidR="0024288C">
        <w:t>.</w:t>
      </w:r>
      <w:r w:rsidR="00A25265">
        <w:t xml:space="preserve"> </w:t>
      </w:r>
      <w:r w:rsidR="00901143">
        <w:br/>
      </w:r>
    </w:p>
    <w:p w:rsidR="00814667" w:rsidRDefault="00BD6A96">
      <w:pPr>
        <w:pStyle w:val="Heading1"/>
      </w:pPr>
      <w:r>
        <w:t>Part 1 — Formalities</w:t>
      </w:r>
    </w:p>
    <w:p w:rsidR="00804105" w:rsidRDefault="00BD6A96" w:rsidP="001741FF">
      <w:pPr>
        <w:pStyle w:val="Normalnumbered"/>
        <w:numPr>
          <w:ilvl w:val="0"/>
          <w:numId w:val="9"/>
        </w:numPr>
      </w:pPr>
      <w:r>
        <w:t>This Agreement</w:t>
      </w:r>
      <w:r w:rsidR="00151E3F">
        <w:t xml:space="preserve"> and its Schedules</w:t>
      </w:r>
      <w:r>
        <w:t xml:space="preserve"> constitute the entire agreement for this project.</w:t>
      </w:r>
    </w:p>
    <w:p w:rsidR="00DE5DF9" w:rsidRDefault="00BD6A96" w:rsidP="00571092">
      <w:pPr>
        <w:pStyle w:val="Normalnumbered"/>
        <w:numPr>
          <w:ilvl w:val="0"/>
          <w:numId w:val="9"/>
        </w:numPr>
      </w:pPr>
      <w:r w:rsidRPr="00571092">
        <w:t>The Basin Plan sets out limits to the available take from surface water. The Sustainable Diversion Limits (SDLs) represent a reduction of 2750</w:t>
      </w:r>
      <w:r w:rsidR="00901143">
        <w:t xml:space="preserve"> </w:t>
      </w:r>
      <w:r w:rsidR="00901143" w:rsidRPr="00571092">
        <w:t>gigalitres</w:t>
      </w:r>
      <w:r w:rsidRPr="00571092">
        <w:t xml:space="preserve"> </w:t>
      </w:r>
      <w:r w:rsidR="00901143">
        <w:t>(</w:t>
      </w:r>
      <w:r w:rsidRPr="00571092">
        <w:t>GL</w:t>
      </w:r>
      <w:r w:rsidR="00901143">
        <w:t>)</w:t>
      </w:r>
      <w:r w:rsidRPr="00571092">
        <w:t xml:space="preserve"> across the Basin and are in operation from 1 July 2019.</w:t>
      </w:r>
      <w:r w:rsidR="00E71E48">
        <w:t xml:space="preserve"> </w:t>
      </w:r>
      <w:r w:rsidR="00813E1D">
        <w:t xml:space="preserve">The ACT contribution to bridging the gap is a reduction of 4.9 Gl from the ACT Surface Water Baseline Diversion Limit to the Basin Plan ACT Surface Water SDL. </w:t>
      </w:r>
      <w:r w:rsidR="00E71E48">
        <w:t xml:space="preserve">Funding for infrastructure to recover water towards meeting the </w:t>
      </w:r>
      <w:r w:rsidR="00813E1D">
        <w:t>SDL</w:t>
      </w:r>
      <w:r w:rsidR="00E71E48">
        <w:t xml:space="preserve"> is through the Sustainable Rural Water and Use and Infrastructure Program.</w:t>
      </w:r>
    </w:p>
    <w:p w:rsidR="00B576AE" w:rsidRDefault="00BD6A96" w:rsidP="00571092">
      <w:pPr>
        <w:pStyle w:val="Normalnumbered"/>
        <w:numPr>
          <w:ilvl w:val="0"/>
          <w:numId w:val="9"/>
        </w:numPr>
      </w:pPr>
      <w:r w:rsidRPr="00571092">
        <w:t xml:space="preserve">Chapter 7 of the Basin Plan (Adjustments of SDLs) </w:t>
      </w:r>
      <w:r w:rsidR="007E503B" w:rsidRPr="00571092">
        <w:t>provi</w:t>
      </w:r>
      <w:r w:rsidR="007E503B">
        <w:t>des for adjustments</w:t>
      </w:r>
      <w:r w:rsidR="007E503B" w:rsidRPr="00571092">
        <w:t xml:space="preserve"> </w:t>
      </w:r>
      <w:r w:rsidRPr="00571092">
        <w:t xml:space="preserve">to the SDLs, both through measures to increase the water available for take (supply measures) and to decrease water that is required for consumption through improved efficiency (efficiency measures). </w:t>
      </w:r>
    </w:p>
    <w:p w:rsidR="000E39F4" w:rsidRDefault="00BD6A96" w:rsidP="00571092">
      <w:pPr>
        <w:pStyle w:val="Normalnumbered"/>
        <w:numPr>
          <w:ilvl w:val="0"/>
          <w:numId w:val="9"/>
        </w:numPr>
      </w:pPr>
      <w:r w:rsidRPr="00571092">
        <w:t>Chapter 7 details the commitment to efficiency</w:t>
      </w:r>
      <w:r>
        <w:t xml:space="preserve"> measures of an additional 450 </w:t>
      </w:r>
      <w:r w:rsidRPr="00571092">
        <w:t xml:space="preserve">GL </w:t>
      </w:r>
      <w:r w:rsidR="00DE5DF9" w:rsidRPr="00571092">
        <w:t>of environmental</w:t>
      </w:r>
      <w:r w:rsidRPr="00571092">
        <w:t xml:space="preserve"> water to improve the environmental outcomes (Schedule 5 of the Basin Plan </w:t>
      </w:r>
      <w:r w:rsidR="00DE5DF9" w:rsidRPr="00571092">
        <w:t>and Section</w:t>
      </w:r>
      <w:r w:rsidRPr="00571092">
        <w:t xml:space="preserve"> 86AA of the </w:t>
      </w:r>
      <w:r w:rsidRPr="0068572D">
        <w:rPr>
          <w:i/>
        </w:rPr>
        <w:t>Water Act 2007</w:t>
      </w:r>
      <w:r w:rsidRPr="00571092">
        <w:t>).  The additional 450 GL of environmental water is to be achieved with neutral or positive socio-economic outcomes by 30 June 2024. Out of the 450 GL, 62 GL are to be found by 30 June 2019.</w:t>
      </w:r>
    </w:p>
    <w:p w:rsidR="000E39F4" w:rsidRDefault="00BD6A96" w:rsidP="00E824C9">
      <w:pPr>
        <w:pStyle w:val="Normalnumbered"/>
        <w:numPr>
          <w:ilvl w:val="0"/>
          <w:numId w:val="9"/>
        </w:numPr>
        <w:jc w:val="left"/>
      </w:pPr>
      <w:r>
        <w:t xml:space="preserve">The </w:t>
      </w:r>
      <w:r w:rsidR="00E3485B" w:rsidRPr="0068572D">
        <w:rPr>
          <w:i/>
        </w:rPr>
        <w:t>Water Act 2007</w:t>
      </w:r>
      <w:r w:rsidR="00E3485B">
        <w:t xml:space="preserve"> </w:t>
      </w:r>
      <w:r w:rsidR="00571092">
        <w:t xml:space="preserve">(Section 86AD) </w:t>
      </w:r>
      <w:r>
        <w:t xml:space="preserve">sets out the purposes for which funding </w:t>
      </w:r>
      <w:r w:rsidR="000E384C">
        <w:t xml:space="preserve">to achieve the additional 450 GL </w:t>
      </w:r>
      <w:r>
        <w:t>can be expended, while the Basin Plan, at clause 7.13, establishes that notifications of projects that are able to be included as Efficiency Measures</w:t>
      </w:r>
      <w:r w:rsidR="00B576AE">
        <w:t xml:space="preserve"> must be maintained on a register of notifications by the </w:t>
      </w:r>
      <w:r w:rsidR="00AC722E">
        <w:t>Murray-Darling Basin Authority</w:t>
      </w:r>
      <w:r>
        <w:t xml:space="preserve">. The package of Efficiency Measure </w:t>
      </w:r>
      <w:r w:rsidR="00D51F0C">
        <w:t xml:space="preserve">notifications </w:t>
      </w:r>
      <w:r>
        <w:t xml:space="preserve">can be found at: </w:t>
      </w:r>
      <w:r w:rsidR="00901143" w:rsidRPr="00F306BD">
        <w:t>https://www.mdba.gov.au/sites/default/files/docs/Package-constraint-supply-efficiency-measures.pdf</w:t>
      </w:r>
      <w:r>
        <w:t>.</w:t>
      </w:r>
    </w:p>
    <w:p w:rsidR="007207FB" w:rsidRPr="007207FB" w:rsidRDefault="00BD6A96" w:rsidP="007207FB">
      <w:pPr>
        <w:pStyle w:val="ListParagraph"/>
        <w:numPr>
          <w:ilvl w:val="0"/>
          <w:numId w:val="9"/>
        </w:numPr>
        <w:rPr>
          <w:rFonts w:ascii="Corbel" w:hAnsi="Corbel"/>
          <w:color w:val="000000"/>
          <w:sz w:val="23"/>
          <w:szCs w:val="20"/>
        </w:rPr>
      </w:pPr>
      <w:r>
        <w:rPr>
          <w:rFonts w:ascii="Corbel" w:hAnsi="Corbel"/>
          <w:color w:val="000000"/>
          <w:sz w:val="23"/>
          <w:szCs w:val="20"/>
        </w:rPr>
        <w:t xml:space="preserve">State-led efficiency measure </w:t>
      </w:r>
      <w:r w:rsidRPr="007207FB">
        <w:rPr>
          <w:rFonts w:ascii="Corbel" w:hAnsi="Corbel"/>
          <w:color w:val="000000"/>
          <w:sz w:val="23"/>
          <w:szCs w:val="20"/>
        </w:rPr>
        <w:t xml:space="preserve">arrangements will complement the roll-out of Commonwealth-led efficiency measures as part of the Murray-Darling Basin Water Infrastructure Program, to progress the recovery of water through efficiency measures in either urban, industrial, off-farm, water metering and on-farm infrastructure projects.    </w:t>
      </w:r>
    </w:p>
    <w:p w:rsidR="00814667" w:rsidRDefault="00BD6A96">
      <w:pPr>
        <w:pStyle w:val="Heading2"/>
      </w:pPr>
      <w:r>
        <w:t>Parties to this Agreement</w:t>
      </w:r>
    </w:p>
    <w:p w:rsidR="007B4B03" w:rsidRPr="007B4B03" w:rsidRDefault="00BD6A96" w:rsidP="001741FF">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400D96">
        <w:t xml:space="preserve">the </w:t>
      </w:r>
      <w:r w:rsidR="00AE287A">
        <w:t>ACT.</w:t>
      </w:r>
    </w:p>
    <w:p w:rsidR="00814667" w:rsidRDefault="00BD6A96">
      <w:pPr>
        <w:pStyle w:val="Heading2"/>
      </w:pPr>
      <w:r>
        <w:t>Term of the Agreement</w:t>
      </w:r>
    </w:p>
    <w:p w:rsidR="00791C73" w:rsidRPr="00791C73" w:rsidRDefault="00BD6A96" w:rsidP="001741FF">
      <w:pPr>
        <w:pStyle w:val="Normalnumbered"/>
        <w:numPr>
          <w:ilvl w:val="0"/>
          <w:numId w:val="9"/>
        </w:numPr>
        <w:jc w:val="left"/>
      </w:pPr>
      <w:r w:rsidRPr="00791C73">
        <w:t xml:space="preserve">This Agreement will commence as soon as the Commonwealth and </w:t>
      </w:r>
      <w:r w:rsidR="00AE287A">
        <w:t>the ACT</w:t>
      </w:r>
      <w:r w:rsidR="000C2BE5">
        <w:t xml:space="preserve"> </w:t>
      </w:r>
      <w:r w:rsidRPr="00791C73">
        <w:t xml:space="preserve">sign </w:t>
      </w:r>
      <w:r w:rsidR="006B5497">
        <w:t>it</w:t>
      </w:r>
      <w:r w:rsidRPr="00791C73">
        <w:t xml:space="preserve"> and will expire on 30 June 2024</w:t>
      </w:r>
      <w:r w:rsidR="0024288C">
        <w:t>,</w:t>
      </w:r>
      <w:r w:rsidR="00344B3F">
        <w:t xml:space="preserve"> </w:t>
      </w:r>
      <w:r w:rsidR="004D3CA1">
        <w:t>or on completion of the project</w:t>
      </w:r>
      <w:r w:rsidR="007E503B">
        <w:t>(s) described in Schedule(s) to this Agreement</w:t>
      </w:r>
      <w:r w:rsidR="004D3CA1">
        <w:t xml:space="preserve">, including final performance reporting and processing of final payments against milestones, </w:t>
      </w:r>
      <w:r w:rsidR="0024288C">
        <w:t xml:space="preserve">unless terminated earlier </w:t>
      </w:r>
      <w:r w:rsidRPr="00791C73">
        <w:t>or extended as agreed in writing by the Parties.</w:t>
      </w:r>
    </w:p>
    <w:p w:rsidR="00784439" w:rsidRPr="009E093C" w:rsidRDefault="00BD6A96"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r w:rsidRPr="00784439">
        <w:rPr>
          <w:i/>
        </w:rPr>
        <w:t xml:space="preserve"> </w:t>
      </w:r>
    </w:p>
    <w:p w:rsidR="00814667" w:rsidRDefault="00BD6A96">
      <w:pPr>
        <w:pStyle w:val="Heading2"/>
      </w:pPr>
      <w:r>
        <w:t>Outputs</w:t>
      </w:r>
    </w:p>
    <w:p w:rsidR="00E36325" w:rsidRDefault="00BD6A96" w:rsidP="005201BF">
      <w:pPr>
        <w:pStyle w:val="Normalnumbered"/>
        <w:numPr>
          <w:ilvl w:val="0"/>
          <w:numId w:val="9"/>
        </w:numPr>
        <w:spacing w:after="80"/>
        <w:jc w:val="left"/>
      </w:pPr>
      <w:r w:rsidRPr="0024288C">
        <w:t xml:space="preserve">The outputs of this Agreement </w:t>
      </w:r>
      <w:r w:rsidR="00CE3977">
        <w:t>can include</w:t>
      </w:r>
      <w:r>
        <w:t>:</w:t>
      </w:r>
    </w:p>
    <w:p w:rsidR="008B1F73" w:rsidRPr="009644FC" w:rsidRDefault="00BD6A96" w:rsidP="009644FC">
      <w:pPr>
        <w:pStyle w:val="AlphaParagraph"/>
        <w:numPr>
          <w:ilvl w:val="0"/>
          <w:numId w:val="17"/>
        </w:numPr>
        <w:tabs>
          <w:tab w:val="clear" w:pos="567"/>
          <w:tab w:val="clear" w:pos="1418"/>
          <w:tab w:val="clear" w:pos="1701"/>
        </w:tabs>
        <w:ind w:left="1134" w:hanging="567"/>
        <w:rPr>
          <w:color w:val="auto"/>
        </w:rPr>
      </w:pPr>
      <w:r>
        <w:t>development of</w:t>
      </w:r>
      <w:r w:rsidRPr="009644FC">
        <w:rPr>
          <w:color w:val="auto"/>
        </w:rPr>
        <w:t xml:space="preserve"> </w:t>
      </w:r>
      <w:r w:rsidR="00D33370" w:rsidRPr="009644FC">
        <w:rPr>
          <w:color w:val="auto"/>
        </w:rPr>
        <w:t xml:space="preserve">feasibility studies, </w:t>
      </w:r>
      <w:r w:rsidR="009163FF" w:rsidRPr="009644FC">
        <w:rPr>
          <w:color w:val="auto"/>
        </w:rPr>
        <w:t>which</w:t>
      </w:r>
      <w:r w:rsidR="000A7626" w:rsidRPr="009644FC">
        <w:rPr>
          <w:color w:val="auto"/>
        </w:rPr>
        <w:t xml:space="preserve"> may include initial </w:t>
      </w:r>
      <w:r w:rsidR="00D33370" w:rsidRPr="009644FC">
        <w:rPr>
          <w:color w:val="auto"/>
        </w:rPr>
        <w:t>cost benefit analyses and technical reports;</w:t>
      </w:r>
    </w:p>
    <w:p w:rsidR="006043CA" w:rsidRPr="009644FC" w:rsidRDefault="00BD6A96" w:rsidP="009644FC">
      <w:pPr>
        <w:pStyle w:val="AlphaParagraph"/>
        <w:numPr>
          <w:ilvl w:val="0"/>
          <w:numId w:val="17"/>
        </w:numPr>
        <w:tabs>
          <w:tab w:val="clear" w:pos="567"/>
          <w:tab w:val="clear" w:pos="1418"/>
          <w:tab w:val="clear" w:pos="1701"/>
        </w:tabs>
        <w:ind w:left="1134" w:hanging="567"/>
        <w:rPr>
          <w:color w:val="auto"/>
        </w:rPr>
      </w:pPr>
      <w:r>
        <w:t xml:space="preserve">development of </w:t>
      </w:r>
      <w:r w:rsidR="00D33370" w:rsidRPr="009644FC">
        <w:rPr>
          <w:color w:val="auto"/>
        </w:rPr>
        <w:t>business cases</w:t>
      </w:r>
      <w:r w:rsidR="00953A4A" w:rsidRPr="009644FC">
        <w:rPr>
          <w:color w:val="auto"/>
        </w:rPr>
        <w:t xml:space="preserve"> </w:t>
      </w:r>
      <w:r w:rsidR="008B1F73" w:rsidRPr="009644FC">
        <w:rPr>
          <w:color w:val="auto"/>
        </w:rPr>
        <w:t>for efficiency measures water recovery projects</w:t>
      </w:r>
      <w:r w:rsidR="00953A4A" w:rsidRPr="009644FC">
        <w:rPr>
          <w:color w:val="auto"/>
        </w:rPr>
        <w:t xml:space="preserve">, in accordance with the requirements outlined in clauses </w:t>
      </w:r>
      <w:r w:rsidR="003B340C" w:rsidRPr="003B340C">
        <w:rPr>
          <w:color w:val="auto"/>
        </w:rPr>
        <w:t xml:space="preserve">23 </w:t>
      </w:r>
      <w:r w:rsidR="00953A4A" w:rsidRPr="003B340C">
        <w:rPr>
          <w:color w:val="auto"/>
        </w:rPr>
        <w:t xml:space="preserve">and </w:t>
      </w:r>
      <w:r w:rsidR="003B340C" w:rsidRPr="003B340C">
        <w:rPr>
          <w:color w:val="auto"/>
        </w:rPr>
        <w:t xml:space="preserve">24 </w:t>
      </w:r>
      <w:r w:rsidR="00953A4A" w:rsidRPr="003B340C">
        <w:rPr>
          <w:color w:val="auto"/>
        </w:rPr>
        <w:t>of</w:t>
      </w:r>
      <w:r w:rsidR="00953A4A" w:rsidRPr="009644FC">
        <w:rPr>
          <w:color w:val="auto"/>
        </w:rPr>
        <w:t xml:space="preserve"> this Agreement; and</w:t>
      </w:r>
    </w:p>
    <w:p w:rsidR="006043CA" w:rsidRPr="009644FC" w:rsidRDefault="00BD2E8C" w:rsidP="009644FC">
      <w:pPr>
        <w:pStyle w:val="AlphaParagraph"/>
        <w:numPr>
          <w:ilvl w:val="0"/>
          <w:numId w:val="17"/>
        </w:numPr>
        <w:tabs>
          <w:tab w:val="clear" w:pos="567"/>
          <w:tab w:val="clear" w:pos="1418"/>
          <w:tab w:val="clear" w:pos="1701"/>
        </w:tabs>
        <w:ind w:left="1134" w:hanging="567"/>
        <w:rPr>
          <w:color w:val="auto"/>
        </w:rPr>
      </w:pPr>
      <w:r w:rsidRPr="009644FC">
        <w:rPr>
          <w:color w:val="auto"/>
        </w:rPr>
        <w:t>Implementation</w:t>
      </w:r>
      <w:r w:rsidR="00CE3977">
        <w:rPr>
          <w:color w:val="auto"/>
        </w:rPr>
        <w:t xml:space="preserve"> of</w:t>
      </w:r>
      <w:r w:rsidR="00BD6A96" w:rsidRPr="009644FC">
        <w:rPr>
          <w:color w:val="auto"/>
        </w:rPr>
        <w:t xml:space="preserve"> agreed</w:t>
      </w:r>
      <w:r w:rsidR="00D33370" w:rsidRPr="009644FC">
        <w:rPr>
          <w:color w:val="auto"/>
        </w:rPr>
        <w:t xml:space="preserve"> projects that achieve water recovery with neutral or improved social and economic outcomes.</w:t>
      </w:r>
    </w:p>
    <w:p w:rsidR="00BB239A" w:rsidRDefault="00BD6A96">
      <w:pPr>
        <w:pStyle w:val="Normalnumbered"/>
        <w:numPr>
          <w:ilvl w:val="0"/>
          <w:numId w:val="9"/>
        </w:numPr>
        <w:jc w:val="left"/>
      </w:pPr>
      <w:r w:rsidRPr="00E45EC0">
        <w:t xml:space="preserve">Proposals will be considered for investment </w:t>
      </w:r>
      <w:r>
        <w:t xml:space="preserve">according to </w:t>
      </w:r>
      <w:r w:rsidR="002E16EF">
        <w:t>the</w:t>
      </w:r>
      <w:r w:rsidR="00AC4B66">
        <w:t>ir</w:t>
      </w:r>
      <w:r w:rsidR="002E16EF">
        <w:t xml:space="preserve"> </w:t>
      </w:r>
      <w:r>
        <w:t xml:space="preserve">maturity </w:t>
      </w:r>
      <w:r w:rsidR="00242D7E">
        <w:t xml:space="preserve">or </w:t>
      </w:r>
      <w:r w:rsidR="00AC4B66">
        <w:t xml:space="preserve">the </w:t>
      </w:r>
      <w:r w:rsidR="00242D7E">
        <w:t>stage of development</w:t>
      </w:r>
      <w:r w:rsidR="000317F6" w:rsidRPr="000317F6">
        <w:t xml:space="preserve"> </w:t>
      </w:r>
      <w:r w:rsidR="000317F6">
        <w:t>that the proposal has attained</w:t>
      </w:r>
      <w:r w:rsidR="002214A0">
        <w:t xml:space="preserve"> (see Table 1 </w:t>
      </w:r>
      <w:r w:rsidR="00CD5A3A">
        <w:t>b</w:t>
      </w:r>
      <w:r w:rsidR="002214A0">
        <w:t>elow</w:t>
      </w:r>
      <w:r w:rsidR="00136B19">
        <w:t>)</w:t>
      </w:r>
      <w:r w:rsidR="00242D7E">
        <w:t xml:space="preserve">. </w:t>
      </w:r>
      <w:r w:rsidR="00901143">
        <w:t>Decisions</w:t>
      </w:r>
      <w:r w:rsidR="00242D7E">
        <w:t xml:space="preserve"> </w:t>
      </w:r>
      <w:r w:rsidR="002E16EF">
        <w:t xml:space="preserve">will </w:t>
      </w:r>
      <w:r>
        <w:t xml:space="preserve">take into </w:t>
      </w:r>
      <w:r w:rsidR="002E16EF">
        <w:t>consider</w:t>
      </w:r>
      <w:r>
        <w:t>ation</w:t>
      </w:r>
      <w:r w:rsidR="002E16EF">
        <w:t xml:space="preserve"> if</w:t>
      </w:r>
      <w:r w:rsidR="00242D7E">
        <w:t xml:space="preserve"> the proposal </w:t>
      </w:r>
      <w:r w:rsidR="002E16EF">
        <w:t>should</w:t>
      </w:r>
      <w:r w:rsidRPr="00E45EC0">
        <w:t xml:space="preserve"> progress </w:t>
      </w:r>
      <w:r>
        <w:t>to the next phase</w:t>
      </w:r>
      <w:r w:rsidRPr="00E45EC0">
        <w:t xml:space="preserve"> of development </w:t>
      </w:r>
      <w:r>
        <w:t xml:space="preserve">or </w:t>
      </w:r>
      <w:r w:rsidR="00901143">
        <w:t>if</w:t>
      </w:r>
      <w:r w:rsidR="002E16EF">
        <w:t xml:space="preserve"> a business case should receive</w:t>
      </w:r>
      <w:r w:rsidR="000317F6">
        <w:t xml:space="preserve"> Commonwealth </w:t>
      </w:r>
      <w:r w:rsidR="002E16EF">
        <w:t xml:space="preserve">investment </w:t>
      </w:r>
      <w:r>
        <w:t xml:space="preserve">for </w:t>
      </w:r>
      <w:r w:rsidR="00242D7E">
        <w:t xml:space="preserve">final </w:t>
      </w:r>
      <w:r>
        <w:t>delivery of the project.</w:t>
      </w:r>
    </w:p>
    <w:p w:rsidR="00136B19" w:rsidRDefault="00BD6A96" w:rsidP="00136B19">
      <w:pPr>
        <w:pStyle w:val="Normalnumbered"/>
        <w:numPr>
          <w:ilvl w:val="0"/>
          <w:numId w:val="9"/>
        </w:numPr>
        <w:jc w:val="left"/>
      </w:pPr>
      <w:r>
        <w:t xml:space="preserve">Proposals or </w:t>
      </w:r>
      <w:r w:rsidRPr="00195887">
        <w:t>projects</w:t>
      </w:r>
      <w:r w:rsidRPr="009A14F4">
        <w:t xml:space="preserve"> </w:t>
      </w:r>
      <w:r>
        <w:t xml:space="preserve">that are agreed </w:t>
      </w:r>
      <w:r w:rsidRPr="009A14F4">
        <w:t xml:space="preserve">will </w:t>
      </w:r>
      <w:r w:rsidRPr="00195887">
        <w:t xml:space="preserve">be </w:t>
      </w:r>
      <w:r w:rsidRPr="009A14F4">
        <w:t>implement</w:t>
      </w:r>
      <w:r w:rsidRPr="00195887">
        <w:t>ed</w:t>
      </w:r>
      <w:r w:rsidRPr="009A14F4">
        <w:t xml:space="preserve"> </w:t>
      </w:r>
      <w:r w:rsidRPr="00195887">
        <w:t xml:space="preserve">through a </w:t>
      </w:r>
      <w:r w:rsidRPr="009A14F4">
        <w:t>schedule added to this</w:t>
      </w:r>
      <w:r w:rsidR="00693BE8">
        <w:t xml:space="preserve"> Agreement</w:t>
      </w:r>
      <w:r w:rsidRPr="009A14F4">
        <w:t xml:space="preserve"> </w:t>
      </w:r>
      <w:r>
        <w:t>or another p</w:t>
      </w:r>
      <w:r w:rsidRPr="009A14F4">
        <w:t xml:space="preserve">roject </w:t>
      </w:r>
      <w:r>
        <w:t>a</w:t>
      </w:r>
      <w:r w:rsidRPr="009A14F4">
        <w:t>greement</w:t>
      </w:r>
      <w:r w:rsidRPr="00AD3203">
        <w:t xml:space="preserve">. </w:t>
      </w:r>
      <w:r>
        <w:t>S</w:t>
      </w:r>
      <w:r w:rsidRPr="00AD3203">
        <w:t xml:space="preserve">chedules will be </w:t>
      </w:r>
      <w:r w:rsidR="00693BE8">
        <w:t>informed by</w:t>
      </w:r>
      <w:r w:rsidRPr="00AD3203">
        <w:t xml:space="preserve"> </w:t>
      </w:r>
      <w:r>
        <w:t xml:space="preserve">the </w:t>
      </w:r>
      <w:r w:rsidRPr="00AD3203">
        <w:t xml:space="preserve">information provided </w:t>
      </w:r>
      <w:r>
        <w:t xml:space="preserve">at the latest stage of development </w:t>
      </w:r>
      <w:r w:rsidRPr="00AD3203">
        <w:t xml:space="preserve">and will be agreed </w:t>
      </w:r>
      <w:r w:rsidRPr="00195887">
        <w:t>by the Commonwealth</w:t>
      </w:r>
      <w:r w:rsidR="00693BE8">
        <w:t xml:space="preserve"> and </w:t>
      </w:r>
      <w:r w:rsidR="00AE287A">
        <w:t>the ACT.</w:t>
      </w:r>
      <w:r w:rsidRPr="00195887">
        <w:t xml:space="preserve"> </w:t>
      </w:r>
    </w:p>
    <w:p w:rsidR="002214A0" w:rsidRPr="002214A0" w:rsidRDefault="00BD6A96" w:rsidP="00693BE8">
      <w:pPr>
        <w:pStyle w:val="Normalnumbered"/>
        <w:keepNext/>
        <w:numPr>
          <w:ilvl w:val="0"/>
          <w:numId w:val="0"/>
        </w:numPr>
        <w:jc w:val="left"/>
        <w:rPr>
          <w:b/>
        </w:rPr>
      </w:pPr>
      <w:r w:rsidRPr="002214A0">
        <w:rPr>
          <w:b/>
        </w:rPr>
        <w:t xml:space="preserve">Table 1. </w:t>
      </w:r>
      <w:r>
        <w:rPr>
          <w:b/>
        </w:rPr>
        <w:t>P</w:t>
      </w:r>
      <w:r w:rsidR="00693BE8">
        <w:rPr>
          <w:b/>
        </w:rPr>
        <w:t>roposal development and outputs</w:t>
      </w:r>
    </w:p>
    <w:tbl>
      <w:tblPr>
        <w:tblStyle w:val="TableGrid1"/>
        <w:tblW w:w="0" w:type="auto"/>
        <w:tblLook w:val="04A0" w:firstRow="1" w:lastRow="0" w:firstColumn="1" w:lastColumn="0" w:noHBand="0" w:noVBand="1"/>
      </w:tblPr>
      <w:tblGrid>
        <w:gridCol w:w="3123"/>
        <w:gridCol w:w="3252"/>
        <w:gridCol w:w="3253"/>
      </w:tblGrid>
      <w:tr w:rsidR="00D31036" w:rsidTr="00921A69">
        <w:trPr>
          <w:trHeight w:val="731"/>
        </w:trPr>
        <w:tc>
          <w:tcPr>
            <w:tcW w:w="3123" w:type="dxa"/>
          </w:tcPr>
          <w:p w:rsidR="00242D7E" w:rsidRPr="00693BE8" w:rsidRDefault="00BD6A96" w:rsidP="00693BE8">
            <w:pPr>
              <w:keepNext/>
              <w:spacing w:before="120" w:after="120" w:line="240" w:lineRule="auto"/>
              <w:jc w:val="left"/>
              <w:rPr>
                <w:color w:val="auto"/>
                <w:szCs w:val="23"/>
                <w:lang w:eastAsia="ja-JP"/>
              </w:rPr>
            </w:pPr>
            <w:r w:rsidRPr="00693BE8">
              <w:rPr>
                <w:b/>
                <w:color w:val="auto"/>
                <w:szCs w:val="23"/>
                <w:lang w:eastAsia="ja-JP"/>
              </w:rPr>
              <w:t>State proposal</w:t>
            </w:r>
            <w:r w:rsidRPr="00693BE8">
              <w:rPr>
                <w:color w:val="auto"/>
                <w:szCs w:val="23"/>
                <w:lang w:eastAsia="ja-JP"/>
              </w:rPr>
              <w:t xml:space="preserve"> </w:t>
            </w:r>
          </w:p>
          <w:p w:rsidR="00242D7E" w:rsidRPr="00693BE8" w:rsidRDefault="00BD6A96" w:rsidP="00693BE8">
            <w:pPr>
              <w:keepNext/>
              <w:spacing w:before="120" w:after="120" w:line="240" w:lineRule="auto"/>
              <w:jc w:val="left"/>
              <w:rPr>
                <w:color w:val="auto"/>
                <w:szCs w:val="23"/>
                <w:lang w:eastAsia="ja-JP"/>
              </w:rPr>
            </w:pPr>
            <w:r w:rsidRPr="00693BE8">
              <w:rPr>
                <w:color w:val="auto"/>
                <w:szCs w:val="23"/>
                <w:lang w:eastAsia="ja-JP"/>
              </w:rPr>
              <w:t>-stage of development</w:t>
            </w:r>
          </w:p>
        </w:tc>
        <w:tc>
          <w:tcPr>
            <w:tcW w:w="3252" w:type="dxa"/>
          </w:tcPr>
          <w:p w:rsidR="00242D7E" w:rsidRPr="00693BE8" w:rsidRDefault="00BD6A96" w:rsidP="00693BE8">
            <w:pPr>
              <w:keepNext/>
              <w:spacing w:before="120" w:after="120" w:line="240" w:lineRule="auto"/>
              <w:jc w:val="left"/>
              <w:rPr>
                <w:color w:val="auto"/>
                <w:szCs w:val="23"/>
                <w:lang w:eastAsia="ja-JP"/>
              </w:rPr>
            </w:pPr>
            <w:r w:rsidRPr="00693BE8">
              <w:rPr>
                <w:b/>
                <w:color w:val="auto"/>
                <w:szCs w:val="23"/>
                <w:lang w:eastAsia="ja-JP"/>
              </w:rPr>
              <w:t>Funding decision</w:t>
            </w:r>
            <w:r w:rsidRPr="00693BE8">
              <w:rPr>
                <w:color w:val="auto"/>
                <w:szCs w:val="23"/>
                <w:lang w:eastAsia="ja-JP"/>
              </w:rPr>
              <w:t xml:space="preserve"> </w:t>
            </w:r>
          </w:p>
          <w:p w:rsidR="00242D7E" w:rsidRPr="00693BE8" w:rsidRDefault="00BD6A96" w:rsidP="00693BE8">
            <w:pPr>
              <w:keepNext/>
              <w:spacing w:before="120" w:after="120" w:line="240" w:lineRule="auto"/>
              <w:jc w:val="left"/>
              <w:rPr>
                <w:color w:val="auto"/>
                <w:szCs w:val="23"/>
                <w:lang w:eastAsia="ja-JP"/>
              </w:rPr>
            </w:pPr>
            <w:r w:rsidRPr="00693BE8">
              <w:rPr>
                <w:color w:val="auto"/>
                <w:szCs w:val="23"/>
                <w:lang w:eastAsia="ja-JP"/>
              </w:rPr>
              <w:t>-by Commonwealth</w:t>
            </w:r>
          </w:p>
        </w:tc>
        <w:tc>
          <w:tcPr>
            <w:tcW w:w="3253" w:type="dxa"/>
          </w:tcPr>
          <w:p w:rsidR="00242D7E" w:rsidRPr="00693BE8" w:rsidRDefault="00BD6A96" w:rsidP="00693BE8">
            <w:pPr>
              <w:keepNext/>
              <w:spacing w:before="120" w:after="120" w:line="240" w:lineRule="auto"/>
              <w:jc w:val="left"/>
              <w:rPr>
                <w:b/>
                <w:color w:val="auto"/>
                <w:szCs w:val="23"/>
                <w:lang w:eastAsia="ja-JP"/>
              </w:rPr>
            </w:pPr>
            <w:r w:rsidRPr="00693BE8">
              <w:rPr>
                <w:b/>
                <w:color w:val="auto"/>
                <w:szCs w:val="23"/>
                <w:lang w:eastAsia="ja-JP"/>
              </w:rPr>
              <w:t>Project Output</w:t>
            </w:r>
          </w:p>
        </w:tc>
      </w:tr>
      <w:tr w:rsidR="00D31036" w:rsidTr="00921A69">
        <w:tc>
          <w:tcPr>
            <w:tcW w:w="3123"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Initial or concept proposal</w:t>
            </w:r>
          </w:p>
        </w:tc>
        <w:tc>
          <w:tcPr>
            <w:tcW w:w="3252"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Will be considered for feasibility development funding</w:t>
            </w:r>
            <w:r w:rsidR="003F5B65">
              <w:rPr>
                <w:color w:val="auto"/>
                <w:szCs w:val="23"/>
                <w:lang w:eastAsia="ja-JP"/>
              </w:rPr>
              <w:t xml:space="preserve"> or business case development funding</w:t>
            </w:r>
          </w:p>
        </w:tc>
        <w:tc>
          <w:tcPr>
            <w:tcW w:w="3253"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 xml:space="preserve">Feasibility </w:t>
            </w:r>
            <w:r w:rsidR="00460DBB" w:rsidRPr="00693BE8">
              <w:rPr>
                <w:color w:val="auto"/>
                <w:szCs w:val="23"/>
                <w:lang w:eastAsia="ja-JP"/>
              </w:rPr>
              <w:t>s</w:t>
            </w:r>
            <w:r w:rsidRPr="00693BE8">
              <w:rPr>
                <w:color w:val="auto"/>
                <w:szCs w:val="23"/>
                <w:lang w:eastAsia="ja-JP"/>
              </w:rPr>
              <w:t>tudy</w:t>
            </w:r>
            <w:r w:rsidR="003F5B65">
              <w:rPr>
                <w:color w:val="auto"/>
                <w:szCs w:val="23"/>
                <w:lang w:eastAsia="ja-JP"/>
              </w:rPr>
              <w:t xml:space="preserve"> or business case</w:t>
            </w:r>
          </w:p>
          <w:p w:rsidR="00242D7E" w:rsidRPr="00693BE8" w:rsidRDefault="00242D7E" w:rsidP="00693BE8">
            <w:pPr>
              <w:spacing w:before="120" w:after="120" w:line="240" w:lineRule="auto"/>
              <w:jc w:val="left"/>
              <w:rPr>
                <w:color w:val="auto"/>
                <w:szCs w:val="23"/>
                <w:lang w:eastAsia="ja-JP"/>
              </w:rPr>
            </w:pPr>
          </w:p>
        </w:tc>
      </w:tr>
      <w:tr w:rsidR="00D31036" w:rsidTr="00921A69">
        <w:tc>
          <w:tcPr>
            <w:tcW w:w="3123"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 xml:space="preserve">Feasibility </w:t>
            </w:r>
            <w:r w:rsidR="00460DBB" w:rsidRPr="00693BE8">
              <w:rPr>
                <w:color w:val="auto"/>
                <w:szCs w:val="23"/>
                <w:lang w:eastAsia="ja-JP"/>
              </w:rPr>
              <w:t>s</w:t>
            </w:r>
            <w:r w:rsidRPr="00693BE8">
              <w:rPr>
                <w:color w:val="auto"/>
                <w:szCs w:val="23"/>
                <w:lang w:eastAsia="ja-JP"/>
              </w:rPr>
              <w:t>tudy</w:t>
            </w:r>
          </w:p>
        </w:tc>
        <w:tc>
          <w:tcPr>
            <w:tcW w:w="3252"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Will be considered for business case development funding</w:t>
            </w:r>
          </w:p>
        </w:tc>
        <w:tc>
          <w:tcPr>
            <w:tcW w:w="3253"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 xml:space="preserve">Business </w:t>
            </w:r>
            <w:r w:rsidR="00460DBB" w:rsidRPr="00693BE8">
              <w:rPr>
                <w:color w:val="auto"/>
                <w:szCs w:val="23"/>
                <w:lang w:eastAsia="ja-JP"/>
              </w:rPr>
              <w:t>c</w:t>
            </w:r>
            <w:r w:rsidRPr="00693BE8">
              <w:rPr>
                <w:color w:val="auto"/>
                <w:szCs w:val="23"/>
                <w:lang w:eastAsia="ja-JP"/>
              </w:rPr>
              <w:t>ase</w:t>
            </w:r>
          </w:p>
        </w:tc>
      </w:tr>
      <w:tr w:rsidR="00D31036" w:rsidTr="00921A69">
        <w:tc>
          <w:tcPr>
            <w:tcW w:w="3123"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 xml:space="preserve">Business </w:t>
            </w:r>
            <w:r w:rsidR="00460DBB" w:rsidRPr="00693BE8">
              <w:rPr>
                <w:color w:val="auto"/>
                <w:szCs w:val="23"/>
                <w:lang w:eastAsia="ja-JP"/>
              </w:rPr>
              <w:t>c</w:t>
            </w:r>
            <w:r w:rsidRPr="00693BE8">
              <w:rPr>
                <w:color w:val="auto"/>
                <w:szCs w:val="23"/>
                <w:lang w:eastAsia="ja-JP"/>
              </w:rPr>
              <w:t xml:space="preserve">ase </w:t>
            </w:r>
            <w:r w:rsidR="003F5B65">
              <w:rPr>
                <w:color w:val="auto"/>
                <w:szCs w:val="23"/>
                <w:lang w:eastAsia="ja-JP"/>
              </w:rPr>
              <w:t>or project proposal</w:t>
            </w:r>
          </w:p>
        </w:tc>
        <w:tc>
          <w:tcPr>
            <w:tcW w:w="3252"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Will be considered for project implementation funding</w:t>
            </w:r>
          </w:p>
        </w:tc>
        <w:tc>
          <w:tcPr>
            <w:tcW w:w="3253" w:type="dxa"/>
          </w:tcPr>
          <w:p w:rsidR="00242D7E" w:rsidRPr="00693BE8" w:rsidRDefault="00BD6A96" w:rsidP="00693BE8">
            <w:pPr>
              <w:spacing w:before="120" w:after="120" w:line="240" w:lineRule="auto"/>
              <w:jc w:val="left"/>
              <w:rPr>
                <w:color w:val="auto"/>
                <w:szCs w:val="23"/>
                <w:lang w:eastAsia="ja-JP"/>
              </w:rPr>
            </w:pPr>
            <w:r w:rsidRPr="00693BE8">
              <w:rPr>
                <w:color w:val="auto"/>
                <w:szCs w:val="23"/>
                <w:lang w:eastAsia="ja-JP"/>
              </w:rPr>
              <w:t xml:space="preserve">Project implementation schedule and delivery of </w:t>
            </w:r>
            <w:r w:rsidR="005618CA" w:rsidRPr="00693BE8">
              <w:rPr>
                <w:color w:val="auto"/>
                <w:szCs w:val="23"/>
                <w:lang w:eastAsia="ja-JP"/>
              </w:rPr>
              <w:t xml:space="preserve">the </w:t>
            </w:r>
            <w:r w:rsidRPr="00693BE8">
              <w:rPr>
                <w:color w:val="auto"/>
                <w:szCs w:val="23"/>
                <w:lang w:eastAsia="ja-JP"/>
              </w:rPr>
              <w:t>project</w:t>
            </w:r>
          </w:p>
        </w:tc>
      </w:tr>
    </w:tbl>
    <w:p w:rsidR="00242D7E" w:rsidRDefault="00242D7E" w:rsidP="000317F6">
      <w:pPr>
        <w:pStyle w:val="Normalnumbered"/>
        <w:numPr>
          <w:ilvl w:val="0"/>
          <w:numId w:val="0"/>
        </w:numPr>
        <w:ind w:left="567"/>
        <w:jc w:val="left"/>
      </w:pPr>
    </w:p>
    <w:p w:rsidR="0007038D" w:rsidRPr="0024288C" w:rsidRDefault="00AE287A" w:rsidP="001741FF">
      <w:pPr>
        <w:pStyle w:val="Normalnumbered"/>
        <w:numPr>
          <w:ilvl w:val="0"/>
          <w:numId w:val="9"/>
        </w:numPr>
        <w:jc w:val="left"/>
      </w:pPr>
      <w:r>
        <w:t xml:space="preserve">The ACT’s </w:t>
      </w:r>
      <w:r w:rsidR="000836E5">
        <w:t>proposals</w:t>
      </w:r>
      <w:r w:rsidR="008E7D1B">
        <w:t xml:space="preserve"> </w:t>
      </w:r>
      <w:r w:rsidR="000836E5">
        <w:t xml:space="preserve">for </w:t>
      </w:r>
      <w:r w:rsidR="00DE7AB2">
        <w:t xml:space="preserve">development </w:t>
      </w:r>
      <w:r w:rsidR="009E1568">
        <w:t>as part of this Agreement</w:t>
      </w:r>
      <w:r w:rsidR="00A65654">
        <w:t xml:space="preserve"> may</w:t>
      </w:r>
      <w:r w:rsidR="009E1568">
        <w:t xml:space="preserve"> </w:t>
      </w:r>
      <w:r w:rsidR="00DE7AB2">
        <w:t>include</w:t>
      </w:r>
      <w:r w:rsidR="00C47ED4">
        <w:t xml:space="preserve">: </w:t>
      </w:r>
    </w:p>
    <w:p w:rsidR="00791C73" w:rsidRPr="00320D08" w:rsidRDefault="00320D08" w:rsidP="003A400D">
      <w:pPr>
        <w:pStyle w:val="AlphaParagraph"/>
        <w:numPr>
          <w:ilvl w:val="0"/>
          <w:numId w:val="23"/>
        </w:numPr>
        <w:tabs>
          <w:tab w:val="clear" w:pos="283"/>
          <w:tab w:val="clear" w:pos="567"/>
          <w:tab w:val="clear" w:pos="1134"/>
          <w:tab w:val="clear" w:pos="1418"/>
          <w:tab w:val="clear" w:pos="1701"/>
        </w:tabs>
        <w:ind w:left="1134" w:hanging="567"/>
        <w:rPr>
          <w:color w:val="auto"/>
        </w:rPr>
      </w:pPr>
      <w:r w:rsidRPr="00320D08">
        <w:rPr>
          <w:color w:val="auto"/>
        </w:rPr>
        <w:t xml:space="preserve"> </w:t>
      </w:r>
      <w:r w:rsidR="00672CE4">
        <w:rPr>
          <w:color w:val="auto"/>
        </w:rPr>
        <w:t>Infrastructure Renewal and Maintenance</w:t>
      </w:r>
      <w:r w:rsidR="0007038D" w:rsidRPr="00320D08">
        <w:rPr>
          <w:color w:val="auto"/>
        </w:rPr>
        <w:t>;</w:t>
      </w:r>
      <w:r w:rsidR="00770132" w:rsidRPr="00320D08">
        <w:rPr>
          <w:color w:val="auto"/>
        </w:rPr>
        <w:t xml:space="preserve"> </w:t>
      </w:r>
    </w:p>
    <w:p w:rsidR="00A65654" w:rsidRPr="00320D08" w:rsidRDefault="00320D08" w:rsidP="003A400D">
      <w:pPr>
        <w:pStyle w:val="AlphaParagraph"/>
        <w:numPr>
          <w:ilvl w:val="0"/>
          <w:numId w:val="23"/>
        </w:numPr>
        <w:tabs>
          <w:tab w:val="clear" w:pos="283"/>
          <w:tab w:val="clear" w:pos="567"/>
          <w:tab w:val="clear" w:pos="1134"/>
          <w:tab w:val="clear" w:pos="1418"/>
          <w:tab w:val="clear" w:pos="1701"/>
        </w:tabs>
        <w:ind w:left="1134" w:hanging="567"/>
        <w:rPr>
          <w:color w:val="auto"/>
        </w:rPr>
      </w:pPr>
      <w:r w:rsidRPr="00320D08">
        <w:rPr>
          <w:color w:val="auto"/>
        </w:rPr>
        <w:t>Water Sensitive Urban Design</w:t>
      </w:r>
      <w:r w:rsidR="00BD6A96" w:rsidRPr="00320D08">
        <w:rPr>
          <w:color w:val="auto"/>
        </w:rPr>
        <w:t>;</w:t>
      </w:r>
    </w:p>
    <w:p w:rsidR="00A65654" w:rsidRPr="00320D08" w:rsidRDefault="008E67F5" w:rsidP="003A400D">
      <w:pPr>
        <w:pStyle w:val="AlphaParagraph"/>
        <w:numPr>
          <w:ilvl w:val="0"/>
          <w:numId w:val="23"/>
        </w:numPr>
        <w:tabs>
          <w:tab w:val="clear" w:pos="283"/>
          <w:tab w:val="clear" w:pos="567"/>
          <w:tab w:val="clear" w:pos="1134"/>
          <w:tab w:val="clear" w:pos="1418"/>
          <w:tab w:val="clear" w:pos="1701"/>
        </w:tabs>
        <w:ind w:left="1134" w:hanging="567"/>
        <w:rPr>
          <w:color w:val="auto"/>
        </w:rPr>
      </w:pPr>
      <w:r>
        <w:rPr>
          <w:color w:val="auto"/>
        </w:rPr>
        <w:t>Stormwater Harvesting and Re-use</w:t>
      </w:r>
      <w:r w:rsidR="003A3D2F" w:rsidRPr="00320D08">
        <w:rPr>
          <w:color w:val="auto"/>
        </w:rPr>
        <w:t>;</w:t>
      </w:r>
    </w:p>
    <w:p w:rsidR="00A65654" w:rsidRPr="00320D08" w:rsidRDefault="00755EDD" w:rsidP="003A400D">
      <w:pPr>
        <w:pStyle w:val="AlphaParagraph"/>
        <w:numPr>
          <w:ilvl w:val="0"/>
          <w:numId w:val="23"/>
        </w:numPr>
        <w:tabs>
          <w:tab w:val="clear" w:pos="283"/>
          <w:tab w:val="clear" w:pos="567"/>
          <w:tab w:val="clear" w:pos="1418"/>
          <w:tab w:val="clear" w:pos="1701"/>
        </w:tabs>
        <w:ind w:left="1134" w:hanging="567"/>
        <w:rPr>
          <w:color w:val="auto"/>
        </w:rPr>
      </w:pPr>
      <w:r>
        <w:rPr>
          <w:color w:val="auto"/>
        </w:rPr>
        <w:t>Demand Management</w:t>
      </w:r>
      <w:r w:rsidR="003A3D2F" w:rsidRPr="00320D08">
        <w:rPr>
          <w:color w:val="auto"/>
        </w:rPr>
        <w:t>;</w:t>
      </w:r>
      <w:r w:rsidR="00320D08" w:rsidRPr="00320D08">
        <w:rPr>
          <w:color w:val="auto"/>
        </w:rPr>
        <w:t xml:space="preserve"> </w:t>
      </w:r>
    </w:p>
    <w:p w:rsidR="00A65654" w:rsidRDefault="00755EDD" w:rsidP="003A400D">
      <w:pPr>
        <w:pStyle w:val="AlphaParagraph"/>
        <w:numPr>
          <w:ilvl w:val="0"/>
          <w:numId w:val="23"/>
        </w:numPr>
        <w:tabs>
          <w:tab w:val="clear" w:pos="283"/>
          <w:tab w:val="clear" w:pos="567"/>
          <w:tab w:val="clear" w:pos="1418"/>
          <w:tab w:val="clear" w:pos="1701"/>
        </w:tabs>
        <w:ind w:left="1134" w:hanging="567"/>
        <w:rPr>
          <w:color w:val="auto"/>
        </w:rPr>
      </w:pPr>
      <w:r>
        <w:rPr>
          <w:color w:val="auto"/>
        </w:rPr>
        <w:t>Sustainable Development</w:t>
      </w:r>
      <w:r w:rsidR="003A3D2F" w:rsidRPr="00320D08">
        <w:rPr>
          <w:color w:val="auto"/>
        </w:rPr>
        <w:t>;</w:t>
      </w:r>
      <w:r w:rsidR="00320D08" w:rsidRPr="00320D08">
        <w:rPr>
          <w:color w:val="auto"/>
        </w:rPr>
        <w:t xml:space="preserve"> </w:t>
      </w:r>
    </w:p>
    <w:p w:rsidR="00755EDD" w:rsidRPr="00320D08" w:rsidRDefault="00755EDD" w:rsidP="003A400D">
      <w:pPr>
        <w:pStyle w:val="AlphaParagraph"/>
        <w:numPr>
          <w:ilvl w:val="0"/>
          <w:numId w:val="23"/>
        </w:numPr>
        <w:tabs>
          <w:tab w:val="clear" w:pos="283"/>
          <w:tab w:val="clear" w:pos="567"/>
          <w:tab w:val="clear" w:pos="1418"/>
          <w:tab w:val="clear" w:pos="1701"/>
        </w:tabs>
        <w:ind w:left="1134" w:hanging="567"/>
        <w:rPr>
          <w:color w:val="auto"/>
        </w:rPr>
      </w:pPr>
      <w:r>
        <w:rPr>
          <w:color w:val="auto"/>
        </w:rPr>
        <w:t xml:space="preserve">Land Use </w:t>
      </w:r>
      <w:r w:rsidR="00ED32E8">
        <w:rPr>
          <w:color w:val="auto"/>
        </w:rPr>
        <w:t xml:space="preserve">Change </w:t>
      </w:r>
      <w:r>
        <w:rPr>
          <w:color w:val="auto"/>
        </w:rPr>
        <w:t>Assessments; and</w:t>
      </w:r>
    </w:p>
    <w:p w:rsidR="00791C73" w:rsidRPr="003A3D2F" w:rsidRDefault="00BD6A96" w:rsidP="003A400D">
      <w:pPr>
        <w:pStyle w:val="AlphaParagraph"/>
        <w:numPr>
          <w:ilvl w:val="0"/>
          <w:numId w:val="23"/>
        </w:numPr>
        <w:tabs>
          <w:tab w:val="clear" w:pos="283"/>
          <w:tab w:val="clear" w:pos="567"/>
          <w:tab w:val="clear" w:pos="1418"/>
          <w:tab w:val="clear" w:pos="1701"/>
        </w:tabs>
        <w:ind w:left="1134" w:hanging="567"/>
        <w:rPr>
          <w:color w:val="auto"/>
        </w:rPr>
      </w:pPr>
      <w:r w:rsidRPr="003A3D2F">
        <w:rPr>
          <w:color w:val="auto"/>
        </w:rPr>
        <w:t>o</w:t>
      </w:r>
      <w:r w:rsidR="00D33370" w:rsidRPr="003A3D2F">
        <w:rPr>
          <w:color w:val="auto"/>
        </w:rPr>
        <w:t xml:space="preserve">ther proposals </w:t>
      </w:r>
      <w:r w:rsidRPr="003A3D2F">
        <w:rPr>
          <w:color w:val="auto"/>
        </w:rPr>
        <w:t>as</w:t>
      </w:r>
      <w:r w:rsidR="00D33370" w:rsidRPr="003A3D2F">
        <w:rPr>
          <w:color w:val="auto"/>
        </w:rPr>
        <w:t xml:space="preserve"> agreed between the </w:t>
      </w:r>
      <w:r w:rsidRPr="003A3D2F">
        <w:rPr>
          <w:color w:val="auto"/>
        </w:rPr>
        <w:t xml:space="preserve">parties that meet the requirements of the </w:t>
      </w:r>
      <w:r w:rsidR="008F1834">
        <w:rPr>
          <w:color w:val="auto"/>
        </w:rPr>
        <w:t>s</w:t>
      </w:r>
      <w:r w:rsidRPr="003A3D2F">
        <w:rPr>
          <w:color w:val="auto"/>
        </w:rPr>
        <w:t>tate-led efficiency measures under the</w:t>
      </w:r>
      <w:r w:rsidR="00345648" w:rsidRPr="003A3D2F">
        <w:rPr>
          <w:color w:val="auto"/>
        </w:rPr>
        <w:t xml:space="preserve"> Murray-D</w:t>
      </w:r>
      <w:r w:rsidRPr="003A3D2F">
        <w:rPr>
          <w:color w:val="auto"/>
        </w:rPr>
        <w:t>arling Basin Water Infrastructure Program.</w:t>
      </w:r>
    </w:p>
    <w:p w:rsidR="008F44F1" w:rsidRDefault="00BD6A96">
      <w:pPr>
        <w:pStyle w:val="Heading1"/>
      </w:pPr>
      <w:r>
        <w:t>Part 3 — roles and responsibilities of each party</w:t>
      </w:r>
    </w:p>
    <w:p w:rsidR="008F44F1" w:rsidRDefault="00BD6A96" w:rsidP="008F44F1">
      <w:pPr>
        <w:pStyle w:val="Heading2"/>
      </w:pPr>
      <w:r w:rsidRPr="00814590">
        <w:t>Role of the Commonwealth</w:t>
      </w:r>
    </w:p>
    <w:p w:rsidR="008F44F1" w:rsidRDefault="00BD6A96" w:rsidP="00802B92">
      <w:pPr>
        <w:pStyle w:val="Normalnumbered"/>
        <w:numPr>
          <w:ilvl w:val="0"/>
          <w:numId w:val="9"/>
        </w:numPr>
        <w:jc w:val="left"/>
      </w:pPr>
      <w:r>
        <w:t>The Commonwealth will be responsible for:</w:t>
      </w:r>
    </w:p>
    <w:p w:rsidR="00C925A0" w:rsidRPr="003A0BB1" w:rsidRDefault="00BD6A96" w:rsidP="00A549F6">
      <w:pPr>
        <w:pStyle w:val="AlphaParagraph"/>
        <w:numPr>
          <w:ilvl w:val="0"/>
          <w:numId w:val="19"/>
        </w:numPr>
        <w:tabs>
          <w:tab w:val="clear" w:pos="283"/>
          <w:tab w:val="clear" w:pos="567"/>
          <w:tab w:val="clear" w:pos="1134"/>
          <w:tab w:val="clear" w:pos="1701"/>
        </w:tabs>
        <w:ind w:left="1134" w:hanging="567"/>
        <w:jc w:val="left"/>
        <w:rPr>
          <w:color w:val="auto"/>
        </w:rPr>
      </w:pPr>
      <w:r w:rsidRPr="003A0BB1">
        <w:rPr>
          <w:color w:val="auto"/>
        </w:rPr>
        <w:t xml:space="preserve">monitoring and assessing achievement against milestones in the delivery of activities under this Agreement to ensure that outputs are delivered within the agreed timeframe; </w:t>
      </w:r>
    </w:p>
    <w:p w:rsidR="008F44F1" w:rsidRPr="004A4562" w:rsidRDefault="00BD6A96" w:rsidP="00A549F6">
      <w:pPr>
        <w:pStyle w:val="AlphaParagraph"/>
        <w:numPr>
          <w:ilvl w:val="0"/>
          <w:numId w:val="19"/>
        </w:numPr>
        <w:tabs>
          <w:tab w:val="clear" w:pos="283"/>
          <w:tab w:val="clear" w:pos="567"/>
          <w:tab w:val="clear" w:pos="1134"/>
          <w:tab w:val="clear" w:pos="1701"/>
        </w:tabs>
        <w:ind w:left="1134" w:hanging="567"/>
        <w:jc w:val="left"/>
        <w:rPr>
          <w:color w:val="auto"/>
        </w:rPr>
      </w:pPr>
      <w:r w:rsidRPr="004A4562">
        <w:rPr>
          <w:color w:val="auto"/>
        </w:rPr>
        <w:t xml:space="preserve">providing a consequent financial contribution to </w:t>
      </w:r>
      <w:r w:rsidR="00AE287A">
        <w:rPr>
          <w:color w:val="auto"/>
        </w:rPr>
        <w:t>the ACT</w:t>
      </w:r>
      <w:r w:rsidR="000C2BE5">
        <w:rPr>
          <w:color w:val="auto"/>
        </w:rPr>
        <w:t xml:space="preserve"> </w:t>
      </w:r>
      <w:r w:rsidRPr="004A4562">
        <w:rPr>
          <w:color w:val="auto"/>
        </w:rPr>
        <w:t>to support the implementation of this Agreement;</w:t>
      </w:r>
    </w:p>
    <w:p w:rsidR="00B130C5" w:rsidRPr="004A4562" w:rsidRDefault="00BD6A96" w:rsidP="00A549F6">
      <w:pPr>
        <w:pStyle w:val="AlphaParagraph"/>
        <w:numPr>
          <w:ilvl w:val="0"/>
          <w:numId w:val="19"/>
        </w:numPr>
        <w:tabs>
          <w:tab w:val="clear" w:pos="283"/>
          <w:tab w:val="clear" w:pos="567"/>
          <w:tab w:val="clear" w:pos="1134"/>
          <w:tab w:val="clear" w:pos="1701"/>
        </w:tabs>
        <w:ind w:left="1134" w:hanging="567"/>
        <w:jc w:val="left"/>
        <w:rPr>
          <w:color w:val="auto"/>
        </w:rPr>
      </w:pPr>
      <w:r>
        <w:rPr>
          <w:color w:val="auto"/>
        </w:rPr>
        <w:t xml:space="preserve">assessing proposed activities against </w:t>
      </w:r>
      <w:r w:rsidRPr="004A4562">
        <w:rPr>
          <w:color w:val="auto"/>
        </w:rPr>
        <w:t xml:space="preserve">the </w:t>
      </w:r>
      <w:r w:rsidR="00D639F7">
        <w:rPr>
          <w:color w:val="auto"/>
        </w:rPr>
        <w:t xml:space="preserve">criteria and information requirements described in clauses </w:t>
      </w:r>
      <w:r w:rsidR="00516573">
        <w:rPr>
          <w:color w:val="auto"/>
        </w:rPr>
        <w:t>22</w:t>
      </w:r>
      <w:r w:rsidR="00D639F7">
        <w:rPr>
          <w:color w:val="auto"/>
        </w:rPr>
        <w:t xml:space="preserve"> and </w:t>
      </w:r>
      <w:r w:rsidR="00516573">
        <w:rPr>
          <w:color w:val="auto"/>
        </w:rPr>
        <w:t>23</w:t>
      </w:r>
      <w:r w:rsidR="00B205D6">
        <w:rPr>
          <w:color w:val="auto"/>
        </w:rPr>
        <w:t>;</w:t>
      </w:r>
    </w:p>
    <w:p w:rsidR="00B130C5" w:rsidRPr="00153829" w:rsidRDefault="00BD6A96" w:rsidP="00A549F6">
      <w:pPr>
        <w:pStyle w:val="AlphaParagraph"/>
        <w:numPr>
          <w:ilvl w:val="0"/>
          <w:numId w:val="19"/>
        </w:numPr>
        <w:tabs>
          <w:tab w:val="clear" w:pos="283"/>
          <w:tab w:val="clear" w:pos="567"/>
          <w:tab w:val="clear" w:pos="1134"/>
          <w:tab w:val="clear" w:pos="1701"/>
        </w:tabs>
        <w:ind w:left="1134" w:hanging="567"/>
        <w:jc w:val="left"/>
        <w:rPr>
          <w:color w:val="auto"/>
        </w:rPr>
      </w:pPr>
      <w:r>
        <w:t xml:space="preserve">making a decision, </w:t>
      </w:r>
      <w:r w:rsidR="00195887">
        <w:t xml:space="preserve">once fully developed activities have been evaluated as successfully meeting the criteria for funding, as to whether funding can be provided from </w:t>
      </w:r>
      <w:r w:rsidR="00DF0EB6">
        <w:t>the</w:t>
      </w:r>
      <w:r w:rsidR="00E71E48">
        <w:t xml:space="preserve"> Sustainable Rural Water Use and Infrastructure program (SRWUIP) or the</w:t>
      </w:r>
      <w:r w:rsidR="00DF0EB6">
        <w:t xml:space="preserve"> Water for the Environment Special Account (</w:t>
      </w:r>
      <w:r w:rsidR="00195887">
        <w:t>WESA</w:t>
      </w:r>
      <w:r w:rsidR="00040A4D">
        <w:t>);</w:t>
      </w:r>
    </w:p>
    <w:p w:rsidR="00F250B1" w:rsidRPr="00153829" w:rsidRDefault="00F250B1" w:rsidP="00153829">
      <w:pPr>
        <w:pStyle w:val="AlphaParagraph"/>
        <w:numPr>
          <w:ilvl w:val="0"/>
          <w:numId w:val="19"/>
        </w:numPr>
        <w:tabs>
          <w:tab w:val="clear" w:pos="283"/>
          <w:tab w:val="clear" w:pos="567"/>
          <w:tab w:val="clear" w:pos="1134"/>
          <w:tab w:val="clear" w:pos="1701"/>
        </w:tabs>
        <w:ind w:left="1134" w:hanging="567"/>
        <w:jc w:val="left"/>
      </w:pPr>
      <w:r w:rsidRPr="00153829">
        <w:t>notifying the ACT of the outcome of the completed assessment for the approved activities such as a business case. The Commonwealth will notify eligibility for further funding approval to implement the recommendations of the Business Case within 30 days of receipt of the completed Business Case;</w:t>
      </w:r>
    </w:p>
    <w:p w:rsidR="00CA4081" w:rsidRPr="00153829" w:rsidRDefault="00BD6A96" w:rsidP="00153829">
      <w:pPr>
        <w:pStyle w:val="AlphaParagraph"/>
        <w:numPr>
          <w:ilvl w:val="0"/>
          <w:numId w:val="19"/>
        </w:numPr>
        <w:tabs>
          <w:tab w:val="clear" w:pos="283"/>
          <w:tab w:val="clear" w:pos="567"/>
          <w:tab w:val="clear" w:pos="1134"/>
          <w:tab w:val="clear" w:pos="1701"/>
        </w:tabs>
        <w:ind w:left="1134" w:hanging="567"/>
        <w:jc w:val="left"/>
      </w:pPr>
      <w:r w:rsidRPr="00153829">
        <w:t xml:space="preserve">for outputs related to projects (i.e. not a feasibility study output or business case output), notifying </w:t>
      </w:r>
      <w:r w:rsidR="00AE287A" w:rsidRPr="00153829">
        <w:t>the ACT</w:t>
      </w:r>
      <w:r w:rsidRPr="00153829">
        <w:t xml:space="preserve"> at the time of project approval of the information required to be provided by </w:t>
      </w:r>
      <w:r w:rsidR="00AE287A" w:rsidRPr="00153829">
        <w:t>the ACT</w:t>
      </w:r>
      <w:r w:rsidRPr="00153829">
        <w:t xml:space="preserve"> to enable the Commonwealth to undertake annual Monitoring, Evaluation, Review and Improvement (MERI) reporting or for reviews of the Murray-Darling Basin Water Infrastructure Program;</w:t>
      </w:r>
    </w:p>
    <w:p w:rsidR="004F5DCD" w:rsidRPr="003A0BB1" w:rsidRDefault="00BD6A96" w:rsidP="00153829">
      <w:pPr>
        <w:pStyle w:val="AlphaParagraph"/>
        <w:numPr>
          <w:ilvl w:val="0"/>
          <w:numId w:val="19"/>
        </w:numPr>
        <w:tabs>
          <w:tab w:val="clear" w:pos="283"/>
          <w:tab w:val="clear" w:pos="567"/>
          <w:tab w:val="clear" w:pos="1134"/>
          <w:tab w:val="clear" w:pos="1701"/>
        </w:tabs>
        <w:ind w:left="1134" w:hanging="567"/>
        <w:jc w:val="left"/>
        <w:rPr>
          <w:color w:val="auto"/>
        </w:rPr>
      </w:pPr>
      <w:r w:rsidRPr="003A0BB1">
        <w:rPr>
          <w:color w:val="auto"/>
        </w:rPr>
        <w:t xml:space="preserve">where relevant, in accordance with the </w:t>
      </w:r>
      <w:r w:rsidRPr="009278CF">
        <w:rPr>
          <w:i/>
          <w:color w:val="auto"/>
        </w:rPr>
        <w:t>Building and Construction Industry (</w:t>
      </w:r>
      <w:r w:rsidR="00552F98" w:rsidRPr="009278CF">
        <w:rPr>
          <w:i/>
          <w:color w:val="auto"/>
        </w:rPr>
        <w:t xml:space="preserve">Improving </w:t>
      </w:r>
      <w:r w:rsidRPr="009278CF">
        <w:rPr>
          <w:i/>
          <w:color w:val="auto"/>
        </w:rPr>
        <w:t>Productivity) Act 2016</w:t>
      </w:r>
      <w:r w:rsidRPr="003A0BB1">
        <w:rPr>
          <w:color w:val="auto"/>
        </w:rPr>
        <w:t>, ensuring that financial contributions to a building project or projects as defined under the Fair Work (Building Industry - Accreditation Scheme) Regulations 2016, are only made where a builder or builders accredited under the Australian Government Building and Construction WHS Accreditation Scheme is contracted;</w:t>
      </w:r>
      <w:r w:rsidR="00F65A2F">
        <w:rPr>
          <w:color w:val="auto"/>
        </w:rPr>
        <w:t xml:space="preserve"> and</w:t>
      </w:r>
    </w:p>
    <w:p w:rsidR="00EE3B16" w:rsidRPr="003A0BB1" w:rsidRDefault="00BD6A96" w:rsidP="00153829">
      <w:pPr>
        <w:pStyle w:val="AlphaParagraph"/>
        <w:numPr>
          <w:ilvl w:val="0"/>
          <w:numId w:val="19"/>
        </w:numPr>
        <w:tabs>
          <w:tab w:val="clear" w:pos="283"/>
          <w:tab w:val="clear" w:pos="567"/>
          <w:tab w:val="clear" w:pos="1134"/>
          <w:tab w:val="clear" w:pos="1701"/>
        </w:tabs>
        <w:ind w:left="1134" w:hanging="567"/>
        <w:jc w:val="left"/>
        <w:rPr>
          <w:color w:val="auto"/>
        </w:rPr>
      </w:pPr>
      <w:r w:rsidRPr="003A0BB1">
        <w:rPr>
          <w:color w:val="auto"/>
        </w:rPr>
        <w:t>where</w:t>
      </w:r>
      <w:r w:rsidR="00252D68">
        <w:rPr>
          <w:color w:val="auto"/>
        </w:rPr>
        <w:t xml:space="preserve"> </w:t>
      </w:r>
      <w:r w:rsidRPr="003A0BB1">
        <w:rPr>
          <w:color w:val="auto"/>
        </w:rPr>
        <w:t>relevant</w:t>
      </w:r>
      <w:r>
        <w:rPr>
          <w:color w:val="auto"/>
        </w:rPr>
        <w:t xml:space="preserve">, </w:t>
      </w:r>
      <w:r w:rsidR="004F5DCD" w:rsidRPr="003A0BB1">
        <w:rPr>
          <w:color w:val="auto"/>
        </w:rPr>
        <w:t>ensuring that compliance with the Code for the Tendering and Performance of Building Work 2016 (Building Code 2016) is a condition of Australian Governm</w:t>
      </w:r>
      <w:r w:rsidRPr="003A0BB1">
        <w:rPr>
          <w:color w:val="auto"/>
        </w:rPr>
        <w:t xml:space="preserve">ent </w:t>
      </w:r>
      <w:r w:rsidR="00A8511E">
        <w:rPr>
          <w:color w:val="auto"/>
        </w:rPr>
        <w:t>funding</w:t>
      </w:r>
      <w:r w:rsidR="00F65A2F">
        <w:rPr>
          <w:color w:val="auto"/>
        </w:rPr>
        <w:t>.</w:t>
      </w:r>
    </w:p>
    <w:p w:rsidR="008F44F1" w:rsidRPr="00751725" w:rsidRDefault="00BD6A96" w:rsidP="008F44F1">
      <w:pPr>
        <w:pStyle w:val="Heading2"/>
      </w:pPr>
      <w:r>
        <w:t xml:space="preserve">Role of </w:t>
      </w:r>
      <w:r w:rsidR="00AE287A">
        <w:t>the ACT</w:t>
      </w:r>
    </w:p>
    <w:p w:rsidR="008F44F1" w:rsidRPr="00751725" w:rsidRDefault="00AE287A" w:rsidP="001741FF">
      <w:pPr>
        <w:pStyle w:val="Normalnumbered"/>
        <w:numPr>
          <w:ilvl w:val="0"/>
          <w:numId w:val="9"/>
        </w:numPr>
        <w:jc w:val="left"/>
      </w:pPr>
      <w:r>
        <w:t>The</w:t>
      </w:r>
      <w:r w:rsidR="005E0C7B">
        <w:t xml:space="preserve"> </w:t>
      </w:r>
      <w:r>
        <w:t>ACT</w:t>
      </w:r>
      <w:r w:rsidR="00770132">
        <w:t xml:space="preserve"> </w:t>
      </w:r>
      <w:r w:rsidR="00D33370">
        <w:t>will be responsible for</w:t>
      </w:r>
      <w:r w:rsidR="00545DF7">
        <w:t>:</w:t>
      </w:r>
    </w:p>
    <w:p w:rsidR="008051E0" w:rsidRPr="006A0BAA" w:rsidRDefault="00BD6A96" w:rsidP="00901143">
      <w:pPr>
        <w:pStyle w:val="AlphaParagraph"/>
        <w:numPr>
          <w:ilvl w:val="0"/>
          <w:numId w:val="18"/>
        </w:numPr>
        <w:tabs>
          <w:tab w:val="clear" w:pos="283"/>
          <w:tab w:val="clear" w:pos="567"/>
          <w:tab w:val="clear" w:pos="1134"/>
          <w:tab w:val="clear" w:pos="1418"/>
          <w:tab w:val="clear" w:pos="1701"/>
        </w:tabs>
        <w:ind w:left="1134" w:hanging="567"/>
        <w:jc w:val="left"/>
        <w:rPr>
          <w:color w:val="auto"/>
        </w:rPr>
      </w:pPr>
      <w:r>
        <w:rPr>
          <w:color w:val="auto"/>
        </w:rPr>
        <w:t>all aspects of delivering on the approved outputs as set out in this Agreement and schedules to this Agreement</w:t>
      </w:r>
      <w:r w:rsidRPr="006A0BAA">
        <w:rPr>
          <w:color w:val="auto"/>
        </w:rPr>
        <w:t>;</w:t>
      </w:r>
    </w:p>
    <w:p w:rsidR="008F44F1" w:rsidRDefault="00BD6A96" w:rsidP="00901143">
      <w:pPr>
        <w:pStyle w:val="AlphaParagraph"/>
        <w:numPr>
          <w:ilvl w:val="0"/>
          <w:numId w:val="18"/>
        </w:numPr>
        <w:tabs>
          <w:tab w:val="clear" w:pos="283"/>
          <w:tab w:val="clear" w:pos="567"/>
          <w:tab w:val="clear" w:pos="1134"/>
          <w:tab w:val="clear" w:pos="1418"/>
          <w:tab w:val="clear" w:pos="1701"/>
        </w:tabs>
        <w:ind w:left="1134" w:hanging="567"/>
        <w:jc w:val="left"/>
      </w:pPr>
      <w:r>
        <w:rPr>
          <w:color w:val="auto"/>
        </w:rPr>
        <w:t>w</w:t>
      </w:r>
      <w:r w:rsidR="00EE3B16">
        <w:rPr>
          <w:color w:val="auto"/>
        </w:rPr>
        <w:t xml:space="preserve">here relevant, </w:t>
      </w:r>
      <w:r w:rsidR="00EE3B16" w:rsidRPr="00B80F92">
        <w:rPr>
          <w:color w:val="auto"/>
        </w:rPr>
        <w:t>providing a financial contribution to support the implementation of this Agreement</w:t>
      </w:r>
      <w:r w:rsidRPr="00751725">
        <w:t>;</w:t>
      </w:r>
    </w:p>
    <w:p w:rsidR="009464BE" w:rsidRDefault="00BD6A96" w:rsidP="00901143">
      <w:pPr>
        <w:pStyle w:val="AlphaParagraph"/>
        <w:numPr>
          <w:ilvl w:val="0"/>
          <w:numId w:val="18"/>
        </w:numPr>
        <w:tabs>
          <w:tab w:val="clear" w:pos="283"/>
          <w:tab w:val="clear" w:pos="567"/>
          <w:tab w:val="clear" w:pos="1134"/>
          <w:tab w:val="clear" w:pos="1418"/>
          <w:tab w:val="clear" w:pos="1701"/>
        </w:tabs>
        <w:ind w:left="1134" w:hanging="567"/>
        <w:jc w:val="left"/>
      </w:pPr>
      <w:r>
        <w:rPr>
          <w:color w:val="auto"/>
        </w:rPr>
        <w:t xml:space="preserve">cooperating with the Commonwealth to ensure that </w:t>
      </w:r>
      <w:r w:rsidR="0003432E">
        <w:rPr>
          <w:color w:val="auto"/>
        </w:rPr>
        <w:t xml:space="preserve">SRWUIP and </w:t>
      </w:r>
      <w:r>
        <w:rPr>
          <w:color w:val="auto"/>
        </w:rPr>
        <w:t>WESA payments are made for actual expenditure, including the facilitation of refunds if required</w:t>
      </w:r>
      <w:r w:rsidR="00DE7AB2">
        <w:t>;</w:t>
      </w:r>
    </w:p>
    <w:p w:rsidR="00A6719E" w:rsidRPr="008E3492" w:rsidRDefault="00BD6A96" w:rsidP="00901143">
      <w:pPr>
        <w:pStyle w:val="AlphaParagraph"/>
        <w:numPr>
          <w:ilvl w:val="0"/>
          <w:numId w:val="18"/>
        </w:numPr>
        <w:tabs>
          <w:tab w:val="clear" w:pos="283"/>
          <w:tab w:val="clear" w:pos="567"/>
          <w:tab w:val="clear" w:pos="1134"/>
          <w:tab w:val="clear" w:pos="1418"/>
          <w:tab w:val="clear" w:pos="1701"/>
        </w:tabs>
        <w:ind w:left="1134" w:hanging="567"/>
        <w:jc w:val="left"/>
        <w:rPr>
          <w:color w:val="auto"/>
        </w:rPr>
      </w:pPr>
      <w:r w:rsidRPr="008E3492">
        <w:rPr>
          <w:color w:val="auto"/>
        </w:rPr>
        <w:t>reporting on the delivery of outputs as set out in Part 4 – Project Milestones, Reporting and Payments</w:t>
      </w:r>
      <w:r w:rsidR="008051E0">
        <w:rPr>
          <w:color w:val="auto"/>
        </w:rPr>
        <w:t xml:space="preserve"> and in the schedules to this Agreement</w:t>
      </w:r>
      <w:r w:rsidR="006B43AF" w:rsidRPr="008E3492">
        <w:rPr>
          <w:color w:val="auto"/>
        </w:rPr>
        <w:t>;</w:t>
      </w:r>
    </w:p>
    <w:p w:rsidR="00D065C7" w:rsidRDefault="00BD6A96" w:rsidP="00901143">
      <w:pPr>
        <w:pStyle w:val="AlphaParagraph"/>
        <w:numPr>
          <w:ilvl w:val="0"/>
          <w:numId w:val="18"/>
        </w:numPr>
        <w:tabs>
          <w:tab w:val="clear" w:pos="283"/>
          <w:tab w:val="clear" w:pos="567"/>
          <w:tab w:val="clear" w:pos="1134"/>
          <w:tab w:val="clear" w:pos="1418"/>
          <w:tab w:val="clear" w:pos="1701"/>
        </w:tabs>
        <w:ind w:left="1134" w:hanging="567"/>
        <w:jc w:val="left"/>
        <w:rPr>
          <w:color w:val="auto"/>
        </w:rPr>
      </w:pPr>
      <w:r>
        <w:rPr>
          <w:color w:val="auto"/>
        </w:rPr>
        <w:t xml:space="preserve">where applicable </w:t>
      </w:r>
      <w:r w:rsidR="00747E52" w:rsidRPr="008E3492">
        <w:rPr>
          <w:color w:val="auto"/>
        </w:rPr>
        <w:t>e</w:t>
      </w:r>
      <w:r w:rsidR="008F44F1" w:rsidRPr="008E3492">
        <w:rPr>
          <w:color w:val="auto"/>
        </w:rPr>
        <w:t xml:space="preserve">nsuring that only a builder or builders </w:t>
      </w:r>
      <w:r w:rsidR="008F44F1" w:rsidRPr="005320D4">
        <w:rPr>
          <w:color w:val="auto"/>
        </w:rPr>
        <w:t>accredited under the Australian Government</w:t>
      </w:r>
      <w:r w:rsidR="008F44F1" w:rsidRPr="008E3492">
        <w:rPr>
          <w:color w:val="auto"/>
        </w:rPr>
        <w:t xml:space="preserve"> </w:t>
      </w:r>
      <w:r>
        <w:rPr>
          <w:color w:val="auto"/>
        </w:rPr>
        <w:t xml:space="preserve">Building and Construction WHS Accreditation Scheme is contracted, and providing the necessary </w:t>
      </w:r>
      <w:r w:rsidR="00DE3E19">
        <w:rPr>
          <w:color w:val="auto"/>
        </w:rPr>
        <w:t>assurances to the Commonwealth;</w:t>
      </w:r>
      <w:r w:rsidR="00040A4D">
        <w:rPr>
          <w:color w:val="auto"/>
        </w:rPr>
        <w:t xml:space="preserve"> and</w:t>
      </w:r>
    </w:p>
    <w:p w:rsidR="00797DF3" w:rsidRDefault="00BD6A96" w:rsidP="00901143">
      <w:pPr>
        <w:pStyle w:val="AlphaParagraph"/>
        <w:numPr>
          <w:ilvl w:val="0"/>
          <w:numId w:val="18"/>
        </w:numPr>
        <w:tabs>
          <w:tab w:val="clear" w:pos="283"/>
          <w:tab w:val="clear" w:pos="567"/>
          <w:tab w:val="clear" w:pos="1134"/>
          <w:tab w:val="clear" w:pos="1418"/>
          <w:tab w:val="clear" w:pos="1701"/>
        </w:tabs>
        <w:ind w:left="1134" w:hanging="567"/>
        <w:jc w:val="left"/>
        <w:rPr>
          <w:color w:val="auto"/>
        </w:rPr>
      </w:pPr>
      <w:r>
        <w:rPr>
          <w:color w:val="auto"/>
        </w:rPr>
        <w:t xml:space="preserve">supporting the Commonwealth’s </w:t>
      </w:r>
      <w:r w:rsidR="00083C9F">
        <w:rPr>
          <w:color w:val="auto"/>
        </w:rPr>
        <w:t xml:space="preserve">broader </w:t>
      </w:r>
      <w:r>
        <w:rPr>
          <w:color w:val="auto"/>
        </w:rPr>
        <w:t xml:space="preserve">efficiency measures </w:t>
      </w:r>
      <w:r w:rsidR="00083C9F">
        <w:rPr>
          <w:color w:val="auto"/>
        </w:rPr>
        <w:t>initiatives, including the Murray Darling Basin Water Infrastructure P</w:t>
      </w:r>
      <w:r>
        <w:rPr>
          <w:color w:val="auto"/>
        </w:rPr>
        <w:t xml:space="preserve">rogram. </w:t>
      </w:r>
    </w:p>
    <w:p w:rsidR="000C2BE5" w:rsidRDefault="00BD6A96" w:rsidP="000C2BE5">
      <w:pPr>
        <w:pStyle w:val="Heading2"/>
      </w:pPr>
      <w:r>
        <w:t>Shared roles</w:t>
      </w:r>
    </w:p>
    <w:p w:rsidR="00B130C5" w:rsidRDefault="00BD6A96" w:rsidP="00B130C5">
      <w:pPr>
        <w:pStyle w:val="ListParagraph"/>
        <w:numPr>
          <w:ilvl w:val="0"/>
          <w:numId w:val="9"/>
        </w:numPr>
        <w:rPr>
          <w:rFonts w:ascii="Corbel" w:hAnsi="Corbel"/>
          <w:color w:val="000000"/>
          <w:sz w:val="23"/>
          <w:szCs w:val="20"/>
        </w:rPr>
      </w:pPr>
      <w:r w:rsidRPr="000C2BE5">
        <w:rPr>
          <w:rFonts w:ascii="Corbel" w:hAnsi="Corbel"/>
          <w:color w:val="000000"/>
          <w:sz w:val="23"/>
          <w:szCs w:val="20"/>
        </w:rPr>
        <w:t xml:space="preserve">The Commonwealth and </w:t>
      </w:r>
      <w:r w:rsidR="003B0082">
        <w:rPr>
          <w:rFonts w:ascii="Corbel" w:hAnsi="Corbel"/>
          <w:color w:val="000000"/>
          <w:sz w:val="23"/>
          <w:szCs w:val="20"/>
        </w:rPr>
        <w:t>the ACT</w:t>
      </w:r>
      <w:r w:rsidRPr="000C2BE5">
        <w:rPr>
          <w:rFonts w:ascii="Corbel" w:hAnsi="Corbel"/>
          <w:color w:val="000000"/>
          <w:sz w:val="23"/>
          <w:szCs w:val="20"/>
        </w:rPr>
        <w:t xml:space="preserve"> will be jointly responsible for developing and agreeing schedules which set out the agreed activities and associated milestones, reporting and payment arrangements in accordance with </w:t>
      </w:r>
      <w:r w:rsidRPr="003B340C">
        <w:rPr>
          <w:rFonts w:ascii="Corbel" w:hAnsi="Corbel"/>
          <w:color w:val="000000"/>
          <w:sz w:val="23"/>
          <w:szCs w:val="20"/>
        </w:rPr>
        <w:t xml:space="preserve">clause </w:t>
      </w:r>
      <w:r w:rsidR="003B340C">
        <w:rPr>
          <w:rFonts w:ascii="Corbel" w:hAnsi="Corbel"/>
          <w:color w:val="000000"/>
          <w:sz w:val="23"/>
          <w:szCs w:val="20"/>
        </w:rPr>
        <w:t>25</w:t>
      </w:r>
      <w:r w:rsidR="003B340C" w:rsidRPr="003B340C">
        <w:rPr>
          <w:rFonts w:ascii="Corbel" w:hAnsi="Corbel"/>
          <w:color w:val="000000"/>
          <w:sz w:val="23"/>
          <w:szCs w:val="20"/>
        </w:rPr>
        <w:t xml:space="preserve"> </w:t>
      </w:r>
      <w:r w:rsidRPr="003B340C">
        <w:rPr>
          <w:rFonts w:ascii="Corbel" w:hAnsi="Corbel"/>
          <w:color w:val="000000"/>
          <w:sz w:val="23"/>
          <w:szCs w:val="20"/>
        </w:rPr>
        <w:t>of this</w:t>
      </w:r>
      <w:r w:rsidRPr="000C2BE5">
        <w:rPr>
          <w:rFonts w:ascii="Corbel" w:hAnsi="Corbel"/>
          <w:color w:val="000000"/>
          <w:sz w:val="23"/>
          <w:szCs w:val="20"/>
        </w:rPr>
        <w:t xml:space="preserve"> Agreement.</w:t>
      </w:r>
    </w:p>
    <w:p w:rsidR="00B130C5" w:rsidRPr="000C2BE5" w:rsidRDefault="00B130C5" w:rsidP="00C7613E">
      <w:pPr>
        <w:pStyle w:val="ListParagraph"/>
        <w:ind w:left="567"/>
        <w:rPr>
          <w:rFonts w:ascii="Corbel" w:hAnsi="Corbel"/>
          <w:color w:val="000000"/>
          <w:sz w:val="23"/>
          <w:szCs w:val="20"/>
        </w:rPr>
      </w:pPr>
    </w:p>
    <w:p w:rsidR="000C2BE5" w:rsidRDefault="00BD6A96" w:rsidP="000C2BE5">
      <w:pPr>
        <w:pStyle w:val="Normalnumbered"/>
        <w:numPr>
          <w:ilvl w:val="0"/>
          <w:numId w:val="9"/>
        </w:numPr>
        <w:jc w:val="left"/>
      </w:pPr>
      <w:r>
        <w:t>The</w:t>
      </w:r>
      <w:r w:rsidRPr="0024288C">
        <w:t xml:space="preserve"> </w:t>
      </w:r>
      <w:r>
        <w:t>Parties agree that the priorit</w:t>
      </w:r>
      <w:r w:rsidR="0003432E">
        <w:t>ies</w:t>
      </w:r>
      <w:r>
        <w:t xml:space="preserve"> for efficiency measures projects </w:t>
      </w:r>
      <w:r w:rsidR="0003432E">
        <w:t>are, in time order,</w:t>
      </w:r>
      <w:r>
        <w:t xml:space="preserve"> to </w:t>
      </w:r>
      <w:r w:rsidRPr="00570BEB">
        <w:t>recover</w:t>
      </w:r>
      <w:r w:rsidR="0003432E">
        <w:t xml:space="preserve"> 4.9 Gl of gap bridging water from the ACT,</w:t>
      </w:r>
      <w:r w:rsidRPr="00570BEB">
        <w:t xml:space="preserve"> the</w:t>
      </w:r>
      <w:r w:rsidR="0003432E">
        <w:t xml:space="preserve"> recovery of</w:t>
      </w:r>
      <w:r w:rsidRPr="00570BEB">
        <w:t xml:space="preserve"> 62</w:t>
      </w:r>
      <w:r w:rsidR="00F65A2F">
        <w:t> </w:t>
      </w:r>
      <w:r w:rsidR="004778BB">
        <w:t>GL</w:t>
      </w:r>
      <w:r w:rsidRPr="00570BEB">
        <w:t xml:space="preserve"> required by </w:t>
      </w:r>
      <w:r>
        <w:t xml:space="preserve">30 </w:t>
      </w:r>
      <w:r w:rsidRPr="00570BEB">
        <w:t>June 2</w:t>
      </w:r>
      <w:r w:rsidR="004778BB">
        <w:t>019 to ensure that the full 605 GL</w:t>
      </w:r>
      <w:r w:rsidRPr="00570BEB">
        <w:t xml:space="preserve"> </w:t>
      </w:r>
      <w:r w:rsidR="000D0248">
        <w:t xml:space="preserve">of </w:t>
      </w:r>
      <w:r w:rsidRPr="00570BEB">
        <w:t xml:space="preserve">supply </w:t>
      </w:r>
      <w:r w:rsidR="00FF6A78">
        <w:t xml:space="preserve">measure </w:t>
      </w:r>
      <w:r w:rsidRPr="00570BEB">
        <w:t>adjustment</w:t>
      </w:r>
      <w:r w:rsidR="00205159">
        <w:t xml:space="preserve"> </w:t>
      </w:r>
      <w:r w:rsidRPr="00570BEB">
        <w:t>comes into effect</w:t>
      </w:r>
      <w:r>
        <w:t xml:space="preserve"> as soon as possible</w:t>
      </w:r>
      <w:r w:rsidR="0003432E">
        <w:t>, and thirdly the recovery of the further 388 GL by 30 June 2024 to enable the full 450 GL of efficiency mesures water and the achievement of Basin Plan Schedule 5 outcomes.</w:t>
      </w:r>
      <w:r>
        <w:t xml:space="preserve">. </w:t>
      </w:r>
    </w:p>
    <w:p w:rsidR="00B130C5" w:rsidRDefault="00BD6A96" w:rsidP="00B130C5">
      <w:pPr>
        <w:pStyle w:val="Normalnumbered"/>
        <w:numPr>
          <w:ilvl w:val="0"/>
          <w:numId w:val="9"/>
        </w:numPr>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rsidR="000315C6" w:rsidRPr="00C7613E" w:rsidRDefault="00BD6A96" w:rsidP="00C7613E">
      <w:pPr>
        <w:pStyle w:val="Heading2"/>
      </w:pPr>
      <w:r w:rsidRPr="00C7613E">
        <w:t>Eligibility Criteria and Information Requirements</w:t>
      </w:r>
    </w:p>
    <w:p w:rsidR="00883FEE" w:rsidRPr="00883FEE" w:rsidRDefault="00BD6A96" w:rsidP="00883FEE">
      <w:pPr>
        <w:pStyle w:val="ListParagraph"/>
        <w:numPr>
          <w:ilvl w:val="0"/>
          <w:numId w:val="9"/>
        </w:numPr>
        <w:rPr>
          <w:rFonts w:ascii="Corbel" w:hAnsi="Corbel"/>
          <w:color w:val="000000"/>
          <w:sz w:val="23"/>
          <w:szCs w:val="20"/>
        </w:rPr>
      </w:pPr>
      <w:r w:rsidRPr="00883FEE">
        <w:rPr>
          <w:rFonts w:ascii="Corbel" w:hAnsi="Corbel"/>
          <w:color w:val="000000"/>
          <w:sz w:val="23"/>
          <w:szCs w:val="20"/>
        </w:rPr>
        <w:t>In feasibility studies and business case</w:t>
      </w:r>
      <w:r w:rsidR="00543524">
        <w:rPr>
          <w:rFonts w:ascii="Corbel" w:hAnsi="Corbel"/>
          <w:color w:val="000000"/>
          <w:sz w:val="23"/>
          <w:szCs w:val="20"/>
        </w:rPr>
        <w:t>s</w:t>
      </w:r>
      <w:r w:rsidRPr="00883FEE">
        <w:rPr>
          <w:rFonts w:ascii="Corbel" w:hAnsi="Corbel"/>
          <w:color w:val="000000"/>
          <w:sz w:val="23"/>
          <w:szCs w:val="20"/>
        </w:rPr>
        <w:t xml:space="preserve">, </w:t>
      </w:r>
      <w:r w:rsidR="003B0082">
        <w:rPr>
          <w:rFonts w:ascii="Corbel" w:hAnsi="Corbel"/>
          <w:color w:val="000000"/>
          <w:sz w:val="23"/>
          <w:szCs w:val="20"/>
        </w:rPr>
        <w:t xml:space="preserve">the ACT </w:t>
      </w:r>
      <w:r w:rsidRPr="00883FEE">
        <w:rPr>
          <w:rFonts w:ascii="Corbel" w:hAnsi="Corbel"/>
          <w:color w:val="000000"/>
          <w:sz w:val="23"/>
          <w:szCs w:val="20"/>
        </w:rPr>
        <w:t>agrees to address the criteria set out below. This will enable the Commonwealth to assess proposals and make invest</w:t>
      </w:r>
      <w:r w:rsidR="00921A69">
        <w:rPr>
          <w:rFonts w:ascii="Corbel" w:hAnsi="Corbel"/>
          <w:color w:val="000000"/>
          <w:sz w:val="23"/>
          <w:szCs w:val="20"/>
        </w:rPr>
        <w:t>ment decisions in a timely way.</w:t>
      </w:r>
    </w:p>
    <w:p w:rsidR="00B130C5" w:rsidRPr="00C7613E" w:rsidRDefault="00B130C5" w:rsidP="00C7613E">
      <w:pPr>
        <w:pStyle w:val="ListParagraph"/>
        <w:ind w:left="567"/>
        <w:rPr>
          <w:b/>
          <w:color w:val="000000"/>
        </w:rPr>
      </w:pPr>
    </w:p>
    <w:p w:rsidR="000315C6" w:rsidRDefault="00BD6A96" w:rsidP="004774B9">
      <w:pPr>
        <w:pStyle w:val="ListParagraph"/>
        <w:numPr>
          <w:ilvl w:val="0"/>
          <w:numId w:val="9"/>
        </w:numPr>
      </w:pPr>
      <w:r w:rsidRPr="00883FEE">
        <w:rPr>
          <w:rFonts w:ascii="Corbel" w:hAnsi="Corbel"/>
          <w:color w:val="000000"/>
          <w:sz w:val="23"/>
          <w:szCs w:val="20"/>
        </w:rPr>
        <w:t xml:space="preserve">Eligibility criteria </w:t>
      </w:r>
      <w:r w:rsidR="00A961E2" w:rsidRPr="00883FEE">
        <w:rPr>
          <w:rFonts w:ascii="Corbel" w:hAnsi="Corbel"/>
          <w:color w:val="000000"/>
          <w:sz w:val="23"/>
          <w:szCs w:val="20"/>
        </w:rPr>
        <w:t>and required information for feasibility studies and business cases</w:t>
      </w:r>
      <w:r w:rsidRPr="004774B9">
        <w:rPr>
          <w:rFonts w:ascii="Corbel" w:hAnsi="Corbel"/>
          <w:color w:val="000000"/>
          <w:sz w:val="23"/>
          <w:szCs w:val="20"/>
        </w:rPr>
        <w:t>:</w:t>
      </w:r>
    </w:p>
    <w:p w:rsidR="00704FA1" w:rsidRPr="004774B9" w:rsidRDefault="00704FA1" w:rsidP="004774B9">
      <w:pPr>
        <w:pStyle w:val="ListParagraph"/>
        <w:rPr>
          <w:rFonts w:ascii="Corbel" w:hAnsi="Corbel"/>
          <w:color w:val="000000"/>
          <w:sz w:val="23"/>
          <w:szCs w:val="20"/>
        </w:rPr>
      </w:pPr>
    </w:p>
    <w:p w:rsidR="000315C6" w:rsidRPr="000315C6" w:rsidRDefault="00BD6A96">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a</w:t>
      </w:r>
      <w:r w:rsidRPr="000315C6">
        <w:rPr>
          <w:color w:val="auto"/>
        </w:rPr>
        <w:t xml:space="preserve"> completed water savings calculator</w:t>
      </w:r>
      <w:r w:rsidR="00A203DD">
        <w:rPr>
          <w:color w:val="auto"/>
        </w:rPr>
        <w:t xml:space="preserve"> for the proposal</w:t>
      </w:r>
      <w:r w:rsidR="0011757B">
        <w:rPr>
          <w:color w:val="auto"/>
        </w:rPr>
        <w:t>;</w:t>
      </w:r>
    </w:p>
    <w:p w:rsidR="000315C6" w:rsidRPr="000315C6" w:rsidRDefault="00BD6A96">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provision of the n</w:t>
      </w:r>
      <w:r w:rsidRPr="000315C6">
        <w:rPr>
          <w:color w:val="auto"/>
        </w:rPr>
        <w:t xml:space="preserve">ominated water type(s) (e.g. entitlement class) and value(s) that meet </w:t>
      </w:r>
      <w:r>
        <w:rPr>
          <w:color w:val="auto"/>
        </w:rPr>
        <w:t xml:space="preserve">the </w:t>
      </w:r>
      <w:r w:rsidRPr="000315C6">
        <w:rPr>
          <w:color w:val="auto"/>
        </w:rPr>
        <w:t>Commonwealth approach</w:t>
      </w:r>
      <w:r>
        <w:rPr>
          <w:color w:val="auto"/>
        </w:rPr>
        <w:t xml:space="preserve"> to water recovery;</w:t>
      </w:r>
    </w:p>
    <w:p w:rsidR="000315C6" w:rsidRPr="000315C6" w:rsidRDefault="00BD6A96">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p</w:t>
      </w:r>
      <w:r w:rsidRPr="000315C6">
        <w:rPr>
          <w:color w:val="auto"/>
        </w:rPr>
        <w:t>roposal overview, opportunity description and rationale</w:t>
      </w:r>
      <w:r>
        <w:rPr>
          <w:color w:val="auto"/>
        </w:rPr>
        <w:t>;</w:t>
      </w:r>
      <w:r w:rsidRPr="000315C6">
        <w:rPr>
          <w:color w:val="auto"/>
        </w:rPr>
        <w:t xml:space="preserve"> </w:t>
      </w:r>
    </w:p>
    <w:p w:rsidR="00194F68" w:rsidRPr="004101CD" w:rsidRDefault="00BD6A96">
      <w:pPr>
        <w:pStyle w:val="AlphaParagraph"/>
        <w:numPr>
          <w:ilvl w:val="0"/>
          <w:numId w:val="21"/>
        </w:numPr>
        <w:tabs>
          <w:tab w:val="clear" w:pos="283"/>
          <w:tab w:val="clear" w:pos="567"/>
          <w:tab w:val="clear" w:pos="1134"/>
          <w:tab w:val="clear" w:pos="1418"/>
          <w:tab w:val="clear" w:pos="1701"/>
        </w:tabs>
        <w:ind w:left="1134" w:hanging="567"/>
        <w:jc w:val="left"/>
        <w:rPr>
          <w:color w:val="auto"/>
        </w:rPr>
      </w:pPr>
      <w:r w:rsidRPr="004101CD">
        <w:rPr>
          <w:color w:val="auto"/>
        </w:rPr>
        <w:t>project description and details</w:t>
      </w:r>
      <w:r w:rsidR="00071DED">
        <w:rPr>
          <w:color w:val="auto"/>
        </w:rPr>
        <w:t xml:space="preserve"> including a statement to confirm that </w:t>
      </w:r>
      <w:r w:rsidR="00E0127A" w:rsidRPr="005C4AC9">
        <w:rPr>
          <w:color w:val="auto"/>
        </w:rPr>
        <w:t xml:space="preserve">proposals are standalone, that is, </w:t>
      </w:r>
      <w:r w:rsidR="00816D6A" w:rsidRPr="005C4AC9">
        <w:rPr>
          <w:color w:val="auto"/>
        </w:rPr>
        <w:t xml:space="preserve">are </w:t>
      </w:r>
      <w:r w:rsidR="00E0127A" w:rsidRPr="005C4AC9">
        <w:rPr>
          <w:color w:val="auto"/>
        </w:rPr>
        <w:t>not run through existing state programs</w:t>
      </w:r>
      <w:r w:rsidRPr="004101CD">
        <w:rPr>
          <w:color w:val="auto"/>
        </w:rPr>
        <w:t>;</w:t>
      </w:r>
    </w:p>
    <w:p w:rsidR="000315C6" w:rsidRPr="000315C6" w:rsidRDefault="00BD6A96">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s</w:t>
      </w:r>
      <w:r w:rsidRPr="000315C6">
        <w:rPr>
          <w:color w:val="auto"/>
        </w:rPr>
        <w:t>upporting evidence for the proposal/project such as maps, reports etc</w:t>
      </w:r>
      <w:r>
        <w:rPr>
          <w:color w:val="auto"/>
        </w:rPr>
        <w:t>.;</w:t>
      </w:r>
      <w:r w:rsidRPr="000315C6">
        <w:rPr>
          <w:color w:val="auto"/>
        </w:rPr>
        <w:t xml:space="preserve"> </w:t>
      </w:r>
    </w:p>
    <w:p w:rsidR="00194F68" w:rsidRPr="000315C6" w:rsidRDefault="00BD6A96">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p</w:t>
      </w:r>
      <w:r w:rsidRPr="000315C6">
        <w:rPr>
          <w:color w:val="auto"/>
        </w:rPr>
        <w:t>urpose and quantum of different activities to be funded</w:t>
      </w:r>
      <w:r>
        <w:rPr>
          <w:color w:val="auto"/>
        </w:rPr>
        <w:t>;</w:t>
      </w:r>
    </w:p>
    <w:p w:rsidR="00C71CD6" w:rsidRDefault="00BD6A96">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s</w:t>
      </w:r>
      <w:r w:rsidR="000315C6" w:rsidRPr="000315C6">
        <w:rPr>
          <w:color w:val="auto"/>
        </w:rPr>
        <w:t>ummary of estimated costs</w:t>
      </w:r>
      <w:r>
        <w:rPr>
          <w:color w:val="auto"/>
        </w:rPr>
        <w:t xml:space="preserve"> </w:t>
      </w:r>
      <w:r w:rsidR="00194F68">
        <w:rPr>
          <w:color w:val="auto"/>
        </w:rPr>
        <w:t xml:space="preserve">provided by </w:t>
      </w:r>
      <w:r w:rsidR="00704FA1">
        <w:rPr>
          <w:color w:val="auto"/>
        </w:rPr>
        <w:t>a f</w:t>
      </w:r>
      <w:r w:rsidR="00194F68">
        <w:rPr>
          <w:color w:val="auto"/>
        </w:rPr>
        <w:t xml:space="preserve">easibility </w:t>
      </w:r>
      <w:r w:rsidR="00704FA1">
        <w:rPr>
          <w:color w:val="auto"/>
        </w:rPr>
        <w:t>s</w:t>
      </w:r>
      <w:r w:rsidR="00194F68">
        <w:rPr>
          <w:color w:val="auto"/>
        </w:rPr>
        <w:t xml:space="preserve">tudy </w:t>
      </w:r>
      <w:r>
        <w:rPr>
          <w:color w:val="auto"/>
        </w:rPr>
        <w:t xml:space="preserve">for </w:t>
      </w:r>
      <w:r w:rsidR="00194F68">
        <w:rPr>
          <w:color w:val="auto"/>
        </w:rPr>
        <w:t xml:space="preserve">both </w:t>
      </w:r>
      <w:r>
        <w:rPr>
          <w:color w:val="auto"/>
        </w:rPr>
        <w:t xml:space="preserve">business case and </w:t>
      </w:r>
      <w:r w:rsidR="00A57100">
        <w:rPr>
          <w:color w:val="auto"/>
        </w:rPr>
        <w:t xml:space="preserve">for </w:t>
      </w:r>
      <w:r w:rsidR="00194F68">
        <w:rPr>
          <w:color w:val="auto"/>
        </w:rPr>
        <w:t xml:space="preserve">project </w:t>
      </w:r>
      <w:r>
        <w:rPr>
          <w:color w:val="auto"/>
        </w:rPr>
        <w:t>implementation</w:t>
      </w:r>
      <w:r w:rsidR="00704FA1">
        <w:rPr>
          <w:color w:val="auto"/>
        </w:rPr>
        <w:t xml:space="preserve"> stages</w:t>
      </w:r>
      <w:r>
        <w:rPr>
          <w:color w:val="auto"/>
        </w:rPr>
        <w:t xml:space="preserve">. </w:t>
      </w:r>
      <w:r w:rsidR="00704FA1">
        <w:rPr>
          <w:color w:val="auto"/>
        </w:rPr>
        <w:t>A b</w:t>
      </w:r>
      <w:r>
        <w:rPr>
          <w:color w:val="auto"/>
        </w:rPr>
        <w:t xml:space="preserve">usiness case </w:t>
      </w:r>
      <w:r w:rsidR="00194F68">
        <w:rPr>
          <w:color w:val="auto"/>
        </w:rPr>
        <w:t xml:space="preserve">is </w:t>
      </w:r>
      <w:r>
        <w:rPr>
          <w:color w:val="auto"/>
        </w:rPr>
        <w:t xml:space="preserve">to provide </w:t>
      </w:r>
      <w:r w:rsidR="007F6015">
        <w:rPr>
          <w:color w:val="auto"/>
        </w:rPr>
        <w:t xml:space="preserve">further </w:t>
      </w:r>
      <w:r>
        <w:rPr>
          <w:color w:val="auto"/>
        </w:rPr>
        <w:t>detailed cost breakdowns; and</w:t>
      </w:r>
    </w:p>
    <w:p w:rsidR="000315C6" w:rsidRPr="000315C6" w:rsidRDefault="00BD6A96">
      <w:pPr>
        <w:pStyle w:val="AlphaParagraph"/>
        <w:numPr>
          <w:ilvl w:val="0"/>
          <w:numId w:val="21"/>
        </w:numPr>
        <w:tabs>
          <w:tab w:val="clear" w:pos="283"/>
          <w:tab w:val="clear" w:pos="567"/>
          <w:tab w:val="clear" w:pos="1134"/>
          <w:tab w:val="clear" w:pos="1418"/>
          <w:tab w:val="clear" w:pos="1701"/>
        </w:tabs>
        <w:ind w:left="1134" w:hanging="567"/>
        <w:jc w:val="left"/>
        <w:rPr>
          <w:color w:val="auto"/>
        </w:rPr>
      </w:pPr>
      <w:r>
        <w:rPr>
          <w:color w:val="auto"/>
        </w:rPr>
        <w:t>p</w:t>
      </w:r>
      <w:r w:rsidR="00D33370" w:rsidRPr="000315C6">
        <w:rPr>
          <w:color w:val="auto"/>
        </w:rPr>
        <w:t>roposed schedule with milestones</w:t>
      </w:r>
      <w:r>
        <w:rPr>
          <w:color w:val="auto"/>
        </w:rPr>
        <w:t>.</w:t>
      </w:r>
    </w:p>
    <w:p w:rsidR="000315C6" w:rsidRPr="004101CD" w:rsidRDefault="00BD6A96" w:rsidP="004774B9">
      <w:pPr>
        <w:pStyle w:val="ListParagraph"/>
        <w:numPr>
          <w:ilvl w:val="0"/>
          <w:numId w:val="9"/>
        </w:numPr>
        <w:rPr>
          <w:rFonts w:ascii="Corbel" w:hAnsi="Corbel"/>
          <w:color w:val="000000"/>
          <w:sz w:val="23"/>
          <w:szCs w:val="20"/>
        </w:rPr>
      </w:pPr>
      <w:r>
        <w:rPr>
          <w:rFonts w:ascii="Corbel" w:hAnsi="Corbel"/>
          <w:color w:val="000000"/>
          <w:sz w:val="23"/>
          <w:szCs w:val="20"/>
        </w:rPr>
        <w:t>I</w:t>
      </w:r>
      <w:r w:rsidR="00A924C3" w:rsidRPr="004101CD">
        <w:rPr>
          <w:rFonts w:ascii="Corbel" w:hAnsi="Corbel"/>
          <w:color w:val="000000"/>
          <w:sz w:val="23"/>
          <w:szCs w:val="20"/>
        </w:rPr>
        <w:t xml:space="preserve">n addition to the above information, </w:t>
      </w:r>
      <w:r>
        <w:rPr>
          <w:rFonts w:ascii="Corbel" w:hAnsi="Corbel"/>
          <w:color w:val="000000"/>
          <w:sz w:val="23"/>
          <w:szCs w:val="20"/>
        </w:rPr>
        <w:t xml:space="preserve">business cases </w:t>
      </w:r>
      <w:r w:rsidR="00350BE1">
        <w:rPr>
          <w:rFonts w:ascii="Corbel" w:hAnsi="Corbel"/>
          <w:color w:val="000000"/>
          <w:sz w:val="23"/>
          <w:szCs w:val="20"/>
        </w:rPr>
        <w:t xml:space="preserve">or project proposals </w:t>
      </w:r>
      <w:r w:rsidRPr="004101CD">
        <w:rPr>
          <w:rFonts w:ascii="Corbel" w:hAnsi="Corbel"/>
          <w:color w:val="000000"/>
          <w:sz w:val="23"/>
          <w:szCs w:val="20"/>
        </w:rPr>
        <w:t xml:space="preserve">will </w:t>
      </w:r>
      <w:r w:rsidR="00A924C3" w:rsidRPr="004101CD">
        <w:rPr>
          <w:rFonts w:ascii="Corbel" w:hAnsi="Corbel"/>
          <w:color w:val="000000"/>
          <w:sz w:val="23"/>
          <w:szCs w:val="20"/>
        </w:rPr>
        <w:t xml:space="preserve">also </w:t>
      </w:r>
      <w:r w:rsidRPr="004101CD">
        <w:rPr>
          <w:rFonts w:ascii="Corbel" w:hAnsi="Corbel"/>
          <w:color w:val="000000"/>
          <w:sz w:val="23"/>
          <w:szCs w:val="20"/>
        </w:rPr>
        <w:t xml:space="preserve">need to provide </w:t>
      </w:r>
      <w:r w:rsidR="00C7613E" w:rsidRPr="004101CD">
        <w:rPr>
          <w:rFonts w:ascii="Corbel" w:hAnsi="Corbel"/>
          <w:color w:val="000000"/>
          <w:sz w:val="23"/>
          <w:szCs w:val="20"/>
        </w:rPr>
        <w:t xml:space="preserve">as </w:t>
      </w:r>
      <w:r w:rsidR="00281AEC" w:rsidRPr="004101CD">
        <w:rPr>
          <w:rFonts w:ascii="Corbel" w:hAnsi="Corbel"/>
          <w:color w:val="000000"/>
          <w:sz w:val="23"/>
          <w:szCs w:val="20"/>
        </w:rPr>
        <w:t xml:space="preserve">a </w:t>
      </w:r>
      <w:r w:rsidR="00C7613E" w:rsidRPr="004101CD">
        <w:rPr>
          <w:rFonts w:ascii="Corbel" w:hAnsi="Corbel"/>
          <w:color w:val="000000"/>
          <w:sz w:val="23"/>
          <w:szCs w:val="20"/>
        </w:rPr>
        <w:t xml:space="preserve">minimum </w:t>
      </w:r>
      <w:r w:rsidR="00704FA1" w:rsidRPr="004101CD">
        <w:rPr>
          <w:rFonts w:ascii="Corbel" w:hAnsi="Corbel"/>
          <w:color w:val="000000"/>
          <w:sz w:val="23"/>
          <w:szCs w:val="20"/>
        </w:rPr>
        <w:t xml:space="preserve">the </w:t>
      </w:r>
      <w:r w:rsidRPr="004101CD">
        <w:rPr>
          <w:rFonts w:ascii="Corbel" w:hAnsi="Corbel"/>
          <w:color w:val="000000"/>
          <w:sz w:val="23"/>
          <w:szCs w:val="20"/>
        </w:rPr>
        <w:t>details of:</w:t>
      </w:r>
    </w:p>
    <w:p w:rsidR="00704FA1" w:rsidRPr="004774B9" w:rsidRDefault="00704FA1" w:rsidP="004774B9">
      <w:pPr>
        <w:pStyle w:val="ListParagraph"/>
        <w:ind w:left="567"/>
        <w:rPr>
          <w:b/>
          <w:color w:val="000000"/>
        </w:rPr>
      </w:pPr>
    </w:p>
    <w:p w:rsidR="000315C6" w:rsidRPr="000315C6" w:rsidRDefault="00BD6A96">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p</w:t>
      </w:r>
      <w:r w:rsidRPr="000315C6">
        <w:rPr>
          <w:color w:val="auto"/>
        </w:rPr>
        <w:t xml:space="preserve">roject management </w:t>
      </w:r>
      <w:r w:rsidR="00B92C89">
        <w:rPr>
          <w:color w:val="auto"/>
        </w:rPr>
        <w:t>arrangements</w:t>
      </w:r>
      <w:r>
        <w:rPr>
          <w:color w:val="auto"/>
        </w:rPr>
        <w:t>;</w:t>
      </w:r>
    </w:p>
    <w:p w:rsidR="000315C6" w:rsidRPr="000315C6" w:rsidRDefault="00BD6A96">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r</w:t>
      </w:r>
      <w:r w:rsidRPr="000315C6">
        <w:rPr>
          <w:color w:val="auto"/>
        </w:rPr>
        <w:t xml:space="preserve">isk management </w:t>
      </w:r>
      <w:r w:rsidR="00193AC8">
        <w:rPr>
          <w:color w:val="auto"/>
        </w:rPr>
        <w:t xml:space="preserve">both </w:t>
      </w:r>
      <w:r w:rsidRPr="000315C6">
        <w:rPr>
          <w:color w:val="auto"/>
        </w:rPr>
        <w:t xml:space="preserve">for project delivery and </w:t>
      </w:r>
      <w:r w:rsidR="00C71CD6">
        <w:rPr>
          <w:color w:val="auto"/>
        </w:rPr>
        <w:t xml:space="preserve">for </w:t>
      </w:r>
      <w:r w:rsidRPr="000315C6">
        <w:rPr>
          <w:color w:val="auto"/>
        </w:rPr>
        <w:t xml:space="preserve">any </w:t>
      </w:r>
      <w:r w:rsidR="00193AC8">
        <w:rPr>
          <w:color w:val="auto"/>
        </w:rPr>
        <w:t xml:space="preserve">potential </w:t>
      </w:r>
      <w:r w:rsidRPr="000315C6">
        <w:rPr>
          <w:color w:val="auto"/>
        </w:rPr>
        <w:t>operational risk</w:t>
      </w:r>
      <w:r w:rsidR="00193AC8">
        <w:rPr>
          <w:color w:val="auto"/>
        </w:rPr>
        <w:t>s</w:t>
      </w:r>
      <w:r>
        <w:rPr>
          <w:color w:val="auto"/>
        </w:rPr>
        <w:t>;</w:t>
      </w:r>
    </w:p>
    <w:p w:rsidR="000315C6" w:rsidRPr="000315C6" w:rsidRDefault="00BD6A96">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g</w:t>
      </w:r>
      <w:r w:rsidRPr="000315C6">
        <w:rPr>
          <w:color w:val="auto"/>
        </w:rPr>
        <w:t xml:space="preserve">overnance arrangements including management of </w:t>
      </w:r>
      <w:r w:rsidR="00704FA1">
        <w:rPr>
          <w:color w:val="auto"/>
        </w:rPr>
        <w:t xml:space="preserve">any </w:t>
      </w:r>
      <w:r w:rsidRPr="000315C6">
        <w:rPr>
          <w:color w:val="auto"/>
        </w:rPr>
        <w:t>approvals or regulatory requirements</w:t>
      </w:r>
      <w:r>
        <w:rPr>
          <w:color w:val="auto"/>
        </w:rPr>
        <w:t>;</w:t>
      </w:r>
    </w:p>
    <w:p w:rsidR="000315C6" w:rsidRPr="000315C6" w:rsidRDefault="00BD6A96">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s</w:t>
      </w:r>
      <w:r w:rsidRPr="000315C6">
        <w:rPr>
          <w:color w:val="auto"/>
        </w:rPr>
        <w:t>takeholder management</w:t>
      </w:r>
      <w:r>
        <w:rPr>
          <w:color w:val="auto"/>
        </w:rPr>
        <w:t>;</w:t>
      </w:r>
    </w:p>
    <w:p w:rsidR="00167C2B" w:rsidRDefault="00BD6A96">
      <w:pPr>
        <w:pStyle w:val="AlphaParagraph"/>
        <w:numPr>
          <w:ilvl w:val="0"/>
          <w:numId w:val="22"/>
        </w:numPr>
        <w:tabs>
          <w:tab w:val="clear" w:pos="283"/>
          <w:tab w:val="clear" w:pos="567"/>
          <w:tab w:val="clear" w:pos="1134"/>
          <w:tab w:val="clear" w:pos="1418"/>
          <w:tab w:val="clear" w:pos="1701"/>
        </w:tabs>
        <w:ind w:left="1134" w:hanging="567"/>
        <w:jc w:val="left"/>
        <w:rPr>
          <w:color w:val="auto"/>
        </w:rPr>
      </w:pPr>
      <w:r>
        <w:rPr>
          <w:color w:val="auto"/>
        </w:rPr>
        <w:t>w</w:t>
      </w:r>
      <w:r w:rsidRPr="000315C6">
        <w:rPr>
          <w:color w:val="auto"/>
        </w:rPr>
        <w:t>orkplace Relationships Management Plan compliant with WHS and Building Code requirements</w:t>
      </w:r>
      <w:r>
        <w:rPr>
          <w:color w:val="auto"/>
        </w:rPr>
        <w:t>; and</w:t>
      </w:r>
    </w:p>
    <w:p w:rsidR="00281AEC" w:rsidRPr="005C4AC9" w:rsidRDefault="00BD6A96">
      <w:pPr>
        <w:pStyle w:val="AlphaParagraph"/>
        <w:numPr>
          <w:ilvl w:val="0"/>
          <w:numId w:val="22"/>
        </w:numPr>
        <w:tabs>
          <w:tab w:val="clear" w:pos="283"/>
          <w:tab w:val="clear" w:pos="567"/>
          <w:tab w:val="clear" w:pos="1134"/>
          <w:tab w:val="clear" w:pos="1418"/>
          <w:tab w:val="clear" w:pos="1701"/>
        </w:tabs>
        <w:ind w:left="1134" w:hanging="567"/>
        <w:jc w:val="left"/>
        <w:rPr>
          <w:color w:val="auto"/>
        </w:rPr>
      </w:pPr>
      <w:r w:rsidRPr="005C4AC9">
        <w:rPr>
          <w:color w:val="auto"/>
        </w:rPr>
        <w:t xml:space="preserve">any other information </w:t>
      </w:r>
      <w:r w:rsidR="00CA7435">
        <w:rPr>
          <w:color w:val="auto"/>
        </w:rPr>
        <w:t>the ACT</w:t>
      </w:r>
      <w:r w:rsidRPr="005C4AC9">
        <w:rPr>
          <w:color w:val="auto"/>
        </w:rPr>
        <w:t xml:space="preserve"> considers relevant to enable the Commonwealth to assess the business case.</w:t>
      </w:r>
    </w:p>
    <w:p w:rsidR="00814667" w:rsidRPr="00814590" w:rsidRDefault="00BD6A96">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rsidR="009A14F4" w:rsidRPr="006978B2" w:rsidRDefault="00BD6A96" w:rsidP="00901143">
      <w:pPr>
        <w:pStyle w:val="Normalnumbered"/>
        <w:numPr>
          <w:ilvl w:val="0"/>
          <w:numId w:val="9"/>
        </w:numPr>
        <w:spacing w:before="120" w:line="240" w:lineRule="auto"/>
        <w:jc w:val="left"/>
      </w:pPr>
      <w:r w:rsidRPr="005320D4">
        <w:t>Projects, milestones for these activities or projects, their relationship to the outputs, expected completion dates, relevant reporting dates and expected payments will be outlined in schedules to this Agreement.</w:t>
      </w:r>
    </w:p>
    <w:p w:rsidR="00F3245D" w:rsidRDefault="00BD6A96" w:rsidP="00F3245D">
      <w:pPr>
        <w:pStyle w:val="Heading2"/>
      </w:pPr>
      <w:r>
        <w:t>Reporting arrangements</w:t>
      </w:r>
    </w:p>
    <w:p w:rsidR="00B62A75" w:rsidRPr="004D2B20" w:rsidRDefault="00002856" w:rsidP="00901143">
      <w:pPr>
        <w:pStyle w:val="Normalnumbered"/>
        <w:numPr>
          <w:ilvl w:val="0"/>
          <w:numId w:val="9"/>
        </w:numPr>
        <w:spacing w:before="120" w:line="240" w:lineRule="auto"/>
        <w:jc w:val="left"/>
        <w:rPr>
          <w:color w:val="auto"/>
        </w:rPr>
      </w:pPr>
      <w:r>
        <w:t>The ACT</w:t>
      </w:r>
      <w:r w:rsidR="00770132" w:rsidRPr="00B62A75">
        <w:t xml:space="preserve"> will provide performance reports in accordance with the schedule for individual </w:t>
      </w:r>
      <w:r w:rsidR="00E76ECF">
        <w:t xml:space="preserve">approved </w:t>
      </w:r>
      <w:r w:rsidR="00770132" w:rsidRPr="00B62A75">
        <w:t xml:space="preserve">activities under this </w:t>
      </w:r>
      <w:r w:rsidR="00701118">
        <w:t>A</w:t>
      </w:r>
      <w:r w:rsidR="00701118" w:rsidRPr="00B62A75">
        <w:t>greement</w:t>
      </w:r>
      <w:r w:rsidR="00770132" w:rsidRPr="00B62A75">
        <w:t xml:space="preserve">. </w:t>
      </w:r>
      <w:r w:rsidR="0036009E">
        <w:t>Each performance report is to contain a description of actual performance in the period against the activity milestones</w:t>
      </w:r>
      <w:r w:rsidR="000A0DF7">
        <w:t xml:space="preserve">, </w:t>
      </w:r>
      <w:r w:rsidR="0036009E">
        <w:t>and a report of actual expenditure against budgeted expenditure for the current milestone.</w:t>
      </w:r>
    </w:p>
    <w:p w:rsidR="006A0BAA" w:rsidRPr="004D2B20" w:rsidRDefault="00BD6A96" w:rsidP="00901143">
      <w:pPr>
        <w:pStyle w:val="Normalnumbered"/>
        <w:numPr>
          <w:ilvl w:val="0"/>
          <w:numId w:val="9"/>
        </w:numPr>
        <w:spacing w:before="120" w:line="240" w:lineRule="auto"/>
        <w:jc w:val="left"/>
      </w:pPr>
      <w:r>
        <w:t>If</w:t>
      </w:r>
      <w:r w:rsidR="00F27A6C" w:rsidRPr="004D2B20">
        <w:t xml:space="preserve"> </w:t>
      </w:r>
      <w:r w:rsidR="00002856">
        <w:t>the ACT</w:t>
      </w:r>
      <w:r>
        <w:t xml:space="preserve"> decides to not proceed with a proposal that has been deemed feasible, then it </w:t>
      </w:r>
      <w:r w:rsidR="00701118">
        <w:t xml:space="preserve">is to </w:t>
      </w:r>
      <w:r>
        <w:t xml:space="preserve">provide </w:t>
      </w:r>
      <w:r w:rsidRPr="004D2B20">
        <w:t xml:space="preserve">a detailed case as to why the project </w:t>
      </w:r>
      <w:r w:rsidR="00301669">
        <w:t xml:space="preserve">should not </w:t>
      </w:r>
      <w:r w:rsidR="00193AC8">
        <w:t xml:space="preserve">be </w:t>
      </w:r>
      <w:r w:rsidRPr="004D2B20">
        <w:t>implemented.</w:t>
      </w:r>
      <w:r w:rsidR="002F7279" w:rsidRPr="004D2B20">
        <w:t xml:space="preserve"> </w:t>
      </w:r>
    </w:p>
    <w:p w:rsidR="006A0BAA" w:rsidRDefault="00BD6A96" w:rsidP="00901143">
      <w:pPr>
        <w:pStyle w:val="Normalnumbered"/>
        <w:numPr>
          <w:ilvl w:val="0"/>
          <w:numId w:val="9"/>
        </w:numPr>
        <w:spacing w:before="120" w:line="240" w:lineRule="auto"/>
        <w:jc w:val="left"/>
        <w:rPr>
          <w:szCs w:val="23"/>
        </w:rPr>
      </w:pPr>
      <w:r w:rsidRPr="004D2B20">
        <w:t xml:space="preserve">Where the output </w:t>
      </w:r>
      <w:r w:rsidR="00380267" w:rsidRPr="004D2B20">
        <w:t>is</w:t>
      </w:r>
      <w:r w:rsidRPr="004D2B20">
        <w:t xml:space="preserve"> a project</w:t>
      </w:r>
      <w:r w:rsidR="001702AB">
        <w:t xml:space="preserve"> (i.e. not a feasibility study output or business case output)</w:t>
      </w:r>
      <w:r w:rsidR="00193AC8">
        <w:t>,</w:t>
      </w:r>
      <w:r w:rsidR="00380267" w:rsidRPr="004D2B20">
        <w:t xml:space="preserve"> a</w:t>
      </w:r>
      <w:r w:rsidRPr="004D2B20">
        <w:t xml:space="preserve"> final project report must be provided to the Commonwealth</w:t>
      </w:r>
      <w:r>
        <w:rPr>
          <w:szCs w:val="23"/>
        </w:rPr>
        <w:t xml:space="preserve"> within 90 days </w:t>
      </w:r>
      <w:r w:rsidR="00380267">
        <w:rPr>
          <w:szCs w:val="23"/>
        </w:rPr>
        <w:t xml:space="preserve">of </w:t>
      </w:r>
      <w:r>
        <w:rPr>
          <w:szCs w:val="23"/>
        </w:rPr>
        <w:t>the completion of the project. The relevant report will be a stand-alone document(s) than can be used for public information dissemination purposes. The final project report will:</w:t>
      </w:r>
    </w:p>
    <w:p w:rsidR="006A0BAA" w:rsidRPr="004D2B20" w:rsidRDefault="00BD6A96">
      <w:pPr>
        <w:pStyle w:val="AlphaParagraph"/>
        <w:numPr>
          <w:ilvl w:val="0"/>
          <w:numId w:val="20"/>
        </w:numPr>
        <w:tabs>
          <w:tab w:val="clear" w:pos="283"/>
          <w:tab w:val="clear" w:pos="567"/>
          <w:tab w:val="clear" w:pos="1134"/>
          <w:tab w:val="clear" w:pos="1418"/>
          <w:tab w:val="clear" w:pos="1701"/>
        </w:tabs>
        <w:ind w:left="1134" w:hanging="567"/>
        <w:jc w:val="left"/>
        <w:rPr>
          <w:color w:val="auto"/>
        </w:rPr>
      </w:pPr>
      <w:r w:rsidRPr="004D2B20">
        <w:rPr>
          <w:color w:val="auto"/>
        </w:rPr>
        <w:t>describe the conduct, benefits, and outcomes of the projects;</w:t>
      </w:r>
    </w:p>
    <w:p w:rsidR="006A0BAA" w:rsidRPr="00190F28" w:rsidRDefault="00BD6A96">
      <w:pPr>
        <w:pStyle w:val="AlphaParagraph"/>
        <w:numPr>
          <w:ilvl w:val="0"/>
          <w:numId w:val="20"/>
        </w:numPr>
        <w:tabs>
          <w:tab w:val="clear" w:pos="283"/>
          <w:tab w:val="clear" w:pos="567"/>
          <w:tab w:val="clear" w:pos="1134"/>
          <w:tab w:val="clear" w:pos="1418"/>
          <w:tab w:val="clear" w:pos="1701"/>
        </w:tabs>
        <w:ind w:left="1134" w:hanging="567"/>
        <w:jc w:val="left"/>
        <w:rPr>
          <w:color w:val="auto"/>
        </w:rPr>
      </w:pPr>
      <w:r w:rsidRPr="004D2B20">
        <w:rPr>
          <w:color w:val="auto"/>
        </w:rPr>
        <w:t xml:space="preserve">evaluate the project from </w:t>
      </w:r>
      <w:r w:rsidR="00002856">
        <w:rPr>
          <w:color w:val="auto"/>
        </w:rPr>
        <w:t>the ACT</w:t>
      </w:r>
      <w:r w:rsidR="00AD7184">
        <w:rPr>
          <w:color w:val="auto"/>
        </w:rPr>
        <w:t xml:space="preserve">’s </w:t>
      </w:r>
      <w:r w:rsidRPr="004D2B20">
        <w:rPr>
          <w:color w:val="auto"/>
        </w:rPr>
        <w:t xml:space="preserve"> perspective, including assessing the extent to which the project milestones have been achieved and why any aspect was not achieved;</w:t>
      </w:r>
      <w:r w:rsidR="00F65A2F">
        <w:rPr>
          <w:color w:val="auto"/>
        </w:rPr>
        <w:t xml:space="preserve"> and</w:t>
      </w:r>
    </w:p>
    <w:p w:rsidR="0084644F" w:rsidRDefault="00BD6A96">
      <w:pPr>
        <w:pStyle w:val="AlphaParagraph"/>
        <w:numPr>
          <w:ilvl w:val="0"/>
          <w:numId w:val="20"/>
        </w:numPr>
        <w:tabs>
          <w:tab w:val="clear" w:pos="283"/>
          <w:tab w:val="clear" w:pos="567"/>
          <w:tab w:val="clear" w:pos="1134"/>
          <w:tab w:val="clear" w:pos="1418"/>
          <w:tab w:val="clear" w:pos="1701"/>
        </w:tabs>
        <w:ind w:left="1134" w:hanging="567"/>
        <w:jc w:val="left"/>
        <w:rPr>
          <w:color w:val="auto"/>
        </w:rPr>
      </w:pPr>
      <w:r w:rsidRPr="00190F28">
        <w:rPr>
          <w:color w:val="auto"/>
        </w:rPr>
        <w:t>include a discussion of any other matters relating to the project, limited to the minimum necessary for the effective assessment of a projects performance</w:t>
      </w:r>
      <w:r w:rsidR="00F65A2F">
        <w:rPr>
          <w:color w:val="auto"/>
        </w:rPr>
        <w:t>.</w:t>
      </w:r>
    </w:p>
    <w:p w:rsidR="00747E52" w:rsidRPr="00707DD1" w:rsidRDefault="00BD6A96" w:rsidP="00901143">
      <w:pPr>
        <w:pStyle w:val="Normalnumbered"/>
        <w:numPr>
          <w:ilvl w:val="0"/>
          <w:numId w:val="9"/>
        </w:numPr>
        <w:spacing w:before="120" w:line="240" w:lineRule="auto"/>
        <w:jc w:val="left"/>
      </w:pPr>
      <w:r w:rsidRPr="004D2B20">
        <w:t>Where the output is a project</w:t>
      </w:r>
      <w:r>
        <w:t xml:space="preserve">, </w:t>
      </w:r>
      <w:r w:rsidR="00002856">
        <w:t>the ACT</w:t>
      </w:r>
      <w:r>
        <w:t xml:space="preserve"> will provide information to enable the Commonwealth to undertake annual Monitoring, Evaluation, Review and Improvement (MERI) reporting or for reviews of the </w:t>
      </w:r>
      <w:r w:rsidR="00BC5BE4">
        <w:t>Murray-Darling Basin Water Infrastructure Program</w:t>
      </w:r>
      <w:r>
        <w:t>.</w:t>
      </w:r>
    </w:p>
    <w:p w:rsidR="008E7527" w:rsidRDefault="00BD6A96" w:rsidP="009E093C">
      <w:pPr>
        <w:pStyle w:val="Heading1"/>
      </w:pPr>
      <w:r>
        <w:t>Part 5</w:t>
      </w:r>
      <w:r w:rsidRPr="00751725">
        <w:t xml:space="preserve"> — financial arrangements</w:t>
      </w:r>
    </w:p>
    <w:p w:rsidR="00494C3C" w:rsidRPr="00494C3C" w:rsidRDefault="00BD6A96" w:rsidP="00901143">
      <w:pPr>
        <w:pStyle w:val="OutlineNumbered1"/>
        <w:numPr>
          <w:ilvl w:val="0"/>
          <w:numId w:val="9"/>
        </w:numPr>
        <w:spacing w:line="240" w:lineRule="auto"/>
        <w:jc w:val="left"/>
      </w:pPr>
      <w:r>
        <w:t xml:space="preserve">Funding for </w:t>
      </w:r>
      <w:r w:rsidR="0003432E">
        <w:t>the Murray Darling Basin Water Infrastructure Program is through the Sustainable Rural Water Use and Infrastructure Program</w:t>
      </w:r>
      <w:r w:rsidR="00B85F65">
        <w:t>. The program involves infrastructure to improve water use efficiency both to bridge the gap using</w:t>
      </w:r>
      <w:r w:rsidR="00813E1D">
        <w:t xml:space="preserve"> the</w:t>
      </w:r>
      <w:r w:rsidR="00B85F65">
        <w:t xml:space="preserve"> SRWUIP and </w:t>
      </w:r>
      <w:r w:rsidR="007F6015">
        <w:t xml:space="preserve">efficiency measure </w:t>
      </w:r>
      <w:r>
        <w:t xml:space="preserve">projects provided from the WESA and associated special appropriations established through Part 2AA of the </w:t>
      </w:r>
      <w:r w:rsidRPr="00BC5BE4">
        <w:rPr>
          <w:i/>
        </w:rPr>
        <w:t>Water Act 2007</w:t>
      </w:r>
      <w:r>
        <w:t xml:space="preserve">.  </w:t>
      </w:r>
      <w:r w:rsidR="00BC5929">
        <w:t>The Commonwealth will provide funding that aligns with the purposes and the conditions set out for the</w:t>
      </w:r>
      <w:r w:rsidR="00B85F65">
        <w:t xml:space="preserve"> SRWUIP and for the</w:t>
      </w:r>
      <w:r w:rsidR="00BC5929">
        <w:t xml:space="preserve"> WESA in Part</w:t>
      </w:r>
      <w:r w:rsidR="00F65A2F">
        <w:t> </w:t>
      </w:r>
      <w:r w:rsidR="00BC5929">
        <w:t>2AA</w:t>
      </w:r>
      <w:r w:rsidR="000A0DF7">
        <w:t xml:space="preserve"> </w:t>
      </w:r>
      <w:r w:rsidR="00BC5929">
        <w:t xml:space="preserve">of the </w:t>
      </w:r>
      <w:r w:rsidR="00BC5929" w:rsidRPr="007F1768">
        <w:rPr>
          <w:i/>
        </w:rPr>
        <w:t>Water Act</w:t>
      </w:r>
      <w:r w:rsidR="007F1768" w:rsidRPr="007F1768">
        <w:rPr>
          <w:i/>
        </w:rPr>
        <w:t xml:space="preserve"> 2007</w:t>
      </w:r>
      <w:r w:rsidR="00BC5929">
        <w:t>.</w:t>
      </w:r>
    </w:p>
    <w:p w:rsidR="00EB7B24" w:rsidRDefault="00BD6A96" w:rsidP="005C4AC9">
      <w:pPr>
        <w:pStyle w:val="Normalnumbered"/>
        <w:numPr>
          <w:ilvl w:val="0"/>
          <w:numId w:val="9"/>
        </w:numPr>
        <w:spacing w:before="120" w:line="240" w:lineRule="auto"/>
        <w:jc w:val="left"/>
      </w:pPr>
      <w:r>
        <w:t xml:space="preserve">The Commonwealth agrees to provide </w:t>
      </w:r>
      <w:r w:rsidRPr="000E48C3">
        <w:t>financial contribution</w:t>
      </w:r>
      <w:r>
        <w:t>s</w:t>
      </w:r>
      <w:r w:rsidRPr="000E48C3">
        <w:t xml:space="preserve"> to </w:t>
      </w:r>
      <w:r w:rsidR="0079618F">
        <w:t xml:space="preserve">the ACT </w:t>
      </w:r>
      <w:r>
        <w:t>as per milestones set out in schedules to this Agreement for de</w:t>
      </w:r>
      <w:r w:rsidR="006966DD">
        <w:t>velopment/completion of approved</w:t>
      </w:r>
      <w:r>
        <w:t xml:space="preserve"> activities (</w:t>
      </w:r>
      <w:r w:rsidR="00B02DF2">
        <w:t xml:space="preserve">for example, feasibility studies, </w:t>
      </w:r>
      <w:r>
        <w:t xml:space="preserve">business case development/completion and </w:t>
      </w:r>
      <w:r w:rsidR="00B02DF2">
        <w:t xml:space="preserve">implementation </w:t>
      </w:r>
      <w:r w:rsidR="004241DF">
        <w:t>of approved projects)</w:t>
      </w:r>
      <w:r>
        <w:t xml:space="preserve">.  </w:t>
      </w:r>
      <w:r w:rsidR="005C4AC9" w:rsidRPr="005C4AC9">
        <w:t>GST is not applicable to the</w:t>
      </w:r>
      <w:r w:rsidR="005C4AC9">
        <w:t xml:space="preserve"> payments</w:t>
      </w:r>
      <w:r>
        <w:t>.</w:t>
      </w:r>
    </w:p>
    <w:p w:rsidR="005C22DA" w:rsidRDefault="00BD6A96" w:rsidP="00901143">
      <w:pPr>
        <w:pStyle w:val="Normalnumbered"/>
        <w:numPr>
          <w:ilvl w:val="0"/>
          <w:numId w:val="9"/>
        </w:numPr>
        <w:spacing w:before="120" w:line="240" w:lineRule="auto"/>
        <w:jc w:val="left"/>
      </w:pPr>
      <w:r>
        <w:t>T</w:t>
      </w:r>
      <w:r w:rsidR="008E7527" w:rsidRPr="002B7E1B">
        <w:t>he Commonwealth’s funding contribution will not be reduced where</w:t>
      </w:r>
      <w:r w:rsidR="00BD6AFB">
        <w:t xml:space="preserve"> </w:t>
      </w:r>
      <w:r w:rsidR="0079618F">
        <w:t>the ACT</w:t>
      </w:r>
      <w:r w:rsidR="00822FAC">
        <w:t xml:space="preserve"> </w:t>
      </w:r>
      <w:r w:rsidR="00BD6AFB">
        <w:t>secure</w:t>
      </w:r>
      <w:r w:rsidR="000E5D65">
        <w:t>s</w:t>
      </w:r>
      <w:r w:rsidR="00BD6AFB">
        <w:t xml:space="preserve"> funding from </w:t>
      </w:r>
      <w:r w:rsidR="008E7527" w:rsidRPr="002B7E1B">
        <w:t>other activity partners</w:t>
      </w:r>
      <w:r w:rsidR="002E144A">
        <w:t>.</w:t>
      </w:r>
    </w:p>
    <w:p w:rsidR="004241DF" w:rsidRDefault="00F250B1" w:rsidP="00901143">
      <w:pPr>
        <w:pStyle w:val="Normalnumbered"/>
        <w:numPr>
          <w:ilvl w:val="0"/>
          <w:numId w:val="9"/>
        </w:numPr>
        <w:spacing w:before="120" w:line="240" w:lineRule="auto"/>
        <w:jc w:val="left"/>
      </w:pPr>
      <w:r>
        <w:t>When considering m</w:t>
      </w:r>
      <w:r w:rsidR="00BD6A96">
        <w:t>aximum</w:t>
      </w:r>
      <w:r w:rsidR="00B02DF2">
        <w:t xml:space="preserve"> </w:t>
      </w:r>
      <w:r w:rsidR="00BD6A96">
        <w:t>project costs</w:t>
      </w:r>
      <w:r w:rsidR="00B02DF2">
        <w:t xml:space="preserve"> for approved projects</w:t>
      </w:r>
      <w:r>
        <w:t>, the parties agree the Commonwealth contribution</w:t>
      </w:r>
      <w:r w:rsidR="00BD6A96">
        <w:t xml:space="preserve"> must align with the</w:t>
      </w:r>
      <w:r w:rsidR="00BD6A96" w:rsidRPr="00B8158C">
        <w:t xml:space="preserve"> </w:t>
      </w:r>
      <w:r w:rsidR="00BD6A96">
        <w:t xml:space="preserve">requirements for Commonwealth funding under the Murray Darling Basin Water Infrastructure Program, being </w:t>
      </w:r>
      <w:r w:rsidR="00B02DF2">
        <w:t xml:space="preserve">a specified market multiple of the value of the water entitlements </w:t>
      </w:r>
      <w:r w:rsidR="005C22DA">
        <w:t>being returned to the Commonwealth</w:t>
      </w:r>
      <w:r w:rsidR="0059795A">
        <w:t>.</w:t>
      </w:r>
    </w:p>
    <w:p w:rsidR="00633256" w:rsidRPr="00C738BD" w:rsidRDefault="00BD6A96" w:rsidP="00901143">
      <w:pPr>
        <w:pStyle w:val="Normalnumbered"/>
        <w:numPr>
          <w:ilvl w:val="0"/>
          <w:numId w:val="9"/>
        </w:numPr>
        <w:spacing w:before="120" w:line="240" w:lineRule="auto"/>
        <w:jc w:val="left"/>
      </w:pPr>
      <w:r w:rsidRPr="00751725">
        <w:t>The Commonwealth</w:t>
      </w:r>
      <w:r>
        <w:t>’s</w:t>
      </w:r>
      <w:r w:rsidRPr="00751725">
        <w:t xml:space="preserve"> and </w:t>
      </w:r>
      <w:r w:rsidR="0079618F">
        <w:t>the ACT</w:t>
      </w:r>
      <w:r w:rsidR="00822FAC">
        <w:t>’s</w:t>
      </w:r>
      <w:r w:rsidRPr="00751725">
        <w:t xml:space="preserve"> </w:t>
      </w:r>
      <w:r>
        <w:t xml:space="preserve">estimated </w:t>
      </w:r>
      <w:r w:rsidRPr="00751725">
        <w:t xml:space="preserve">financial contribution to </w:t>
      </w:r>
      <w:r w:rsidR="006966DD">
        <w:t xml:space="preserve">individual </w:t>
      </w:r>
      <w:r w:rsidR="0011757B">
        <w:t xml:space="preserve">activities </w:t>
      </w:r>
      <w:r>
        <w:t>will be detailed in schedules</w:t>
      </w:r>
      <w:r w:rsidR="007D37F0">
        <w:t xml:space="preserve"> to this Agreement</w:t>
      </w:r>
      <w:r w:rsidR="00B02DF2">
        <w:t>.</w:t>
      </w:r>
      <w:r>
        <w:t xml:space="preserve"> </w:t>
      </w:r>
    </w:p>
    <w:p w:rsidR="006B37DB" w:rsidRDefault="00BD6A96" w:rsidP="00901143">
      <w:pPr>
        <w:pStyle w:val="Normalnumbered"/>
        <w:numPr>
          <w:ilvl w:val="0"/>
          <w:numId w:val="9"/>
        </w:numPr>
        <w:spacing w:before="120" w:line="240" w:lineRule="auto"/>
        <w:jc w:val="left"/>
      </w:pPr>
      <w:r>
        <w:t xml:space="preserve">Funding provided under this Agreement is not to be used to recover any costs incurred on measures prior to the commencement dates of the activities specified in the </w:t>
      </w:r>
      <w:r w:rsidR="00FE6B31">
        <w:t>s</w:t>
      </w:r>
      <w:r>
        <w:t xml:space="preserve">chedules to this Agreement. The Commonwealth will provide funding to </w:t>
      </w:r>
      <w:r w:rsidR="0079618F">
        <w:t>the ACT</w:t>
      </w:r>
      <w:r>
        <w:t xml:space="preserve"> </w:t>
      </w:r>
      <w:r w:rsidR="00AA774F">
        <w:t>through payments as described in the Schedules</w:t>
      </w:r>
      <w:r w:rsidR="00B02DF2">
        <w:t>,</w:t>
      </w:r>
      <w:r>
        <w:t xml:space="preserve"> up to the maximum total </w:t>
      </w:r>
      <w:r w:rsidR="00D61410">
        <w:t xml:space="preserve">estimated cost of the activities </w:t>
      </w:r>
      <w:r>
        <w:t>agreed in the individual Schedules to this Agreement.</w:t>
      </w:r>
    </w:p>
    <w:p w:rsidR="0082032C" w:rsidRDefault="00BD6A96" w:rsidP="0082032C">
      <w:pPr>
        <w:pStyle w:val="Normalnumbered"/>
        <w:numPr>
          <w:ilvl w:val="0"/>
          <w:numId w:val="9"/>
        </w:numPr>
        <w:spacing w:before="120" w:line="240" w:lineRule="auto"/>
      </w:pPr>
      <w:r>
        <w:t xml:space="preserve">Should total expenditure for the activities agreed in individual Schedules to this Agreement be less than the total estimated costs, the parties agree that the final payment will be reduced to meet the total actual expenditure incurred on the activities. </w:t>
      </w:r>
    </w:p>
    <w:p w:rsidR="007D5374" w:rsidRDefault="00BD6A96" w:rsidP="00901143">
      <w:pPr>
        <w:pStyle w:val="Normalnumbered"/>
        <w:numPr>
          <w:ilvl w:val="0"/>
          <w:numId w:val="9"/>
        </w:numPr>
        <w:spacing w:before="120" w:line="240" w:lineRule="auto"/>
        <w:jc w:val="left"/>
      </w:pPr>
      <w:r>
        <w:t>Notwithstanding clause 36</w:t>
      </w:r>
      <w:r w:rsidR="003F63F3">
        <w:t xml:space="preserve"> and</w:t>
      </w:r>
      <w:r>
        <w:t xml:space="preserve"> h</w:t>
      </w:r>
      <w:r w:rsidR="00770132" w:rsidRPr="00C738BD">
        <w:t>aving</w:t>
      </w:r>
      <w:r w:rsidR="00770132">
        <w:t xml:space="preserve"> regard to the agreed </w:t>
      </w:r>
      <w:r w:rsidR="0006448B">
        <w:t xml:space="preserve">estimated </w:t>
      </w:r>
      <w:r w:rsidR="006966DD">
        <w:t xml:space="preserve">costs of </w:t>
      </w:r>
      <w:r w:rsidR="00D61410">
        <w:t xml:space="preserve">activities </w:t>
      </w:r>
      <w:r w:rsidR="006966DD">
        <w:t>spe</w:t>
      </w:r>
      <w:r w:rsidR="00770132" w:rsidRPr="00C738BD">
        <w:t xml:space="preserve">cified in </w:t>
      </w:r>
      <w:r w:rsidR="00770132">
        <w:t xml:space="preserve">an individual </w:t>
      </w:r>
      <w:r w:rsidR="00724D93">
        <w:t>s</w:t>
      </w:r>
      <w:r w:rsidR="00770132">
        <w:t>chedule to this Agreement</w:t>
      </w:r>
      <w:r w:rsidR="00770132" w:rsidRPr="00C738BD">
        <w:t xml:space="preserve">, </w:t>
      </w:r>
      <w:r w:rsidR="0079618F">
        <w:t>the ACT</w:t>
      </w:r>
      <w:r w:rsidR="00822FAC">
        <w:t xml:space="preserve"> </w:t>
      </w:r>
      <w:r w:rsidR="00E06931">
        <w:t>agrees</w:t>
      </w:r>
      <w:r w:rsidR="00770132" w:rsidRPr="00C738BD">
        <w:t xml:space="preserve"> to pay a refund to the Commonwealth if the actual cost of the project is less than the agreed estimated cost</w:t>
      </w:r>
      <w:r w:rsidR="0001767B">
        <w:t>s</w:t>
      </w:r>
      <w:r w:rsidR="00770132" w:rsidRPr="00C738BD">
        <w:t xml:space="preserve"> of the project</w:t>
      </w:r>
      <w:r>
        <w:t xml:space="preserve"> and payments have been made by the Commonwealth that exceed the actual expenditure under that individual schedule</w:t>
      </w:r>
      <w:r w:rsidR="00770132" w:rsidRPr="00C738BD">
        <w:t>.</w:t>
      </w:r>
      <w:r w:rsidR="001F07CF">
        <w:t xml:space="preserve"> </w:t>
      </w:r>
    </w:p>
    <w:p w:rsidR="00D30797" w:rsidRDefault="0079618F" w:rsidP="00901143">
      <w:pPr>
        <w:pStyle w:val="Normalnumbered"/>
        <w:numPr>
          <w:ilvl w:val="0"/>
          <w:numId w:val="9"/>
        </w:numPr>
        <w:spacing w:before="120" w:line="240" w:lineRule="auto"/>
        <w:jc w:val="left"/>
      </w:pPr>
      <w:r>
        <w:t>The ACT</w:t>
      </w:r>
      <w:r w:rsidR="00770132">
        <w:t xml:space="preserve"> agrees that a</w:t>
      </w:r>
      <w:r w:rsidR="001F07CF">
        <w:t xml:space="preserve"> refund </w:t>
      </w:r>
      <w:r w:rsidR="0082032C">
        <w:t xml:space="preserve">under one individual schedule </w:t>
      </w:r>
      <w:r w:rsidR="001F07CF">
        <w:t xml:space="preserve">could be deducted from the overall amount of approved </w:t>
      </w:r>
      <w:r w:rsidR="0082032C">
        <w:t xml:space="preserve">agreed estimated costs </w:t>
      </w:r>
      <w:r w:rsidR="00770132">
        <w:t xml:space="preserve">in </w:t>
      </w:r>
      <w:r w:rsidR="0082032C">
        <w:t>other individual</w:t>
      </w:r>
      <w:r w:rsidR="00770132">
        <w:t xml:space="preserve"> schedules </w:t>
      </w:r>
      <w:r w:rsidR="0082032C">
        <w:t xml:space="preserve">attached </w:t>
      </w:r>
      <w:r w:rsidR="00770132">
        <w:t>to this Agreement</w:t>
      </w:r>
      <w:r w:rsidR="00035726">
        <w:t xml:space="preserve">. </w:t>
      </w:r>
      <w:r w:rsidR="001E6A02">
        <w:t xml:space="preserve">The Commonwealth agrees to notify </w:t>
      </w:r>
      <w:r>
        <w:t xml:space="preserve">the ACT </w:t>
      </w:r>
      <w:r w:rsidR="001E6A02">
        <w:t xml:space="preserve">should this clause </w:t>
      </w:r>
      <w:r w:rsidR="00005C91" w:rsidRPr="003B340C">
        <w:t>38</w:t>
      </w:r>
      <w:r w:rsidR="001E6A02" w:rsidRPr="003B340C">
        <w:t xml:space="preserve"> be required</w:t>
      </w:r>
      <w:r w:rsidR="001E6A02">
        <w:t>.</w:t>
      </w:r>
      <w:r w:rsidR="000B5CF2">
        <w:t xml:space="preserve"> </w:t>
      </w:r>
    </w:p>
    <w:p w:rsidR="001232ED" w:rsidRDefault="0079618F" w:rsidP="00901143">
      <w:pPr>
        <w:pStyle w:val="Normalnumbered"/>
        <w:numPr>
          <w:ilvl w:val="0"/>
          <w:numId w:val="9"/>
        </w:numPr>
        <w:spacing w:before="120" w:line="240" w:lineRule="auto"/>
        <w:jc w:val="left"/>
      </w:pPr>
      <w:r>
        <w:t>The ACT</w:t>
      </w:r>
      <w:r w:rsidR="000E5D65">
        <w:t xml:space="preserve"> </w:t>
      </w:r>
      <w:r w:rsidR="00633256">
        <w:t>can seek additional funds if</w:t>
      </w:r>
      <w:r w:rsidR="00633256" w:rsidRPr="00C738BD">
        <w:t xml:space="preserve"> the costs of a</w:t>
      </w:r>
      <w:r w:rsidR="0009549D">
        <w:t>n approved activity</w:t>
      </w:r>
      <w:r w:rsidR="00633256" w:rsidRPr="00C738BD">
        <w:t xml:space="preserve"> exceed</w:t>
      </w:r>
      <w:r w:rsidR="0009549D">
        <w:t xml:space="preserve"> </w:t>
      </w:r>
      <w:r w:rsidR="00633256" w:rsidRPr="00C738BD">
        <w:t>the agreed estimated cost</w:t>
      </w:r>
      <w:r w:rsidR="00770132">
        <w:t>s by providing advice to the Commonwealth at the earliest possible opportunity</w:t>
      </w:r>
      <w:r w:rsidR="000166AA">
        <w:t>.</w:t>
      </w:r>
      <w:r w:rsidR="00633256">
        <w:t xml:space="preserve"> </w:t>
      </w:r>
      <w:r w:rsidR="00770132">
        <w:t xml:space="preserve">The Commonwealth and </w:t>
      </w:r>
      <w:r>
        <w:t>the ACT</w:t>
      </w:r>
      <w:r w:rsidR="00770132">
        <w:t xml:space="preserve"> agree to negotiate in good faith on amending the relevant schedule to address any reasonable additional costs</w:t>
      </w:r>
      <w:r w:rsidR="009D464C">
        <w:t xml:space="preserve"> </w:t>
      </w:r>
      <w:r w:rsidR="00DB5B53">
        <w:t>which</w:t>
      </w:r>
      <w:r w:rsidR="009D464C">
        <w:t xml:space="preserve"> ensure that the full water savings estimates are met</w:t>
      </w:r>
      <w:r w:rsidR="00770132">
        <w:t>.</w:t>
      </w:r>
      <w:r w:rsidR="00350BE1">
        <w:t xml:space="preserve"> Any additional costs must meet the requirements of clause 33 above.</w:t>
      </w:r>
    </w:p>
    <w:p w:rsidR="00633256" w:rsidRPr="004774B9" w:rsidRDefault="00BD6A96" w:rsidP="00901143">
      <w:pPr>
        <w:pStyle w:val="Normalnumbered"/>
        <w:numPr>
          <w:ilvl w:val="0"/>
          <w:numId w:val="9"/>
        </w:numPr>
        <w:spacing w:before="120" w:line="240" w:lineRule="auto"/>
        <w:jc w:val="left"/>
      </w:pPr>
      <w:r w:rsidRPr="004774B9">
        <w:t xml:space="preserve">If </w:t>
      </w:r>
      <w:r w:rsidR="00B750B9">
        <w:t>a</w:t>
      </w:r>
      <w:r w:rsidR="00B750B9" w:rsidRPr="004774B9">
        <w:t xml:space="preserve"> </w:t>
      </w:r>
      <w:r w:rsidR="00802B92" w:rsidRPr="004774B9">
        <w:t>project</w:t>
      </w:r>
      <w:r w:rsidR="00B750B9">
        <w:t xml:space="preserve"> that has been found to be feasible</w:t>
      </w:r>
      <w:r w:rsidR="00802B92" w:rsidRPr="004774B9">
        <w:t xml:space="preserve"> is</w:t>
      </w:r>
      <w:r w:rsidR="006B37DB" w:rsidRPr="004774B9">
        <w:t xml:space="preserve"> not</w:t>
      </w:r>
      <w:r w:rsidRPr="004774B9">
        <w:t xml:space="preserve"> pursued</w:t>
      </w:r>
      <w:r w:rsidR="00035726" w:rsidRPr="004774B9">
        <w:t xml:space="preserve"> by </w:t>
      </w:r>
      <w:r w:rsidR="00B750B9">
        <w:t>the State</w:t>
      </w:r>
      <w:r w:rsidRPr="004774B9">
        <w:t>, th</w:t>
      </w:r>
      <w:r w:rsidR="00E74A8A" w:rsidRPr="004774B9">
        <w:t>e cost</w:t>
      </w:r>
      <w:r w:rsidR="0011233C" w:rsidRPr="004774B9">
        <w:t>s</w:t>
      </w:r>
      <w:r w:rsidR="00770132" w:rsidRPr="004774B9">
        <w:t xml:space="preserve"> associated with the development of the </w:t>
      </w:r>
      <w:r w:rsidR="00460DBB">
        <w:t>b</w:t>
      </w:r>
      <w:r w:rsidR="00DB5B53">
        <w:t xml:space="preserve">usiness </w:t>
      </w:r>
      <w:r w:rsidR="00460DBB">
        <w:t>c</w:t>
      </w:r>
      <w:r w:rsidR="00770132" w:rsidRPr="004774B9">
        <w:t>ase</w:t>
      </w:r>
      <w:r w:rsidRPr="004774B9">
        <w:t xml:space="preserve"> </w:t>
      </w:r>
      <w:r w:rsidR="00DB5B53">
        <w:t xml:space="preserve">or </w:t>
      </w:r>
      <w:r w:rsidR="00460DBB">
        <w:t>f</w:t>
      </w:r>
      <w:r w:rsidR="00DB5B53">
        <w:t xml:space="preserve">easibility </w:t>
      </w:r>
      <w:r w:rsidR="00460DBB">
        <w:t>s</w:t>
      </w:r>
      <w:r w:rsidR="0029358C" w:rsidRPr="004774B9">
        <w:t xml:space="preserve">tudy </w:t>
      </w:r>
      <w:r w:rsidR="00E74A8A" w:rsidRPr="004774B9">
        <w:t>(funded by the Commonwealth) is</w:t>
      </w:r>
      <w:r w:rsidR="00770132" w:rsidRPr="004774B9">
        <w:t xml:space="preserve"> </w:t>
      </w:r>
      <w:r w:rsidR="00E74A8A" w:rsidRPr="004774B9">
        <w:t xml:space="preserve">to </w:t>
      </w:r>
      <w:r w:rsidR="00770132" w:rsidRPr="004774B9">
        <w:t xml:space="preserve">be deducted from </w:t>
      </w:r>
      <w:r w:rsidRPr="004774B9">
        <w:t xml:space="preserve">the overall funding </w:t>
      </w:r>
      <w:r w:rsidR="003B4C7B" w:rsidRPr="004774B9">
        <w:t xml:space="preserve">committed to </w:t>
      </w:r>
      <w:r w:rsidR="0079618F">
        <w:t>the ACT</w:t>
      </w:r>
      <w:r w:rsidR="000E5D65" w:rsidRPr="004774B9">
        <w:t xml:space="preserve"> </w:t>
      </w:r>
      <w:r w:rsidR="003B4C7B" w:rsidRPr="004774B9">
        <w:t>for all approved activities under this agreement.</w:t>
      </w:r>
    </w:p>
    <w:p w:rsidR="00190F28" w:rsidRDefault="00BD6A96" w:rsidP="00901143">
      <w:pPr>
        <w:pStyle w:val="Normalnumbered"/>
        <w:numPr>
          <w:ilvl w:val="0"/>
          <w:numId w:val="9"/>
        </w:numPr>
        <w:spacing w:before="120" w:line="240" w:lineRule="auto"/>
        <w:jc w:val="left"/>
      </w:pPr>
      <w:r>
        <w:t xml:space="preserve">When a business case identifies that the project is not able to make water savings </w:t>
      </w:r>
      <w:r w:rsidR="00D361E0">
        <w:t xml:space="preserve">and the project cannot </w:t>
      </w:r>
      <w:r>
        <w:t xml:space="preserve">be modified to meet </w:t>
      </w:r>
      <w:r w:rsidR="00D361E0">
        <w:t xml:space="preserve">the </w:t>
      </w:r>
      <w:r w:rsidR="00605DF1">
        <w:t xml:space="preserve">eligibility </w:t>
      </w:r>
      <w:r>
        <w:t>requirements</w:t>
      </w:r>
      <w:r w:rsidR="00D361E0">
        <w:t xml:space="preserve"> for funding</w:t>
      </w:r>
      <w:r>
        <w:t xml:space="preserve">, the Commonwealth will not require refund of the business case costs.     </w:t>
      </w:r>
    </w:p>
    <w:p w:rsidR="000B5CF2" w:rsidRDefault="00BD6A96" w:rsidP="00901143">
      <w:pPr>
        <w:pStyle w:val="Normalnumbered"/>
        <w:numPr>
          <w:ilvl w:val="0"/>
          <w:numId w:val="9"/>
        </w:numPr>
        <w:spacing w:before="120" w:line="240" w:lineRule="auto"/>
        <w:jc w:val="left"/>
      </w:pPr>
      <w:r>
        <w:t xml:space="preserve">Funding provided to </w:t>
      </w:r>
      <w:r w:rsidR="00BD7B25">
        <w:t xml:space="preserve">the ACT </w:t>
      </w:r>
      <w:r>
        <w:t>under this Agreement for feasibility studies and business cases that lead to the approval of a project for implementation will be considered by the Commonwealth when making its value for money decisions based on the total estimated costs for implementation and volume of water to be recovered.</w:t>
      </w:r>
    </w:p>
    <w:p w:rsidR="00814667" w:rsidRDefault="00BD6A96">
      <w:pPr>
        <w:pStyle w:val="Heading1"/>
      </w:pPr>
      <w:bookmarkStart w:id="1" w:name="top"/>
      <w:bookmarkEnd w:id="1"/>
      <w:r>
        <w:t xml:space="preserve">Part </w:t>
      </w:r>
      <w:r w:rsidR="000B4080">
        <w:t>6</w:t>
      </w:r>
      <w:r>
        <w:t xml:space="preserve"> — governance arrangements</w:t>
      </w:r>
    </w:p>
    <w:p w:rsidR="00BC4728" w:rsidRDefault="00BD6A96" w:rsidP="00BC4728">
      <w:pPr>
        <w:pStyle w:val="Heading2"/>
      </w:pPr>
      <w:r w:rsidRPr="006F096A">
        <w:t>Enforceability of the Agreement</w:t>
      </w:r>
    </w:p>
    <w:p w:rsidR="00BC4728" w:rsidRPr="00C40EBC" w:rsidRDefault="00BD6A96" w:rsidP="006C3DC8">
      <w:pPr>
        <w:pStyle w:val="Normalnumbered"/>
        <w:numPr>
          <w:ilvl w:val="0"/>
          <w:numId w:val="9"/>
        </w:numPr>
        <w:spacing w:before="120" w:line="240" w:lineRule="auto"/>
      </w:pPr>
      <w:r w:rsidRPr="004D2B20">
        <w:t>The Parties do not intend any of the provisions of this Agreement to be legally enforceable. However, that does not lessen the Parties’ commitment to this Agreement.</w:t>
      </w:r>
    </w:p>
    <w:p w:rsidR="00814667" w:rsidRDefault="00BD6A96">
      <w:pPr>
        <w:pStyle w:val="Heading2"/>
      </w:pPr>
      <w:r>
        <w:t>Variation of the Agreement</w:t>
      </w:r>
    </w:p>
    <w:p w:rsidR="00292587" w:rsidRPr="00DE36EB" w:rsidRDefault="00BD6A96" w:rsidP="0059795A">
      <w:pPr>
        <w:pStyle w:val="Normalnumbered"/>
        <w:numPr>
          <w:ilvl w:val="0"/>
          <w:numId w:val="9"/>
        </w:numPr>
        <w:spacing w:before="120" w:line="240" w:lineRule="auto"/>
      </w:pPr>
      <w:r>
        <w:t>The A</w:t>
      </w:r>
      <w:r w:rsidR="00814667">
        <w:t xml:space="preserve">greement may be amended at any time by agreement in writing by </w:t>
      </w:r>
      <w:r w:rsidR="00702004">
        <w:t>both</w:t>
      </w:r>
      <w:r w:rsidR="00814667" w:rsidRPr="00DE36EB">
        <w:t xml:space="preserve"> the Parties.</w:t>
      </w:r>
    </w:p>
    <w:p w:rsidR="00292587" w:rsidRDefault="00BD6A96" w:rsidP="0059795A">
      <w:pPr>
        <w:pStyle w:val="Normalnumbered"/>
        <w:numPr>
          <w:ilvl w:val="0"/>
          <w:numId w:val="9"/>
        </w:numPr>
        <w:spacing w:before="120" w:line="240" w:lineRule="auto"/>
      </w:pPr>
      <w:r>
        <w:t xml:space="preserve">Either </w:t>
      </w:r>
      <w:r w:rsidR="00814667" w:rsidRPr="00DE36EB">
        <w:t>Party to the Agreement may terminate their part</w:t>
      </w:r>
      <w:r w:rsidR="00814667">
        <w:t xml:space="preserve">icipation in the Agreement at any time by notifying </w:t>
      </w:r>
      <w:r>
        <w:t>the other Party</w:t>
      </w:r>
      <w:r w:rsidR="00C2605C">
        <w:t xml:space="preserve"> </w:t>
      </w:r>
      <w:r w:rsidR="00814667">
        <w:t>in writing.</w:t>
      </w:r>
    </w:p>
    <w:p w:rsidR="009526E4" w:rsidRDefault="00BD6A96" w:rsidP="0036119D">
      <w:pPr>
        <w:pStyle w:val="Heading2"/>
      </w:pPr>
      <w:r>
        <w:t>Delegations</w:t>
      </w:r>
    </w:p>
    <w:p w:rsidR="006B37DB" w:rsidRDefault="00BD6A96" w:rsidP="0059795A">
      <w:pPr>
        <w:pStyle w:val="Normalnumbered"/>
        <w:numPr>
          <w:ilvl w:val="0"/>
          <w:numId w:val="9"/>
        </w:numPr>
        <w:spacing w:before="120" w:line="240" w:lineRule="auto"/>
      </w:pPr>
      <w:r>
        <w:t>The Commonwealth Minister may delegate the assessment of performance against milestones to senior Commonwealth officials</w:t>
      </w:r>
      <w:r w:rsidR="00813E1D">
        <w:t>. The the case of projects funded under the WESA this assessment will be</w:t>
      </w:r>
      <w:r>
        <w:t xml:space="preserve"> consistent with section </w:t>
      </w:r>
      <w:r w:rsidR="004C304F">
        <w:t>86AF (</w:t>
      </w:r>
      <w:r>
        <w:t xml:space="preserve">2) and 251 of the </w:t>
      </w:r>
      <w:r w:rsidRPr="007F1768">
        <w:rPr>
          <w:i/>
        </w:rPr>
        <w:t>Water Act 2007</w:t>
      </w:r>
      <w:r>
        <w:t>, having regard to the financial and policy risks associated with those payments.</w:t>
      </w:r>
    </w:p>
    <w:p w:rsidR="0036119D" w:rsidRDefault="00BD6A96" w:rsidP="0036119D">
      <w:pPr>
        <w:pStyle w:val="Heading2"/>
      </w:pPr>
      <w:r>
        <w:t>Dispute resolution</w:t>
      </w:r>
    </w:p>
    <w:p w:rsidR="0036119D" w:rsidRPr="00DE36EB" w:rsidRDefault="00BD6A96" w:rsidP="0059795A">
      <w:pPr>
        <w:pStyle w:val="Normalnumbered"/>
        <w:numPr>
          <w:ilvl w:val="0"/>
          <w:numId w:val="9"/>
        </w:numPr>
        <w:spacing w:before="120" w:line="240" w:lineRule="auto"/>
      </w:pPr>
      <w:r>
        <w:t>Either</w:t>
      </w:r>
      <w:r w:rsidRPr="00DE36EB">
        <w:t xml:space="preserve"> Party may give notice to </w:t>
      </w:r>
      <w:r>
        <w:t>the other Party</w:t>
      </w:r>
      <w:r w:rsidRPr="00DE36EB">
        <w:t xml:space="preserve"> of a dispute under this Agreement.</w:t>
      </w:r>
    </w:p>
    <w:p w:rsidR="0036119D" w:rsidRPr="00DE36EB" w:rsidRDefault="00BD6A96" w:rsidP="0059795A">
      <w:pPr>
        <w:pStyle w:val="Normalnumbered"/>
        <w:numPr>
          <w:ilvl w:val="0"/>
          <w:numId w:val="9"/>
        </w:numPr>
        <w:spacing w:before="120" w:line="240" w:lineRule="auto"/>
      </w:pPr>
      <w:r w:rsidRPr="00DE36EB">
        <w:t xml:space="preserve">Officials of </w:t>
      </w:r>
      <w:r w:rsidR="00702004">
        <w:t>each Party</w:t>
      </w:r>
      <w:r w:rsidRPr="00DE36EB">
        <w:t xml:space="preserve"> will attempt to resolve any dispute in the first instance.</w:t>
      </w:r>
    </w:p>
    <w:p w:rsidR="003B4C7B" w:rsidRDefault="00BD6A96" w:rsidP="0059795A">
      <w:pPr>
        <w:pStyle w:val="Normalnumbered"/>
        <w:numPr>
          <w:ilvl w:val="0"/>
          <w:numId w:val="9"/>
        </w:numPr>
        <w:spacing w:before="120" w:line="240" w:lineRule="auto"/>
        <w:sectPr w:rsidR="003B4C7B" w:rsidSect="009278CF">
          <w:headerReference w:type="default" r:id="rId11"/>
          <w:headerReference w:type="first" r:id="rId12"/>
          <w:footerReference w:type="first" r:id="rId13"/>
          <w:type w:val="oddPage"/>
          <w:pgSz w:w="11907" w:h="16839" w:code="9"/>
          <w:pgMar w:top="1134" w:right="1134" w:bottom="1134" w:left="1134" w:header="709" w:footer="709" w:gutter="0"/>
          <w:pgNumType w:start="1" w:chapStyle="9"/>
          <w:cols w:space="708"/>
          <w:titlePg/>
          <w:docGrid w:linePitch="360"/>
        </w:sectPr>
      </w:pPr>
      <w:r w:rsidRPr="00DE36EB">
        <w:t>If a dispute cannot be resolved by officials, it may be escalated to the relevant Ministers.</w:t>
      </w:r>
    </w:p>
    <w:p w:rsidR="008540FE" w:rsidRPr="008540FE" w:rsidRDefault="00BD6A96" w:rsidP="008540FE">
      <w:pPr>
        <w:rPr>
          <w:lang w:val="en-GB"/>
        </w:rPr>
      </w:pPr>
      <w:r w:rsidRPr="008540FE">
        <w:rPr>
          <w:lang w:val="en-GB"/>
        </w:rPr>
        <w:t xml:space="preserve">The </w:t>
      </w:r>
      <w:r w:rsidRPr="008540FE">
        <w:rPr>
          <w:sz w:val="24"/>
          <w:szCs w:val="24"/>
        </w:rPr>
        <w:t>Parties</w:t>
      </w:r>
      <w:r w:rsidRPr="008540FE">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D31036" w:rsidTr="003B4C7B">
        <w:trPr>
          <w:cantSplit/>
          <w:trHeight w:val="2756"/>
          <w:jc w:val="center"/>
        </w:trPr>
        <w:tc>
          <w:tcPr>
            <w:tcW w:w="4536" w:type="dxa"/>
          </w:tcPr>
          <w:p w:rsidR="008540FE" w:rsidRPr="008540FE" w:rsidRDefault="00BD6A96" w:rsidP="008540FE">
            <w:pPr>
              <w:spacing w:after="120" w:line="240" w:lineRule="auto"/>
              <w:rPr>
                <w:rFonts w:ascii="Book Antiqua" w:hAnsi="Book Antiqua"/>
                <w:bCs/>
                <w:i/>
                <w:sz w:val="22"/>
              </w:rPr>
            </w:pPr>
            <w:r w:rsidRPr="008540FE">
              <w:rPr>
                <w:rFonts w:ascii="Book Antiqua" w:hAnsi="Book Antiqua"/>
                <w:b/>
                <w:bCs/>
                <w:sz w:val="22"/>
              </w:rPr>
              <w:t>Signed</w:t>
            </w:r>
            <w:r w:rsidRPr="008540FE">
              <w:rPr>
                <w:rFonts w:ascii="Book Antiqua" w:hAnsi="Book Antiqua"/>
                <w:bCs/>
                <w:i/>
                <w:sz w:val="22"/>
              </w:rPr>
              <w:t xml:space="preserve"> for and on behalf of the Commonwealth of </w:t>
            </w:r>
            <w:smartTag w:uri="urn:schemas-microsoft-com:office:smarttags" w:element="place">
              <w:smartTag w:uri="urn:schemas-microsoft-com:office:smarttags" w:element="country-region">
                <w:r w:rsidRPr="008540FE">
                  <w:rPr>
                    <w:rFonts w:ascii="Book Antiqua" w:hAnsi="Book Antiqua"/>
                    <w:bCs/>
                    <w:i/>
                    <w:sz w:val="22"/>
                  </w:rPr>
                  <w:t>Australia</w:t>
                </w:r>
              </w:smartTag>
            </w:smartTag>
            <w:r w:rsidRPr="008540FE">
              <w:rPr>
                <w:rFonts w:ascii="Book Antiqua" w:hAnsi="Book Antiqua"/>
                <w:bCs/>
                <w:i/>
                <w:sz w:val="22"/>
              </w:rPr>
              <w:t xml:space="preserve"> by</w:t>
            </w:r>
          </w:p>
          <w:p w:rsidR="008540FE" w:rsidRPr="008540FE" w:rsidRDefault="00BD6A96" w:rsidP="003B4C7B">
            <w:pPr>
              <w:tabs>
                <w:tab w:val="left" w:leader="underscore" w:pos="3686"/>
              </w:tabs>
              <w:spacing w:before="360" w:after="60"/>
              <w:rPr>
                <w:rFonts w:ascii="Book Antiqua" w:hAnsi="Book Antiqua"/>
                <w:color w:val="C0C0C0"/>
                <w:lang w:val="en-GB"/>
              </w:rPr>
            </w:pPr>
            <w:r>
              <w:rPr>
                <w:rFonts w:ascii="Book Antiqua" w:hAnsi="Book Antiqua"/>
                <w:color w:val="C0C0C0"/>
                <w:lang w:val="en-GB"/>
              </w:rPr>
              <w:br/>
            </w:r>
            <w:r w:rsidR="00D33370" w:rsidRPr="008540FE">
              <w:rPr>
                <w:rFonts w:ascii="Book Antiqua" w:hAnsi="Book Antiqua"/>
                <w:color w:val="C0C0C0"/>
                <w:lang w:val="en-GB"/>
              </w:rPr>
              <w:tab/>
            </w:r>
          </w:p>
          <w:p w:rsidR="008540FE" w:rsidRPr="008540FE" w:rsidRDefault="00BD6A96" w:rsidP="008540FE">
            <w:pPr>
              <w:spacing w:after="0"/>
              <w:rPr>
                <w:b/>
              </w:rPr>
            </w:pPr>
            <w:r w:rsidRPr="008540FE">
              <w:rPr>
                <w:b/>
              </w:rPr>
              <w:t>The Honourable David Littleproud MP</w:t>
            </w:r>
          </w:p>
          <w:p w:rsidR="008540FE" w:rsidRPr="008540FE" w:rsidRDefault="00BD6A96" w:rsidP="008540FE">
            <w:pPr>
              <w:spacing w:after="120"/>
              <w:rPr>
                <w:bCs/>
                <w:sz w:val="20"/>
                <w:lang w:val="en-GB"/>
              </w:rPr>
            </w:pPr>
            <w:r w:rsidRPr="008540FE">
              <w:rPr>
                <w:bCs/>
                <w:sz w:val="20"/>
                <w:lang w:val="en-GB"/>
              </w:rPr>
              <w:t>Minister for Agriculture and Water Resources</w:t>
            </w:r>
          </w:p>
          <w:p w:rsidR="003B4C7B" w:rsidRDefault="003B4C7B" w:rsidP="00805CF0">
            <w:pPr>
              <w:tabs>
                <w:tab w:val="num" w:pos="1134"/>
              </w:tabs>
              <w:ind w:left="1134" w:hanging="567"/>
              <w:rPr>
                <w:b/>
                <w:lang w:val="en-GB"/>
              </w:rPr>
            </w:pPr>
          </w:p>
          <w:p w:rsidR="00805CF0" w:rsidRPr="008540FE" w:rsidRDefault="00805CF0" w:rsidP="00805CF0">
            <w:pPr>
              <w:tabs>
                <w:tab w:val="num" w:pos="1134"/>
              </w:tabs>
              <w:ind w:left="1134" w:hanging="567"/>
              <w:rPr>
                <w:b/>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8540FE">
            <w:pPr>
              <w:rPr>
                <w:rFonts w:ascii="Book Antiqua" w:hAnsi="Book Antiqua"/>
                <w:lang w:val="en-GB"/>
              </w:rPr>
            </w:pPr>
          </w:p>
        </w:tc>
      </w:tr>
      <w:tr w:rsidR="00D31036" w:rsidTr="008A2A07">
        <w:trPr>
          <w:cantSplit/>
          <w:jc w:val="center"/>
        </w:trPr>
        <w:tc>
          <w:tcPr>
            <w:tcW w:w="4536" w:type="dxa"/>
          </w:tcPr>
          <w:p w:rsidR="003B4C7B" w:rsidRPr="003B4C7B" w:rsidRDefault="00BD6A96" w:rsidP="003B4C7B">
            <w:pPr>
              <w:tabs>
                <w:tab w:val="left" w:leader="underscore" w:pos="3686"/>
              </w:tabs>
              <w:spacing w:before="360" w:after="60"/>
              <w:rPr>
                <w:rFonts w:ascii="Book Antiqua" w:hAnsi="Book Antiqua"/>
                <w:color w:val="C0C0C0"/>
                <w:lang w:val="en-GB"/>
              </w:rPr>
            </w:pPr>
            <w:r w:rsidRPr="008540FE">
              <w:rPr>
                <w:rFonts w:ascii="Book Antiqua" w:hAnsi="Book Antiqua"/>
                <w:b/>
                <w:bCs/>
                <w:sz w:val="22"/>
              </w:rPr>
              <w:t>Signed</w:t>
            </w:r>
            <w:r w:rsidRPr="008540FE">
              <w:rPr>
                <w:rFonts w:ascii="Book Antiqua" w:hAnsi="Book Antiqua"/>
                <w:bCs/>
                <w:i/>
                <w:sz w:val="22"/>
              </w:rPr>
              <w:t xml:space="preserve"> for and on behalf of the</w:t>
            </w:r>
            <w:r w:rsidRPr="008540FE">
              <w:rPr>
                <w:rFonts w:ascii="Book Antiqua" w:hAnsi="Book Antiqua"/>
                <w:bCs/>
                <w:i/>
                <w:sz w:val="22"/>
              </w:rPr>
              <w:br/>
            </w:r>
            <w:r w:rsidR="005E0C7B">
              <w:rPr>
                <w:rFonts w:ascii="Book Antiqua" w:hAnsi="Book Antiqua"/>
                <w:bCs/>
                <w:i/>
                <w:sz w:val="22"/>
              </w:rPr>
              <w:t>Australian Capital Territory</w:t>
            </w:r>
            <w:r w:rsidRPr="008540FE">
              <w:rPr>
                <w:rFonts w:ascii="Book Antiqua" w:hAnsi="Book Antiqua"/>
                <w:bCs/>
                <w:i/>
                <w:sz w:val="22"/>
              </w:rPr>
              <w:t xml:space="preserve">  by</w:t>
            </w:r>
          </w:p>
          <w:p w:rsidR="003B4C7B" w:rsidRPr="008540FE" w:rsidRDefault="00BD6A96" w:rsidP="003B4C7B">
            <w:pPr>
              <w:tabs>
                <w:tab w:val="left" w:leader="underscore" w:pos="3686"/>
              </w:tabs>
              <w:spacing w:before="360" w:after="60"/>
              <w:rPr>
                <w:rFonts w:ascii="Book Antiqua" w:hAnsi="Book Antiqua"/>
                <w:color w:val="C0C0C0"/>
                <w:lang w:val="en-GB"/>
              </w:rPr>
            </w:pPr>
            <w:r>
              <w:rPr>
                <w:rFonts w:ascii="Book Antiqua" w:hAnsi="Book Antiqua"/>
                <w:color w:val="C0C0C0"/>
                <w:lang w:val="en-GB"/>
              </w:rPr>
              <w:br/>
            </w:r>
            <w:r w:rsidR="00D33370" w:rsidRPr="008540FE">
              <w:rPr>
                <w:rFonts w:ascii="Book Antiqua" w:hAnsi="Book Antiqua"/>
                <w:color w:val="C0C0C0"/>
                <w:lang w:val="en-GB"/>
              </w:rPr>
              <w:tab/>
            </w:r>
          </w:p>
          <w:p w:rsidR="003B4C7B" w:rsidRDefault="005E0C7B" w:rsidP="003B4C7B">
            <w:pPr>
              <w:spacing w:after="0"/>
              <w:rPr>
                <w:b/>
              </w:rPr>
            </w:pPr>
            <w:r>
              <w:rPr>
                <w:b/>
              </w:rPr>
              <w:t>Mick Gentleman MLA</w:t>
            </w:r>
            <w:r w:rsidR="00BD6A96" w:rsidRPr="008540FE">
              <w:rPr>
                <w:b/>
              </w:rPr>
              <w:t xml:space="preserve"> </w:t>
            </w:r>
          </w:p>
          <w:p w:rsidR="005E0C7B" w:rsidRPr="005E0C7B" w:rsidRDefault="005E0C7B" w:rsidP="005E0C7B">
            <w:pPr>
              <w:spacing w:after="120"/>
              <w:rPr>
                <w:bCs/>
                <w:sz w:val="20"/>
                <w:lang w:val="en-GB"/>
              </w:rPr>
            </w:pPr>
            <w:r w:rsidRPr="005E0C7B">
              <w:rPr>
                <w:bCs/>
                <w:sz w:val="20"/>
                <w:lang w:val="en-GB"/>
              </w:rPr>
              <w:t>Minister for the Environment and Heritage</w:t>
            </w:r>
          </w:p>
          <w:p w:rsidR="003B4C7B" w:rsidRDefault="005E0C7B" w:rsidP="003B4C7B">
            <w:pPr>
              <w:tabs>
                <w:tab w:val="num" w:pos="1134"/>
              </w:tabs>
              <w:ind w:left="1134" w:hanging="567"/>
              <w:rPr>
                <w:lang w:val="en-GB"/>
              </w:rPr>
            </w:pPr>
            <w:r w:rsidRPr="008540FE">
              <w:rPr>
                <w:lang w:val="en-GB"/>
              </w:rPr>
              <w:t xml:space="preserve"> </w:t>
            </w:r>
          </w:p>
          <w:p w:rsidR="003B4C7B" w:rsidRPr="008540FE" w:rsidRDefault="003B4C7B" w:rsidP="003B4C7B">
            <w:pPr>
              <w:spacing w:after="120" w:line="240" w:lineRule="auto"/>
              <w:jc w:val="left"/>
              <w:rPr>
                <w:rFonts w:ascii="Book Antiqua" w:hAnsi="Book Antiqua"/>
                <w:bCs/>
                <w:i/>
                <w:sz w:val="22"/>
              </w:rPr>
            </w:pPr>
          </w:p>
          <w:p w:rsidR="008540FE" w:rsidRPr="008540FE" w:rsidRDefault="008540FE" w:rsidP="008540FE">
            <w:pPr>
              <w:spacing w:after="0"/>
              <w:rPr>
                <w:rFonts w:ascii="Book Antiqua" w:hAnsi="Book Antiqua"/>
                <w:lang w:val="en-GB"/>
              </w:rPr>
            </w:pPr>
          </w:p>
        </w:tc>
        <w:tc>
          <w:tcPr>
            <w:tcW w:w="284" w:type="dxa"/>
            <w:tcMar>
              <w:left w:w="0" w:type="dxa"/>
              <w:right w:w="0" w:type="dxa"/>
            </w:tcMar>
          </w:tcPr>
          <w:p w:rsidR="008540FE" w:rsidRPr="008540FE" w:rsidRDefault="008540FE" w:rsidP="008540FE">
            <w:pPr>
              <w:spacing w:after="0"/>
              <w:rPr>
                <w:rFonts w:ascii="Book Antiqua" w:hAnsi="Book Antiqua"/>
                <w:lang w:val="en-GB"/>
              </w:rPr>
            </w:pPr>
          </w:p>
        </w:tc>
        <w:tc>
          <w:tcPr>
            <w:tcW w:w="4536" w:type="dxa"/>
          </w:tcPr>
          <w:p w:rsidR="008540FE" w:rsidRPr="008540FE" w:rsidRDefault="008540FE" w:rsidP="008540FE">
            <w:pPr>
              <w:spacing w:after="0"/>
              <w:rPr>
                <w:rFonts w:ascii="Book Antiqua" w:hAnsi="Book Antiqua"/>
                <w:lang w:val="en-GB"/>
              </w:rPr>
            </w:pPr>
          </w:p>
        </w:tc>
      </w:tr>
      <w:tr w:rsidR="00D31036" w:rsidTr="008A2A07">
        <w:trPr>
          <w:cantSplit/>
          <w:jc w:val="center"/>
        </w:trPr>
        <w:tc>
          <w:tcPr>
            <w:tcW w:w="4536" w:type="dxa"/>
          </w:tcPr>
          <w:p w:rsidR="008540FE" w:rsidRPr="008540FE" w:rsidRDefault="008540FE" w:rsidP="008540FE">
            <w:pPr>
              <w:tabs>
                <w:tab w:val="num" w:pos="1134"/>
              </w:tabs>
              <w:ind w:left="1134" w:hanging="567"/>
              <w:rPr>
                <w:szCs w:val="22"/>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8540FE">
            <w:pPr>
              <w:tabs>
                <w:tab w:val="num" w:pos="1134"/>
              </w:tabs>
              <w:ind w:left="1134" w:hanging="567"/>
              <w:rPr>
                <w:lang w:val="en-GB"/>
              </w:rPr>
            </w:pPr>
          </w:p>
        </w:tc>
      </w:tr>
      <w:tr w:rsidR="00D31036" w:rsidTr="008A2A07">
        <w:trPr>
          <w:cantSplit/>
          <w:jc w:val="center"/>
        </w:trPr>
        <w:tc>
          <w:tcPr>
            <w:tcW w:w="4536" w:type="dxa"/>
          </w:tcPr>
          <w:p w:rsidR="008540FE" w:rsidRPr="008540FE" w:rsidRDefault="008540FE" w:rsidP="008540FE">
            <w:pPr>
              <w:spacing w:after="0"/>
              <w:rPr>
                <w:rFonts w:ascii="Book Antiqua" w:hAnsi="Book Antiqua"/>
                <w:lang w:val="en-GB"/>
              </w:rPr>
            </w:pPr>
          </w:p>
        </w:tc>
        <w:tc>
          <w:tcPr>
            <w:tcW w:w="284" w:type="dxa"/>
            <w:tcMar>
              <w:left w:w="0" w:type="dxa"/>
              <w:right w:w="0" w:type="dxa"/>
            </w:tcMar>
          </w:tcPr>
          <w:p w:rsidR="008540FE" w:rsidRPr="008540FE" w:rsidRDefault="008540FE" w:rsidP="008540FE">
            <w:pPr>
              <w:spacing w:after="0"/>
              <w:rPr>
                <w:rFonts w:ascii="Book Antiqua" w:hAnsi="Book Antiqua"/>
                <w:lang w:val="en-GB"/>
              </w:rPr>
            </w:pPr>
          </w:p>
        </w:tc>
        <w:tc>
          <w:tcPr>
            <w:tcW w:w="4536" w:type="dxa"/>
          </w:tcPr>
          <w:p w:rsidR="008540FE" w:rsidRPr="008540FE" w:rsidRDefault="008540FE" w:rsidP="008540FE">
            <w:pPr>
              <w:spacing w:after="0"/>
              <w:rPr>
                <w:rFonts w:ascii="Book Antiqua" w:hAnsi="Book Antiqua"/>
                <w:lang w:val="en-GB"/>
              </w:rPr>
            </w:pPr>
          </w:p>
        </w:tc>
      </w:tr>
      <w:tr w:rsidR="00D31036" w:rsidTr="003B4C7B">
        <w:trPr>
          <w:cantSplit/>
          <w:jc w:val="center"/>
        </w:trPr>
        <w:tc>
          <w:tcPr>
            <w:tcW w:w="4536" w:type="dxa"/>
          </w:tcPr>
          <w:p w:rsidR="008540FE" w:rsidRPr="008540FE" w:rsidRDefault="008540FE" w:rsidP="008540FE">
            <w:pPr>
              <w:tabs>
                <w:tab w:val="num" w:pos="1134"/>
              </w:tabs>
              <w:ind w:left="1134" w:hanging="567"/>
              <w:rPr>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3B4C7B">
            <w:pPr>
              <w:tabs>
                <w:tab w:val="num" w:pos="1134"/>
              </w:tabs>
              <w:ind w:left="1134" w:hanging="567"/>
              <w:jc w:val="left"/>
              <w:rPr>
                <w:lang w:val="en-GB"/>
              </w:rPr>
            </w:pPr>
          </w:p>
        </w:tc>
      </w:tr>
      <w:tr w:rsidR="00D31036" w:rsidTr="008A2A07">
        <w:trPr>
          <w:cantSplit/>
          <w:jc w:val="center"/>
        </w:trPr>
        <w:tc>
          <w:tcPr>
            <w:tcW w:w="4536" w:type="dxa"/>
          </w:tcPr>
          <w:p w:rsidR="008540FE" w:rsidRPr="008540FE" w:rsidRDefault="008540FE" w:rsidP="008540FE">
            <w:pPr>
              <w:spacing w:after="0"/>
              <w:rPr>
                <w:rFonts w:ascii="Book Antiqua" w:hAnsi="Book Antiqua"/>
                <w:lang w:val="en-GB"/>
              </w:rPr>
            </w:pPr>
          </w:p>
        </w:tc>
        <w:tc>
          <w:tcPr>
            <w:tcW w:w="284" w:type="dxa"/>
            <w:tcMar>
              <w:left w:w="0" w:type="dxa"/>
              <w:right w:w="0" w:type="dxa"/>
            </w:tcMar>
          </w:tcPr>
          <w:p w:rsidR="008540FE" w:rsidRPr="008540FE" w:rsidRDefault="008540FE" w:rsidP="008540FE">
            <w:pPr>
              <w:spacing w:after="0"/>
              <w:rPr>
                <w:rFonts w:ascii="Book Antiqua" w:hAnsi="Book Antiqua"/>
                <w:lang w:val="en-GB"/>
              </w:rPr>
            </w:pPr>
          </w:p>
        </w:tc>
        <w:tc>
          <w:tcPr>
            <w:tcW w:w="4536" w:type="dxa"/>
          </w:tcPr>
          <w:p w:rsidR="008540FE" w:rsidRPr="008540FE" w:rsidRDefault="008540FE" w:rsidP="008540FE">
            <w:pPr>
              <w:spacing w:after="0"/>
              <w:rPr>
                <w:rFonts w:ascii="Book Antiqua" w:hAnsi="Book Antiqua"/>
                <w:lang w:val="en-GB"/>
              </w:rPr>
            </w:pPr>
          </w:p>
        </w:tc>
      </w:tr>
      <w:tr w:rsidR="00D31036" w:rsidTr="008A2A07">
        <w:trPr>
          <w:cantSplit/>
          <w:trHeight w:val="143"/>
          <w:jc w:val="center"/>
        </w:trPr>
        <w:tc>
          <w:tcPr>
            <w:tcW w:w="4536" w:type="dxa"/>
          </w:tcPr>
          <w:p w:rsidR="008540FE" w:rsidRPr="008540FE" w:rsidRDefault="008540FE" w:rsidP="008540FE">
            <w:pPr>
              <w:tabs>
                <w:tab w:val="num" w:pos="1134"/>
              </w:tabs>
              <w:ind w:left="1134" w:hanging="567"/>
              <w:rPr>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8540FE">
            <w:pPr>
              <w:tabs>
                <w:tab w:val="num" w:pos="1134"/>
              </w:tabs>
              <w:ind w:left="1134" w:hanging="567"/>
              <w:rPr>
                <w:lang w:val="en-GB"/>
              </w:rPr>
            </w:pPr>
          </w:p>
        </w:tc>
      </w:tr>
      <w:tr w:rsidR="00D31036" w:rsidTr="008A2A07">
        <w:trPr>
          <w:cantSplit/>
          <w:jc w:val="center"/>
        </w:trPr>
        <w:tc>
          <w:tcPr>
            <w:tcW w:w="4536" w:type="dxa"/>
          </w:tcPr>
          <w:p w:rsidR="008540FE" w:rsidRPr="008540FE" w:rsidRDefault="008540FE" w:rsidP="008540FE">
            <w:pPr>
              <w:spacing w:after="0"/>
              <w:rPr>
                <w:rFonts w:ascii="Book Antiqua" w:hAnsi="Book Antiqua"/>
                <w:lang w:val="en-GB"/>
              </w:rPr>
            </w:pPr>
          </w:p>
        </w:tc>
        <w:tc>
          <w:tcPr>
            <w:tcW w:w="284" w:type="dxa"/>
            <w:tcMar>
              <w:left w:w="0" w:type="dxa"/>
              <w:right w:w="0" w:type="dxa"/>
            </w:tcMar>
          </w:tcPr>
          <w:p w:rsidR="008540FE" w:rsidRPr="008540FE" w:rsidRDefault="008540FE" w:rsidP="008540FE">
            <w:pPr>
              <w:spacing w:after="0"/>
              <w:rPr>
                <w:rFonts w:ascii="Book Antiqua" w:hAnsi="Book Antiqua"/>
                <w:lang w:val="en-GB"/>
              </w:rPr>
            </w:pPr>
          </w:p>
        </w:tc>
        <w:tc>
          <w:tcPr>
            <w:tcW w:w="4536" w:type="dxa"/>
          </w:tcPr>
          <w:p w:rsidR="008540FE" w:rsidRPr="008540FE" w:rsidRDefault="008540FE" w:rsidP="008540FE">
            <w:pPr>
              <w:spacing w:after="0"/>
              <w:rPr>
                <w:rFonts w:ascii="Book Antiqua" w:hAnsi="Book Antiqua"/>
                <w:lang w:val="en-GB"/>
              </w:rPr>
            </w:pPr>
          </w:p>
        </w:tc>
      </w:tr>
      <w:tr w:rsidR="00D31036" w:rsidTr="008A2A07">
        <w:trPr>
          <w:cantSplit/>
          <w:jc w:val="center"/>
        </w:trPr>
        <w:tc>
          <w:tcPr>
            <w:tcW w:w="4536" w:type="dxa"/>
          </w:tcPr>
          <w:p w:rsidR="008540FE" w:rsidRPr="008540FE" w:rsidRDefault="008540FE" w:rsidP="003B4C7B">
            <w:pPr>
              <w:tabs>
                <w:tab w:val="left" w:leader="underscore" w:pos="3686"/>
              </w:tabs>
              <w:spacing w:before="360" w:after="60"/>
              <w:rPr>
                <w:rFonts w:ascii="Book Antiqua" w:hAnsi="Book Antiqua"/>
                <w:color w:val="C0C0C0"/>
                <w:lang w:val="en-GB"/>
              </w:rPr>
            </w:pPr>
          </w:p>
        </w:tc>
        <w:tc>
          <w:tcPr>
            <w:tcW w:w="284" w:type="dxa"/>
            <w:tcMar>
              <w:left w:w="0" w:type="dxa"/>
              <w:right w:w="0" w:type="dxa"/>
            </w:tcMar>
          </w:tcPr>
          <w:p w:rsidR="008540FE" w:rsidRPr="008540FE" w:rsidRDefault="008540FE" w:rsidP="008540FE">
            <w:pPr>
              <w:rPr>
                <w:rFonts w:ascii="Book Antiqua" w:hAnsi="Book Antiqua"/>
                <w:lang w:val="en-GB"/>
              </w:rPr>
            </w:pPr>
          </w:p>
        </w:tc>
        <w:tc>
          <w:tcPr>
            <w:tcW w:w="4536" w:type="dxa"/>
          </w:tcPr>
          <w:p w:rsidR="008540FE" w:rsidRPr="008540FE" w:rsidRDefault="008540FE" w:rsidP="008540FE">
            <w:pPr>
              <w:tabs>
                <w:tab w:val="num" w:pos="1134"/>
              </w:tabs>
              <w:ind w:left="1134" w:hanging="567"/>
              <w:rPr>
                <w:lang w:val="en-GB"/>
              </w:rPr>
            </w:pPr>
          </w:p>
        </w:tc>
      </w:tr>
    </w:tbl>
    <w:p w:rsidR="008540FE" w:rsidRPr="008540FE" w:rsidRDefault="008540FE" w:rsidP="008540FE"/>
    <w:p w:rsidR="008540FE" w:rsidRPr="008540FE" w:rsidRDefault="008540FE" w:rsidP="008540FE"/>
    <w:p w:rsidR="008540FE" w:rsidRPr="008540FE" w:rsidRDefault="008540FE" w:rsidP="008540FE"/>
    <w:p w:rsidR="008843EE" w:rsidRDefault="008843EE" w:rsidP="008540FE"/>
    <w:sectPr w:rsidR="008843EE" w:rsidSect="003B4C7B">
      <w:headerReference w:type="even" r:id="rId14"/>
      <w:headerReference w:type="default" r:id="rId15"/>
      <w:headerReference w:type="first" r:id="rId16"/>
      <w:footerReference w:type="first" r:id="rId17"/>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42" w:rsidRDefault="00442F42">
      <w:pPr>
        <w:spacing w:after="0" w:line="240" w:lineRule="auto"/>
      </w:pPr>
      <w:r>
        <w:separator/>
      </w:r>
    </w:p>
  </w:endnote>
  <w:endnote w:type="continuationSeparator" w:id="0">
    <w:p w:rsidR="00442F42" w:rsidRDefault="0044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69" w:rsidRDefault="00BD6A96" w:rsidP="0009549D">
    <w:pPr>
      <w:pStyle w:val="Abstract"/>
      <w:jc w:val="left"/>
    </w:pPr>
    <w:r w:rsidRPr="0024288C">
      <w:t xml:space="preserve">The outputs of this Agreement </w:t>
    </w:r>
    <w:r>
      <w:t xml:space="preserve">are to: i) develop proposals into feasibility studies, cost benefit analysis and technical reports; or business cases. ii) implement agreed projects that achieve water recovery with neutral or improved social and economic outcomes. Water savings generated by State-led efficiency measures will contribute to </w:t>
    </w:r>
    <w:r w:rsidR="00805CF0">
      <w:t xml:space="preserve">bridging the gap or </w:t>
    </w:r>
    <w:r>
      <w:t xml:space="preserve">an increase in the volume of Basin water resources available for environmental use by 450 gigalitres. </w:t>
    </w:r>
  </w:p>
  <w:p w:rsidR="00921A69" w:rsidRDefault="00921A69">
    <w:pPr>
      <w:pStyle w:val="Footer"/>
    </w:pPr>
  </w:p>
  <w:p w:rsidR="00921A69" w:rsidRDefault="00921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69" w:rsidRDefault="0092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42" w:rsidRDefault="00442F42">
      <w:pPr>
        <w:spacing w:after="0" w:line="240" w:lineRule="auto"/>
      </w:pPr>
      <w:r>
        <w:separator/>
      </w:r>
    </w:p>
  </w:footnote>
  <w:footnote w:type="continuationSeparator" w:id="0">
    <w:p w:rsidR="00442F42" w:rsidRDefault="00442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69" w:rsidRDefault="00770132" w:rsidP="00AE287A">
    <w:pPr>
      <w:pStyle w:val="Header"/>
      <w:rPr>
        <w:color w:val="943634" w:themeColor="accent2" w:themeShade="BF"/>
      </w:rPr>
    </w:pPr>
    <w:r w:rsidRPr="00553B11">
      <w:rPr>
        <w:color w:val="943634" w:themeColor="accent2" w:themeShade="BF"/>
      </w:rPr>
      <w:t>Project Agreement for Murray-Darling Basin Water Infrastructure</w:t>
    </w:r>
    <w:r>
      <w:rPr>
        <w:color w:val="943634" w:themeColor="accent2" w:themeShade="BF"/>
      </w:rPr>
      <w:t>,</w:t>
    </w:r>
    <w:r w:rsidRPr="00553B11">
      <w:rPr>
        <w:color w:val="943634" w:themeColor="accent2" w:themeShade="BF"/>
      </w:rPr>
      <w:t xml:space="preserve"> </w:t>
    </w:r>
    <w:r w:rsidR="00B35F68">
      <w:rPr>
        <w:color w:val="943634" w:themeColor="accent2" w:themeShade="BF"/>
      </w:rPr>
      <w:t>Australia</w:t>
    </w:r>
    <w:r w:rsidR="00AD5AA7">
      <w:rPr>
        <w:color w:val="943634" w:themeColor="accent2" w:themeShade="BF"/>
      </w:rPr>
      <w:t>n</w:t>
    </w:r>
    <w:r w:rsidR="00B35F68">
      <w:rPr>
        <w:color w:val="943634" w:themeColor="accent2" w:themeShade="BF"/>
      </w:rPr>
      <w:t xml:space="preserve"> Capital Territory</w:t>
    </w:r>
    <w:r w:rsidRPr="00553B11">
      <w:rPr>
        <w:color w:val="943634" w:themeColor="accent2" w:themeShade="BF"/>
      </w:rPr>
      <w:t xml:space="preserve">-led </w:t>
    </w:r>
    <w:r w:rsidR="00402656">
      <w:rPr>
        <w:color w:val="943634" w:themeColor="accent2" w:themeShade="BF"/>
      </w:rPr>
      <w:t>E</w:t>
    </w:r>
    <w:r w:rsidRPr="00553B11">
      <w:rPr>
        <w:color w:val="943634" w:themeColor="accent2" w:themeShade="BF"/>
      </w:rPr>
      <w:t>fficiency</w:t>
    </w:r>
    <w:r>
      <w:rPr>
        <w:color w:val="943634" w:themeColor="accent2" w:themeShade="BF"/>
      </w:rPr>
      <w:t xml:space="preserve"> </w:t>
    </w:r>
    <w:r w:rsidR="00402656">
      <w:rPr>
        <w:color w:val="943634" w:themeColor="accent2" w:themeShade="BF"/>
      </w:rPr>
      <w:t>M</w:t>
    </w:r>
    <w:r>
      <w:rPr>
        <w:color w:val="943634" w:themeColor="accent2" w:themeShade="BF"/>
      </w:rPr>
      <w:t>easures</w:t>
    </w:r>
    <w:r w:rsidRPr="00553B11">
      <w:rPr>
        <w:color w:val="943634" w:themeColor="accent2" w:themeShade="BF"/>
      </w:rPr>
      <w:t xml:space="preserve"> </w:t>
    </w:r>
    <w:r w:rsidR="00402656">
      <w:rPr>
        <w:color w:val="943634" w:themeColor="accent2" w:themeShade="BF"/>
      </w:rPr>
      <w:t>P</w:t>
    </w:r>
    <w:r w:rsidRPr="00553B11">
      <w:rPr>
        <w:color w:val="943634" w:themeColor="accent2" w:themeShade="BF"/>
      </w:rPr>
      <w:t>rojects</w:t>
    </w:r>
  </w:p>
  <w:p w:rsidR="00C23317" w:rsidRPr="00553B11" w:rsidRDefault="00C23317" w:rsidP="00553B11">
    <w:pPr>
      <w:pStyle w:val="Header"/>
      <w:jc w:val="right"/>
      <w:rPr>
        <w:color w:val="943634" w:themeColor="accent2"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8C" w:rsidRDefault="00770132" w:rsidP="00C5338C">
    <w:pPr>
      <w:pStyle w:val="Header"/>
      <w:jc w:val="right"/>
      <w:rPr>
        <w:color w:val="943634" w:themeColor="accent2" w:themeShade="BF"/>
      </w:rPr>
    </w:pPr>
    <w:r w:rsidRPr="00553B11">
      <w:rPr>
        <w:color w:val="943634" w:themeColor="accent2" w:themeShade="BF"/>
      </w:rPr>
      <w:t>Project Agreement for Murray-Darling Basin Water Infrastructure</w:t>
    </w:r>
    <w:r>
      <w:rPr>
        <w:color w:val="943634" w:themeColor="accent2" w:themeShade="BF"/>
      </w:rPr>
      <w:t>,</w:t>
    </w:r>
    <w:r w:rsidRPr="00553B11">
      <w:rPr>
        <w:color w:val="943634" w:themeColor="accent2" w:themeShade="BF"/>
      </w:rPr>
      <w:t xml:space="preserve"> </w:t>
    </w:r>
    <w:r w:rsidR="00471AAC">
      <w:rPr>
        <w:color w:val="943634" w:themeColor="accent2" w:themeShade="BF"/>
      </w:rPr>
      <w:t xml:space="preserve">Australian Capital Territory </w:t>
    </w:r>
    <w:r w:rsidR="0066543C">
      <w:rPr>
        <w:color w:val="943634" w:themeColor="accent2" w:themeShade="BF"/>
      </w:rPr>
      <w:t>-led E</w:t>
    </w:r>
    <w:r w:rsidRPr="00553B11">
      <w:rPr>
        <w:color w:val="943634" w:themeColor="accent2" w:themeShade="BF"/>
      </w:rPr>
      <w:t>fficiency</w:t>
    </w:r>
    <w:r w:rsidR="0066543C">
      <w:rPr>
        <w:color w:val="943634" w:themeColor="accent2" w:themeShade="BF"/>
      </w:rPr>
      <w:t xml:space="preserve"> M</w:t>
    </w:r>
    <w:r>
      <w:rPr>
        <w:color w:val="943634" w:themeColor="accent2" w:themeShade="BF"/>
      </w:rPr>
      <w:t>easures</w:t>
    </w:r>
    <w:r w:rsidR="0066543C">
      <w:rPr>
        <w:color w:val="943634" w:themeColor="accent2" w:themeShade="BF"/>
      </w:rPr>
      <w:t xml:space="preserve"> P</w:t>
    </w:r>
    <w:r w:rsidRPr="00553B11">
      <w:rPr>
        <w:color w:val="943634" w:themeColor="accent2" w:themeShade="BF"/>
      </w:rPr>
      <w:t>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8C" w:rsidRDefault="004E22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8C" w:rsidRDefault="004E22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8C" w:rsidRDefault="004E2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0F711607"/>
    <w:multiLevelType w:val="hybridMultilevel"/>
    <w:tmpl w:val="95429B48"/>
    <w:lvl w:ilvl="0" w:tplc="E24032A8">
      <w:start w:val="1"/>
      <w:numFmt w:val="lowerLetter"/>
      <w:lvlText w:val="(%1)"/>
      <w:lvlJc w:val="left"/>
      <w:pPr>
        <w:ind w:left="721" w:hanging="360"/>
      </w:pPr>
      <w:rPr>
        <w:rFonts w:hint="default"/>
        <w:color w:val="auto"/>
      </w:rPr>
    </w:lvl>
    <w:lvl w:ilvl="1" w:tplc="C6AE90A6" w:tentative="1">
      <w:start w:val="1"/>
      <w:numFmt w:val="lowerLetter"/>
      <w:lvlText w:val="%2."/>
      <w:lvlJc w:val="left"/>
      <w:pPr>
        <w:ind w:left="1517" w:hanging="360"/>
      </w:pPr>
    </w:lvl>
    <w:lvl w:ilvl="2" w:tplc="C0484368" w:tentative="1">
      <w:start w:val="1"/>
      <w:numFmt w:val="lowerRoman"/>
      <w:lvlText w:val="%3."/>
      <w:lvlJc w:val="right"/>
      <w:pPr>
        <w:ind w:left="2237" w:hanging="180"/>
      </w:pPr>
    </w:lvl>
    <w:lvl w:ilvl="3" w:tplc="6136B516" w:tentative="1">
      <w:start w:val="1"/>
      <w:numFmt w:val="decimal"/>
      <w:lvlText w:val="%4."/>
      <w:lvlJc w:val="left"/>
      <w:pPr>
        <w:ind w:left="2957" w:hanging="360"/>
      </w:pPr>
    </w:lvl>
    <w:lvl w:ilvl="4" w:tplc="AFF4CA3A" w:tentative="1">
      <w:start w:val="1"/>
      <w:numFmt w:val="lowerLetter"/>
      <w:lvlText w:val="%5."/>
      <w:lvlJc w:val="left"/>
      <w:pPr>
        <w:ind w:left="3677" w:hanging="360"/>
      </w:pPr>
    </w:lvl>
    <w:lvl w:ilvl="5" w:tplc="C12077A0" w:tentative="1">
      <w:start w:val="1"/>
      <w:numFmt w:val="lowerRoman"/>
      <w:lvlText w:val="%6."/>
      <w:lvlJc w:val="right"/>
      <w:pPr>
        <w:ind w:left="4397" w:hanging="180"/>
      </w:pPr>
    </w:lvl>
    <w:lvl w:ilvl="6" w:tplc="B2A4AF90" w:tentative="1">
      <w:start w:val="1"/>
      <w:numFmt w:val="decimal"/>
      <w:lvlText w:val="%7."/>
      <w:lvlJc w:val="left"/>
      <w:pPr>
        <w:ind w:left="5117" w:hanging="360"/>
      </w:pPr>
    </w:lvl>
    <w:lvl w:ilvl="7" w:tplc="A5B8FBB2" w:tentative="1">
      <w:start w:val="1"/>
      <w:numFmt w:val="lowerLetter"/>
      <w:lvlText w:val="%8."/>
      <w:lvlJc w:val="left"/>
      <w:pPr>
        <w:ind w:left="5837" w:hanging="360"/>
      </w:pPr>
    </w:lvl>
    <w:lvl w:ilvl="8" w:tplc="9BA0C508" w:tentative="1">
      <w:start w:val="1"/>
      <w:numFmt w:val="lowerRoman"/>
      <w:lvlText w:val="%9."/>
      <w:lvlJc w:val="right"/>
      <w:pPr>
        <w:ind w:left="6557" w:hanging="180"/>
      </w:pPr>
    </w:lvl>
  </w:abstractNum>
  <w:abstractNum w:abstractNumId="3" w15:restartNumberingAfterBreak="0">
    <w:nsid w:val="19C960FD"/>
    <w:multiLevelType w:val="multilevel"/>
    <w:tmpl w:val="F9EA08CE"/>
    <w:name w:val="OneLevelNumberedParagraphList"/>
    <w:lvl w:ilvl="0">
      <w:start w:val="1"/>
      <w:numFmt w:val="decimal"/>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5940B7"/>
    <w:multiLevelType w:val="hybridMultilevel"/>
    <w:tmpl w:val="9C6EA5B4"/>
    <w:lvl w:ilvl="0" w:tplc="A2D66646">
      <w:start w:val="1"/>
      <w:numFmt w:val="upperRoman"/>
      <w:lvlText w:val="%1."/>
      <w:lvlJc w:val="right"/>
      <w:pPr>
        <w:ind w:left="1854" w:hanging="360"/>
      </w:pPr>
    </w:lvl>
    <w:lvl w:ilvl="1" w:tplc="E930578C" w:tentative="1">
      <w:start w:val="1"/>
      <w:numFmt w:val="lowerLetter"/>
      <w:lvlText w:val="%2."/>
      <w:lvlJc w:val="left"/>
      <w:pPr>
        <w:ind w:left="2574" w:hanging="360"/>
      </w:pPr>
    </w:lvl>
    <w:lvl w:ilvl="2" w:tplc="FDB0DC20" w:tentative="1">
      <w:start w:val="1"/>
      <w:numFmt w:val="lowerRoman"/>
      <w:lvlText w:val="%3."/>
      <w:lvlJc w:val="right"/>
      <w:pPr>
        <w:ind w:left="3294" w:hanging="180"/>
      </w:pPr>
    </w:lvl>
    <w:lvl w:ilvl="3" w:tplc="3EF0E73E" w:tentative="1">
      <w:start w:val="1"/>
      <w:numFmt w:val="decimal"/>
      <w:lvlText w:val="%4."/>
      <w:lvlJc w:val="left"/>
      <w:pPr>
        <w:ind w:left="4014" w:hanging="360"/>
      </w:pPr>
    </w:lvl>
    <w:lvl w:ilvl="4" w:tplc="EFCE4968" w:tentative="1">
      <w:start w:val="1"/>
      <w:numFmt w:val="lowerLetter"/>
      <w:lvlText w:val="%5."/>
      <w:lvlJc w:val="left"/>
      <w:pPr>
        <w:ind w:left="4734" w:hanging="360"/>
      </w:pPr>
    </w:lvl>
    <w:lvl w:ilvl="5" w:tplc="71F2EEB6" w:tentative="1">
      <w:start w:val="1"/>
      <w:numFmt w:val="lowerRoman"/>
      <w:lvlText w:val="%6."/>
      <w:lvlJc w:val="right"/>
      <w:pPr>
        <w:ind w:left="5454" w:hanging="180"/>
      </w:pPr>
    </w:lvl>
    <w:lvl w:ilvl="6" w:tplc="5B28A2DC" w:tentative="1">
      <w:start w:val="1"/>
      <w:numFmt w:val="decimal"/>
      <w:lvlText w:val="%7."/>
      <w:lvlJc w:val="left"/>
      <w:pPr>
        <w:ind w:left="6174" w:hanging="360"/>
      </w:pPr>
    </w:lvl>
    <w:lvl w:ilvl="7" w:tplc="60622328" w:tentative="1">
      <w:start w:val="1"/>
      <w:numFmt w:val="lowerLetter"/>
      <w:lvlText w:val="%8."/>
      <w:lvlJc w:val="left"/>
      <w:pPr>
        <w:ind w:left="6894" w:hanging="360"/>
      </w:pPr>
    </w:lvl>
    <w:lvl w:ilvl="8" w:tplc="2F088E78" w:tentative="1">
      <w:start w:val="1"/>
      <w:numFmt w:val="lowerRoman"/>
      <w:lvlText w:val="%9."/>
      <w:lvlJc w:val="right"/>
      <w:pPr>
        <w:ind w:left="7614" w:hanging="180"/>
      </w:pPr>
    </w:lvl>
  </w:abstractNum>
  <w:abstractNum w:abstractNumId="8" w15:restartNumberingAfterBreak="0">
    <w:nsid w:val="278D78E7"/>
    <w:multiLevelType w:val="multilevel"/>
    <w:tmpl w:val="5C4AE05C"/>
    <w:lvl w:ilvl="0">
      <w:start w:val="1"/>
      <w:numFmt w:val="lowerRoman"/>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307F38D3"/>
    <w:multiLevelType w:val="multilevel"/>
    <w:tmpl w:val="8820B6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C312A3"/>
    <w:multiLevelType w:val="hybridMultilevel"/>
    <w:tmpl w:val="95429B48"/>
    <w:lvl w:ilvl="0" w:tplc="40A2F588">
      <w:start w:val="1"/>
      <w:numFmt w:val="lowerLetter"/>
      <w:lvlText w:val="(%1)"/>
      <w:lvlJc w:val="left"/>
      <w:pPr>
        <w:ind w:left="721" w:hanging="360"/>
      </w:pPr>
      <w:rPr>
        <w:rFonts w:hint="default"/>
        <w:color w:val="auto"/>
      </w:rPr>
    </w:lvl>
    <w:lvl w:ilvl="1" w:tplc="FEC43D74" w:tentative="1">
      <w:start w:val="1"/>
      <w:numFmt w:val="lowerLetter"/>
      <w:lvlText w:val="%2."/>
      <w:lvlJc w:val="left"/>
      <w:pPr>
        <w:ind w:left="1517" w:hanging="360"/>
      </w:pPr>
    </w:lvl>
    <w:lvl w:ilvl="2" w:tplc="EF760FC0" w:tentative="1">
      <w:start w:val="1"/>
      <w:numFmt w:val="lowerRoman"/>
      <w:lvlText w:val="%3."/>
      <w:lvlJc w:val="right"/>
      <w:pPr>
        <w:ind w:left="2237" w:hanging="180"/>
      </w:pPr>
    </w:lvl>
    <w:lvl w:ilvl="3" w:tplc="8D86D19A" w:tentative="1">
      <w:start w:val="1"/>
      <w:numFmt w:val="decimal"/>
      <w:lvlText w:val="%4."/>
      <w:lvlJc w:val="left"/>
      <w:pPr>
        <w:ind w:left="2957" w:hanging="360"/>
      </w:pPr>
    </w:lvl>
    <w:lvl w:ilvl="4" w:tplc="8BC8093A" w:tentative="1">
      <w:start w:val="1"/>
      <w:numFmt w:val="lowerLetter"/>
      <w:lvlText w:val="%5."/>
      <w:lvlJc w:val="left"/>
      <w:pPr>
        <w:ind w:left="3677" w:hanging="360"/>
      </w:pPr>
    </w:lvl>
    <w:lvl w:ilvl="5" w:tplc="5ECE594A" w:tentative="1">
      <w:start w:val="1"/>
      <w:numFmt w:val="lowerRoman"/>
      <w:lvlText w:val="%6."/>
      <w:lvlJc w:val="right"/>
      <w:pPr>
        <w:ind w:left="4397" w:hanging="180"/>
      </w:pPr>
    </w:lvl>
    <w:lvl w:ilvl="6" w:tplc="DBDADF16" w:tentative="1">
      <w:start w:val="1"/>
      <w:numFmt w:val="decimal"/>
      <w:lvlText w:val="%7."/>
      <w:lvlJc w:val="left"/>
      <w:pPr>
        <w:ind w:left="5117" w:hanging="360"/>
      </w:pPr>
    </w:lvl>
    <w:lvl w:ilvl="7" w:tplc="F246F8FC" w:tentative="1">
      <w:start w:val="1"/>
      <w:numFmt w:val="lowerLetter"/>
      <w:lvlText w:val="%8."/>
      <w:lvlJc w:val="left"/>
      <w:pPr>
        <w:ind w:left="5837" w:hanging="360"/>
      </w:pPr>
    </w:lvl>
    <w:lvl w:ilvl="8" w:tplc="732CDB84" w:tentative="1">
      <w:start w:val="1"/>
      <w:numFmt w:val="lowerRoman"/>
      <w:lvlText w:val="%9."/>
      <w:lvlJc w:val="right"/>
      <w:pPr>
        <w:ind w:left="6557" w:hanging="180"/>
      </w:pPr>
    </w:lvl>
  </w:abstractNum>
  <w:abstractNum w:abstractNumId="12"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3" w15:restartNumberingAfterBreak="0">
    <w:nsid w:val="472935F3"/>
    <w:multiLevelType w:val="multilevel"/>
    <w:tmpl w:val="73ECACC0"/>
    <w:lvl w:ilvl="0">
      <w:start w:val="1"/>
      <w:numFmt w:val="lowerLetter"/>
      <w:lvlText w:val="(%1)"/>
      <w:lvlJc w:val="left"/>
      <w:pPr>
        <w:tabs>
          <w:tab w:val="num" w:pos="1419"/>
        </w:tabs>
        <w:ind w:left="85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14" w15:restartNumberingAfterBreak="0">
    <w:nsid w:val="4CE06931"/>
    <w:multiLevelType w:val="singleLevel"/>
    <w:tmpl w:val="4366EF18"/>
    <w:lvl w:ilvl="0">
      <w:start w:val="1"/>
      <w:numFmt w:val="lowerLetter"/>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31A4BED"/>
    <w:multiLevelType w:val="hybridMultilevel"/>
    <w:tmpl w:val="95429B48"/>
    <w:lvl w:ilvl="0" w:tplc="1352A672">
      <w:start w:val="1"/>
      <w:numFmt w:val="lowerLetter"/>
      <w:lvlText w:val="(%1)"/>
      <w:lvlJc w:val="left"/>
      <w:pPr>
        <w:ind w:left="721" w:hanging="360"/>
      </w:pPr>
      <w:rPr>
        <w:rFonts w:hint="default"/>
        <w:color w:val="auto"/>
      </w:rPr>
    </w:lvl>
    <w:lvl w:ilvl="1" w:tplc="0AF0FC80" w:tentative="1">
      <w:start w:val="1"/>
      <w:numFmt w:val="lowerLetter"/>
      <w:lvlText w:val="%2."/>
      <w:lvlJc w:val="left"/>
      <w:pPr>
        <w:ind w:left="1517" w:hanging="360"/>
      </w:pPr>
    </w:lvl>
    <w:lvl w:ilvl="2" w:tplc="749CE59A" w:tentative="1">
      <w:start w:val="1"/>
      <w:numFmt w:val="lowerRoman"/>
      <w:lvlText w:val="%3."/>
      <w:lvlJc w:val="right"/>
      <w:pPr>
        <w:ind w:left="2237" w:hanging="180"/>
      </w:pPr>
    </w:lvl>
    <w:lvl w:ilvl="3" w:tplc="E506B2BC" w:tentative="1">
      <w:start w:val="1"/>
      <w:numFmt w:val="decimal"/>
      <w:lvlText w:val="%4."/>
      <w:lvlJc w:val="left"/>
      <w:pPr>
        <w:ind w:left="2957" w:hanging="360"/>
      </w:pPr>
    </w:lvl>
    <w:lvl w:ilvl="4" w:tplc="4C0CE3F8" w:tentative="1">
      <w:start w:val="1"/>
      <w:numFmt w:val="lowerLetter"/>
      <w:lvlText w:val="%5."/>
      <w:lvlJc w:val="left"/>
      <w:pPr>
        <w:ind w:left="3677" w:hanging="360"/>
      </w:pPr>
    </w:lvl>
    <w:lvl w:ilvl="5" w:tplc="3FF04616" w:tentative="1">
      <w:start w:val="1"/>
      <w:numFmt w:val="lowerRoman"/>
      <w:lvlText w:val="%6."/>
      <w:lvlJc w:val="right"/>
      <w:pPr>
        <w:ind w:left="4397" w:hanging="180"/>
      </w:pPr>
    </w:lvl>
    <w:lvl w:ilvl="6" w:tplc="28628BD6" w:tentative="1">
      <w:start w:val="1"/>
      <w:numFmt w:val="decimal"/>
      <w:lvlText w:val="%7."/>
      <w:lvlJc w:val="left"/>
      <w:pPr>
        <w:ind w:left="5117" w:hanging="360"/>
      </w:pPr>
    </w:lvl>
    <w:lvl w:ilvl="7" w:tplc="149C1070" w:tentative="1">
      <w:start w:val="1"/>
      <w:numFmt w:val="lowerLetter"/>
      <w:lvlText w:val="%8."/>
      <w:lvlJc w:val="left"/>
      <w:pPr>
        <w:ind w:left="5837" w:hanging="360"/>
      </w:pPr>
    </w:lvl>
    <w:lvl w:ilvl="8" w:tplc="F3164A50" w:tentative="1">
      <w:start w:val="1"/>
      <w:numFmt w:val="lowerRoman"/>
      <w:lvlText w:val="%9."/>
      <w:lvlJc w:val="right"/>
      <w:pPr>
        <w:ind w:left="6557" w:hanging="180"/>
      </w:pPr>
    </w:lvl>
  </w:abstractNum>
  <w:abstractNum w:abstractNumId="16" w15:restartNumberingAfterBreak="0">
    <w:nsid w:val="55CE0768"/>
    <w:multiLevelType w:val="hybridMultilevel"/>
    <w:tmpl w:val="9190AFEA"/>
    <w:lvl w:ilvl="0" w:tplc="8AB816D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3982962A" w:tentative="1">
      <w:start w:val="1"/>
      <w:numFmt w:val="bullet"/>
      <w:lvlText w:val="o"/>
      <w:lvlJc w:val="left"/>
      <w:pPr>
        <w:tabs>
          <w:tab w:val="num" w:pos="1440"/>
        </w:tabs>
        <w:ind w:left="1440" w:hanging="360"/>
      </w:pPr>
      <w:rPr>
        <w:rFonts w:ascii="Courier New" w:hAnsi="Courier New" w:hint="default"/>
      </w:rPr>
    </w:lvl>
    <w:lvl w:ilvl="2" w:tplc="697AF65E" w:tentative="1">
      <w:start w:val="1"/>
      <w:numFmt w:val="bullet"/>
      <w:lvlText w:val=""/>
      <w:lvlJc w:val="left"/>
      <w:pPr>
        <w:tabs>
          <w:tab w:val="num" w:pos="2160"/>
        </w:tabs>
        <w:ind w:left="2160" w:hanging="360"/>
      </w:pPr>
      <w:rPr>
        <w:rFonts w:ascii="Wingdings" w:hAnsi="Wingdings" w:hint="default"/>
      </w:rPr>
    </w:lvl>
    <w:lvl w:ilvl="3" w:tplc="3488A0B4" w:tentative="1">
      <w:start w:val="1"/>
      <w:numFmt w:val="bullet"/>
      <w:lvlText w:val=""/>
      <w:lvlJc w:val="left"/>
      <w:pPr>
        <w:tabs>
          <w:tab w:val="num" w:pos="2880"/>
        </w:tabs>
        <w:ind w:left="2880" w:hanging="360"/>
      </w:pPr>
      <w:rPr>
        <w:rFonts w:ascii="Symbol" w:hAnsi="Symbol" w:hint="default"/>
      </w:rPr>
    </w:lvl>
    <w:lvl w:ilvl="4" w:tplc="821249DE" w:tentative="1">
      <w:start w:val="1"/>
      <w:numFmt w:val="bullet"/>
      <w:lvlText w:val="o"/>
      <w:lvlJc w:val="left"/>
      <w:pPr>
        <w:tabs>
          <w:tab w:val="num" w:pos="3600"/>
        </w:tabs>
        <w:ind w:left="3600" w:hanging="360"/>
      </w:pPr>
      <w:rPr>
        <w:rFonts w:ascii="Courier New" w:hAnsi="Courier New" w:hint="default"/>
      </w:rPr>
    </w:lvl>
    <w:lvl w:ilvl="5" w:tplc="3A309286" w:tentative="1">
      <w:start w:val="1"/>
      <w:numFmt w:val="bullet"/>
      <w:lvlText w:val=""/>
      <w:lvlJc w:val="left"/>
      <w:pPr>
        <w:tabs>
          <w:tab w:val="num" w:pos="4320"/>
        </w:tabs>
        <w:ind w:left="4320" w:hanging="360"/>
      </w:pPr>
      <w:rPr>
        <w:rFonts w:ascii="Wingdings" w:hAnsi="Wingdings" w:hint="default"/>
      </w:rPr>
    </w:lvl>
    <w:lvl w:ilvl="6" w:tplc="C660EC94" w:tentative="1">
      <w:start w:val="1"/>
      <w:numFmt w:val="bullet"/>
      <w:lvlText w:val=""/>
      <w:lvlJc w:val="left"/>
      <w:pPr>
        <w:tabs>
          <w:tab w:val="num" w:pos="5040"/>
        </w:tabs>
        <w:ind w:left="5040" w:hanging="360"/>
      </w:pPr>
      <w:rPr>
        <w:rFonts w:ascii="Symbol" w:hAnsi="Symbol" w:hint="default"/>
      </w:rPr>
    </w:lvl>
    <w:lvl w:ilvl="7" w:tplc="6B121C2E" w:tentative="1">
      <w:start w:val="1"/>
      <w:numFmt w:val="bullet"/>
      <w:lvlText w:val="o"/>
      <w:lvlJc w:val="left"/>
      <w:pPr>
        <w:tabs>
          <w:tab w:val="num" w:pos="5760"/>
        </w:tabs>
        <w:ind w:left="5760" w:hanging="360"/>
      </w:pPr>
      <w:rPr>
        <w:rFonts w:ascii="Courier New" w:hAnsi="Courier New" w:hint="default"/>
      </w:rPr>
    </w:lvl>
    <w:lvl w:ilvl="8" w:tplc="791229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73ECACC0"/>
    <w:lvl w:ilvl="0">
      <w:start w:val="1"/>
      <w:numFmt w:val="lowerLetter"/>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3741947"/>
    <w:multiLevelType w:val="hybridMultilevel"/>
    <w:tmpl w:val="95429B48"/>
    <w:lvl w:ilvl="0" w:tplc="3676C036">
      <w:start w:val="1"/>
      <w:numFmt w:val="lowerLetter"/>
      <w:lvlText w:val="(%1)"/>
      <w:lvlJc w:val="left"/>
      <w:pPr>
        <w:ind w:left="721" w:hanging="360"/>
      </w:pPr>
      <w:rPr>
        <w:rFonts w:hint="default"/>
        <w:color w:val="auto"/>
      </w:rPr>
    </w:lvl>
    <w:lvl w:ilvl="1" w:tplc="48B25452" w:tentative="1">
      <w:start w:val="1"/>
      <w:numFmt w:val="lowerLetter"/>
      <w:lvlText w:val="%2."/>
      <w:lvlJc w:val="left"/>
      <w:pPr>
        <w:ind w:left="1517" w:hanging="360"/>
      </w:pPr>
    </w:lvl>
    <w:lvl w:ilvl="2" w:tplc="40D8FA98" w:tentative="1">
      <w:start w:val="1"/>
      <w:numFmt w:val="lowerRoman"/>
      <w:lvlText w:val="%3."/>
      <w:lvlJc w:val="right"/>
      <w:pPr>
        <w:ind w:left="2237" w:hanging="180"/>
      </w:pPr>
    </w:lvl>
    <w:lvl w:ilvl="3" w:tplc="4F34DF78" w:tentative="1">
      <w:start w:val="1"/>
      <w:numFmt w:val="decimal"/>
      <w:lvlText w:val="%4."/>
      <w:lvlJc w:val="left"/>
      <w:pPr>
        <w:ind w:left="2957" w:hanging="360"/>
      </w:pPr>
    </w:lvl>
    <w:lvl w:ilvl="4" w:tplc="B686DE06" w:tentative="1">
      <w:start w:val="1"/>
      <w:numFmt w:val="lowerLetter"/>
      <w:lvlText w:val="%5."/>
      <w:lvlJc w:val="left"/>
      <w:pPr>
        <w:ind w:left="3677" w:hanging="360"/>
      </w:pPr>
    </w:lvl>
    <w:lvl w:ilvl="5" w:tplc="0FD4897A" w:tentative="1">
      <w:start w:val="1"/>
      <w:numFmt w:val="lowerRoman"/>
      <w:lvlText w:val="%6."/>
      <w:lvlJc w:val="right"/>
      <w:pPr>
        <w:ind w:left="4397" w:hanging="180"/>
      </w:pPr>
    </w:lvl>
    <w:lvl w:ilvl="6" w:tplc="87F64F36" w:tentative="1">
      <w:start w:val="1"/>
      <w:numFmt w:val="decimal"/>
      <w:lvlText w:val="%7."/>
      <w:lvlJc w:val="left"/>
      <w:pPr>
        <w:ind w:left="5117" w:hanging="360"/>
      </w:pPr>
    </w:lvl>
    <w:lvl w:ilvl="7" w:tplc="4C3C2A5E" w:tentative="1">
      <w:start w:val="1"/>
      <w:numFmt w:val="lowerLetter"/>
      <w:lvlText w:val="%8."/>
      <w:lvlJc w:val="left"/>
      <w:pPr>
        <w:ind w:left="5837" w:hanging="360"/>
      </w:pPr>
    </w:lvl>
    <w:lvl w:ilvl="8" w:tplc="B33801C2" w:tentative="1">
      <w:start w:val="1"/>
      <w:numFmt w:val="lowerRoman"/>
      <w:lvlText w:val="%9."/>
      <w:lvlJc w:val="right"/>
      <w:pPr>
        <w:ind w:left="6557" w:hanging="180"/>
      </w:pPr>
    </w:lvl>
  </w:abstractNum>
  <w:abstractNum w:abstractNumId="2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2"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3" w15:restartNumberingAfterBreak="0">
    <w:nsid w:val="78854AAC"/>
    <w:multiLevelType w:val="hybridMultilevel"/>
    <w:tmpl w:val="82FA456C"/>
    <w:lvl w:ilvl="0" w:tplc="CB5E5938">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331631FA">
      <w:start w:val="1"/>
      <w:numFmt w:val="lowerLetter"/>
      <w:lvlText w:val="%2."/>
      <w:lvlJc w:val="left"/>
      <w:pPr>
        <w:tabs>
          <w:tab w:val="num" w:pos="1440"/>
        </w:tabs>
        <w:ind w:left="1440" w:hanging="360"/>
      </w:pPr>
      <w:rPr>
        <w:rFonts w:cs="Times New Roman"/>
      </w:rPr>
    </w:lvl>
    <w:lvl w:ilvl="2" w:tplc="C89A586A">
      <w:start w:val="1"/>
      <w:numFmt w:val="lowerLetter"/>
      <w:lvlText w:val="(%3)"/>
      <w:lvlJc w:val="left"/>
      <w:pPr>
        <w:ind w:left="2544" w:hanging="564"/>
      </w:pPr>
      <w:rPr>
        <w:rFonts w:hint="default"/>
        <w:color w:val="auto"/>
      </w:rPr>
    </w:lvl>
    <w:lvl w:ilvl="3" w:tplc="3BAA3614" w:tentative="1">
      <w:start w:val="1"/>
      <w:numFmt w:val="decimal"/>
      <w:lvlText w:val="%4."/>
      <w:lvlJc w:val="left"/>
      <w:pPr>
        <w:tabs>
          <w:tab w:val="num" w:pos="2880"/>
        </w:tabs>
        <w:ind w:left="2880" w:hanging="360"/>
      </w:pPr>
      <w:rPr>
        <w:rFonts w:cs="Times New Roman"/>
      </w:rPr>
    </w:lvl>
    <w:lvl w:ilvl="4" w:tplc="03B82C0C" w:tentative="1">
      <w:start w:val="1"/>
      <w:numFmt w:val="lowerLetter"/>
      <w:lvlText w:val="%5."/>
      <w:lvlJc w:val="left"/>
      <w:pPr>
        <w:tabs>
          <w:tab w:val="num" w:pos="3600"/>
        </w:tabs>
        <w:ind w:left="3600" w:hanging="360"/>
      </w:pPr>
      <w:rPr>
        <w:rFonts w:cs="Times New Roman"/>
      </w:rPr>
    </w:lvl>
    <w:lvl w:ilvl="5" w:tplc="488EEAC6" w:tentative="1">
      <w:start w:val="1"/>
      <w:numFmt w:val="lowerRoman"/>
      <w:lvlText w:val="%6."/>
      <w:lvlJc w:val="right"/>
      <w:pPr>
        <w:tabs>
          <w:tab w:val="num" w:pos="4320"/>
        </w:tabs>
        <w:ind w:left="4320" w:hanging="180"/>
      </w:pPr>
      <w:rPr>
        <w:rFonts w:cs="Times New Roman"/>
      </w:rPr>
    </w:lvl>
    <w:lvl w:ilvl="6" w:tplc="6ECE4596" w:tentative="1">
      <w:start w:val="1"/>
      <w:numFmt w:val="decimal"/>
      <w:lvlText w:val="%7."/>
      <w:lvlJc w:val="left"/>
      <w:pPr>
        <w:tabs>
          <w:tab w:val="num" w:pos="5040"/>
        </w:tabs>
        <w:ind w:left="5040" w:hanging="360"/>
      </w:pPr>
      <w:rPr>
        <w:rFonts w:cs="Times New Roman"/>
      </w:rPr>
    </w:lvl>
    <w:lvl w:ilvl="7" w:tplc="D9A886BC" w:tentative="1">
      <w:start w:val="1"/>
      <w:numFmt w:val="lowerLetter"/>
      <w:lvlText w:val="%8."/>
      <w:lvlJc w:val="left"/>
      <w:pPr>
        <w:tabs>
          <w:tab w:val="num" w:pos="5760"/>
        </w:tabs>
        <w:ind w:left="5760" w:hanging="360"/>
      </w:pPr>
      <w:rPr>
        <w:rFonts w:cs="Times New Roman"/>
      </w:rPr>
    </w:lvl>
    <w:lvl w:ilvl="8" w:tplc="7C1CAA10"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0F3B49"/>
    <w:multiLevelType w:val="multilevel"/>
    <w:tmpl w:val="73ECACC0"/>
    <w:lvl w:ilvl="0">
      <w:start w:val="1"/>
      <w:numFmt w:val="lowerLetter"/>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num w:numId="1">
    <w:abstractNumId w:val="0"/>
  </w:num>
  <w:num w:numId="2">
    <w:abstractNumId w:val="6"/>
  </w:num>
  <w:num w:numId="3">
    <w:abstractNumId w:val="14"/>
  </w:num>
  <w:num w:numId="4">
    <w:abstractNumId w:val="17"/>
  </w:num>
  <w:num w:numId="5">
    <w:abstractNumId w:val="3"/>
  </w:num>
  <w:num w:numId="6">
    <w:abstractNumId w:val="19"/>
  </w:num>
  <w:num w:numId="7">
    <w:abstractNumId w:val="4"/>
  </w:num>
  <w:num w:numId="8">
    <w:abstractNumId w:val="8"/>
  </w:num>
  <w:num w:numId="9">
    <w:abstractNumId w:val="23"/>
  </w:num>
  <w:num w:numId="10">
    <w:abstractNumId w:val="1"/>
  </w:num>
  <w:num w:numId="11">
    <w:abstractNumId w:val="16"/>
  </w:num>
  <w:num w:numId="12">
    <w:abstractNumId w:val="21"/>
  </w:num>
  <w:num w:numId="13">
    <w:abstractNumId w:val="12"/>
  </w:num>
  <w:num w:numId="14">
    <w:abstractNumId w:val="22"/>
  </w:num>
  <w:num w:numId="15">
    <w:abstractNumId w:val="5"/>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1"/>
  </w:num>
  <w:num w:numId="21">
    <w:abstractNumId w:val="15"/>
  </w:num>
  <w:num w:numId="22">
    <w:abstractNumId w:val="2"/>
  </w:num>
  <w:num w:numId="23">
    <w:abstractNumId w:val="24"/>
  </w:num>
  <w:num w:numId="24">
    <w:abstractNumId w:val="7"/>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114C"/>
    <w:rsid w:val="00002614"/>
    <w:rsid w:val="00002856"/>
    <w:rsid w:val="00005A5D"/>
    <w:rsid w:val="00005C91"/>
    <w:rsid w:val="000071F9"/>
    <w:rsid w:val="000076D9"/>
    <w:rsid w:val="000166AA"/>
    <w:rsid w:val="0001767B"/>
    <w:rsid w:val="00021708"/>
    <w:rsid w:val="00022518"/>
    <w:rsid w:val="000228A5"/>
    <w:rsid w:val="00027BD0"/>
    <w:rsid w:val="00030CB2"/>
    <w:rsid w:val="000315C6"/>
    <w:rsid w:val="000317F6"/>
    <w:rsid w:val="0003432E"/>
    <w:rsid w:val="000343F1"/>
    <w:rsid w:val="00035726"/>
    <w:rsid w:val="00040A4D"/>
    <w:rsid w:val="00041B50"/>
    <w:rsid w:val="00044700"/>
    <w:rsid w:val="0005029D"/>
    <w:rsid w:val="0006051B"/>
    <w:rsid w:val="000614F9"/>
    <w:rsid w:val="00061F33"/>
    <w:rsid w:val="00061F48"/>
    <w:rsid w:val="0006448B"/>
    <w:rsid w:val="0006451A"/>
    <w:rsid w:val="0006551D"/>
    <w:rsid w:val="0006565D"/>
    <w:rsid w:val="00065679"/>
    <w:rsid w:val="0007004C"/>
    <w:rsid w:val="0007038D"/>
    <w:rsid w:val="00071DED"/>
    <w:rsid w:val="000724F6"/>
    <w:rsid w:val="00074611"/>
    <w:rsid w:val="00074A62"/>
    <w:rsid w:val="00082DAE"/>
    <w:rsid w:val="000836E5"/>
    <w:rsid w:val="00083C9F"/>
    <w:rsid w:val="00086712"/>
    <w:rsid w:val="00086806"/>
    <w:rsid w:val="00087FCC"/>
    <w:rsid w:val="00091DF8"/>
    <w:rsid w:val="00092323"/>
    <w:rsid w:val="00093CB6"/>
    <w:rsid w:val="00093DD8"/>
    <w:rsid w:val="0009549D"/>
    <w:rsid w:val="00096AB2"/>
    <w:rsid w:val="00097794"/>
    <w:rsid w:val="000A0C9E"/>
    <w:rsid w:val="000A0DF7"/>
    <w:rsid w:val="000A2166"/>
    <w:rsid w:val="000A5191"/>
    <w:rsid w:val="000A706E"/>
    <w:rsid w:val="000A7626"/>
    <w:rsid w:val="000B4080"/>
    <w:rsid w:val="000B5CF2"/>
    <w:rsid w:val="000B7685"/>
    <w:rsid w:val="000C2BE5"/>
    <w:rsid w:val="000C714F"/>
    <w:rsid w:val="000C7D4A"/>
    <w:rsid w:val="000D0248"/>
    <w:rsid w:val="000D12A7"/>
    <w:rsid w:val="000D19D8"/>
    <w:rsid w:val="000D1C37"/>
    <w:rsid w:val="000D1EEA"/>
    <w:rsid w:val="000D2316"/>
    <w:rsid w:val="000D4377"/>
    <w:rsid w:val="000D74AB"/>
    <w:rsid w:val="000E057C"/>
    <w:rsid w:val="000E075D"/>
    <w:rsid w:val="000E1D9E"/>
    <w:rsid w:val="000E2AF6"/>
    <w:rsid w:val="000E36B7"/>
    <w:rsid w:val="000E384C"/>
    <w:rsid w:val="000E39F4"/>
    <w:rsid w:val="000E3C70"/>
    <w:rsid w:val="000E48C3"/>
    <w:rsid w:val="000E5D65"/>
    <w:rsid w:val="000F0880"/>
    <w:rsid w:val="000F25D5"/>
    <w:rsid w:val="000F6CF6"/>
    <w:rsid w:val="00103FD6"/>
    <w:rsid w:val="001065EE"/>
    <w:rsid w:val="00107C43"/>
    <w:rsid w:val="00110F5D"/>
    <w:rsid w:val="001117F1"/>
    <w:rsid w:val="00112185"/>
    <w:rsid w:val="0011233C"/>
    <w:rsid w:val="001134AC"/>
    <w:rsid w:val="00114B4A"/>
    <w:rsid w:val="00115166"/>
    <w:rsid w:val="00115A97"/>
    <w:rsid w:val="0011757B"/>
    <w:rsid w:val="00122DBA"/>
    <w:rsid w:val="001232ED"/>
    <w:rsid w:val="001262B5"/>
    <w:rsid w:val="001276D8"/>
    <w:rsid w:val="00132587"/>
    <w:rsid w:val="00134A67"/>
    <w:rsid w:val="00136B19"/>
    <w:rsid w:val="001404A9"/>
    <w:rsid w:val="00140F43"/>
    <w:rsid w:val="00145D5C"/>
    <w:rsid w:val="0015061A"/>
    <w:rsid w:val="00151133"/>
    <w:rsid w:val="00151583"/>
    <w:rsid w:val="00151E3F"/>
    <w:rsid w:val="00152B73"/>
    <w:rsid w:val="00153829"/>
    <w:rsid w:val="00160506"/>
    <w:rsid w:val="0016131F"/>
    <w:rsid w:val="001629FA"/>
    <w:rsid w:val="00163752"/>
    <w:rsid w:val="00165CAB"/>
    <w:rsid w:val="00166312"/>
    <w:rsid w:val="00167BB8"/>
    <w:rsid w:val="00167C2B"/>
    <w:rsid w:val="001702AB"/>
    <w:rsid w:val="00172360"/>
    <w:rsid w:val="001726BE"/>
    <w:rsid w:val="001729B1"/>
    <w:rsid w:val="00172E3A"/>
    <w:rsid w:val="00173F81"/>
    <w:rsid w:val="001741FF"/>
    <w:rsid w:val="00174C2A"/>
    <w:rsid w:val="00175FB9"/>
    <w:rsid w:val="00177A0A"/>
    <w:rsid w:val="00180C69"/>
    <w:rsid w:val="00180F76"/>
    <w:rsid w:val="001828A7"/>
    <w:rsid w:val="00183EAB"/>
    <w:rsid w:val="00185CC1"/>
    <w:rsid w:val="001863EF"/>
    <w:rsid w:val="00187BEB"/>
    <w:rsid w:val="00190F28"/>
    <w:rsid w:val="001931E8"/>
    <w:rsid w:val="00193AC8"/>
    <w:rsid w:val="00194232"/>
    <w:rsid w:val="00194587"/>
    <w:rsid w:val="00194F68"/>
    <w:rsid w:val="00195887"/>
    <w:rsid w:val="001A1422"/>
    <w:rsid w:val="001A14C1"/>
    <w:rsid w:val="001A3A91"/>
    <w:rsid w:val="001A3A9A"/>
    <w:rsid w:val="001A3F52"/>
    <w:rsid w:val="001A4093"/>
    <w:rsid w:val="001A79C1"/>
    <w:rsid w:val="001A7A15"/>
    <w:rsid w:val="001B19A0"/>
    <w:rsid w:val="001B1CA3"/>
    <w:rsid w:val="001B447F"/>
    <w:rsid w:val="001B580E"/>
    <w:rsid w:val="001B7933"/>
    <w:rsid w:val="001C346E"/>
    <w:rsid w:val="001C3717"/>
    <w:rsid w:val="001C4ADE"/>
    <w:rsid w:val="001C5CC5"/>
    <w:rsid w:val="001D2C27"/>
    <w:rsid w:val="001D33B6"/>
    <w:rsid w:val="001D3CAD"/>
    <w:rsid w:val="001D6E9A"/>
    <w:rsid w:val="001E20EC"/>
    <w:rsid w:val="001E4479"/>
    <w:rsid w:val="001E6A02"/>
    <w:rsid w:val="001E7173"/>
    <w:rsid w:val="001E74D0"/>
    <w:rsid w:val="001E7803"/>
    <w:rsid w:val="001F07CF"/>
    <w:rsid w:val="001F1D48"/>
    <w:rsid w:val="001F224F"/>
    <w:rsid w:val="001F68CE"/>
    <w:rsid w:val="001F6F39"/>
    <w:rsid w:val="001F6FE8"/>
    <w:rsid w:val="0020144E"/>
    <w:rsid w:val="002016C2"/>
    <w:rsid w:val="00205159"/>
    <w:rsid w:val="00205E18"/>
    <w:rsid w:val="00206773"/>
    <w:rsid w:val="002069F9"/>
    <w:rsid w:val="00212869"/>
    <w:rsid w:val="002210FB"/>
    <w:rsid w:val="00221308"/>
    <w:rsid w:val="002214A0"/>
    <w:rsid w:val="00222C97"/>
    <w:rsid w:val="00225761"/>
    <w:rsid w:val="002331E4"/>
    <w:rsid w:val="00233835"/>
    <w:rsid w:val="00241EE9"/>
    <w:rsid w:val="0024288C"/>
    <w:rsid w:val="00242D7E"/>
    <w:rsid w:val="00244500"/>
    <w:rsid w:val="00247D45"/>
    <w:rsid w:val="00252551"/>
    <w:rsid w:val="00252D68"/>
    <w:rsid w:val="00255EF1"/>
    <w:rsid w:val="00261ABA"/>
    <w:rsid w:val="00262E18"/>
    <w:rsid w:val="0026571E"/>
    <w:rsid w:val="00273D0B"/>
    <w:rsid w:val="00281874"/>
    <w:rsid w:val="00281AEC"/>
    <w:rsid w:val="0028286E"/>
    <w:rsid w:val="00282C25"/>
    <w:rsid w:val="00284884"/>
    <w:rsid w:val="00285003"/>
    <w:rsid w:val="002869F5"/>
    <w:rsid w:val="00287DCC"/>
    <w:rsid w:val="00291CF1"/>
    <w:rsid w:val="00292587"/>
    <w:rsid w:val="0029358C"/>
    <w:rsid w:val="002A143D"/>
    <w:rsid w:val="002A3DE9"/>
    <w:rsid w:val="002A493A"/>
    <w:rsid w:val="002A530A"/>
    <w:rsid w:val="002A5884"/>
    <w:rsid w:val="002A6981"/>
    <w:rsid w:val="002A7557"/>
    <w:rsid w:val="002B1C50"/>
    <w:rsid w:val="002B207C"/>
    <w:rsid w:val="002B7922"/>
    <w:rsid w:val="002B7E1B"/>
    <w:rsid w:val="002C0DE4"/>
    <w:rsid w:val="002C2529"/>
    <w:rsid w:val="002C2A03"/>
    <w:rsid w:val="002C315F"/>
    <w:rsid w:val="002C62B3"/>
    <w:rsid w:val="002C7620"/>
    <w:rsid w:val="002D067D"/>
    <w:rsid w:val="002D122C"/>
    <w:rsid w:val="002D7CF9"/>
    <w:rsid w:val="002E144A"/>
    <w:rsid w:val="002E16EF"/>
    <w:rsid w:val="002E1F86"/>
    <w:rsid w:val="002E2DE2"/>
    <w:rsid w:val="002E4B66"/>
    <w:rsid w:val="002F4D87"/>
    <w:rsid w:val="002F576E"/>
    <w:rsid w:val="002F5B29"/>
    <w:rsid w:val="002F5B54"/>
    <w:rsid w:val="002F5C6C"/>
    <w:rsid w:val="002F7279"/>
    <w:rsid w:val="002F7E40"/>
    <w:rsid w:val="002F7ECF"/>
    <w:rsid w:val="003012DA"/>
    <w:rsid w:val="00301669"/>
    <w:rsid w:val="00307C5C"/>
    <w:rsid w:val="00312CFE"/>
    <w:rsid w:val="00313480"/>
    <w:rsid w:val="00313C98"/>
    <w:rsid w:val="00313FD9"/>
    <w:rsid w:val="003155BD"/>
    <w:rsid w:val="003177B9"/>
    <w:rsid w:val="00320D08"/>
    <w:rsid w:val="00321249"/>
    <w:rsid w:val="00321E0A"/>
    <w:rsid w:val="00326C73"/>
    <w:rsid w:val="00330B13"/>
    <w:rsid w:val="00333506"/>
    <w:rsid w:val="00334556"/>
    <w:rsid w:val="00340987"/>
    <w:rsid w:val="003410AA"/>
    <w:rsid w:val="00342513"/>
    <w:rsid w:val="0034465F"/>
    <w:rsid w:val="00344B3F"/>
    <w:rsid w:val="00345648"/>
    <w:rsid w:val="00346EA2"/>
    <w:rsid w:val="00350BE1"/>
    <w:rsid w:val="00352A6B"/>
    <w:rsid w:val="00352EC1"/>
    <w:rsid w:val="003572BC"/>
    <w:rsid w:val="0036009E"/>
    <w:rsid w:val="00360951"/>
    <w:rsid w:val="00361054"/>
    <w:rsid w:val="0036119D"/>
    <w:rsid w:val="003637A0"/>
    <w:rsid w:val="0036474E"/>
    <w:rsid w:val="00364CF3"/>
    <w:rsid w:val="00365CAA"/>
    <w:rsid w:val="00367EAB"/>
    <w:rsid w:val="00372573"/>
    <w:rsid w:val="003742A1"/>
    <w:rsid w:val="00377AB2"/>
    <w:rsid w:val="00380267"/>
    <w:rsid w:val="00386B54"/>
    <w:rsid w:val="003877C3"/>
    <w:rsid w:val="0039283B"/>
    <w:rsid w:val="00396EA4"/>
    <w:rsid w:val="003A0BB1"/>
    <w:rsid w:val="003A2157"/>
    <w:rsid w:val="003A3363"/>
    <w:rsid w:val="003A3905"/>
    <w:rsid w:val="003A3CC1"/>
    <w:rsid w:val="003A3D2F"/>
    <w:rsid w:val="003A400D"/>
    <w:rsid w:val="003A6635"/>
    <w:rsid w:val="003A6B0E"/>
    <w:rsid w:val="003A78C6"/>
    <w:rsid w:val="003B0082"/>
    <w:rsid w:val="003B340C"/>
    <w:rsid w:val="003B4C7B"/>
    <w:rsid w:val="003B5562"/>
    <w:rsid w:val="003B5E5A"/>
    <w:rsid w:val="003B6363"/>
    <w:rsid w:val="003B737F"/>
    <w:rsid w:val="003C0CF7"/>
    <w:rsid w:val="003C2E5D"/>
    <w:rsid w:val="003C59E0"/>
    <w:rsid w:val="003C6F2A"/>
    <w:rsid w:val="003D1145"/>
    <w:rsid w:val="003D2F9C"/>
    <w:rsid w:val="003D743C"/>
    <w:rsid w:val="003E33BA"/>
    <w:rsid w:val="003E5CBA"/>
    <w:rsid w:val="003E6BA0"/>
    <w:rsid w:val="003E73DB"/>
    <w:rsid w:val="003F0ADC"/>
    <w:rsid w:val="003F59E6"/>
    <w:rsid w:val="003F5B65"/>
    <w:rsid w:val="003F5BE6"/>
    <w:rsid w:val="003F63F3"/>
    <w:rsid w:val="003F6C00"/>
    <w:rsid w:val="00400D96"/>
    <w:rsid w:val="00402656"/>
    <w:rsid w:val="00407446"/>
    <w:rsid w:val="004101CD"/>
    <w:rsid w:val="004120B1"/>
    <w:rsid w:val="00413E74"/>
    <w:rsid w:val="0041421D"/>
    <w:rsid w:val="0041490D"/>
    <w:rsid w:val="00414A5C"/>
    <w:rsid w:val="004156B4"/>
    <w:rsid w:val="0041697F"/>
    <w:rsid w:val="00420235"/>
    <w:rsid w:val="004223AA"/>
    <w:rsid w:val="00423104"/>
    <w:rsid w:val="004241DF"/>
    <w:rsid w:val="004267D3"/>
    <w:rsid w:val="00427729"/>
    <w:rsid w:val="00427E2A"/>
    <w:rsid w:val="00433E65"/>
    <w:rsid w:val="00435A0C"/>
    <w:rsid w:val="004362C1"/>
    <w:rsid w:val="004374B2"/>
    <w:rsid w:val="00442AB8"/>
    <w:rsid w:val="00442F42"/>
    <w:rsid w:val="004436EA"/>
    <w:rsid w:val="0044456C"/>
    <w:rsid w:val="00447556"/>
    <w:rsid w:val="00450B39"/>
    <w:rsid w:val="00453BC6"/>
    <w:rsid w:val="00454498"/>
    <w:rsid w:val="00456C59"/>
    <w:rsid w:val="00457AE7"/>
    <w:rsid w:val="00460DBB"/>
    <w:rsid w:val="00466A77"/>
    <w:rsid w:val="00471AAC"/>
    <w:rsid w:val="004774B9"/>
    <w:rsid w:val="004778BB"/>
    <w:rsid w:val="00477931"/>
    <w:rsid w:val="00480F0E"/>
    <w:rsid w:val="00490198"/>
    <w:rsid w:val="00490E28"/>
    <w:rsid w:val="00494C3C"/>
    <w:rsid w:val="00497362"/>
    <w:rsid w:val="00497C77"/>
    <w:rsid w:val="004A0012"/>
    <w:rsid w:val="004A0AE7"/>
    <w:rsid w:val="004A4562"/>
    <w:rsid w:val="004A523F"/>
    <w:rsid w:val="004A6062"/>
    <w:rsid w:val="004A6399"/>
    <w:rsid w:val="004A673A"/>
    <w:rsid w:val="004A740B"/>
    <w:rsid w:val="004A770F"/>
    <w:rsid w:val="004B0813"/>
    <w:rsid w:val="004B136A"/>
    <w:rsid w:val="004B1F38"/>
    <w:rsid w:val="004B21C5"/>
    <w:rsid w:val="004B2972"/>
    <w:rsid w:val="004B2EF6"/>
    <w:rsid w:val="004B34A6"/>
    <w:rsid w:val="004B533A"/>
    <w:rsid w:val="004B5612"/>
    <w:rsid w:val="004B5AA7"/>
    <w:rsid w:val="004B5D19"/>
    <w:rsid w:val="004B6083"/>
    <w:rsid w:val="004B6927"/>
    <w:rsid w:val="004B7E5C"/>
    <w:rsid w:val="004C0DDD"/>
    <w:rsid w:val="004C1D63"/>
    <w:rsid w:val="004C2223"/>
    <w:rsid w:val="004C304F"/>
    <w:rsid w:val="004C3CC4"/>
    <w:rsid w:val="004C4D5E"/>
    <w:rsid w:val="004D11ED"/>
    <w:rsid w:val="004D2B20"/>
    <w:rsid w:val="004D310E"/>
    <w:rsid w:val="004D37D8"/>
    <w:rsid w:val="004D3CA1"/>
    <w:rsid w:val="004D4B81"/>
    <w:rsid w:val="004D5231"/>
    <w:rsid w:val="004E228C"/>
    <w:rsid w:val="004E735D"/>
    <w:rsid w:val="004F4EC7"/>
    <w:rsid w:val="004F5DCD"/>
    <w:rsid w:val="004F6B2B"/>
    <w:rsid w:val="005005DF"/>
    <w:rsid w:val="00505045"/>
    <w:rsid w:val="00510B96"/>
    <w:rsid w:val="00511501"/>
    <w:rsid w:val="00511B5B"/>
    <w:rsid w:val="005136A3"/>
    <w:rsid w:val="005143EC"/>
    <w:rsid w:val="00515AF2"/>
    <w:rsid w:val="0051640E"/>
    <w:rsid w:val="00516573"/>
    <w:rsid w:val="00516741"/>
    <w:rsid w:val="0051684E"/>
    <w:rsid w:val="00517A0A"/>
    <w:rsid w:val="005201BF"/>
    <w:rsid w:val="00527ABC"/>
    <w:rsid w:val="005320D4"/>
    <w:rsid w:val="005368CB"/>
    <w:rsid w:val="0054193D"/>
    <w:rsid w:val="00542A8C"/>
    <w:rsid w:val="00542D59"/>
    <w:rsid w:val="00543524"/>
    <w:rsid w:val="00543637"/>
    <w:rsid w:val="00545DF7"/>
    <w:rsid w:val="005468DC"/>
    <w:rsid w:val="00546CA2"/>
    <w:rsid w:val="00552F98"/>
    <w:rsid w:val="005539F5"/>
    <w:rsid w:val="00553B11"/>
    <w:rsid w:val="0055415C"/>
    <w:rsid w:val="00554AAC"/>
    <w:rsid w:val="0055503F"/>
    <w:rsid w:val="00557046"/>
    <w:rsid w:val="005572D7"/>
    <w:rsid w:val="00560D68"/>
    <w:rsid w:val="005618CA"/>
    <w:rsid w:val="00563797"/>
    <w:rsid w:val="005651B5"/>
    <w:rsid w:val="00566234"/>
    <w:rsid w:val="00570BEB"/>
    <w:rsid w:val="00571092"/>
    <w:rsid w:val="0057262B"/>
    <w:rsid w:val="005815B3"/>
    <w:rsid w:val="00582A03"/>
    <w:rsid w:val="0058735F"/>
    <w:rsid w:val="00587E37"/>
    <w:rsid w:val="005926E7"/>
    <w:rsid w:val="00593821"/>
    <w:rsid w:val="00596E88"/>
    <w:rsid w:val="0059795A"/>
    <w:rsid w:val="00597CBD"/>
    <w:rsid w:val="005A0969"/>
    <w:rsid w:val="005A5E7A"/>
    <w:rsid w:val="005B0DEF"/>
    <w:rsid w:val="005B2A03"/>
    <w:rsid w:val="005B4C1B"/>
    <w:rsid w:val="005C1C5A"/>
    <w:rsid w:val="005C22DA"/>
    <w:rsid w:val="005C2684"/>
    <w:rsid w:val="005C2DDC"/>
    <w:rsid w:val="005C4890"/>
    <w:rsid w:val="005C4AC9"/>
    <w:rsid w:val="005C5620"/>
    <w:rsid w:val="005C578C"/>
    <w:rsid w:val="005C70A9"/>
    <w:rsid w:val="005D03DD"/>
    <w:rsid w:val="005D118A"/>
    <w:rsid w:val="005D1F0F"/>
    <w:rsid w:val="005D29DB"/>
    <w:rsid w:val="005D41F9"/>
    <w:rsid w:val="005D634C"/>
    <w:rsid w:val="005E0C7B"/>
    <w:rsid w:val="005E4143"/>
    <w:rsid w:val="005E724B"/>
    <w:rsid w:val="005F0F9B"/>
    <w:rsid w:val="00601F7C"/>
    <w:rsid w:val="0060297A"/>
    <w:rsid w:val="00602A48"/>
    <w:rsid w:val="00602EF7"/>
    <w:rsid w:val="006043CA"/>
    <w:rsid w:val="00605DF1"/>
    <w:rsid w:val="00606F11"/>
    <w:rsid w:val="00607B03"/>
    <w:rsid w:val="0061059D"/>
    <w:rsid w:val="0061326F"/>
    <w:rsid w:val="00614393"/>
    <w:rsid w:val="006146F2"/>
    <w:rsid w:val="00614C00"/>
    <w:rsid w:val="006161DF"/>
    <w:rsid w:val="006204DE"/>
    <w:rsid w:val="00623567"/>
    <w:rsid w:val="00626FE6"/>
    <w:rsid w:val="00630A6E"/>
    <w:rsid w:val="00633256"/>
    <w:rsid w:val="006412B5"/>
    <w:rsid w:val="00641932"/>
    <w:rsid w:val="00644083"/>
    <w:rsid w:val="0064429B"/>
    <w:rsid w:val="0064477C"/>
    <w:rsid w:val="00650903"/>
    <w:rsid w:val="00663259"/>
    <w:rsid w:val="006650A8"/>
    <w:rsid w:val="0066543C"/>
    <w:rsid w:val="006679C0"/>
    <w:rsid w:val="00671640"/>
    <w:rsid w:val="00672CE4"/>
    <w:rsid w:val="00680ED5"/>
    <w:rsid w:val="00681956"/>
    <w:rsid w:val="00682FBA"/>
    <w:rsid w:val="00683370"/>
    <w:rsid w:val="00684EC1"/>
    <w:rsid w:val="0068572D"/>
    <w:rsid w:val="006903F9"/>
    <w:rsid w:val="00692010"/>
    <w:rsid w:val="006923C8"/>
    <w:rsid w:val="00693BE8"/>
    <w:rsid w:val="006966DD"/>
    <w:rsid w:val="00696AB4"/>
    <w:rsid w:val="00697494"/>
    <w:rsid w:val="006976BF"/>
    <w:rsid w:val="006978B2"/>
    <w:rsid w:val="006A05D7"/>
    <w:rsid w:val="006A0BAA"/>
    <w:rsid w:val="006A4628"/>
    <w:rsid w:val="006A4710"/>
    <w:rsid w:val="006A5043"/>
    <w:rsid w:val="006B1F08"/>
    <w:rsid w:val="006B37DB"/>
    <w:rsid w:val="006B3F39"/>
    <w:rsid w:val="006B4213"/>
    <w:rsid w:val="006B43AF"/>
    <w:rsid w:val="006B4DF0"/>
    <w:rsid w:val="006B5497"/>
    <w:rsid w:val="006C1013"/>
    <w:rsid w:val="006C163A"/>
    <w:rsid w:val="006C1BA5"/>
    <w:rsid w:val="006C228B"/>
    <w:rsid w:val="006C2931"/>
    <w:rsid w:val="006C3DC8"/>
    <w:rsid w:val="006C53EA"/>
    <w:rsid w:val="006C7D69"/>
    <w:rsid w:val="006D2093"/>
    <w:rsid w:val="006D466E"/>
    <w:rsid w:val="006D4B70"/>
    <w:rsid w:val="006D4C35"/>
    <w:rsid w:val="006D7A92"/>
    <w:rsid w:val="006E0B89"/>
    <w:rsid w:val="006E3B48"/>
    <w:rsid w:val="006E6184"/>
    <w:rsid w:val="006E631B"/>
    <w:rsid w:val="006F05D6"/>
    <w:rsid w:val="006F096A"/>
    <w:rsid w:val="006F22E3"/>
    <w:rsid w:val="006F3095"/>
    <w:rsid w:val="006F5455"/>
    <w:rsid w:val="006F5CB6"/>
    <w:rsid w:val="006F79D3"/>
    <w:rsid w:val="00701118"/>
    <w:rsid w:val="00702004"/>
    <w:rsid w:val="00703194"/>
    <w:rsid w:val="00704FA1"/>
    <w:rsid w:val="00706E50"/>
    <w:rsid w:val="0070737C"/>
    <w:rsid w:val="00707DD1"/>
    <w:rsid w:val="00711229"/>
    <w:rsid w:val="00715018"/>
    <w:rsid w:val="007179FE"/>
    <w:rsid w:val="00717F25"/>
    <w:rsid w:val="007201B1"/>
    <w:rsid w:val="007201D7"/>
    <w:rsid w:val="007207FB"/>
    <w:rsid w:val="00724D93"/>
    <w:rsid w:val="00724E14"/>
    <w:rsid w:val="00725AD5"/>
    <w:rsid w:val="00726A7B"/>
    <w:rsid w:val="00726DB5"/>
    <w:rsid w:val="00726EB4"/>
    <w:rsid w:val="00731945"/>
    <w:rsid w:val="00735B25"/>
    <w:rsid w:val="007363DE"/>
    <w:rsid w:val="0073698D"/>
    <w:rsid w:val="00736C0B"/>
    <w:rsid w:val="00744CEE"/>
    <w:rsid w:val="00744D93"/>
    <w:rsid w:val="00746531"/>
    <w:rsid w:val="00747E52"/>
    <w:rsid w:val="00750F59"/>
    <w:rsid w:val="00751725"/>
    <w:rsid w:val="00752028"/>
    <w:rsid w:val="00752870"/>
    <w:rsid w:val="0075450A"/>
    <w:rsid w:val="00755EDD"/>
    <w:rsid w:val="0075717D"/>
    <w:rsid w:val="0076017E"/>
    <w:rsid w:val="00760DB6"/>
    <w:rsid w:val="0076361C"/>
    <w:rsid w:val="007661AE"/>
    <w:rsid w:val="00766A51"/>
    <w:rsid w:val="00770132"/>
    <w:rsid w:val="00771FFF"/>
    <w:rsid w:val="00772818"/>
    <w:rsid w:val="0077665A"/>
    <w:rsid w:val="0077685D"/>
    <w:rsid w:val="0077788E"/>
    <w:rsid w:val="00784439"/>
    <w:rsid w:val="007871AF"/>
    <w:rsid w:val="00787E75"/>
    <w:rsid w:val="00791C73"/>
    <w:rsid w:val="0079458E"/>
    <w:rsid w:val="0079618F"/>
    <w:rsid w:val="00796EAA"/>
    <w:rsid w:val="00797257"/>
    <w:rsid w:val="007978D5"/>
    <w:rsid w:val="00797DF3"/>
    <w:rsid w:val="007A0699"/>
    <w:rsid w:val="007A3157"/>
    <w:rsid w:val="007A6E20"/>
    <w:rsid w:val="007B10ED"/>
    <w:rsid w:val="007B2B2E"/>
    <w:rsid w:val="007B3BFC"/>
    <w:rsid w:val="007B4B03"/>
    <w:rsid w:val="007C4F31"/>
    <w:rsid w:val="007D1208"/>
    <w:rsid w:val="007D37F0"/>
    <w:rsid w:val="007D5374"/>
    <w:rsid w:val="007D5776"/>
    <w:rsid w:val="007E3872"/>
    <w:rsid w:val="007E503B"/>
    <w:rsid w:val="007E5257"/>
    <w:rsid w:val="007E5391"/>
    <w:rsid w:val="007E6BA0"/>
    <w:rsid w:val="007F1768"/>
    <w:rsid w:val="007F2E2E"/>
    <w:rsid w:val="007F4EF5"/>
    <w:rsid w:val="007F53E7"/>
    <w:rsid w:val="007F6015"/>
    <w:rsid w:val="00802B92"/>
    <w:rsid w:val="008040DD"/>
    <w:rsid w:val="00804105"/>
    <w:rsid w:val="008051E0"/>
    <w:rsid w:val="00805CF0"/>
    <w:rsid w:val="00806D94"/>
    <w:rsid w:val="00807AD8"/>
    <w:rsid w:val="008113D0"/>
    <w:rsid w:val="00811800"/>
    <w:rsid w:val="00812E1C"/>
    <w:rsid w:val="00813CFF"/>
    <w:rsid w:val="00813E1D"/>
    <w:rsid w:val="008140C5"/>
    <w:rsid w:val="00814590"/>
    <w:rsid w:val="00814667"/>
    <w:rsid w:val="008148E2"/>
    <w:rsid w:val="008149E4"/>
    <w:rsid w:val="008156B7"/>
    <w:rsid w:val="00816D6A"/>
    <w:rsid w:val="00817D90"/>
    <w:rsid w:val="0082032C"/>
    <w:rsid w:val="00822355"/>
    <w:rsid w:val="00822FAC"/>
    <w:rsid w:val="0082332D"/>
    <w:rsid w:val="0082402C"/>
    <w:rsid w:val="00825FF5"/>
    <w:rsid w:val="008262F1"/>
    <w:rsid w:val="00827A51"/>
    <w:rsid w:val="008300A3"/>
    <w:rsid w:val="008311FA"/>
    <w:rsid w:val="008317EF"/>
    <w:rsid w:val="00845BCC"/>
    <w:rsid w:val="00846233"/>
    <w:rsid w:val="0084644F"/>
    <w:rsid w:val="00851465"/>
    <w:rsid w:val="008514B8"/>
    <w:rsid w:val="00852ED8"/>
    <w:rsid w:val="00853229"/>
    <w:rsid w:val="0085330A"/>
    <w:rsid w:val="008540FE"/>
    <w:rsid w:val="008550CA"/>
    <w:rsid w:val="0085533A"/>
    <w:rsid w:val="00855543"/>
    <w:rsid w:val="0085738D"/>
    <w:rsid w:val="00862395"/>
    <w:rsid w:val="00864B3D"/>
    <w:rsid w:val="00864DD3"/>
    <w:rsid w:val="008708D6"/>
    <w:rsid w:val="00871307"/>
    <w:rsid w:val="00872142"/>
    <w:rsid w:val="00873EFE"/>
    <w:rsid w:val="00874608"/>
    <w:rsid w:val="008760D0"/>
    <w:rsid w:val="00876181"/>
    <w:rsid w:val="00880DEC"/>
    <w:rsid w:val="00881317"/>
    <w:rsid w:val="00882B92"/>
    <w:rsid w:val="00882C1C"/>
    <w:rsid w:val="00883FEE"/>
    <w:rsid w:val="008843EE"/>
    <w:rsid w:val="00892AC0"/>
    <w:rsid w:val="00892CA4"/>
    <w:rsid w:val="00896477"/>
    <w:rsid w:val="00896BD6"/>
    <w:rsid w:val="00896F5A"/>
    <w:rsid w:val="008A13BE"/>
    <w:rsid w:val="008A2A07"/>
    <w:rsid w:val="008A3956"/>
    <w:rsid w:val="008A3C37"/>
    <w:rsid w:val="008A56A5"/>
    <w:rsid w:val="008B1840"/>
    <w:rsid w:val="008B1F73"/>
    <w:rsid w:val="008B34A9"/>
    <w:rsid w:val="008B3D02"/>
    <w:rsid w:val="008B70D3"/>
    <w:rsid w:val="008B73A2"/>
    <w:rsid w:val="008B7FE2"/>
    <w:rsid w:val="008C0BBA"/>
    <w:rsid w:val="008C2450"/>
    <w:rsid w:val="008C7817"/>
    <w:rsid w:val="008C7F5B"/>
    <w:rsid w:val="008D079A"/>
    <w:rsid w:val="008D2F40"/>
    <w:rsid w:val="008D5B52"/>
    <w:rsid w:val="008E0AD6"/>
    <w:rsid w:val="008E3492"/>
    <w:rsid w:val="008E35C9"/>
    <w:rsid w:val="008E4209"/>
    <w:rsid w:val="008E48FC"/>
    <w:rsid w:val="008E55BD"/>
    <w:rsid w:val="008E67F5"/>
    <w:rsid w:val="008E73B6"/>
    <w:rsid w:val="008E7527"/>
    <w:rsid w:val="008E7D1B"/>
    <w:rsid w:val="008F0792"/>
    <w:rsid w:val="008F1834"/>
    <w:rsid w:val="008F2AD6"/>
    <w:rsid w:val="008F44F1"/>
    <w:rsid w:val="008F4BA8"/>
    <w:rsid w:val="008F5C07"/>
    <w:rsid w:val="008F6779"/>
    <w:rsid w:val="008F696D"/>
    <w:rsid w:val="008F7777"/>
    <w:rsid w:val="00901143"/>
    <w:rsid w:val="00901CF5"/>
    <w:rsid w:val="00901F53"/>
    <w:rsid w:val="00906431"/>
    <w:rsid w:val="0091004E"/>
    <w:rsid w:val="009115AF"/>
    <w:rsid w:val="0091256C"/>
    <w:rsid w:val="00913276"/>
    <w:rsid w:val="009163FF"/>
    <w:rsid w:val="009202A4"/>
    <w:rsid w:val="00921A69"/>
    <w:rsid w:val="009221DF"/>
    <w:rsid w:val="009224FD"/>
    <w:rsid w:val="009278CF"/>
    <w:rsid w:val="0093296C"/>
    <w:rsid w:val="00932CC7"/>
    <w:rsid w:val="00935CC7"/>
    <w:rsid w:val="00935EBE"/>
    <w:rsid w:val="0094002F"/>
    <w:rsid w:val="0094129D"/>
    <w:rsid w:val="00941BB7"/>
    <w:rsid w:val="00944760"/>
    <w:rsid w:val="009464BE"/>
    <w:rsid w:val="00946A91"/>
    <w:rsid w:val="00946AE5"/>
    <w:rsid w:val="00946AE7"/>
    <w:rsid w:val="00946BB6"/>
    <w:rsid w:val="009472B2"/>
    <w:rsid w:val="00950865"/>
    <w:rsid w:val="00951721"/>
    <w:rsid w:val="00951BAD"/>
    <w:rsid w:val="0095223D"/>
    <w:rsid w:val="009526E4"/>
    <w:rsid w:val="00953A4A"/>
    <w:rsid w:val="00953AA1"/>
    <w:rsid w:val="00954B44"/>
    <w:rsid w:val="009644B8"/>
    <w:rsid w:val="009644FC"/>
    <w:rsid w:val="0096732C"/>
    <w:rsid w:val="009703B6"/>
    <w:rsid w:val="00971A4C"/>
    <w:rsid w:val="00975EB5"/>
    <w:rsid w:val="00983979"/>
    <w:rsid w:val="00983DC2"/>
    <w:rsid w:val="00983DF0"/>
    <w:rsid w:val="009847C3"/>
    <w:rsid w:val="0099742A"/>
    <w:rsid w:val="009A0446"/>
    <w:rsid w:val="009A062C"/>
    <w:rsid w:val="009A14F4"/>
    <w:rsid w:val="009A165A"/>
    <w:rsid w:val="009A48AF"/>
    <w:rsid w:val="009A522D"/>
    <w:rsid w:val="009B0C68"/>
    <w:rsid w:val="009B3F77"/>
    <w:rsid w:val="009B5132"/>
    <w:rsid w:val="009C166A"/>
    <w:rsid w:val="009C2059"/>
    <w:rsid w:val="009C6FFB"/>
    <w:rsid w:val="009C7EF5"/>
    <w:rsid w:val="009D0C93"/>
    <w:rsid w:val="009D2FAC"/>
    <w:rsid w:val="009D464C"/>
    <w:rsid w:val="009E093C"/>
    <w:rsid w:val="009E1311"/>
    <w:rsid w:val="009E151E"/>
    <w:rsid w:val="009E1568"/>
    <w:rsid w:val="009E3ACF"/>
    <w:rsid w:val="009E5DB6"/>
    <w:rsid w:val="009F0F48"/>
    <w:rsid w:val="009F777E"/>
    <w:rsid w:val="009F7F52"/>
    <w:rsid w:val="00A0202C"/>
    <w:rsid w:val="00A0227E"/>
    <w:rsid w:val="00A05C1E"/>
    <w:rsid w:val="00A0603F"/>
    <w:rsid w:val="00A07B80"/>
    <w:rsid w:val="00A10B9C"/>
    <w:rsid w:val="00A112E6"/>
    <w:rsid w:val="00A14966"/>
    <w:rsid w:val="00A15CAB"/>
    <w:rsid w:val="00A16E8F"/>
    <w:rsid w:val="00A17BE8"/>
    <w:rsid w:val="00A17CCB"/>
    <w:rsid w:val="00A201DE"/>
    <w:rsid w:val="00A203DD"/>
    <w:rsid w:val="00A211A9"/>
    <w:rsid w:val="00A2422A"/>
    <w:rsid w:val="00A25265"/>
    <w:rsid w:val="00A26FC8"/>
    <w:rsid w:val="00A303A1"/>
    <w:rsid w:val="00A37150"/>
    <w:rsid w:val="00A42386"/>
    <w:rsid w:val="00A50751"/>
    <w:rsid w:val="00A50E60"/>
    <w:rsid w:val="00A50E72"/>
    <w:rsid w:val="00A547CC"/>
    <w:rsid w:val="00A549F6"/>
    <w:rsid w:val="00A54B81"/>
    <w:rsid w:val="00A54BE7"/>
    <w:rsid w:val="00A54F60"/>
    <w:rsid w:val="00A564EB"/>
    <w:rsid w:val="00A57100"/>
    <w:rsid w:val="00A62CA5"/>
    <w:rsid w:val="00A62ED5"/>
    <w:rsid w:val="00A62F72"/>
    <w:rsid w:val="00A62F7F"/>
    <w:rsid w:val="00A64DC0"/>
    <w:rsid w:val="00A6500A"/>
    <w:rsid w:val="00A65333"/>
    <w:rsid w:val="00A65654"/>
    <w:rsid w:val="00A6719E"/>
    <w:rsid w:val="00A739F1"/>
    <w:rsid w:val="00A7440A"/>
    <w:rsid w:val="00A758DE"/>
    <w:rsid w:val="00A8189A"/>
    <w:rsid w:val="00A81C2E"/>
    <w:rsid w:val="00A81EC4"/>
    <w:rsid w:val="00A83B8E"/>
    <w:rsid w:val="00A8478F"/>
    <w:rsid w:val="00A8511E"/>
    <w:rsid w:val="00A858C4"/>
    <w:rsid w:val="00A87DB8"/>
    <w:rsid w:val="00A90ABD"/>
    <w:rsid w:val="00A9141E"/>
    <w:rsid w:val="00A924C3"/>
    <w:rsid w:val="00A9341B"/>
    <w:rsid w:val="00A93E3C"/>
    <w:rsid w:val="00A961E2"/>
    <w:rsid w:val="00A974CA"/>
    <w:rsid w:val="00A97924"/>
    <w:rsid w:val="00A97E12"/>
    <w:rsid w:val="00AA2CD5"/>
    <w:rsid w:val="00AA4F6C"/>
    <w:rsid w:val="00AA774F"/>
    <w:rsid w:val="00AB16AE"/>
    <w:rsid w:val="00AB392A"/>
    <w:rsid w:val="00AB5801"/>
    <w:rsid w:val="00AB5A64"/>
    <w:rsid w:val="00AB71A5"/>
    <w:rsid w:val="00AB76C6"/>
    <w:rsid w:val="00AB79E9"/>
    <w:rsid w:val="00AC4B66"/>
    <w:rsid w:val="00AC5567"/>
    <w:rsid w:val="00AC722E"/>
    <w:rsid w:val="00AD04F4"/>
    <w:rsid w:val="00AD3203"/>
    <w:rsid w:val="00AD576C"/>
    <w:rsid w:val="00AD5AA7"/>
    <w:rsid w:val="00AD61EF"/>
    <w:rsid w:val="00AD670F"/>
    <w:rsid w:val="00AD6C71"/>
    <w:rsid w:val="00AD7184"/>
    <w:rsid w:val="00AE1E4B"/>
    <w:rsid w:val="00AE1E54"/>
    <w:rsid w:val="00AE287A"/>
    <w:rsid w:val="00AE2AFD"/>
    <w:rsid w:val="00AE4372"/>
    <w:rsid w:val="00AE478A"/>
    <w:rsid w:val="00AE6C8F"/>
    <w:rsid w:val="00AF0C8D"/>
    <w:rsid w:val="00AF62DB"/>
    <w:rsid w:val="00B00778"/>
    <w:rsid w:val="00B02DF2"/>
    <w:rsid w:val="00B04E8C"/>
    <w:rsid w:val="00B050C0"/>
    <w:rsid w:val="00B05642"/>
    <w:rsid w:val="00B05D93"/>
    <w:rsid w:val="00B06097"/>
    <w:rsid w:val="00B10045"/>
    <w:rsid w:val="00B100DF"/>
    <w:rsid w:val="00B10C1B"/>
    <w:rsid w:val="00B10CAE"/>
    <w:rsid w:val="00B12190"/>
    <w:rsid w:val="00B1294B"/>
    <w:rsid w:val="00B130C5"/>
    <w:rsid w:val="00B137C3"/>
    <w:rsid w:val="00B171BB"/>
    <w:rsid w:val="00B205D6"/>
    <w:rsid w:val="00B2247A"/>
    <w:rsid w:val="00B263F0"/>
    <w:rsid w:val="00B35F68"/>
    <w:rsid w:val="00B36551"/>
    <w:rsid w:val="00B36E9E"/>
    <w:rsid w:val="00B40E38"/>
    <w:rsid w:val="00B428D6"/>
    <w:rsid w:val="00B44065"/>
    <w:rsid w:val="00B45C9E"/>
    <w:rsid w:val="00B50C9F"/>
    <w:rsid w:val="00B51ACE"/>
    <w:rsid w:val="00B576AE"/>
    <w:rsid w:val="00B60B23"/>
    <w:rsid w:val="00B619AA"/>
    <w:rsid w:val="00B623D7"/>
    <w:rsid w:val="00B62A75"/>
    <w:rsid w:val="00B63C91"/>
    <w:rsid w:val="00B66E7A"/>
    <w:rsid w:val="00B74921"/>
    <w:rsid w:val="00B750B9"/>
    <w:rsid w:val="00B770ED"/>
    <w:rsid w:val="00B80521"/>
    <w:rsid w:val="00B8096A"/>
    <w:rsid w:val="00B80F92"/>
    <w:rsid w:val="00B8158C"/>
    <w:rsid w:val="00B85F65"/>
    <w:rsid w:val="00B87175"/>
    <w:rsid w:val="00B87200"/>
    <w:rsid w:val="00B91564"/>
    <w:rsid w:val="00B9206A"/>
    <w:rsid w:val="00B9279E"/>
    <w:rsid w:val="00B92C89"/>
    <w:rsid w:val="00B95F2A"/>
    <w:rsid w:val="00BA1CFA"/>
    <w:rsid w:val="00BA4284"/>
    <w:rsid w:val="00BB239A"/>
    <w:rsid w:val="00BC1029"/>
    <w:rsid w:val="00BC2720"/>
    <w:rsid w:val="00BC4728"/>
    <w:rsid w:val="00BC4BF4"/>
    <w:rsid w:val="00BC5929"/>
    <w:rsid w:val="00BC5BE4"/>
    <w:rsid w:val="00BC60B3"/>
    <w:rsid w:val="00BD06E5"/>
    <w:rsid w:val="00BD1E05"/>
    <w:rsid w:val="00BD2253"/>
    <w:rsid w:val="00BD2E8C"/>
    <w:rsid w:val="00BD6A96"/>
    <w:rsid w:val="00BD6AFB"/>
    <w:rsid w:val="00BD7496"/>
    <w:rsid w:val="00BD7B25"/>
    <w:rsid w:val="00BE042D"/>
    <w:rsid w:val="00BE2E80"/>
    <w:rsid w:val="00BE4802"/>
    <w:rsid w:val="00BE5BF0"/>
    <w:rsid w:val="00BE5E34"/>
    <w:rsid w:val="00BE7212"/>
    <w:rsid w:val="00BF0507"/>
    <w:rsid w:val="00BF0D7C"/>
    <w:rsid w:val="00BF331F"/>
    <w:rsid w:val="00BF468A"/>
    <w:rsid w:val="00C053A4"/>
    <w:rsid w:val="00C05CC6"/>
    <w:rsid w:val="00C06122"/>
    <w:rsid w:val="00C068C7"/>
    <w:rsid w:val="00C073C2"/>
    <w:rsid w:val="00C1049E"/>
    <w:rsid w:val="00C13C12"/>
    <w:rsid w:val="00C160F4"/>
    <w:rsid w:val="00C20F99"/>
    <w:rsid w:val="00C2120D"/>
    <w:rsid w:val="00C215E7"/>
    <w:rsid w:val="00C21824"/>
    <w:rsid w:val="00C23317"/>
    <w:rsid w:val="00C233E9"/>
    <w:rsid w:val="00C2605C"/>
    <w:rsid w:val="00C26A10"/>
    <w:rsid w:val="00C26C5B"/>
    <w:rsid w:val="00C2711B"/>
    <w:rsid w:val="00C303B4"/>
    <w:rsid w:val="00C40EBC"/>
    <w:rsid w:val="00C41265"/>
    <w:rsid w:val="00C4202E"/>
    <w:rsid w:val="00C42ACA"/>
    <w:rsid w:val="00C47ED4"/>
    <w:rsid w:val="00C510DE"/>
    <w:rsid w:val="00C51308"/>
    <w:rsid w:val="00C51F78"/>
    <w:rsid w:val="00C5338C"/>
    <w:rsid w:val="00C539F8"/>
    <w:rsid w:val="00C53A47"/>
    <w:rsid w:val="00C57BB9"/>
    <w:rsid w:val="00C606F6"/>
    <w:rsid w:val="00C6082E"/>
    <w:rsid w:val="00C61699"/>
    <w:rsid w:val="00C62B02"/>
    <w:rsid w:val="00C64908"/>
    <w:rsid w:val="00C6554D"/>
    <w:rsid w:val="00C6666A"/>
    <w:rsid w:val="00C705B5"/>
    <w:rsid w:val="00C7093C"/>
    <w:rsid w:val="00C71AF6"/>
    <w:rsid w:val="00C71CD6"/>
    <w:rsid w:val="00C738BD"/>
    <w:rsid w:val="00C75031"/>
    <w:rsid w:val="00C75D40"/>
    <w:rsid w:val="00C7613E"/>
    <w:rsid w:val="00C83627"/>
    <w:rsid w:val="00C85E44"/>
    <w:rsid w:val="00C920AD"/>
    <w:rsid w:val="00C925A0"/>
    <w:rsid w:val="00C92F94"/>
    <w:rsid w:val="00C95D81"/>
    <w:rsid w:val="00C960AA"/>
    <w:rsid w:val="00CA121E"/>
    <w:rsid w:val="00CA4081"/>
    <w:rsid w:val="00CA501D"/>
    <w:rsid w:val="00CA55C4"/>
    <w:rsid w:val="00CA7435"/>
    <w:rsid w:val="00CA7F4E"/>
    <w:rsid w:val="00CB1789"/>
    <w:rsid w:val="00CB1CB2"/>
    <w:rsid w:val="00CB2557"/>
    <w:rsid w:val="00CB44C4"/>
    <w:rsid w:val="00CB47FE"/>
    <w:rsid w:val="00CB4D35"/>
    <w:rsid w:val="00CB6703"/>
    <w:rsid w:val="00CC1413"/>
    <w:rsid w:val="00CC39B1"/>
    <w:rsid w:val="00CC3D90"/>
    <w:rsid w:val="00CD0746"/>
    <w:rsid w:val="00CD11EB"/>
    <w:rsid w:val="00CD5112"/>
    <w:rsid w:val="00CD526B"/>
    <w:rsid w:val="00CD5A3A"/>
    <w:rsid w:val="00CD5B93"/>
    <w:rsid w:val="00CD7039"/>
    <w:rsid w:val="00CE224B"/>
    <w:rsid w:val="00CE2FC9"/>
    <w:rsid w:val="00CE3977"/>
    <w:rsid w:val="00CE3B32"/>
    <w:rsid w:val="00CE4A24"/>
    <w:rsid w:val="00CE613B"/>
    <w:rsid w:val="00CE7403"/>
    <w:rsid w:val="00CF03A8"/>
    <w:rsid w:val="00CF0826"/>
    <w:rsid w:val="00CF0D8A"/>
    <w:rsid w:val="00CF176A"/>
    <w:rsid w:val="00CF267F"/>
    <w:rsid w:val="00CF6087"/>
    <w:rsid w:val="00CF7DA0"/>
    <w:rsid w:val="00D0312C"/>
    <w:rsid w:val="00D04614"/>
    <w:rsid w:val="00D065C7"/>
    <w:rsid w:val="00D06CF2"/>
    <w:rsid w:val="00D12FF3"/>
    <w:rsid w:val="00D1400F"/>
    <w:rsid w:val="00D150B5"/>
    <w:rsid w:val="00D1723F"/>
    <w:rsid w:val="00D23A00"/>
    <w:rsid w:val="00D26B64"/>
    <w:rsid w:val="00D30797"/>
    <w:rsid w:val="00D30AA4"/>
    <w:rsid w:val="00D30CE5"/>
    <w:rsid w:val="00D31036"/>
    <w:rsid w:val="00D31E28"/>
    <w:rsid w:val="00D33370"/>
    <w:rsid w:val="00D361E0"/>
    <w:rsid w:val="00D3674A"/>
    <w:rsid w:val="00D40383"/>
    <w:rsid w:val="00D4085D"/>
    <w:rsid w:val="00D428F4"/>
    <w:rsid w:val="00D434F3"/>
    <w:rsid w:val="00D45E49"/>
    <w:rsid w:val="00D46E83"/>
    <w:rsid w:val="00D51386"/>
    <w:rsid w:val="00D51F0C"/>
    <w:rsid w:val="00D52085"/>
    <w:rsid w:val="00D52914"/>
    <w:rsid w:val="00D5485B"/>
    <w:rsid w:val="00D57192"/>
    <w:rsid w:val="00D57346"/>
    <w:rsid w:val="00D61410"/>
    <w:rsid w:val="00D61911"/>
    <w:rsid w:val="00D62258"/>
    <w:rsid w:val="00D625A7"/>
    <w:rsid w:val="00D639F7"/>
    <w:rsid w:val="00D677F9"/>
    <w:rsid w:val="00D702F1"/>
    <w:rsid w:val="00D729FA"/>
    <w:rsid w:val="00D7336A"/>
    <w:rsid w:val="00D73591"/>
    <w:rsid w:val="00D802FC"/>
    <w:rsid w:val="00D84430"/>
    <w:rsid w:val="00D8532B"/>
    <w:rsid w:val="00D85463"/>
    <w:rsid w:val="00D859EE"/>
    <w:rsid w:val="00D87FA4"/>
    <w:rsid w:val="00D94C69"/>
    <w:rsid w:val="00D973A5"/>
    <w:rsid w:val="00DA205D"/>
    <w:rsid w:val="00DA362A"/>
    <w:rsid w:val="00DA3A38"/>
    <w:rsid w:val="00DA5AB2"/>
    <w:rsid w:val="00DA7233"/>
    <w:rsid w:val="00DA79CF"/>
    <w:rsid w:val="00DB5B53"/>
    <w:rsid w:val="00DC33C1"/>
    <w:rsid w:val="00DC4D62"/>
    <w:rsid w:val="00DC50E5"/>
    <w:rsid w:val="00DC733C"/>
    <w:rsid w:val="00DC74E9"/>
    <w:rsid w:val="00DC76C7"/>
    <w:rsid w:val="00DD3D14"/>
    <w:rsid w:val="00DE0468"/>
    <w:rsid w:val="00DE1DA9"/>
    <w:rsid w:val="00DE2BF9"/>
    <w:rsid w:val="00DE311A"/>
    <w:rsid w:val="00DE36EB"/>
    <w:rsid w:val="00DE3E19"/>
    <w:rsid w:val="00DE4A6C"/>
    <w:rsid w:val="00DE5DF9"/>
    <w:rsid w:val="00DE64C1"/>
    <w:rsid w:val="00DE7AB2"/>
    <w:rsid w:val="00DF0638"/>
    <w:rsid w:val="00DF0EB6"/>
    <w:rsid w:val="00DF5BAB"/>
    <w:rsid w:val="00E0127A"/>
    <w:rsid w:val="00E04EC1"/>
    <w:rsid w:val="00E05125"/>
    <w:rsid w:val="00E06931"/>
    <w:rsid w:val="00E10555"/>
    <w:rsid w:val="00E11087"/>
    <w:rsid w:val="00E16E0A"/>
    <w:rsid w:val="00E2044E"/>
    <w:rsid w:val="00E204BB"/>
    <w:rsid w:val="00E220BC"/>
    <w:rsid w:val="00E31096"/>
    <w:rsid w:val="00E33938"/>
    <w:rsid w:val="00E33F03"/>
    <w:rsid w:val="00E345BE"/>
    <w:rsid w:val="00E3485B"/>
    <w:rsid w:val="00E354D8"/>
    <w:rsid w:val="00E36325"/>
    <w:rsid w:val="00E3658A"/>
    <w:rsid w:val="00E369CD"/>
    <w:rsid w:val="00E3706A"/>
    <w:rsid w:val="00E3738B"/>
    <w:rsid w:val="00E37446"/>
    <w:rsid w:val="00E37730"/>
    <w:rsid w:val="00E4099E"/>
    <w:rsid w:val="00E40F02"/>
    <w:rsid w:val="00E42B06"/>
    <w:rsid w:val="00E4459D"/>
    <w:rsid w:val="00E456AA"/>
    <w:rsid w:val="00E45EC0"/>
    <w:rsid w:val="00E50134"/>
    <w:rsid w:val="00E5201F"/>
    <w:rsid w:val="00E520AF"/>
    <w:rsid w:val="00E528B7"/>
    <w:rsid w:val="00E529D0"/>
    <w:rsid w:val="00E52FC8"/>
    <w:rsid w:val="00E579FF"/>
    <w:rsid w:val="00E6698B"/>
    <w:rsid w:val="00E66A3B"/>
    <w:rsid w:val="00E70DE7"/>
    <w:rsid w:val="00E7195E"/>
    <w:rsid w:val="00E71E48"/>
    <w:rsid w:val="00E72F4A"/>
    <w:rsid w:val="00E73BCE"/>
    <w:rsid w:val="00E7467D"/>
    <w:rsid w:val="00E74A8A"/>
    <w:rsid w:val="00E76ECF"/>
    <w:rsid w:val="00E82115"/>
    <w:rsid w:val="00E824C9"/>
    <w:rsid w:val="00E832FF"/>
    <w:rsid w:val="00E83448"/>
    <w:rsid w:val="00E838D3"/>
    <w:rsid w:val="00E83CC9"/>
    <w:rsid w:val="00E90BF8"/>
    <w:rsid w:val="00E92C8A"/>
    <w:rsid w:val="00E9346D"/>
    <w:rsid w:val="00E9437F"/>
    <w:rsid w:val="00E95CAF"/>
    <w:rsid w:val="00EA21BF"/>
    <w:rsid w:val="00EA594C"/>
    <w:rsid w:val="00EA7329"/>
    <w:rsid w:val="00EA7A1C"/>
    <w:rsid w:val="00EB5170"/>
    <w:rsid w:val="00EB552E"/>
    <w:rsid w:val="00EB6B21"/>
    <w:rsid w:val="00EB7B24"/>
    <w:rsid w:val="00EB7EDA"/>
    <w:rsid w:val="00EC3E78"/>
    <w:rsid w:val="00EC5206"/>
    <w:rsid w:val="00EC5D22"/>
    <w:rsid w:val="00ED0175"/>
    <w:rsid w:val="00ED0AC8"/>
    <w:rsid w:val="00ED2706"/>
    <w:rsid w:val="00ED2AC4"/>
    <w:rsid w:val="00ED32E8"/>
    <w:rsid w:val="00ED4036"/>
    <w:rsid w:val="00EE041B"/>
    <w:rsid w:val="00EE3B16"/>
    <w:rsid w:val="00EE57AC"/>
    <w:rsid w:val="00EE74C4"/>
    <w:rsid w:val="00EE7D29"/>
    <w:rsid w:val="00EF33DE"/>
    <w:rsid w:val="00EF6486"/>
    <w:rsid w:val="00EF72D4"/>
    <w:rsid w:val="00F11A23"/>
    <w:rsid w:val="00F11DDE"/>
    <w:rsid w:val="00F120E6"/>
    <w:rsid w:val="00F12ACD"/>
    <w:rsid w:val="00F15710"/>
    <w:rsid w:val="00F16589"/>
    <w:rsid w:val="00F2068C"/>
    <w:rsid w:val="00F20B07"/>
    <w:rsid w:val="00F21423"/>
    <w:rsid w:val="00F21D3F"/>
    <w:rsid w:val="00F234AB"/>
    <w:rsid w:val="00F24478"/>
    <w:rsid w:val="00F250B1"/>
    <w:rsid w:val="00F27A6C"/>
    <w:rsid w:val="00F306BD"/>
    <w:rsid w:val="00F31DE0"/>
    <w:rsid w:val="00F3245D"/>
    <w:rsid w:val="00F3438F"/>
    <w:rsid w:val="00F34E70"/>
    <w:rsid w:val="00F4377A"/>
    <w:rsid w:val="00F46237"/>
    <w:rsid w:val="00F47765"/>
    <w:rsid w:val="00F501C6"/>
    <w:rsid w:val="00F609D7"/>
    <w:rsid w:val="00F630DB"/>
    <w:rsid w:val="00F630EF"/>
    <w:rsid w:val="00F6403E"/>
    <w:rsid w:val="00F647CA"/>
    <w:rsid w:val="00F65A2F"/>
    <w:rsid w:val="00F71346"/>
    <w:rsid w:val="00F715F2"/>
    <w:rsid w:val="00F730C7"/>
    <w:rsid w:val="00F76C87"/>
    <w:rsid w:val="00F805A2"/>
    <w:rsid w:val="00F84020"/>
    <w:rsid w:val="00F8684A"/>
    <w:rsid w:val="00F916DA"/>
    <w:rsid w:val="00F936E6"/>
    <w:rsid w:val="00F94C3D"/>
    <w:rsid w:val="00F95981"/>
    <w:rsid w:val="00F95D26"/>
    <w:rsid w:val="00F979C5"/>
    <w:rsid w:val="00FA09B3"/>
    <w:rsid w:val="00FA0CBF"/>
    <w:rsid w:val="00FA0E45"/>
    <w:rsid w:val="00FA2EC0"/>
    <w:rsid w:val="00FA4E87"/>
    <w:rsid w:val="00FA64FD"/>
    <w:rsid w:val="00FB18DD"/>
    <w:rsid w:val="00FB4200"/>
    <w:rsid w:val="00FB5128"/>
    <w:rsid w:val="00FB5750"/>
    <w:rsid w:val="00FB6A2E"/>
    <w:rsid w:val="00FB736C"/>
    <w:rsid w:val="00FC055C"/>
    <w:rsid w:val="00FC57FE"/>
    <w:rsid w:val="00FC6313"/>
    <w:rsid w:val="00FD4437"/>
    <w:rsid w:val="00FD59AC"/>
    <w:rsid w:val="00FE2446"/>
    <w:rsid w:val="00FE26A5"/>
    <w:rsid w:val="00FE347C"/>
    <w:rsid w:val="00FE4A16"/>
    <w:rsid w:val="00FE6B31"/>
    <w:rsid w:val="00FF5029"/>
    <w:rsid w:val="00FF678A"/>
    <w:rsid w:val="00FF6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efaultImageDpi w14:val="96"/>
  <w15:docId w15:val="{312B1C80-8E15-4F42-8665-A8DA5700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D859EE"/>
    <w:rPr>
      <w:rFonts w:ascii="Corbel" w:hAnsi="Corbel"/>
      <w:color w:val="000000"/>
      <w:sz w:val="23"/>
    </w:rPr>
  </w:style>
  <w:style w:type="table" w:customStyle="1" w:styleId="TableGrid1">
    <w:name w:val="Table Grid1"/>
    <w:basedOn w:val="TableNormal"/>
    <w:next w:val="TableGrid"/>
    <w:uiPriority w:val="59"/>
    <w:rsid w:val="00BB239A"/>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2020FG-64-73896</_dlc_DocId>
    <_dlc_DocIdUrl xmlns="0f563589-9cf9-4143-b1eb-fb0534803d38">
      <Url>http://tweb/sites/fg/csrd/_layouts/15/DocIdRedir.aspx?ID=2020FG-64-73896</Url>
      <Description>2020FG-64-73896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73" ma:contentTypeDescription=" " ma:contentTypeScope="" ma:versionID="6523796210e4f710ed569f981a39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4273E686-C253-4D23-9013-C3FAE0D3E7C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43A295A-5D76-4235-B9C2-9293CC299BA7"/>
    <ds:schemaRef ds:uri="http://www.w3.org/XML/1998/namespace"/>
  </ds:schemaRefs>
</ds:datastoreItem>
</file>

<file path=customXml/itemProps3.xml><?xml version="1.0" encoding="utf-8"?>
<ds:datastoreItem xmlns:ds="http://schemas.openxmlformats.org/officeDocument/2006/customXml" ds:itemID="{99A2F7AE-C4B5-4D48-8798-BD5CEDE5894C}"/>
</file>

<file path=customXml/itemProps4.xml><?xml version="1.0" encoding="utf-8"?>
<ds:datastoreItem xmlns:ds="http://schemas.openxmlformats.org/officeDocument/2006/customXml" ds:itemID="{C87B1A36-D871-4DAB-A3D4-3E014C2FDD4F}">
  <ds:schemaRefs>
    <ds:schemaRef ds:uri="http://schemas.openxmlformats.org/officeDocument/2006/bibliography"/>
  </ds:schemaRefs>
</ds:datastoreItem>
</file>

<file path=customXml/itemProps5.xml><?xml version="1.0" encoding="utf-8"?>
<ds:datastoreItem xmlns:ds="http://schemas.openxmlformats.org/officeDocument/2006/customXml" ds:itemID="{ABDC0D55-D28C-4CD9-A9B2-B065792F0210}"/>
</file>

<file path=customXml/itemProps6.xml><?xml version="1.0" encoding="utf-8"?>
<ds:datastoreItem xmlns:ds="http://schemas.openxmlformats.org/officeDocument/2006/customXml" ds:itemID="{21423D7A-DA47-4FF3-BE20-C6CAB1A64941}"/>
</file>

<file path=customXml/itemProps7.xml><?xml version="1.0" encoding="utf-8"?>
<ds:datastoreItem xmlns:ds="http://schemas.openxmlformats.org/officeDocument/2006/customXml" ds:itemID="{F942F506-D6CB-4F76-A82D-BDAD2D449459}"/>
</file>

<file path=docProps/app.xml><?xml version="1.0" encoding="utf-8"?>
<Properties xmlns="http://schemas.openxmlformats.org/officeDocument/2006/extended-properties" xmlns:vt="http://schemas.openxmlformats.org/officeDocument/2006/docPropsVTypes">
  <Template>Normal</Template>
  <TotalTime>0</TotalTime>
  <Pages>13</Pages>
  <Words>3004</Words>
  <Characters>16558</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_</vt:lpstr>
    </vt:vector>
  </TitlesOfParts>
  <Company>Australian Government - The Treasury</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Le, Alan</dc:creator>
  <cp:lastModifiedBy>Allami, Monica</cp:lastModifiedBy>
  <cp:revision>2</cp:revision>
  <cp:lastPrinted>2019-04-04T23:22:00Z</cp:lastPrinted>
  <dcterms:created xsi:type="dcterms:W3CDTF">2019-05-20T04:33:00Z</dcterms:created>
  <dcterms:modified xsi:type="dcterms:W3CDTF">2019-05-20T04:33:00Z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f9673052-17c5-4113-8a86-bb7efd444636</vt:lpwstr>
  </property>
  <property fmtid="{D5CDD505-2E9C-101B-9397-08002B2CF9AE}" pid="6" name="_NewReviewCycle">
    <vt:lpwstr/>
  </property>
  <property fmtid="{D5CDD505-2E9C-101B-9397-08002B2CF9AE}" pid="7" name="RecordPoint_WorkflowType">
    <vt:lpwstr>ActiveSubmitStub</vt:lpwstr>
  </property>
  <property fmtid="{D5CDD505-2E9C-101B-9397-08002B2CF9AE}" pid="8" name="RecordPoint_ActiveItemSiteId">
    <vt:lpwstr>{a3a280d1-e8f1-4ce7-94f0-aaa2322da0dd}</vt:lpwstr>
  </property>
  <property fmtid="{D5CDD505-2E9C-101B-9397-08002B2CF9AE}" pid="9" name="RecordPoint_ActiveItemListId">
    <vt:lpwstr>{4435c73b-6585-4bc2-a76a-5d21b1a02e06}</vt:lpwstr>
  </property>
  <property fmtid="{D5CDD505-2E9C-101B-9397-08002B2CF9AE}" pid="10" name="RecordPoint_ActiveItemUniqueId">
    <vt:lpwstr>{f9673052-17c5-4113-8a86-bb7efd444636}</vt:lpwstr>
  </property>
  <property fmtid="{D5CDD505-2E9C-101B-9397-08002B2CF9AE}" pid="11" name="RecordPoint_ActiveItemWebId">
    <vt:lpwstr>{a4589788-615f-4b8b-8296-7f9f6dfbab44}</vt:lpwstr>
  </property>
  <property fmtid="{D5CDD505-2E9C-101B-9397-08002B2CF9AE}" pid="12" name="RecordPoint_SubmissionDate">
    <vt:lpwstr/>
  </property>
  <property fmtid="{D5CDD505-2E9C-101B-9397-08002B2CF9AE}" pid="13" name="RecordPoint_RecordNumberSubmitted">
    <vt:lpwstr>R0002260097</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2020-05-04T09:12:16.0322643+10:00</vt:lpwstr>
  </property>
</Properties>
</file>