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731DF374" w14:textId="77777777">
        <w:tc>
          <w:tcPr>
            <w:tcW w:w="5000" w:type="pct"/>
            <w:gridSpan w:val="2"/>
          </w:tcPr>
          <w:p w14:paraId="5BCA1895" w14:textId="77777777" w:rsidR="00814667" w:rsidRDefault="00BA4284" w:rsidP="00F508C8">
            <w:pPr>
              <w:pStyle w:val="CoverTitleMain"/>
            </w:pPr>
            <w:r>
              <w:t>Project AGreement</w:t>
            </w:r>
            <w:r w:rsidR="00292587">
              <w:t xml:space="preserve"> FOR </w:t>
            </w:r>
            <w:r w:rsidR="00F508C8">
              <w:t>hydrogen energy supply chain pilot project</w:t>
            </w:r>
          </w:p>
        </w:tc>
      </w:tr>
      <w:tr w:rsidR="00814667" w14:paraId="6E829DAE" w14:textId="77777777">
        <w:tc>
          <w:tcPr>
            <w:tcW w:w="767" w:type="pct"/>
          </w:tcPr>
          <w:p w14:paraId="5F11957C" w14:textId="77777777" w:rsidR="00814667" w:rsidRDefault="00814667">
            <w:pPr>
              <w:pStyle w:val="SingleParagraph"/>
              <w:tabs>
                <w:tab w:val="num" w:pos="1134"/>
              </w:tabs>
              <w:spacing w:after="240"/>
              <w:ind w:left="1134" w:hanging="567"/>
            </w:pPr>
          </w:p>
        </w:tc>
        <w:tc>
          <w:tcPr>
            <w:tcW w:w="4233" w:type="pct"/>
          </w:tcPr>
          <w:p w14:paraId="40A0A910" w14:textId="77777777" w:rsidR="00814667" w:rsidRDefault="00814667">
            <w:pPr>
              <w:pStyle w:val="SingleParagraph"/>
              <w:tabs>
                <w:tab w:val="num" w:pos="1134"/>
              </w:tabs>
              <w:spacing w:after="240"/>
              <w:ind w:left="1134" w:hanging="567"/>
            </w:pPr>
          </w:p>
        </w:tc>
      </w:tr>
      <w:tr w:rsidR="00814667" w14:paraId="664BA7E0" w14:textId="77777777">
        <w:tc>
          <w:tcPr>
            <w:tcW w:w="767" w:type="pct"/>
          </w:tcPr>
          <w:p w14:paraId="23E8185F" w14:textId="77777777" w:rsidR="00814667" w:rsidRDefault="00814667">
            <w:pPr>
              <w:pStyle w:val="SingleParagraph"/>
              <w:tabs>
                <w:tab w:val="num" w:pos="1134"/>
              </w:tabs>
              <w:spacing w:after="240"/>
              <w:ind w:left="1134" w:hanging="567"/>
            </w:pPr>
          </w:p>
        </w:tc>
        <w:tc>
          <w:tcPr>
            <w:tcW w:w="4233" w:type="pct"/>
          </w:tcPr>
          <w:p w14:paraId="19FBA73E" w14:textId="77777777" w:rsidR="00814667" w:rsidRPr="001E74D0" w:rsidRDefault="00814667">
            <w:pPr>
              <w:pStyle w:val="SingleParagraph"/>
              <w:tabs>
                <w:tab w:val="num" w:pos="1134"/>
              </w:tabs>
              <w:spacing w:after="240"/>
              <w:ind w:left="1134" w:hanging="567"/>
            </w:pPr>
          </w:p>
        </w:tc>
      </w:tr>
      <w:tr w:rsidR="00814667" w14:paraId="23E10984" w14:textId="77777777">
        <w:tc>
          <w:tcPr>
            <w:tcW w:w="5000" w:type="pct"/>
            <w:gridSpan w:val="2"/>
          </w:tcPr>
          <w:p w14:paraId="7F74189C" w14:textId="77777777" w:rsidR="00814667" w:rsidRDefault="00814667">
            <w:pPr>
              <w:pStyle w:val="AgreementHeading"/>
              <w:tabs>
                <w:tab w:val="clear" w:pos="1134"/>
              </w:tabs>
            </w:pPr>
            <w:r>
              <w:t>An agreement between</w:t>
            </w:r>
            <w:r w:rsidR="00697494">
              <w:t>:</w:t>
            </w:r>
          </w:p>
        </w:tc>
      </w:tr>
      <w:tr w:rsidR="00814667" w14:paraId="3FE7E756" w14:textId="77777777">
        <w:tc>
          <w:tcPr>
            <w:tcW w:w="767" w:type="pct"/>
          </w:tcPr>
          <w:p w14:paraId="0B36D5B6" w14:textId="77777777" w:rsidR="00814667" w:rsidRPr="001E74D0" w:rsidRDefault="00814667">
            <w:pPr>
              <w:pStyle w:val="AgreementHeading"/>
              <w:tabs>
                <w:tab w:val="clear" w:pos="1134"/>
              </w:tabs>
              <w:ind w:left="522"/>
            </w:pPr>
          </w:p>
        </w:tc>
        <w:tc>
          <w:tcPr>
            <w:tcW w:w="4233" w:type="pct"/>
          </w:tcPr>
          <w:p w14:paraId="51B168E7" w14:textId="79772CD9" w:rsidR="00814667" w:rsidRDefault="00814667">
            <w:pPr>
              <w:pStyle w:val="AgreementParties"/>
            </w:pPr>
            <w:r>
              <w:t xml:space="preserve">the </w:t>
            </w:r>
            <w:r>
              <w:rPr>
                <w:rStyle w:val="Bold"/>
              </w:rPr>
              <w:t>Commonwealth of Australia</w:t>
            </w:r>
            <w:r w:rsidR="00D66545">
              <w:rPr>
                <w:rStyle w:val="Bold"/>
              </w:rPr>
              <w:t>;</w:t>
            </w:r>
            <w:r>
              <w:t xml:space="preserve"> and</w:t>
            </w:r>
          </w:p>
          <w:p w14:paraId="1E125231" w14:textId="6A58A4E4" w:rsidR="00814667" w:rsidRPr="001E74D0" w:rsidRDefault="00EB58A2" w:rsidP="00D76E2D">
            <w:pPr>
              <w:pStyle w:val="AgreementParties"/>
            </w:pPr>
            <w:r w:rsidRPr="004931F2">
              <w:rPr>
                <w:b/>
              </w:rPr>
              <w:t>Victoria</w:t>
            </w:r>
            <w:r w:rsidR="008814DF">
              <w:rPr>
                <w:b/>
              </w:rPr>
              <w:t>.</w:t>
            </w:r>
          </w:p>
        </w:tc>
      </w:tr>
      <w:tr w:rsidR="00814667" w14:paraId="7E931C44" w14:textId="77777777">
        <w:tc>
          <w:tcPr>
            <w:tcW w:w="5000" w:type="pct"/>
            <w:gridSpan w:val="2"/>
          </w:tcPr>
          <w:p w14:paraId="3EA2974C" w14:textId="77777777" w:rsidR="00814667" w:rsidRDefault="00814667">
            <w:pPr>
              <w:pStyle w:val="SingleParagraph"/>
              <w:tabs>
                <w:tab w:val="num" w:pos="1134"/>
              </w:tabs>
              <w:spacing w:after="240"/>
              <w:ind w:left="1134" w:hanging="567"/>
            </w:pPr>
          </w:p>
        </w:tc>
      </w:tr>
      <w:tr w:rsidR="00814667" w14:paraId="4533BEAA" w14:textId="77777777">
        <w:tc>
          <w:tcPr>
            <w:tcW w:w="5000" w:type="pct"/>
            <w:gridSpan w:val="2"/>
          </w:tcPr>
          <w:p w14:paraId="6CB05EDA" w14:textId="185E7242" w:rsidR="00814667" w:rsidRDefault="00771FFF" w:rsidP="00804F2A">
            <w:pPr>
              <w:pStyle w:val="Abstract"/>
            </w:pPr>
            <w:r>
              <w:t xml:space="preserve">The output of </w:t>
            </w:r>
            <w:r w:rsidR="00DA008A">
              <w:t xml:space="preserve">this </w:t>
            </w:r>
            <w:r w:rsidR="00DB2FC9">
              <w:t>p</w:t>
            </w:r>
            <w:r w:rsidR="00DA008A">
              <w:t xml:space="preserve">roject </w:t>
            </w:r>
            <w:r>
              <w:t>will be</w:t>
            </w:r>
            <w:r w:rsidR="00845BCC">
              <w:t xml:space="preserve"> </w:t>
            </w:r>
            <w:bookmarkStart w:id="0" w:name="OLE_LINK3"/>
            <w:bookmarkStart w:id="1" w:name="OLE_LINK4"/>
            <w:r w:rsidR="00D87792">
              <w:t xml:space="preserve">a pilot </w:t>
            </w:r>
            <w:r w:rsidR="00804F2A">
              <w:t xml:space="preserve">project </w:t>
            </w:r>
            <w:r w:rsidR="00DB2FC9">
              <w:t>to demonstrate the feasibility of</w:t>
            </w:r>
            <w:r w:rsidR="005774C2">
              <w:t xml:space="preserve"> </w:t>
            </w:r>
            <w:r w:rsidR="00D87792">
              <w:t>a hydroge</w:t>
            </w:r>
            <w:r w:rsidR="0072568E">
              <w:t>n energy supply chain based on gasification</w:t>
            </w:r>
            <w:r w:rsidR="00D87792">
              <w:t xml:space="preserve"> of brown coal </w:t>
            </w:r>
            <w:r w:rsidR="00DB2FC9">
              <w:t xml:space="preserve">to </w:t>
            </w:r>
            <w:r w:rsidR="00C47FF1">
              <w:t xml:space="preserve">produce </w:t>
            </w:r>
            <w:r w:rsidR="00DB2FC9">
              <w:t xml:space="preserve">liquid hydrogen </w:t>
            </w:r>
            <w:r w:rsidR="00E04186">
              <w:t xml:space="preserve">for </w:t>
            </w:r>
            <w:r w:rsidR="00DB2FC9">
              <w:t>use in Japan</w:t>
            </w:r>
            <w:r w:rsidR="0072568E">
              <w:t>.</w:t>
            </w:r>
            <w:bookmarkEnd w:id="0"/>
            <w:bookmarkEnd w:id="1"/>
          </w:p>
        </w:tc>
      </w:tr>
    </w:tbl>
    <w:p w14:paraId="6D266821"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D87792">
        <w:t>Hydrogen Energy Supply Chain Pilot Project</w:t>
      </w:r>
    </w:p>
    <w:p w14:paraId="7575BB29" w14:textId="77777777" w:rsidR="004B2EF6" w:rsidRPr="004B2EF6" w:rsidRDefault="00D87792"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6F79D3" w:rsidDel="00D87792">
        <w:rPr>
          <w:i/>
        </w:rPr>
        <w:t xml:space="preserve"> </w:t>
      </w:r>
      <w:r w:rsidR="00804105">
        <w:t>overview</w:t>
      </w:r>
    </w:p>
    <w:p w14:paraId="409A19CB" w14:textId="77777777" w:rsidR="00924289" w:rsidRDefault="00C960AA" w:rsidP="00183741">
      <w:pPr>
        <w:pStyle w:val="Normalnumbered"/>
        <w:numPr>
          <w:ilvl w:val="0"/>
          <w:numId w:val="16"/>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72DC4AFF"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08361911" w14:textId="01F846F6" w:rsidR="00CB3B7B" w:rsidRDefault="00852ED8" w:rsidP="00183741">
      <w:pPr>
        <w:pStyle w:val="Normalnumbered"/>
        <w:numPr>
          <w:ilvl w:val="0"/>
          <w:numId w:val="16"/>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delivery of </w:t>
      </w:r>
      <w:r w:rsidR="00D87792">
        <w:t>a pi</w:t>
      </w:r>
      <w:r w:rsidR="0072568E">
        <w:t xml:space="preserve">lot </w:t>
      </w:r>
      <w:r w:rsidR="00804F2A">
        <w:t xml:space="preserve">project </w:t>
      </w:r>
      <w:r w:rsidR="00C33CF3">
        <w:t xml:space="preserve">to demonstrate the feasibility of </w:t>
      </w:r>
      <w:r w:rsidR="00D87792">
        <w:t xml:space="preserve">a hydrogen energy supply chain </w:t>
      </w:r>
      <w:r w:rsidR="00F254AF">
        <w:t xml:space="preserve">(HESC) </w:t>
      </w:r>
      <w:r w:rsidR="00E04186">
        <w:t xml:space="preserve">involving </w:t>
      </w:r>
      <w:r w:rsidR="008C5482">
        <w:t xml:space="preserve">preparation and </w:t>
      </w:r>
      <w:r w:rsidR="0072568E">
        <w:t xml:space="preserve">gasification of </w:t>
      </w:r>
      <w:r w:rsidR="00260288">
        <w:t>brown coal</w:t>
      </w:r>
      <w:r w:rsidR="00E04186">
        <w:t>,</w:t>
      </w:r>
      <w:r w:rsidR="00260288">
        <w:t xml:space="preserve"> </w:t>
      </w:r>
      <w:r w:rsidR="00E04186">
        <w:t xml:space="preserve">refining and liquefaction of hydrogen and </w:t>
      </w:r>
      <w:r w:rsidR="00AC1FF0">
        <w:t xml:space="preserve">the transport of </w:t>
      </w:r>
      <w:r w:rsidR="0072568E">
        <w:t xml:space="preserve">liquid hydrogen </w:t>
      </w:r>
      <w:r w:rsidR="00F254AF">
        <w:t>to Japan.</w:t>
      </w:r>
      <w:r w:rsidR="00260288">
        <w:t xml:space="preserve"> </w:t>
      </w:r>
      <w:r w:rsidR="00237E1B">
        <w:t xml:space="preserve"> </w:t>
      </w:r>
      <w:r w:rsidR="0072568E">
        <w:t xml:space="preserve">The pilot will inform the commercial viability of a </w:t>
      </w:r>
      <w:r w:rsidR="00F849C9">
        <w:t>long-term</w:t>
      </w:r>
      <w:r w:rsidR="0072568E">
        <w:t xml:space="preserve"> HESC from Australia to Japan.</w:t>
      </w:r>
    </w:p>
    <w:p w14:paraId="1E6C618B" w14:textId="77777777" w:rsidR="0096732C" w:rsidRDefault="0096732C" w:rsidP="004931F2">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CB3B7B">
        <w:t>Reporting Arrangements</w:t>
      </w:r>
      <w:r>
        <w:t xml:space="preserve"> </w:t>
      </w:r>
    </w:p>
    <w:p w14:paraId="3EE6C619" w14:textId="77777777" w:rsidR="0096732C" w:rsidRDefault="005774C2" w:rsidP="00183741">
      <w:pPr>
        <w:pStyle w:val="Normalnumbered"/>
        <w:numPr>
          <w:ilvl w:val="0"/>
          <w:numId w:val="16"/>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Victoria</w:t>
      </w:r>
      <w:r w:rsidR="0096732C">
        <w:t xml:space="preserve"> will </w:t>
      </w:r>
      <w:r w:rsidR="0096732C" w:rsidRPr="00B57F0E">
        <w:t xml:space="preserve">report </w:t>
      </w:r>
      <w:r w:rsidR="00B57F0E" w:rsidRPr="00B57F0E">
        <w:t>six monthly</w:t>
      </w:r>
      <w:r w:rsidR="0096732C" w:rsidRPr="00B57F0E">
        <w:t xml:space="preserve"> against the</w:t>
      </w:r>
      <w:r w:rsidR="0096732C">
        <w:t xml:space="preserve"> agreed milestones during the operation of this Agreement, as set out in Part 4 – Project Milestones, Reporting and Payments. </w:t>
      </w:r>
    </w:p>
    <w:p w14:paraId="364A7431"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11454F82" w14:textId="6003D335" w:rsidR="0096732C" w:rsidRPr="004B1F38" w:rsidRDefault="0096732C" w:rsidP="00237E1B">
      <w:pPr>
        <w:pStyle w:val="Normalnumbered"/>
        <w:numPr>
          <w:ilvl w:val="0"/>
          <w:numId w:val="16"/>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 xml:space="preserve">n </w:t>
      </w:r>
      <w:r w:rsidR="00F234AB" w:rsidRPr="006B2A30">
        <w:t>estimated</w:t>
      </w:r>
      <w:r>
        <w:t xml:space="preserve"> total </w:t>
      </w:r>
      <w:r w:rsidRPr="007179FE">
        <w:t xml:space="preserve">financial contribution to </w:t>
      </w:r>
      <w:r w:rsidR="005774C2">
        <w:t xml:space="preserve">Victoria </w:t>
      </w:r>
      <w:r>
        <w:t xml:space="preserve">of </w:t>
      </w:r>
      <w:r w:rsidR="005774C2">
        <w:t>$</w:t>
      </w:r>
      <w:r w:rsidR="00F254AF">
        <w:t>50 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2B07EB85" w14:textId="77777777" w:rsidR="00814667" w:rsidRDefault="00814667">
      <w:pPr>
        <w:pStyle w:val="Heading1"/>
      </w:pPr>
      <w:r>
        <w:t>Part 1 — Formalities</w:t>
      </w:r>
    </w:p>
    <w:p w14:paraId="69E3171E" w14:textId="6C9A3F94" w:rsidR="005774C2" w:rsidRDefault="005774C2" w:rsidP="00D909D6">
      <w:pPr>
        <w:pStyle w:val="Normalnumbered"/>
        <w:numPr>
          <w:ilvl w:val="0"/>
          <w:numId w:val="16"/>
        </w:numPr>
      </w:pPr>
      <w:r>
        <w:t xml:space="preserve">This Agreement constitutes the entire agreement for this project.  The Agreement </w:t>
      </w:r>
      <w:r w:rsidR="00C33CF3">
        <w:t>will</w:t>
      </w:r>
      <w:r>
        <w:t xml:space="preserve"> operate alongside a separate </w:t>
      </w:r>
      <w:r w:rsidR="00804F2A">
        <w:t xml:space="preserve">Pilot </w:t>
      </w:r>
      <w:r>
        <w:t xml:space="preserve">Hydrogen Energy Supply Chain Project Funding Agreement (HESC Agreement) between </w:t>
      </w:r>
      <w:r w:rsidR="00C33CF3">
        <w:t>Victoria</w:t>
      </w:r>
      <w:r>
        <w:t xml:space="preserve"> and Hydrogen En</w:t>
      </w:r>
      <w:r w:rsidR="00804F2A">
        <w:t>gineering</w:t>
      </w:r>
      <w:r>
        <w:t xml:space="preserve"> Australia Pty Ltd (HEA).</w:t>
      </w:r>
    </w:p>
    <w:p w14:paraId="47FAD6E1" w14:textId="77777777" w:rsidR="00814667" w:rsidRDefault="00814667">
      <w:pPr>
        <w:pStyle w:val="Heading2"/>
      </w:pPr>
      <w:r>
        <w:t>Parties to this Agreement</w:t>
      </w:r>
    </w:p>
    <w:p w14:paraId="7D124EAD" w14:textId="2A08B61B" w:rsidR="007B4B03" w:rsidRPr="007B4B03" w:rsidRDefault="00E7195E" w:rsidP="00183741">
      <w:pPr>
        <w:pStyle w:val="Normalnumbered"/>
        <w:numPr>
          <w:ilvl w:val="0"/>
          <w:numId w:val="16"/>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w:t>
      </w:r>
      <w:r w:rsidR="00F254AF">
        <w:t>and Victoria.</w:t>
      </w:r>
    </w:p>
    <w:p w14:paraId="426133FD" w14:textId="77777777" w:rsidR="00814667" w:rsidRDefault="00814667">
      <w:pPr>
        <w:pStyle w:val="Heading2"/>
      </w:pPr>
      <w:r>
        <w:t>Term of the Agreement</w:t>
      </w:r>
    </w:p>
    <w:p w14:paraId="2614558A" w14:textId="77777777" w:rsidR="00814667" w:rsidRPr="00DE36EB" w:rsidRDefault="00814667" w:rsidP="00183741">
      <w:pPr>
        <w:pStyle w:val="Normalnumbered"/>
        <w:numPr>
          <w:ilvl w:val="0"/>
          <w:numId w:val="16"/>
        </w:numPr>
      </w:pPr>
      <w:r w:rsidRPr="00DE36EB">
        <w:t xml:space="preserve">This Agreement will commence as soon as the Commonwealth and </w:t>
      </w:r>
      <w:r w:rsidR="00F254AF">
        <w:t>Victoria</w:t>
      </w:r>
      <w:r w:rsidR="00726DB5" w:rsidRPr="00DE36EB">
        <w:t xml:space="preserve"> sign</w:t>
      </w:r>
      <w:r w:rsidRPr="00DE36EB">
        <w:t xml:space="preserve"> </w:t>
      </w:r>
      <w:r w:rsidR="0096732C">
        <w:t xml:space="preserve">it </w:t>
      </w:r>
      <w:r w:rsidRPr="00DE36EB">
        <w:t>and will expire on</w:t>
      </w:r>
      <w:r w:rsidR="00C7093C" w:rsidRPr="00DE36EB">
        <w:t xml:space="preserve"> </w:t>
      </w:r>
      <w:r w:rsidR="00385981" w:rsidRPr="00D909D6">
        <w:t>30 June 2021</w:t>
      </w:r>
      <w:r w:rsidR="00284884" w:rsidRPr="00DE36EB">
        <w:t xml:space="preserve"> or on</w:t>
      </w:r>
      <w:r w:rsidR="00FA2EC0" w:rsidRPr="00DE36EB">
        <w:t xml:space="preserve"> complet</w:t>
      </w:r>
      <w:r w:rsidR="00284884" w:rsidRPr="00DE36EB">
        <w:t>io</w:t>
      </w:r>
      <w:bookmarkStart w:id="2" w:name="CursorPositionBM"/>
      <w:bookmarkEnd w:id="2"/>
      <w:r w:rsidR="00284884" w:rsidRPr="00DE36EB">
        <w:t>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752266CC" w14:textId="535511F7" w:rsidR="00784439" w:rsidRPr="009E093C" w:rsidRDefault="00784439" w:rsidP="000C2FD6">
      <w:pPr>
        <w:pStyle w:val="Heading2"/>
        <w:spacing w:before="0"/>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43CE8DE1" w14:textId="77777777" w:rsidR="00814667" w:rsidRDefault="00814667" w:rsidP="000C2FD6">
      <w:pPr>
        <w:pStyle w:val="Heading2"/>
        <w:spacing w:before="0"/>
      </w:pPr>
      <w:r>
        <w:t>Outputs</w:t>
      </w:r>
    </w:p>
    <w:p w14:paraId="6625CE9F" w14:textId="77777777" w:rsidR="0085738D" w:rsidRDefault="00814667" w:rsidP="000C2FD6">
      <w:pPr>
        <w:pStyle w:val="Normalnumbered"/>
        <w:numPr>
          <w:ilvl w:val="0"/>
          <w:numId w:val="16"/>
        </w:numPr>
        <w:spacing w:after="120"/>
        <w:jc w:val="left"/>
      </w:pPr>
      <w:r w:rsidRPr="0085738D">
        <w:t>The o</w:t>
      </w:r>
      <w:r w:rsidR="006F79D3">
        <w:t>utputs of this Agreement will be:</w:t>
      </w:r>
    </w:p>
    <w:p w14:paraId="53749A74" w14:textId="51FE9CE3" w:rsidR="00814667" w:rsidRDefault="00054671" w:rsidP="000C2FD6">
      <w:pPr>
        <w:pStyle w:val="AlphaParagraph"/>
        <w:numPr>
          <w:ilvl w:val="0"/>
          <w:numId w:val="21"/>
        </w:numPr>
        <w:tabs>
          <w:tab w:val="clear" w:pos="283"/>
          <w:tab w:val="clear" w:pos="567"/>
          <w:tab w:val="clear" w:pos="1134"/>
          <w:tab w:val="clear" w:pos="1418"/>
          <w:tab w:val="clear" w:pos="1701"/>
        </w:tabs>
        <w:spacing w:after="120"/>
        <w:ind w:left="1134" w:hanging="567"/>
      </w:pPr>
      <w:r>
        <w:t>c</w:t>
      </w:r>
      <w:r w:rsidR="00B92618" w:rsidRPr="00B92618">
        <w:t xml:space="preserve">onstruction of </w:t>
      </w:r>
      <w:r w:rsidR="00F6594D">
        <w:t xml:space="preserve">a </w:t>
      </w:r>
      <w:r w:rsidR="002231EB">
        <w:t>gas refining</w:t>
      </w:r>
      <w:r w:rsidR="002231EB" w:rsidRPr="00B92618">
        <w:t xml:space="preserve"> </w:t>
      </w:r>
      <w:r w:rsidR="00B92618" w:rsidRPr="00B92618">
        <w:t xml:space="preserve">plant in </w:t>
      </w:r>
      <w:r w:rsidR="00B92618">
        <w:t xml:space="preserve">the </w:t>
      </w:r>
      <w:r w:rsidR="00B92618" w:rsidRPr="00B92618">
        <w:t xml:space="preserve">Latrobe Valley and </w:t>
      </w:r>
      <w:r w:rsidR="00804F2A">
        <w:t>hydrogen</w:t>
      </w:r>
      <w:r w:rsidR="00FE0610">
        <w:t xml:space="preserve"> </w:t>
      </w:r>
      <w:r w:rsidR="00B92618" w:rsidRPr="00B92618">
        <w:t xml:space="preserve">liquefaction and </w:t>
      </w:r>
      <w:r w:rsidR="00804F2A">
        <w:t>loading</w:t>
      </w:r>
      <w:r w:rsidR="00804F2A" w:rsidRPr="00B92618">
        <w:t xml:space="preserve"> </w:t>
      </w:r>
      <w:r w:rsidR="00B92618" w:rsidRPr="00B92618">
        <w:t xml:space="preserve">facilities </w:t>
      </w:r>
      <w:r w:rsidR="005274BA">
        <w:t xml:space="preserve">at the Port of </w:t>
      </w:r>
      <w:r w:rsidR="00B92618" w:rsidRPr="00B92618">
        <w:t>Hastings</w:t>
      </w:r>
      <w:r w:rsidR="00B92618">
        <w:t>;</w:t>
      </w:r>
    </w:p>
    <w:p w14:paraId="68E7BC0F" w14:textId="61C0384D" w:rsidR="00BB2DFE" w:rsidRDefault="00BB2DFE" w:rsidP="000C2FD6">
      <w:pPr>
        <w:pStyle w:val="AlphaParagraph"/>
        <w:numPr>
          <w:ilvl w:val="0"/>
          <w:numId w:val="21"/>
        </w:numPr>
        <w:tabs>
          <w:tab w:val="clear" w:pos="283"/>
          <w:tab w:val="clear" w:pos="567"/>
          <w:tab w:val="clear" w:pos="1134"/>
          <w:tab w:val="clear" w:pos="1418"/>
          <w:tab w:val="clear" w:pos="1701"/>
        </w:tabs>
        <w:spacing w:after="120"/>
        <w:ind w:left="1134" w:hanging="567"/>
      </w:pPr>
      <w:r>
        <w:t xml:space="preserve">delivery of a coal preparation technologies </w:t>
      </w:r>
      <w:r w:rsidR="004F7C2F">
        <w:t xml:space="preserve">plan </w:t>
      </w:r>
      <w:r>
        <w:t>for brown coal that could be applied for the commercial production of hydrogen</w:t>
      </w:r>
      <w:r w:rsidR="008213D9">
        <w:t>;</w:t>
      </w:r>
      <w:r w:rsidR="00226AA1" w:rsidRPr="00226AA1">
        <w:rPr>
          <w:color w:val="auto"/>
          <w:szCs w:val="23"/>
        </w:rPr>
        <w:t xml:space="preserve"> </w:t>
      </w:r>
    </w:p>
    <w:p w14:paraId="6D36B8AD" w14:textId="1221D1DB" w:rsidR="004F7C2F" w:rsidRPr="004F7C2F" w:rsidRDefault="004F7C2F" w:rsidP="000C2FD6">
      <w:pPr>
        <w:pStyle w:val="AlphaParagraph"/>
        <w:numPr>
          <w:ilvl w:val="0"/>
          <w:numId w:val="21"/>
        </w:numPr>
        <w:tabs>
          <w:tab w:val="clear" w:pos="283"/>
          <w:tab w:val="clear" w:pos="567"/>
          <w:tab w:val="clear" w:pos="1134"/>
          <w:tab w:val="clear" w:pos="1418"/>
          <w:tab w:val="clear" w:pos="1701"/>
        </w:tabs>
        <w:spacing w:after="120"/>
        <w:ind w:left="1134" w:hanging="567"/>
      </w:pPr>
      <w:r w:rsidRPr="008A3D12">
        <w:rPr>
          <w:bCs/>
          <w:color w:val="auto"/>
          <w:szCs w:val="23"/>
        </w:rPr>
        <w:t xml:space="preserve">delivery of a commercialisation plan which details the activities to be undertaken to support a decision by </w:t>
      </w:r>
      <w:r>
        <w:rPr>
          <w:bCs/>
          <w:color w:val="auto"/>
          <w:szCs w:val="23"/>
        </w:rPr>
        <w:t>HEA</w:t>
      </w:r>
      <w:r w:rsidRPr="008A3D12">
        <w:rPr>
          <w:bCs/>
          <w:color w:val="auto"/>
          <w:szCs w:val="23"/>
        </w:rPr>
        <w:t xml:space="preserve"> and the Participating Organisations as to whether to invest in a commercial scale HESC</w:t>
      </w:r>
      <w:r w:rsidR="008213D9">
        <w:rPr>
          <w:bCs/>
          <w:color w:val="auto"/>
          <w:szCs w:val="23"/>
        </w:rPr>
        <w:t>;</w:t>
      </w:r>
      <w:r w:rsidR="00C262A5">
        <w:rPr>
          <w:bCs/>
          <w:color w:val="auto"/>
          <w:szCs w:val="23"/>
        </w:rPr>
        <w:t xml:space="preserve"> and</w:t>
      </w:r>
    </w:p>
    <w:p w14:paraId="1C1DAB74" w14:textId="2CC703A4" w:rsidR="002D1024" w:rsidRDefault="002231EB" w:rsidP="000C2FD6">
      <w:pPr>
        <w:pStyle w:val="AlphaParagraph"/>
        <w:numPr>
          <w:ilvl w:val="0"/>
          <w:numId w:val="21"/>
        </w:numPr>
        <w:tabs>
          <w:tab w:val="clear" w:pos="283"/>
          <w:tab w:val="clear" w:pos="567"/>
          <w:tab w:val="clear" w:pos="1134"/>
          <w:tab w:val="clear" w:pos="1418"/>
          <w:tab w:val="clear" w:pos="1701"/>
        </w:tabs>
        <w:spacing w:after="120"/>
        <w:ind w:left="1134" w:hanging="567"/>
      </w:pPr>
      <w:r>
        <w:t xml:space="preserve">the demonstration of </w:t>
      </w:r>
      <w:r w:rsidR="00054671">
        <w:t>a</w:t>
      </w:r>
      <w:r w:rsidR="00EC0CE8">
        <w:t xml:space="preserve"> </w:t>
      </w:r>
      <w:r>
        <w:t>pilot</w:t>
      </w:r>
      <w:r w:rsidR="00EC0CE8">
        <w:t xml:space="preserve"> hydrogen supply chain from Australia to Japan</w:t>
      </w:r>
      <w:r w:rsidR="000219E6">
        <w:t xml:space="preserve"> including</w:t>
      </w:r>
      <w:r w:rsidR="00237E1B">
        <w:t>:</w:t>
      </w:r>
    </w:p>
    <w:p w14:paraId="597C7AB5" w14:textId="7DAF4A92" w:rsidR="000219E6" w:rsidRPr="00D76E2D" w:rsidRDefault="000219E6" w:rsidP="000C2FD6">
      <w:pPr>
        <w:pStyle w:val="AlphaParagraph"/>
        <w:numPr>
          <w:ilvl w:val="0"/>
          <w:numId w:val="31"/>
        </w:numPr>
        <w:tabs>
          <w:tab w:val="clear" w:pos="283"/>
          <w:tab w:val="clear" w:pos="567"/>
          <w:tab w:val="clear" w:pos="1134"/>
          <w:tab w:val="clear" w:pos="1418"/>
          <w:tab w:val="clear" w:pos="1701"/>
        </w:tabs>
        <w:spacing w:after="120"/>
        <w:ind w:left="1701" w:hanging="567"/>
      </w:pPr>
      <w:r w:rsidRPr="00D76E2D">
        <w:rPr>
          <w:color w:val="auto"/>
          <w:szCs w:val="23"/>
        </w:rPr>
        <w:t>production</w:t>
      </w:r>
      <w:r w:rsidRPr="00B92618">
        <w:rPr>
          <w:bCs/>
          <w:color w:val="auto"/>
          <w:szCs w:val="23"/>
        </w:rPr>
        <w:t xml:space="preserve"> </w:t>
      </w:r>
      <w:r>
        <w:rPr>
          <w:bCs/>
          <w:color w:val="auto"/>
          <w:szCs w:val="23"/>
        </w:rPr>
        <w:t xml:space="preserve">of hydrogen from the successful gasification of brown coal </w:t>
      </w:r>
      <w:r w:rsidRPr="00B92618">
        <w:rPr>
          <w:bCs/>
          <w:color w:val="auto"/>
          <w:szCs w:val="23"/>
        </w:rPr>
        <w:t>and transport</w:t>
      </w:r>
      <w:r>
        <w:rPr>
          <w:bCs/>
          <w:color w:val="auto"/>
          <w:szCs w:val="23"/>
        </w:rPr>
        <w:t>ation</w:t>
      </w:r>
      <w:r w:rsidRPr="00B92618">
        <w:rPr>
          <w:bCs/>
          <w:color w:val="auto"/>
          <w:szCs w:val="23"/>
        </w:rPr>
        <w:t xml:space="preserve"> of </w:t>
      </w:r>
      <w:r>
        <w:rPr>
          <w:bCs/>
          <w:color w:val="auto"/>
          <w:szCs w:val="23"/>
        </w:rPr>
        <w:t xml:space="preserve">the </w:t>
      </w:r>
      <w:r w:rsidRPr="00B92618">
        <w:rPr>
          <w:bCs/>
          <w:color w:val="auto"/>
          <w:szCs w:val="23"/>
        </w:rPr>
        <w:t>hydrogen</w:t>
      </w:r>
      <w:r>
        <w:rPr>
          <w:bCs/>
          <w:color w:val="auto"/>
          <w:szCs w:val="23"/>
        </w:rPr>
        <w:t xml:space="preserve"> from the</w:t>
      </w:r>
      <w:r w:rsidRPr="00B92618">
        <w:rPr>
          <w:bCs/>
          <w:color w:val="auto"/>
          <w:szCs w:val="23"/>
        </w:rPr>
        <w:t xml:space="preserve"> Latrobe Valley</w:t>
      </w:r>
      <w:r>
        <w:rPr>
          <w:bCs/>
          <w:color w:val="auto"/>
          <w:szCs w:val="23"/>
        </w:rPr>
        <w:t xml:space="preserve"> to the Port of Hastings; </w:t>
      </w:r>
      <w:r w:rsidR="00D76E2D">
        <w:rPr>
          <w:bCs/>
          <w:color w:val="auto"/>
          <w:szCs w:val="23"/>
        </w:rPr>
        <w:t>and</w:t>
      </w:r>
    </w:p>
    <w:p w14:paraId="7F6378E8" w14:textId="4A076A26" w:rsidR="003D7AEC" w:rsidRPr="008A3D12" w:rsidRDefault="000219E6" w:rsidP="000C2FD6">
      <w:pPr>
        <w:pStyle w:val="AlphaParagraph"/>
        <w:numPr>
          <w:ilvl w:val="0"/>
          <w:numId w:val="31"/>
        </w:numPr>
        <w:tabs>
          <w:tab w:val="clear" w:pos="283"/>
          <w:tab w:val="clear" w:pos="567"/>
          <w:tab w:val="clear" w:pos="1134"/>
          <w:tab w:val="clear" w:pos="1418"/>
          <w:tab w:val="clear" w:pos="1701"/>
        </w:tabs>
        <w:spacing w:after="120"/>
        <w:ind w:left="1701" w:hanging="567"/>
      </w:pPr>
      <w:r w:rsidRPr="00D76E2D">
        <w:rPr>
          <w:color w:val="auto"/>
          <w:szCs w:val="23"/>
        </w:rPr>
        <w:t>successful</w:t>
      </w:r>
      <w:r>
        <w:t xml:space="preserve"> l</w:t>
      </w:r>
      <w:r w:rsidRPr="00B92618">
        <w:t xml:space="preserve">iquefaction </w:t>
      </w:r>
      <w:r w:rsidR="000F576A">
        <w:t xml:space="preserve">of hydrogen at the Port of Hastings </w:t>
      </w:r>
      <w:r w:rsidRPr="00B92618">
        <w:t xml:space="preserve">and transport of </w:t>
      </w:r>
      <w:r>
        <w:t xml:space="preserve">liquefied </w:t>
      </w:r>
      <w:r w:rsidRPr="00B92618">
        <w:t xml:space="preserve">hydrogen from </w:t>
      </w:r>
      <w:r>
        <w:t xml:space="preserve">the Port of </w:t>
      </w:r>
      <w:r w:rsidRPr="00B92618">
        <w:t>Hastings</w:t>
      </w:r>
      <w:r>
        <w:t xml:space="preserve"> to Japan</w:t>
      </w:r>
      <w:r w:rsidR="004F7C2F">
        <w:t>.</w:t>
      </w:r>
    </w:p>
    <w:p w14:paraId="0F14D4DE" w14:textId="77777777" w:rsidR="008F44F1" w:rsidRDefault="008F44F1" w:rsidP="000C2FD6">
      <w:pPr>
        <w:pStyle w:val="Heading1"/>
        <w:spacing w:before="0" w:after="120"/>
      </w:pPr>
      <w:r>
        <w:t>Part 3 — roles and responsibilities of each party</w:t>
      </w:r>
    </w:p>
    <w:p w14:paraId="2D36F7DB" w14:textId="77777777" w:rsidR="008F44F1" w:rsidRDefault="008F44F1" w:rsidP="000C2FD6">
      <w:pPr>
        <w:pStyle w:val="Heading2"/>
        <w:spacing w:before="0"/>
      </w:pPr>
      <w:r w:rsidRPr="00814590">
        <w:t>Role of the Commonwealth</w:t>
      </w:r>
    </w:p>
    <w:p w14:paraId="30CF50AB" w14:textId="77777777" w:rsidR="008F44F1" w:rsidRDefault="008F44F1" w:rsidP="000C2FD6">
      <w:pPr>
        <w:pStyle w:val="Normalnumbered"/>
        <w:numPr>
          <w:ilvl w:val="0"/>
          <w:numId w:val="16"/>
        </w:numPr>
        <w:spacing w:after="120"/>
        <w:jc w:val="left"/>
      </w:pPr>
      <w:r>
        <w:t>The Commonwealth will be responsible for:</w:t>
      </w:r>
    </w:p>
    <w:p w14:paraId="1C568E3C" w14:textId="7A1EC9E8" w:rsidR="008F44F1" w:rsidRPr="000614F9" w:rsidRDefault="008F44F1" w:rsidP="000C2FD6">
      <w:pPr>
        <w:pStyle w:val="AlphaParagraph"/>
        <w:numPr>
          <w:ilvl w:val="0"/>
          <w:numId w:val="27"/>
        </w:numPr>
        <w:tabs>
          <w:tab w:val="clear" w:pos="567"/>
          <w:tab w:val="clear" w:pos="1418"/>
          <w:tab w:val="clear" w:pos="1701"/>
        </w:tabs>
        <w:spacing w:after="120"/>
        <w:ind w:left="1134" w:hanging="567"/>
      </w:pPr>
      <w:r w:rsidRPr="000614F9">
        <w:rPr>
          <w:color w:val="auto"/>
        </w:rPr>
        <w:t>monitoring</w:t>
      </w:r>
      <w:r w:rsidRPr="004B6083">
        <w:t xml:space="preserve"> and assessing achievement against milestones in the delivery of the </w:t>
      </w:r>
      <w:r w:rsidR="00EC587F">
        <w:t>Hydrogen Energy Supply Chain Pilot Project</w:t>
      </w:r>
      <w:r w:rsidRPr="000614F9">
        <w:t xml:space="preserve"> </w:t>
      </w:r>
      <w:r w:rsidRPr="000614F9">
        <w:rPr>
          <w:color w:val="auto"/>
        </w:rPr>
        <w:t>under</w:t>
      </w:r>
      <w:r w:rsidRPr="004B6083">
        <w:t xml:space="preserve"> this Agreement to ensure that outputs are deliver</w:t>
      </w:r>
      <w:r w:rsidR="00D76E2D">
        <w:t>ed within the agreed timeframe;</w:t>
      </w:r>
    </w:p>
    <w:p w14:paraId="3F9B4CAB" w14:textId="77777777" w:rsidR="008F44F1" w:rsidRPr="000614F9" w:rsidRDefault="008F44F1" w:rsidP="000C2FD6">
      <w:pPr>
        <w:pStyle w:val="AlphaParagraph"/>
        <w:numPr>
          <w:ilvl w:val="0"/>
          <w:numId w:val="21"/>
        </w:numPr>
        <w:tabs>
          <w:tab w:val="clear" w:pos="567"/>
          <w:tab w:val="clear" w:pos="1418"/>
          <w:tab w:val="clear" w:pos="1701"/>
        </w:tabs>
        <w:spacing w:after="120"/>
        <w:ind w:left="1134" w:hanging="567"/>
        <w:rPr>
          <w:color w:val="auto"/>
        </w:rPr>
      </w:pPr>
      <w:r w:rsidRPr="004B6083">
        <w:rPr>
          <w:color w:val="auto"/>
        </w:rPr>
        <w:t xml:space="preserve">providing a consequent financial contribution to </w:t>
      </w:r>
      <w:r w:rsidR="00A16515">
        <w:rPr>
          <w:color w:val="auto"/>
        </w:rPr>
        <w:t>Victoria</w:t>
      </w:r>
      <w:r w:rsidRPr="004B6083">
        <w:rPr>
          <w:color w:val="auto"/>
        </w:rPr>
        <w:t xml:space="preserve"> to support the </w:t>
      </w:r>
      <w:r w:rsidRPr="000614F9">
        <w:t>implementation</w:t>
      </w:r>
      <w:r w:rsidRPr="004B6083">
        <w:rPr>
          <w:color w:val="auto"/>
        </w:rPr>
        <w:t xml:space="preserve"> of this Agreement;</w:t>
      </w:r>
    </w:p>
    <w:p w14:paraId="43D910CA" w14:textId="77777777" w:rsidR="004F5DCD" w:rsidRPr="00750F59" w:rsidRDefault="004F5DCD" w:rsidP="000C2FD6">
      <w:pPr>
        <w:pStyle w:val="AlphaParagraph"/>
        <w:numPr>
          <w:ilvl w:val="0"/>
          <w:numId w:val="21"/>
        </w:numPr>
        <w:tabs>
          <w:tab w:val="clear" w:pos="567"/>
          <w:tab w:val="clear" w:pos="1418"/>
          <w:tab w:val="clear" w:pos="1701"/>
        </w:tabs>
        <w:spacing w:after="120"/>
        <w:ind w:left="1134" w:hanging="567"/>
        <w:rPr>
          <w:i/>
          <w:color w:val="auto"/>
        </w:rPr>
      </w:pPr>
      <w:r w:rsidRPr="00750F59">
        <w:rPr>
          <w:color w:val="auto"/>
          <w:szCs w:val="23"/>
        </w:rPr>
        <w:t xml:space="preserve">in accordance with the </w:t>
      </w:r>
      <w:r>
        <w:rPr>
          <w:i/>
          <w:color w:val="auto"/>
          <w:szCs w:val="23"/>
        </w:rPr>
        <w:t>Building and Construction Industry (Improving Productivity) Act 2016</w:t>
      </w:r>
      <w:r w:rsidRPr="00750F59">
        <w:rPr>
          <w:color w:val="auto"/>
        </w:rPr>
        <w:t xml:space="preserve">, </w:t>
      </w:r>
      <w:r w:rsidRPr="00750F59">
        <w:rPr>
          <w:color w:val="auto"/>
          <w:szCs w:val="23"/>
        </w:rPr>
        <w:t xml:space="preserve">ensuring that </w:t>
      </w:r>
      <w:r w:rsidRPr="00750F59">
        <w:rPr>
          <w:color w:val="auto"/>
        </w:rPr>
        <w:t xml:space="preserve">financial contributions to a building project or projects as defined under the </w:t>
      </w:r>
      <w:r w:rsidRPr="00750F59">
        <w:rPr>
          <w:color w:val="auto"/>
          <w:szCs w:val="23"/>
        </w:rPr>
        <w:t xml:space="preserve">Fair Work (Building Industry – Accreditation Scheme) </w:t>
      </w:r>
      <w:r w:rsidRPr="00750F59">
        <w:rPr>
          <w:color w:val="auto"/>
        </w:rPr>
        <w:t xml:space="preserve">Regulations </w:t>
      </w:r>
      <w:r>
        <w:rPr>
          <w:color w:val="auto"/>
        </w:rPr>
        <w:t>2016</w:t>
      </w:r>
      <w:r w:rsidRPr="00750F59">
        <w:rPr>
          <w:color w:val="auto"/>
        </w:rPr>
        <w:t xml:space="preserve"> are only made where a builder or builders accredited under the Australian Government Building and Construction WHS Accreditation Scheme is contracted; and</w:t>
      </w:r>
    </w:p>
    <w:p w14:paraId="7965F8F6" w14:textId="77777777" w:rsidR="004F5DCD" w:rsidRPr="00750F59" w:rsidRDefault="004F5DCD" w:rsidP="000C2FD6">
      <w:pPr>
        <w:pStyle w:val="AlphaParagraph"/>
        <w:numPr>
          <w:ilvl w:val="0"/>
          <w:numId w:val="21"/>
        </w:numPr>
        <w:tabs>
          <w:tab w:val="clear" w:pos="567"/>
          <w:tab w:val="clear" w:pos="1418"/>
          <w:tab w:val="clear" w:pos="1701"/>
        </w:tabs>
        <w:spacing w:after="120"/>
        <w:ind w:left="1134" w:hanging="567"/>
        <w:rPr>
          <w:i/>
          <w:color w:val="auto"/>
        </w:rPr>
      </w:pPr>
      <w:r w:rsidRPr="00750F59">
        <w:rPr>
          <w:color w:val="auto"/>
        </w:rPr>
        <w:t xml:space="preserve">ensuring that compliance with the </w:t>
      </w:r>
      <w:r>
        <w:rPr>
          <w:color w:val="auto"/>
        </w:rPr>
        <w:t>Code for the Tendering and Performance of Building Work 2016 (</w:t>
      </w:r>
      <w:r w:rsidRPr="00750F59">
        <w:rPr>
          <w:color w:val="auto"/>
        </w:rPr>
        <w:t>Building Code 201</w:t>
      </w:r>
      <w:r>
        <w:rPr>
          <w:color w:val="auto"/>
        </w:rPr>
        <w:t>6)</w:t>
      </w:r>
      <w:r w:rsidRPr="00750F59">
        <w:rPr>
          <w:color w:val="auto"/>
        </w:rPr>
        <w:t xml:space="preserve"> is a condition of Australian Government funding.</w:t>
      </w:r>
    </w:p>
    <w:p w14:paraId="580CDE91" w14:textId="77777777" w:rsidR="008F44F1" w:rsidRPr="00751725" w:rsidRDefault="008F44F1" w:rsidP="000C2FD6">
      <w:pPr>
        <w:pStyle w:val="Heading2"/>
        <w:spacing w:before="0"/>
      </w:pPr>
      <w:r w:rsidRPr="00751725">
        <w:t xml:space="preserve">Role </w:t>
      </w:r>
      <w:r w:rsidR="00A16515">
        <w:t>of Victoria</w:t>
      </w:r>
    </w:p>
    <w:p w14:paraId="00C33B6B" w14:textId="77777777" w:rsidR="008F44F1" w:rsidRPr="00751725" w:rsidRDefault="00F6743B" w:rsidP="000C2FD6">
      <w:pPr>
        <w:pStyle w:val="Normalnumbered"/>
        <w:numPr>
          <w:ilvl w:val="0"/>
          <w:numId w:val="16"/>
        </w:numPr>
        <w:spacing w:after="120"/>
        <w:jc w:val="left"/>
      </w:pPr>
      <w:r>
        <w:t>Victoria</w:t>
      </w:r>
      <w:r w:rsidR="00545DF7">
        <w:t xml:space="preserve"> </w:t>
      </w:r>
      <w:r w:rsidR="008F44F1">
        <w:t>will be responsible for</w:t>
      </w:r>
      <w:r w:rsidR="00545DF7">
        <w:t>:</w:t>
      </w:r>
    </w:p>
    <w:p w14:paraId="5CCB2A12" w14:textId="77777777" w:rsidR="0029279A" w:rsidRDefault="0029279A" w:rsidP="000C2FD6">
      <w:pPr>
        <w:pStyle w:val="AlphaParagraph"/>
        <w:numPr>
          <w:ilvl w:val="0"/>
          <w:numId w:val="25"/>
        </w:numPr>
        <w:tabs>
          <w:tab w:val="clear" w:pos="567"/>
          <w:tab w:val="clear" w:pos="1418"/>
          <w:tab w:val="clear" w:pos="1701"/>
        </w:tabs>
        <w:spacing w:after="120"/>
        <w:ind w:left="1134" w:hanging="567"/>
      </w:pPr>
      <w:r>
        <w:t>agreeing the contents of the HESC Agreement with the Commonwealth before it is executed with HEA;</w:t>
      </w:r>
    </w:p>
    <w:p w14:paraId="7919E933" w14:textId="77777777" w:rsidR="008F44F1" w:rsidRDefault="008F44F1" w:rsidP="000C2FD6">
      <w:pPr>
        <w:pStyle w:val="AlphaParagraph"/>
        <w:numPr>
          <w:ilvl w:val="0"/>
          <w:numId w:val="25"/>
        </w:numPr>
        <w:tabs>
          <w:tab w:val="clear" w:pos="567"/>
          <w:tab w:val="clear" w:pos="1418"/>
          <w:tab w:val="clear" w:pos="1701"/>
        </w:tabs>
        <w:spacing w:after="120"/>
        <w:ind w:left="1134" w:hanging="567"/>
      </w:pPr>
      <w:r w:rsidRPr="00751725">
        <w:t>providing a</w:t>
      </w:r>
      <w:r>
        <w:t xml:space="preserve"> </w:t>
      </w:r>
      <w:r w:rsidR="003D288D">
        <w:t xml:space="preserve">matching </w:t>
      </w:r>
      <w:r w:rsidRPr="000614F9">
        <w:t>financial</w:t>
      </w:r>
      <w:r>
        <w:t xml:space="preserve"> </w:t>
      </w:r>
      <w:r w:rsidRPr="00751725">
        <w:t>contribution</w:t>
      </w:r>
      <w:r w:rsidR="007D7549">
        <w:t xml:space="preserve"> totalling </w:t>
      </w:r>
      <w:r w:rsidR="00713FB5" w:rsidRPr="00F93F0D">
        <w:t>at least</w:t>
      </w:r>
      <w:r w:rsidR="00713FB5">
        <w:t xml:space="preserve"> </w:t>
      </w:r>
      <w:r w:rsidR="003D288D">
        <w:t>$</w:t>
      </w:r>
      <w:r w:rsidR="007D7549">
        <w:t>50 million</w:t>
      </w:r>
      <w:r w:rsidR="003D288D">
        <w:t xml:space="preserve"> </w:t>
      </w:r>
      <w:r w:rsidRPr="00751725">
        <w:t>to support the implementation of th</w:t>
      </w:r>
      <w:r w:rsidR="00685663">
        <w:t xml:space="preserve">e </w:t>
      </w:r>
      <w:r w:rsidR="002979DA">
        <w:t>HESC</w:t>
      </w:r>
      <w:r w:rsidRPr="00751725">
        <w:t xml:space="preserve"> Agreement;</w:t>
      </w:r>
    </w:p>
    <w:p w14:paraId="2212073F" w14:textId="498A8C79" w:rsidR="00F8319F" w:rsidRDefault="00F8319F" w:rsidP="000C2FD6">
      <w:pPr>
        <w:pStyle w:val="AlphaParagraph"/>
        <w:numPr>
          <w:ilvl w:val="0"/>
          <w:numId w:val="21"/>
        </w:numPr>
        <w:tabs>
          <w:tab w:val="clear" w:pos="567"/>
          <w:tab w:val="clear" w:pos="1418"/>
          <w:tab w:val="clear" w:pos="1701"/>
        </w:tabs>
        <w:spacing w:after="120"/>
        <w:ind w:left="1134" w:hanging="567"/>
        <w:rPr>
          <w:color w:val="auto"/>
          <w:szCs w:val="23"/>
        </w:rPr>
      </w:pPr>
      <w:r>
        <w:rPr>
          <w:color w:val="auto"/>
          <w:szCs w:val="23"/>
        </w:rPr>
        <w:t>providing the Commonwealth with a copy of the HESC Agreement and any other agreements between Victoria and HEA;</w:t>
      </w:r>
    </w:p>
    <w:p w14:paraId="72144E13" w14:textId="77777777" w:rsidR="008F44F1" w:rsidRDefault="008F44F1" w:rsidP="000C2FD6">
      <w:pPr>
        <w:pStyle w:val="AlphaParagraph"/>
        <w:numPr>
          <w:ilvl w:val="0"/>
          <w:numId w:val="21"/>
        </w:numPr>
        <w:tabs>
          <w:tab w:val="clear" w:pos="567"/>
          <w:tab w:val="clear" w:pos="1418"/>
          <w:tab w:val="clear" w:pos="1701"/>
        </w:tabs>
        <w:spacing w:after="120"/>
        <w:ind w:left="1134" w:hanging="567"/>
      </w:pPr>
      <w:r>
        <w:t>all aspects of delivering on the project outputs set out in this Agreement;</w:t>
      </w:r>
    </w:p>
    <w:p w14:paraId="1004152F" w14:textId="77777777" w:rsidR="00A6719E" w:rsidRDefault="00A6719E" w:rsidP="000C2FD6">
      <w:pPr>
        <w:pStyle w:val="AlphaParagraph"/>
        <w:numPr>
          <w:ilvl w:val="0"/>
          <w:numId w:val="21"/>
        </w:numPr>
        <w:tabs>
          <w:tab w:val="clear" w:pos="567"/>
          <w:tab w:val="clear" w:pos="1418"/>
          <w:tab w:val="clear" w:pos="1701"/>
        </w:tabs>
        <w:spacing w:after="120"/>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6B43AF">
        <w:t>;</w:t>
      </w:r>
    </w:p>
    <w:p w14:paraId="07AD5D4E" w14:textId="77777777" w:rsidR="008F44F1" w:rsidRDefault="008F44F1" w:rsidP="000C2FD6">
      <w:pPr>
        <w:pStyle w:val="AlphaParagraph"/>
        <w:numPr>
          <w:ilvl w:val="0"/>
          <w:numId w:val="21"/>
        </w:numPr>
        <w:tabs>
          <w:tab w:val="clear" w:pos="567"/>
          <w:tab w:val="clear" w:pos="1418"/>
          <w:tab w:val="clear" w:pos="1701"/>
        </w:tabs>
        <w:spacing w:after="120"/>
        <w:ind w:left="1134" w:hanging="567"/>
      </w:pPr>
      <w:r>
        <w:rPr>
          <w:szCs w:val="23"/>
        </w:rPr>
        <w:lastRenderedPageBreak/>
        <w:t>e</w:t>
      </w:r>
      <w:r w:rsidRPr="00772818">
        <w:rPr>
          <w:szCs w:val="23"/>
        </w:rPr>
        <w:t xml:space="preserve">nsuring that </w:t>
      </w:r>
      <w:r w:rsidRPr="00772818">
        <w:t xml:space="preserve">only a builder or builders accredited under the Australian Government Building and Construction </w:t>
      </w:r>
      <w:r w:rsidR="00281874">
        <w:t>WHS</w:t>
      </w:r>
      <w:r w:rsidRPr="00772818">
        <w:t xml:space="preserve"> Accreditation Scheme is </w:t>
      </w:r>
      <w:r>
        <w:t>contracted, and providing the necessary assurances to the Commonwealth;</w:t>
      </w:r>
    </w:p>
    <w:p w14:paraId="20E139C7" w14:textId="58983D89" w:rsidR="003B125D" w:rsidRDefault="004F5DCD" w:rsidP="000C2FD6">
      <w:pPr>
        <w:pStyle w:val="AlphaParagraph"/>
        <w:numPr>
          <w:ilvl w:val="0"/>
          <w:numId w:val="21"/>
        </w:numPr>
        <w:tabs>
          <w:tab w:val="clear" w:pos="567"/>
          <w:tab w:val="clear" w:pos="1418"/>
          <w:tab w:val="clear" w:pos="1701"/>
        </w:tabs>
        <w:spacing w:after="120"/>
        <w:ind w:left="1134" w:hanging="567"/>
        <w:rPr>
          <w:color w:val="auto"/>
          <w:szCs w:val="23"/>
        </w:rPr>
      </w:pPr>
      <w:r w:rsidRPr="00750F59">
        <w:rPr>
          <w:color w:val="auto"/>
          <w:szCs w:val="23"/>
        </w:rPr>
        <w:t>ensuring that compliance with the Building Code 201</w:t>
      </w:r>
      <w:r>
        <w:rPr>
          <w:color w:val="auto"/>
          <w:szCs w:val="23"/>
        </w:rPr>
        <w:t>6</w:t>
      </w:r>
      <w:r w:rsidRPr="00750F59">
        <w:rPr>
          <w:color w:val="auto"/>
        </w:rPr>
        <w:t xml:space="preserve"> is made a condition of tender for </w:t>
      </w:r>
      <w:r>
        <w:rPr>
          <w:color w:val="auto"/>
        </w:rPr>
        <w:t xml:space="preserve">and performance of building work by </w:t>
      </w:r>
      <w:r w:rsidRPr="00750F59">
        <w:rPr>
          <w:color w:val="auto"/>
        </w:rPr>
        <w:t>all contractors and subcontractors, and providing</w:t>
      </w:r>
      <w:r w:rsidRPr="00750F59">
        <w:rPr>
          <w:color w:val="auto"/>
          <w:szCs w:val="23"/>
        </w:rPr>
        <w:t xml:space="preserve"> the necessary assurances to the Commonwealth</w:t>
      </w:r>
      <w:r w:rsidR="00237E1B">
        <w:rPr>
          <w:color w:val="auto"/>
          <w:szCs w:val="23"/>
        </w:rPr>
        <w:t>;</w:t>
      </w:r>
    </w:p>
    <w:p w14:paraId="7B7242DC" w14:textId="77777777" w:rsidR="003B125D" w:rsidRDefault="007B2240" w:rsidP="000C2FD6">
      <w:pPr>
        <w:pStyle w:val="AlphaParagraph"/>
        <w:numPr>
          <w:ilvl w:val="0"/>
          <w:numId w:val="21"/>
        </w:numPr>
        <w:tabs>
          <w:tab w:val="clear" w:pos="567"/>
          <w:tab w:val="clear" w:pos="1418"/>
          <w:tab w:val="clear" w:pos="1701"/>
        </w:tabs>
        <w:spacing w:after="120"/>
        <w:ind w:left="1134" w:hanging="567"/>
        <w:rPr>
          <w:color w:val="auto"/>
          <w:szCs w:val="23"/>
        </w:rPr>
      </w:pPr>
      <w:r w:rsidRPr="006D12ED">
        <w:rPr>
          <w:color w:val="auto"/>
          <w:szCs w:val="23"/>
        </w:rPr>
        <w:t>notifying the Commonwealth as soon as practicable if any of the following occur in</w:t>
      </w:r>
      <w:r>
        <w:rPr>
          <w:color w:val="auto"/>
          <w:szCs w:val="23"/>
        </w:rPr>
        <w:t xml:space="preserve"> relation to the HESC Agreement:</w:t>
      </w:r>
    </w:p>
    <w:p w14:paraId="697BDB45" w14:textId="77777777" w:rsidR="003B125D" w:rsidRDefault="007B2240" w:rsidP="000C2FD6">
      <w:pPr>
        <w:pStyle w:val="AlphaParagraph"/>
        <w:numPr>
          <w:ilvl w:val="0"/>
          <w:numId w:val="54"/>
        </w:numPr>
        <w:tabs>
          <w:tab w:val="clear" w:pos="283"/>
          <w:tab w:val="clear" w:pos="567"/>
          <w:tab w:val="clear" w:pos="1134"/>
          <w:tab w:val="clear" w:pos="1418"/>
          <w:tab w:val="clear" w:pos="1701"/>
        </w:tabs>
        <w:spacing w:after="120"/>
        <w:ind w:left="1701" w:hanging="567"/>
        <w:rPr>
          <w:color w:val="auto"/>
          <w:szCs w:val="23"/>
        </w:rPr>
      </w:pPr>
      <w:r>
        <w:rPr>
          <w:color w:val="auto"/>
          <w:szCs w:val="23"/>
        </w:rPr>
        <w:t xml:space="preserve">there are </w:t>
      </w:r>
      <w:r w:rsidR="003B125D">
        <w:rPr>
          <w:color w:val="auto"/>
          <w:szCs w:val="23"/>
        </w:rPr>
        <w:t xml:space="preserve">any material changes to the substance of the </w:t>
      </w:r>
      <w:r>
        <w:rPr>
          <w:color w:val="auto"/>
          <w:szCs w:val="23"/>
        </w:rPr>
        <w:t>HESC</w:t>
      </w:r>
      <w:r w:rsidR="003B125D">
        <w:rPr>
          <w:color w:val="auto"/>
          <w:szCs w:val="23"/>
        </w:rPr>
        <w:t xml:space="preserve"> </w:t>
      </w:r>
      <w:r>
        <w:rPr>
          <w:color w:val="auto"/>
          <w:szCs w:val="23"/>
        </w:rPr>
        <w:t>A</w:t>
      </w:r>
      <w:r w:rsidR="003B125D">
        <w:rPr>
          <w:color w:val="auto"/>
          <w:szCs w:val="23"/>
        </w:rPr>
        <w:t>greement</w:t>
      </w:r>
      <w:r w:rsidR="00C33CF3">
        <w:rPr>
          <w:color w:val="auto"/>
          <w:szCs w:val="23"/>
        </w:rPr>
        <w:t>;</w:t>
      </w:r>
    </w:p>
    <w:p w14:paraId="4F97CEE4" w14:textId="77777777" w:rsidR="003B125D" w:rsidRDefault="007B2240" w:rsidP="000C2FD6">
      <w:pPr>
        <w:pStyle w:val="AlphaParagraph"/>
        <w:numPr>
          <w:ilvl w:val="0"/>
          <w:numId w:val="54"/>
        </w:numPr>
        <w:tabs>
          <w:tab w:val="clear" w:pos="283"/>
          <w:tab w:val="clear" w:pos="567"/>
          <w:tab w:val="clear" w:pos="1134"/>
          <w:tab w:val="clear" w:pos="1418"/>
          <w:tab w:val="clear" w:pos="1701"/>
        </w:tabs>
        <w:spacing w:after="120"/>
        <w:ind w:left="1701" w:hanging="567"/>
        <w:rPr>
          <w:color w:val="auto"/>
          <w:szCs w:val="23"/>
        </w:rPr>
      </w:pPr>
      <w:r>
        <w:rPr>
          <w:color w:val="auto"/>
          <w:szCs w:val="23"/>
        </w:rPr>
        <w:t xml:space="preserve">there are </w:t>
      </w:r>
      <w:r w:rsidR="003B125D">
        <w:rPr>
          <w:color w:val="auto"/>
          <w:szCs w:val="23"/>
        </w:rPr>
        <w:t xml:space="preserve">any material changes to HEA’s capacity to fulfil its obligations under the </w:t>
      </w:r>
      <w:r>
        <w:rPr>
          <w:color w:val="auto"/>
          <w:szCs w:val="23"/>
        </w:rPr>
        <w:t>HESC</w:t>
      </w:r>
      <w:r w:rsidR="003B125D">
        <w:rPr>
          <w:color w:val="auto"/>
          <w:szCs w:val="23"/>
        </w:rPr>
        <w:t xml:space="preserve"> </w:t>
      </w:r>
      <w:r>
        <w:rPr>
          <w:color w:val="auto"/>
          <w:szCs w:val="23"/>
        </w:rPr>
        <w:t>A</w:t>
      </w:r>
      <w:r w:rsidR="003B125D">
        <w:rPr>
          <w:color w:val="auto"/>
          <w:szCs w:val="23"/>
        </w:rPr>
        <w:t>greement</w:t>
      </w:r>
      <w:r w:rsidR="00C33CF3">
        <w:rPr>
          <w:color w:val="auto"/>
          <w:szCs w:val="23"/>
        </w:rPr>
        <w:t>;</w:t>
      </w:r>
    </w:p>
    <w:p w14:paraId="0DE8DF17" w14:textId="77777777" w:rsidR="003B125D" w:rsidRDefault="007B2240" w:rsidP="000C2FD6">
      <w:pPr>
        <w:pStyle w:val="AlphaParagraph"/>
        <w:numPr>
          <w:ilvl w:val="0"/>
          <w:numId w:val="54"/>
        </w:numPr>
        <w:tabs>
          <w:tab w:val="clear" w:pos="283"/>
          <w:tab w:val="clear" w:pos="567"/>
          <w:tab w:val="clear" w:pos="1134"/>
          <w:tab w:val="clear" w:pos="1418"/>
          <w:tab w:val="clear" w:pos="1701"/>
        </w:tabs>
        <w:spacing w:after="120"/>
        <w:ind w:left="1701" w:hanging="567"/>
        <w:rPr>
          <w:color w:val="auto"/>
          <w:szCs w:val="23"/>
        </w:rPr>
      </w:pPr>
      <w:r>
        <w:rPr>
          <w:color w:val="auto"/>
          <w:szCs w:val="23"/>
        </w:rPr>
        <w:t xml:space="preserve">there are </w:t>
      </w:r>
      <w:r w:rsidR="003B125D">
        <w:rPr>
          <w:color w:val="auto"/>
          <w:szCs w:val="23"/>
        </w:rPr>
        <w:t xml:space="preserve">any changes to the funding amounts under the </w:t>
      </w:r>
      <w:r>
        <w:rPr>
          <w:color w:val="auto"/>
          <w:szCs w:val="23"/>
        </w:rPr>
        <w:t>HESC</w:t>
      </w:r>
      <w:r w:rsidR="003B125D">
        <w:rPr>
          <w:color w:val="auto"/>
          <w:szCs w:val="23"/>
        </w:rPr>
        <w:t xml:space="preserve"> </w:t>
      </w:r>
      <w:r>
        <w:rPr>
          <w:color w:val="auto"/>
          <w:szCs w:val="23"/>
        </w:rPr>
        <w:t>A</w:t>
      </w:r>
      <w:r w:rsidR="003B125D">
        <w:rPr>
          <w:color w:val="auto"/>
          <w:szCs w:val="23"/>
        </w:rPr>
        <w:t>greement</w:t>
      </w:r>
      <w:r w:rsidR="00C33CF3">
        <w:rPr>
          <w:color w:val="auto"/>
          <w:szCs w:val="23"/>
        </w:rPr>
        <w:t>;</w:t>
      </w:r>
    </w:p>
    <w:p w14:paraId="39C33C2A" w14:textId="77777777" w:rsidR="003B125D" w:rsidRDefault="007B2240" w:rsidP="000C2FD6">
      <w:pPr>
        <w:pStyle w:val="AlphaParagraph"/>
        <w:numPr>
          <w:ilvl w:val="0"/>
          <w:numId w:val="54"/>
        </w:numPr>
        <w:tabs>
          <w:tab w:val="clear" w:pos="283"/>
          <w:tab w:val="clear" w:pos="567"/>
          <w:tab w:val="clear" w:pos="1134"/>
          <w:tab w:val="clear" w:pos="1418"/>
          <w:tab w:val="clear" w:pos="1701"/>
        </w:tabs>
        <w:spacing w:after="120"/>
        <w:ind w:left="1701" w:hanging="567"/>
        <w:rPr>
          <w:color w:val="auto"/>
          <w:szCs w:val="23"/>
        </w:rPr>
      </w:pPr>
      <w:r>
        <w:rPr>
          <w:color w:val="auto"/>
          <w:szCs w:val="23"/>
        </w:rPr>
        <w:t xml:space="preserve">there are </w:t>
      </w:r>
      <w:r w:rsidR="003B125D">
        <w:rPr>
          <w:color w:val="auto"/>
          <w:szCs w:val="23"/>
        </w:rPr>
        <w:t xml:space="preserve">any material breaches of the </w:t>
      </w:r>
      <w:r>
        <w:rPr>
          <w:color w:val="auto"/>
          <w:szCs w:val="23"/>
        </w:rPr>
        <w:t>HESC</w:t>
      </w:r>
      <w:r w:rsidR="003B125D">
        <w:rPr>
          <w:color w:val="auto"/>
          <w:szCs w:val="23"/>
        </w:rPr>
        <w:t xml:space="preserve"> </w:t>
      </w:r>
      <w:r>
        <w:rPr>
          <w:color w:val="auto"/>
          <w:szCs w:val="23"/>
        </w:rPr>
        <w:t>A</w:t>
      </w:r>
      <w:r w:rsidR="003B125D">
        <w:rPr>
          <w:color w:val="auto"/>
          <w:szCs w:val="23"/>
        </w:rPr>
        <w:t>greement</w:t>
      </w:r>
      <w:r w:rsidR="00C33CF3">
        <w:rPr>
          <w:color w:val="auto"/>
          <w:szCs w:val="23"/>
        </w:rPr>
        <w:t>;</w:t>
      </w:r>
    </w:p>
    <w:p w14:paraId="11E7E3B0" w14:textId="39A6EE2C" w:rsidR="003B125D" w:rsidRDefault="003B125D" w:rsidP="000C2FD6">
      <w:pPr>
        <w:pStyle w:val="AlphaParagraph"/>
        <w:numPr>
          <w:ilvl w:val="0"/>
          <w:numId w:val="54"/>
        </w:numPr>
        <w:tabs>
          <w:tab w:val="clear" w:pos="283"/>
          <w:tab w:val="clear" w:pos="567"/>
          <w:tab w:val="clear" w:pos="1134"/>
          <w:tab w:val="clear" w:pos="1418"/>
          <w:tab w:val="clear" w:pos="1701"/>
        </w:tabs>
        <w:spacing w:after="120"/>
        <w:ind w:left="1701" w:hanging="567"/>
        <w:rPr>
          <w:color w:val="auto"/>
          <w:szCs w:val="23"/>
        </w:rPr>
      </w:pPr>
      <w:r w:rsidRPr="00774FEE">
        <w:rPr>
          <w:color w:val="auto"/>
          <w:szCs w:val="23"/>
        </w:rPr>
        <w:t>any disputes aris</w:t>
      </w:r>
      <w:r w:rsidR="007B2240">
        <w:rPr>
          <w:color w:val="auto"/>
          <w:szCs w:val="23"/>
        </w:rPr>
        <w:t>e</w:t>
      </w:r>
      <w:r w:rsidRPr="00774FEE">
        <w:rPr>
          <w:color w:val="auto"/>
          <w:szCs w:val="23"/>
        </w:rPr>
        <w:t xml:space="preserve"> out of the </w:t>
      </w:r>
      <w:r w:rsidR="007B2240">
        <w:rPr>
          <w:color w:val="auto"/>
          <w:szCs w:val="23"/>
        </w:rPr>
        <w:t>HESC</w:t>
      </w:r>
      <w:r w:rsidR="002979DA">
        <w:rPr>
          <w:color w:val="auto"/>
          <w:szCs w:val="23"/>
        </w:rPr>
        <w:t xml:space="preserve"> A</w:t>
      </w:r>
      <w:r w:rsidRPr="00774FEE">
        <w:rPr>
          <w:color w:val="auto"/>
          <w:szCs w:val="23"/>
        </w:rPr>
        <w:t>greement</w:t>
      </w:r>
      <w:r w:rsidR="008D41DB">
        <w:rPr>
          <w:color w:val="auto"/>
          <w:szCs w:val="23"/>
        </w:rPr>
        <w:t xml:space="preserve">; </w:t>
      </w:r>
      <w:r w:rsidR="000F576A">
        <w:rPr>
          <w:color w:val="auto"/>
          <w:szCs w:val="23"/>
        </w:rPr>
        <w:t>and</w:t>
      </w:r>
    </w:p>
    <w:p w14:paraId="081694E8" w14:textId="1C856425" w:rsidR="00FC226A" w:rsidRPr="00802317" w:rsidRDefault="00FC226A" w:rsidP="000C2FD6">
      <w:pPr>
        <w:pStyle w:val="AlphaParagraph"/>
        <w:numPr>
          <w:ilvl w:val="0"/>
          <w:numId w:val="54"/>
        </w:numPr>
        <w:tabs>
          <w:tab w:val="clear" w:pos="283"/>
          <w:tab w:val="clear" w:pos="567"/>
          <w:tab w:val="clear" w:pos="1134"/>
          <w:tab w:val="clear" w:pos="1418"/>
          <w:tab w:val="clear" w:pos="1701"/>
        </w:tabs>
        <w:spacing w:after="120"/>
        <w:ind w:left="1701" w:hanging="567"/>
        <w:rPr>
          <w:color w:val="auto"/>
          <w:szCs w:val="23"/>
        </w:rPr>
      </w:pPr>
      <w:r>
        <w:rPr>
          <w:color w:val="auto"/>
          <w:szCs w:val="23"/>
        </w:rPr>
        <w:t>Victoria forms the opinion that a Default Event has occur</w:t>
      </w:r>
      <w:r w:rsidR="000F576A">
        <w:rPr>
          <w:color w:val="auto"/>
          <w:szCs w:val="23"/>
        </w:rPr>
        <w:t>red under the HESC Agreement;</w:t>
      </w:r>
    </w:p>
    <w:p w14:paraId="75DA9C0E" w14:textId="2996B0D7" w:rsidR="008D41DB" w:rsidRDefault="002979DA" w:rsidP="000C2FD6">
      <w:pPr>
        <w:pStyle w:val="AlphaParagraph"/>
        <w:numPr>
          <w:ilvl w:val="0"/>
          <w:numId w:val="21"/>
        </w:numPr>
        <w:tabs>
          <w:tab w:val="clear" w:pos="567"/>
          <w:tab w:val="clear" w:pos="1418"/>
          <w:tab w:val="clear" w:pos="1701"/>
        </w:tabs>
        <w:spacing w:after="120"/>
        <w:ind w:left="1134" w:hanging="567"/>
        <w:rPr>
          <w:color w:val="auto"/>
          <w:szCs w:val="23"/>
        </w:rPr>
      </w:pPr>
      <w:r>
        <w:rPr>
          <w:color w:val="auto"/>
          <w:szCs w:val="23"/>
        </w:rPr>
        <w:t>l</w:t>
      </w:r>
      <w:r w:rsidR="00456724">
        <w:rPr>
          <w:color w:val="auto"/>
          <w:szCs w:val="23"/>
        </w:rPr>
        <w:t xml:space="preserve">icensing </w:t>
      </w:r>
      <w:r w:rsidR="008D41DB">
        <w:rPr>
          <w:color w:val="auto"/>
          <w:szCs w:val="23"/>
        </w:rPr>
        <w:t xml:space="preserve"> Intellectual Property rights to the Commonwealth </w:t>
      </w:r>
      <w:r w:rsidR="00456724">
        <w:rPr>
          <w:color w:val="auto"/>
          <w:szCs w:val="23"/>
        </w:rPr>
        <w:t xml:space="preserve">equivalent to those </w:t>
      </w:r>
      <w:r w:rsidR="008D41DB">
        <w:rPr>
          <w:color w:val="auto"/>
          <w:szCs w:val="23"/>
        </w:rPr>
        <w:t xml:space="preserve">that are afforded to Victoria under </w:t>
      </w:r>
      <w:r w:rsidR="00456724">
        <w:rPr>
          <w:color w:val="auto"/>
          <w:szCs w:val="23"/>
        </w:rPr>
        <w:t>the HESC</w:t>
      </w:r>
      <w:r>
        <w:rPr>
          <w:color w:val="auto"/>
          <w:szCs w:val="23"/>
        </w:rPr>
        <w:t xml:space="preserve"> </w:t>
      </w:r>
      <w:r w:rsidR="00456724">
        <w:rPr>
          <w:color w:val="auto"/>
          <w:szCs w:val="23"/>
        </w:rPr>
        <w:t>A</w:t>
      </w:r>
      <w:r w:rsidR="008D41DB">
        <w:rPr>
          <w:color w:val="auto"/>
          <w:szCs w:val="23"/>
        </w:rPr>
        <w:t>greement</w:t>
      </w:r>
      <w:r w:rsidR="00D76E2D">
        <w:rPr>
          <w:color w:val="auto"/>
          <w:szCs w:val="23"/>
        </w:rPr>
        <w:t>;</w:t>
      </w:r>
    </w:p>
    <w:p w14:paraId="5EA1BCE5" w14:textId="77777777" w:rsidR="004A6103" w:rsidRDefault="000C7860" w:rsidP="000C2FD6">
      <w:pPr>
        <w:pStyle w:val="AlphaParagraph"/>
        <w:numPr>
          <w:ilvl w:val="0"/>
          <w:numId w:val="21"/>
        </w:numPr>
        <w:tabs>
          <w:tab w:val="clear" w:pos="567"/>
          <w:tab w:val="clear" w:pos="1418"/>
          <w:tab w:val="clear" w:pos="1701"/>
        </w:tabs>
        <w:spacing w:after="120"/>
        <w:ind w:left="1134" w:hanging="567"/>
        <w:rPr>
          <w:color w:val="auto"/>
          <w:szCs w:val="23"/>
        </w:rPr>
      </w:pPr>
      <w:r w:rsidRPr="00A40EAB">
        <w:rPr>
          <w:color w:val="auto"/>
          <w:szCs w:val="23"/>
        </w:rPr>
        <w:t>seeking Commonwealth approval of HEA’s proposed Commercialisation Plan prior to issuing Victoria’s approval;</w:t>
      </w:r>
      <w:r>
        <w:rPr>
          <w:color w:val="auto"/>
          <w:szCs w:val="23"/>
        </w:rPr>
        <w:t xml:space="preserve"> </w:t>
      </w:r>
      <w:r w:rsidR="004A6103">
        <w:rPr>
          <w:color w:val="auto"/>
          <w:szCs w:val="23"/>
        </w:rPr>
        <w:t>and</w:t>
      </w:r>
    </w:p>
    <w:p w14:paraId="7DD8881C" w14:textId="1B7D836E" w:rsidR="007203FC" w:rsidRPr="006B2A30" w:rsidRDefault="00054671" w:rsidP="000C2FD6">
      <w:pPr>
        <w:pStyle w:val="AlphaParagraph"/>
        <w:numPr>
          <w:ilvl w:val="0"/>
          <w:numId w:val="21"/>
        </w:numPr>
        <w:tabs>
          <w:tab w:val="clear" w:pos="567"/>
          <w:tab w:val="clear" w:pos="1418"/>
          <w:tab w:val="clear" w:pos="1701"/>
        </w:tabs>
        <w:spacing w:after="120"/>
        <w:ind w:left="1134" w:hanging="567"/>
        <w:rPr>
          <w:color w:val="auto"/>
          <w:szCs w:val="23"/>
        </w:rPr>
      </w:pPr>
      <w:r w:rsidRPr="006B2A30">
        <w:rPr>
          <w:color w:val="auto"/>
          <w:szCs w:val="23"/>
        </w:rPr>
        <w:t>ensuring</w:t>
      </w:r>
      <w:r w:rsidR="004A6103" w:rsidRPr="006B2A30">
        <w:rPr>
          <w:color w:val="auto"/>
          <w:szCs w:val="23"/>
        </w:rPr>
        <w:t xml:space="preserve"> that HEA </w:t>
      </w:r>
      <w:r w:rsidR="000C7860" w:rsidRPr="006B2A30">
        <w:rPr>
          <w:color w:val="auto"/>
          <w:szCs w:val="23"/>
        </w:rPr>
        <w:t xml:space="preserve">has </w:t>
      </w:r>
      <w:r w:rsidR="004A6103" w:rsidRPr="006B2A30">
        <w:rPr>
          <w:color w:val="auto"/>
          <w:szCs w:val="23"/>
        </w:rPr>
        <w:t>company</w:t>
      </w:r>
      <w:r w:rsidRPr="006B2A30">
        <w:rPr>
          <w:color w:val="auto"/>
          <w:szCs w:val="23"/>
        </w:rPr>
        <w:t xml:space="preserve"> guarantees</w:t>
      </w:r>
      <w:r w:rsidR="004A6103" w:rsidRPr="006B2A30">
        <w:rPr>
          <w:color w:val="auto"/>
          <w:szCs w:val="23"/>
        </w:rPr>
        <w:t xml:space="preserve"> </w:t>
      </w:r>
      <w:r w:rsidR="006D12ED" w:rsidRPr="006B2A30">
        <w:rPr>
          <w:color w:val="auto"/>
          <w:szCs w:val="23"/>
        </w:rPr>
        <w:t xml:space="preserve">for </w:t>
      </w:r>
      <w:r w:rsidR="006B30FA" w:rsidRPr="006B2A30">
        <w:rPr>
          <w:color w:val="auto"/>
          <w:szCs w:val="23"/>
        </w:rPr>
        <w:t>all Participating Organisations</w:t>
      </w:r>
      <w:r w:rsidR="006D12ED" w:rsidRPr="006B2A30">
        <w:rPr>
          <w:color w:val="auto"/>
          <w:szCs w:val="23"/>
        </w:rPr>
        <w:t xml:space="preserve"> </w:t>
      </w:r>
      <w:r w:rsidR="004A6103" w:rsidRPr="006B2A30">
        <w:rPr>
          <w:color w:val="auto"/>
          <w:szCs w:val="23"/>
        </w:rPr>
        <w:t xml:space="preserve">in favour of </w:t>
      </w:r>
      <w:r w:rsidR="006B30FA" w:rsidRPr="006B2A30">
        <w:rPr>
          <w:color w:val="auto"/>
          <w:szCs w:val="23"/>
        </w:rPr>
        <w:t>Victoria</w:t>
      </w:r>
      <w:r w:rsidR="00D76E2D">
        <w:rPr>
          <w:color w:val="auto"/>
          <w:szCs w:val="23"/>
        </w:rPr>
        <w:t>.</w:t>
      </w:r>
    </w:p>
    <w:p w14:paraId="76EAA217" w14:textId="77777777" w:rsidR="008F44F1" w:rsidRDefault="008F44F1" w:rsidP="000C2FD6">
      <w:pPr>
        <w:pStyle w:val="Heading2"/>
        <w:spacing w:before="0"/>
      </w:pPr>
      <w:r>
        <w:t>Shared roles</w:t>
      </w:r>
    </w:p>
    <w:p w14:paraId="53FAFCCD" w14:textId="77777777" w:rsidR="00C9225D" w:rsidRPr="00D909D6" w:rsidRDefault="0029279A" w:rsidP="000C2FD6">
      <w:pPr>
        <w:pStyle w:val="Normalnumbered"/>
        <w:numPr>
          <w:ilvl w:val="0"/>
          <w:numId w:val="16"/>
        </w:numPr>
        <w:spacing w:after="120"/>
      </w:pPr>
      <w:r>
        <w:rPr>
          <w:color w:val="auto"/>
        </w:rPr>
        <w:t>T</w:t>
      </w:r>
      <w:r w:rsidR="006401FE">
        <w:rPr>
          <w:color w:val="auto"/>
        </w:rPr>
        <w:t xml:space="preserve">he Commonwealth and Victoria will agree on governance arrangements </w:t>
      </w:r>
      <w:r>
        <w:rPr>
          <w:color w:val="auto"/>
        </w:rPr>
        <w:t>for</w:t>
      </w:r>
      <w:r w:rsidR="006401FE">
        <w:rPr>
          <w:color w:val="auto"/>
        </w:rPr>
        <w:t xml:space="preserve"> the HESC Project</w:t>
      </w:r>
      <w:r w:rsidR="00C9225D">
        <w:rPr>
          <w:color w:val="auto"/>
        </w:rPr>
        <w:t>, which must include:</w:t>
      </w:r>
    </w:p>
    <w:p w14:paraId="5EC13803" w14:textId="0D117264" w:rsidR="006401FE" w:rsidRPr="00D909D6" w:rsidRDefault="00C9225D" w:rsidP="000C2FD6">
      <w:pPr>
        <w:pStyle w:val="Normalnumbered"/>
        <w:numPr>
          <w:ilvl w:val="1"/>
          <w:numId w:val="44"/>
        </w:numPr>
        <w:tabs>
          <w:tab w:val="clear" w:pos="1440"/>
          <w:tab w:val="num" w:pos="1134"/>
        </w:tabs>
        <w:spacing w:after="120"/>
        <w:ind w:left="1134" w:hanging="567"/>
      </w:pPr>
      <w:r>
        <w:rPr>
          <w:color w:val="auto"/>
          <w:szCs w:val="23"/>
        </w:rPr>
        <w:t>the establishment of an Intergovernmental</w:t>
      </w:r>
      <w:r w:rsidR="000B3249">
        <w:rPr>
          <w:color w:val="auto"/>
          <w:szCs w:val="23"/>
        </w:rPr>
        <w:t xml:space="preserve"> Steering Committee </w:t>
      </w:r>
      <w:r>
        <w:rPr>
          <w:color w:val="auto"/>
          <w:szCs w:val="23"/>
        </w:rPr>
        <w:t>to provide oversight of the Project Agreement and Victoria’s responsibilities to the Commonwealth under the HESC Agreement</w:t>
      </w:r>
      <w:r w:rsidR="000B3249">
        <w:rPr>
          <w:color w:val="auto"/>
          <w:szCs w:val="23"/>
        </w:rPr>
        <w:t>; and</w:t>
      </w:r>
    </w:p>
    <w:p w14:paraId="358EA860" w14:textId="77777777" w:rsidR="000B3249" w:rsidRPr="00237E1B" w:rsidRDefault="000B3249" w:rsidP="000C2FD6">
      <w:pPr>
        <w:pStyle w:val="Normalnumbered"/>
        <w:numPr>
          <w:ilvl w:val="1"/>
          <w:numId w:val="44"/>
        </w:numPr>
        <w:tabs>
          <w:tab w:val="clear" w:pos="1440"/>
          <w:tab w:val="num" w:pos="1134"/>
        </w:tabs>
        <w:spacing w:after="120"/>
        <w:ind w:left="1134" w:hanging="567"/>
      </w:pPr>
      <w:r>
        <w:rPr>
          <w:color w:val="auto"/>
          <w:szCs w:val="23"/>
        </w:rPr>
        <w:t>the establishment of a separate HESC Project Governance structure, including a Steering Committee with strategic oversight of the HESC project, and a Working Group to review project plans and develop project documentation.</w:t>
      </w:r>
    </w:p>
    <w:p w14:paraId="6FD7013C" w14:textId="253F24C9" w:rsidR="00237E1B" w:rsidRDefault="00237E1B" w:rsidP="00237E1B">
      <w:pPr>
        <w:pStyle w:val="Normalnumbered"/>
        <w:numPr>
          <w:ilvl w:val="0"/>
          <w:numId w:val="16"/>
        </w:numPr>
        <w:spacing w:after="480"/>
      </w:pPr>
      <w:r w:rsidRPr="006960DB">
        <w:rPr>
          <w:color w:val="auto"/>
        </w:rPr>
        <w:t xml:space="preserve">The Parties will </w:t>
      </w:r>
      <w:r w:rsidRPr="006960DB">
        <w:t xml:space="preserve">meet the requirements of Schedule E, Clause 26 of </w:t>
      </w:r>
      <w:r w:rsidRPr="006960DB">
        <w:rPr>
          <w:color w:val="auto"/>
        </w:rPr>
        <w:t>the IGA FFR, by ensuring that prior agreemen</w:t>
      </w:r>
      <w:r w:rsidRPr="006960DB">
        <w:t>t is reached on the nature and content of any events, announcements, promotional material or publicity relating to activities under this Agreement, and that the roles of both Parties will be acknowledged and recognised appropriately.</w:t>
      </w:r>
    </w:p>
    <w:p w14:paraId="3CDE4A2F"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0FE890D1" w14:textId="592B1D6F" w:rsidR="009234B8" w:rsidRDefault="00545DF7" w:rsidP="00266F47">
      <w:pPr>
        <w:pStyle w:val="Normalnumbered"/>
        <w:numPr>
          <w:ilvl w:val="0"/>
          <w:numId w:val="16"/>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54359C">
        <w:rPr>
          <w:szCs w:val="23"/>
        </w:rPr>
        <w:t xml:space="preserve">milestone </w:t>
      </w:r>
      <w:r w:rsidR="00ED2AC4">
        <w:t>has been met.</w:t>
      </w:r>
    </w:p>
    <w:p w14:paraId="02B0CD94" w14:textId="67DA17FA" w:rsidR="004931F2" w:rsidRDefault="00E34C7A" w:rsidP="003645CE">
      <w:pPr>
        <w:spacing w:after="0" w:line="240" w:lineRule="auto"/>
        <w:jc w:val="left"/>
        <w:rPr>
          <w:b/>
        </w:rPr>
      </w:pPr>
      <w:r>
        <w:rPr>
          <w:b/>
        </w:rPr>
        <w:br w:type="page"/>
      </w:r>
      <w:r w:rsidR="0095223D" w:rsidRPr="009234B8">
        <w:rPr>
          <w:b/>
        </w:rPr>
        <w:lastRenderedPageBreak/>
        <w:t xml:space="preserve">Table </w:t>
      </w:r>
      <w:r w:rsidR="00E204BB" w:rsidRPr="009234B8">
        <w:rPr>
          <w:b/>
        </w:rPr>
        <w:t>1</w:t>
      </w:r>
      <w:r w:rsidR="0095223D" w:rsidRPr="00C47FF1">
        <w:t xml:space="preserve">: </w:t>
      </w:r>
      <w:r w:rsidR="00806D94" w:rsidRPr="009234B8">
        <w:rPr>
          <w:b/>
        </w:rPr>
        <w:t>Performance requirements</w:t>
      </w:r>
      <w:r w:rsidR="0095223D" w:rsidRPr="009234B8">
        <w:rPr>
          <w:b/>
        </w:rPr>
        <w:t>, reporting and payment summary</w:t>
      </w:r>
    </w:p>
    <w:tbl>
      <w:tblPr>
        <w:tblW w:w="0" w:type="auto"/>
        <w:tblCellMar>
          <w:left w:w="0" w:type="dxa"/>
          <w:right w:w="0" w:type="dxa"/>
        </w:tblCellMar>
        <w:tblLook w:val="04A0" w:firstRow="1" w:lastRow="0" w:firstColumn="1" w:lastColumn="0" w:noHBand="0" w:noVBand="1"/>
      </w:tblPr>
      <w:tblGrid>
        <w:gridCol w:w="2471"/>
        <w:gridCol w:w="3917"/>
        <w:gridCol w:w="1500"/>
        <w:gridCol w:w="1730"/>
      </w:tblGrid>
      <w:tr w:rsidR="009234B8" w14:paraId="3910642E" w14:textId="77777777" w:rsidTr="003645CE">
        <w:trPr>
          <w:trHeight w:val="547"/>
          <w:tblHeader/>
        </w:trPr>
        <w:tc>
          <w:tcPr>
            <w:tcW w:w="2471"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14:paraId="050C8BF1" w14:textId="72B202C5" w:rsidR="009234B8" w:rsidRDefault="009234B8" w:rsidP="00EA7096">
            <w:pPr>
              <w:pStyle w:val="Heading2"/>
              <w:rPr>
                <w:sz w:val="24"/>
                <w:szCs w:val="24"/>
              </w:rPr>
            </w:pPr>
            <w:r>
              <w:rPr>
                <w:sz w:val="24"/>
                <w:szCs w:val="24"/>
              </w:rPr>
              <w:t>Outputs</w:t>
            </w:r>
          </w:p>
        </w:tc>
        <w:tc>
          <w:tcPr>
            <w:tcW w:w="3917"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4D615C04" w14:textId="32213162" w:rsidR="009234B8" w:rsidRDefault="009234B8" w:rsidP="00EA7096">
            <w:pPr>
              <w:pStyle w:val="Heading2"/>
              <w:rPr>
                <w:sz w:val="24"/>
                <w:szCs w:val="24"/>
              </w:rPr>
            </w:pPr>
            <w:r>
              <w:rPr>
                <w:sz w:val="24"/>
                <w:szCs w:val="24"/>
              </w:rPr>
              <w:t>Performance milestones</w:t>
            </w:r>
            <w:r w:rsidDel="00D150BE">
              <w:rPr>
                <w:sz w:val="24"/>
                <w:szCs w:val="24"/>
              </w:rPr>
              <w:t xml:space="preserve"> </w:t>
            </w:r>
          </w:p>
        </w:tc>
        <w:tc>
          <w:tcPr>
            <w:tcW w:w="1500"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2B13D986" w14:textId="77777777" w:rsidR="009234B8" w:rsidRDefault="009234B8" w:rsidP="00EA7096">
            <w:pPr>
              <w:pStyle w:val="Heading2"/>
              <w:rPr>
                <w:sz w:val="18"/>
                <w:szCs w:val="18"/>
              </w:rPr>
            </w:pPr>
            <w:r>
              <w:rPr>
                <w:sz w:val="24"/>
                <w:szCs w:val="24"/>
              </w:rPr>
              <w:t xml:space="preserve">Report due </w:t>
            </w:r>
          </w:p>
        </w:tc>
        <w:tc>
          <w:tcPr>
            <w:tcW w:w="1730"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14:paraId="338CBBE1" w14:textId="77777777" w:rsidR="009234B8" w:rsidRDefault="009234B8" w:rsidP="00EA7096">
            <w:pPr>
              <w:pStyle w:val="Heading2"/>
              <w:rPr>
                <w:sz w:val="24"/>
                <w:szCs w:val="24"/>
              </w:rPr>
            </w:pPr>
            <w:r>
              <w:rPr>
                <w:sz w:val="24"/>
                <w:szCs w:val="24"/>
              </w:rPr>
              <w:t>Payment</w:t>
            </w:r>
          </w:p>
        </w:tc>
      </w:tr>
      <w:tr w:rsidR="00BB2DFE" w:rsidRPr="00894494" w14:paraId="7DC363B0" w14:textId="77777777" w:rsidTr="00266F47">
        <w:tc>
          <w:tcPr>
            <w:tcW w:w="2471" w:type="dxa"/>
            <w:tcBorders>
              <w:top w:val="single" w:sz="1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5BFE3A1A" w14:textId="77777777" w:rsidR="00BB2DFE" w:rsidRDefault="00BB2DFE" w:rsidP="00266F47">
            <w:pPr>
              <w:pStyle w:val="Heading2"/>
              <w:rPr>
                <w:b w:val="0"/>
                <w:bCs w:val="0"/>
                <w:color w:val="auto"/>
                <w:sz w:val="23"/>
                <w:szCs w:val="23"/>
              </w:rPr>
            </w:pPr>
            <w:r>
              <w:rPr>
                <w:b w:val="0"/>
                <w:bCs w:val="0"/>
                <w:color w:val="auto"/>
                <w:sz w:val="23"/>
                <w:szCs w:val="23"/>
              </w:rPr>
              <w:t>Construction of a gas refining plant in the Latrobe Valley; and  liquifaction and transport facilities at the Port of Hastings</w:t>
            </w:r>
          </w:p>
          <w:p w14:paraId="44E01074" w14:textId="08CFC010" w:rsidR="00BB2DFE" w:rsidRPr="00BB2DFE" w:rsidRDefault="00BB2DFE" w:rsidP="00266F47">
            <w:pPr>
              <w:pStyle w:val="Heading2"/>
              <w:spacing w:before="120"/>
            </w:pPr>
            <w:r>
              <w:rPr>
                <w:b w:val="0"/>
                <w:bCs w:val="0"/>
                <w:color w:val="auto"/>
                <w:sz w:val="23"/>
                <w:szCs w:val="23"/>
              </w:rPr>
              <w:t xml:space="preserve">Delivery of a coal preparation </w:t>
            </w:r>
            <w:r w:rsidR="004F7C2F">
              <w:rPr>
                <w:b w:val="0"/>
                <w:bCs w:val="0"/>
                <w:color w:val="auto"/>
                <w:sz w:val="23"/>
                <w:szCs w:val="23"/>
              </w:rPr>
              <w:t xml:space="preserve">technologies </w:t>
            </w:r>
            <w:r>
              <w:rPr>
                <w:b w:val="0"/>
                <w:bCs w:val="0"/>
                <w:color w:val="auto"/>
                <w:sz w:val="23"/>
                <w:szCs w:val="23"/>
              </w:rPr>
              <w:t>plan</w:t>
            </w:r>
          </w:p>
        </w:tc>
        <w:tc>
          <w:tcPr>
            <w:tcW w:w="3917" w:type="dxa"/>
            <w:tcBorders>
              <w:top w:val="single" w:sz="18" w:space="0" w:color="4F81BD"/>
              <w:left w:val="nil"/>
              <w:bottom w:val="single" w:sz="8" w:space="0" w:color="4F81BD"/>
              <w:right w:val="single" w:sz="8" w:space="0" w:color="4F81BD"/>
            </w:tcBorders>
            <w:tcMar>
              <w:top w:w="0" w:type="dxa"/>
              <w:left w:w="108" w:type="dxa"/>
              <w:bottom w:w="0" w:type="dxa"/>
              <w:right w:w="108" w:type="dxa"/>
            </w:tcMar>
          </w:tcPr>
          <w:p w14:paraId="62E40084" w14:textId="67959DA6" w:rsidR="00BB2DFE" w:rsidRDefault="00BB2DFE" w:rsidP="00EA7096">
            <w:pPr>
              <w:pStyle w:val="Heading2"/>
              <w:rPr>
                <w:b w:val="0"/>
                <w:bCs w:val="0"/>
                <w:color w:val="auto"/>
                <w:sz w:val="23"/>
                <w:szCs w:val="23"/>
              </w:rPr>
            </w:pPr>
            <w:r>
              <w:rPr>
                <w:b w:val="0"/>
                <w:bCs w:val="0"/>
                <w:color w:val="auto"/>
                <w:sz w:val="23"/>
                <w:szCs w:val="23"/>
              </w:rPr>
              <w:t xml:space="preserve">Completion </w:t>
            </w:r>
            <w:r w:rsidRPr="00F93F0D">
              <w:rPr>
                <w:b w:val="0"/>
                <w:bCs w:val="0"/>
                <w:color w:val="auto"/>
                <w:sz w:val="23"/>
                <w:szCs w:val="23"/>
              </w:rPr>
              <w:t xml:space="preserve">of </w:t>
            </w:r>
            <w:r w:rsidR="000F576A">
              <w:rPr>
                <w:b w:val="0"/>
                <w:bCs w:val="0"/>
                <w:color w:val="auto"/>
                <w:sz w:val="23"/>
                <w:szCs w:val="23"/>
              </w:rPr>
              <w:t>a Project Plan</w:t>
            </w:r>
            <w:r w:rsidRPr="00F93F0D">
              <w:rPr>
                <w:b w:val="0"/>
                <w:bCs w:val="0"/>
                <w:color w:val="auto"/>
                <w:sz w:val="23"/>
                <w:szCs w:val="23"/>
              </w:rPr>
              <w:t xml:space="preserve"> </w:t>
            </w:r>
            <w:r>
              <w:rPr>
                <w:b w:val="0"/>
                <w:bCs w:val="0"/>
                <w:color w:val="auto"/>
                <w:sz w:val="23"/>
                <w:szCs w:val="23"/>
              </w:rPr>
              <w:t>and Risk Management Plan</w:t>
            </w:r>
          </w:p>
          <w:p w14:paraId="5A5B1C92" w14:textId="77777777" w:rsidR="00BB2DFE" w:rsidRDefault="00BB2DFE" w:rsidP="00266F47">
            <w:pPr>
              <w:pStyle w:val="Heading2"/>
              <w:spacing w:after="240"/>
              <w:rPr>
                <w:b w:val="0"/>
                <w:bCs w:val="0"/>
                <w:color w:val="auto"/>
                <w:sz w:val="23"/>
                <w:szCs w:val="23"/>
              </w:rPr>
            </w:pPr>
            <w:r>
              <w:rPr>
                <w:b w:val="0"/>
                <w:bCs w:val="0"/>
                <w:color w:val="auto"/>
                <w:sz w:val="23"/>
                <w:szCs w:val="23"/>
              </w:rPr>
              <w:t>Completion</w:t>
            </w:r>
            <w:r w:rsidRPr="00F93F0D">
              <w:rPr>
                <w:b w:val="0"/>
                <w:bCs w:val="0"/>
                <w:color w:val="auto"/>
                <w:sz w:val="23"/>
                <w:szCs w:val="23"/>
              </w:rPr>
              <w:t xml:space="preserve"> of a HESC Communication Strategy, Stakeholder Engagement Strategy and Implementation Plan</w:t>
            </w:r>
          </w:p>
          <w:p w14:paraId="46E9FAAD" w14:textId="3745F855" w:rsidR="00BB2DFE" w:rsidRPr="00BB2DFE" w:rsidRDefault="00BB2DFE" w:rsidP="00266F47">
            <w:pPr>
              <w:spacing w:after="120"/>
            </w:pPr>
            <w:r>
              <w:rPr>
                <w:color w:val="auto"/>
                <w:szCs w:val="23"/>
              </w:rPr>
              <w:t>Completion</w:t>
            </w:r>
            <w:r w:rsidRPr="00F93F0D">
              <w:rPr>
                <w:color w:val="auto"/>
                <w:szCs w:val="23"/>
              </w:rPr>
              <w:t xml:space="preserve"> of a</w:t>
            </w:r>
            <w:r>
              <w:rPr>
                <w:color w:val="auto"/>
                <w:szCs w:val="23"/>
              </w:rPr>
              <w:t>n initial</w:t>
            </w:r>
            <w:r w:rsidRPr="00F93F0D">
              <w:rPr>
                <w:color w:val="auto"/>
                <w:szCs w:val="23"/>
              </w:rPr>
              <w:t xml:space="preserve"> Scope of Works </w:t>
            </w:r>
            <w:r>
              <w:rPr>
                <w:color w:val="auto"/>
                <w:szCs w:val="23"/>
              </w:rPr>
              <w:t xml:space="preserve">and Stage 1 Project Plan </w:t>
            </w:r>
            <w:r w:rsidRPr="00F93F0D">
              <w:rPr>
                <w:color w:val="auto"/>
                <w:szCs w:val="23"/>
              </w:rPr>
              <w:t xml:space="preserve">for the </w:t>
            </w:r>
            <w:r w:rsidR="00266F47">
              <w:rPr>
                <w:color w:val="auto"/>
                <w:szCs w:val="23"/>
              </w:rPr>
              <w:t>c</w:t>
            </w:r>
            <w:r w:rsidRPr="00F93F0D">
              <w:rPr>
                <w:color w:val="auto"/>
                <w:szCs w:val="23"/>
              </w:rPr>
              <w:t xml:space="preserve">oal </w:t>
            </w:r>
            <w:r w:rsidR="00266F47">
              <w:rPr>
                <w:color w:val="auto"/>
                <w:szCs w:val="23"/>
              </w:rPr>
              <w:t>p</w:t>
            </w:r>
            <w:r w:rsidRPr="00F93F0D">
              <w:rPr>
                <w:color w:val="auto"/>
                <w:szCs w:val="23"/>
              </w:rPr>
              <w:t xml:space="preserve">reparation </w:t>
            </w:r>
            <w:r w:rsidR="00266F47">
              <w:rPr>
                <w:color w:val="auto"/>
                <w:szCs w:val="23"/>
              </w:rPr>
              <w:t>w</w:t>
            </w:r>
            <w:r w:rsidRPr="00F93F0D">
              <w:rPr>
                <w:color w:val="auto"/>
                <w:szCs w:val="23"/>
              </w:rPr>
              <w:t>ork</w:t>
            </w:r>
          </w:p>
        </w:tc>
        <w:tc>
          <w:tcPr>
            <w:tcW w:w="1500" w:type="dxa"/>
            <w:tcBorders>
              <w:top w:val="single" w:sz="18" w:space="0" w:color="4F81BD"/>
              <w:left w:val="nil"/>
              <w:bottom w:val="single" w:sz="8" w:space="0" w:color="4F81BD"/>
              <w:right w:val="single" w:sz="8" w:space="0" w:color="4F81BD"/>
            </w:tcBorders>
            <w:tcMar>
              <w:top w:w="0" w:type="dxa"/>
              <w:left w:w="108" w:type="dxa"/>
              <w:bottom w:w="0" w:type="dxa"/>
              <w:right w:w="108" w:type="dxa"/>
            </w:tcMar>
          </w:tcPr>
          <w:p w14:paraId="1942A07B" w14:textId="77777777" w:rsidR="00BB2DFE" w:rsidRPr="00F93F0D" w:rsidRDefault="00BB2DFE" w:rsidP="00EA7096">
            <w:pPr>
              <w:pStyle w:val="Heading2"/>
              <w:rPr>
                <w:b w:val="0"/>
                <w:bCs w:val="0"/>
                <w:color w:val="auto"/>
                <w:sz w:val="23"/>
                <w:szCs w:val="23"/>
              </w:rPr>
            </w:pPr>
            <w:r>
              <w:rPr>
                <w:b w:val="0"/>
                <w:bCs w:val="0"/>
                <w:color w:val="auto"/>
                <w:sz w:val="23"/>
                <w:szCs w:val="23"/>
              </w:rPr>
              <w:t xml:space="preserve">15 </w:t>
            </w:r>
            <w:r w:rsidRPr="00F93F0D">
              <w:rPr>
                <w:b w:val="0"/>
                <w:bCs w:val="0"/>
                <w:color w:val="auto"/>
                <w:sz w:val="23"/>
                <w:szCs w:val="23"/>
              </w:rPr>
              <w:t>May 2018</w:t>
            </w:r>
          </w:p>
        </w:tc>
        <w:tc>
          <w:tcPr>
            <w:tcW w:w="1730" w:type="dxa"/>
            <w:tcBorders>
              <w:top w:val="single" w:sz="18" w:space="0" w:color="4F81BD"/>
              <w:left w:val="nil"/>
              <w:bottom w:val="single" w:sz="8" w:space="0" w:color="4F81BD"/>
              <w:right w:val="single" w:sz="8" w:space="0" w:color="4F81BD"/>
            </w:tcBorders>
            <w:tcMar>
              <w:top w:w="0" w:type="dxa"/>
              <w:left w:w="108" w:type="dxa"/>
              <w:bottom w:w="0" w:type="dxa"/>
              <w:right w:w="108" w:type="dxa"/>
            </w:tcMar>
          </w:tcPr>
          <w:p w14:paraId="2C135C29" w14:textId="3CE35278" w:rsidR="00BB2DFE" w:rsidRPr="00F93F0D" w:rsidRDefault="000F576A" w:rsidP="00EA7096">
            <w:pPr>
              <w:pStyle w:val="Heading2"/>
              <w:rPr>
                <w:b w:val="0"/>
                <w:bCs w:val="0"/>
                <w:color w:val="auto"/>
                <w:sz w:val="23"/>
                <w:szCs w:val="23"/>
              </w:rPr>
            </w:pPr>
            <w:r>
              <w:rPr>
                <w:b w:val="0"/>
                <w:bCs w:val="0"/>
                <w:color w:val="auto"/>
                <w:sz w:val="23"/>
                <w:szCs w:val="23"/>
              </w:rPr>
              <w:t>$</w:t>
            </w:r>
            <w:r w:rsidR="00BB2DFE" w:rsidRPr="00F93F0D">
              <w:rPr>
                <w:b w:val="0"/>
                <w:bCs w:val="0"/>
                <w:color w:val="auto"/>
                <w:sz w:val="23"/>
                <w:szCs w:val="23"/>
              </w:rPr>
              <w:t>10,000,000</w:t>
            </w:r>
          </w:p>
        </w:tc>
      </w:tr>
      <w:tr w:rsidR="00BB2DFE" w:rsidRPr="00894494" w14:paraId="02F6F013" w14:textId="77777777" w:rsidTr="00266F47">
        <w:tc>
          <w:tcPr>
            <w:tcW w:w="2471"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4CAEA616" w14:textId="2CA35352" w:rsidR="00BB2DFE" w:rsidRPr="00F93F0D" w:rsidRDefault="00BB2DFE" w:rsidP="00266F47">
            <w:pPr>
              <w:pStyle w:val="Heading2"/>
              <w:spacing w:before="0" w:after="0"/>
              <w:rPr>
                <w:b w:val="0"/>
                <w:bCs w:val="0"/>
                <w:color w:val="auto"/>
                <w:sz w:val="23"/>
                <w:szCs w:val="23"/>
              </w:rPr>
            </w:pPr>
            <w:r>
              <w:rPr>
                <w:b w:val="0"/>
                <w:bCs w:val="0"/>
                <w:color w:val="auto"/>
                <w:sz w:val="23"/>
                <w:szCs w:val="23"/>
              </w:rPr>
              <w:t>Construction of a gas refining plant in the Latrobe Valley; and  liquifaction and transport facilities at the Port of Hastings</w:t>
            </w:r>
          </w:p>
        </w:tc>
        <w:tc>
          <w:tcPr>
            <w:tcW w:w="3917"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63267421" w14:textId="0E0A8DB1" w:rsidR="00BB2DFE" w:rsidRDefault="00BB2DFE" w:rsidP="00266F47">
            <w:pPr>
              <w:pStyle w:val="Heading2"/>
              <w:spacing w:before="0" w:after="0"/>
              <w:rPr>
                <w:b w:val="0"/>
                <w:bCs w:val="0"/>
                <w:color w:val="auto"/>
                <w:sz w:val="23"/>
                <w:szCs w:val="23"/>
              </w:rPr>
            </w:pPr>
            <w:r>
              <w:rPr>
                <w:b w:val="0"/>
                <w:bCs w:val="0"/>
                <w:color w:val="auto"/>
                <w:sz w:val="23"/>
                <w:szCs w:val="23"/>
              </w:rPr>
              <w:t>Execution</w:t>
            </w:r>
            <w:r w:rsidRPr="00F93F0D">
              <w:rPr>
                <w:b w:val="0"/>
                <w:bCs w:val="0"/>
                <w:color w:val="auto"/>
                <w:sz w:val="23"/>
                <w:szCs w:val="23"/>
              </w:rPr>
              <w:t xml:space="preserve"> of contracts to the value of at least $10 million </w:t>
            </w:r>
            <w:r w:rsidR="007450C3">
              <w:rPr>
                <w:b w:val="0"/>
                <w:bCs w:val="0"/>
                <w:color w:val="auto"/>
                <w:sz w:val="23"/>
                <w:szCs w:val="23"/>
              </w:rPr>
              <w:t xml:space="preserve">(total) </w:t>
            </w:r>
            <w:r w:rsidRPr="00F93F0D">
              <w:rPr>
                <w:b w:val="0"/>
                <w:bCs w:val="0"/>
                <w:color w:val="auto"/>
                <w:sz w:val="23"/>
                <w:szCs w:val="23"/>
              </w:rPr>
              <w:t>for engineering design, purchase of equipment or construction</w:t>
            </w:r>
          </w:p>
          <w:p w14:paraId="55420388" w14:textId="086B5AF1" w:rsidR="00BB2DFE" w:rsidRPr="00F93F0D" w:rsidRDefault="00BB2DFE" w:rsidP="00226AA1">
            <w:pPr>
              <w:pStyle w:val="Heading2"/>
              <w:rPr>
                <w:b w:val="0"/>
                <w:bCs w:val="0"/>
                <w:color w:val="auto"/>
                <w:sz w:val="23"/>
                <w:szCs w:val="23"/>
              </w:rPr>
            </w:pPr>
            <w:r>
              <w:rPr>
                <w:b w:val="0"/>
                <w:bCs w:val="0"/>
                <w:color w:val="auto"/>
                <w:sz w:val="23"/>
                <w:szCs w:val="23"/>
              </w:rPr>
              <w:t>Completion</w:t>
            </w:r>
            <w:r w:rsidRPr="00F93F0D">
              <w:rPr>
                <w:b w:val="0"/>
                <w:bCs w:val="0"/>
                <w:color w:val="auto"/>
                <w:sz w:val="23"/>
                <w:szCs w:val="23"/>
              </w:rPr>
              <w:t xml:space="preserve"> of an updated Pro</w:t>
            </w:r>
            <w:r>
              <w:rPr>
                <w:b w:val="0"/>
                <w:bCs w:val="0"/>
                <w:color w:val="auto"/>
                <w:sz w:val="23"/>
                <w:szCs w:val="23"/>
              </w:rPr>
              <w:t>ject Plan</w:t>
            </w:r>
            <w:r w:rsidR="00226AA1">
              <w:rPr>
                <w:b w:val="0"/>
                <w:bCs w:val="0"/>
                <w:color w:val="auto"/>
                <w:sz w:val="23"/>
                <w:szCs w:val="23"/>
              </w:rPr>
              <w:t xml:space="preserve"> and</w:t>
            </w:r>
            <w:r>
              <w:rPr>
                <w:b w:val="0"/>
                <w:bCs w:val="0"/>
                <w:color w:val="auto"/>
                <w:sz w:val="23"/>
                <w:szCs w:val="23"/>
              </w:rPr>
              <w:t xml:space="preserve"> updated Risk Management Plan </w:t>
            </w:r>
          </w:p>
        </w:tc>
        <w:tc>
          <w:tcPr>
            <w:tcW w:w="1500"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608E67AC" w14:textId="198C7F82" w:rsidR="00BB2DFE" w:rsidRPr="00F93F0D" w:rsidRDefault="00BB2DFE" w:rsidP="00006A7E">
            <w:pPr>
              <w:pStyle w:val="Heading2"/>
              <w:rPr>
                <w:b w:val="0"/>
                <w:bCs w:val="0"/>
                <w:color w:val="auto"/>
                <w:sz w:val="23"/>
                <w:szCs w:val="23"/>
              </w:rPr>
            </w:pPr>
            <w:r>
              <w:rPr>
                <w:b w:val="0"/>
                <w:bCs w:val="0"/>
                <w:color w:val="auto"/>
                <w:sz w:val="23"/>
                <w:szCs w:val="23"/>
              </w:rPr>
              <w:t xml:space="preserve">15 </w:t>
            </w:r>
            <w:r w:rsidR="00006A7E">
              <w:rPr>
                <w:b w:val="0"/>
                <w:bCs w:val="0"/>
                <w:color w:val="auto"/>
                <w:sz w:val="23"/>
                <w:szCs w:val="23"/>
              </w:rPr>
              <w:t xml:space="preserve">April </w:t>
            </w:r>
            <w:r w:rsidRPr="00F93F0D">
              <w:rPr>
                <w:b w:val="0"/>
                <w:bCs w:val="0"/>
                <w:color w:val="auto"/>
                <w:sz w:val="23"/>
                <w:szCs w:val="23"/>
              </w:rPr>
              <w:t>2019</w:t>
            </w:r>
          </w:p>
        </w:tc>
        <w:tc>
          <w:tcPr>
            <w:tcW w:w="1730"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522C2792" w14:textId="77777777" w:rsidR="00BB2DFE" w:rsidRPr="00F93F0D" w:rsidRDefault="00BB2DFE" w:rsidP="00EA7096">
            <w:pPr>
              <w:pStyle w:val="Heading2"/>
              <w:rPr>
                <w:b w:val="0"/>
                <w:bCs w:val="0"/>
                <w:color w:val="auto"/>
                <w:sz w:val="23"/>
                <w:szCs w:val="23"/>
              </w:rPr>
            </w:pPr>
            <w:r w:rsidRPr="00F93F0D">
              <w:rPr>
                <w:b w:val="0"/>
                <w:bCs w:val="0"/>
                <w:color w:val="auto"/>
                <w:sz w:val="23"/>
                <w:szCs w:val="23"/>
              </w:rPr>
              <w:t>$10,000,000</w:t>
            </w:r>
          </w:p>
        </w:tc>
      </w:tr>
      <w:tr w:rsidR="00BB2DFE" w:rsidRPr="00894494" w14:paraId="1923EBE5" w14:textId="77777777" w:rsidTr="00266F47">
        <w:tc>
          <w:tcPr>
            <w:tcW w:w="2471"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1F315F75" w14:textId="77777777" w:rsidR="004D61C3" w:rsidRDefault="00BB2DFE" w:rsidP="004D61C3">
            <w:pPr>
              <w:pStyle w:val="Heading2"/>
              <w:spacing w:before="0"/>
              <w:rPr>
                <w:b w:val="0"/>
                <w:bCs w:val="0"/>
                <w:color w:val="auto"/>
                <w:sz w:val="23"/>
                <w:szCs w:val="23"/>
              </w:rPr>
            </w:pPr>
            <w:r>
              <w:rPr>
                <w:b w:val="0"/>
                <w:bCs w:val="0"/>
                <w:color w:val="auto"/>
                <w:sz w:val="23"/>
                <w:szCs w:val="23"/>
              </w:rPr>
              <w:t>Construction of a gas refining plant in the Latrobe Valley; and  liquifaction and transport facilities at the Port of Hastings</w:t>
            </w:r>
          </w:p>
          <w:p w14:paraId="25D69149" w14:textId="77777777" w:rsidR="004D61C3" w:rsidRDefault="004D61C3" w:rsidP="004D61C3">
            <w:pPr>
              <w:pStyle w:val="Heading2"/>
              <w:spacing w:before="0"/>
              <w:rPr>
                <w:b w:val="0"/>
                <w:bCs w:val="0"/>
                <w:color w:val="auto"/>
                <w:sz w:val="23"/>
                <w:szCs w:val="23"/>
              </w:rPr>
            </w:pPr>
          </w:p>
          <w:p w14:paraId="339059B0" w14:textId="77777777" w:rsidR="004D61C3" w:rsidRDefault="004D61C3" w:rsidP="004D61C3">
            <w:pPr>
              <w:pStyle w:val="Heading2"/>
              <w:spacing w:before="0"/>
              <w:rPr>
                <w:b w:val="0"/>
                <w:bCs w:val="0"/>
                <w:color w:val="auto"/>
                <w:sz w:val="23"/>
                <w:szCs w:val="23"/>
              </w:rPr>
            </w:pPr>
          </w:p>
          <w:p w14:paraId="05598291" w14:textId="4427E130" w:rsidR="00BB2DFE" w:rsidRPr="00BB2DFE" w:rsidRDefault="00BB2DFE" w:rsidP="004D61C3">
            <w:pPr>
              <w:pStyle w:val="Heading2"/>
              <w:spacing w:before="0"/>
              <w:rPr>
                <w:b w:val="0"/>
                <w:bCs w:val="0"/>
                <w:color w:val="auto"/>
                <w:sz w:val="23"/>
                <w:szCs w:val="23"/>
              </w:rPr>
            </w:pPr>
            <w:r>
              <w:rPr>
                <w:b w:val="0"/>
                <w:bCs w:val="0"/>
                <w:color w:val="auto"/>
                <w:sz w:val="23"/>
                <w:szCs w:val="23"/>
              </w:rPr>
              <w:t xml:space="preserve">Delivery of a coal preparation </w:t>
            </w:r>
            <w:r w:rsidR="004F7C2F">
              <w:rPr>
                <w:b w:val="0"/>
                <w:bCs w:val="0"/>
                <w:color w:val="auto"/>
                <w:sz w:val="23"/>
                <w:szCs w:val="23"/>
              </w:rPr>
              <w:t xml:space="preserve">technologies </w:t>
            </w:r>
            <w:r>
              <w:rPr>
                <w:b w:val="0"/>
                <w:bCs w:val="0"/>
                <w:color w:val="auto"/>
                <w:sz w:val="23"/>
                <w:szCs w:val="23"/>
              </w:rPr>
              <w:t>plan</w:t>
            </w:r>
          </w:p>
          <w:p w14:paraId="5664A8D2" w14:textId="35513AAE" w:rsidR="00BB2DFE" w:rsidRPr="00F93F0D" w:rsidDel="00A95B86" w:rsidRDefault="004F7C2F" w:rsidP="00EA7096">
            <w:pPr>
              <w:pStyle w:val="Heading2"/>
              <w:rPr>
                <w:b w:val="0"/>
                <w:bCs w:val="0"/>
                <w:color w:val="auto"/>
                <w:sz w:val="23"/>
                <w:szCs w:val="23"/>
              </w:rPr>
            </w:pPr>
            <w:r>
              <w:rPr>
                <w:b w:val="0"/>
                <w:bCs w:val="0"/>
                <w:color w:val="auto"/>
                <w:sz w:val="23"/>
                <w:szCs w:val="23"/>
              </w:rPr>
              <w:t>Delivery of a commercialisation plan</w:t>
            </w:r>
          </w:p>
        </w:tc>
        <w:tc>
          <w:tcPr>
            <w:tcW w:w="3917"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6EAD68AA" w14:textId="77777777" w:rsidR="00BB2DFE" w:rsidRDefault="00BB2DFE" w:rsidP="00266F47">
            <w:pPr>
              <w:pStyle w:val="Heading2"/>
              <w:spacing w:before="0"/>
              <w:rPr>
                <w:b w:val="0"/>
                <w:bCs w:val="0"/>
                <w:color w:val="auto"/>
                <w:sz w:val="23"/>
                <w:szCs w:val="23"/>
              </w:rPr>
            </w:pPr>
            <w:r>
              <w:rPr>
                <w:b w:val="0"/>
                <w:bCs w:val="0"/>
                <w:color w:val="auto"/>
                <w:sz w:val="23"/>
                <w:szCs w:val="23"/>
              </w:rPr>
              <w:t>Completion of a d</w:t>
            </w:r>
            <w:r w:rsidRPr="00F93F0D">
              <w:rPr>
                <w:b w:val="0"/>
                <w:bCs w:val="0"/>
                <w:color w:val="auto"/>
                <w:sz w:val="23"/>
                <w:szCs w:val="23"/>
              </w:rPr>
              <w:t>etailed design for the hydrogen liquefaction and loading terminal in Hastings</w:t>
            </w:r>
          </w:p>
          <w:p w14:paraId="0D953394" w14:textId="77777777" w:rsidR="00BB2DFE" w:rsidRDefault="00BB2DFE" w:rsidP="00EA7096">
            <w:pPr>
              <w:rPr>
                <w:color w:val="auto"/>
                <w:szCs w:val="23"/>
              </w:rPr>
            </w:pPr>
            <w:r>
              <w:rPr>
                <w:color w:val="auto"/>
                <w:szCs w:val="23"/>
              </w:rPr>
              <w:t>Completion of a d</w:t>
            </w:r>
            <w:r w:rsidRPr="00F93F0D">
              <w:rPr>
                <w:color w:val="auto"/>
                <w:szCs w:val="23"/>
              </w:rPr>
              <w:t>etailed design for the gas refining plant in Latrobe Valley</w:t>
            </w:r>
          </w:p>
          <w:p w14:paraId="785EECF3" w14:textId="29855699" w:rsidR="004F7C2F" w:rsidRDefault="00BB2DFE" w:rsidP="00746864">
            <w:pPr>
              <w:pStyle w:val="Heading2"/>
              <w:spacing w:after="240"/>
              <w:rPr>
                <w:b w:val="0"/>
                <w:bCs w:val="0"/>
                <w:color w:val="auto"/>
                <w:sz w:val="23"/>
                <w:szCs w:val="23"/>
              </w:rPr>
            </w:pPr>
            <w:r w:rsidRPr="00707A18">
              <w:rPr>
                <w:b w:val="0"/>
                <w:bCs w:val="0"/>
                <w:color w:val="auto"/>
                <w:sz w:val="23"/>
                <w:szCs w:val="23"/>
              </w:rPr>
              <w:t>Completion of an updated Project Plan</w:t>
            </w:r>
            <w:r w:rsidR="00226AA1">
              <w:rPr>
                <w:b w:val="0"/>
                <w:bCs w:val="0"/>
                <w:color w:val="auto"/>
                <w:sz w:val="23"/>
                <w:szCs w:val="23"/>
              </w:rPr>
              <w:t xml:space="preserve"> and</w:t>
            </w:r>
            <w:r w:rsidRPr="00707A18">
              <w:rPr>
                <w:b w:val="0"/>
                <w:bCs w:val="0"/>
                <w:color w:val="auto"/>
                <w:sz w:val="23"/>
                <w:szCs w:val="23"/>
              </w:rPr>
              <w:t xml:space="preserve"> updated Risk Management Plan</w:t>
            </w:r>
          </w:p>
          <w:p w14:paraId="1B0DAF63" w14:textId="0E222DFE" w:rsidR="004F7C2F" w:rsidRPr="004D61C3" w:rsidRDefault="004F7C2F" w:rsidP="004D61C3">
            <w:pPr>
              <w:pStyle w:val="Heading2"/>
              <w:spacing w:before="0"/>
              <w:rPr>
                <w:b w:val="0"/>
                <w:bCs w:val="0"/>
                <w:color w:val="auto"/>
                <w:sz w:val="23"/>
                <w:szCs w:val="23"/>
              </w:rPr>
            </w:pPr>
            <w:r w:rsidRPr="004D61C3">
              <w:rPr>
                <w:b w:val="0"/>
                <w:bCs w:val="0"/>
                <w:color w:val="auto"/>
                <w:sz w:val="23"/>
                <w:szCs w:val="23"/>
              </w:rPr>
              <w:t xml:space="preserve">Completion of a report on the outcomes of the </w:t>
            </w:r>
            <w:r w:rsidR="00266F47" w:rsidRPr="004D61C3">
              <w:rPr>
                <w:b w:val="0"/>
                <w:bCs w:val="0"/>
                <w:color w:val="auto"/>
                <w:sz w:val="23"/>
                <w:szCs w:val="23"/>
              </w:rPr>
              <w:t>c</w:t>
            </w:r>
            <w:r w:rsidRPr="004D61C3">
              <w:rPr>
                <w:b w:val="0"/>
                <w:bCs w:val="0"/>
                <w:color w:val="auto"/>
                <w:sz w:val="23"/>
                <w:szCs w:val="23"/>
              </w:rPr>
              <w:t xml:space="preserve">oal </w:t>
            </w:r>
            <w:r w:rsidR="00266F47" w:rsidRPr="004D61C3">
              <w:rPr>
                <w:b w:val="0"/>
                <w:bCs w:val="0"/>
                <w:color w:val="auto"/>
                <w:sz w:val="23"/>
                <w:szCs w:val="23"/>
              </w:rPr>
              <w:t>p</w:t>
            </w:r>
            <w:r w:rsidRPr="004D61C3">
              <w:rPr>
                <w:b w:val="0"/>
                <w:bCs w:val="0"/>
                <w:color w:val="auto"/>
                <w:sz w:val="23"/>
                <w:szCs w:val="23"/>
              </w:rPr>
              <w:t xml:space="preserve">reparation </w:t>
            </w:r>
            <w:r w:rsidR="00266F47" w:rsidRPr="004D61C3">
              <w:rPr>
                <w:b w:val="0"/>
                <w:bCs w:val="0"/>
                <w:color w:val="auto"/>
                <w:sz w:val="23"/>
                <w:szCs w:val="23"/>
              </w:rPr>
              <w:t>w</w:t>
            </w:r>
            <w:r w:rsidRPr="004D61C3">
              <w:rPr>
                <w:b w:val="0"/>
                <w:bCs w:val="0"/>
                <w:color w:val="auto"/>
                <w:sz w:val="23"/>
                <w:szCs w:val="23"/>
              </w:rPr>
              <w:t>ork</w:t>
            </w:r>
          </w:p>
          <w:p w14:paraId="62B30B3B" w14:textId="77777777" w:rsidR="004D61C3" w:rsidRDefault="004D61C3" w:rsidP="004D61C3">
            <w:pPr>
              <w:pStyle w:val="Heading2"/>
              <w:spacing w:before="0"/>
              <w:rPr>
                <w:b w:val="0"/>
                <w:bCs w:val="0"/>
                <w:color w:val="auto"/>
                <w:sz w:val="23"/>
                <w:szCs w:val="23"/>
              </w:rPr>
            </w:pPr>
          </w:p>
          <w:p w14:paraId="2FE864F2" w14:textId="7C918805" w:rsidR="00BB2DFE" w:rsidRPr="004F7C2F" w:rsidDel="002C28CB" w:rsidRDefault="004F7C2F" w:rsidP="004D61C3">
            <w:pPr>
              <w:pStyle w:val="Heading2"/>
              <w:spacing w:before="0"/>
            </w:pPr>
            <w:r w:rsidRPr="004D61C3">
              <w:rPr>
                <w:b w:val="0"/>
                <w:bCs w:val="0"/>
                <w:color w:val="auto"/>
                <w:sz w:val="23"/>
                <w:szCs w:val="23"/>
              </w:rPr>
              <w:t xml:space="preserve">Completion of an initial </w:t>
            </w:r>
            <w:r w:rsidR="00266F47" w:rsidRPr="004D61C3">
              <w:rPr>
                <w:b w:val="0"/>
                <w:bCs w:val="0"/>
                <w:color w:val="auto"/>
                <w:sz w:val="23"/>
                <w:szCs w:val="23"/>
              </w:rPr>
              <w:t>c</w:t>
            </w:r>
            <w:r w:rsidRPr="004D61C3">
              <w:rPr>
                <w:b w:val="0"/>
                <w:bCs w:val="0"/>
                <w:color w:val="auto"/>
                <w:sz w:val="23"/>
                <w:szCs w:val="23"/>
              </w:rPr>
              <w:t xml:space="preserve">ommercialisation </w:t>
            </w:r>
            <w:r w:rsidR="00266F47" w:rsidRPr="004D61C3">
              <w:rPr>
                <w:b w:val="0"/>
                <w:bCs w:val="0"/>
                <w:color w:val="auto"/>
                <w:sz w:val="23"/>
                <w:szCs w:val="23"/>
              </w:rPr>
              <w:t>p</w:t>
            </w:r>
            <w:r w:rsidRPr="004D61C3">
              <w:rPr>
                <w:b w:val="0"/>
                <w:bCs w:val="0"/>
                <w:color w:val="auto"/>
                <w:sz w:val="23"/>
                <w:szCs w:val="23"/>
              </w:rPr>
              <w:t>lan</w:t>
            </w:r>
          </w:p>
        </w:tc>
        <w:tc>
          <w:tcPr>
            <w:tcW w:w="1500"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017569E4" w14:textId="7B57E353" w:rsidR="00BB2DFE" w:rsidRPr="00F93F0D" w:rsidRDefault="00BB2DFE" w:rsidP="00006A7E">
            <w:pPr>
              <w:pStyle w:val="Heading2"/>
              <w:rPr>
                <w:b w:val="0"/>
                <w:bCs w:val="0"/>
                <w:color w:val="auto"/>
                <w:sz w:val="23"/>
                <w:szCs w:val="23"/>
              </w:rPr>
            </w:pPr>
            <w:r>
              <w:rPr>
                <w:b w:val="0"/>
                <w:bCs w:val="0"/>
                <w:color w:val="auto"/>
                <w:sz w:val="23"/>
                <w:szCs w:val="23"/>
              </w:rPr>
              <w:t xml:space="preserve">15 </w:t>
            </w:r>
            <w:r w:rsidR="00006A7E">
              <w:rPr>
                <w:b w:val="0"/>
                <w:bCs w:val="0"/>
                <w:color w:val="auto"/>
                <w:sz w:val="23"/>
                <w:szCs w:val="23"/>
              </w:rPr>
              <w:t>April</w:t>
            </w:r>
            <w:r w:rsidR="00006A7E" w:rsidRPr="00F93F0D">
              <w:rPr>
                <w:b w:val="0"/>
                <w:bCs w:val="0"/>
                <w:color w:val="auto"/>
                <w:sz w:val="23"/>
                <w:szCs w:val="23"/>
              </w:rPr>
              <w:t xml:space="preserve"> </w:t>
            </w:r>
            <w:r w:rsidRPr="00F93F0D">
              <w:rPr>
                <w:b w:val="0"/>
                <w:bCs w:val="0"/>
                <w:color w:val="auto"/>
                <w:sz w:val="23"/>
                <w:szCs w:val="23"/>
              </w:rPr>
              <w:t>2020</w:t>
            </w:r>
          </w:p>
        </w:tc>
        <w:tc>
          <w:tcPr>
            <w:tcW w:w="1730"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106BF85E" w14:textId="77777777" w:rsidR="00BB2DFE" w:rsidRPr="00F93F0D" w:rsidRDefault="00BB2DFE" w:rsidP="00EA7096">
            <w:pPr>
              <w:pStyle w:val="Heading2"/>
              <w:rPr>
                <w:b w:val="0"/>
                <w:bCs w:val="0"/>
                <w:color w:val="auto"/>
                <w:sz w:val="23"/>
                <w:szCs w:val="23"/>
              </w:rPr>
            </w:pPr>
            <w:r w:rsidRPr="00F93F0D">
              <w:rPr>
                <w:b w:val="0"/>
                <w:bCs w:val="0"/>
                <w:color w:val="auto"/>
                <w:sz w:val="23"/>
                <w:szCs w:val="23"/>
              </w:rPr>
              <w:t>$17,500,000</w:t>
            </w:r>
          </w:p>
        </w:tc>
      </w:tr>
      <w:tr w:rsidR="009234B8" w:rsidRPr="00894494" w14:paraId="55DA7F15" w14:textId="77777777" w:rsidTr="00746864">
        <w:tc>
          <w:tcPr>
            <w:tcW w:w="2471"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tcPr>
          <w:p w14:paraId="1FF65277" w14:textId="0A244DFD" w:rsidR="009234B8" w:rsidRPr="00F93F0D" w:rsidRDefault="004F7C2F" w:rsidP="00266F47">
            <w:pPr>
              <w:pStyle w:val="Heading2"/>
              <w:spacing w:before="0" w:after="1680"/>
              <w:rPr>
                <w:b w:val="0"/>
                <w:bCs w:val="0"/>
                <w:color w:val="auto"/>
                <w:sz w:val="23"/>
                <w:szCs w:val="23"/>
              </w:rPr>
            </w:pPr>
            <w:r>
              <w:rPr>
                <w:b w:val="0"/>
                <w:bCs w:val="0"/>
                <w:color w:val="auto"/>
                <w:sz w:val="23"/>
                <w:szCs w:val="23"/>
              </w:rPr>
              <w:t>D</w:t>
            </w:r>
            <w:r w:rsidR="009234B8" w:rsidRPr="00421D0A">
              <w:rPr>
                <w:b w:val="0"/>
                <w:bCs w:val="0"/>
                <w:color w:val="auto"/>
                <w:sz w:val="23"/>
                <w:szCs w:val="23"/>
              </w:rPr>
              <w:t>emonstration o</w:t>
            </w:r>
            <w:r>
              <w:rPr>
                <w:b w:val="0"/>
                <w:bCs w:val="0"/>
                <w:color w:val="auto"/>
                <w:sz w:val="23"/>
                <w:szCs w:val="23"/>
              </w:rPr>
              <w:t>f a pilot hydrogen supply chain</w:t>
            </w:r>
          </w:p>
          <w:p w14:paraId="6CCE2C42" w14:textId="77777777" w:rsidR="000F576A" w:rsidRDefault="000F576A" w:rsidP="00EA7096">
            <w:pPr>
              <w:pStyle w:val="Heading2"/>
              <w:rPr>
                <w:b w:val="0"/>
                <w:bCs w:val="0"/>
                <w:color w:val="auto"/>
                <w:sz w:val="23"/>
                <w:szCs w:val="23"/>
              </w:rPr>
            </w:pPr>
          </w:p>
          <w:p w14:paraId="47C65780" w14:textId="1D937540" w:rsidR="009234B8" w:rsidRPr="00F93F0D" w:rsidRDefault="004F7C2F" w:rsidP="00EA7096">
            <w:pPr>
              <w:pStyle w:val="Heading2"/>
              <w:rPr>
                <w:b w:val="0"/>
                <w:bCs w:val="0"/>
                <w:color w:val="auto"/>
                <w:sz w:val="23"/>
                <w:szCs w:val="23"/>
              </w:rPr>
            </w:pPr>
            <w:r>
              <w:rPr>
                <w:b w:val="0"/>
                <w:bCs w:val="0"/>
                <w:color w:val="auto"/>
                <w:sz w:val="23"/>
                <w:szCs w:val="23"/>
              </w:rPr>
              <w:t>Delivery of a commercialisation plan</w:t>
            </w:r>
          </w:p>
        </w:tc>
        <w:tc>
          <w:tcPr>
            <w:tcW w:w="3917"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1C2D8747" w14:textId="77777777" w:rsidR="004F7C2F" w:rsidRDefault="009234B8" w:rsidP="00266F47">
            <w:pPr>
              <w:pStyle w:val="Heading2"/>
              <w:spacing w:before="0"/>
              <w:rPr>
                <w:b w:val="0"/>
                <w:bCs w:val="0"/>
                <w:color w:val="auto"/>
                <w:sz w:val="23"/>
                <w:szCs w:val="23"/>
              </w:rPr>
            </w:pPr>
            <w:r>
              <w:rPr>
                <w:b w:val="0"/>
                <w:bCs w:val="0"/>
                <w:color w:val="auto"/>
                <w:sz w:val="23"/>
                <w:szCs w:val="23"/>
              </w:rPr>
              <w:t>Generation of</w:t>
            </w:r>
            <w:r w:rsidRPr="00F93F0D">
              <w:rPr>
                <w:b w:val="0"/>
                <w:bCs w:val="0"/>
                <w:color w:val="auto"/>
                <w:sz w:val="23"/>
                <w:szCs w:val="23"/>
              </w:rPr>
              <w:t xml:space="preserve"> hydrogen at Latrobe Valley from gasified Victorian brown coal, to the specification required for liquefaction</w:t>
            </w:r>
            <w:r>
              <w:rPr>
                <w:b w:val="0"/>
                <w:bCs w:val="0"/>
                <w:color w:val="auto"/>
                <w:sz w:val="23"/>
                <w:szCs w:val="23"/>
              </w:rPr>
              <w:t>,</w:t>
            </w:r>
            <w:r w:rsidRPr="00F93F0D">
              <w:rPr>
                <w:b w:val="0"/>
                <w:bCs w:val="0"/>
                <w:color w:val="auto"/>
                <w:sz w:val="23"/>
                <w:szCs w:val="23"/>
              </w:rPr>
              <w:t xml:space="preserve"> and transported to </w:t>
            </w:r>
            <w:r>
              <w:rPr>
                <w:b w:val="0"/>
                <w:bCs w:val="0"/>
                <w:color w:val="auto"/>
                <w:sz w:val="23"/>
                <w:szCs w:val="23"/>
              </w:rPr>
              <w:t xml:space="preserve">the Port of </w:t>
            </w:r>
            <w:r w:rsidRPr="00F93F0D">
              <w:rPr>
                <w:b w:val="0"/>
                <w:bCs w:val="0"/>
                <w:color w:val="auto"/>
                <w:sz w:val="23"/>
                <w:szCs w:val="23"/>
              </w:rPr>
              <w:t>Hastings</w:t>
            </w:r>
          </w:p>
          <w:p w14:paraId="0657820E" w14:textId="444A2DDC" w:rsidR="004F7C2F" w:rsidRDefault="004F7C2F" w:rsidP="004F7C2F">
            <w:pPr>
              <w:pStyle w:val="Heading2"/>
              <w:rPr>
                <w:b w:val="0"/>
                <w:bCs w:val="0"/>
                <w:color w:val="auto"/>
                <w:sz w:val="23"/>
                <w:szCs w:val="23"/>
              </w:rPr>
            </w:pPr>
            <w:r>
              <w:rPr>
                <w:b w:val="0"/>
                <w:bCs w:val="0"/>
                <w:color w:val="auto"/>
                <w:sz w:val="23"/>
                <w:szCs w:val="23"/>
              </w:rPr>
              <w:t>Liquefaction of</w:t>
            </w:r>
            <w:r w:rsidRPr="00F93F0D">
              <w:rPr>
                <w:b w:val="0"/>
                <w:bCs w:val="0"/>
                <w:color w:val="auto"/>
                <w:sz w:val="23"/>
                <w:szCs w:val="23"/>
              </w:rPr>
              <w:t xml:space="preserve"> hydrogen at </w:t>
            </w:r>
            <w:r>
              <w:rPr>
                <w:b w:val="0"/>
                <w:bCs w:val="0"/>
                <w:color w:val="auto"/>
                <w:sz w:val="23"/>
                <w:szCs w:val="23"/>
              </w:rPr>
              <w:t xml:space="preserve">the Port of </w:t>
            </w:r>
            <w:r w:rsidRPr="00F93F0D">
              <w:rPr>
                <w:b w:val="0"/>
                <w:bCs w:val="0"/>
                <w:color w:val="auto"/>
                <w:sz w:val="23"/>
                <w:szCs w:val="23"/>
              </w:rPr>
              <w:t xml:space="preserve">Hastings and </w:t>
            </w:r>
            <w:r>
              <w:rPr>
                <w:b w:val="0"/>
                <w:bCs w:val="0"/>
                <w:color w:val="auto"/>
                <w:sz w:val="23"/>
                <w:szCs w:val="23"/>
              </w:rPr>
              <w:t xml:space="preserve">the </w:t>
            </w:r>
            <w:r w:rsidRPr="00F93F0D">
              <w:rPr>
                <w:b w:val="0"/>
                <w:bCs w:val="0"/>
                <w:color w:val="auto"/>
                <w:sz w:val="23"/>
                <w:szCs w:val="23"/>
              </w:rPr>
              <w:t>load</w:t>
            </w:r>
            <w:r>
              <w:rPr>
                <w:b w:val="0"/>
                <w:bCs w:val="0"/>
                <w:color w:val="auto"/>
                <w:sz w:val="23"/>
                <w:szCs w:val="23"/>
              </w:rPr>
              <w:t>ing</w:t>
            </w:r>
            <w:r w:rsidRPr="00F93F0D">
              <w:rPr>
                <w:b w:val="0"/>
                <w:bCs w:val="0"/>
                <w:color w:val="auto"/>
                <w:sz w:val="23"/>
                <w:szCs w:val="23"/>
              </w:rPr>
              <w:t xml:space="preserve"> </w:t>
            </w:r>
            <w:r>
              <w:rPr>
                <w:b w:val="0"/>
                <w:bCs w:val="0"/>
                <w:color w:val="auto"/>
                <w:sz w:val="23"/>
                <w:szCs w:val="23"/>
              </w:rPr>
              <w:t>of</w:t>
            </w:r>
            <w:r w:rsidRPr="00F93F0D">
              <w:rPr>
                <w:b w:val="0"/>
                <w:bCs w:val="0"/>
                <w:color w:val="auto"/>
                <w:sz w:val="23"/>
                <w:szCs w:val="23"/>
              </w:rPr>
              <w:t xml:space="preserve"> liquified hydrogen </w:t>
            </w:r>
            <w:r>
              <w:rPr>
                <w:b w:val="0"/>
                <w:bCs w:val="0"/>
                <w:color w:val="auto"/>
                <w:sz w:val="23"/>
                <w:szCs w:val="23"/>
              </w:rPr>
              <w:t xml:space="preserve">onto a </w:t>
            </w:r>
            <w:r w:rsidRPr="00F93F0D">
              <w:rPr>
                <w:b w:val="0"/>
                <w:bCs w:val="0"/>
                <w:color w:val="auto"/>
                <w:sz w:val="23"/>
                <w:szCs w:val="23"/>
              </w:rPr>
              <w:t>carrier ship</w:t>
            </w:r>
            <w:r w:rsidR="000F576A">
              <w:rPr>
                <w:b w:val="0"/>
                <w:bCs w:val="0"/>
                <w:color w:val="auto"/>
                <w:sz w:val="23"/>
                <w:szCs w:val="23"/>
              </w:rPr>
              <w:t xml:space="preserve"> at the Port of Hastings</w:t>
            </w:r>
          </w:p>
          <w:p w14:paraId="1F17B327" w14:textId="75B8ECBF" w:rsidR="009234B8" w:rsidRPr="004F7C2F" w:rsidRDefault="004F7C2F" w:rsidP="007450C3">
            <w:pPr>
              <w:pStyle w:val="Heading2"/>
            </w:pPr>
            <w:r>
              <w:rPr>
                <w:b w:val="0"/>
                <w:bCs w:val="0"/>
                <w:color w:val="auto"/>
                <w:sz w:val="23"/>
                <w:szCs w:val="23"/>
              </w:rPr>
              <w:t xml:space="preserve">Completion </w:t>
            </w:r>
            <w:r w:rsidRPr="00F93F0D">
              <w:rPr>
                <w:b w:val="0"/>
                <w:bCs w:val="0"/>
                <w:color w:val="auto"/>
                <w:sz w:val="23"/>
                <w:szCs w:val="23"/>
              </w:rPr>
              <w:t xml:space="preserve">of a </w:t>
            </w:r>
            <w:r w:rsidR="00266F47">
              <w:rPr>
                <w:b w:val="0"/>
                <w:bCs w:val="0"/>
                <w:color w:val="auto"/>
                <w:sz w:val="23"/>
                <w:szCs w:val="23"/>
              </w:rPr>
              <w:t>commercialisation p</w:t>
            </w:r>
            <w:r w:rsidRPr="00F93F0D">
              <w:rPr>
                <w:b w:val="0"/>
                <w:bCs w:val="0"/>
                <w:color w:val="auto"/>
                <w:sz w:val="23"/>
                <w:szCs w:val="23"/>
              </w:rPr>
              <w:t>lan</w:t>
            </w:r>
          </w:p>
        </w:tc>
        <w:tc>
          <w:tcPr>
            <w:tcW w:w="1500"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6B4096FD" w14:textId="525F5658" w:rsidR="009234B8" w:rsidRPr="00F93F0D" w:rsidRDefault="009234B8" w:rsidP="00226AA1">
            <w:pPr>
              <w:pStyle w:val="Heading2"/>
              <w:rPr>
                <w:b w:val="0"/>
                <w:bCs w:val="0"/>
                <w:color w:val="auto"/>
                <w:sz w:val="23"/>
                <w:szCs w:val="23"/>
              </w:rPr>
            </w:pPr>
            <w:r>
              <w:rPr>
                <w:b w:val="0"/>
                <w:bCs w:val="0"/>
                <w:color w:val="auto"/>
                <w:sz w:val="23"/>
                <w:szCs w:val="23"/>
              </w:rPr>
              <w:t xml:space="preserve">15 </w:t>
            </w:r>
            <w:r w:rsidR="00226AA1">
              <w:rPr>
                <w:b w:val="0"/>
                <w:bCs w:val="0"/>
                <w:color w:val="auto"/>
                <w:sz w:val="23"/>
                <w:szCs w:val="23"/>
              </w:rPr>
              <w:t xml:space="preserve">May </w:t>
            </w:r>
            <w:r w:rsidRPr="00F93F0D">
              <w:rPr>
                <w:b w:val="0"/>
                <w:bCs w:val="0"/>
                <w:color w:val="auto"/>
                <w:sz w:val="23"/>
                <w:szCs w:val="23"/>
              </w:rPr>
              <w:t>2021</w:t>
            </w:r>
          </w:p>
        </w:tc>
        <w:tc>
          <w:tcPr>
            <w:tcW w:w="1730" w:type="dxa"/>
            <w:tcBorders>
              <w:top w:val="single" w:sz="8" w:space="0" w:color="4F81BD"/>
              <w:left w:val="nil"/>
              <w:bottom w:val="single" w:sz="8" w:space="0" w:color="4F81BD"/>
              <w:right w:val="single" w:sz="8" w:space="0" w:color="4F81BD"/>
            </w:tcBorders>
            <w:tcMar>
              <w:top w:w="0" w:type="dxa"/>
              <w:left w:w="108" w:type="dxa"/>
              <w:bottom w:w="0" w:type="dxa"/>
              <w:right w:w="108" w:type="dxa"/>
            </w:tcMar>
          </w:tcPr>
          <w:p w14:paraId="27ED4E1D" w14:textId="77777777" w:rsidR="009234B8" w:rsidRPr="00F93F0D" w:rsidRDefault="009234B8" w:rsidP="00EA7096">
            <w:pPr>
              <w:pStyle w:val="Heading2"/>
              <w:rPr>
                <w:b w:val="0"/>
                <w:bCs w:val="0"/>
                <w:color w:val="auto"/>
                <w:sz w:val="23"/>
                <w:szCs w:val="23"/>
              </w:rPr>
            </w:pPr>
            <w:r w:rsidRPr="00F93F0D">
              <w:rPr>
                <w:b w:val="0"/>
                <w:bCs w:val="0"/>
                <w:color w:val="auto"/>
                <w:sz w:val="23"/>
                <w:szCs w:val="23"/>
              </w:rPr>
              <w:t>$12,500,000</w:t>
            </w:r>
          </w:p>
        </w:tc>
      </w:tr>
    </w:tbl>
    <w:p w14:paraId="2365C503" w14:textId="77777777" w:rsidR="00E34C7A" w:rsidRDefault="00E34C7A" w:rsidP="00E34C7A">
      <w:pPr>
        <w:pStyle w:val="Normalnumbered"/>
        <w:numPr>
          <w:ilvl w:val="0"/>
          <w:numId w:val="0"/>
        </w:numPr>
        <w:spacing w:before="360"/>
        <w:ind w:left="567"/>
      </w:pPr>
    </w:p>
    <w:p w14:paraId="1C9CA062" w14:textId="04D0F656" w:rsidR="00172360" w:rsidRDefault="002E144A" w:rsidP="00D76E2D">
      <w:pPr>
        <w:pStyle w:val="Normalnumbered"/>
        <w:numPr>
          <w:ilvl w:val="0"/>
          <w:numId w:val="16"/>
        </w:numPr>
        <w:spacing w:before="360"/>
      </w:pPr>
      <w:r>
        <w:lastRenderedPageBreak/>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p>
    <w:p w14:paraId="3FC18A0C" w14:textId="77777777" w:rsidR="00F3245D" w:rsidRDefault="00F3245D" w:rsidP="00F3245D">
      <w:pPr>
        <w:pStyle w:val="Heading2"/>
      </w:pPr>
      <w:r>
        <w:t>Reporting arrangements</w:t>
      </w:r>
    </w:p>
    <w:p w14:paraId="7ED9BBE8" w14:textId="77777777" w:rsidR="00ED2AC4" w:rsidRDefault="00B57F0E" w:rsidP="00183741">
      <w:pPr>
        <w:pStyle w:val="Normalnumbered"/>
        <w:numPr>
          <w:ilvl w:val="0"/>
          <w:numId w:val="16"/>
        </w:numPr>
        <w:spacing w:before="120" w:line="240" w:lineRule="auto"/>
        <w:rPr>
          <w:szCs w:val="23"/>
        </w:rPr>
      </w:pPr>
      <w:r>
        <w:t>Victoria</w:t>
      </w:r>
      <w:r w:rsidR="0076361C">
        <w:t xml:space="preserve">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 against the project milestones.</w:t>
      </w:r>
      <w:r w:rsidR="00ED2AC4" w:rsidRPr="0054359C">
        <w:rPr>
          <w:szCs w:val="23"/>
        </w:rPr>
        <w:t xml:space="preserve"> </w:t>
      </w:r>
    </w:p>
    <w:p w14:paraId="020AB36A" w14:textId="158A7A7C" w:rsidR="002A6EC0" w:rsidRPr="00894494" w:rsidRDefault="002A6EC0" w:rsidP="00183741">
      <w:pPr>
        <w:pStyle w:val="Normalnumbered"/>
        <w:numPr>
          <w:ilvl w:val="0"/>
          <w:numId w:val="16"/>
        </w:numPr>
        <w:spacing w:before="120" w:line="240" w:lineRule="auto"/>
        <w:rPr>
          <w:szCs w:val="23"/>
        </w:rPr>
      </w:pPr>
      <w:r w:rsidRPr="00894494">
        <w:t xml:space="preserve">Victoria will provide </w:t>
      </w:r>
      <w:r w:rsidR="00394FAD" w:rsidRPr="00894494">
        <w:t xml:space="preserve">the Commonwealth with copies of all reports produced by HEA under the </w:t>
      </w:r>
      <w:r w:rsidR="0085332A">
        <w:t>HE</w:t>
      </w:r>
      <w:r w:rsidR="009418E4">
        <w:t>SC</w:t>
      </w:r>
      <w:r w:rsidR="0085332A">
        <w:t xml:space="preserve"> </w:t>
      </w:r>
      <w:r w:rsidR="00394FAD" w:rsidRPr="00894494">
        <w:t>Agreement</w:t>
      </w:r>
      <w:r w:rsidRPr="00894494">
        <w:t>.</w:t>
      </w:r>
    </w:p>
    <w:p w14:paraId="6F918DFF" w14:textId="77777777" w:rsidR="008E7527" w:rsidRDefault="008E7527" w:rsidP="009E093C">
      <w:pPr>
        <w:pStyle w:val="Heading1"/>
      </w:pPr>
      <w:r>
        <w:t>Part 5</w:t>
      </w:r>
      <w:r w:rsidRPr="00751725">
        <w:t xml:space="preserve"> — financial arrangements</w:t>
      </w:r>
    </w:p>
    <w:p w14:paraId="3E015B16" w14:textId="15F12EFD" w:rsidR="008E7527" w:rsidRDefault="008E7527" w:rsidP="00183741">
      <w:pPr>
        <w:pStyle w:val="Normalnumbered"/>
        <w:numPr>
          <w:ilvl w:val="0"/>
          <w:numId w:val="16"/>
        </w:numPr>
        <w:jc w:val="left"/>
      </w:pPr>
      <w:r w:rsidRPr="000E48C3">
        <w:t xml:space="preserve">The Commonwealth will </w:t>
      </w:r>
      <w:r>
        <w:t>provide</w:t>
      </w:r>
      <w:r w:rsidRPr="000E48C3">
        <w:t xml:space="preserve"> </w:t>
      </w:r>
      <w:r w:rsidRPr="006B2A30">
        <w:t>a</w:t>
      </w:r>
      <w:r w:rsidR="002E144A" w:rsidRPr="006B2A30">
        <w:t>n estimated</w:t>
      </w:r>
      <w:r>
        <w:t xml:space="preserve"> total</w:t>
      </w:r>
      <w:r w:rsidRPr="000E48C3">
        <w:t xml:space="preserve"> financial contribution to </w:t>
      </w:r>
      <w:r w:rsidR="00FC226A">
        <w:t>Victoria</w:t>
      </w:r>
      <w:r>
        <w:t xml:space="preserve"> of </w:t>
      </w:r>
      <w:r w:rsidR="00D150BE">
        <w:t>$</w:t>
      </w:r>
      <w:r w:rsidR="00CD15D9">
        <w:t>50</w:t>
      </w:r>
      <w:r w:rsidR="000F576A">
        <w:t> </w:t>
      </w:r>
      <w:r w:rsidR="00CD15D9">
        <w:t>million</w:t>
      </w:r>
      <w:r>
        <w:t xml:space="preserve"> in respect of this Agreement. </w:t>
      </w:r>
      <w:r w:rsidRPr="000E48C3">
        <w:t xml:space="preserve"> </w:t>
      </w:r>
      <w:r>
        <w:t>All payments are GST exclusive.</w:t>
      </w:r>
    </w:p>
    <w:p w14:paraId="6A34DC22" w14:textId="0D595655" w:rsidR="008E7527" w:rsidRDefault="005A5E7A" w:rsidP="00183741">
      <w:pPr>
        <w:pStyle w:val="Normalnumbered"/>
        <w:numPr>
          <w:ilvl w:val="0"/>
          <w:numId w:val="16"/>
        </w:numPr>
      </w:pPr>
      <w:r>
        <w:t>T</w:t>
      </w:r>
      <w:r w:rsidR="008E7527" w:rsidRPr="002B7E1B">
        <w:t xml:space="preserve">he Commonwealth’s funding contribution will not be reduced where </w:t>
      </w:r>
      <w:r w:rsidR="00E07C42">
        <w:t>Victoria</w:t>
      </w:r>
      <w:r w:rsidR="008E7527" w:rsidRPr="002B7E1B">
        <w:t xml:space="preserve"> secure</w:t>
      </w:r>
      <w:r w:rsidR="004B6826">
        <w:t>s</w:t>
      </w:r>
      <w:r w:rsidR="008E7527" w:rsidRPr="002B7E1B">
        <w:t xml:space="preserve"> funding from other activity partners</w:t>
      </w:r>
      <w:r w:rsidR="002E144A">
        <w:t>.</w:t>
      </w:r>
    </w:p>
    <w:p w14:paraId="08EE00F6" w14:textId="3128853E" w:rsidR="008E7527" w:rsidRPr="00751725" w:rsidRDefault="008E7527" w:rsidP="00183741">
      <w:pPr>
        <w:pStyle w:val="Normalnumbered"/>
        <w:keepNext/>
        <w:keepLines/>
        <w:numPr>
          <w:ilvl w:val="0"/>
          <w:numId w:val="16"/>
        </w:numPr>
      </w:pPr>
      <w:r w:rsidRPr="00751725">
        <w:t>The Commonwealth</w:t>
      </w:r>
      <w:r>
        <w:t>’s</w:t>
      </w:r>
      <w:r w:rsidRPr="00751725">
        <w:t xml:space="preserve"> and </w:t>
      </w:r>
      <w:r w:rsidR="00E15E3C">
        <w:t>Victoria</w:t>
      </w:r>
      <w:r w:rsidR="00BD2253">
        <w:t>’s</w:t>
      </w:r>
      <w:r w:rsidRPr="00751725">
        <w:t xml:space="preserve"> </w:t>
      </w:r>
      <w:r w:rsidRPr="006B2A30">
        <w:t>estimated</w:t>
      </w:r>
      <w:r w:rsidR="00746864">
        <w:t xml:space="preserve"> </w:t>
      </w:r>
      <w:r w:rsidRPr="00751725">
        <w:t>financial contribution</w:t>
      </w:r>
      <w:r w:rsidR="002E144A">
        <w:t>s</w:t>
      </w:r>
      <w:r w:rsidRPr="00751725">
        <w:t xml:space="preserve"> to the operation of </w:t>
      </w:r>
      <w:r>
        <w:t xml:space="preserve">this Agreement, including through National Partnership payments to </w:t>
      </w:r>
      <w:r w:rsidR="009418E4">
        <w:t>Victoria</w:t>
      </w:r>
      <w:r>
        <w:t xml:space="preserve">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2DA79378" w14:textId="24A1DCDC" w:rsidR="008E7527" w:rsidRPr="00746864" w:rsidRDefault="00E204BB" w:rsidP="00D150BE">
      <w:pPr>
        <w:pStyle w:val="Normalnumbered"/>
        <w:numPr>
          <w:ilvl w:val="0"/>
          <w:numId w:val="0"/>
        </w:numPr>
        <w:spacing w:after="120"/>
        <w:rPr>
          <w:b/>
        </w:rPr>
      </w:pPr>
      <w:r>
        <w:rPr>
          <w:b/>
        </w:rPr>
        <w:t>Table 2</w:t>
      </w:r>
      <w:r w:rsidR="008E7527" w:rsidRPr="00E204BB">
        <w:rPr>
          <w:b/>
        </w:rPr>
        <w:t xml:space="preserve">: </w:t>
      </w:r>
      <w:r w:rsidR="008E7527" w:rsidRPr="006B2A30">
        <w:rPr>
          <w:b/>
        </w:rPr>
        <w:t>Estimated</w:t>
      </w:r>
      <w:r w:rsidR="008E7527" w:rsidRPr="00E204BB">
        <w:rPr>
          <w:b/>
        </w:rPr>
        <w:t xml:space="preserve"> financial contributions</w:t>
      </w:r>
    </w:p>
    <w:tbl>
      <w:tblPr>
        <w:tblW w:w="9854" w:type="dxa"/>
        <w:tblLayout w:type="fixed"/>
        <w:tblLook w:val="01E0" w:firstRow="1" w:lastRow="1" w:firstColumn="1" w:lastColumn="1" w:noHBand="0" w:noVBand="0"/>
      </w:tblPr>
      <w:tblGrid>
        <w:gridCol w:w="4398"/>
        <w:gridCol w:w="961"/>
        <w:gridCol w:w="1128"/>
        <w:gridCol w:w="1276"/>
        <w:gridCol w:w="1276"/>
        <w:gridCol w:w="815"/>
      </w:tblGrid>
      <w:tr w:rsidR="00F93F0D" w14:paraId="158669D3" w14:textId="77777777" w:rsidTr="00F93F0D">
        <w:trPr>
          <w:cantSplit/>
        </w:trPr>
        <w:tc>
          <w:tcPr>
            <w:tcW w:w="4398" w:type="dxa"/>
            <w:tcBorders>
              <w:top w:val="single" w:sz="4" w:space="0" w:color="000080"/>
            </w:tcBorders>
          </w:tcPr>
          <w:p w14:paraId="10D11B9E" w14:textId="77777777" w:rsidR="00F93F0D" w:rsidRPr="00C2711B" w:rsidRDefault="00F93F0D" w:rsidP="00E07C42">
            <w:pPr>
              <w:keepNext/>
              <w:keepLines/>
              <w:spacing w:before="40" w:after="40"/>
              <w:jc w:val="left"/>
              <w:rPr>
                <w:b/>
              </w:rPr>
            </w:pPr>
            <w:r w:rsidRPr="00C2711B">
              <w:rPr>
                <w:b/>
              </w:rPr>
              <w:t>($ million)</w:t>
            </w:r>
          </w:p>
        </w:tc>
        <w:tc>
          <w:tcPr>
            <w:tcW w:w="961" w:type="dxa"/>
            <w:tcBorders>
              <w:top w:val="single" w:sz="4" w:space="0" w:color="000080"/>
              <w:bottom w:val="single" w:sz="4" w:space="0" w:color="000080"/>
            </w:tcBorders>
          </w:tcPr>
          <w:p w14:paraId="411D38A4" w14:textId="77777777" w:rsidR="00F93F0D" w:rsidRDefault="00F93F0D" w:rsidP="00EA7096">
            <w:pPr>
              <w:keepNext/>
              <w:keepLines/>
              <w:spacing w:before="40" w:after="40"/>
              <w:jc w:val="right"/>
            </w:pPr>
            <w:r>
              <w:t>2017-18</w:t>
            </w:r>
          </w:p>
        </w:tc>
        <w:tc>
          <w:tcPr>
            <w:tcW w:w="1128" w:type="dxa"/>
            <w:tcBorders>
              <w:top w:val="single" w:sz="4" w:space="0" w:color="000080"/>
              <w:bottom w:val="single" w:sz="4" w:space="0" w:color="000080"/>
            </w:tcBorders>
          </w:tcPr>
          <w:p w14:paraId="1912C6EB" w14:textId="77777777" w:rsidR="00F93F0D" w:rsidRDefault="00F93F0D" w:rsidP="00EA7096">
            <w:pPr>
              <w:keepNext/>
              <w:keepLines/>
              <w:spacing w:before="40" w:after="40"/>
              <w:jc w:val="right"/>
            </w:pPr>
            <w:r>
              <w:t>2018-19</w:t>
            </w:r>
          </w:p>
        </w:tc>
        <w:tc>
          <w:tcPr>
            <w:tcW w:w="1276" w:type="dxa"/>
            <w:tcBorders>
              <w:top w:val="single" w:sz="4" w:space="0" w:color="000080"/>
              <w:bottom w:val="single" w:sz="4" w:space="0" w:color="000080"/>
            </w:tcBorders>
          </w:tcPr>
          <w:p w14:paraId="0065E8F6" w14:textId="77777777" w:rsidR="00F93F0D" w:rsidRDefault="00F93F0D" w:rsidP="00EA7096">
            <w:pPr>
              <w:keepNext/>
              <w:keepLines/>
              <w:spacing w:before="40" w:after="40"/>
              <w:jc w:val="right"/>
            </w:pPr>
            <w:r>
              <w:t>2019-2020</w:t>
            </w:r>
          </w:p>
        </w:tc>
        <w:tc>
          <w:tcPr>
            <w:tcW w:w="1276" w:type="dxa"/>
            <w:tcBorders>
              <w:top w:val="single" w:sz="4" w:space="0" w:color="000080"/>
              <w:bottom w:val="single" w:sz="4" w:space="0" w:color="000080"/>
            </w:tcBorders>
          </w:tcPr>
          <w:p w14:paraId="60A6D2B2" w14:textId="77777777" w:rsidR="00F93F0D" w:rsidRDefault="00F93F0D" w:rsidP="00EA7096">
            <w:pPr>
              <w:keepNext/>
              <w:keepLines/>
              <w:spacing w:before="40" w:after="40"/>
              <w:jc w:val="right"/>
            </w:pPr>
            <w:r>
              <w:t>2020-2021</w:t>
            </w:r>
          </w:p>
        </w:tc>
        <w:tc>
          <w:tcPr>
            <w:tcW w:w="815" w:type="dxa"/>
            <w:tcBorders>
              <w:top w:val="single" w:sz="4" w:space="0" w:color="000080"/>
              <w:bottom w:val="single" w:sz="4" w:space="0" w:color="000080"/>
            </w:tcBorders>
          </w:tcPr>
          <w:p w14:paraId="7AEDF2BE" w14:textId="77777777" w:rsidR="00F93F0D" w:rsidRDefault="00F93F0D" w:rsidP="00EA7096">
            <w:pPr>
              <w:keepNext/>
              <w:keepLines/>
              <w:spacing w:before="40" w:after="40"/>
              <w:jc w:val="right"/>
            </w:pPr>
            <w:r>
              <w:t>Total</w:t>
            </w:r>
          </w:p>
        </w:tc>
      </w:tr>
      <w:tr w:rsidR="00F93F0D" w14:paraId="460D688D" w14:textId="77777777" w:rsidTr="00F93F0D">
        <w:trPr>
          <w:cantSplit/>
        </w:trPr>
        <w:tc>
          <w:tcPr>
            <w:tcW w:w="4398" w:type="dxa"/>
          </w:tcPr>
          <w:p w14:paraId="60966E6F" w14:textId="77777777" w:rsidR="00F93F0D" w:rsidRPr="005B4C1B" w:rsidRDefault="00F93F0D" w:rsidP="00E07C42">
            <w:pPr>
              <w:keepNext/>
              <w:keepLines/>
              <w:spacing w:before="60" w:after="60"/>
              <w:jc w:val="left"/>
              <w:rPr>
                <w:b/>
              </w:rPr>
            </w:pPr>
            <w:r>
              <w:rPr>
                <w:b/>
              </w:rPr>
              <w:t>T</w:t>
            </w:r>
            <w:r w:rsidRPr="005B4C1B">
              <w:rPr>
                <w:b/>
              </w:rPr>
              <w:t>otal budget</w:t>
            </w:r>
          </w:p>
        </w:tc>
        <w:tc>
          <w:tcPr>
            <w:tcW w:w="961" w:type="dxa"/>
            <w:tcBorders>
              <w:top w:val="single" w:sz="4" w:space="0" w:color="000080"/>
            </w:tcBorders>
          </w:tcPr>
          <w:p w14:paraId="06178DAA" w14:textId="77777777" w:rsidR="00F93F0D" w:rsidRPr="005B4C1B" w:rsidRDefault="00F93F0D" w:rsidP="00EA7096">
            <w:pPr>
              <w:keepNext/>
              <w:keepLines/>
              <w:spacing w:before="40" w:after="40"/>
              <w:jc w:val="right"/>
              <w:rPr>
                <w:b/>
              </w:rPr>
            </w:pPr>
            <w:r>
              <w:rPr>
                <w:b/>
              </w:rPr>
              <w:t>15.0</w:t>
            </w:r>
          </w:p>
        </w:tc>
        <w:tc>
          <w:tcPr>
            <w:tcW w:w="1128" w:type="dxa"/>
            <w:tcBorders>
              <w:top w:val="single" w:sz="4" w:space="0" w:color="000080"/>
            </w:tcBorders>
          </w:tcPr>
          <w:p w14:paraId="50A27777" w14:textId="77777777" w:rsidR="00F93F0D" w:rsidRPr="005B4C1B" w:rsidRDefault="00F93F0D" w:rsidP="00EA7096">
            <w:pPr>
              <w:keepNext/>
              <w:keepLines/>
              <w:spacing w:before="40" w:after="40"/>
              <w:jc w:val="right"/>
              <w:rPr>
                <w:b/>
              </w:rPr>
            </w:pPr>
            <w:r>
              <w:rPr>
                <w:b/>
              </w:rPr>
              <w:t>20.0</w:t>
            </w:r>
          </w:p>
        </w:tc>
        <w:tc>
          <w:tcPr>
            <w:tcW w:w="1276" w:type="dxa"/>
            <w:tcBorders>
              <w:top w:val="single" w:sz="4" w:space="0" w:color="000080"/>
            </w:tcBorders>
          </w:tcPr>
          <w:p w14:paraId="03CDFFBA" w14:textId="77777777" w:rsidR="00F93F0D" w:rsidRPr="005B4C1B" w:rsidRDefault="00F93F0D" w:rsidP="00EA7096">
            <w:pPr>
              <w:keepNext/>
              <w:keepLines/>
              <w:spacing w:before="40" w:after="40"/>
              <w:jc w:val="right"/>
              <w:rPr>
                <w:b/>
              </w:rPr>
            </w:pPr>
            <w:r>
              <w:rPr>
                <w:b/>
              </w:rPr>
              <w:t>25.0</w:t>
            </w:r>
          </w:p>
        </w:tc>
        <w:tc>
          <w:tcPr>
            <w:tcW w:w="1276" w:type="dxa"/>
            <w:tcBorders>
              <w:top w:val="single" w:sz="4" w:space="0" w:color="000080"/>
            </w:tcBorders>
          </w:tcPr>
          <w:p w14:paraId="10D840D7" w14:textId="77777777" w:rsidR="00F93F0D" w:rsidRPr="005B4C1B" w:rsidRDefault="00F93F0D" w:rsidP="00EA7096">
            <w:pPr>
              <w:keepNext/>
              <w:keepLines/>
              <w:spacing w:before="40" w:after="40"/>
              <w:jc w:val="right"/>
              <w:rPr>
                <w:b/>
              </w:rPr>
            </w:pPr>
            <w:r>
              <w:rPr>
                <w:b/>
              </w:rPr>
              <w:t>40</w:t>
            </w:r>
            <w:r w:rsidRPr="005B4C1B">
              <w:rPr>
                <w:b/>
              </w:rPr>
              <w:t>.0</w:t>
            </w:r>
          </w:p>
        </w:tc>
        <w:tc>
          <w:tcPr>
            <w:tcW w:w="815" w:type="dxa"/>
            <w:tcBorders>
              <w:top w:val="single" w:sz="4" w:space="0" w:color="000080"/>
            </w:tcBorders>
          </w:tcPr>
          <w:p w14:paraId="533C2968" w14:textId="77777777" w:rsidR="00F93F0D" w:rsidRPr="005B4C1B" w:rsidRDefault="00F93F0D" w:rsidP="00EA7096">
            <w:pPr>
              <w:keepNext/>
              <w:keepLines/>
              <w:spacing w:before="40" w:after="40"/>
              <w:jc w:val="right"/>
              <w:rPr>
                <w:b/>
              </w:rPr>
            </w:pPr>
            <w:r>
              <w:rPr>
                <w:b/>
              </w:rPr>
              <w:t>100</w:t>
            </w:r>
            <w:r w:rsidRPr="005B4C1B">
              <w:rPr>
                <w:b/>
              </w:rPr>
              <w:t>.0</w:t>
            </w:r>
          </w:p>
        </w:tc>
      </w:tr>
      <w:tr w:rsidR="00F93F0D" w14:paraId="63042644" w14:textId="77777777" w:rsidTr="00F93F0D">
        <w:trPr>
          <w:cantSplit/>
        </w:trPr>
        <w:tc>
          <w:tcPr>
            <w:tcW w:w="4398" w:type="dxa"/>
          </w:tcPr>
          <w:p w14:paraId="0B70C709" w14:textId="77777777" w:rsidR="00F93F0D" w:rsidRPr="004A673A" w:rsidRDefault="00F93F0D" w:rsidP="00E07C42">
            <w:pPr>
              <w:keepNext/>
              <w:keepLines/>
              <w:spacing w:before="60" w:after="60"/>
              <w:jc w:val="left"/>
            </w:pPr>
            <w:r>
              <w:t>Less National Partnership Payments</w:t>
            </w:r>
          </w:p>
        </w:tc>
        <w:tc>
          <w:tcPr>
            <w:tcW w:w="961" w:type="dxa"/>
            <w:tcBorders>
              <w:bottom w:val="single" w:sz="4" w:space="0" w:color="000080"/>
            </w:tcBorders>
          </w:tcPr>
          <w:p w14:paraId="009067A2" w14:textId="77777777" w:rsidR="00F93F0D" w:rsidRPr="005B4C1B" w:rsidRDefault="00F93F0D" w:rsidP="00EA7096">
            <w:pPr>
              <w:keepNext/>
              <w:keepLines/>
              <w:spacing w:before="40" w:after="40"/>
              <w:jc w:val="right"/>
            </w:pPr>
            <w:r>
              <w:t>10.0</w:t>
            </w:r>
          </w:p>
        </w:tc>
        <w:tc>
          <w:tcPr>
            <w:tcW w:w="1128" w:type="dxa"/>
            <w:tcBorders>
              <w:bottom w:val="single" w:sz="4" w:space="0" w:color="000080"/>
            </w:tcBorders>
          </w:tcPr>
          <w:p w14:paraId="3EE470A4" w14:textId="77777777" w:rsidR="00F93F0D" w:rsidRPr="005B4C1B" w:rsidRDefault="00F93F0D" w:rsidP="00EA7096">
            <w:pPr>
              <w:keepNext/>
              <w:keepLines/>
              <w:spacing w:before="40" w:after="40"/>
              <w:jc w:val="right"/>
            </w:pPr>
            <w:r w:rsidRPr="005B4C1B">
              <w:t>1</w:t>
            </w:r>
            <w:r>
              <w:t>0.0</w:t>
            </w:r>
          </w:p>
        </w:tc>
        <w:tc>
          <w:tcPr>
            <w:tcW w:w="1276" w:type="dxa"/>
            <w:tcBorders>
              <w:bottom w:val="single" w:sz="4" w:space="0" w:color="000080"/>
            </w:tcBorders>
          </w:tcPr>
          <w:p w14:paraId="5CC225A9" w14:textId="77777777" w:rsidR="00F93F0D" w:rsidRPr="005B4C1B" w:rsidRDefault="00F93F0D" w:rsidP="00EA7096">
            <w:pPr>
              <w:keepNext/>
              <w:keepLines/>
              <w:spacing w:before="40" w:after="40"/>
              <w:jc w:val="right"/>
            </w:pPr>
            <w:r>
              <w:t>17.5</w:t>
            </w:r>
          </w:p>
        </w:tc>
        <w:tc>
          <w:tcPr>
            <w:tcW w:w="1276" w:type="dxa"/>
            <w:tcBorders>
              <w:bottom w:val="single" w:sz="4" w:space="0" w:color="000080"/>
            </w:tcBorders>
          </w:tcPr>
          <w:p w14:paraId="1F2BA0C9" w14:textId="77777777" w:rsidR="00F93F0D" w:rsidRPr="005B4C1B" w:rsidRDefault="00F93F0D" w:rsidP="00EA7096">
            <w:pPr>
              <w:keepNext/>
              <w:keepLines/>
              <w:spacing w:before="40" w:after="40"/>
              <w:jc w:val="right"/>
            </w:pPr>
            <w:r>
              <w:t>12.5</w:t>
            </w:r>
          </w:p>
        </w:tc>
        <w:tc>
          <w:tcPr>
            <w:tcW w:w="815" w:type="dxa"/>
            <w:tcBorders>
              <w:bottom w:val="single" w:sz="4" w:space="0" w:color="000080"/>
            </w:tcBorders>
          </w:tcPr>
          <w:p w14:paraId="67C3F112" w14:textId="77777777" w:rsidR="00F93F0D" w:rsidRPr="005B4C1B" w:rsidRDefault="00F93F0D" w:rsidP="00EA7096">
            <w:pPr>
              <w:keepNext/>
              <w:keepLines/>
              <w:spacing w:before="40" w:after="40"/>
              <w:jc w:val="right"/>
            </w:pPr>
            <w:r>
              <w:t>50</w:t>
            </w:r>
            <w:r w:rsidRPr="005B4C1B">
              <w:t>.0</w:t>
            </w:r>
          </w:p>
        </w:tc>
      </w:tr>
      <w:tr w:rsidR="00F93F0D" w14:paraId="65236022" w14:textId="77777777" w:rsidTr="00F93F0D">
        <w:trPr>
          <w:cantSplit/>
        </w:trPr>
        <w:tc>
          <w:tcPr>
            <w:tcW w:w="4398" w:type="dxa"/>
            <w:tcBorders>
              <w:bottom w:val="single" w:sz="4" w:space="0" w:color="000080"/>
            </w:tcBorders>
          </w:tcPr>
          <w:p w14:paraId="313CD9AB" w14:textId="77777777" w:rsidR="00F93F0D" w:rsidRPr="006146F2" w:rsidRDefault="00F93F0D" w:rsidP="00E07C42">
            <w:pPr>
              <w:keepNext/>
              <w:keepLines/>
              <w:spacing w:before="40" w:after="40"/>
              <w:jc w:val="left"/>
            </w:pPr>
            <w:r w:rsidRPr="006146F2">
              <w:t>Balance of non-Commonwealth contribution</w:t>
            </w:r>
            <w:r>
              <w:t>s</w:t>
            </w:r>
          </w:p>
        </w:tc>
        <w:tc>
          <w:tcPr>
            <w:tcW w:w="961" w:type="dxa"/>
            <w:tcBorders>
              <w:bottom w:val="single" w:sz="4" w:space="0" w:color="000080"/>
            </w:tcBorders>
          </w:tcPr>
          <w:p w14:paraId="06773C3B" w14:textId="77777777" w:rsidR="00F93F0D" w:rsidRDefault="00F93F0D" w:rsidP="00EA7096">
            <w:pPr>
              <w:keepNext/>
              <w:keepLines/>
              <w:spacing w:before="40" w:after="40"/>
              <w:jc w:val="right"/>
            </w:pPr>
            <w:r>
              <w:t>5.0</w:t>
            </w:r>
          </w:p>
        </w:tc>
        <w:tc>
          <w:tcPr>
            <w:tcW w:w="1128" w:type="dxa"/>
            <w:tcBorders>
              <w:bottom w:val="single" w:sz="4" w:space="0" w:color="000080"/>
            </w:tcBorders>
          </w:tcPr>
          <w:p w14:paraId="274E655F" w14:textId="77777777" w:rsidR="00F93F0D" w:rsidRDefault="00F93F0D" w:rsidP="00EA7096">
            <w:pPr>
              <w:keepNext/>
              <w:keepLines/>
              <w:spacing w:before="40" w:after="40"/>
              <w:jc w:val="right"/>
            </w:pPr>
            <w:r>
              <w:t>10.0</w:t>
            </w:r>
          </w:p>
        </w:tc>
        <w:tc>
          <w:tcPr>
            <w:tcW w:w="1276" w:type="dxa"/>
            <w:tcBorders>
              <w:bottom w:val="single" w:sz="4" w:space="0" w:color="000080"/>
            </w:tcBorders>
          </w:tcPr>
          <w:p w14:paraId="0593C15C" w14:textId="77777777" w:rsidR="00F93F0D" w:rsidRDefault="00F93F0D" w:rsidP="00EA7096">
            <w:pPr>
              <w:keepNext/>
              <w:keepLines/>
              <w:spacing w:before="40" w:after="40"/>
              <w:jc w:val="right"/>
            </w:pPr>
            <w:r>
              <w:t>7.5</w:t>
            </w:r>
          </w:p>
        </w:tc>
        <w:tc>
          <w:tcPr>
            <w:tcW w:w="1276" w:type="dxa"/>
            <w:tcBorders>
              <w:bottom w:val="single" w:sz="4" w:space="0" w:color="000080"/>
            </w:tcBorders>
          </w:tcPr>
          <w:p w14:paraId="106DA3B7" w14:textId="77777777" w:rsidR="00F93F0D" w:rsidRDefault="00F93F0D" w:rsidP="00EA7096">
            <w:pPr>
              <w:keepNext/>
              <w:keepLines/>
              <w:spacing w:before="40" w:after="40"/>
              <w:jc w:val="right"/>
            </w:pPr>
            <w:r>
              <w:t>27.5</w:t>
            </w:r>
          </w:p>
        </w:tc>
        <w:tc>
          <w:tcPr>
            <w:tcW w:w="815" w:type="dxa"/>
            <w:tcBorders>
              <w:bottom w:val="single" w:sz="4" w:space="0" w:color="000080"/>
            </w:tcBorders>
          </w:tcPr>
          <w:p w14:paraId="592E6D49" w14:textId="77777777" w:rsidR="00F93F0D" w:rsidRDefault="00F93F0D" w:rsidP="00EA7096">
            <w:pPr>
              <w:keepNext/>
              <w:keepLines/>
              <w:spacing w:before="40" w:after="40"/>
              <w:jc w:val="right"/>
            </w:pPr>
            <w:r>
              <w:t>50.0</w:t>
            </w:r>
          </w:p>
        </w:tc>
      </w:tr>
    </w:tbl>
    <w:p w14:paraId="27EA6C3B" w14:textId="77777777" w:rsidR="008E7527" w:rsidRDefault="008E7527" w:rsidP="00266F47">
      <w:pPr>
        <w:pStyle w:val="Normalnumbered"/>
        <w:numPr>
          <w:ilvl w:val="0"/>
          <w:numId w:val="16"/>
        </w:numPr>
        <w:spacing w:before="240" w:line="240" w:lineRule="auto"/>
        <w:rPr>
          <w:szCs w:val="23"/>
        </w:rPr>
      </w:pPr>
      <w:r w:rsidRPr="00FB5D07">
        <w:rPr>
          <w:szCs w:val="23"/>
        </w:rPr>
        <w:t xml:space="preserve">Having regard to the agreed </w:t>
      </w:r>
      <w:r w:rsidRPr="006B2A30">
        <w:rPr>
          <w:szCs w:val="23"/>
        </w:rPr>
        <w:t>estimated</w:t>
      </w:r>
      <w:r w:rsidRPr="00FB5D07">
        <w:rPr>
          <w:szCs w:val="23"/>
        </w:rPr>
        <w:t xml:space="preserve"> costs of projects specified in </w:t>
      </w:r>
      <w:r w:rsidR="006B43AF" w:rsidRPr="004931F2">
        <w:rPr>
          <w:szCs w:val="23"/>
        </w:rPr>
        <w:t>this</w:t>
      </w:r>
      <w:r w:rsidRPr="004931F2">
        <w:rPr>
          <w:szCs w:val="23"/>
        </w:rPr>
        <w:t xml:space="preserve"> Agreement, </w:t>
      </w:r>
      <w:r w:rsidR="00071269" w:rsidRPr="00FB5D07">
        <w:rPr>
          <w:szCs w:val="23"/>
        </w:rPr>
        <w:t>the State of Victoria</w:t>
      </w:r>
      <w:r w:rsidRPr="00FB5D07">
        <w:rPr>
          <w:szCs w:val="23"/>
        </w:rPr>
        <w:t xml:space="preserve"> will not be required to pay a refund to the Commonwealth if the actual cost of the project is less than the agreed</w:t>
      </w:r>
      <w:r w:rsidR="00515AF2" w:rsidRPr="00FB5D07">
        <w:rPr>
          <w:szCs w:val="23"/>
        </w:rPr>
        <w:t xml:space="preserve"> estimated cost of the project.  </w:t>
      </w:r>
      <w:r w:rsidRPr="004931F2">
        <w:rPr>
          <w:szCs w:val="23"/>
        </w:rPr>
        <w:t>Similarly, the State bear</w:t>
      </w:r>
      <w:r w:rsidR="00F24F22">
        <w:rPr>
          <w:szCs w:val="23"/>
        </w:rPr>
        <w:t>s</w:t>
      </w:r>
      <w:r w:rsidRPr="004931F2">
        <w:rPr>
          <w:szCs w:val="23"/>
        </w:rPr>
        <w:t xml:space="preserve"> all risk should the costs of </w:t>
      </w:r>
      <w:r w:rsidR="00F24F22">
        <w:rPr>
          <w:szCs w:val="23"/>
        </w:rPr>
        <w:t>the</w:t>
      </w:r>
      <w:r w:rsidRPr="004931F2">
        <w:rPr>
          <w:szCs w:val="23"/>
        </w:rPr>
        <w:t xml:space="preserve"> project exceed the agreed estimated costs. The Parties acknowledge that this arrangement provides the maximum incentive for the State to deliver </w:t>
      </w:r>
      <w:r w:rsidR="00F24F22">
        <w:rPr>
          <w:szCs w:val="23"/>
        </w:rPr>
        <w:t xml:space="preserve">the </w:t>
      </w:r>
      <w:r w:rsidRPr="004931F2">
        <w:rPr>
          <w:szCs w:val="23"/>
        </w:rPr>
        <w:t>project cost effectively and efficiently.</w:t>
      </w:r>
    </w:p>
    <w:p w14:paraId="6746D897" w14:textId="77777777" w:rsidR="003E3F5F" w:rsidRPr="00D909D6" w:rsidRDefault="00D150BE" w:rsidP="008726F9">
      <w:pPr>
        <w:pStyle w:val="Heading2"/>
      </w:pPr>
      <w:r w:rsidRPr="00D909D6">
        <w:t>T</w:t>
      </w:r>
      <w:r w:rsidR="003E3F5F" w:rsidRPr="00D909D6">
        <w:t>ermination</w:t>
      </w:r>
    </w:p>
    <w:p w14:paraId="0D98E4A3" w14:textId="5A927C14" w:rsidR="003E3F5F" w:rsidRPr="00C15A3F" w:rsidRDefault="003E3F5F" w:rsidP="00266F47">
      <w:pPr>
        <w:pStyle w:val="Normalnumbered"/>
        <w:numPr>
          <w:ilvl w:val="0"/>
          <w:numId w:val="16"/>
        </w:numPr>
        <w:spacing w:before="120" w:line="240" w:lineRule="auto"/>
        <w:rPr>
          <w:szCs w:val="23"/>
        </w:rPr>
      </w:pPr>
      <w:bookmarkStart w:id="3" w:name="_Ref496613785"/>
      <w:bookmarkStart w:id="4" w:name="_Ref496612420"/>
      <w:bookmarkStart w:id="5" w:name="_GoBack"/>
      <w:r w:rsidRPr="00D909D6">
        <w:rPr>
          <w:szCs w:val="23"/>
        </w:rPr>
        <w:t>If</w:t>
      </w:r>
      <w:r w:rsidR="00481FA9">
        <w:rPr>
          <w:szCs w:val="23"/>
        </w:rPr>
        <w:t xml:space="preserve"> </w:t>
      </w:r>
      <w:bookmarkEnd w:id="3"/>
      <w:bookmarkEnd w:id="5"/>
      <w:r w:rsidRPr="00481FA9">
        <w:rPr>
          <w:szCs w:val="23"/>
        </w:rPr>
        <w:t xml:space="preserve">the Commonwealth </w:t>
      </w:r>
      <w:r w:rsidR="009418E4" w:rsidRPr="00481FA9">
        <w:rPr>
          <w:szCs w:val="23"/>
        </w:rPr>
        <w:t xml:space="preserve">provides notice of its intention to </w:t>
      </w:r>
      <w:r w:rsidRPr="00481FA9">
        <w:rPr>
          <w:szCs w:val="23"/>
        </w:rPr>
        <w:t>terminate this Agreement</w:t>
      </w:r>
      <w:r w:rsidR="00C15A3F" w:rsidRPr="00481FA9">
        <w:rPr>
          <w:szCs w:val="23"/>
        </w:rPr>
        <w:t xml:space="preserve"> and </w:t>
      </w:r>
      <w:r w:rsidR="00D150BE" w:rsidRPr="00C15A3F">
        <w:rPr>
          <w:szCs w:val="23"/>
        </w:rPr>
        <w:t>Victoria</w:t>
      </w:r>
      <w:r w:rsidR="00F35170" w:rsidRPr="00C15A3F">
        <w:rPr>
          <w:szCs w:val="23"/>
        </w:rPr>
        <w:t xml:space="preserve"> and HEA are unable to reach agreement on alternative sources of funding </w:t>
      </w:r>
      <w:r w:rsidR="0084131D" w:rsidRPr="00C15A3F">
        <w:rPr>
          <w:szCs w:val="23"/>
        </w:rPr>
        <w:t xml:space="preserve">for the project </w:t>
      </w:r>
      <w:r w:rsidR="00F35170" w:rsidRPr="00C15A3F">
        <w:rPr>
          <w:szCs w:val="23"/>
        </w:rPr>
        <w:t xml:space="preserve">within </w:t>
      </w:r>
      <w:r w:rsidR="00485F35" w:rsidRPr="00C15A3F">
        <w:rPr>
          <w:szCs w:val="23"/>
        </w:rPr>
        <w:t xml:space="preserve">45 days of </w:t>
      </w:r>
      <w:r w:rsidR="00C15A3F" w:rsidRPr="00C15A3F">
        <w:rPr>
          <w:szCs w:val="23"/>
        </w:rPr>
        <w:t>receiving</w:t>
      </w:r>
      <w:r w:rsidR="00C15A3F">
        <w:rPr>
          <w:szCs w:val="23"/>
        </w:rPr>
        <w:t xml:space="preserve"> the</w:t>
      </w:r>
      <w:r w:rsidR="00C15A3F" w:rsidRPr="00C15A3F">
        <w:rPr>
          <w:szCs w:val="23"/>
        </w:rPr>
        <w:t xml:space="preserve"> notice </w:t>
      </w:r>
      <w:r w:rsidR="00A86D9B" w:rsidRPr="00C15A3F">
        <w:rPr>
          <w:szCs w:val="23"/>
        </w:rPr>
        <w:t>and</w:t>
      </w:r>
      <w:r w:rsidR="00C15A3F">
        <w:rPr>
          <w:szCs w:val="23"/>
        </w:rPr>
        <w:t xml:space="preserve"> </w:t>
      </w:r>
      <w:r w:rsidR="00A86D9B" w:rsidRPr="00C15A3F">
        <w:rPr>
          <w:szCs w:val="23"/>
        </w:rPr>
        <w:t xml:space="preserve">as a result, </w:t>
      </w:r>
      <w:r w:rsidR="00D150BE" w:rsidRPr="00C15A3F">
        <w:rPr>
          <w:szCs w:val="23"/>
        </w:rPr>
        <w:t>Victoria</w:t>
      </w:r>
      <w:r w:rsidR="00A86D9B" w:rsidRPr="00C15A3F">
        <w:rPr>
          <w:szCs w:val="23"/>
        </w:rPr>
        <w:t xml:space="preserve"> terminates the HESC Agreement,</w:t>
      </w:r>
      <w:r w:rsidR="00C15A3F">
        <w:rPr>
          <w:szCs w:val="23"/>
        </w:rPr>
        <w:t xml:space="preserve"> </w:t>
      </w:r>
      <w:r w:rsidR="00F35170" w:rsidRPr="00C15A3F">
        <w:rPr>
          <w:szCs w:val="23"/>
        </w:rPr>
        <w:t xml:space="preserve">the </w:t>
      </w:r>
      <w:r w:rsidR="00485F35" w:rsidRPr="00C15A3F">
        <w:rPr>
          <w:szCs w:val="23"/>
        </w:rPr>
        <w:t>Commonwealth will</w:t>
      </w:r>
      <w:r w:rsidR="00F40B93" w:rsidRPr="00C15A3F">
        <w:rPr>
          <w:szCs w:val="23"/>
        </w:rPr>
        <w:t xml:space="preserve">, subject to </w:t>
      </w:r>
      <w:r w:rsidR="00D150BE" w:rsidRPr="00C15A3F">
        <w:rPr>
          <w:szCs w:val="23"/>
        </w:rPr>
        <w:t>Victoria’s</w:t>
      </w:r>
      <w:r w:rsidR="00F40B93" w:rsidRPr="00C15A3F">
        <w:rPr>
          <w:szCs w:val="23"/>
        </w:rPr>
        <w:t xml:space="preserve"> compliance with this Agreement</w:t>
      </w:r>
      <w:r w:rsidR="00F35170" w:rsidRPr="00C15A3F">
        <w:rPr>
          <w:szCs w:val="23"/>
        </w:rPr>
        <w:t>:</w:t>
      </w:r>
      <w:bookmarkEnd w:id="4"/>
    </w:p>
    <w:p w14:paraId="3D87E974" w14:textId="394F357A" w:rsidR="00F35170" w:rsidRPr="00D909D6" w:rsidRDefault="009418E4" w:rsidP="00836734">
      <w:pPr>
        <w:pStyle w:val="Normalnumbered"/>
        <w:numPr>
          <w:ilvl w:val="0"/>
          <w:numId w:val="37"/>
        </w:numPr>
        <w:tabs>
          <w:tab w:val="left" w:pos="1134"/>
        </w:tabs>
        <w:spacing w:before="120" w:line="240" w:lineRule="auto"/>
        <w:ind w:left="1134" w:hanging="567"/>
        <w:rPr>
          <w:szCs w:val="23"/>
        </w:rPr>
      </w:pPr>
      <w:r>
        <w:rPr>
          <w:szCs w:val="23"/>
        </w:rPr>
        <w:t>make</w:t>
      </w:r>
      <w:r w:rsidR="00E07C42" w:rsidRPr="00D909D6">
        <w:rPr>
          <w:szCs w:val="23"/>
        </w:rPr>
        <w:t xml:space="preserve"> </w:t>
      </w:r>
      <w:r w:rsidR="00F35170" w:rsidRPr="00D909D6">
        <w:rPr>
          <w:szCs w:val="23"/>
        </w:rPr>
        <w:t xml:space="preserve">any payments </w:t>
      </w:r>
      <w:r>
        <w:rPr>
          <w:szCs w:val="23"/>
        </w:rPr>
        <w:t xml:space="preserve">that were due, </w:t>
      </w:r>
      <w:r w:rsidR="00F35170" w:rsidRPr="00D909D6">
        <w:rPr>
          <w:szCs w:val="23"/>
        </w:rPr>
        <w:t>in accordance with this Agreement</w:t>
      </w:r>
      <w:r>
        <w:rPr>
          <w:szCs w:val="23"/>
        </w:rPr>
        <w:t>,</w:t>
      </w:r>
      <w:r w:rsidR="00E07C42">
        <w:rPr>
          <w:szCs w:val="23"/>
        </w:rPr>
        <w:t xml:space="preserve"> </w:t>
      </w:r>
      <w:r w:rsidR="00F35170" w:rsidRPr="00D909D6">
        <w:rPr>
          <w:szCs w:val="23"/>
        </w:rPr>
        <w:t xml:space="preserve">before the </w:t>
      </w:r>
      <w:r>
        <w:rPr>
          <w:szCs w:val="23"/>
        </w:rPr>
        <w:t>Commonwealth provided notice of its intention to</w:t>
      </w:r>
      <w:r w:rsidR="00F35170" w:rsidRPr="00D909D6">
        <w:rPr>
          <w:szCs w:val="23"/>
        </w:rPr>
        <w:t xml:space="preserve"> terminat</w:t>
      </w:r>
      <w:r>
        <w:rPr>
          <w:szCs w:val="23"/>
        </w:rPr>
        <w:t>e</w:t>
      </w:r>
      <w:r w:rsidR="00F35170" w:rsidRPr="00D909D6">
        <w:rPr>
          <w:szCs w:val="23"/>
        </w:rPr>
        <w:t>; and</w:t>
      </w:r>
    </w:p>
    <w:p w14:paraId="2213CF60" w14:textId="75F92237" w:rsidR="00F35170" w:rsidRPr="00D909D6" w:rsidRDefault="00C15A3F" w:rsidP="00836734">
      <w:pPr>
        <w:pStyle w:val="Normalnumbered"/>
        <w:numPr>
          <w:ilvl w:val="0"/>
          <w:numId w:val="37"/>
        </w:numPr>
        <w:tabs>
          <w:tab w:val="left" w:pos="1134"/>
        </w:tabs>
        <w:spacing w:before="120" w:line="240" w:lineRule="auto"/>
        <w:ind w:left="1134" w:hanging="567"/>
        <w:rPr>
          <w:szCs w:val="23"/>
        </w:rPr>
      </w:pPr>
      <w:bookmarkStart w:id="6" w:name="_Ref496689431"/>
      <w:r>
        <w:rPr>
          <w:szCs w:val="23"/>
        </w:rPr>
        <w:lastRenderedPageBreak/>
        <w:t>i</w:t>
      </w:r>
      <w:r w:rsidR="00E07C42">
        <w:rPr>
          <w:szCs w:val="23"/>
        </w:rPr>
        <w:t xml:space="preserve">n </w:t>
      </w:r>
      <w:r w:rsidR="009418E4">
        <w:rPr>
          <w:szCs w:val="23"/>
        </w:rPr>
        <w:t>addition to any prior payments that have been made</w:t>
      </w:r>
      <w:r w:rsidR="00E07C42">
        <w:rPr>
          <w:szCs w:val="23"/>
        </w:rPr>
        <w:t xml:space="preserve">, </w:t>
      </w:r>
      <w:r w:rsidR="00485F35" w:rsidRPr="00D909D6">
        <w:rPr>
          <w:szCs w:val="23"/>
        </w:rPr>
        <w:t>reimburse</w:t>
      </w:r>
      <w:r w:rsidR="00F35170" w:rsidRPr="00D909D6">
        <w:rPr>
          <w:szCs w:val="23"/>
        </w:rPr>
        <w:t xml:space="preserve"> </w:t>
      </w:r>
      <w:r w:rsidR="00D150BE" w:rsidRPr="00D909D6">
        <w:rPr>
          <w:szCs w:val="23"/>
        </w:rPr>
        <w:t>Victoria</w:t>
      </w:r>
      <w:r w:rsidR="00F35170" w:rsidRPr="00D909D6">
        <w:rPr>
          <w:szCs w:val="23"/>
        </w:rPr>
        <w:t xml:space="preserve"> for </w:t>
      </w:r>
      <w:r w:rsidR="00A86D9B" w:rsidRPr="00D909D6">
        <w:rPr>
          <w:szCs w:val="23"/>
        </w:rPr>
        <w:t xml:space="preserve">any payments it makes to HEA for costs attributable to the termination of the HESC Agreement by </w:t>
      </w:r>
      <w:r w:rsidR="00D150BE" w:rsidRPr="00D909D6">
        <w:rPr>
          <w:szCs w:val="23"/>
        </w:rPr>
        <w:t>Victoria</w:t>
      </w:r>
      <w:r w:rsidR="00A86D9B" w:rsidRPr="00D909D6">
        <w:rPr>
          <w:szCs w:val="23"/>
        </w:rPr>
        <w:t xml:space="preserve">, pursuant to </w:t>
      </w:r>
      <w:r w:rsidR="0084131D" w:rsidRPr="00D909D6">
        <w:rPr>
          <w:szCs w:val="23"/>
        </w:rPr>
        <w:t xml:space="preserve">the termination for convenience clause of </w:t>
      </w:r>
      <w:r w:rsidR="00F35170" w:rsidRPr="00D909D6">
        <w:rPr>
          <w:szCs w:val="23"/>
        </w:rPr>
        <w:t>the HESC Agreement</w:t>
      </w:r>
      <w:r w:rsidR="00485F35" w:rsidRPr="00D909D6">
        <w:rPr>
          <w:szCs w:val="23"/>
        </w:rPr>
        <w:t>.</w:t>
      </w:r>
      <w:bookmarkEnd w:id="6"/>
    </w:p>
    <w:p w14:paraId="6D074D3F" w14:textId="77777777" w:rsidR="0053587B" w:rsidRPr="00D909D6" w:rsidRDefault="0084131D" w:rsidP="00183741">
      <w:pPr>
        <w:pStyle w:val="Normalnumbered"/>
        <w:numPr>
          <w:ilvl w:val="0"/>
          <w:numId w:val="16"/>
        </w:numPr>
        <w:spacing w:before="120" w:line="240" w:lineRule="auto"/>
        <w:rPr>
          <w:szCs w:val="23"/>
        </w:rPr>
      </w:pPr>
      <w:r w:rsidRPr="00D909D6">
        <w:rPr>
          <w:szCs w:val="23"/>
        </w:rPr>
        <w:t xml:space="preserve">The Commonwealth’s obligation to pay </w:t>
      </w:r>
      <w:r w:rsidR="00D150BE" w:rsidRPr="00D909D6">
        <w:rPr>
          <w:szCs w:val="23"/>
        </w:rPr>
        <w:t>Victoria</w:t>
      </w:r>
      <w:r w:rsidRPr="00D909D6">
        <w:rPr>
          <w:szCs w:val="23"/>
        </w:rPr>
        <w:t xml:space="preserve"> in accordance with clause </w:t>
      </w:r>
      <w:r w:rsidRPr="00D909D6">
        <w:rPr>
          <w:szCs w:val="23"/>
        </w:rPr>
        <w:fldChar w:fldCharType="begin"/>
      </w:r>
      <w:r w:rsidRPr="00D909D6">
        <w:rPr>
          <w:szCs w:val="23"/>
        </w:rPr>
        <w:instrText xml:space="preserve"> REF _Ref496612420 \r \h </w:instrText>
      </w:r>
      <w:r w:rsidR="00C66DBA" w:rsidRPr="00D909D6">
        <w:rPr>
          <w:szCs w:val="23"/>
        </w:rPr>
        <w:instrText xml:space="preserve"> \* MERGEFORMAT </w:instrText>
      </w:r>
      <w:r w:rsidRPr="00D909D6">
        <w:rPr>
          <w:szCs w:val="23"/>
        </w:rPr>
      </w:r>
      <w:r w:rsidRPr="00D909D6">
        <w:rPr>
          <w:szCs w:val="23"/>
        </w:rPr>
        <w:fldChar w:fldCharType="separate"/>
      </w:r>
      <w:r w:rsidR="003714AA">
        <w:rPr>
          <w:szCs w:val="23"/>
        </w:rPr>
        <w:t>21</w:t>
      </w:r>
      <w:r w:rsidRPr="00D909D6">
        <w:rPr>
          <w:szCs w:val="23"/>
        </w:rPr>
        <w:fldChar w:fldCharType="end"/>
      </w:r>
      <w:r w:rsidR="0053587B" w:rsidRPr="00D909D6">
        <w:rPr>
          <w:szCs w:val="23"/>
        </w:rPr>
        <w:t>:</w:t>
      </w:r>
    </w:p>
    <w:p w14:paraId="4C2B4CA4" w14:textId="77777777" w:rsidR="00235457" w:rsidRDefault="009F4999" w:rsidP="00266F47">
      <w:pPr>
        <w:pStyle w:val="Normalnumbered"/>
        <w:numPr>
          <w:ilvl w:val="0"/>
          <w:numId w:val="52"/>
        </w:numPr>
        <w:tabs>
          <w:tab w:val="left" w:pos="1134"/>
        </w:tabs>
        <w:spacing w:before="120" w:line="240" w:lineRule="auto"/>
        <w:ind w:left="1134" w:hanging="567"/>
        <w:rPr>
          <w:szCs w:val="23"/>
        </w:rPr>
      </w:pPr>
      <w:r w:rsidRPr="00D909D6">
        <w:rPr>
          <w:szCs w:val="23"/>
        </w:rPr>
        <w:t>i</w:t>
      </w:r>
      <w:r w:rsidR="0053587B" w:rsidRPr="00D909D6">
        <w:rPr>
          <w:szCs w:val="23"/>
        </w:rPr>
        <w:t xml:space="preserve">s subject to </w:t>
      </w:r>
      <w:r w:rsidR="0084131D" w:rsidRPr="00D909D6">
        <w:rPr>
          <w:szCs w:val="23"/>
        </w:rPr>
        <w:t xml:space="preserve">provision by </w:t>
      </w:r>
      <w:r w:rsidR="00D150BE" w:rsidRPr="00D909D6">
        <w:rPr>
          <w:szCs w:val="23"/>
        </w:rPr>
        <w:t>Victoria</w:t>
      </w:r>
      <w:r w:rsidR="0084131D" w:rsidRPr="00D909D6">
        <w:rPr>
          <w:szCs w:val="23"/>
        </w:rPr>
        <w:t xml:space="preserve"> of reasonable evidence of the costs incurred (including costs incurred by HEA pursuant to the HESC Agreement)</w:t>
      </w:r>
      <w:r w:rsidR="0053587B" w:rsidRPr="00D909D6">
        <w:rPr>
          <w:szCs w:val="23"/>
        </w:rPr>
        <w:t>; and</w:t>
      </w:r>
    </w:p>
    <w:p w14:paraId="34281901" w14:textId="77777777" w:rsidR="00F35170" w:rsidRPr="00235457" w:rsidRDefault="00F35170" w:rsidP="00266F47">
      <w:pPr>
        <w:pStyle w:val="Normalnumbered"/>
        <w:numPr>
          <w:ilvl w:val="0"/>
          <w:numId w:val="53"/>
        </w:numPr>
        <w:tabs>
          <w:tab w:val="left" w:pos="1134"/>
        </w:tabs>
        <w:spacing w:before="120" w:line="240" w:lineRule="auto"/>
        <w:ind w:left="1134" w:hanging="567"/>
        <w:rPr>
          <w:szCs w:val="23"/>
        </w:rPr>
      </w:pPr>
      <w:r w:rsidRPr="00235457">
        <w:rPr>
          <w:szCs w:val="23"/>
        </w:rPr>
        <w:t xml:space="preserve">will not exceed </w:t>
      </w:r>
      <w:r w:rsidR="00B71486" w:rsidRPr="00235457">
        <w:rPr>
          <w:szCs w:val="23"/>
        </w:rPr>
        <w:t xml:space="preserve">a total of </w:t>
      </w:r>
      <w:r w:rsidRPr="00235457">
        <w:rPr>
          <w:szCs w:val="23"/>
        </w:rPr>
        <w:t>$</w:t>
      </w:r>
      <w:r w:rsidR="008F29C2">
        <w:rPr>
          <w:szCs w:val="23"/>
        </w:rPr>
        <w:t>20</w:t>
      </w:r>
      <w:r w:rsidRPr="00235457">
        <w:rPr>
          <w:szCs w:val="23"/>
        </w:rPr>
        <w:t>,</w:t>
      </w:r>
      <w:r w:rsidR="0084131D" w:rsidRPr="00235457">
        <w:rPr>
          <w:szCs w:val="23"/>
        </w:rPr>
        <w:t>0</w:t>
      </w:r>
      <w:r w:rsidR="008F29C2">
        <w:rPr>
          <w:szCs w:val="23"/>
        </w:rPr>
        <w:t>00,000</w:t>
      </w:r>
      <w:r w:rsidRPr="00235457">
        <w:rPr>
          <w:szCs w:val="23"/>
        </w:rPr>
        <w:t>.</w:t>
      </w:r>
    </w:p>
    <w:p w14:paraId="015404A6" w14:textId="20ABF783" w:rsidR="00F24F22" w:rsidRPr="00E95DA6" w:rsidRDefault="00F24F22" w:rsidP="00183741">
      <w:pPr>
        <w:pStyle w:val="Normalnumbered"/>
        <w:numPr>
          <w:ilvl w:val="0"/>
          <w:numId w:val="16"/>
        </w:numPr>
        <w:spacing w:before="120" w:line="240" w:lineRule="auto"/>
        <w:rPr>
          <w:szCs w:val="23"/>
        </w:rPr>
      </w:pPr>
      <w:r w:rsidRPr="00E95DA6">
        <w:rPr>
          <w:szCs w:val="23"/>
        </w:rPr>
        <w:t xml:space="preserve">The Commonwealth is not required to pay any amounts under clause </w:t>
      </w:r>
      <w:r w:rsidRPr="00E95DA6">
        <w:rPr>
          <w:szCs w:val="23"/>
        </w:rPr>
        <w:fldChar w:fldCharType="begin"/>
      </w:r>
      <w:r w:rsidRPr="00E95DA6">
        <w:rPr>
          <w:szCs w:val="23"/>
        </w:rPr>
        <w:instrText xml:space="preserve"> REF _Ref496613785 \r \h </w:instrText>
      </w:r>
      <w:r w:rsidR="00C66DBA" w:rsidRPr="00E95DA6">
        <w:rPr>
          <w:szCs w:val="23"/>
        </w:rPr>
        <w:instrText xml:space="preserve"> \* MERGEFORMAT </w:instrText>
      </w:r>
      <w:r w:rsidRPr="00E95DA6">
        <w:rPr>
          <w:szCs w:val="23"/>
        </w:rPr>
      </w:r>
      <w:r w:rsidRPr="00E95DA6">
        <w:rPr>
          <w:szCs w:val="23"/>
        </w:rPr>
        <w:fldChar w:fldCharType="separate"/>
      </w:r>
      <w:r w:rsidR="003714AA">
        <w:rPr>
          <w:szCs w:val="23"/>
        </w:rPr>
        <w:t>21</w:t>
      </w:r>
      <w:r w:rsidRPr="00E95DA6">
        <w:rPr>
          <w:szCs w:val="23"/>
        </w:rPr>
        <w:fldChar w:fldCharType="end"/>
      </w:r>
      <w:r w:rsidRPr="00E95DA6">
        <w:rPr>
          <w:szCs w:val="23"/>
        </w:rPr>
        <w:t xml:space="preserve"> which would, in addition to any amounts paid or due, or becoming due, to </w:t>
      </w:r>
      <w:r w:rsidR="00D150BE" w:rsidRPr="00E95DA6">
        <w:rPr>
          <w:szCs w:val="23"/>
        </w:rPr>
        <w:t>Victoria</w:t>
      </w:r>
      <w:r w:rsidRPr="00E95DA6">
        <w:rPr>
          <w:szCs w:val="23"/>
        </w:rPr>
        <w:t xml:space="preserve"> under this Agreement, exceed </w:t>
      </w:r>
      <w:r w:rsidR="0048596D" w:rsidRPr="00E95DA6">
        <w:rPr>
          <w:szCs w:val="23"/>
        </w:rPr>
        <w:t xml:space="preserve">the Commonwealth’s total estimated financial contribution </w:t>
      </w:r>
      <w:r w:rsidR="00836734">
        <w:rPr>
          <w:szCs w:val="23"/>
        </w:rPr>
        <w:t xml:space="preserve">of </w:t>
      </w:r>
      <w:r w:rsidR="0048596D" w:rsidRPr="00E95DA6">
        <w:rPr>
          <w:szCs w:val="23"/>
        </w:rPr>
        <w:t>$50,000,000</w:t>
      </w:r>
      <w:r w:rsidR="00836734">
        <w:rPr>
          <w:szCs w:val="23"/>
        </w:rPr>
        <w:t>.</w:t>
      </w:r>
    </w:p>
    <w:p w14:paraId="0F42FA26" w14:textId="77777777" w:rsidR="00485F35" w:rsidRDefault="00485F35" w:rsidP="00183741">
      <w:pPr>
        <w:pStyle w:val="Normalnumbered"/>
        <w:numPr>
          <w:ilvl w:val="0"/>
          <w:numId w:val="16"/>
        </w:numPr>
        <w:spacing w:before="120" w:line="240" w:lineRule="auto"/>
        <w:rPr>
          <w:szCs w:val="23"/>
        </w:rPr>
      </w:pPr>
      <w:r w:rsidRPr="00D909D6">
        <w:rPr>
          <w:szCs w:val="23"/>
        </w:rPr>
        <w:t xml:space="preserve">If </w:t>
      </w:r>
      <w:r w:rsidR="00D150BE" w:rsidRPr="00D909D6">
        <w:rPr>
          <w:szCs w:val="23"/>
        </w:rPr>
        <w:t>Victoria</w:t>
      </w:r>
      <w:r w:rsidRPr="00D909D6">
        <w:rPr>
          <w:szCs w:val="23"/>
        </w:rPr>
        <w:t xml:space="preserve"> terminates </w:t>
      </w:r>
      <w:r w:rsidR="0084131D" w:rsidRPr="00D909D6">
        <w:rPr>
          <w:szCs w:val="23"/>
        </w:rPr>
        <w:t xml:space="preserve">this Agreement or </w:t>
      </w:r>
      <w:r w:rsidRPr="00D909D6">
        <w:rPr>
          <w:szCs w:val="23"/>
        </w:rPr>
        <w:t xml:space="preserve">the HESC Agreement as a result of a change in policy of </w:t>
      </w:r>
      <w:r w:rsidR="00D150BE" w:rsidRPr="00D909D6">
        <w:rPr>
          <w:szCs w:val="23"/>
        </w:rPr>
        <w:t>Victoria</w:t>
      </w:r>
      <w:r w:rsidRPr="00D909D6">
        <w:rPr>
          <w:szCs w:val="23"/>
        </w:rPr>
        <w:t xml:space="preserve">, the Commonwealth will not be obliged to make any </w:t>
      </w:r>
      <w:r w:rsidR="0084131D" w:rsidRPr="00D909D6">
        <w:rPr>
          <w:szCs w:val="23"/>
        </w:rPr>
        <w:t xml:space="preserve">further </w:t>
      </w:r>
      <w:r w:rsidRPr="00D909D6">
        <w:rPr>
          <w:szCs w:val="23"/>
        </w:rPr>
        <w:t xml:space="preserve">payments to </w:t>
      </w:r>
      <w:r w:rsidR="00D150BE" w:rsidRPr="00D909D6">
        <w:rPr>
          <w:szCs w:val="23"/>
        </w:rPr>
        <w:t>Victoria</w:t>
      </w:r>
      <w:r w:rsidR="0084131D" w:rsidRPr="00D909D6">
        <w:rPr>
          <w:szCs w:val="23"/>
        </w:rPr>
        <w:t>.</w:t>
      </w:r>
    </w:p>
    <w:p w14:paraId="17832CDF" w14:textId="4FB24410" w:rsidR="008C1294" w:rsidRPr="00D909D6" w:rsidRDefault="008C1294" w:rsidP="008C1294">
      <w:pPr>
        <w:pStyle w:val="Heading2"/>
      </w:pPr>
      <w:r>
        <w:t>Refund</w:t>
      </w:r>
    </w:p>
    <w:p w14:paraId="034E219E" w14:textId="1362246A" w:rsidR="00FC226A" w:rsidRPr="00065398" w:rsidRDefault="008C1294" w:rsidP="00266F47">
      <w:pPr>
        <w:pStyle w:val="Normalnumbered"/>
        <w:numPr>
          <w:ilvl w:val="0"/>
          <w:numId w:val="16"/>
        </w:numPr>
        <w:spacing w:before="120" w:line="240" w:lineRule="auto"/>
        <w:rPr>
          <w:szCs w:val="23"/>
        </w:rPr>
      </w:pPr>
      <w:r w:rsidRPr="00D909D6">
        <w:rPr>
          <w:szCs w:val="23"/>
        </w:rPr>
        <w:t>If</w:t>
      </w:r>
      <w:r>
        <w:rPr>
          <w:szCs w:val="23"/>
        </w:rPr>
        <w:t xml:space="preserve"> at any time under the HESC Agreement</w:t>
      </w:r>
      <w:r w:rsidR="008F1A2B">
        <w:rPr>
          <w:szCs w:val="23"/>
        </w:rPr>
        <w:t xml:space="preserve"> Victoria</w:t>
      </w:r>
      <w:r w:rsidR="00065398">
        <w:rPr>
          <w:szCs w:val="23"/>
        </w:rPr>
        <w:t xml:space="preserve"> </w:t>
      </w:r>
      <w:r w:rsidR="008F1A2B" w:rsidRPr="00065398">
        <w:rPr>
          <w:szCs w:val="23"/>
        </w:rPr>
        <w:t xml:space="preserve">is </w:t>
      </w:r>
      <w:r w:rsidRPr="00065398">
        <w:rPr>
          <w:szCs w:val="23"/>
        </w:rPr>
        <w:t>of the opinion that a Default Event has occurred and</w:t>
      </w:r>
      <w:r w:rsidR="00065398">
        <w:rPr>
          <w:szCs w:val="23"/>
        </w:rPr>
        <w:t xml:space="preserve"> </w:t>
      </w:r>
      <w:r w:rsidR="008F1A2B" w:rsidRPr="00065398">
        <w:rPr>
          <w:szCs w:val="23"/>
        </w:rPr>
        <w:t xml:space="preserve">is </w:t>
      </w:r>
      <w:r w:rsidRPr="00065398">
        <w:rPr>
          <w:szCs w:val="23"/>
        </w:rPr>
        <w:t xml:space="preserve">considering requiring HEA to refund to it </w:t>
      </w:r>
      <w:r w:rsidR="00165AB5" w:rsidRPr="00065398">
        <w:rPr>
          <w:szCs w:val="23"/>
        </w:rPr>
        <w:t>an amount</w:t>
      </w:r>
      <w:r w:rsidRPr="00065398">
        <w:rPr>
          <w:szCs w:val="23"/>
        </w:rPr>
        <w:t xml:space="preserve"> of the </w:t>
      </w:r>
      <w:r w:rsidR="00FC226A" w:rsidRPr="00065398">
        <w:rPr>
          <w:szCs w:val="23"/>
        </w:rPr>
        <w:t>Grant</w:t>
      </w:r>
      <w:r w:rsidR="00065398">
        <w:rPr>
          <w:szCs w:val="23"/>
        </w:rPr>
        <w:t xml:space="preserve">, </w:t>
      </w:r>
      <w:r w:rsidR="00FC226A" w:rsidRPr="00065398">
        <w:rPr>
          <w:szCs w:val="23"/>
        </w:rPr>
        <w:t>Victoria will, subject to the Commonwealth’s compliance with this Agreement:</w:t>
      </w:r>
    </w:p>
    <w:p w14:paraId="676C55C8" w14:textId="796C2EB2" w:rsidR="00FC226A" w:rsidRDefault="008F1A2B" w:rsidP="00FC226A">
      <w:pPr>
        <w:pStyle w:val="Normalnumbered"/>
        <w:numPr>
          <w:ilvl w:val="0"/>
          <w:numId w:val="41"/>
        </w:numPr>
        <w:tabs>
          <w:tab w:val="clear" w:pos="1440"/>
          <w:tab w:val="num" w:pos="1134"/>
        </w:tabs>
        <w:spacing w:before="120" w:line="240" w:lineRule="auto"/>
        <w:ind w:left="1134" w:hanging="567"/>
        <w:rPr>
          <w:szCs w:val="23"/>
        </w:rPr>
      </w:pPr>
      <w:r>
        <w:rPr>
          <w:szCs w:val="23"/>
        </w:rPr>
        <w:t xml:space="preserve">give the Commonwealth </w:t>
      </w:r>
      <w:r w:rsidRPr="00E07C42">
        <w:rPr>
          <w:szCs w:val="23"/>
        </w:rPr>
        <w:t>10</w:t>
      </w:r>
      <w:r>
        <w:rPr>
          <w:szCs w:val="23"/>
        </w:rPr>
        <w:t xml:space="preserve"> business days notice to consult on the proposed refund amount; and</w:t>
      </w:r>
    </w:p>
    <w:p w14:paraId="6FA40C8F" w14:textId="77777777" w:rsidR="008F1A2B" w:rsidRDefault="008F1A2B" w:rsidP="00FC226A">
      <w:pPr>
        <w:pStyle w:val="Normalnumbered"/>
        <w:numPr>
          <w:ilvl w:val="0"/>
          <w:numId w:val="41"/>
        </w:numPr>
        <w:tabs>
          <w:tab w:val="clear" w:pos="1440"/>
          <w:tab w:val="num" w:pos="1134"/>
        </w:tabs>
        <w:spacing w:before="120" w:line="240" w:lineRule="auto"/>
        <w:ind w:left="1134" w:hanging="567"/>
        <w:rPr>
          <w:szCs w:val="23"/>
        </w:rPr>
      </w:pPr>
      <w:r>
        <w:rPr>
          <w:szCs w:val="23"/>
        </w:rPr>
        <w:t>have regard to the Commonwealth’s position</w:t>
      </w:r>
      <w:r w:rsidR="00165AB5">
        <w:rPr>
          <w:szCs w:val="23"/>
        </w:rPr>
        <w:t>;</w:t>
      </w:r>
    </w:p>
    <w:p w14:paraId="0382B361" w14:textId="28AEACCB" w:rsidR="00FC226A" w:rsidRPr="00D909D6" w:rsidRDefault="00165AB5" w:rsidP="00E07C42">
      <w:pPr>
        <w:pStyle w:val="Normalnumbered"/>
        <w:numPr>
          <w:ilvl w:val="0"/>
          <w:numId w:val="0"/>
        </w:numPr>
        <w:spacing w:before="120" w:line="240" w:lineRule="auto"/>
        <w:ind w:left="567"/>
        <w:rPr>
          <w:szCs w:val="23"/>
        </w:rPr>
      </w:pPr>
      <w:r>
        <w:rPr>
          <w:szCs w:val="23"/>
        </w:rPr>
        <w:t>before making a decision to require HEA to refund to it an amount of the Grant.</w:t>
      </w:r>
    </w:p>
    <w:p w14:paraId="1800FD36" w14:textId="2E804A82" w:rsidR="00065398" w:rsidRPr="00065398" w:rsidRDefault="008F1A2B">
      <w:pPr>
        <w:pStyle w:val="Normalnumbered"/>
        <w:numPr>
          <w:ilvl w:val="0"/>
          <w:numId w:val="16"/>
        </w:numPr>
        <w:spacing w:before="120" w:line="240" w:lineRule="auto"/>
        <w:rPr>
          <w:szCs w:val="23"/>
        </w:rPr>
      </w:pPr>
      <w:r>
        <w:rPr>
          <w:szCs w:val="23"/>
        </w:rPr>
        <w:t>If Victoria requires HEA to refund to it an amount of the Grant due to the occurrence of a Default Event, Victoria will pay the Commonwealth an amount equal to one half of the refund amount paid to it by HEA.</w:t>
      </w:r>
    </w:p>
    <w:p w14:paraId="4942319B" w14:textId="77777777" w:rsidR="00814667" w:rsidRDefault="003A2157">
      <w:pPr>
        <w:pStyle w:val="Heading1"/>
      </w:pPr>
      <w:bookmarkStart w:id="7" w:name="top"/>
      <w:bookmarkEnd w:id="7"/>
      <w:r>
        <w:t xml:space="preserve">Part </w:t>
      </w:r>
      <w:r w:rsidR="000B4080">
        <w:t>6</w:t>
      </w:r>
      <w:r w:rsidR="00814667">
        <w:t xml:space="preserve"> — governance arrangements</w:t>
      </w:r>
    </w:p>
    <w:p w14:paraId="0B75D29D" w14:textId="77777777" w:rsidR="00BC4728" w:rsidRDefault="00BC4728" w:rsidP="00BC4728">
      <w:pPr>
        <w:pStyle w:val="Heading2"/>
      </w:pPr>
      <w:r w:rsidRPr="006F096A">
        <w:t>Enforceability of the Agreement</w:t>
      </w:r>
    </w:p>
    <w:p w14:paraId="421D9991" w14:textId="77777777" w:rsidR="00BC4728" w:rsidRPr="00C40EBC" w:rsidRDefault="00BC4728" w:rsidP="00183741">
      <w:pPr>
        <w:pStyle w:val="Normalnumbered"/>
        <w:numPr>
          <w:ilvl w:val="0"/>
          <w:numId w:val="16"/>
        </w:numPr>
        <w:spacing w:line="240" w:lineRule="auto"/>
      </w:pPr>
      <w:r>
        <w:rPr>
          <w:szCs w:val="23"/>
        </w:rPr>
        <w:t>The Parties do not intend any of the provisions of this Agreement to be legally enforceable. However, that does not lessen the Parties’ commitment to this Agreement.</w:t>
      </w:r>
    </w:p>
    <w:p w14:paraId="049922ED" w14:textId="77777777" w:rsidR="00814667" w:rsidRDefault="00814667">
      <w:pPr>
        <w:pStyle w:val="Heading2"/>
      </w:pPr>
      <w:r>
        <w:t>Variation of the Agreement</w:t>
      </w:r>
    </w:p>
    <w:p w14:paraId="01DD8A02" w14:textId="77777777" w:rsidR="00814667" w:rsidRPr="00DE36EB" w:rsidRDefault="00607B03" w:rsidP="00183741">
      <w:pPr>
        <w:pStyle w:val="Normalnumbered"/>
        <w:numPr>
          <w:ilvl w:val="0"/>
          <w:numId w:val="16"/>
        </w:numPr>
      </w:pPr>
      <w:r>
        <w:t>The A</w:t>
      </w:r>
      <w:r w:rsidR="00814667">
        <w:t xml:space="preserve">greement may be amended at any time by agreement in writing by </w:t>
      </w:r>
      <w:r w:rsidR="002B1C50" w:rsidRPr="00DE36EB">
        <w:t xml:space="preserve">both </w:t>
      </w:r>
      <w:r w:rsidR="00814667" w:rsidRPr="00DE36EB">
        <w:t>the Parties.</w:t>
      </w:r>
    </w:p>
    <w:p w14:paraId="2B043323" w14:textId="17F0CFAC" w:rsidR="00292587" w:rsidRPr="006B2A30" w:rsidRDefault="00E07C42" w:rsidP="00183741">
      <w:pPr>
        <w:pStyle w:val="Normalnumbered"/>
        <w:numPr>
          <w:ilvl w:val="0"/>
          <w:numId w:val="16"/>
        </w:numPr>
      </w:pPr>
      <w:r>
        <w:t>E</w:t>
      </w:r>
      <w:r w:rsidR="00C2605C" w:rsidRPr="006B2A30">
        <w:t xml:space="preserve">ither </w:t>
      </w:r>
      <w:r w:rsidR="00814667" w:rsidRPr="006B2A30">
        <w:t>Party to the Agreement may terminate their participation in the Agreement at any time by notifying the other Part</w:t>
      </w:r>
      <w:r w:rsidR="00C2605C" w:rsidRPr="006B2A30">
        <w:t>y</w:t>
      </w:r>
      <w:r w:rsidR="00C2605C" w:rsidRPr="006B2A30">
        <w:rPr>
          <w:i/>
        </w:rPr>
        <w:t xml:space="preserve"> </w:t>
      </w:r>
      <w:r w:rsidR="00814667" w:rsidRPr="006B2A30">
        <w:t>in writing</w:t>
      </w:r>
      <w:r>
        <w:t xml:space="preserve">, noting </w:t>
      </w:r>
      <w:r w:rsidR="00836734">
        <w:t>the requirements of</w:t>
      </w:r>
      <w:r>
        <w:t xml:space="preserve"> </w:t>
      </w:r>
      <w:r w:rsidR="00836734">
        <w:t>c</w:t>
      </w:r>
      <w:r>
        <w:t>lause 21</w:t>
      </w:r>
      <w:r w:rsidR="00836734">
        <w:t xml:space="preserve"> of this Agreement</w:t>
      </w:r>
      <w:r w:rsidR="00814667" w:rsidRPr="006B2A30">
        <w:t>.</w:t>
      </w:r>
    </w:p>
    <w:p w14:paraId="5B2A9956" w14:textId="77777777" w:rsidR="009526E4" w:rsidRDefault="009526E4" w:rsidP="0036119D">
      <w:pPr>
        <w:pStyle w:val="Heading2"/>
      </w:pPr>
      <w:r>
        <w:t>Delegations</w:t>
      </w:r>
    </w:p>
    <w:p w14:paraId="0C495E00" w14:textId="77777777" w:rsidR="009526E4" w:rsidRDefault="009526E4" w:rsidP="00183741">
      <w:pPr>
        <w:pStyle w:val="Normalnumbered"/>
        <w:numPr>
          <w:ilvl w:val="0"/>
          <w:numId w:val="16"/>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75A7CCBC" w14:textId="77777777" w:rsidR="0036119D" w:rsidRDefault="0036119D" w:rsidP="0036119D">
      <w:pPr>
        <w:pStyle w:val="Heading2"/>
      </w:pPr>
      <w:r>
        <w:lastRenderedPageBreak/>
        <w:t>Dispute resolution</w:t>
      </w:r>
    </w:p>
    <w:p w14:paraId="416644FA" w14:textId="77777777" w:rsidR="0036119D" w:rsidRPr="00DE36EB" w:rsidRDefault="005067BA" w:rsidP="00183741">
      <w:pPr>
        <w:pStyle w:val="Normalnumbered"/>
        <w:numPr>
          <w:ilvl w:val="0"/>
          <w:numId w:val="16"/>
        </w:numPr>
      </w:pPr>
      <w:r w:rsidDel="005067BA">
        <w:t xml:space="preserve"> </w:t>
      </w:r>
      <w:r w:rsidR="00697494" w:rsidRPr="00DE36EB">
        <w:t>E</w:t>
      </w:r>
      <w:r w:rsidR="002B1C50" w:rsidRPr="00DE36EB">
        <w:t xml:space="preserve">ither </w:t>
      </w:r>
      <w:r w:rsidR="0036119D" w:rsidRPr="00DE36EB">
        <w:t xml:space="preserve">Party may give notice to </w:t>
      </w:r>
      <w:r>
        <w:t xml:space="preserve">the </w:t>
      </w:r>
      <w:r w:rsidR="0036119D" w:rsidRPr="00DE36EB">
        <w:t xml:space="preserve">other </w:t>
      </w:r>
      <w:r w:rsidR="00684EC1" w:rsidRPr="00DE36EB">
        <w:t xml:space="preserve">Party </w:t>
      </w:r>
      <w:r w:rsidR="0036119D" w:rsidRPr="00DE36EB">
        <w:t>of a dispute under this Agreement.</w:t>
      </w:r>
    </w:p>
    <w:p w14:paraId="0B710E41" w14:textId="77777777" w:rsidR="0036119D" w:rsidRPr="00DE36EB" w:rsidRDefault="0036119D" w:rsidP="00183741">
      <w:pPr>
        <w:pStyle w:val="Normalnumbered"/>
        <w:numPr>
          <w:ilvl w:val="0"/>
          <w:numId w:val="16"/>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0B3C8884" w14:textId="77777777" w:rsidR="0036119D" w:rsidRPr="00DE36EB" w:rsidRDefault="0036119D" w:rsidP="00183741">
      <w:pPr>
        <w:pStyle w:val="Normalnumbered"/>
        <w:numPr>
          <w:ilvl w:val="0"/>
          <w:numId w:val="16"/>
        </w:numPr>
      </w:pPr>
      <w:r w:rsidRPr="00DE36EB">
        <w:t>If a dispute cannot be resolved by officials, it may be escalated to the relevant Ministers.</w:t>
      </w:r>
    </w:p>
    <w:p w14:paraId="2C4DEC92" w14:textId="77777777" w:rsidR="0036119D" w:rsidRPr="00746864" w:rsidRDefault="0036119D" w:rsidP="0036119D">
      <w:pPr>
        <w:pStyle w:val="Heading2"/>
        <w:rPr>
          <w:b w:val="0"/>
          <w:sz w:val="23"/>
          <w:szCs w:val="23"/>
        </w:rPr>
      </w:pPr>
      <w:r>
        <w:t>Interpretation</w:t>
      </w:r>
    </w:p>
    <w:p w14:paraId="447974DB" w14:textId="77777777" w:rsidR="0036119D" w:rsidRDefault="0036119D" w:rsidP="00183741">
      <w:pPr>
        <w:pStyle w:val="Normalnumbered"/>
        <w:numPr>
          <w:ilvl w:val="0"/>
          <w:numId w:val="16"/>
        </w:numPr>
        <w:jc w:val="left"/>
      </w:pPr>
      <w:r>
        <w:t>For the purposes of this Agreement:</w:t>
      </w:r>
    </w:p>
    <w:p w14:paraId="0284CAE8" w14:textId="315B317A" w:rsidR="00FC226A" w:rsidRPr="00E07C42" w:rsidRDefault="00FC226A" w:rsidP="00D909D6">
      <w:pPr>
        <w:pStyle w:val="AlphaParagraph"/>
        <w:numPr>
          <w:ilvl w:val="0"/>
          <w:numId w:val="26"/>
        </w:numPr>
        <w:tabs>
          <w:tab w:val="clear" w:pos="283"/>
          <w:tab w:val="clear" w:pos="567"/>
          <w:tab w:val="clear" w:pos="1418"/>
          <w:tab w:val="clear" w:pos="1701"/>
        </w:tabs>
        <w:ind w:left="1134" w:hanging="567"/>
      </w:pPr>
      <w:r w:rsidRPr="00E07C42">
        <w:rPr>
          <w:b/>
        </w:rPr>
        <w:t>Default Event</w:t>
      </w:r>
      <w:r>
        <w:t xml:space="preserve"> has the same meaning as in the HESC Agreement;</w:t>
      </w:r>
    </w:p>
    <w:p w14:paraId="3FD2E086" w14:textId="6BF180FA" w:rsidR="00FC226A" w:rsidRPr="00E07C42" w:rsidRDefault="00FC226A" w:rsidP="00D909D6">
      <w:pPr>
        <w:pStyle w:val="AlphaParagraph"/>
        <w:numPr>
          <w:ilvl w:val="0"/>
          <w:numId w:val="26"/>
        </w:numPr>
        <w:tabs>
          <w:tab w:val="clear" w:pos="283"/>
          <w:tab w:val="clear" w:pos="567"/>
          <w:tab w:val="clear" w:pos="1418"/>
          <w:tab w:val="clear" w:pos="1701"/>
        </w:tabs>
        <w:ind w:left="1134" w:hanging="567"/>
      </w:pPr>
      <w:r>
        <w:rPr>
          <w:b/>
        </w:rPr>
        <w:t>Grant</w:t>
      </w:r>
      <w:r>
        <w:t xml:space="preserve"> means the grant amount to be funded by Victoria  to HEA under the HESC Agreement;</w:t>
      </w:r>
    </w:p>
    <w:p w14:paraId="17FC436F" w14:textId="77777777" w:rsidR="006B30FA" w:rsidRDefault="00392676" w:rsidP="00D909D6">
      <w:pPr>
        <w:pStyle w:val="AlphaParagraph"/>
        <w:numPr>
          <w:ilvl w:val="0"/>
          <w:numId w:val="26"/>
        </w:numPr>
        <w:tabs>
          <w:tab w:val="clear" w:pos="283"/>
          <w:tab w:val="clear" w:pos="567"/>
          <w:tab w:val="clear" w:pos="1418"/>
          <w:tab w:val="clear" w:pos="1701"/>
        </w:tabs>
        <w:ind w:left="1134" w:hanging="567"/>
        <w:rPr>
          <w:rStyle w:val="pdftext10"/>
        </w:rPr>
      </w:pPr>
      <w:r>
        <w:rPr>
          <w:b/>
        </w:rPr>
        <w:t>m</w:t>
      </w:r>
      <w:r w:rsidR="00C548AB">
        <w:rPr>
          <w:b/>
        </w:rPr>
        <w:t xml:space="preserve">aterial </w:t>
      </w:r>
      <w:r>
        <w:rPr>
          <w:b/>
        </w:rPr>
        <w:t xml:space="preserve">change </w:t>
      </w:r>
      <w:r w:rsidR="00C548AB">
        <w:t>means</w:t>
      </w:r>
      <w:r>
        <w:t xml:space="preserve"> a change or alteration to an agreement that </w:t>
      </w:r>
      <w:r>
        <w:rPr>
          <w:rStyle w:val="pdftext10"/>
        </w:rPr>
        <w:t>affect</w:t>
      </w:r>
      <w:r w:rsidR="00873F9C">
        <w:rPr>
          <w:rStyle w:val="pdftext10"/>
        </w:rPr>
        <w:t>s</w:t>
      </w:r>
      <w:r>
        <w:rPr>
          <w:rStyle w:val="pdftext10"/>
        </w:rPr>
        <w:t xml:space="preserve"> the</w:t>
      </w:r>
      <w:r>
        <w:t xml:space="preserve"> </w:t>
      </w:r>
      <w:r>
        <w:rPr>
          <w:rStyle w:val="pdftext10"/>
        </w:rPr>
        <w:t>contractual obligations of the parties</w:t>
      </w:r>
      <w:r w:rsidR="006B30FA">
        <w:rPr>
          <w:rStyle w:val="pdftext10"/>
        </w:rPr>
        <w:t>;</w:t>
      </w:r>
    </w:p>
    <w:p w14:paraId="43B3A921" w14:textId="77777777" w:rsidR="00A51BB4" w:rsidRDefault="006B30FA" w:rsidP="00D909D6">
      <w:pPr>
        <w:pStyle w:val="AlphaParagraph"/>
        <w:numPr>
          <w:ilvl w:val="0"/>
          <w:numId w:val="26"/>
        </w:numPr>
        <w:tabs>
          <w:tab w:val="clear" w:pos="283"/>
          <w:tab w:val="clear" w:pos="567"/>
          <w:tab w:val="clear" w:pos="1418"/>
          <w:tab w:val="clear" w:pos="1701"/>
        </w:tabs>
        <w:ind w:left="1134" w:hanging="567"/>
        <w:rPr>
          <w:rStyle w:val="pdftext10"/>
        </w:rPr>
      </w:pPr>
      <w:r>
        <w:rPr>
          <w:b/>
        </w:rPr>
        <w:t>Participating Organisation</w:t>
      </w:r>
      <w:r w:rsidR="0022123E">
        <w:rPr>
          <w:b/>
        </w:rPr>
        <w:t xml:space="preserve">s </w:t>
      </w:r>
      <w:r w:rsidR="0022123E" w:rsidRPr="00D909D6">
        <w:t>include</w:t>
      </w:r>
      <w:r>
        <w:rPr>
          <w:rStyle w:val="pdftext10"/>
        </w:rPr>
        <w:t>:</w:t>
      </w:r>
    </w:p>
    <w:p w14:paraId="5E6C2C7B" w14:textId="77777777" w:rsidR="0022123E" w:rsidRPr="00D909D6" w:rsidRDefault="0022123E" w:rsidP="00266F47">
      <w:pPr>
        <w:pStyle w:val="AlphaParagraph"/>
        <w:numPr>
          <w:ilvl w:val="1"/>
          <w:numId w:val="51"/>
        </w:numPr>
        <w:tabs>
          <w:tab w:val="clear" w:pos="283"/>
          <w:tab w:val="clear" w:pos="567"/>
          <w:tab w:val="clear" w:pos="1134"/>
          <w:tab w:val="clear" w:pos="1418"/>
        </w:tabs>
        <w:ind w:left="1701"/>
      </w:pPr>
      <w:r w:rsidRPr="00D909D6">
        <w:t>Kawasaki Heavy Industries, Ltd (Japan)</w:t>
      </w:r>
    </w:p>
    <w:p w14:paraId="76F34E2F" w14:textId="45A3B8AC" w:rsidR="0022123E" w:rsidRPr="00D909D6" w:rsidRDefault="00006A7E" w:rsidP="00266F47">
      <w:pPr>
        <w:pStyle w:val="AlphaParagraph"/>
        <w:numPr>
          <w:ilvl w:val="1"/>
          <w:numId w:val="51"/>
        </w:numPr>
        <w:tabs>
          <w:tab w:val="clear" w:pos="283"/>
          <w:tab w:val="clear" w:pos="567"/>
          <w:tab w:val="clear" w:pos="1134"/>
          <w:tab w:val="clear" w:pos="1418"/>
        </w:tabs>
        <w:ind w:left="1701"/>
      </w:pPr>
      <w:r>
        <w:t>SPC, as agent for Electric Power Development Co., Ltd. (Japan)</w:t>
      </w:r>
    </w:p>
    <w:p w14:paraId="6F0B69AA" w14:textId="77777777" w:rsidR="0022123E" w:rsidRPr="0022123E" w:rsidRDefault="0022123E" w:rsidP="00266F47">
      <w:pPr>
        <w:pStyle w:val="AlphaParagraph"/>
        <w:numPr>
          <w:ilvl w:val="1"/>
          <w:numId w:val="51"/>
        </w:numPr>
        <w:tabs>
          <w:tab w:val="clear" w:pos="283"/>
          <w:tab w:val="clear" w:pos="567"/>
          <w:tab w:val="clear" w:pos="1134"/>
          <w:tab w:val="clear" w:pos="1418"/>
        </w:tabs>
        <w:ind w:left="1701"/>
      </w:pPr>
      <w:r w:rsidRPr="00D909D6">
        <w:t>Marubeni Corporation (Japan)</w:t>
      </w:r>
    </w:p>
    <w:p w14:paraId="23E1A40F" w14:textId="77777777" w:rsidR="0036119D" w:rsidRDefault="0036119D" w:rsidP="000614F9">
      <w:pPr>
        <w:pStyle w:val="Normalnumbered"/>
        <w:numPr>
          <w:ilvl w:val="0"/>
          <w:numId w:val="0"/>
        </w:numPr>
        <w:jc w:val="left"/>
      </w:pPr>
    </w:p>
    <w:p w14:paraId="225F8C52" w14:textId="77777777" w:rsidR="00087C9A" w:rsidRDefault="00087C9A" w:rsidP="000614F9">
      <w:pPr>
        <w:pStyle w:val="Normalnumbered"/>
        <w:numPr>
          <w:ilvl w:val="0"/>
          <w:numId w:val="0"/>
        </w:numPr>
        <w:jc w:val="left"/>
      </w:pPr>
    </w:p>
    <w:p w14:paraId="450869EC" w14:textId="77777777" w:rsidR="00087C9A" w:rsidRDefault="00087C9A" w:rsidP="00087C9A">
      <w:pPr>
        <w:pStyle w:val="Normalnumbered"/>
        <w:numPr>
          <w:ilvl w:val="0"/>
          <w:numId w:val="0"/>
        </w:numPr>
        <w:ind w:left="360" w:hanging="360"/>
        <w:jc w:val="left"/>
        <w:sectPr w:rsidR="00087C9A" w:rsidSect="00CB6703">
          <w:headerReference w:type="even" r:id="rId12"/>
          <w:headerReference w:type="default" r:id="rId13"/>
          <w:footerReference w:type="even" r:id="rId14"/>
          <w:footerReference w:type="default" r:id="rId15"/>
          <w:footerReference w:type="first" r:id="rId16"/>
          <w:pgSz w:w="11906" w:h="16838" w:code="9"/>
          <w:pgMar w:top="1134" w:right="1134" w:bottom="1134" w:left="1134" w:header="709" w:footer="709" w:gutter="0"/>
          <w:cols w:space="708"/>
          <w:titlePg/>
          <w:docGrid w:linePitch="360"/>
        </w:sectPr>
      </w:pPr>
    </w:p>
    <w:p w14:paraId="6ED46C28" w14:textId="77777777" w:rsidR="00814667" w:rsidRPr="00A50751"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3F0D4D2F" w14:textId="77777777">
        <w:trPr>
          <w:cantSplit/>
          <w:jc w:val="center"/>
        </w:trPr>
        <w:tc>
          <w:tcPr>
            <w:tcW w:w="4536" w:type="dxa"/>
          </w:tcPr>
          <w:p w14:paraId="66462A2C"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country-region">
              <w:smartTag w:uri="urn:schemas-microsoft-com:office:smarttags" w:element="place">
                <w:r w:rsidRPr="004A0AE7">
                  <w:t>Australia</w:t>
                </w:r>
              </w:smartTag>
            </w:smartTag>
            <w:r w:rsidRPr="004A0AE7">
              <w:t xml:space="preserve"> by</w:t>
            </w:r>
          </w:p>
          <w:p w14:paraId="0B9FD111" w14:textId="77777777" w:rsidR="00954607" w:rsidRDefault="00954607">
            <w:pPr>
              <w:pStyle w:val="LineForSignature"/>
            </w:pPr>
          </w:p>
          <w:p w14:paraId="2CCCCCB3" w14:textId="77777777" w:rsidR="00814667" w:rsidRPr="00A50751" w:rsidRDefault="00814667">
            <w:pPr>
              <w:pStyle w:val="LineForSignature"/>
            </w:pPr>
            <w:r>
              <w:tab/>
            </w:r>
          </w:p>
          <w:p w14:paraId="47D5CC63" w14:textId="2A4B879E" w:rsidR="00814667" w:rsidRDefault="009418E4">
            <w:pPr>
              <w:pStyle w:val="SingleParagraph"/>
              <w:rPr>
                <w:rStyle w:val="Bold"/>
              </w:rPr>
            </w:pPr>
            <w:r>
              <w:rPr>
                <w:rStyle w:val="Bold"/>
              </w:rPr>
              <w:t>Senator t</w:t>
            </w:r>
            <w:r w:rsidR="00E07C42">
              <w:rPr>
                <w:rStyle w:val="Bold"/>
              </w:rPr>
              <w:t xml:space="preserve">he Honourable </w:t>
            </w:r>
            <w:r>
              <w:rPr>
                <w:rStyle w:val="Bold"/>
              </w:rPr>
              <w:t>Michaelia Cash</w:t>
            </w:r>
            <w:r w:rsidR="00E07C42">
              <w:rPr>
                <w:rStyle w:val="Bold"/>
              </w:rPr>
              <w:t xml:space="preserve"> </w:t>
            </w:r>
          </w:p>
          <w:p w14:paraId="048A9A0B" w14:textId="12646C82" w:rsidR="00814667" w:rsidRDefault="00E07C42">
            <w:pPr>
              <w:pStyle w:val="Position"/>
              <w:rPr>
                <w:lang w:val="en-GB"/>
              </w:rPr>
            </w:pPr>
            <w:r>
              <w:rPr>
                <w:lang w:val="en-GB"/>
              </w:rPr>
              <w:t xml:space="preserve">Minister for </w:t>
            </w:r>
            <w:r w:rsidR="009418E4">
              <w:rPr>
                <w:lang w:val="en-GB"/>
              </w:rPr>
              <w:t>Jobs and Innovation</w:t>
            </w:r>
          </w:p>
          <w:p w14:paraId="54445177" w14:textId="45491139" w:rsidR="00814667" w:rsidRDefault="00006A7E" w:rsidP="00006A7E">
            <w:pPr>
              <w:pStyle w:val="SingleParagraph"/>
              <w:tabs>
                <w:tab w:val="num" w:pos="1134"/>
              </w:tabs>
              <w:spacing w:after="240"/>
              <w:ind w:left="1134" w:hanging="567"/>
              <w:rPr>
                <w:b/>
                <w:lang w:val="en-GB"/>
              </w:rPr>
            </w:pPr>
            <w:r>
              <w:rPr>
                <w:lang w:val="en-GB"/>
              </w:rPr>
              <w:t xml:space="preserve">Date: </w:t>
            </w:r>
          </w:p>
        </w:tc>
        <w:tc>
          <w:tcPr>
            <w:tcW w:w="284" w:type="dxa"/>
            <w:tcMar>
              <w:left w:w="0" w:type="dxa"/>
              <w:right w:w="0" w:type="dxa"/>
            </w:tcMar>
          </w:tcPr>
          <w:p w14:paraId="5BF62848" w14:textId="77777777" w:rsidR="00814667" w:rsidRPr="00A50751" w:rsidRDefault="00814667">
            <w:pPr>
              <w:rPr>
                <w:rFonts w:ascii="Book Antiqua" w:hAnsi="Book Antiqua"/>
                <w:lang w:val="en-GB"/>
              </w:rPr>
            </w:pPr>
          </w:p>
        </w:tc>
        <w:tc>
          <w:tcPr>
            <w:tcW w:w="4536" w:type="dxa"/>
          </w:tcPr>
          <w:p w14:paraId="0D743B22" w14:textId="77777777" w:rsidR="00814667" w:rsidRPr="00A50751" w:rsidRDefault="00814667">
            <w:pPr>
              <w:rPr>
                <w:rFonts w:ascii="Book Antiqua" w:hAnsi="Book Antiqua"/>
                <w:lang w:val="en-GB"/>
              </w:rPr>
            </w:pPr>
          </w:p>
        </w:tc>
      </w:tr>
      <w:tr w:rsidR="00814667" w:rsidRPr="00A50751" w14:paraId="69407EEB" w14:textId="77777777">
        <w:trPr>
          <w:cantSplit/>
          <w:jc w:val="center"/>
        </w:trPr>
        <w:tc>
          <w:tcPr>
            <w:tcW w:w="4536" w:type="dxa"/>
          </w:tcPr>
          <w:p w14:paraId="7C56E900"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2D35988A" w14:textId="77777777" w:rsidR="00814667" w:rsidRPr="00A50751" w:rsidRDefault="00814667">
            <w:pPr>
              <w:pStyle w:val="SingleParagraph"/>
              <w:rPr>
                <w:rFonts w:ascii="Book Antiqua" w:hAnsi="Book Antiqua"/>
                <w:lang w:val="en-GB"/>
              </w:rPr>
            </w:pPr>
          </w:p>
        </w:tc>
        <w:tc>
          <w:tcPr>
            <w:tcW w:w="4536" w:type="dxa"/>
          </w:tcPr>
          <w:p w14:paraId="7C29C391" w14:textId="77777777" w:rsidR="00814667" w:rsidRPr="00A50751" w:rsidRDefault="00814667">
            <w:pPr>
              <w:pStyle w:val="SingleParagraph"/>
              <w:rPr>
                <w:rFonts w:ascii="Book Antiqua" w:hAnsi="Book Antiqua"/>
                <w:lang w:val="en-GB"/>
              </w:rPr>
            </w:pPr>
          </w:p>
        </w:tc>
      </w:tr>
      <w:tr w:rsidR="00814667" w:rsidRPr="00A50751" w14:paraId="1345A58A" w14:textId="77777777">
        <w:trPr>
          <w:cantSplit/>
          <w:jc w:val="center"/>
        </w:trPr>
        <w:tc>
          <w:tcPr>
            <w:tcW w:w="4536" w:type="dxa"/>
          </w:tcPr>
          <w:p w14:paraId="6A51F747" w14:textId="77777777" w:rsidR="00814667" w:rsidRPr="004A0AE7" w:rsidRDefault="00814667">
            <w:pPr>
              <w:pStyle w:val="Signed"/>
            </w:pPr>
            <w:r>
              <w:rPr>
                <w:rStyle w:val="SignedBold"/>
              </w:rPr>
              <w:t>Signed</w:t>
            </w:r>
            <w:r w:rsidRPr="004A0AE7">
              <w:t xml:space="preserve"> for and on behalf of the</w:t>
            </w:r>
            <w:r>
              <w:t xml:space="preserve"> </w:t>
            </w:r>
            <w:r w:rsidRPr="004A0AE7">
              <w:br/>
              <w:t xml:space="preserve">State of </w:t>
            </w:r>
            <w:r w:rsidR="005067BA">
              <w:t>Victoria</w:t>
            </w:r>
            <w:r w:rsidRPr="004A0AE7">
              <w:t xml:space="preserve"> by</w:t>
            </w:r>
          </w:p>
          <w:p w14:paraId="7EA132D3" w14:textId="77777777" w:rsidR="00954607" w:rsidRDefault="00954607">
            <w:pPr>
              <w:pStyle w:val="LineForSignature"/>
            </w:pPr>
          </w:p>
          <w:p w14:paraId="65884CF0" w14:textId="77777777" w:rsidR="00814667" w:rsidRPr="00A50751" w:rsidRDefault="00814667">
            <w:pPr>
              <w:pStyle w:val="LineForSignature"/>
            </w:pPr>
            <w:r w:rsidRPr="00A50751">
              <w:tab/>
            </w:r>
          </w:p>
          <w:p w14:paraId="38FC6D7A" w14:textId="5044037B" w:rsidR="00814667" w:rsidRDefault="00814667">
            <w:pPr>
              <w:pStyle w:val="SingleParagraph"/>
              <w:rPr>
                <w:rStyle w:val="Bold"/>
              </w:rPr>
            </w:pPr>
            <w:r>
              <w:rPr>
                <w:rStyle w:val="Bold"/>
              </w:rPr>
              <w:t xml:space="preserve">The Honourable </w:t>
            </w:r>
            <w:r w:rsidR="00954607">
              <w:rPr>
                <w:rStyle w:val="Bold"/>
              </w:rPr>
              <w:t>Philip Dalida</w:t>
            </w:r>
            <w:r w:rsidR="00006A7E">
              <w:rPr>
                <w:rStyle w:val="Bold"/>
              </w:rPr>
              <w:t xml:space="preserve">kis </w:t>
            </w:r>
            <w:r>
              <w:rPr>
                <w:rStyle w:val="Bold"/>
              </w:rPr>
              <w:t>M</w:t>
            </w:r>
            <w:r w:rsidR="00006A7E">
              <w:rPr>
                <w:rStyle w:val="Bold"/>
              </w:rPr>
              <w:t>LC</w:t>
            </w:r>
          </w:p>
          <w:p w14:paraId="4700B670" w14:textId="548E40CA" w:rsidR="00542A8C" w:rsidRDefault="00542A8C" w:rsidP="00542A8C">
            <w:pPr>
              <w:pStyle w:val="Position"/>
              <w:rPr>
                <w:lang w:val="en-GB"/>
              </w:rPr>
            </w:pPr>
            <w:r>
              <w:rPr>
                <w:lang w:val="en-GB"/>
              </w:rPr>
              <w:t xml:space="preserve">Minister for </w:t>
            </w:r>
            <w:r w:rsidR="00006A7E">
              <w:rPr>
                <w:lang w:val="en-GB"/>
              </w:rPr>
              <w:t>Trade and Investment</w:t>
            </w:r>
          </w:p>
          <w:p w14:paraId="0163CDB8" w14:textId="7058716D" w:rsidR="00814667" w:rsidRPr="00A50751" w:rsidRDefault="00542A8C" w:rsidP="00006A7E">
            <w:pPr>
              <w:pStyle w:val="SingleParagraph"/>
              <w:tabs>
                <w:tab w:val="num" w:pos="1134"/>
              </w:tabs>
              <w:spacing w:after="240"/>
              <w:ind w:left="1134" w:hanging="567"/>
              <w:rPr>
                <w:szCs w:val="22"/>
                <w:lang w:val="en-GB"/>
              </w:rPr>
            </w:pPr>
            <w:r w:rsidRPr="001F6FE8" w:rsidDel="00542A8C">
              <w:rPr>
                <w:bCs/>
                <w:lang w:val="en-GB"/>
              </w:rPr>
              <w:t xml:space="preserve"> </w:t>
            </w:r>
            <w:r w:rsidR="00006A7E">
              <w:rPr>
                <w:bCs/>
                <w:lang w:val="en-GB"/>
              </w:rPr>
              <w:t xml:space="preserve">Date: </w:t>
            </w:r>
          </w:p>
        </w:tc>
        <w:tc>
          <w:tcPr>
            <w:tcW w:w="284" w:type="dxa"/>
            <w:tcMar>
              <w:left w:w="0" w:type="dxa"/>
              <w:right w:w="0" w:type="dxa"/>
            </w:tcMar>
          </w:tcPr>
          <w:p w14:paraId="6CD7B5F3" w14:textId="77777777" w:rsidR="00814667" w:rsidRPr="00A50751" w:rsidRDefault="00814667">
            <w:pPr>
              <w:rPr>
                <w:rFonts w:ascii="Book Antiqua" w:hAnsi="Book Antiqua"/>
                <w:lang w:val="en-GB"/>
              </w:rPr>
            </w:pPr>
          </w:p>
        </w:tc>
        <w:tc>
          <w:tcPr>
            <w:tcW w:w="4536" w:type="dxa"/>
          </w:tcPr>
          <w:p w14:paraId="2A6C2EA1" w14:textId="77777777" w:rsidR="00814667" w:rsidRPr="00A50751" w:rsidRDefault="00814667">
            <w:pPr>
              <w:pStyle w:val="SingleParagraph"/>
              <w:tabs>
                <w:tab w:val="num" w:pos="1134"/>
              </w:tabs>
              <w:spacing w:after="240"/>
              <w:ind w:left="1134" w:hanging="567"/>
              <w:rPr>
                <w:lang w:val="en-GB"/>
              </w:rPr>
            </w:pPr>
          </w:p>
        </w:tc>
      </w:tr>
    </w:tbl>
    <w:p w14:paraId="71EC6ACF" w14:textId="30339B2E" w:rsidR="001E5932" w:rsidRDefault="001E5932" w:rsidP="0020144E"/>
    <w:p w14:paraId="1C0AF83A" w14:textId="77777777" w:rsidR="001E5932" w:rsidRPr="001E5932" w:rsidRDefault="001E5932" w:rsidP="001E5932"/>
    <w:p w14:paraId="43D2DFC6" w14:textId="77777777" w:rsidR="001E5932" w:rsidRPr="001E5932" w:rsidRDefault="001E5932" w:rsidP="001E5932"/>
    <w:p w14:paraId="199A3EB9" w14:textId="77777777" w:rsidR="001E5932" w:rsidRPr="001E5932" w:rsidRDefault="001E5932" w:rsidP="001E5932"/>
    <w:p w14:paraId="37F51042" w14:textId="77777777" w:rsidR="001E5932" w:rsidRPr="001E5932" w:rsidRDefault="001E5932" w:rsidP="001E5932"/>
    <w:p w14:paraId="203D4B03" w14:textId="77777777" w:rsidR="001E5932" w:rsidRPr="001E5932" w:rsidRDefault="001E5932" w:rsidP="001E5932"/>
    <w:p w14:paraId="46D4F054" w14:textId="6A737419" w:rsidR="001E5932" w:rsidRDefault="001E5932" w:rsidP="001E5932"/>
    <w:p w14:paraId="6A39E442" w14:textId="77777777" w:rsidR="008843EE" w:rsidRPr="001E5932" w:rsidRDefault="008843EE" w:rsidP="001E5932">
      <w:pPr>
        <w:jc w:val="right"/>
      </w:pPr>
    </w:p>
    <w:sectPr w:rsidR="008843EE" w:rsidRPr="001E5932" w:rsidSect="00C606F6">
      <w:headerReference w:type="first" r:id="rId17"/>
      <w:footerReference w:type="first" r:id="rId18"/>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F978D" w14:textId="77777777" w:rsidR="005368C7" w:rsidRDefault="005368C7">
      <w:r>
        <w:separator/>
      </w:r>
    </w:p>
  </w:endnote>
  <w:endnote w:type="continuationSeparator" w:id="0">
    <w:p w14:paraId="0A0B17A1" w14:textId="77777777" w:rsidR="005368C7" w:rsidRDefault="005368C7">
      <w:r>
        <w:continuationSeparator/>
      </w:r>
    </w:p>
  </w:endnote>
  <w:endnote w:type="continuationNotice" w:id="1">
    <w:p w14:paraId="2C943462" w14:textId="77777777" w:rsidR="005368C7" w:rsidRDefault="00536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D9B4" w14:textId="77777777" w:rsidR="009B6D17" w:rsidRDefault="009B6D17">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C68B16" w14:textId="77777777" w:rsidR="009B6D17" w:rsidRDefault="009B6D17">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4ABB" w14:textId="77777777" w:rsidR="009B6D17" w:rsidRDefault="009B6D17">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3714AA">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2154" w14:textId="77777777" w:rsidR="009B6D17" w:rsidRDefault="009B6D17">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14AA">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9BA6A" w14:textId="0F222C23" w:rsidR="009B6D17" w:rsidRDefault="009B6D17" w:rsidP="00751725">
    <w:pPr>
      <w:pStyle w:val="FooterEven"/>
      <w:jc w:val="right"/>
    </w:pPr>
    <w:r>
      <w:t xml:space="preserve">Page </w:t>
    </w:r>
    <w:r w:rsidR="001E5932">
      <w:rPr>
        <w:rStyle w:val="PageNumber"/>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0A731" w14:textId="77777777" w:rsidR="005368C7" w:rsidRDefault="005368C7">
      <w:r>
        <w:separator/>
      </w:r>
    </w:p>
  </w:footnote>
  <w:footnote w:type="continuationSeparator" w:id="0">
    <w:p w14:paraId="326BE8B3" w14:textId="77777777" w:rsidR="005368C7" w:rsidRDefault="005368C7">
      <w:r>
        <w:continuationSeparator/>
      </w:r>
    </w:p>
  </w:footnote>
  <w:footnote w:type="continuationNotice" w:id="1">
    <w:p w14:paraId="338E4C6D" w14:textId="77777777" w:rsidR="005368C7" w:rsidRDefault="005368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F99D7" w14:textId="77777777" w:rsidR="009B6D17" w:rsidRPr="00814590" w:rsidRDefault="009B6D17">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E7221" w14:textId="77777777" w:rsidR="009B6D17" w:rsidRPr="00814590" w:rsidRDefault="009B6D17">
    <w:pPr>
      <w:pStyle w:val="HeaderOdd"/>
      <w:tabs>
        <w:tab w:val="num" w:pos="1134"/>
      </w:tabs>
      <w:rPr>
        <w:color w:val="800000"/>
      </w:rPr>
    </w:pPr>
    <w:r>
      <w:rPr>
        <w:color w:val="800000"/>
      </w:rPr>
      <w:t>Project Agreement for Hydrogen Energy Supply Chain Pilot Project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CA03" w14:textId="300A1896" w:rsidR="009B6D17" w:rsidRPr="00954607" w:rsidRDefault="00954607" w:rsidP="00954607">
    <w:pPr>
      <w:pStyle w:val="HeaderOdd"/>
      <w:tabs>
        <w:tab w:val="num" w:pos="1134"/>
      </w:tabs>
      <w:rPr>
        <w:color w:val="800000"/>
      </w:rPr>
    </w:pPr>
    <w:r>
      <w:rPr>
        <w:color w:val="800000"/>
      </w:rPr>
      <w:t>Project Agreement for Hydrogen Energy Supply Chain Pilot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B346C8B"/>
    <w:multiLevelType w:val="multilevel"/>
    <w:tmpl w:val="2CCA8A24"/>
    <w:lvl w:ilvl="0">
      <w:start w:val="1"/>
      <w:numFmt w:val="upperLetter"/>
      <w:pStyle w:val="Level1"/>
      <w:lvlText w:val="%1"/>
      <w:lvlJc w:val="left"/>
      <w:pPr>
        <w:tabs>
          <w:tab w:val="num" w:pos="680"/>
        </w:tabs>
        <w:ind w:left="680" w:hanging="680"/>
      </w:pPr>
      <w:rPr>
        <w:rFonts w:ascii="Arial" w:hAnsi="Arial" w:cs="Times New Roman" w:hint="default"/>
        <w:strike w:val="0"/>
        <w:sz w:val="20"/>
      </w:rPr>
    </w:lvl>
    <w:lvl w:ilvl="1">
      <w:start w:val="1"/>
      <w:numFmt w:val="lowerRoman"/>
      <w:pStyle w:val="Level2"/>
      <w:lvlText w:val="(%2)"/>
      <w:lvlJc w:val="left"/>
      <w:pPr>
        <w:tabs>
          <w:tab w:val="num" w:pos="1361"/>
        </w:tabs>
        <w:ind w:left="1361" w:hanging="681"/>
      </w:pPr>
      <w:rPr>
        <w:rFonts w:cs="Times New Roman" w:hint="default"/>
      </w:rPr>
    </w:lvl>
    <w:lvl w:ilvl="2">
      <w:start w:val="1"/>
      <w:numFmt w:val="lowerLetter"/>
      <w:pStyle w:val="Level3"/>
      <w:lvlText w:val="(%3)"/>
      <w:lvlJc w:val="left"/>
      <w:pPr>
        <w:tabs>
          <w:tab w:val="num" w:pos="2041"/>
        </w:tabs>
        <w:ind w:left="2041" w:hanging="68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9"/>
      <w:lvlJc w:val="left"/>
      <w:pPr>
        <w:ind w:left="-1"/>
      </w:pPr>
      <w:rPr>
        <w:rFonts w:cs="Times New Roman" w:hint="default"/>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2F62AF1"/>
    <w:multiLevelType w:val="hybridMultilevel"/>
    <w:tmpl w:val="4BD4788A"/>
    <w:lvl w:ilvl="0" w:tplc="660EB73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7B287F"/>
    <w:multiLevelType w:val="hybridMultilevel"/>
    <w:tmpl w:val="553C5E2C"/>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78A487B"/>
    <w:multiLevelType w:val="hybridMultilevel"/>
    <w:tmpl w:val="DAD8380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660EB7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02608BA"/>
    <w:multiLevelType w:val="multilevel"/>
    <w:tmpl w:val="F886F14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lef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0"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15:restartNumberingAfterBreak="0">
    <w:nsid w:val="37E2265F"/>
    <w:multiLevelType w:val="hybridMultilevel"/>
    <w:tmpl w:val="703624AC"/>
    <w:lvl w:ilvl="0" w:tplc="DDA24F58">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1A69F1"/>
    <w:multiLevelType w:val="hybridMultilevel"/>
    <w:tmpl w:val="05F26EF2"/>
    <w:lvl w:ilvl="0" w:tplc="CAACCF9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8B43B6"/>
    <w:multiLevelType w:val="hybridMultilevel"/>
    <w:tmpl w:val="DAEE83A8"/>
    <w:lvl w:ilvl="0" w:tplc="0C09001B">
      <w:start w:val="1"/>
      <w:numFmt w:val="lowerRoman"/>
      <w:lvlText w:val="%1."/>
      <w:lvlJc w:val="right"/>
      <w:pPr>
        <w:ind w:left="1854" w:hanging="360"/>
      </w:pPr>
      <w:rPr>
        <w:rFonts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3A807271"/>
    <w:multiLevelType w:val="hybridMultilevel"/>
    <w:tmpl w:val="7954FC58"/>
    <w:lvl w:ilvl="0" w:tplc="660EB736">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927B34"/>
    <w:multiLevelType w:val="hybridMultilevel"/>
    <w:tmpl w:val="A0CC56D2"/>
    <w:lvl w:ilvl="0" w:tplc="4C223506">
      <w:start w:val="1"/>
      <w:numFmt w:val="lowerRoman"/>
      <w:lvlText w:val="%1."/>
      <w:lvlJc w:val="right"/>
      <w:pPr>
        <w:ind w:left="1854" w:hanging="360"/>
      </w:pPr>
      <w:rPr>
        <w:rFonts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4483C3B"/>
    <w:multiLevelType w:val="multilevel"/>
    <w:tmpl w:val="E15C3F5C"/>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9" w15:restartNumberingAfterBreak="0">
    <w:nsid w:val="45F7664C"/>
    <w:multiLevelType w:val="multilevel"/>
    <w:tmpl w:val="9DAE96F2"/>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1"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2" w15:restartNumberingAfterBreak="0">
    <w:nsid w:val="4F617310"/>
    <w:multiLevelType w:val="hybridMultilevel"/>
    <w:tmpl w:val="0D14387E"/>
    <w:lvl w:ilvl="0" w:tplc="660EB73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7"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8"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9" w15:restartNumberingAfterBreak="0">
    <w:nsid w:val="77623883"/>
    <w:multiLevelType w:val="hybridMultilevel"/>
    <w:tmpl w:val="6FF817F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0" w15:restartNumberingAfterBreak="0">
    <w:nsid w:val="78854AAC"/>
    <w:multiLevelType w:val="hybridMultilevel"/>
    <w:tmpl w:val="42E8468E"/>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80786B"/>
    <w:multiLevelType w:val="hybridMultilevel"/>
    <w:tmpl w:val="FA36B1B2"/>
    <w:lvl w:ilvl="0" w:tplc="660EB736">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21"/>
  </w:num>
  <w:num w:numId="11">
    <w:abstractNumId w:val="24"/>
  </w:num>
  <w:num w:numId="12">
    <w:abstractNumId w:val="6"/>
  </w:num>
  <w:num w:numId="13">
    <w:abstractNumId w:val="26"/>
  </w:num>
  <w:num w:numId="14">
    <w:abstractNumId w:val="7"/>
  </w:num>
  <w:num w:numId="15">
    <w:abstractNumId w:val="11"/>
  </w:num>
  <w:num w:numId="16">
    <w:abstractNumId w:val="30"/>
  </w:num>
  <w:num w:numId="17">
    <w:abstractNumId w:val="2"/>
  </w:num>
  <w:num w:numId="18">
    <w:abstractNumId w:val="23"/>
  </w:num>
  <w:num w:numId="19">
    <w:abstractNumId w:val="27"/>
  </w:num>
  <w:num w:numId="20">
    <w:abstractNumId w:val="20"/>
  </w:num>
  <w:num w:numId="21">
    <w:abstractNumId w:val="25"/>
  </w:num>
  <w:num w:numId="22">
    <w:abstractNumId w:val="28"/>
  </w:num>
  <w:num w:numId="23">
    <w:abstractNumId w:val="9"/>
  </w:num>
  <w:num w:numId="24">
    <w:abstractNumId w:val="1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9"/>
  </w:num>
  <w:num w:numId="30">
    <w:abstractNumId w:val="0"/>
  </w:num>
  <w:num w:numId="31">
    <w:abstractNumId w:val="15"/>
  </w:num>
  <w:num w:numId="32">
    <w:abstractNumId w:val="4"/>
  </w:num>
  <w:num w:numId="33">
    <w:abstractNumId w:val="0"/>
  </w:num>
  <w:num w:numId="34">
    <w:abstractNumId w:val="22"/>
  </w:num>
  <w:num w:numId="35">
    <w:abstractNumId w:val="0"/>
  </w:num>
  <w:num w:numId="36">
    <w:abstractNumId w:val="0"/>
  </w:num>
  <w:num w:numId="37">
    <w:abstractNumId w:val="3"/>
  </w:num>
  <w:num w:numId="38">
    <w:abstractNumId w:val="0"/>
  </w:num>
  <w:num w:numId="39">
    <w:abstractNumId w:val="31"/>
  </w:num>
  <w:num w:numId="40">
    <w:abstractNumId w:val="0"/>
  </w:num>
  <w:num w:numId="41">
    <w:abstractNumId w:val="16"/>
  </w:num>
  <w:num w:numId="42">
    <w:abstractNumId w:val="8"/>
  </w:num>
  <w:num w:numId="43">
    <w:abstractNumId w:val="19"/>
  </w:num>
  <w:num w:numId="44">
    <w:abstractNumId w:val="5"/>
  </w:num>
  <w:num w:numId="45">
    <w:abstractNumId w:val="0"/>
  </w:num>
  <w:num w:numId="46">
    <w:abstractNumId w:val="0"/>
  </w:num>
  <w:num w:numId="47">
    <w:abstractNumId w:val="0"/>
  </w:num>
  <w:num w:numId="48">
    <w:abstractNumId w:val="0"/>
  </w:num>
  <w:num w:numId="49">
    <w:abstractNumId w:val="0"/>
  </w:num>
  <w:num w:numId="50">
    <w:abstractNumId w:val="0"/>
  </w:num>
  <w:num w:numId="51">
    <w:abstractNumId w:val="18"/>
  </w:num>
  <w:num w:numId="52">
    <w:abstractNumId w:val="14"/>
  </w:num>
  <w:num w:numId="53">
    <w:abstractNumId w:val="13"/>
  </w:num>
  <w:num w:numId="54">
    <w:abstractNumId w:val="17"/>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00DB"/>
    <w:rsid w:val="00003D14"/>
    <w:rsid w:val="00005A5D"/>
    <w:rsid w:val="00006A7E"/>
    <w:rsid w:val="000076D9"/>
    <w:rsid w:val="00014C7F"/>
    <w:rsid w:val="00021708"/>
    <w:rsid w:val="000219E6"/>
    <w:rsid w:val="000273A0"/>
    <w:rsid w:val="00030CB2"/>
    <w:rsid w:val="000343F1"/>
    <w:rsid w:val="00042B9B"/>
    <w:rsid w:val="00044700"/>
    <w:rsid w:val="00046CBA"/>
    <w:rsid w:val="000535AA"/>
    <w:rsid w:val="00054671"/>
    <w:rsid w:val="0006051B"/>
    <w:rsid w:val="000614F9"/>
    <w:rsid w:val="000623F6"/>
    <w:rsid w:val="0006451A"/>
    <w:rsid w:val="00065398"/>
    <w:rsid w:val="0006551D"/>
    <w:rsid w:val="00065679"/>
    <w:rsid w:val="0007004C"/>
    <w:rsid w:val="00071269"/>
    <w:rsid w:val="000724F6"/>
    <w:rsid w:val="00074611"/>
    <w:rsid w:val="00074A62"/>
    <w:rsid w:val="0008416D"/>
    <w:rsid w:val="00086709"/>
    <w:rsid w:val="00086712"/>
    <w:rsid w:val="00087C9A"/>
    <w:rsid w:val="00087D5E"/>
    <w:rsid w:val="00091DF8"/>
    <w:rsid w:val="00093CB6"/>
    <w:rsid w:val="00093DD8"/>
    <w:rsid w:val="00095969"/>
    <w:rsid w:val="00097794"/>
    <w:rsid w:val="000A0C9E"/>
    <w:rsid w:val="000A5191"/>
    <w:rsid w:val="000B1344"/>
    <w:rsid w:val="000B3249"/>
    <w:rsid w:val="000B4080"/>
    <w:rsid w:val="000B7685"/>
    <w:rsid w:val="000C2FD6"/>
    <w:rsid w:val="000C5CBC"/>
    <w:rsid w:val="000C714F"/>
    <w:rsid w:val="000C7860"/>
    <w:rsid w:val="000D19D8"/>
    <w:rsid w:val="000D1C37"/>
    <w:rsid w:val="000D4377"/>
    <w:rsid w:val="000D43BC"/>
    <w:rsid w:val="000E075D"/>
    <w:rsid w:val="000E2AF6"/>
    <w:rsid w:val="000E36B7"/>
    <w:rsid w:val="000E3C70"/>
    <w:rsid w:val="000E48C3"/>
    <w:rsid w:val="000F0880"/>
    <w:rsid w:val="000F25D5"/>
    <w:rsid w:val="000F576A"/>
    <w:rsid w:val="000F6CF6"/>
    <w:rsid w:val="000F7E97"/>
    <w:rsid w:val="00101AD7"/>
    <w:rsid w:val="00103FD6"/>
    <w:rsid w:val="001065EE"/>
    <w:rsid w:val="00110F5D"/>
    <w:rsid w:val="001134AC"/>
    <w:rsid w:val="00115166"/>
    <w:rsid w:val="00115A97"/>
    <w:rsid w:val="00122DBA"/>
    <w:rsid w:val="001262B5"/>
    <w:rsid w:val="00132587"/>
    <w:rsid w:val="00133BB1"/>
    <w:rsid w:val="001404A9"/>
    <w:rsid w:val="00140F43"/>
    <w:rsid w:val="00145712"/>
    <w:rsid w:val="00145D5C"/>
    <w:rsid w:val="00151133"/>
    <w:rsid w:val="00160506"/>
    <w:rsid w:val="0016131F"/>
    <w:rsid w:val="001629FA"/>
    <w:rsid w:val="001652F3"/>
    <w:rsid w:val="00165AB5"/>
    <w:rsid w:val="00165CAB"/>
    <w:rsid w:val="00166312"/>
    <w:rsid w:val="00167BB8"/>
    <w:rsid w:val="00172360"/>
    <w:rsid w:val="00172E3A"/>
    <w:rsid w:val="00173F81"/>
    <w:rsid w:val="00174C2A"/>
    <w:rsid w:val="00175FB9"/>
    <w:rsid w:val="00177A0A"/>
    <w:rsid w:val="00180F76"/>
    <w:rsid w:val="00183741"/>
    <w:rsid w:val="00183EAB"/>
    <w:rsid w:val="00185CC1"/>
    <w:rsid w:val="0018621D"/>
    <w:rsid w:val="00187BEB"/>
    <w:rsid w:val="001921B6"/>
    <w:rsid w:val="001931E8"/>
    <w:rsid w:val="00194232"/>
    <w:rsid w:val="00194587"/>
    <w:rsid w:val="001A1422"/>
    <w:rsid w:val="001A14C1"/>
    <w:rsid w:val="001A3A9A"/>
    <w:rsid w:val="001A3F52"/>
    <w:rsid w:val="001A4093"/>
    <w:rsid w:val="001A79C1"/>
    <w:rsid w:val="001A7A15"/>
    <w:rsid w:val="001B10A1"/>
    <w:rsid w:val="001B19A0"/>
    <w:rsid w:val="001B1CA3"/>
    <w:rsid w:val="001B2C4E"/>
    <w:rsid w:val="001B389C"/>
    <w:rsid w:val="001B447F"/>
    <w:rsid w:val="001B580E"/>
    <w:rsid w:val="001B7933"/>
    <w:rsid w:val="001C2163"/>
    <w:rsid w:val="001C346E"/>
    <w:rsid w:val="001C3717"/>
    <w:rsid w:val="001C5CC5"/>
    <w:rsid w:val="001D2C27"/>
    <w:rsid w:val="001D3CAD"/>
    <w:rsid w:val="001D4BE3"/>
    <w:rsid w:val="001D616F"/>
    <w:rsid w:val="001D6E9A"/>
    <w:rsid w:val="001E18E3"/>
    <w:rsid w:val="001E20EC"/>
    <w:rsid w:val="001E4479"/>
    <w:rsid w:val="001E5932"/>
    <w:rsid w:val="001E7173"/>
    <w:rsid w:val="001E74D0"/>
    <w:rsid w:val="001E7803"/>
    <w:rsid w:val="001F1D48"/>
    <w:rsid w:val="001F6F39"/>
    <w:rsid w:val="001F6FE8"/>
    <w:rsid w:val="0020144E"/>
    <w:rsid w:val="00205E18"/>
    <w:rsid w:val="00206773"/>
    <w:rsid w:val="00206988"/>
    <w:rsid w:val="002069F9"/>
    <w:rsid w:val="00210FE5"/>
    <w:rsid w:val="00212869"/>
    <w:rsid w:val="00214F65"/>
    <w:rsid w:val="0022123E"/>
    <w:rsid w:val="00221308"/>
    <w:rsid w:val="00222C97"/>
    <w:rsid w:val="002231EB"/>
    <w:rsid w:val="00224E21"/>
    <w:rsid w:val="00225761"/>
    <w:rsid w:val="00226AA1"/>
    <w:rsid w:val="0023036E"/>
    <w:rsid w:val="00233835"/>
    <w:rsid w:val="00235457"/>
    <w:rsid w:val="00237E1B"/>
    <w:rsid w:val="002412BB"/>
    <w:rsid w:val="00241EE9"/>
    <w:rsid w:val="00244500"/>
    <w:rsid w:val="0024485C"/>
    <w:rsid w:val="00244927"/>
    <w:rsid w:val="00247D45"/>
    <w:rsid w:val="00252551"/>
    <w:rsid w:val="00260288"/>
    <w:rsid w:val="00261ABA"/>
    <w:rsid w:val="00262E18"/>
    <w:rsid w:val="0026571E"/>
    <w:rsid w:val="00266F47"/>
    <w:rsid w:val="00281874"/>
    <w:rsid w:val="00282C25"/>
    <w:rsid w:val="00284884"/>
    <w:rsid w:val="00285003"/>
    <w:rsid w:val="002869F5"/>
    <w:rsid w:val="00287DCC"/>
    <w:rsid w:val="00290F5F"/>
    <w:rsid w:val="00291CF1"/>
    <w:rsid w:val="00292587"/>
    <w:rsid w:val="0029279A"/>
    <w:rsid w:val="00296DCA"/>
    <w:rsid w:val="002979DA"/>
    <w:rsid w:val="002A143D"/>
    <w:rsid w:val="002A3DE9"/>
    <w:rsid w:val="002A493A"/>
    <w:rsid w:val="002A530A"/>
    <w:rsid w:val="002A5884"/>
    <w:rsid w:val="002A6981"/>
    <w:rsid w:val="002A6EC0"/>
    <w:rsid w:val="002A794C"/>
    <w:rsid w:val="002B1C50"/>
    <w:rsid w:val="002B207C"/>
    <w:rsid w:val="002B4644"/>
    <w:rsid w:val="002B7922"/>
    <w:rsid w:val="002B7E1B"/>
    <w:rsid w:val="002C2529"/>
    <w:rsid w:val="002C28CB"/>
    <w:rsid w:val="002C2A03"/>
    <w:rsid w:val="002C6233"/>
    <w:rsid w:val="002C62B3"/>
    <w:rsid w:val="002C7620"/>
    <w:rsid w:val="002D1024"/>
    <w:rsid w:val="002D122C"/>
    <w:rsid w:val="002D7CF9"/>
    <w:rsid w:val="002E144A"/>
    <w:rsid w:val="002E2DE2"/>
    <w:rsid w:val="002E4B66"/>
    <w:rsid w:val="002F2A73"/>
    <w:rsid w:val="002F576E"/>
    <w:rsid w:val="002F5B29"/>
    <w:rsid w:val="002F5B54"/>
    <w:rsid w:val="002F5C6C"/>
    <w:rsid w:val="002F7E40"/>
    <w:rsid w:val="003012DA"/>
    <w:rsid w:val="0030418F"/>
    <w:rsid w:val="003055E0"/>
    <w:rsid w:val="00307C5C"/>
    <w:rsid w:val="00312CFE"/>
    <w:rsid w:val="00313480"/>
    <w:rsid w:val="00313C98"/>
    <w:rsid w:val="00313FD9"/>
    <w:rsid w:val="003155BD"/>
    <w:rsid w:val="003177B9"/>
    <w:rsid w:val="00317CB3"/>
    <w:rsid w:val="00321E0A"/>
    <w:rsid w:val="003279CC"/>
    <w:rsid w:val="00331690"/>
    <w:rsid w:val="00333506"/>
    <w:rsid w:val="00337CB3"/>
    <w:rsid w:val="00340987"/>
    <w:rsid w:val="003410AA"/>
    <w:rsid w:val="0034465F"/>
    <w:rsid w:val="00345122"/>
    <w:rsid w:val="003503A1"/>
    <w:rsid w:val="00352A6B"/>
    <w:rsid w:val="00352EC1"/>
    <w:rsid w:val="003569D6"/>
    <w:rsid w:val="00361054"/>
    <w:rsid w:val="0036119D"/>
    <w:rsid w:val="003637A0"/>
    <w:rsid w:val="003645CE"/>
    <w:rsid w:val="0036474E"/>
    <w:rsid w:val="00364CF3"/>
    <w:rsid w:val="00365CAA"/>
    <w:rsid w:val="00367EAB"/>
    <w:rsid w:val="003714AA"/>
    <w:rsid w:val="00372573"/>
    <w:rsid w:val="0037316C"/>
    <w:rsid w:val="00377AB2"/>
    <w:rsid w:val="003819AF"/>
    <w:rsid w:val="00384295"/>
    <w:rsid w:val="00385981"/>
    <w:rsid w:val="003877C3"/>
    <w:rsid w:val="00392676"/>
    <w:rsid w:val="0039283B"/>
    <w:rsid w:val="00394FAD"/>
    <w:rsid w:val="00396EA4"/>
    <w:rsid w:val="003A2157"/>
    <w:rsid w:val="003A3363"/>
    <w:rsid w:val="003A3905"/>
    <w:rsid w:val="003A3CC1"/>
    <w:rsid w:val="003A6635"/>
    <w:rsid w:val="003A6B0E"/>
    <w:rsid w:val="003A78C6"/>
    <w:rsid w:val="003B125D"/>
    <w:rsid w:val="003B2C98"/>
    <w:rsid w:val="003B5562"/>
    <w:rsid w:val="003B6363"/>
    <w:rsid w:val="003B737F"/>
    <w:rsid w:val="003C0CF7"/>
    <w:rsid w:val="003C19A2"/>
    <w:rsid w:val="003C27E9"/>
    <w:rsid w:val="003C2E5D"/>
    <w:rsid w:val="003C393E"/>
    <w:rsid w:val="003C592F"/>
    <w:rsid w:val="003C59E0"/>
    <w:rsid w:val="003C60DD"/>
    <w:rsid w:val="003C6F2A"/>
    <w:rsid w:val="003D288D"/>
    <w:rsid w:val="003D743C"/>
    <w:rsid w:val="003D7AEC"/>
    <w:rsid w:val="003E316C"/>
    <w:rsid w:val="003E33BA"/>
    <w:rsid w:val="003E3F5F"/>
    <w:rsid w:val="003E6BA0"/>
    <w:rsid w:val="003E73DB"/>
    <w:rsid w:val="003F0ADC"/>
    <w:rsid w:val="003F0F9B"/>
    <w:rsid w:val="003F2BB7"/>
    <w:rsid w:val="003F3575"/>
    <w:rsid w:val="003F59E6"/>
    <w:rsid w:val="003F5BE6"/>
    <w:rsid w:val="003F6C00"/>
    <w:rsid w:val="004120B1"/>
    <w:rsid w:val="004138F7"/>
    <w:rsid w:val="00413E74"/>
    <w:rsid w:val="0041421D"/>
    <w:rsid w:val="0041490D"/>
    <w:rsid w:val="00414A5C"/>
    <w:rsid w:val="004156B4"/>
    <w:rsid w:val="0041697F"/>
    <w:rsid w:val="00420235"/>
    <w:rsid w:val="00421D0A"/>
    <w:rsid w:val="004223AA"/>
    <w:rsid w:val="00423104"/>
    <w:rsid w:val="004256A0"/>
    <w:rsid w:val="004267D3"/>
    <w:rsid w:val="00427AA5"/>
    <w:rsid w:val="00427E2A"/>
    <w:rsid w:val="00432828"/>
    <w:rsid w:val="00433E65"/>
    <w:rsid w:val="004374B2"/>
    <w:rsid w:val="00442AB8"/>
    <w:rsid w:val="004436EA"/>
    <w:rsid w:val="0044456C"/>
    <w:rsid w:val="00450B39"/>
    <w:rsid w:val="00453BC6"/>
    <w:rsid w:val="00454498"/>
    <w:rsid w:val="00456724"/>
    <w:rsid w:val="00456C59"/>
    <w:rsid w:val="00462C03"/>
    <w:rsid w:val="004721FD"/>
    <w:rsid w:val="004732CD"/>
    <w:rsid w:val="00475572"/>
    <w:rsid w:val="00477931"/>
    <w:rsid w:val="00481FA9"/>
    <w:rsid w:val="0048596D"/>
    <w:rsid w:val="00485F35"/>
    <w:rsid w:val="00486929"/>
    <w:rsid w:val="00490198"/>
    <w:rsid w:val="004902F1"/>
    <w:rsid w:val="00490E28"/>
    <w:rsid w:val="004931F2"/>
    <w:rsid w:val="00497362"/>
    <w:rsid w:val="00497C77"/>
    <w:rsid w:val="004A0AE7"/>
    <w:rsid w:val="004A2BBE"/>
    <w:rsid w:val="004A523F"/>
    <w:rsid w:val="004A6062"/>
    <w:rsid w:val="004A6103"/>
    <w:rsid w:val="004A673A"/>
    <w:rsid w:val="004A6A8F"/>
    <w:rsid w:val="004A770F"/>
    <w:rsid w:val="004B0813"/>
    <w:rsid w:val="004B136A"/>
    <w:rsid w:val="004B159E"/>
    <w:rsid w:val="004B1F38"/>
    <w:rsid w:val="004B21C5"/>
    <w:rsid w:val="004B2EF6"/>
    <w:rsid w:val="004B34A6"/>
    <w:rsid w:val="004B5612"/>
    <w:rsid w:val="004B5AA7"/>
    <w:rsid w:val="004B6083"/>
    <w:rsid w:val="004B6826"/>
    <w:rsid w:val="004B6927"/>
    <w:rsid w:val="004B7E5C"/>
    <w:rsid w:val="004C3CC4"/>
    <w:rsid w:val="004C483C"/>
    <w:rsid w:val="004C4D5E"/>
    <w:rsid w:val="004D11ED"/>
    <w:rsid w:val="004D1BB9"/>
    <w:rsid w:val="004D310E"/>
    <w:rsid w:val="004D37D8"/>
    <w:rsid w:val="004D4B81"/>
    <w:rsid w:val="004D61C3"/>
    <w:rsid w:val="004E2769"/>
    <w:rsid w:val="004E3297"/>
    <w:rsid w:val="004F26C0"/>
    <w:rsid w:val="004F5DCD"/>
    <w:rsid w:val="004F6B2B"/>
    <w:rsid w:val="004F7C2F"/>
    <w:rsid w:val="005005DF"/>
    <w:rsid w:val="00505045"/>
    <w:rsid w:val="005067BA"/>
    <w:rsid w:val="00510B96"/>
    <w:rsid w:val="00511501"/>
    <w:rsid w:val="00511B5B"/>
    <w:rsid w:val="00515AF2"/>
    <w:rsid w:val="0051640E"/>
    <w:rsid w:val="00516741"/>
    <w:rsid w:val="0051684E"/>
    <w:rsid w:val="005274BA"/>
    <w:rsid w:val="00527ABC"/>
    <w:rsid w:val="0053587B"/>
    <w:rsid w:val="005368C7"/>
    <w:rsid w:val="0054193D"/>
    <w:rsid w:val="00541B3C"/>
    <w:rsid w:val="00541E7A"/>
    <w:rsid w:val="00542A8C"/>
    <w:rsid w:val="00542D59"/>
    <w:rsid w:val="0054359C"/>
    <w:rsid w:val="00543637"/>
    <w:rsid w:val="00545DF7"/>
    <w:rsid w:val="00546CA2"/>
    <w:rsid w:val="005539F5"/>
    <w:rsid w:val="0055415C"/>
    <w:rsid w:val="00554701"/>
    <w:rsid w:val="00554AAC"/>
    <w:rsid w:val="0055503F"/>
    <w:rsid w:val="005572D7"/>
    <w:rsid w:val="00563797"/>
    <w:rsid w:val="005651B5"/>
    <w:rsid w:val="00566234"/>
    <w:rsid w:val="0057262B"/>
    <w:rsid w:val="005774C2"/>
    <w:rsid w:val="00577C0B"/>
    <w:rsid w:val="005815B3"/>
    <w:rsid w:val="00582A03"/>
    <w:rsid w:val="0058639D"/>
    <w:rsid w:val="00587E37"/>
    <w:rsid w:val="00590F49"/>
    <w:rsid w:val="0059245B"/>
    <w:rsid w:val="00593821"/>
    <w:rsid w:val="00593C69"/>
    <w:rsid w:val="00596E88"/>
    <w:rsid w:val="00597CBD"/>
    <w:rsid w:val="005A0969"/>
    <w:rsid w:val="005A5E7A"/>
    <w:rsid w:val="005A745A"/>
    <w:rsid w:val="005B0DEF"/>
    <w:rsid w:val="005B2A03"/>
    <w:rsid w:val="005B4C1B"/>
    <w:rsid w:val="005B63F2"/>
    <w:rsid w:val="005B6F4F"/>
    <w:rsid w:val="005C2684"/>
    <w:rsid w:val="005C2DDC"/>
    <w:rsid w:val="005C5620"/>
    <w:rsid w:val="005C578C"/>
    <w:rsid w:val="005D1F0F"/>
    <w:rsid w:val="005D29DB"/>
    <w:rsid w:val="005D41F9"/>
    <w:rsid w:val="005E3E39"/>
    <w:rsid w:val="005E4143"/>
    <w:rsid w:val="005E4846"/>
    <w:rsid w:val="005E724B"/>
    <w:rsid w:val="005E78A0"/>
    <w:rsid w:val="005F2F0D"/>
    <w:rsid w:val="00601F7C"/>
    <w:rsid w:val="00602A48"/>
    <w:rsid w:val="00602EF7"/>
    <w:rsid w:val="00606F11"/>
    <w:rsid w:val="00607B03"/>
    <w:rsid w:val="0061059D"/>
    <w:rsid w:val="0061326F"/>
    <w:rsid w:val="00614393"/>
    <w:rsid w:val="006146F2"/>
    <w:rsid w:val="00614C00"/>
    <w:rsid w:val="0061717B"/>
    <w:rsid w:val="00623567"/>
    <w:rsid w:val="00631DD5"/>
    <w:rsid w:val="006401FE"/>
    <w:rsid w:val="006412B5"/>
    <w:rsid w:val="00641932"/>
    <w:rsid w:val="00644083"/>
    <w:rsid w:val="0064429B"/>
    <w:rsid w:val="0064477C"/>
    <w:rsid w:val="00644D3D"/>
    <w:rsid w:val="00644F6F"/>
    <w:rsid w:val="006471E3"/>
    <w:rsid w:val="00650903"/>
    <w:rsid w:val="006518AF"/>
    <w:rsid w:val="00657AE9"/>
    <w:rsid w:val="006650A8"/>
    <w:rsid w:val="00665FBA"/>
    <w:rsid w:val="006679C0"/>
    <w:rsid w:val="006720F2"/>
    <w:rsid w:val="0067241F"/>
    <w:rsid w:val="00675D6D"/>
    <w:rsid w:val="00680ED5"/>
    <w:rsid w:val="00681956"/>
    <w:rsid w:val="00682FBA"/>
    <w:rsid w:val="00683370"/>
    <w:rsid w:val="00684EC1"/>
    <w:rsid w:val="00685663"/>
    <w:rsid w:val="006903F9"/>
    <w:rsid w:val="006923C8"/>
    <w:rsid w:val="00694C3D"/>
    <w:rsid w:val="006960DB"/>
    <w:rsid w:val="00696AB4"/>
    <w:rsid w:val="00697494"/>
    <w:rsid w:val="006976BF"/>
    <w:rsid w:val="006A05D7"/>
    <w:rsid w:val="006A4628"/>
    <w:rsid w:val="006A47D7"/>
    <w:rsid w:val="006B0F2D"/>
    <w:rsid w:val="006B2A30"/>
    <w:rsid w:val="006B30FA"/>
    <w:rsid w:val="006B3F39"/>
    <w:rsid w:val="006B4213"/>
    <w:rsid w:val="006B43AF"/>
    <w:rsid w:val="006B4DF0"/>
    <w:rsid w:val="006C1013"/>
    <w:rsid w:val="006C163A"/>
    <w:rsid w:val="006C228B"/>
    <w:rsid w:val="006C2931"/>
    <w:rsid w:val="006D12ED"/>
    <w:rsid w:val="006D466E"/>
    <w:rsid w:val="006D4B70"/>
    <w:rsid w:val="006D4C35"/>
    <w:rsid w:val="006D7A92"/>
    <w:rsid w:val="006E3B48"/>
    <w:rsid w:val="006E6184"/>
    <w:rsid w:val="006E631B"/>
    <w:rsid w:val="006E7CD8"/>
    <w:rsid w:val="006F096A"/>
    <w:rsid w:val="006F22E3"/>
    <w:rsid w:val="006F3095"/>
    <w:rsid w:val="006F5455"/>
    <w:rsid w:val="006F5CB6"/>
    <w:rsid w:val="006F79D3"/>
    <w:rsid w:val="00700F84"/>
    <w:rsid w:val="00703194"/>
    <w:rsid w:val="00706E50"/>
    <w:rsid w:val="0070737C"/>
    <w:rsid w:val="00711229"/>
    <w:rsid w:val="00712EA8"/>
    <w:rsid w:val="00713FB5"/>
    <w:rsid w:val="007144D5"/>
    <w:rsid w:val="00715018"/>
    <w:rsid w:val="00716955"/>
    <w:rsid w:val="007179FE"/>
    <w:rsid w:val="00717D6F"/>
    <w:rsid w:val="00717F25"/>
    <w:rsid w:val="007201B1"/>
    <w:rsid w:val="007201D7"/>
    <w:rsid w:val="007203FC"/>
    <w:rsid w:val="00724E14"/>
    <w:rsid w:val="0072568E"/>
    <w:rsid w:val="00725AD5"/>
    <w:rsid w:val="00726DB5"/>
    <w:rsid w:val="00726EB4"/>
    <w:rsid w:val="00731945"/>
    <w:rsid w:val="007343E6"/>
    <w:rsid w:val="007363DE"/>
    <w:rsid w:val="0073698D"/>
    <w:rsid w:val="00736C0B"/>
    <w:rsid w:val="00737B42"/>
    <w:rsid w:val="00740FE9"/>
    <w:rsid w:val="00744D93"/>
    <w:rsid w:val="007450C3"/>
    <w:rsid w:val="00746531"/>
    <w:rsid w:val="00746864"/>
    <w:rsid w:val="00750F59"/>
    <w:rsid w:val="00751725"/>
    <w:rsid w:val="00752028"/>
    <w:rsid w:val="0075450A"/>
    <w:rsid w:val="0075717D"/>
    <w:rsid w:val="0076017E"/>
    <w:rsid w:val="00760DB6"/>
    <w:rsid w:val="0076361C"/>
    <w:rsid w:val="00765376"/>
    <w:rsid w:val="00765AC3"/>
    <w:rsid w:val="007661AE"/>
    <w:rsid w:val="00766A51"/>
    <w:rsid w:val="00771FFF"/>
    <w:rsid w:val="00772818"/>
    <w:rsid w:val="00774FEE"/>
    <w:rsid w:val="0077685D"/>
    <w:rsid w:val="0077788E"/>
    <w:rsid w:val="00784439"/>
    <w:rsid w:val="00787E75"/>
    <w:rsid w:val="00790364"/>
    <w:rsid w:val="00796710"/>
    <w:rsid w:val="00797257"/>
    <w:rsid w:val="007A0723"/>
    <w:rsid w:val="007A3157"/>
    <w:rsid w:val="007A6E20"/>
    <w:rsid w:val="007B0737"/>
    <w:rsid w:val="007B10ED"/>
    <w:rsid w:val="007B2240"/>
    <w:rsid w:val="007B2B2E"/>
    <w:rsid w:val="007B3BFC"/>
    <w:rsid w:val="007B3CEB"/>
    <w:rsid w:val="007B4B03"/>
    <w:rsid w:val="007C38E5"/>
    <w:rsid w:val="007C46D3"/>
    <w:rsid w:val="007C4F31"/>
    <w:rsid w:val="007D4CE2"/>
    <w:rsid w:val="007D7549"/>
    <w:rsid w:val="007E5257"/>
    <w:rsid w:val="007E5391"/>
    <w:rsid w:val="007E71A4"/>
    <w:rsid w:val="007F239B"/>
    <w:rsid w:val="007F48D5"/>
    <w:rsid w:val="007F4EF5"/>
    <w:rsid w:val="00802317"/>
    <w:rsid w:val="00804105"/>
    <w:rsid w:val="00804F2A"/>
    <w:rsid w:val="00806A62"/>
    <w:rsid w:val="00806D94"/>
    <w:rsid w:val="00807AD8"/>
    <w:rsid w:val="00811800"/>
    <w:rsid w:val="00812E1C"/>
    <w:rsid w:val="00813CFF"/>
    <w:rsid w:val="008140C5"/>
    <w:rsid w:val="00814590"/>
    <w:rsid w:val="00814667"/>
    <w:rsid w:val="008148E2"/>
    <w:rsid w:val="008149E4"/>
    <w:rsid w:val="008156B7"/>
    <w:rsid w:val="00817D90"/>
    <w:rsid w:val="008213D9"/>
    <w:rsid w:val="00822355"/>
    <w:rsid w:val="00822616"/>
    <w:rsid w:val="0082332D"/>
    <w:rsid w:val="0082402C"/>
    <w:rsid w:val="00825FF5"/>
    <w:rsid w:val="008262F1"/>
    <w:rsid w:val="008311FA"/>
    <w:rsid w:val="008317EF"/>
    <w:rsid w:val="00836734"/>
    <w:rsid w:val="0084053E"/>
    <w:rsid w:val="0084131D"/>
    <w:rsid w:val="00845BCC"/>
    <w:rsid w:val="00851465"/>
    <w:rsid w:val="008514B8"/>
    <w:rsid w:val="00852ED8"/>
    <w:rsid w:val="0085330A"/>
    <w:rsid w:val="0085332A"/>
    <w:rsid w:val="008550CA"/>
    <w:rsid w:val="0085533A"/>
    <w:rsid w:val="00855543"/>
    <w:rsid w:val="0085738D"/>
    <w:rsid w:val="00862395"/>
    <w:rsid w:val="00864DD3"/>
    <w:rsid w:val="008708D6"/>
    <w:rsid w:val="008726F9"/>
    <w:rsid w:val="00873F9C"/>
    <w:rsid w:val="00874608"/>
    <w:rsid w:val="008760D0"/>
    <w:rsid w:val="00881317"/>
    <w:rsid w:val="008814DF"/>
    <w:rsid w:val="00883C64"/>
    <w:rsid w:val="008843EE"/>
    <w:rsid w:val="00887352"/>
    <w:rsid w:val="00892CA4"/>
    <w:rsid w:val="00894494"/>
    <w:rsid w:val="00896477"/>
    <w:rsid w:val="00896BD6"/>
    <w:rsid w:val="00896F5A"/>
    <w:rsid w:val="008A3C37"/>
    <w:rsid w:val="008A3D12"/>
    <w:rsid w:val="008A3D6D"/>
    <w:rsid w:val="008A5CCB"/>
    <w:rsid w:val="008B1487"/>
    <w:rsid w:val="008B1840"/>
    <w:rsid w:val="008B70D3"/>
    <w:rsid w:val="008B73A2"/>
    <w:rsid w:val="008B7FE2"/>
    <w:rsid w:val="008C0BBA"/>
    <w:rsid w:val="008C1294"/>
    <w:rsid w:val="008C2450"/>
    <w:rsid w:val="008C5482"/>
    <w:rsid w:val="008C5C53"/>
    <w:rsid w:val="008C7817"/>
    <w:rsid w:val="008C7F5B"/>
    <w:rsid w:val="008D079A"/>
    <w:rsid w:val="008D2F40"/>
    <w:rsid w:val="008D3EAE"/>
    <w:rsid w:val="008D3EC9"/>
    <w:rsid w:val="008D41DB"/>
    <w:rsid w:val="008D4CE0"/>
    <w:rsid w:val="008D4ED7"/>
    <w:rsid w:val="008D563E"/>
    <w:rsid w:val="008D5B52"/>
    <w:rsid w:val="008E0AD6"/>
    <w:rsid w:val="008E4209"/>
    <w:rsid w:val="008E48FC"/>
    <w:rsid w:val="008E501E"/>
    <w:rsid w:val="008E559B"/>
    <w:rsid w:val="008E55BD"/>
    <w:rsid w:val="008E5E6F"/>
    <w:rsid w:val="008E7527"/>
    <w:rsid w:val="008F1A2B"/>
    <w:rsid w:val="008F29C2"/>
    <w:rsid w:val="008F2AD6"/>
    <w:rsid w:val="008F44F1"/>
    <w:rsid w:val="008F4BA8"/>
    <w:rsid w:val="008F5C07"/>
    <w:rsid w:val="008F696D"/>
    <w:rsid w:val="008F7777"/>
    <w:rsid w:val="00901CF5"/>
    <w:rsid w:val="00901F53"/>
    <w:rsid w:val="00906431"/>
    <w:rsid w:val="009115AF"/>
    <w:rsid w:val="00913276"/>
    <w:rsid w:val="009221DF"/>
    <w:rsid w:val="009224FD"/>
    <w:rsid w:val="009234B8"/>
    <w:rsid w:val="00924289"/>
    <w:rsid w:val="0093296C"/>
    <w:rsid w:val="00935CC7"/>
    <w:rsid w:val="00936508"/>
    <w:rsid w:val="0093735C"/>
    <w:rsid w:val="0094002F"/>
    <w:rsid w:val="0094129D"/>
    <w:rsid w:val="009418E4"/>
    <w:rsid w:val="00941BB7"/>
    <w:rsid w:val="00943010"/>
    <w:rsid w:val="00944760"/>
    <w:rsid w:val="00946A91"/>
    <w:rsid w:val="00946AE5"/>
    <w:rsid w:val="00950865"/>
    <w:rsid w:val="00951BAD"/>
    <w:rsid w:val="0095223D"/>
    <w:rsid w:val="009526E4"/>
    <w:rsid w:val="009528C7"/>
    <w:rsid w:val="00953AA1"/>
    <w:rsid w:val="00954607"/>
    <w:rsid w:val="00954B44"/>
    <w:rsid w:val="009644B8"/>
    <w:rsid w:val="0096732C"/>
    <w:rsid w:val="00967866"/>
    <w:rsid w:val="009703B6"/>
    <w:rsid w:val="00971A4C"/>
    <w:rsid w:val="00975EB5"/>
    <w:rsid w:val="00983979"/>
    <w:rsid w:val="00983DC2"/>
    <w:rsid w:val="00983DF0"/>
    <w:rsid w:val="00992F87"/>
    <w:rsid w:val="00995AB5"/>
    <w:rsid w:val="0099742A"/>
    <w:rsid w:val="009A0446"/>
    <w:rsid w:val="009A062C"/>
    <w:rsid w:val="009A48AF"/>
    <w:rsid w:val="009A522D"/>
    <w:rsid w:val="009B0C68"/>
    <w:rsid w:val="009B3F77"/>
    <w:rsid w:val="009B5132"/>
    <w:rsid w:val="009B6D17"/>
    <w:rsid w:val="009C166A"/>
    <w:rsid w:val="009C2059"/>
    <w:rsid w:val="009C6F48"/>
    <w:rsid w:val="009C6FFB"/>
    <w:rsid w:val="009C7EF5"/>
    <w:rsid w:val="009D0C93"/>
    <w:rsid w:val="009D2FAC"/>
    <w:rsid w:val="009D60C8"/>
    <w:rsid w:val="009D7F6E"/>
    <w:rsid w:val="009E01DE"/>
    <w:rsid w:val="009E093C"/>
    <w:rsid w:val="009E1311"/>
    <w:rsid w:val="009E151E"/>
    <w:rsid w:val="009E3ACF"/>
    <w:rsid w:val="009E5DB6"/>
    <w:rsid w:val="009F4999"/>
    <w:rsid w:val="009F777E"/>
    <w:rsid w:val="009F7F52"/>
    <w:rsid w:val="00A0202C"/>
    <w:rsid w:val="00A0227E"/>
    <w:rsid w:val="00A04091"/>
    <w:rsid w:val="00A04EDF"/>
    <w:rsid w:val="00A05C1E"/>
    <w:rsid w:val="00A0603F"/>
    <w:rsid w:val="00A10EB2"/>
    <w:rsid w:val="00A112E6"/>
    <w:rsid w:val="00A14966"/>
    <w:rsid w:val="00A15CAB"/>
    <w:rsid w:val="00A16515"/>
    <w:rsid w:val="00A16E8F"/>
    <w:rsid w:val="00A17CCB"/>
    <w:rsid w:val="00A201DE"/>
    <w:rsid w:val="00A211A9"/>
    <w:rsid w:val="00A2422A"/>
    <w:rsid w:val="00A25265"/>
    <w:rsid w:val="00A26FC8"/>
    <w:rsid w:val="00A303A1"/>
    <w:rsid w:val="00A37F22"/>
    <w:rsid w:val="00A40EAB"/>
    <w:rsid w:val="00A42386"/>
    <w:rsid w:val="00A50751"/>
    <w:rsid w:val="00A50E72"/>
    <w:rsid w:val="00A51BB4"/>
    <w:rsid w:val="00A51D5E"/>
    <w:rsid w:val="00A54B81"/>
    <w:rsid w:val="00A54BE7"/>
    <w:rsid w:val="00A564EB"/>
    <w:rsid w:val="00A63BE6"/>
    <w:rsid w:val="00A6500A"/>
    <w:rsid w:val="00A65333"/>
    <w:rsid w:val="00A6719E"/>
    <w:rsid w:val="00A70B36"/>
    <w:rsid w:val="00A739F1"/>
    <w:rsid w:val="00A758DE"/>
    <w:rsid w:val="00A80ACD"/>
    <w:rsid w:val="00A8189A"/>
    <w:rsid w:val="00A81C2E"/>
    <w:rsid w:val="00A81EC4"/>
    <w:rsid w:val="00A83B8E"/>
    <w:rsid w:val="00A8478F"/>
    <w:rsid w:val="00A858C4"/>
    <w:rsid w:val="00A86481"/>
    <w:rsid w:val="00A86D9B"/>
    <w:rsid w:val="00A9141E"/>
    <w:rsid w:val="00A9341B"/>
    <w:rsid w:val="00A937CD"/>
    <w:rsid w:val="00A94F5E"/>
    <w:rsid w:val="00A95B86"/>
    <w:rsid w:val="00A974CA"/>
    <w:rsid w:val="00A97E12"/>
    <w:rsid w:val="00AA2CD5"/>
    <w:rsid w:val="00AA4F6C"/>
    <w:rsid w:val="00AB16AE"/>
    <w:rsid w:val="00AB392A"/>
    <w:rsid w:val="00AB5801"/>
    <w:rsid w:val="00AB5A64"/>
    <w:rsid w:val="00AB71A5"/>
    <w:rsid w:val="00AB76C6"/>
    <w:rsid w:val="00AB79E9"/>
    <w:rsid w:val="00AB7C54"/>
    <w:rsid w:val="00AC1FF0"/>
    <w:rsid w:val="00AC496C"/>
    <w:rsid w:val="00AC5567"/>
    <w:rsid w:val="00AC56D4"/>
    <w:rsid w:val="00AD04F4"/>
    <w:rsid w:val="00AD576C"/>
    <w:rsid w:val="00AD670F"/>
    <w:rsid w:val="00AD6C71"/>
    <w:rsid w:val="00AE0C4D"/>
    <w:rsid w:val="00AE1E4B"/>
    <w:rsid w:val="00AE1E54"/>
    <w:rsid w:val="00AE2AFD"/>
    <w:rsid w:val="00AE4372"/>
    <w:rsid w:val="00AE478A"/>
    <w:rsid w:val="00AF0C8D"/>
    <w:rsid w:val="00AF0F05"/>
    <w:rsid w:val="00B00778"/>
    <w:rsid w:val="00B04E8C"/>
    <w:rsid w:val="00B050C0"/>
    <w:rsid w:val="00B05642"/>
    <w:rsid w:val="00B06097"/>
    <w:rsid w:val="00B07348"/>
    <w:rsid w:val="00B10045"/>
    <w:rsid w:val="00B100DF"/>
    <w:rsid w:val="00B10CAE"/>
    <w:rsid w:val="00B12190"/>
    <w:rsid w:val="00B1294B"/>
    <w:rsid w:val="00B137C3"/>
    <w:rsid w:val="00B171BB"/>
    <w:rsid w:val="00B2247A"/>
    <w:rsid w:val="00B23E40"/>
    <w:rsid w:val="00B304F2"/>
    <w:rsid w:val="00B30BE9"/>
    <w:rsid w:val="00B343F1"/>
    <w:rsid w:val="00B36551"/>
    <w:rsid w:val="00B36E9E"/>
    <w:rsid w:val="00B40E38"/>
    <w:rsid w:val="00B445DB"/>
    <w:rsid w:val="00B45C9E"/>
    <w:rsid w:val="00B51ACE"/>
    <w:rsid w:val="00B57F0E"/>
    <w:rsid w:val="00B619AA"/>
    <w:rsid w:val="00B623D7"/>
    <w:rsid w:val="00B66E7A"/>
    <w:rsid w:val="00B71486"/>
    <w:rsid w:val="00B8096A"/>
    <w:rsid w:val="00B8106C"/>
    <w:rsid w:val="00B86867"/>
    <w:rsid w:val="00B8701B"/>
    <w:rsid w:val="00B91564"/>
    <w:rsid w:val="00B9199A"/>
    <w:rsid w:val="00B9206A"/>
    <w:rsid w:val="00B92618"/>
    <w:rsid w:val="00B9279E"/>
    <w:rsid w:val="00B97861"/>
    <w:rsid w:val="00BA1CFA"/>
    <w:rsid w:val="00BA4284"/>
    <w:rsid w:val="00BA4489"/>
    <w:rsid w:val="00BB2DFE"/>
    <w:rsid w:val="00BC0485"/>
    <w:rsid w:val="00BC1029"/>
    <w:rsid w:val="00BC2720"/>
    <w:rsid w:val="00BC378A"/>
    <w:rsid w:val="00BC4728"/>
    <w:rsid w:val="00BC4BF4"/>
    <w:rsid w:val="00BC60B3"/>
    <w:rsid w:val="00BD08A2"/>
    <w:rsid w:val="00BD2253"/>
    <w:rsid w:val="00BD7496"/>
    <w:rsid w:val="00BE042D"/>
    <w:rsid w:val="00BE386F"/>
    <w:rsid w:val="00BE4802"/>
    <w:rsid w:val="00BE7212"/>
    <w:rsid w:val="00BF0D7C"/>
    <w:rsid w:val="00BF331F"/>
    <w:rsid w:val="00BF668F"/>
    <w:rsid w:val="00C053A4"/>
    <w:rsid w:val="00C05CC6"/>
    <w:rsid w:val="00C068C7"/>
    <w:rsid w:val="00C073C2"/>
    <w:rsid w:val="00C13C12"/>
    <w:rsid w:val="00C15A3F"/>
    <w:rsid w:val="00C160F4"/>
    <w:rsid w:val="00C20F99"/>
    <w:rsid w:val="00C2120D"/>
    <w:rsid w:val="00C215E7"/>
    <w:rsid w:val="00C233E9"/>
    <w:rsid w:val="00C2605C"/>
    <w:rsid w:val="00C262A5"/>
    <w:rsid w:val="00C26C5B"/>
    <w:rsid w:val="00C2711B"/>
    <w:rsid w:val="00C303B4"/>
    <w:rsid w:val="00C33CF3"/>
    <w:rsid w:val="00C342F9"/>
    <w:rsid w:val="00C40132"/>
    <w:rsid w:val="00C40EBC"/>
    <w:rsid w:val="00C41265"/>
    <w:rsid w:val="00C41347"/>
    <w:rsid w:val="00C4202E"/>
    <w:rsid w:val="00C42ACA"/>
    <w:rsid w:val="00C47FF1"/>
    <w:rsid w:val="00C51308"/>
    <w:rsid w:val="00C51F78"/>
    <w:rsid w:val="00C539F8"/>
    <w:rsid w:val="00C53A47"/>
    <w:rsid w:val="00C53B1F"/>
    <w:rsid w:val="00C548AB"/>
    <w:rsid w:val="00C57BB9"/>
    <w:rsid w:val="00C606F6"/>
    <w:rsid w:val="00C6082E"/>
    <w:rsid w:val="00C61699"/>
    <w:rsid w:val="00C62B02"/>
    <w:rsid w:val="00C637A2"/>
    <w:rsid w:val="00C63BA0"/>
    <w:rsid w:val="00C64908"/>
    <w:rsid w:val="00C66DBA"/>
    <w:rsid w:val="00C705B5"/>
    <w:rsid w:val="00C7093C"/>
    <w:rsid w:val="00C728AA"/>
    <w:rsid w:val="00C738BD"/>
    <w:rsid w:val="00C75D40"/>
    <w:rsid w:val="00C83627"/>
    <w:rsid w:val="00C85E44"/>
    <w:rsid w:val="00C9225D"/>
    <w:rsid w:val="00C92F94"/>
    <w:rsid w:val="00C95D81"/>
    <w:rsid w:val="00C960AA"/>
    <w:rsid w:val="00CA121E"/>
    <w:rsid w:val="00CA501D"/>
    <w:rsid w:val="00CA51DC"/>
    <w:rsid w:val="00CA55C4"/>
    <w:rsid w:val="00CA5D52"/>
    <w:rsid w:val="00CB1789"/>
    <w:rsid w:val="00CB1CB2"/>
    <w:rsid w:val="00CB2557"/>
    <w:rsid w:val="00CB3B7B"/>
    <w:rsid w:val="00CB44C4"/>
    <w:rsid w:val="00CB45F3"/>
    <w:rsid w:val="00CB47FE"/>
    <w:rsid w:val="00CB4D35"/>
    <w:rsid w:val="00CB6703"/>
    <w:rsid w:val="00CC01DB"/>
    <w:rsid w:val="00CC39B1"/>
    <w:rsid w:val="00CC3D90"/>
    <w:rsid w:val="00CC4619"/>
    <w:rsid w:val="00CC4794"/>
    <w:rsid w:val="00CC68AE"/>
    <w:rsid w:val="00CD15D9"/>
    <w:rsid w:val="00CD526B"/>
    <w:rsid w:val="00CD54E5"/>
    <w:rsid w:val="00CD5B93"/>
    <w:rsid w:val="00CD6286"/>
    <w:rsid w:val="00CD7039"/>
    <w:rsid w:val="00CE3B32"/>
    <w:rsid w:val="00CE4A24"/>
    <w:rsid w:val="00CE613B"/>
    <w:rsid w:val="00CE7403"/>
    <w:rsid w:val="00CF0826"/>
    <w:rsid w:val="00CF0D8A"/>
    <w:rsid w:val="00CF267F"/>
    <w:rsid w:val="00CF7DA0"/>
    <w:rsid w:val="00D00EC7"/>
    <w:rsid w:val="00D0312C"/>
    <w:rsid w:val="00D03AE0"/>
    <w:rsid w:val="00D04614"/>
    <w:rsid w:val="00D070CD"/>
    <w:rsid w:val="00D07459"/>
    <w:rsid w:val="00D150BE"/>
    <w:rsid w:val="00D1723F"/>
    <w:rsid w:val="00D1775A"/>
    <w:rsid w:val="00D23AB5"/>
    <w:rsid w:val="00D26B64"/>
    <w:rsid w:val="00D30647"/>
    <w:rsid w:val="00D30AA4"/>
    <w:rsid w:val="00D30CE5"/>
    <w:rsid w:val="00D310CD"/>
    <w:rsid w:val="00D35C08"/>
    <w:rsid w:val="00D3674A"/>
    <w:rsid w:val="00D40383"/>
    <w:rsid w:val="00D4085D"/>
    <w:rsid w:val="00D428F4"/>
    <w:rsid w:val="00D434F3"/>
    <w:rsid w:val="00D44DF4"/>
    <w:rsid w:val="00D46E83"/>
    <w:rsid w:val="00D50B61"/>
    <w:rsid w:val="00D51386"/>
    <w:rsid w:val="00D520FA"/>
    <w:rsid w:val="00D52914"/>
    <w:rsid w:val="00D5485B"/>
    <w:rsid w:val="00D57346"/>
    <w:rsid w:val="00D57BFF"/>
    <w:rsid w:val="00D61911"/>
    <w:rsid w:val="00D62258"/>
    <w:rsid w:val="00D625A7"/>
    <w:rsid w:val="00D64975"/>
    <w:rsid w:val="00D66545"/>
    <w:rsid w:val="00D677F9"/>
    <w:rsid w:val="00D67EFF"/>
    <w:rsid w:val="00D702F1"/>
    <w:rsid w:val="00D729FA"/>
    <w:rsid w:val="00D72BBC"/>
    <w:rsid w:val="00D7336A"/>
    <w:rsid w:val="00D73591"/>
    <w:rsid w:val="00D76E2D"/>
    <w:rsid w:val="00D802FC"/>
    <w:rsid w:val="00D81D7B"/>
    <w:rsid w:val="00D8212C"/>
    <w:rsid w:val="00D848B8"/>
    <w:rsid w:val="00D8532B"/>
    <w:rsid w:val="00D85463"/>
    <w:rsid w:val="00D87792"/>
    <w:rsid w:val="00D909D6"/>
    <w:rsid w:val="00D973A5"/>
    <w:rsid w:val="00DA008A"/>
    <w:rsid w:val="00DA205D"/>
    <w:rsid w:val="00DA7233"/>
    <w:rsid w:val="00DB2FC9"/>
    <w:rsid w:val="00DB5BE9"/>
    <w:rsid w:val="00DC1B98"/>
    <w:rsid w:val="00DC242D"/>
    <w:rsid w:val="00DC4A00"/>
    <w:rsid w:val="00DC4D62"/>
    <w:rsid w:val="00DC50E5"/>
    <w:rsid w:val="00DC76C7"/>
    <w:rsid w:val="00DD159E"/>
    <w:rsid w:val="00DD3A1B"/>
    <w:rsid w:val="00DD696E"/>
    <w:rsid w:val="00DE311A"/>
    <w:rsid w:val="00DE36EB"/>
    <w:rsid w:val="00DE4A6C"/>
    <w:rsid w:val="00DE64C1"/>
    <w:rsid w:val="00DF5BAB"/>
    <w:rsid w:val="00E04186"/>
    <w:rsid w:val="00E07C42"/>
    <w:rsid w:val="00E10555"/>
    <w:rsid w:val="00E11087"/>
    <w:rsid w:val="00E15C90"/>
    <w:rsid w:val="00E15E3C"/>
    <w:rsid w:val="00E16E0A"/>
    <w:rsid w:val="00E204BB"/>
    <w:rsid w:val="00E220BC"/>
    <w:rsid w:val="00E31096"/>
    <w:rsid w:val="00E33938"/>
    <w:rsid w:val="00E33F03"/>
    <w:rsid w:val="00E34C7A"/>
    <w:rsid w:val="00E354D8"/>
    <w:rsid w:val="00E357D6"/>
    <w:rsid w:val="00E3658A"/>
    <w:rsid w:val="00E3706A"/>
    <w:rsid w:val="00E3738B"/>
    <w:rsid w:val="00E37446"/>
    <w:rsid w:val="00E37730"/>
    <w:rsid w:val="00E4099E"/>
    <w:rsid w:val="00E456AA"/>
    <w:rsid w:val="00E51911"/>
    <w:rsid w:val="00E5201F"/>
    <w:rsid w:val="00E54D8C"/>
    <w:rsid w:val="00E56DB3"/>
    <w:rsid w:val="00E579FF"/>
    <w:rsid w:val="00E6698B"/>
    <w:rsid w:val="00E7195E"/>
    <w:rsid w:val="00E72F4A"/>
    <w:rsid w:val="00E7467D"/>
    <w:rsid w:val="00E812B9"/>
    <w:rsid w:val="00E82115"/>
    <w:rsid w:val="00E832FF"/>
    <w:rsid w:val="00E83448"/>
    <w:rsid w:val="00E838D3"/>
    <w:rsid w:val="00E90BF8"/>
    <w:rsid w:val="00E92C8A"/>
    <w:rsid w:val="00E9346D"/>
    <w:rsid w:val="00E94C3E"/>
    <w:rsid w:val="00E95DA6"/>
    <w:rsid w:val="00EA21BF"/>
    <w:rsid w:val="00EA56E5"/>
    <w:rsid w:val="00EA594C"/>
    <w:rsid w:val="00EA7096"/>
    <w:rsid w:val="00EA7329"/>
    <w:rsid w:val="00EA7A1C"/>
    <w:rsid w:val="00EB5170"/>
    <w:rsid w:val="00EB58A2"/>
    <w:rsid w:val="00EB7EDA"/>
    <w:rsid w:val="00EC0CE8"/>
    <w:rsid w:val="00EC1D91"/>
    <w:rsid w:val="00EC2FB8"/>
    <w:rsid w:val="00EC3E78"/>
    <w:rsid w:val="00EC5206"/>
    <w:rsid w:val="00EC587F"/>
    <w:rsid w:val="00EC5D22"/>
    <w:rsid w:val="00ED0175"/>
    <w:rsid w:val="00ED0AC8"/>
    <w:rsid w:val="00ED2AC4"/>
    <w:rsid w:val="00ED4036"/>
    <w:rsid w:val="00ED67B3"/>
    <w:rsid w:val="00EE041B"/>
    <w:rsid w:val="00EE40B9"/>
    <w:rsid w:val="00EE57AC"/>
    <w:rsid w:val="00EE74C4"/>
    <w:rsid w:val="00EE7D29"/>
    <w:rsid w:val="00EF056A"/>
    <w:rsid w:val="00EF33DE"/>
    <w:rsid w:val="00EF6486"/>
    <w:rsid w:val="00EF72D4"/>
    <w:rsid w:val="00F03A4A"/>
    <w:rsid w:val="00F101AA"/>
    <w:rsid w:val="00F11A23"/>
    <w:rsid w:val="00F11DDE"/>
    <w:rsid w:val="00F120E6"/>
    <w:rsid w:val="00F12ACD"/>
    <w:rsid w:val="00F16589"/>
    <w:rsid w:val="00F20464"/>
    <w:rsid w:val="00F2068C"/>
    <w:rsid w:val="00F20EEF"/>
    <w:rsid w:val="00F234AB"/>
    <w:rsid w:val="00F24478"/>
    <w:rsid w:val="00F24F22"/>
    <w:rsid w:val="00F254AF"/>
    <w:rsid w:val="00F31075"/>
    <w:rsid w:val="00F31DE0"/>
    <w:rsid w:val="00F3245D"/>
    <w:rsid w:val="00F329A5"/>
    <w:rsid w:val="00F34E70"/>
    <w:rsid w:val="00F35170"/>
    <w:rsid w:val="00F375BE"/>
    <w:rsid w:val="00F40B93"/>
    <w:rsid w:val="00F4377A"/>
    <w:rsid w:val="00F4517C"/>
    <w:rsid w:val="00F46237"/>
    <w:rsid w:val="00F47765"/>
    <w:rsid w:val="00F501C6"/>
    <w:rsid w:val="00F508C8"/>
    <w:rsid w:val="00F523EA"/>
    <w:rsid w:val="00F630DB"/>
    <w:rsid w:val="00F630EF"/>
    <w:rsid w:val="00F6403E"/>
    <w:rsid w:val="00F6594D"/>
    <w:rsid w:val="00F665ED"/>
    <w:rsid w:val="00F6743B"/>
    <w:rsid w:val="00F71346"/>
    <w:rsid w:val="00F715F2"/>
    <w:rsid w:val="00F7190D"/>
    <w:rsid w:val="00F730C7"/>
    <w:rsid w:val="00F76C87"/>
    <w:rsid w:val="00F8319F"/>
    <w:rsid w:val="00F849C9"/>
    <w:rsid w:val="00F8684A"/>
    <w:rsid w:val="00F90F3B"/>
    <w:rsid w:val="00F93F0D"/>
    <w:rsid w:val="00F94C3D"/>
    <w:rsid w:val="00F95D26"/>
    <w:rsid w:val="00F979C5"/>
    <w:rsid w:val="00FA0CBF"/>
    <w:rsid w:val="00FA0E45"/>
    <w:rsid w:val="00FA2EC0"/>
    <w:rsid w:val="00FA3929"/>
    <w:rsid w:val="00FA4E87"/>
    <w:rsid w:val="00FA64FD"/>
    <w:rsid w:val="00FB4200"/>
    <w:rsid w:val="00FB5750"/>
    <w:rsid w:val="00FB5B96"/>
    <w:rsid w:val="00FB5D07"/>
    <w:rsid w:val="00FB6A2E"/>
    <w:rsid w:val="00FC055C"/>
    <w:rsid w:val="00FC226A"/>
    <w:rsid w:val="00FD4437"/>
    <w:rsid w:val="00FE0610"/>
    <w:rsid w:val="00FE26A5"/>
    <w:rsid w:val="00FE347C"/>
    <w:rsid w:val="00FE4A16"/>
    <w:rsid w:val="00FF0586"/>
    <w:rsid w:val="00FF44AF"/>
    <w:rsid w:val="00FF47D0"/>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60905F"/>
  <w14:defaultImageDpi w14:val="96"/>
  <w15:docId w15:val="{CC08042F-454E-4FDE-A5EA-203CC768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9"/>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12"/>
      </w:numPr>
      <w:tabs>
        <w:tab w:val="num" w:pos="567"/>
        <w:tab w:val="num" w:pos="850"/>
      </w:tabs>
      <w:ind w:left="850" w:hanging="284"/>
    </w:pPr>
  </w:style>
  <w:style w:type="paragraph" w:customStyle="1" w:styleId="DoubleDot">
    <w:name w:val="Double Dot"/>
    <w:basedOn w:val="Normal"/>
    <w:rsid w:val="00D51386"/>
    <w:pPr>
      <w:numPr>
        <w:ilvl w:val="2"/>
        <w:numId w:val="12"/>
      </w:numPr>
      <w:tabs>
        <w:tab w:val="num" w:pos="850"/>
        <w:tab w:val="num" w:pos="1133"/>
      </w:tabs>
      <w:ind w:left="1133" w:hanging="283"/>
    </w:pPr>
  </w:style>
  <w:style w:type="paragraph" w:customStyle="1" w:styleId="OutlineNumbered1">
    <w:name w:val="Outline Numbered 1"/>
    <w:basedOn w:val="Normal"/>
    <w:rsid w:val="00D51386"/>
    <w:pPr>
      <w:numPr>
        <w:numId w:val="9"/>
      </w:numPr>
    </w:pPr>
  </w:style>
  <w:style w:type="paragraph" w:customStyle="1" w:styleId="OutlineNumbered2">
    <w:name w:val="Outline Numbered 2"/>
    <w:basedOn w:val="Normal"/>
    <w:rsid w:val="00D51386"/>
    <w:pPr>
      <w:numPr>
        <w:ilvl w:val="1"/>
        <w:numId w:val="9"/>
      </w:numPr>
    </w:pPr>
  </w:style>
  <w:style w:type="paragraph" w:customStyle="1" w:styleId="OutlineNumbered3">
    <w:name w:val="Outline Numbered 3"/>
    <w:basedOn w:val="Normal"/>
    <w:rsid w:val="00D51386"/>
    <w:pPr>
      <w:numPr>
        <w:ilvl w:val="2"/>
        <w:numId w:val="9"/>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0"/>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12"/>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11"/>
      </w:numPr>
    </w:pPr>
  </w:style>
  <w:style w:type="paragraph" w:customStyle="1" w:styleId="BoxDash">
    <w:name w:val="Box Dash"/>
    <w:basedOn w:val="Normal"/>
    <w:uiPriority w:val="99"/>
    <w:rsid w:val="00D51386"/>
    <w:pPr>
      <w:numPr>
        <w:ilvl w:val="1"/>
        <w:numId w:val="11"/>
      </w:numPr>
    </w:pPr>
  </w:style>
  <w:style w:type="paragraph" w:customStyle="1" w:styleId="BoxDoubleDot">
    <w:name w:val="Box Double Dot"/>
    <w:basedOn w:val="BoxTextBase"/>
    <w:uiPriority w:val="99"/>
    <w:rsid w:val="00D51386"/>
    <w:pPr>
      <w:numPr>
        <w:ilvl w:val="2"/>
        <w:numId w:val="11"/>
      </w:numPr>
    </w:pPr>
  </w:style>
  <w:style w:type="paragraph" w:customStyle="1" w:styleId="RecommendationBullet">
    <w:name w:val="Recommendation Bullet"/>
    <w:basedOn w:val="RecommendationTextBase"/>
    <w:rsid w:val="00D51386"/>
    <w:pPr>
      <w:numPr>
        <w:numId w:val="13"/>
      </w:numPr>
    </w:pPr>
  </w:style>
  <w:style w:type="paragraph" w:customStyle="1" w:styleId="RecommendationDash">
    <w:name w:val="Recommendation Dash"/>
    <w:basedOn w:val="RecommendationTextBase"/>
    <w:rsid w:val="00D51386"/>
    <w:pPr>
      <w:numPr>
        <w:ilvl w:val="1"/>
        <w:numId w:val="13"/>
      </w:numPr>
    </w:pPr>
  </w:style>
  <w:style w:type="paragraph" w:customStyle="1" w:styleId="RecommendationDoubleDot">
    <w:name w:val="Recommendation Double Dot"/>
    <w:basedOn w:val="RecommendationTextBase"/>
    <w:rsid w:val="00D51386"/>
    <w:pPr>
      <w:numPr>
        <w:ilvl w:val="2"/>
        <w:numId w:val="13"/>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4"/>
      </w:numPr>
    </w:pPr>
  </w:style>
  <w:style w:type="paragraph" w:customStyle="1" w:styleId="Romannumeral">
    <w:name w:val="Roman numeral"/>
    <w:basedOn w:val="Normal"/>
    <w:rsid w:val="00D51386"/>
    <w:pPr>
      <w:numPr>
        <w:numId w:val="17"/>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20"/>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4"/>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20"/>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5"/>
      </w:numPr>
    </w:pPr>
  </w:style>
  <w:style w:type="paragraph" w:customStyle="1" w:styleId="AgreementParties">
    <w:name w:val="AgreementParties"/>
    <w:rsid w:val="00D51386"/>
    <w:pPr>
      <w:numPr>
        <w:numId w:val="18"/>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2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Level1">
    <w:name w:val="Level 1"/>
    <w:basedOn w:val="Normal"/>
    <w:rsid w:val="00CB3B7B"/>
    <w:pPr>
      <w:numPr>
        <w:numId w:val="28"/>
      </w:numPr>
      <w:spacing w:after="140" w:line="280" w:lineRule="atLeast"/>
      <w:jc w:val="left"/>
      <w:outlineLvl w:val="0"/>
    </w:pPr>
    <w:rPr>
      <w:rFonts w:ascii="Times New Roman" w:eastAsiaTheme="minorEastAsia" w:hAnsi="Times New Roman" w:cs="Angsana New"/>
      <w:color w:val="auto"/>
      <w:sz w:val="22"/>
      <w:szCs w:val="22"/>
      <w:lang w:eastAsia="zh-CN" w:bidi="th-TH"/>
    </w:rPr>
  </w:style>
  <w:style w:type="paragraph" w:customStyle="1" w:styleId="Level2">
    <w:name w:val="Level 2"/>
    <w:basedOn w:val="Normal"/>
    <w:rsid w:val="00CB3B7B"/>
    <w:pPr>
      <w:numPr>
        <w:ilvl w:val="1"/>
        <w:numId w:val="28"/>
      </w:numPr>
      <w:spacing w:after="140" w:line="280" w:lineRule="atLeast"/>
      <w:jc w:val="left"/>
      <w:outlineLvl w:val="1"/>
    </w:pPr>
    <w:rPr>
      <w:rFonts w:ascii="Times New Roman" w:eastAsiaTheme="minorEastAsia" w:hAnsi="Times New Roman" w:cs="Angsana New"/>
      <w:color w:val="auto"/>
      <w:sz w:val="22"/>
      <w:szCs w:val="22"/>
      <w:lang w:eastAsia="zh-CN" w:bidi="th-TH"/>
    </w:rPr>
  </w:style>
  <w:style w:type="paragraph" w:customStyle="1" w:styleId="Level3">
    <w:name w:val="Level 3"/>
    <w:basedOn w:val="Normal"/>
    <w:rsid w:val="00CB3B7B"/>
    <w:pPr>
      <w:numPr>
        <w:ilvl w:val="2"/>
        <w:numId w:val="28"/>
      </w:numPr>
      <w:tabs>
        <w:tab w:val="clear" w:pos="2041"/>
      </w:tabs>
      <w:spacing w:after="140" w:line="280" w:lineRule="atLeast"/>
      <w:jc w:val="left"/>
      <w:outlineLvl w:val="2"/>
    </w:pPr>
    <w:rPr>
      <w:rFonts w:ascii="Times New Roman" w:eastAsiaTheme="minorEastAsia" w:hAnsi="Times New Roman" w:cs="Angsana New"/>
      <w:color w:val="auto"/>
      <w:sz w:val="22"/>
      <w:szCs w:val="22"/>
      <w:lang w:eastAsia="zh-CN" w:bidi="th-TH"/>
    </w:rPr>
  </w:style>
  <w:style w:type="paragraph" w:styleId="Revision">
    <w:name w:val="Revision"/>
    <w:hidden/>
    <w:uiPriority w:val="99"/>
    <w:semiHidden/>
    <w:rsid w:val="005274BA"/>
    <w:rPr>
      <w:rFonts w:ascii="Corbel" w:hAnsi="Corbel"/>
      <w:color w:val="000000"/>
      <w:sz w:val="23"/>
    </w:rPr>
  </w:style>
  <w:style w:type="character" w:customStyle="1" w:styleId="pdftext10">
    <w:name w:val="pdf_text10"/>
    <w:basedOn w:val="DefaultParagraphFont"/>
    <w:rsid w:val="003926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604">
      <w:marLeft w:val="0"/>
      <w:marRight w:val="0"/>
      <w:marTop w:val="0"/>
      <w:marBottom w:val="0"/>
      <w:divBdr>
        <w:top w:val="none" w:sz="0" w:space="0" w:color="auto"/>
        <w:left w:val="none" w:sz="0" w:space="0" w:color="auto"/>
        <w:bottom w:val="none" w:sz="0" w:space="0" w:color="auto"/>
        <w:right w:val="none" w:sz="0" w:space="0" w:color="auto"/>
      </w:divBdr>
    </w:div>
    <w:div w:id="321659605">
      <w:marLeft w:val="0"/>
      <w:marRight w:val="0"/>
      <w:marTop w:val="0"/>
      <w:marBottom w:val="0"/>
      <w:divBdr>
        <w:top w:val="none" w:sz="0" w:space="0" w:color="auto"/>
        <w:left w:val="none" w:sz="0" w:space="0" w:color="auto"/>
        <w:bottom w:val="none" w:sz="0" w:space="0" w:color="auto"/>
        <w:right w:val="none" w:sz="0" w:space="0" w:color="auto"/>
      </w:divBdr>
    </w:div>
    <w:div w:id="321659606">
      <w:marLeft w:val="0"/>
      <w:marRight w:val="0"/>
      <w:marTop w:val="0"/>
      <w:marBottom w:val="0"/>
      <w:divBdr>
        <w:top w:val="none" w:sz="0" w:space="0" w:color="auto"/>
        <w:left w:val="none" w:sz="0" w:space="0" w:color="auto"/>
        <w:bottom w:val="none" w:sz="0" w:space="0" w:color="auto"/>
        <w:right w:val="none" w:sz="0" w:space="0" w:color="auto"/>
      </w:divBdr>
    </w:div>
    <w:div w:id="321659607">
      <w:marLeft w:val="0"/>
      <w:marRight w:val="0"/>
      <w:marTop w:val="0"/>
      <w:marBottom w:val="0"/>
      <w:divBdr>
        <w:top w:val="none" w:sz="0" w:space="0" w:color="auto"/>
        <w:left w:val="none" w:sz="0" w:space="0" w:color="auto"/>
        <w:bottom w:val="none" w:sz="0" w:space="0" w:color="auto"/>
        <w:right w:val="none" w:sz="0" w:space="0" w:color="auto"/>
      </w:divBdr>
    </w:div>
    <w:div w:id="321659608">
      <w:marLeft w:val="0"/>
      <w:marRight w:val="0"/>
      <w:marTop w:val="0"/>
      <w:marBottom w:val="0"/>
      <w:divBdr>
        <w:top w:val="none" w:sz="0" w:space="0" w:color="auto"/>
        <w:left w:val="none" w:sz="0" w:space="0" w:color="auto"/>
        <w:bottom w:val="none" w:sz="0" w:space="0" w:color="auto"/>
        <w:right w:val="none" w:sz="0" w:space="0" w:color="auto"/>
      </w:divBdr>
    </w:div>
    <w:div w:id="321659609">
      <w:marLeft w:val="0"/>
      <w:marRight w:val="0"/>
      <w:marTop w:val="0"/>
      <w:marBottom w:val="0"/>
      <w:divBdr>
        <w:top w:val="none" w:sz="0" w:space="0" w:color="auto"/>
        <w:left w:val="none" w:sz="0" w:space="0" w:color="auto"/>
        <w:bottom w:val="none" w:sz="0" w:space="0" w:color="auto"/>
        <w:right w:val="none" w:sz="0" w:space="0" w:color="auto"/>
      </w:divBdr>
    </w:div>
    <w:div w:id="7656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2020FG-64-73890</_dlc_DocId>
    <_dlc_DocIdUrl xmlns="0f563589-9cf9-4143-b1eb-fb0534803d38">
      <Url>http://tweb/sites/fg/csrd/_layouts/15/DocIdRedir.aspx?ID=2020FG-64-73890</Url>
      <Description>2020FG-64-73890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449" ma:contentTypeDescription=" " ma:contentTypeScope="" ma:versionID="55e1696c57e414f346c4151edc7cd574">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28DF31B-0E16-4419-B68F-2D025223A6DA}"/>
</file>

<file path=customXml/itemProps2.xml><?xml version="1.0" encoding="utf-8"?>
<ds:datastoreItem xmlns:ds="http://schemas.openxmlformats.org/officeDocument/2006/customXml" ds:itemID="{6C3FF16F-EE6F-4EC9-AE7B-F49F11DE3010}"/>
</file>

<file path=customXml/itemProps3.xml><?xml version="1.0" encoding="utf-8"?>
<ds:datastoreItem xmlns:ds="http://schemas.openxmlformats.org/officeDocument/2006/customXml" ds:itemID="{3FE337A1-F033-4363-A2B1-15A9581D29D3}"/>
</file>

<file path=customXml/itemProps4.xml><?xml version="1.0" encoding="utf-8"?>
<ds:datastoreItem xmlns:ds="http://schemas.openxmlformats.org/officeDocument/2006/customXml" ds:itemID="{B60E50A4-EB1D-4D95-A1A6-01F405712099}"/>
</file>

<file path=customXml/itemProps5.xml><?xml version="1.0" encoding="utf-8"?>
<ds:datastoreItem xmlns:ds="http://schemas.openxmlformats.org/officeDocument/2006/customXml" ds:itemID="{43DC538A-3D01-4C39-B359-4C4535984B6C}"/>
</file>

<file path=customXml/itemProps6.xml><?xml version="1.0" encoding="utf-8"?>
<ds:datastoreItem xmlns:ds="http://schemas.openxmlformats.org/officeDocument/2006/customXml" ds:itemID="{73852119-0EC4-455E-93CA-525F21DC175F}"/>
</file>

<file path=customXml/itemProps7.xml><?xml version="1.0" encoding="utf-8"?>
<ds:datastoreItem xmlns:ds="http://schemas.openxmlformats.org/officeDocument/2006/customXml" ds:itemID="{894C38D2-EBE3-45D9-8E9D-B6669D747458}"/>
</file>

<file path=docProps/app.xml><?xml version="1.0" encoding="utf-8"?>
<Properties xmlns="http://schemas.openxmlformats.org/officeDocument/2006/extended-properties" xmlns:vt="http://schemas.openxmlformats.org/officeDocument/2006/docPropsVTypes">
  <Template>COAG</Template>
  <TotalTime>3</TotalTime>
  <Pages>9</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Council of Australian Governments</dc:creator>
  <cp:lastModifiedBy>Sarah Chapman</cp:lastModifiedBy>
  <cp:revision>4</cp:revision>
  <cp:lastPrinted>2018-03-07T04:01:00Z</cp:lastPrinted>
  <dcterms:created xsi:type="dcterms:W3CDTF">2018-03-07T04:01:00Z</dcterms:created>
  <dcterms:modified xsi:type="dcterms:W3CDTF">2018-03-07T04:02:00Z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0x010100348D01E61E107C4DA4B97E380EA20D47005CDF45B49E80F24CAD80DFC012154DA9</vt:lpwstr>
  </property>
  <property fmtid="{D5CDD505-2E9C-101B-9397-08002B2CF9AE}" pid="7" name="TSYRecordClass">
    <vt:lpwstr>2;#TSY RA-8748 - Retain as national archives|243f2231-dbfc-4282-b24a-c9b768286bd0</vt:lpwstr>
  </property>
  <property fmtid="{D5CDD505-2E9C-101B-9397-08002B2CF9AE}" pid="8" name="RecordPoint_WorkflowType">
    <vt:lpwstr>ActiveSubmitStub</vt:lpwstr>
  </property>
  <property fmtid="{D5CDD505-2E9C-101B-9397-08002B2CF9AE}" pid="9" name="RecordPoint_ActiveItemSiteId">
    <vt:lpwstr>{a3a280d1-e8f1-4ce7-94f0-aaa2322da0dd}</vt:lpwstr>
  </property>
  <property fmtid="{D5CDD505-2E9C-101B-9397-08002B2CF9AE}" pid="10" name="RecordPoint_ActiveItemListId">
    <vt:lpwstr>{4435c73b-6585-4bc2-a76a-5d21b1a02e06}</vt:lpwstr>
  </property>
  <property fmtid="{D5CDD505-2E9C-101B-9397-08002B2CF9AE}" pid="11" name="RecordPoint_ActiveItemWebId">
    <vt:lpwstr>{a4589788-615f-4b8b-8296-7f9f6dfbab44}</vt:lpwstr>
  </property>
  <property fmtid="{D5CDD505-2E9C-101B-9397-08002B2CF9AE}" pid="12" name="_NewReviewCycle">
    <vt:lpwstr/>
  </property>
  <property fmtid="{D5CDD505-2E9C-101B-9397-08002B2CF9AE}" pid="13" name="DocHub_Year">
    <vt:lpwstr>1728;#2018|224abc7b-6f7e-4064-b773-6750976429b5</vt:lpwstr>
  </property>
  <property fmtid="{D5CDD505-2E9C-101B-9397-08002B2CF9AE}" pid="14" name="DocHub_RegionCountry">
    <vt:lpwstr/>
  </property>
  <property fmtid="{D5CDD505-2E9C-101B-9397-08002B2CF9AE}" pid="15" name="DocHub_Phase">
    <vt:lpwstr/>
  </property>
  <property fmtid="{D5CDD505-2E9C-101B-9397-08002B2CF9AE}" pid="16" name="DocHub_DocumentType">
    <vt:lpwstr>22;#Agreement|c6630c04-0bc4-43ff-8b03-b6b33ea18931</vt:lpwstr>
  </property>
  <property fmtid="{D5CDD505-2E9C-101B-9397-08002B2CF9AE}" pid="17" name="DocHub_GroupsOtherEntities">
    <vt:lpwstr/>
  </property>
  <property fmtid="{D5CDD505-2E9C-101B-9397-08002B2CF9AE}" pid="18" name="DocHub_SecurityClassification">
    <vt:lpwstr>1;#UNCLASSIFIED|6106d03b-a1a0-4e30-9d91-d5e9fb4314f9</vt:lpwstr>
  </property>
  <property fmtid="{D5CDD505-2E9C-101B-9397-08002B2CF9AE}" pid="19" name="DocHub_GovernmentEntities">
    <vt:lpwstr/>
  </property>
  <property fmtid="{D5CDD505-2E9C-101B-9397-08002B2CF9AE}" pid="20" name="DocHub_Deliverable">
    <vt:lpwstr/>
  </property>
  <property fmtid="{D5CDD505-2E9C-101B-9397-08002B2CF9AE}" pid="21" name="DocHub_OrganisationEntities">
    <vt:lpwstr/>
  </property>
  <property fmtid="{D5CDD505-2E9C-101B-9397-08002B2CF9AE}" pid="22" name="DocHub_State">
    <vt:lpwstr/>
  </property>
  <property fmtid="{D5CDD505-2E9C-101B-9397-08002B2CF9AE}" pid="23" name="DocHub_Keywords">
    <vt:lpwstr>1221;#LET|e18c8226-98f0-40d5-9d1d-34b905e47797;#1171;#KHI|87574cdd-accd-4b34-a552-e6b1d3bc5e43</vt:lpwstr>
  </property>
  <property fmtid="{D5CDD505-2E9C-101B-9397-08002B2CF9AE}" pid="24" name="DocHub_BriefingCorrespondenceType">
    <vt:lpwstr/>
  </property>
  <property fmtid="{D5CDD505-2E9C-101B-9397-08002B2CF9AE}" pid="25" name="DocHub_WorkActivity">
    <vt:lpwstr>1516;#Negotiation|5bc9a333-e725-4584-9ade-d1a396c44020</vt:lpwstr>
  </property>
  <property fmtid="{D5CDD505-2E9C-101B-9397-08002B2CF9AE}" pid="26" name="DocHub_WorkTopic">
    <vt:lpwstr>2448;#HESC negotiations|34dbf7af-3234-4dbd-972e-2aa610c82e66</vt:lpwstr>
  </property>
  <property fmtid="{D5CDD505-2E9C-101B-9397-08002B2CF9AE}" pid="27" name="RecordPoint_SubmissionDate">
    <vt:lpwstr/>
  </property>
  <property fmtid="{D5CDD505-2E9C-101B-9397-08002B2CF9AE}" pid="28" name="RecordPoint_ActiveItemMoved">
    <vt:lpwstr/>
  </property>
  <property fmtid="{D5CDD505-2E9C-101B-9397-08002B2CF9AE}" pid="29" name="RecordPoint_RecordFormat">
    <vt:lpwstr/>
  </property>
  <property fmtid="{D5CDD505-2E9C-101B-9397-08002B2CF9AE}" pid="30" name="_dlc_DocIdItemGuid">
    <vt:lpwstr>467fe566-a19a-4390-bb02-c0a7e4a163f1</vt:lpwstr>
  </property>
  <property fmtid="{D5CDD505-2E9C-101B-9397-08002B2CF9AE}" pid="31" name="RecordPoint_ActiveItemUniqueId">
    <vt:lpwstr>{467fe566-a19a-4390-bb02-c0a7e4a163f1}</vt:lpwstr>
  </property>
  <property fmtid="{D5CDD505-2E9C-101B-9397-08002B2CF9AE}" pid="32" name="RecordPoint_SubmissionCompleted">
    <vt:lpwstr>2020-05-04T08:55:29.0194151+10:00</vt:lpwstr>
  </property>
  <property fmtid="{D5CDD505-2E9C-101B-9397-08002B2CF9AE}" pid="33" name="RecordPoint_RecordNumberSubmitted">
    <vt:lpwstr>R0002260075</vt:lpwstr>
  </property>
  <property fmtid="{D5CDD505-2E9C-101B-9397-08002B2CF9AE}" pid="34" name="_AdHocReviewCycleID">
    <vt:i4>-110505994</vt:i4>
  </property>
  <property fmtid="{D5CDD505-2E9C-101B-9397-08002B2CF9AE}" pid="35" name="_EmailSubject">
    <vt:lpwstr>Signed Letter and Project Agreement-HESC [SEC=UNCLASSIFIED]</vt:lpwstr>
  </property>
  <property fmtid="{D5CDD505-2E9C-101B-9397-08002B2CF9AE}" pid="36" name="_AuthorEmail">
    <vt:lpwstr>David.Spencer@TREASURY.GOV.AU</vt:lpwstr>
  </property>
  <property fmtid="{D5CDD505-2E9C-101B-9397-08002B2CF9AE}" pid="37" name="_AuthorEmailDisplayName">
    <vt:lpwstr>Spencer, David</vt:lpwstr>
  </property>
</Properties>
</file>