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71B4DA30" w14:textId="77777777">
        <w:tc>
          <w:tcPr>
            <w:tcW w:w="5000" w:type="pct"/>
            <w:gridSpan w:val="2"/>
          </w:tcPr>
          <w:p w14:paraId="321BDB32" w14:textId="77777777" w:rsidR="00814667" w:rsidRDefault="00BA4284" w:rsidP="008B7733">
            <w:pPr>
              <w:pStyle w:val="CoverTitleMain"/>
            </w:pPr>
            <w:bookmarkStart w:id="0" w:name="_GoBack"/>
            <w:bookmarkEnd w:id="0"/>
            <w:r>
              <w:t>Project AGreement</w:t>
            </w:r>
            <w:r w:rsidR="00292587">
              <w:t xml:space="preserve"> FOR </w:t>
            </w:r>
            <w:r w:rsidR="008B7733">
              <w:t xml:space="preserve">Improving </w:t>
            </w:r>
            <w:r w:rsidR="005946AD">
              <w:t>Great Artesian Basin Drought Resilience</w:t>
            </w:r>
          </w:p>
        </w:tc>
      </w:tr>
      <w:tr w:rsidR="00814667" w14:paraId="210AD3D2" w14:textId="77777777">
        <w:tc>
          <w:tcPr>
            <w:tcW w:w="767" w:type="pct"/>
          </w:tcPr>
          <w:p w14:paraId="42235926" w14:textId="77777777" w:rsidR="00814667" w:rsidRDefault="00814667">
            <w:pPr>
              <w:pStyle w:val="SingleParagraph"/>
              <w:tabs>
                <w:tab w:val="num" w:pos="1134"/>
              </w:tabs>
              <w:spacing w:after="240"/>
              <w:ind w:left="1134" w:hanging="567"/>
            </w:pPr>
          </w:p>
        </w:tc>
        <w:tc>
          <w:tcPr>
            <w:tcW w:w="4233" w:type="pct"/>
          </w:tcPr>
          <w:p w14:paraId="611FEE6E" w14:textId="77777777" w:rsidR="00814667" w:rsidRDefault="00814667">
            <w:pPr>
              <w:pStyle w:val="SingleParagraph"/>
              <w:tabs>
                <w:tab w:val="num" w:pos="1134"/>
              </w:tabs>
              <w:spacing w:after="240"/>
              <w:ind w:left="1134" w:hanging="567"/>
            </w:pPr>
          </w:p>
        </w:tc>
      </w:tr>
      <w:tr w:rsidR="00814667" w14:paraId="6177E44C" w14:textId="77777777">
        <w:tc>
          <w:tcPr>
            <w:tcW w:w="767" w:type="pct"/>
          </w:tcPr>
          <w:p w14:paraId="376CDB4F" w14:textId="77777777" w:rsidR="00814667" w:rsidRDefault="00814667">
            <w:pPr>
              <w:pStyle w:val="SingleParagraph"/>
              <w:tabs>
                <w:tab w:val="num" w:pos="1134"/>
              </w:tabs>
              <w:spacing w:after="240"/>
              <w:ind w:left="1134" w:hanging="567"/>
            </w:pPr>
          </w:p>
        </w:tc>
        <w:tc>
          <w:tcPr>
            <w:tcW w:w="4233" w:type="pct"/>
          </w:tcPr>
          <w:p w14:paraId="66262C21" w14:textId="77777777" w:rsidR="00814667" w:rsidRPr="001E74D0" w:rsidRDefault="00814667">
            <w:pPr>
              <w:pStyle w:val="SingleParagraph"/>
              <w:tabs>
                <w:tab w:val="num" w:pos="1134"/>
              </w:tabs>
              <w:spacing w:after="240"/>
              <w:ind w:left="1134" w:hanging="567"/>
            </w:pPr>
          </w:p>
        </w:tc>
      </w:tr>
      <w:tr w:rsidR="00814667" w14:paraId="371924C8" w14:textId="77777777">
        <w:tc>
          <w:tcPr>
            <w:tcW w:w="5000" w:type="pct"/>
            <w:gridSpan w:val="2"/>
          </w:tcPr>
          <w:p w14:paraId="4F7E308B" w14:textId="77777777" w:rsidR="00814667" w:rsidRDefault="00814667">
            <w:pPr>
              <w:pStyle w:val="AgreementHeading"/>
              <w:tabs>
                <w:tab w:val="clear" w:pos="1134"/>
              </w:tabs>
            </w:pPr>
            <w:r>
              <w:t>An agreement between</w:t>
            </w:r>
            <w:r w:rsidR="00697494">
              <w:t>:</w:t>
            </w:r>
          </w:p>
        </w:tc>
      </w:tr>
      <w:tr w:rsidR="00814667" w14:paraId="76D306CA" w14:textId="77777777">
        <w:tc>
          <w:tcPr>
            <w:tcW w:w="767" w:type="pct"/>
          </w:tcPr>
          <w:p w14:paraId="5AA4CFCA" w14:textId="77777777" w:rsidR="00814667" w:rsidRPr="001E74D0" w:rsidRDefault="00814667">
            <w:pPr>
              <w:pStyle w:val="AgreementHeading"/>
              <w:tabs>
                <w:tab w:val="clear" w:pos="1134"/>
              </w:tabs>
              <w:ind w:left="522"/>
            </w:pPr>
          </w:p>
        </w:tc>
        <w:tc>
          <w:tcPr>
            <w:tcW w:w="4233" w:type="pct"/>
          </w:tcPr>
          <w:p w14:paraId="7FC46EFE"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2DE2F4B8"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7D368920" w14:textId="77777777">
        <w:tc>
          <w:tcPr>
            <w:tcW w:w="767" w:type="pct"/>
          </w:tcPr>
          <w:p w14:paraId="18B86C52" w14:textId="77777777" w:rsidR="00814667" w:rsidRDefault="00814667">
            <w:pPr>
              <w:pStyle w:val="SingleParagraph"/>
              <w:tabs>
                <w:tab w:val="num" w:pos="1134"/>
              </w:tabs>
              <w:spacing w:after="240"/>
              <w:ind w:left="1134" w:hanging="567"/>
            </w:pPr>
          </w:p>
        </w:tc>
        <w:tc>
          <w:tcPr>
            <w:tcW w:w="4233" w:type="pct"/>
            <w:tcBorders>
              <w:left w:val="nil"/>
            </w:tcBorders>
          </w:tcPr>
          <w:p w14:paraId="76203FDB" w14:textId="77777777" w:rsidR="00814667" w:rsidRDefault="00814667" w:rsidP="002D0392">
            <w:pPr>
              <w:pStyle w:val="StatesList"/>
              <w:numPr>
                <w:ilvl w:val="0"/>
                <w:numId w:val="9"/>
              </w:numPr>
              <w:tabs>
                <w:tab w:val="clear" w:pos="1134"/>
              </w:tabs>
            </w:pPr>
            <w:r>
              <w:t>New South Wales</w:t>
            </w:r>
            <w:r w:rsidR="00697494">
              <w:t>,</w:t>
            </w:r>
          </w:p>
          <w:p w14:paraId="4E3EABFE" w14:textId="77777777" w:rsidR="00814667" w:rsidRDefault="00814667" w:rsidP="002D0392">
            <w:pPr>
              <w:pStyle w:val="StatesList"/>
              <w:numPr>
                <w:ilvl w:val="0"/>
                <w:numId w:val="9"/>
              </w:numPr>
              <w:tabs>
                <w:tab w:val="clear" w:pos="1134"/>
              </w:tabs>
            </w:pPr>
            <w:r>
              <w:t>Queensland</w:t>
            </w:r>
            <w:r w:rsidR="00AC6C38">
              <w:t>,</w:t>
            </w:r>
          </w:p>
          <w:p w14:paraId="55591DCB" w14:textId="77777777" w:rsidR="00814667" w:rsidRDefault="00AC6C38" w:rsidP="002D0392">
            <w:pPr>
              <w:pStyle w:val="StatesList"/>
              <w:numPr>
                <w:ilvl w:val="0"/>
                <w:numId w:val="9"/>
              </w:numPr>
              <w:tabs>
                <w:tab w:val="clear" w:pos="1134"/>
              </w:tabs>
            </w:pPr>
            <w:r>
              <w:t xml:space="preserve">South Australia, </w:t>
            </w:r>
            <w:r w:rsidR="00726DB5">
              <w:t>and</w:t>
            </w:r>
          </w:p>
          <w:p w14:paraId="56D8CB83" w14:textId="77777777" w:rsidR="00814667" w:rsidRDefault="004B6083" w:rsidP="002D0392">
            <w:pPr>
              <w:pStyle w:val="StatesList"/>
              <w:numPr>
                <w:ilvl w:val="0"/>
                <w:numId w:val="9"/>
              </w:numPr>
            </w:pPr>
            <w:r>
              <w:t>t</w:t>
            </w:r>
            <w:r w:rsidR="00814667">
              <w:t>he Northern Territory</w:t>
            </w:r>
            <w:r w:rsidR="00726DB5">
              <w:t>.</w:t>
            </w:r>
            <w:r w:rsidR="00814667">
              <w:t xml:space="preserve"> </w:t>
            </w:r>
          </w:p>
          <w:p w14:paraId="56044777" w14:textId="77777777" w:rsidR="00EB7EDA" w:rsidRPr="00EB7EDA" w:rsidRDefault="00EB7EDA" w:rsidP="00F630EF">
            <w:pPr>
              <w:rPr>
                <w:i/>
              </w:rPr>
            </w:pPr>
          </w:p>
        </w:tc>
      </w:tr>
      <w:tr w:rsidR="00814667" w14:paraId="11C8C756" w14:textId="77777777">
        <w:tc>
          <w:tcPr>
            <w:tcW w:w="5000" w:type="pct"/>
            <w:gridSpan w:val="2"/>
          </w:tcPr>
          <w:p w14:paraId="30379C38" w14:textId="77777777" w:rsidR="00AC6C38" w:rsidRDefault="00AC6C38">
            <w:pPr>
              <w:pStyle w:val="SingleParagraph"/>
              <w:tabs>
                <w:tab w:val="num" w:pos="1134"/>
              </w:tabs>
              <w:spacing w:after="240"/>
              <w:ind w:left="1134" w:hanging="567"/>
            </w:pPr>
          </w:p>
          <w:p w14:paraId="6070D31A" w14:textId="77777777" w:rsidR="00AC6C38" w:rsidRDefault="00AC6C38">
            <w:pPr>
              <w:pStyle w:val="SingleParagraph"/>
              <w:tabs>
                <w:tab w:val="num" w:pos="1134"/>
              </w:tabs>
              <w:spacing w:after="240"/>
              <w:ind w:left="1134" w:hanging="567"/>
            </w:pPr>
          </w:p>
          <w:p w14:paraId="635F8694" w14:textId="77777777" w:rsidR="00AC6C38" w:rsidRDefault="00AC6C38">
            <w:pPr>
              <w:pStyle w:val="SingleParagraph"/>
              <w:tabs>
                <w:tab w:val="num" w:pos="1134"/>
              </w:tabs>
              <w:spacing w:after="240"/>
              <w:ind w:left="1134" w:hanging="567"/>
            </w:pPr>
          </w:p>
          <w:p w14:paraId="62BAB873" w14:textId="77777777" w:rsidR="005946AD" w:rsidRDefault="005946AD">
            <w:pPr>
              <w:pStyle w:val="SingleParagraph"/>
              <w:tabs>
                <w:tab w:val="num" w:pos="1134"/>
              </w:tabs>
              <w:spacing w:after="240"/>
              <w:ind w:left="1134" w:hanging="567"/>
            </w:pPr>
          </w:p>
          <w:p w14:paraId="30430811" w14:textId="77777777" w:rsidR="005946AD" w:rsidRDefault="005946AD">
            <w:pPr>
              <w:pStyle w:val="SingleParagraph"/>
              <w:tabs>
                <w:tab w:val="num" w:pos="1134"/>
              </w:tabs>
              <w:spacing w:after="240"/>
              <w:ind w:left="1134" w:hanging="567"/>
            </w:pPr>
          </w:p>
          <w:p w14:paraId="16994A6C" w14:textId="77777777" w:rsidR="00AC6C38" w:rsidRDefault="00AC6C38">
            <w:pPr>
              <w:pStyle w:val="SingleParagraph"/>
              <w:tabs>
                <w:tab w:val="num" w:pos="1134"/>
              </w:tabs>
              <w:spacing w:after="240"/>
              <w:ind w:left="1134" w:hanging="567"/>
            </w:pPr>
          </w:p>
        </w:tc>
      </w:tr>
      <w:tr w:rsidR="00814667" w14:paraId="6B1BD7F1" w14:textId="77777777">
        <w:tc>
          <w:tcPr>
            <w:tcW w:w="5000" w:type="pct"/>
            <w:gridSpan w:val="2"/>
          </w:tcPr>
          <w:p w14:paraId="5E93E743" w14:textId="77777777" w:rsidR="00AE0D51" w:rsidRDefault="00771FFF" w:rsidP="00AC7645">
            <w:pPr>
              <w:pStyle w:val="Abstract"/>
            </w:pPr>
            <w:r>
              <w:t xml:space="preserve">The </w:t>
            </w:r>
            <w:r w:rsidR="00DB0F81">
              <w:t>purpose</w:t>
            </w:r>
            <w:r>
              <w:t xml:space="preserve"> of this project </w:t>
            </w:r>
            <w:r w:rsidR="00DB0F81">
              <w:t xml:space="preserve">agreement is to support </w:t>
            </w:r>
            <w:r w:rsidR="00AC7645">
              <w:t>strategic investments in</w:t>
            </w:r>
            <w:r w:rsidR="005946AD">
              <w:t xml:space="preserve"> immediate and </w:t>
            </w:r>
            <w:r w:rsidR="00DB7C4B">
              <w:t>long-term</w:t>
            </w:r>
            <w:r w:rsidR="005946AD">
              <w:t xml:space="preserve"> measures that </w:t>
            </w:r>
            <w:r w:rsidR="00DB0F81">
              <w:t>improve</w:t>
            </w:r>
            <w:r w:rsidR="005946AD">
              <w:t xml:space="preserve"> water security </w:t>
            </w:r>
            <w:r w:rsidR="00AC7645">
              <w:t xml:space="preserve">and drought resilience </w:t>
            </w:r>
            <w:r w:rsidR="005946AD">
              <w:t>within the Great Artesian Basin.</w:t>
            </w:r>
          </w:p>
        </w:tc>
      </w:tr>
    </w:tbl>
    <w:p w14:paraId="26383A41"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8B7733">
        <w:t>Improving Great Artesian Basin Drought Resilience</w:t>
      </w:r>
    </w:p>
    <w:p w14:paraId="561F9346" w14:textId="77777777" w:rsidR="008B7733" w:rsidRPr="008B7733" w:rsidRDefault="008B7733" w:rsidP="008B7733">
      <w:pPr>
        <w:pStyle w:val="Subtitle"/>
      </w:pPr>
    </w:p>
    <w:p w14:paraId="1461BF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04ECCD52" w14:textId="77777777" w:rsidR="00C960AA" w:rsidRPr="0096732C" w:rsidRDefault="00C960AA" w:rsidP="002D0392">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0B8D6EDA" w14:textId="77777777" w:rsidR="0096732C" w:rsidRPr="00CD34EE"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CD34EE">
        <w:t>Purpose</w:t>
      </w:r>
    </w:p>
    <w:p w14:paraId="4BE24D2E" w14:textId="77777777" w:rsidR="00AC7645" w:rsidRPr="008466CF" w:rsidRDefault="00852ED8" w:rsidP="002D0392">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pPr>
      <w:r w:rsidRPr="008466CF">
        <w:t xml:space="preserve">This Agreement will </w:t>
      </w:r>
      <w:r w:rsidR="006146F2" w:rsidRPr="008466CF">
        <w:t>support the delivery</w:t>
      </w:r>
      <w:r w:rsidR="00AC7645" w:rsidRPr="008466CF">
        <w:t xml:space="preserve"> of strategic investments in immediate and </w:t>
      </w:r>
      <w:r w:rsidR="00DB7C4B" w:rsidRPr="008466CF">
        <w:t>long</w:t>
      </w:r>
      <w:r w:rsidR="00DB7C4B" w:rsidRPr="008466CF">
        <w:noBreakHyphen/>
        <w:t>term</w:t>
      </w:r>
      <w:r w:rsidR="00AC7645" w:rsidRPr="008466CF">
        <w:t xml:space="preserve"> measures that </w:t>
      </w:r>
      <w:r w:rsidR="00DB0F81" w:rsidRPr="008466CF">
        <w:t>improve</w:t>
      </w:r>
      <w:r w:rsidR="00AC7645" w:rsidRPr="008466CF">
        <w:t xml:space="preserve"> water security and drought resilience within the Great Artesian Basin.</w:t>
      </w:r>
    </w:p>
    <w:p w14:paraId="43B7A917" w14:textId="77777777" w:rsid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pPr>
      <w:r w:rsidRPr="0096732C">
        <w:rPr>
          <w:rFonts w:cs="Arial"/>
          <w:b/>
          <w:bCs/>
          <w:iCs/>
          <w:color w:val="3D4B67"/>
          <w:sz w:val="29"/>
          <w:szCs w:val="28"/>
        </w:rPr>
        <w:t>Reporting Arrangements</w:t>
      </w:r>
      <w:r>
        <w:t xml:space="preserve"> </w:t>
      </w:r>
    </w:p>
    <w:p w14:paraId="77DEA6DA" w14:textId="77777777" w:rsidR="0096732C" w:rsidRDefault="00BA3DD1" w:rsidP="002D0392">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w:t>
      </w:r>
      <w:r w:rsidR="0096732C">
        <w:t xml:space="preserve">against the agreed milestones during the operation of this Agreement, as set out in Part 4 – Project Milestones, Reporting and Payments. </w:t>
      </w:r>
    </w:p>
    <w:p w14:paraId="33B3EEAF" w14:textId="77777777" w:rsidR="0096732C" w:rsidRP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rPr>
          <w:rFonts w:cs="Arial"/>
          <w:b/>
          <w:bCs/>
          <w:iCs/>
          <w:color w:val="3D4B67"/>
          <w:sz w:val="29"/>
          <w:szCs w:val="28"/>
        </w:rPr>
      </w:pPr>
      <w:r w:rsidRPr="0096732C">
        <w:rPr>
          <w:rFonts w:cs="Arial"/>
          <w:b/>
          <w:bCs/>
          <w:iCs/>
          <w:color w:val="3D4B67"/>
          <w:sz w:val="29"/>
          <w:szCs w:val="28"/>
        </w:rPr>
        <w:t xml:space="preserve">Financial Arrangements </w:t>
      </w:r>
    </w:p>
    <w:p w14:paraId="18D88239" w14:textId="77777777" w:rsidR="0096732C" w:rsidRPr="00543CC1" w:rsidRDefault="0096732C" w:rsidP="002D0392">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 xml:space="preserve">of </w:t>
      </w:r>
      <w:r w:rsidR="00BA3DD1">
        <w:t xml:space="preserve">up to </w:t>
      </w:r>
      <w:r w:rsidRPr="00543CC1">
        <w:t>$</w:t>
      </w:r>
      <w:r w:rsidR="00A34106" w:rsidRPr="00543CC1">
        <w:t xml:space="preserve">27.6 </w:t>
      </w:r>
      <w:r w:rsidR="00BA3DD1" w:rsidRPr="00543CC1">
        <w:t>million,</w:t>
      </w:r>
      <w:r w:rsidR="00F234AB">
        <w:t xml:space="preserve">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45088598" w14:textId="77777777" w:rsidR="0096732C" w:rsidRPr="004B1F38" w:rsidRDefault="00A25265"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pPr>
      <w:r w:rsidDel="00A25265">
        <w:t xml:space="preserve"> </w:t>
      </w:r>
    </w:p>
    <w:p w14:paraId="72F9FD98" w14:textId="77777777" w:rsidR="00A25265" w:rsidRPr="00A25265" w:rsidRDefault="00814667" w:rsidP="00BA3DD1">
      <w:pPr>
        <w:pStyle w:val="Heading1"/>
      </w:pPr>
      <w:r>
        <w:t>Part 1 — Formalities</w:t>
      </w:r>
    </w:p>
    <w:p w14:paraId="7B82A734" w14:textId="77777777" w:rsidR="00814667" w:rsidRDefault="00814667">
      <w:pPr>
        <w:pStyle w:val="Heading2"/>
      </w:pPr>
      <w:r>
        <w:t>Parties to this Agreement</w:t>
      </w:r>
    </w:p>
    <w:p w14:paraId="5E5560D0" w14:textId="77777777" w:rsidR="00543CC1" w:rsidRDefault="00E7195E" w:rsidP="002D0392">
      <w:pPr>
        <w:pStyle w:val="Normalnumbered"/>
        <w:numPr>
          <w:ilvl w:val="0"/>
          <w:numId w:val="12"/>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w:t>
      </w:r>
      <w:r w:rsidR="001209CB" w:rsidRPr="001209CB">
        <w:t>of New South Wales,</w:t>
      </w:r>
      <w:r w:rsidR="001209CB">
        <w:t xml:space="preserve"> </w:t>
      </w:r>
      <w:r w:rsidR="001209CB" w:rsidRPr="001209CB">
        <w:t xml:space="preserve">Queensland, South Australia </w:t>
      </w:r>
      <w:r w:rsidR="00A52E03">
        <w:t xml:space="preserve">and </w:t>
      </w:r>
      <w:r w:rsidR="001209CB" w:rsidRPr="001209CB">
        <w:t>the Northern Territory (the States).</w:t>
      </w:r>
    </w:p>
    <w:p w14:paraId="0C6FED33" w14:textId="27572A23" w:rsidR="009D2694" w:rsidRPr="00543CC1" w:rsidRDefault="009D2694" w:rsidP="00543CC1">
      <w:pPr>
        <w:pStyle w:val="Normalnumbered"/>
        <w:numPr>
          <w:ilvl w:val="0"/>
          <w:numId w:val="12"/>
        </w:numPr>
        <w:rPr>
          <w:b/>
          <w:i/>
        </w:rPr>
      </w:pPr>
      <w:r>
        <w:t>Implementation of this Agreement will be consistent with the objectives and outcomes of all</w:t>
      </w:r>
      <w:r w:rsidR="003741B2">
        <w:t xml:space="preserve"> </w:t>
      </w:r>
      <w:r w:rsidR="001573E4">
        <w:t xml:space="preserve">relevant </w:t>
      </w:r>
      <w:r>
        <w:t>agreements</w:t>
      </w:r>
      <w:r w:rsidR="003741B2">
        <w:t xml:space="preserve"> </w:t>
      </w:r>
      <w:r w:rsidR="000428F6">
        <w:t xml:space="preserve">between the Parties, </w:t>
      </w:r>
      <w:r w:rsidR="003741B2">
        <w:t>such as the Project Agreement for the Interim Great Artesian Basin Infrastructure Investment Program 2019-20</w:t>
      </w:r>
      <w:r w:rsidR="000428F6">
        <w:t>,</w:t>
      </w:r>
      <w:r>
        <w:t xml:space="preserve"> the Intergovernmental Agreement on a National Water Initiative</w:t>
      </w:r>
      <w:r w:rsidR="00543CC1">
        <w:t xml:space="preserve"> </w:t>
      </w:r>
      <w:r w:rsidR="00FA3F2A">
        <w:t>and the Great Artesian Basin Strategic Management Plan</w:t>
      </w:r>
      <w:r w:rsidR="001A4DFB">
        <w:t xml:space="preserve"> (once finalised)</w:t>
      </w:r>
      <w:r>
        <w:t>.</w:t>
      </w:r>
    </w:p>
    <w:p w14:paraId="3CEB64A4" w14:textId="77777777" w:rsidR="00814667" w:rsidRDefault="00814667">
      <w:pPr>
        <w:pStyle w:val="Heading2"/>
      </w:pPr>
      <w:r>
        <w:lastRenderedPageBreak/>
        <w:t>Term of the Agreement</w:t>
      </w:r>
    </w:p>
    <w:p w14:paraId="2D80BA60" w14:textId="77777777" w:rsidR="00814667" w:rsidRPr="00DE36EB" w:rsidRDefault="00814667" w:rsidP="002D0392">
      <w:pPr>
        <w:pStyle w:val="Normalnumbered"/>
        <w:numPr>
          <w:ilvl w:val="0"/>
          <w:numId w:val="12"/>
        </w:numPr>
      </w:pPr>
      <w:r w:rsidRPr="00DE36EB">
        <w:t>This Agreement 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BA3DD1">
        <w:t>30 June 202</w:t>
      </w:r>
      <w:r w:rsidR="00BE4212">
        <w:t>4</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3E7AC3B3"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0428F6">
        <w:rPr>
          <w:rFonts w:ascii="Consolas" w:hAnsi="Consolas"/>
          <w:b w:val="0"/>
          <w:iCs w:val="0"/>
          <w:caps/>
          <w:kern w:val="32"/>
          <w:sz w:val="32"/>
          <w:szCs w:val="36"/>
        </w:rPr>
        <w:t>S</w:t>
      </w:r>
      <w:r w:rsidRPr="00784439">
        <w:rPr>
          <w:i/>
        </w:rPr>
        <w:t xml:space="preserve"> </w:t>
      </w:r>
    </w:p>
    <w:p w14:paraId="06B2872B" w14:textId="77777777" w:rsidR="00814667" w:rsidRDefault="00814667">
      <w:pPr>
        <w:pStyle w:val="Heading2"/>
      </w:pPr>
      <w:r>
        <w:t>Output</w:t>
      </w:r>
      <w:r w:rsidR="000428F6">
        <w:t>s</w:t>
      </w:r>
    </w:p>
    <w:p w14:paraId="09F827A2" w14:textId="77777777" w:rsidR="00081A01" w:rsidRDefault="00481655" w:rsidP="002D0392">
      <w:pPr>
        <w:pStyle w:val="Normalnumbered"/>
        <w:numPr>
          <w:ilvl w:val="0"/>
          <w:numId w:val="12"/>
        </w:numPr>
        <w:jc w:val="left"/>
      </w:pPr>
      <w:r>
        <w:t xml:space="preserve">To </w:t>
      </w:r>
      <w:r w:rsidR="002A7F09">
        <w:t>i</w:t>
      </w:r>
      <w:r w:rsidR="0048242D">
        <w:t xml:space="preserve">mprove drought resilience and water security </w:t>
      </w:r>
      <w:r w:rsidR="00081A01">
        <w:t>within the Great Artesian Basin</w:t>
      </w:r>
      <w:r w:rsidR="0048242D">
        <w:t>,</w:t>
      </w:r>
      <w:r>
        <w:t xml:space="preserve"> the outputs of this agreement,</w:t>
      </w:r>
      <w:r w:rsidR="002A7F09">
        <w:t xml:space="preserve"> through eligible project activities (guidance at </w:t>
      </w:r>
      <w:r w:rsidR="00DB7C4B">
        <w:t xml:space="preserve">Appendix </w:t>
      </w:r>
      <w:r w:rsidR="002A7F09">
        <w:t>A)</w:t>
      </w:r>
      <w:r>
        <w:t>, will be:</w:t>
      </w:r>
      <w:r w:rsidR="0048242D">
        <w:t xml:space="preserve"> </w:t>
      </w:r>
    </w:p>
    <w:p w14:paraId="10152F5F" w14:textId="77777777" w:rsidR="00081A01" w:rsidRDefault="0048242D" w:rsidP="002D0392">
      <w:pPr>
        <w:pStyle w:val="Normalnumbered"/>
        <w:numPr>
          <w:ilvl w:val="1"/>
          <w:numId w:val="12"/>
        </w:numPr>
        <w:jc w:val="left"/>
      </w:pPr>
      <w:r>
        <w:t xml:space="preserve">controlled bores and efficient </w:t>
      </w:r>
      <w:r w:rsidR="00656F26">
        <w:t xml:space="preserve">watering </w:t>
      </w:r>
      <w:r w:rsidR="00935896">
        <w:t xml:space="preserve">delivery </w:t>
      </w:r>
      <w:r w:rsidR="00656F26">
        <w:t>systems</w:t>
      </w:r>
      <w:r w:rsidR="00935896">
        <w:t xml:space="preserve"> that reduce water wastage and </w:t>
      </w:r>
      <w:r w:rsidR="00D410C8">
        <w:t xml:space="preserve">increase </w:t>
      </w:r>
      <w:r w:rsidR="00935896">
        <w:t>pressure</w:t>
      </w:r>
      <w:r w:rsidR="00656F26">
        <w:t>;</w:t>
      </w:r>
    </w:p>
    <w:p w14:paraId="17C707DC" w14:textId="77777777" w:rsidR="00081A01" w:rsidRDefault="00656F26" w:rsidP="002D0392">
      <w:pPr>
        <w:pStyle w:val="Normalnumbered"/>
        <w:numPr>
          <w:ilvl w:val="1"/>
          <w:numId w:val="12"/>
        </w:numPr>
        <w:jc w:val="left"/>
      </w:pPr>
      <w:r>
        <w:t>education and communication programs to assist state agencies implement new Great Artesian Basin water management arrangements;</w:t>
      </w:r>
      <w:r w:rsidR="002A7F09">
        <w:t xml:space="preserve"> </w:t>
      </w:r>
      <w:r w:rsidR="00DB7C4B">
        <w:t>and/or</w:t>
      </w:r>
    </w:p>
    <w:p w14:paraId="49854D2D" w14:textId="77777777" w:rsidR="001209CB" w:rsidRDefault="00656F26" w:rsidP="00FE730A">
      <w:pPr>
        <w:pStyle w:val="Normalnumbered"/>
        <w:numPr>
          <w:ilvl w:val="1"/>
          <w:numId w:val="12"/>
        </w:numPr>
        <w:jc w:val="left"/>
      </w:pPr>
      <w:r>
        <w:t>studies that assist with the development and implementation of new water management arrangements</w:t>
      </w:r>
      <w:r w:rsidR="00935896">
        <w:t xml:space="preserve"> within the Great Artesian Basin</w:t>
      </w:r>
      <w:r>
        <w:t>.</w:t>
      </w:r>
    </w:p>
    <w:p w14:paraId="19EE916A" w14:textId="77777777" w:rsidR="008F44F1" w:rsidRDefault="008F44F1">
      <w:pPr>
        <w:pStyle w:val="Heading1"/>
      </w:pPr>
      <w:r>
        <w:t>Part 3 — roles and responsibilities of each party</w:t>
      </w:r>
    </w:p>
    <w:p w14:paraId="704D4FB8" w14:textId="77777777" w:rsidR="008F44F1" w:rsidRDefault="008F44F1" w:rsidP="008F44F1">
      <w:pPr>
        <w:pStyle w:val="Heading2"/>
      </w:pPr>
      <w:r w:rsidRPr="00814590">
        <w:t>Role of the Commonwealth</w:t>
      </w:r>
    </w:p>
    <w:p w14:paraId="60F8393B" w14:textId="77777777" w:rsidR="008F44F1" w:rsidRDefault="008F44F1" w:rsidP="002D0392">
      <w:pPr>
        <w:pStyle w:val="Normalnumbered"/>
        <w:numPr>
          <w:ilvl w:val="0"/>
          <w:numId w:val="12"/>
        </w:numPr>
        <w:jc w:val="left"/>
      </w:pPr>
      <w:r>
        <w:t>The Commonwealth will be responsible for:</w:t>
      </w:r>
    </w:p>
    <w:p w14:paraId="2DB88226" w14:textId="77777777" w:rsidR="008F44F1" w:rsidRPr="000614F9" w:rsidRDefault="008F44F1" w:rsidP="00BD4FE3">
      <w:pPr>
        <w:pStyle w:val="Normalnumbered"/>
        <w:numPr>
          <w:ilvl w:val="1"/>
          <w:numId w:val="12"/>
        </w:numPr>
        <w:jc w:val="left"/>
      </w:pPr>
      <w:r w:rsidRPr="00BD4FE3">
        <w:t>monitoring</w:t>
      </w:r>
      <w:r w:rsidRPr="004B6083">
        <w:t xml:space="preserve"> and assessing achievement against milestones in the delivery of the </w:t>
      </w:r>
      <w:r w:rsidR="00935896">
        <w:t xml:space="preserve">Improving Great Artesian Basin Drought Resilience program </w:t>
      </w:r>
      <w:r w:rsidRPr="00BD4FE3">
        <w:t>under</w:t>
      </w:r>
      <w:r w:rsidRPr="004B6083">
        <w:t xml:space="preserve"> this Agreement to ensure that outputs are delivered within the agreed timeframe; </w:t>
      </w:r>
      <w:r w:rsidR="00A52E03">
        <w:t>and</w:t>
      </w:r>
    </w:p>
    <w:p w14:paraId="1A65ACFF" w14:textId="77777777" w:rsidR="008F44F1" w:rsidRPr="00BD4FE3" w:rsidRDefault="008F44F1" w:rsidP="00BD4FE3">
      <w:pPr>
        <w:pStyle w:val="Normalnumbered"/>
        <w:numPr>
          <w:ilvl w:val="1"/>
          <w:numId w:val="12"/>
        </w:numPr>
        <w:jc w:val="left"/>
      </w:pPr>
      <w:r w:rsidRPr="00BD4FE3">
        <w:t>providing</w:t>
      </w:r>
      <w:r w:rsidR="00F90535" w:rsidRPr="00BD4FE3">
        <w:t xml:space="preserve"> </w:t>
      </w:r>
      <w:r w:rsidRPr="00BD4FE3">
        <w:t xml:space="preserve">a consequent financial contribution to the States to support the </w:t>
      </w:r>
      <w:r w:rsidR="00DF4778" w:rsidRPr="00BD4FE3">
        <w:t>i</w:t>
      </w:r>
      <w:r w:rsidRPr="000614F9">
        <w:t>mplementation</w:t>
      </w:r>
      <w:r w:rsidRPr="00BD4FE3">
        <w:t xml:space="preserve"> of this Agreement</w:t>
      </w:r>
      <w:r w:rsidR="00A52E03" w:rsidRPr="00BD4FE3">
        <w:t>.</w:t>
      </w:r>
    </w:p>
    <w:p w14:paraId="49AA6729" w14:textId="77777777" w:rsidR="008F44F1" w:rsidRPr="00751725" w:rsidRDefault="008F44F1" w:rsidP="008F44F1">
      <w:pPr>
        <w:pStyle w:val="Heading2"/>
      </w:pPr>
      <w:r w:rsidRPr="00751725">
        <w:t xml:space="preserve">Role of the States </w:t>
      </w:r>
      <w:r>
        <w:t>and Territories</w:t>
      </w:r>
    </w:p>
    <w:p w14:paraId="29447666" w14:textId="77777777" w:rsidR="00481655" w:rsidRDefault="008F44F1" w:rsidP="00481655">
      <w:pPr>
        <w:pStyle w:val="Normalnumbered"/>
        <w:numPr>
          <w:ilvl w:val="0"/>
          <w:numId w:val="12"/>
        </w:numPr>
        <w:jc w:val="left"/>
      </w:pPr>
      <w:r w:rsidRPr="00751725">
        <w:t>The States</w:t>
      </w:r>
      <w:r w:rsidR="00545DF7">
        <w:t xml:space="preserve"> </w:t>
      </w:r>
      <w:r>
        <w:t>will be responsible for</w:t>
      </w:r>
      <w:r w:rsidR="00481655">
        <w:t>:</w:t>
      </w:r>
    </w:p>
    <w:p w14:paraId="427EED1D" w14:textId="77777777" w:rsidR="00481655" w:rsidRDefault="00180ECB" w:rsidP="00FE730A">
      <w:pPr>
        <w:pStyle w:val="Normalnumbered"/>
        <w:numPr>
          <w:ilvl w:val="1"/>
          <w:numId w:val="12"/>
        </w:numPr>
        <w:jc w:val="left"/>
      </w:pPr>
      <w:r>
        <w:t>p</w:t>
      </w:r>
      <w:r w:rsidR="00481655">
        <w:t>roviding</w:t>
      </w:r>
      <w:r>
        <w:t xml:space="preserve"> a</w:t>
      </w:r>
      <w:r w:rsidR="00481655">
        <w:t xml:space="preserve"> financial contribution to support the implementation of this Agreement</w:t>
      </w:r>
      <w:r>
        <w:t xml:space="preserve"> that at least matches the Commonwealth’s contribution</w:t>
      </w:r>
      <w:r w:rsidR="00481655">
        <w:t xml:space="preserve">; </w:t>
      </w:r>
    </w:p>
    <w:p w14:paraId="1A5B4502" w14:textId="77777777" w:rsidR="00481655" w:rsidRDefault="008F44F1" w:rsidP="00FE730A">
      <w:pPr>
        <w:pStyle w:val="Normalnumbered"/>
        <w:numPr>
          <w:ilvl w:val="1"/>
          <w:numId w:val="12"/>
        </w:numPr>
        <w:jc w:val="left"/>
      </w:pPr>
      <w:r>
        <w:t>all aspects of delivering on the project outputs set out in this Agreement</w:t>
      </w:r>
      <w:r w:rsidR="00481655">
        <w:t>; and</w:t>
      </w:r>
    </w:p>
    <w:p w14:paraId="3A731E8A" w14:textId="77777777" w:rsidR="00481655" w:rsidRDefault="00481655" w:rsidP="00FE730A">
      <w:pPr>
        <w:pStyle w:val="Normalnumbered"/>
        <w:numPr>
          <w:ilvl w:val="1"/>
          <w:numId w:val="12"/>
        </w:numPr>
        <w:jc w:val="left"/>
      </w:pPr>
      <w:r>
        <w:t>reporting on the delivery of outputs as set out in Part 4 – Project Milestones, Reporting and Payments.</w:t>
      </w:r>
    </w:p>
    <w:p w14:paraId="6D67728A" w14:textId="77777777" w:rsidR="008F44F1" w:rsidRDefault="008F44F1" w:rsidP="004F5DCD">
      <w:pPr>
        <w:pStyle w:val="Heading2"/>
      </w:pPr>
      <w:r>
        <w:t>Shared roles</w:t>
      </w:r>
    </w:p>
    <w:p w14:paraId="34A2133E" w14:textId="77777777" w:rsidR="001209CB" w:rsidRPr="001209CB" w:rsidRDefault="00605169" w:rsidP="002D0392">
      <w:pPr>
        <w:pStyle w:val="AlphaParagraph"/>
        <w:numPr>
          <w:ilvl w:val="0"/>
          <w:numId w:val="12"/>
        </w:numPr>
        <w:tabs>
          <w:tab w:val="clear" w:pos="283"/>
          <w:tab w:val="clear" w:pos="1134"/>
          <w:tab w:val="clear" w:pos="1418"/>
          <w:tab w:val="clear" w:pos="1701"/>
        </w:tabs>
      </w:pPr>
      <w:r>
        <w:t xml:space="preserve">The Commonwealth and the </w:t>
      </w:r>
      <w:r w:rsidR="00DB0F81">
        <w:t>S</w:t>
      </w:r>
      <w:r>
        <w:t>tates will be</w:t>
      </w:r>
      <w:r w:rsidR="001209CB">
        <w:t xml:space="preserve"> jointly responsible for developing and agreeing</w:t>
      </w:r>
      <w:r w:rsidR="00DB0F81">
        <w:t xml:space="preserve"> to</w:t>
      </w:r>
      <w:r w:rsidR="001209CB">
        <w:t xml:space="preserve"> bilateral schedules, in accordance with Part 4 – Project Milestones, Reporting and Payments, concurrently with or as soon as possible following the signing of this Agreement</w:t>
      </w:r>
      <w:r w:rsidR="001A7E13">
        <w:t>.</w:t>
      </w:r>
    </w:p>
    <w:p w14:paraId="48C8F5C8" w14:textId="77777777" w:rsidR="008F44F1" w:rsidRDefault="008F44F1" w:rsidP="002D0392">
      <w:pPr>
        <w:pStyle w:val="Normalnumbered"/>
        <w:numPr>
          <w:ilvl w:val="0"/>
          <w:numId w:val="12"/>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089E5B4" w14:textId="77777777" w:rsidR="007C4F31" w:rsidRPr="00F301F2" w:rsidRDefault="00814667" w:rsidP="00F301F2">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253E0162" w14:textId="311EC922" w:rsidR="001209CB" w:rsidRDefault="001A7E13" w:rsidP="002D0392">
      <w:pPr>
        <w:pStyle w:val="Normalnumbered"/>
        <w:numPr>
          <w:ilvl w:val="0"/>
          <w:numId w:val="12"/>
        </w:numPr>
        <w:jc w:val="left"/>
      </w:pPr>
      <w:r>
        <w:rPr>
          <w:color w:val="auto"/>
        </w:rPr>
        <w:t>Project</w:t>
      </w:r>
      <w:r w:rsidR="009879EC">
        <w:rPr>
          <w:color w:val="auto"/>
        </w:rPr>
        <w:t>(</w:t>
      </w:r>
      <w:r>
        <w:rPr>
          <w:color w:val="auto"/>
        </w:rPr>
        <w:t>s</w:t>
      </w:r>
      <w:r w:rsidR="009879EC">
        <w:rPr>
          <w:color w:val="auto"/>
        </w:rPr>
        <w:t>)</w:t>
      </w:r>
      <w:r w:rsidR="0020513E">
        <w:rPr>
          <w:color w:val="auto"/>
        </w:rPr>
        <w:t xml:space="preserve"> or activities</w:t>
      </w:r>
      <w:r>
        <w:rPr>
          <w:color w:val="auto"/>
        </w:rPr>
        <w:t>, m</w:t>
      </w:r>
      <w:r w:rsidRPr="004C509C">
        <w:rPr>
          <w:color w:val="auto"/>
        </w:rPr>
        <w:t>ilestones for the project</w:t>
      </w:r>
      <w:r w:rsidR="009879EC">
        <w:rPr>
          <w:color w:val="auto"/>
        </w:rPr>
        <w:t>(</w:t>
      </w:r>
      <w:r>
        <w:rPr>
          <w:color w:val="auto"/>
        </w:rPr>
        <w:t>s</w:t>
      </w:r>
      <w:r w:rsidR="009879EC">
        <w:rPr>
          <w:color w:val="auto"/>
        </w:rPr>
        <w:t>)</w:t>
      </w:r>
      <w:r w:rsidRPr="004C509C">
        <w:rPr>
          <w:color w:val="auto"/>
        </w:rPr>
        <w:t>, their relationship to the outputs</w:t>
      </w:r>
      <w:r w:rsidR="007F30D7">
        <w:rPr>
          <w:color w:val="auto"/>
        </w:rPr>
        <w:t xml:space="preserve"> in Part 2</w:t>
      </w:r>
      <w:r w:rsidRPr="004C509C">
        <w:rPr>
          <w:color w:val="auto"/>
        </w:rPr>
        <w:t>, expected completion dates, relevant reporting dates and expected payments will be outlined in bilateral Schedules to this agreement.</w:t>
      </w:r>
      <w:r w:rsidR="001209CB">
        <w:t xml:space="preserve"> </w:t>
      </w:r>
      <w:r w:rsidR="001209CB" w:rsidRPr="001209CB">
        <w:t xml:space="preserve">The Commonwealth will make payments subject to </w:t>
      </w:r>
      <w:r w:rsidR="00605169">
        <w:t>a</w:t>
      </w:r>
      <w:r w:rsidR="00C655A0">
        <w:t xml:space="preserve"> </w:t>
      </w:r>
      <w:r w:rsidR="001209CB" w:rsidRPr="001209CB">
        <w:t>performance report demonstrating the relevant milestone has been met.</w:t>
      </w:r>
    </w:p>
    <w:p w14:paraId="56C7E205" w14:textId="77777777" w:rsidR="001209CB" w:rsidRDefault="001209CB" w:rsidP="002D0392">
      <w:pPr>
        <w:pStyle w:val="Normalnumbered"/>
        <w:numPr>
          <w:ilvl w:val="0"/>
          <w:numId w:val="12"/>
        </w:numPr>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4D36B65A" w14:textId="77777777" w:rsidR="00F3245D" w:rsidRDefault="00F3245D" w:rsidP="00F3245D">
      <w:pPr>
        <w:pStyle w:val="Heading2"/>
      </w:pPr>
      <w:r>
        <w:t>Reporting arrangements</w:t>
      </w:r>
    </w:p>
    <w:p w14:paraId="46FE810C" w14:textId="77777777" w:rsidR="00FB2594" w:rsidRPr="001A7E13" w:rsidRDefault="00297862" w:rsidP="001A7E13">
      <w:pPr>
        <w:numPr>
          <w:ilvl w:val="0"/>
          <w:numId w:val="12"/>
        </w:numPr>
      </w:pPr>
      <w:r>
        <w:t xml:space="preserve">The States will provide performance </w:t>
      </w:r>
      <w:r w:rsidR="00751E2D" w:rsidRPr="004F7B44">
        <w:t>reports</w:t>
      </w:r>
      <w:r w:rsidR="00FE730A">
        <w:t xml:space="preserve"> to the Commonwealth</w:t>
      </w:r>
      <w:r w:rsidR="00751E2D" w:rsidRPr="004F7B44">
        <w:t xml:space="preserve"> </w:t>
      </w:r>
      <w:r>
        <w:t>as set out in the bilateral schedules to this</w:t>
      </w:r>
      <w:r w:rsidR="00751E2D" w:rsidRPr="004F7B44">
        <w:t xml:space="preserve"> Agreement. </w:t>
      </w:r>
    </w:p>
    <w:p w14:paraId="2CA987D8" w14:textId="77777777" w:rsidR="001A7E13" w:rsidRDefault="00751E2D" w:rsidP="002D0392">
      <w:pPr>
        <w:numPr>
          <w:ilvl w:val="0"/>
          <w:numId w:val="12"/>
        </w:numPr>
        <w:tabs>
          <w:tab w:val="left" w:pos="567"/>
        </w:tabs>
        <w:rPr>
          <w:color w:val="auto"/>
        </w:rPr>
      </w:pPr>
      <w:r w:rsidRPr="00297862">
        <w:rPr>
          <w:color w:val="auto"/>
        </w:rPr>
        <w:t>Each performance report is to</w:t>
      </w:r>
      <w:r w:rsidR="001A7E13">
        <w:rPr>
          <w:color w:val="auto"/>
        </w:rPr>
        <w:t>:</w:t>
      </w:r>
      <w:r w:rsidRPr="00297862">
        <w:rPr>
          <w:color w:val="auto"/>
        </w:rPr>
        <w:t xml:space="preserve"> </w:t>
      </w:r>
    </w:p>
    <w:p w14:paraId="7ECD452D" w14:textId="77777777" w:rsidR="001A7E13" w:rsidRDefault="001A7E13" w:rsidP="00CD34EE">
      <w:pPr>
        <w:pStyle w:val="Normalnumbered"/>
        <w:numPr>
          <w:ilvl w:val="1"/>
          <w:numId w:val="12"/>
        </w:numPr>
        <w:jc w:val="left"/>
      </w:pPr>
      <w:r w:rsidRPr="001A7E13">
        <w:t>contain a description of actual performance in the period to date against the milestones for eac</w:t>
      </w:r>
      <w:r>
        <w:t>h project;</w:t>
      </w:r>
    </w:p>
    <w:p w14:paraId="23E3DC24" w14:textId="0516EFA0" w:rsidR="00180ECB" w:rsidRPr="00CD34EE" w:rsidRDefault="00180ECB" w:rsidP="00CD34EE">
      <w:pPr>
        <w:pStyle w:val="Normalnumbered"/>
        <w:numPr>
          <w:ilvl w:val="1"/>
          <w:numId w:val="12"/>
        </w:numPr>
        <w:jc w:val="left"/>
      </w:pPr>
      <w:r>
        <w:t>demonstrate</w:t>
      </w:r>
      <w:r w:rsidRPr="00180ECB">
        <w:t xml:space="preserve"> funding contributions from the State and/or third parties </w:t>
      </w:r>
      <w:r>
        <w:t xml:space="preserve">at least matches the Commonwealth’s contribution; </w:t>
      </w:r>
    </w:p>
    <w:p w14:paraId="7781103D" w14:textId="5BF39188" w:rsidR="00751E2D" w:rsidRDefault="00605169" w:rsidP="00CD34EE">
      <w:pPr>
        <w:pStyle w:val="Normalnumbered"/>
        <w:numPr>
          <w:ilvl w:val="1"/>
          <w:numId w:val="12"/>
        </w:numPr>
        <w:jc w:val="left"/>
      </w:pPr>
      <w:r w:rsidRPr="00CD34EE">
        <w:t xml:space="preserve">include information on any issues which could adversely </w:t>
      </w:r>
      <w:r w:rsidR="00FB2594" w:rsidRPr="00CD34EE">
        <w:t xml:space="preserve">impact the delivery of the </w:t>
      </w:r>
      <w:r w:rsidR="00DB0F81" w:rsidRPr="00CD34EE">
        <w:t>Improving Great Artesian Basin Drought Resilience program;</w:t>
      </w:r>
      <w:r w:rsidR="00FB2594" w:rsidRPr="00CD34EE">
        <w:t xml:space="preserve"> and the </w:t>
      </w:r>
      <w:r w:rsidR="00A52E03" w:rsidRPr="00CD34EE">
        <w:t>S</w:t>
      </w:r>
      <w:r w:rsidR="00FB2594" w:rsidRPr="00CD34EE">
        <w:t>tate’s proposal for managing or resolving outstanding matters</w:t>
      </w:r>
      <w:r w:rsidR="00543CC1">
        <w:t>; and</w:t>
      </w:r>
    </w:p>
    <w:p w14:paraId="2D58F916" w14:textId="2A230864" w:rsidR="00543CC1" w:rsidRPr="00CD34EE" w:rsidRDefault="00543CC1" w:rsidP="00CD34EE">
      <w:pPr>
        <w:pStyle w:val="Normalnumbered"/>
        <w:numPr>
          <w:ilvl w:val="1"/>
          <w:numId w:val="12"/>
        </w:numPr>
        <w:jc w:val="left"/>
      </w:pPr>
      <w:r>
        <w:t>demonstrate how each project has contributed to achieving key outcomes of the Great Artesian Basin Strategic Management Plan</w:t>
      </w:r>
      <w:r w:rsidR="001A4DFB">
        <w:t xml:space="preserve"> (once finalised)</w:t>
      </w:r>
      <w:r>
        <w:t>.</w:t>
      </w:r>
    </w:p>
    <w:p w14:paraId="49587D76" w14:textId="77777777" w:rsidR="008E7527" w:rsidRDefault="008E7527" w:rsidP="009E093C">
      <w:pPr>
        <w:pStyle w:val="Heading1"/>
      </w:pPr>
      <w:r>
        <w:t>Part 5</w:t>
      </w:r>
      <w:r w:rsidRPr="00751725">
        <w:t xml:space="preserve"> — financial arrangements</w:t>
      </w:r>
    </w:p>
    <w:p w14:paraId="62D1E1BF" w14:textId="77777777" w:rsidR="00247D1F" w:rsidRDefault="008E7527" w:rsidP="00543CC1">
      <w:pPr>
        <w:pStyle w:val="Normalnumbered"/>
        <w:numPr>
          <w:ilvl w:val="0"/>
          <w:numId w:val="12"/>
        </w:numPr>
      </w:pPr>
      <w:r w:rsidRPr="000E48C3">
        <w:t xml:space="preserve">The Commonwealth will </w:t>
      </w:r>
      <w:r>
        <w:t>provide</w:t>
      </w:r>
      <w:r w:rsidRPr="000E48C3">
        <w:t xml:space="preserve"> a</w:t>
      </w:r>
      <w:r w:rsidR="002E144A">
        <w:t>n estimated</w:t>
      </w:r>
      <w:r>
        <w:t xml:space="preserve"> total</w:t>
      </w:r>
      <w:r w:rsidRPr="000E48C3">
        <w:t xml:space="preserve"> financial contribution </w:t>
      </w:r>
      <w:r w:rsidR="001209CB" w:rsidRPr="001209CB">
        <w:t xml:space="preserve">to the </w:t>
      </w:r>
      <w:r w:rsidR="00CA3E24">
        <w:t xml:space="preserve">states for the </w:t>
      </w:r>
      <w:r w:rsidR="001209CB" w:rsidRPr="001209CB">
        <w:t xml:space="preserve">project of up to </w:t>
      </w:r>
      <w:r w:rsidRPr="00CD526B">
        <w:t>$</w:t>
      </w:r>
      <w:r w:rsidR="00A34106">
        <w:t>27.6</w:t>
      </w:r>
      <w:r w:rsidR="00E2026C">
        <w:t xml:space="preserve"> million</w:t>
      </w:r>
      <w:r>
        <w:t xml:space="preserve"> in respect of this Agreement. </w:t>
      </w:r>
      <w:r w:rsidRPr="000E48C3">
        <w:t xml:space="preserve"> </w:t>
      </w:r>
      <w:r>
        <w:t>All payments are GST exclusive.</w:t>
      </w:r>
      <w:r w:rsidR="009879EC">
        <w:t xml:space="preserve"> </w:t>
      </w:r>
    </w:p>
    <w:p w14:paraId="28CE39F9" w14:textId="77777777" w:rsidR="008E7527" w:rsidRDefault="005A5E7A" w:rsidP="002D0392">
      <w:pPr>
        <w:pStyle w:val="Normalnumbered"/>
        <w:numPr>
          <w:ilvl w:val="0"/>
          <w:numId w:val="12"/>
        </w:numPr>
      </w:pPr>
      <w:r>
        <w:t>T</w:t>
      </w:r>
      <w:r w:rsidR="008E7527" w:rsidRPr="002B7E1B">
        <w:t>he Commonwealth’s funding contribution will not be reduced where the States secure funding from other activity partners</w:t>
      </w:r>
      <w:r w:rsidR="002E144A">
        <w:t>.</w:t>
      </w:r>
    </w:p>
    <w:p w14:paraId="0A92DA48" w14:textId="77777777" w:rsidR="008E7527" w:rsidRDefault="008E7527" w:rsidP="002D0392">
      <w:pPr>
        <w:pStyle w:val="Normalnumbered"/>
        <w:keepNext/>
        <w:keepLines/>
        <w:numPr>
          <w:ilvl w:val="0"/>
          <w:numId w:val="12"/>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0F6B1D">
        <w:t>1</w:t>
      </w:r>
      <w:r w:rsidRPr="00751725">
        <w:t>.</w:t>
      </w:r>
    </w:p>
    <w:p w14:paraId="3ECCA0F2" w14:textId="77777777" w:rsidR="00512A51" w:rsidRDefault="00512A51" w:rsidP="00E204BB">
      <w:pPr>
        <w:pStyle w:val="Normalnumbered"/>
        <w:tabs>
          <w:tab w:val="clear" w:pos="360"/>
        </w:tabs>
        <w:ind w:left="0" w:firstLine="0"/>
        <w:rPr>
          <w:b/>
        </w:rPr>
      </w:pPr>
    </w:p>
    <w:p w14:paraId="4B4744DF" w14:textId="77777777" w:rsidR="00512A51" w:rsidRDefault="00512A51" w:rsidP="00E204BB">
      <w:pPr>
        <w:pStyle w:val="Normalnumbered"/>
        <w:tabs>
          <w:tab w:val="clear" w:pos="360"/>
        </w:tabs>
        <w:ind w:left="0" w:firstLine="0"/>
        <w:rPr>
          <w:b/>
        </w:rPr>
      </w:pPr>
    </w:p>
    <w:p w14:paraId="0829FA81" w14:textId="77777777" w:rsidR="00512A51" w:rsidRDefault="00512A51" w:rsidP="00E204BB">
      <w:pPr>
        <w:pStyle w:val="Normalnumbered"/>
        <w:tabs>
          <w:tab w:val="clear" w:pos="360"/>
        </w:tabs>
        <w:ind w:left="0" w:firstLine="0"/>
        <w:rPr>
          <w:b/>
        </w:rPr>
      </w:pPr>
    </w:p>
    <w:p w14:paraId="4D7BD206" w14:textId="77777777" w:rsidR="00512A51" w:rsidRDefault="00512A51" w:rsidP="00E204BB">
      <w:pPr>
        <w:pStyle w:val="Normalnumbered"/>
        <w:tabs>
          <w:tab w:val="clear" w:pos="360"/>
        </w:tabs>
        <w:ind w:left="0" w:firstLine="0"/>
        <w:rPr>
          <w:b/>
        </w:rPr>
      </w:pPr>
    </w:p>
    <w:p w14:paraId="37CAB0CB" w14:textId="77777777" w:rsidR="008E7527" w:rsidRDefault="00E204BB" w:rsidP="00E204BB">
      <w:pPr>
        <w:pStyle w:val="Normalnumbered"/>
        <w:tabs>
          <w:tab w:val="clear" w:pos="360"/>
        </w:tabs>
        <w:ind w:left="0" w:firstLine="0"/>
        <w:rPr>
          <w:b/>
        </w:rPr>
      </w:pPr>
      <w:r>
        <w:rPr>
          <w:b/>
        </w:rPr>
        <w:t xml:space="preserve">Table </w:t>
      </w:r>
      <w:r w:rsidR="001209CB">
        <w:rPr>
          <w:b/>
        </w:rPr>
        <w:t>1</w:t>
      </w:r>
      <w:r w:rsidR="008E7527" w:rsidRPr="00E204BB">
        <w:rPr>
          <w:b/>
        </w:rPr>
        <w:t xml:space="preserve">: Estimated financial contributions </w:t>
      </w:r>
    </w:p>
    <w:tbl>
      <w:tblPr>
        <w:tblW w:w="0" w:type="auto"/>
        <w:tblLook w:val="01E0" w:firstRow="1" w:lastRow="1" w:firstColumn="1" w:lastColumn="1" w:noHBand="0" w:noVBand="0"/>
      </w:tblPr>
      <w:tblGrid>
        <w:gridCol w:w="3398"/>
        <w:gridCol w:w="1194"/>
        <w:gridCol w:w="1013"/>
        <w:gridCol w:w="1009"/>
        <w:gridCol w:w="1014"/>
        <w:gridCol w:w="1010"/>
        <w:gridCol w:w="1000"/>
      </w:tblGrid>
      <w:tr w:rsidR="00782939" w14:paraId="130BF161" w14:textId="77777777" w:rsidTr="00405575">
        <w:trPr>
          <w:cantSplit/>
          <w:trHeight w:val="375"/>
        </w:trPr>
        <w:tc>
          <w:tcPr>
            <w:tcW w:w="3398" w:type="dxa"/>
            <w:tcBorders>
              <w:top w:val="single" w:sz="4" w:space="0" w:color="auto"/>
              <w:bottom w:val="single" w:sz="4" w:space="0" w:color="auto"/>
            </w:tcBorders>
          </w:tcPr>
          <w:p w14:paraId="75ED2EC4" w14:textId="77777777" w:rsidR="00782939" w:rsidRPr="00C2711B" w:rsidRDefault="00782939" w:rsidP="00782939">
            <w:pPr>
              <w:keepNext/>
              <w:keepLines/>
              <w:spacing w:before="40" w:after="40"/>
              <w:jc w:val="left"/>
              <w:rPr>
                <w:b/>
              </w:rPr>
            </w:pPr>
            <w:r w:rsidRPr="00C2711B">
              <w:rPr>
                <w:b/>
              </w:rPr>
              <w:t>($ million)</w:t>
            </w:r>
          </w:p>
        </w:tc>
        <w:tc>
          <w:tcPr>
            <w:tcW w:w="1194" w:type="dxa"/>
            <w:tcBorders>
              <w:top w:val="single" w:sz="4" w:space="0" w:color="auto"/>
              <w:bottom w:val="single" w:sz="4" w:space="0" w:color="auto"/>
            </w:tcBorders>
          </w:tcPr>
          <w:p w14:paraId="2727F8EF" w14:textId="77777777" w:rsidR="00782939" w:rsidRDefault="00782939" w:rsidP="00782939">
            <w:pPr>
              <w:keepNext/>
              <w:keepLines/>
              <w:spacing w:before="40" w:after="40"/>
              <w:jc w:val="right"/>
            </w:pPr>
            <w:r>
              <w:t>2019-20</w:t>
            </w:r>
          </w:p>
        </w:tc>
        <w:tc>
          <w:tcPr>
            <w:tcW w:w="1013" w:type="dxa"/>
            <w:tcBorders>
              <w:top w:val="single" w:sz="4" w:space="0" w:color="auto"/>
              <w:bottom w:val="single" w:sz="4" w:space="0" w:color="auto"/>
            </w:tcBorders>
          </w:tcPr>
          <w:p w14:paraId="4385B9AC" w14:textId="77777777" w:rsidR="00782939" w:rsidRDefault="00782939" w:rsidP="00782939">
            <w:pPr>
              <w:keepNext/>
              <w:keepLines/>
              <w:spacing w:before="40" w:after="40"/>
              <w:jc w:val="right"/>
            </w:pPr>
            <w:r>
              <w:t>2020-21</w:t>
            </w:r>
          </w:p>
        </w:tc>
        <w:tc>
          <w:tcPr>
            <w:tcW w:w="1009" w:type="dxa"/>
            <w:tcBorders>
              <w:top w:val="single" w:sz="4" w:space="0" w:color="auto"/>
              <w:bottom w:val="single" w:sz="4" w:space="0" w:color="auto"/>
            </w:tcBorders>
          </w:tcPr>
          <w:p w14:paraId="7C30D4F2" w14:textId="77777777" w:rsidR="00782939" w:rsidRDefault="00782939" w:rsidP="00782939">
            <w:pPr>
              <w:keepNext/>
              <w:keepLines/>
              <w:spacing w:before="40" w:after="40"/>
              <w:jc w:val="right"/>
            </w:pPr>
            <w:r>
              <w:t>2021-22</w:t>
            </w:r>
          </w:p>
        </w:tc>
        <w:tc>
          <w:tcPr>
            <w:tcW w:w="1014" w:type="dxa"/>
            <w:tcBorders>
              <w:top w:val="single" w:sz="4" w:space="0" w:color="auto"/>
              <w:bottom w:val="single" w:sz="4" w:space="0" w:color="auto"/>
            </w:tcBorders>
          </w:tcPr>
          <w:p w14:paraId="78664378" w14:textId="77777777" w:rsidR="00782939" w:rsidRDefault="00782939" w:rsidP="00782939">
            <w:pPr>
              <w:keepNext/>
              <w:keepLines/>
              <w:spacing w:before="40" w:after="40"/>
            </w:pPr>
            <w:r>
              <w:t>2022-23</w:t>
            </w:r>
          </w:p>
        </w:tc>
        <w:tc>
          <w:tcPr>
            <w:tcW w:w="1010" w:type="dxa"/>
            <w:tcBorders>
              <w:top w:val="single" w:sz="4" w:space="0" w:color="auto"/>
              <w:bottom w:val="single" w:sz="4" w:space="0" w:color="auto"/>
            </w:tcBorders>
          </w:tcPr>
          <w:p w14:paraId="063740AB" w14:textId="77777777" w:rsidR="00782939" w:rsidRDefault="00782939" w:rsidP="00782939">
            <w:pPr>
              <w:keepNext/>
              <w:keepLines/>
              <w:spacing w:before="40" w:after="40"/>
            </w:pPr>
            <w:r>
              <w:t>2023-24</w:t>
            </w:r>
          </w:p>
        </w:tc>
        <w:tc>
          <w:tcPr>
            <w:tcW w:w="1000" w:type="dxa"/>
            <w:tcBorders>
              <w:top w:val="single" w:sz="4" w:space="0" w:color="auto"/>
              <w:bottom w:val="single" w:sz="4" w:space="0" w:color="auto"/>
            </w:tcBorders>
          </w:tcPr>
          <w:p w14:paraId="10B88D28" w14:textId="77777777" w:rsidR="00782939" w:rsidRDefault="00782939" w:rsidP="00A25EA3">
            <w:pPr>
              <w:keepNext/>
              <w:keepLines/>
              <w:spacing w:before="40" w:after="40"/>
            </w:pPr>
            <w:r>
              <w:t xml:space="preserve">      Total</w:t>
            </w:r>
          </w:p>
        </w:tc>
      </w:tr>
      <w:tr w:rsidR="00782939" w:rsidRPr="0060444E" w14:paraId="7F5D8D7E" w14:textId="77777777" w:rsidTr="00405575">
        <w:trPr>
          <w:cantSplit/>
          <w:trHeight w:val="240"/>
        </w:trPr>
        <w:tc>
          <w:tcPr>
            <w:tcW w:w="3398" w:type="dxa"/>
            <w:tcBorders>
              <w:top w:val="single" w:sz="4" w:space="0" w:color="auto"/>
              <w:bottom w:val="single" w:sz="4" w:space="0" w:color="auto"/>
            </w:tcBorders>
          </w:tcPr>
          <w:p w14:paraId="4C37D268" w14:textId="77777777" w:rsidR="00782939" w:rsidRPr="005B4C1B" w:rsidRDefault="00782939" w:rsidP="00782939">
            <w:pPr>
              <w:keepNext/>
              <w:keepLines/>
              <w:spacing w:before="60" w:after="60"/>
              <w:rPr>
                <w:b/>
              </w:rPr>
            </w:pPr>
            <w:r w:rsidRPr="005B4C1B">
              <w:rPr>
                <w:b/>
              </w:rPr>
              <w:t>Estimated total budget</w:t>
            </w:r>
          </w:p>
        </w:tc>
        <w:tc>
          <w:tcPr>
            <w:tcW w:w="1194" w:type="dxa"/>
            <w:tcBorders>
              <w:top w:val="single" w:sz="4" w:space="0" w:color="auto"/>
              <w:bottom w:val="single" w:sz="4" w:space="0" w:color="auto"/>
            </w:tcBorders>
            <w:shd w:val="clear" w:color="auto" w:fill="auto"/>
          </w:tcPr>
          <w:p w14:paraId="148FB427" w14:textId="77777777" w:rsidR="00782939" w:rsidRPr="0060444E" w:rsidRDefault="00512A51" w:rsidP="00782939">
            <w:pPr>
              <w:keepNext/>
              <w:keepLines/>
              <w:spacing w:before="40" w:after="40"/>
              <w:jc w:val="center"/>
              <w:rPr>
                <w:b/>
              </w:rPr>
            </w:pPr>
            <w:r>
              <w:rPr>
                <w:b/>
              </w:rPr>
              <w:t>7.2</w:t>
            </w:r>
          </w:p>
        </w:tc>
        <w:tc>
          <w:tcPr>
            <w:tcW w:w="1013" w:type="dxa"/>
            <w:tcBorders>
              <w:top w:val="single" w:sz="4" w:space="0" w:color="auto"/>
              <w:bottom w:val="single" w:sz="4" w:space="0" w:color="auto"/>
            </w:tcBorders>
          </w:tcPr>
          <w:p w14:paraId="67FF03DF" w14:textId="77777777" w:rsidR="00782939" w:rsidRPr="0060444E" w:rsidRDefault="00512A51" w:rsidP="00782939">
            <w:pPr>
              <w:keepNext/>
              <w:keepLines/>
              <w:spacing w:before="40" w:after="40"/>
              <w:jc w:val="center"/>
              <w:rPr>
                <w:b/>
              </w:rPr>
            </w:pPr>
            <w:r>
              <w:rPr>
                <w:b/>
              </w:rPr>
              <w:t>12.0</w:t>
            </w:r>
          </w:p>
        </w:tc>
        <w:tc>
          <w:tcPr>
            <w:tcW w:w="1009" w:type="dxa"/>
            <w:tcBorders>
              <w:top w:val="single" w:sz="4" w:space="0" w:color="auto"/>
              <w:bottom w:val="single" w:sz="4" w:space="0" w:color="auto"/>
            </w:tcBorders>
          </w:tcPr>
          <w:p w14:paraId="3D447BB2" w14:textId="77777777" w:rsidR="00782939" w:rsidRPr="0060444E" w:rsidRDefault="00512A51" w:rsidP="00782939">
            <w:pPr>
              <w:keepNext/>
              <w:keepLines/>
              <w:spacing w:before="40" w:after="40"/>
              <w:jc w:val="center"/>
              <w:rPr>
                <w:b/>
              </w:rPr>
            </w:pPr>
            <w:r>
              <w:rPr>
                <w:b/>
              </w:rPr>
              <w:t>12.0</w:t>
            </w:r>
          </w:p>
        </w:tc>
        <w:tc>
          <w:tcPr>
            <w:tcW w:w="1014" w:type="dxa"/>
            <w:tcBorders>
              <w:top w:val="single" w:sz="4" w:space="0" w:color="auto"/>
              <w:bottom w:val="single" w:sz="4" w:space="0" w:color="auto"/>
            </w:tcBorders>
          </w:tcPr>
          <w:p w14:paraId="074A34E8" w14:textId="77777777" w:rsidR="00782939" w:rsidRPr="0060444E" w:rsidRDefault="00512A51" w:rsidP="00782939">
            <w:pPr>
              <w:keepNext/>
              <w:keepLines/>
              <w:spacing w:before="40" w:after="40"/>
              <w:jc w:val="center"/>
              <w:rPr>
                <w:b/>
              </w:rPr>
            </w:pPr>
            <w:r>
              <w:rPr>
                <w:b/>
              </w:rPr>
              <w:t>16.0</w:t>
            </w:r>
          </w:p>
        </w:tc>
        <w:tc>
          <w:tcPr>
            <w:tcW w:w="1010" w:type="dxa"/>
            <w:tcBorders>
              <w:top w:val="single" w:sz="4" w:space="0" w:color="auto"/>
              <w:bottom w:val="single" w:sz="4" w:space="0" w:color="auto"/>
            </w:tcBorders>
          </w:tcPr>
          <w:p w14:paraId="44DC6892" w14:textId="77777777" w:rsidR="00782939" w:rsidRPr="0060444E" w:rsidRDefault="00512A51" w:rsidP="00782939">
            <w:pPr>
              <w:keepNext/>
              <w:keepLines/>
              <w:spacing w:before="40" w:after="40"/>
              <w:jc w:val="center"/>
              <w:rPr>
                <w:b/>
              </w:rPr>
            </w:pPr>
            <w:r>
              <w:rPr>
                <w:b/>
              </w:rPr>
              <w:t>8.0</w:t>
            </w:r>
          </w:p>
        </w:tc>
        <w:tc>
          <w:tcPr>
            <w:tcW w:w="1000" w:type="dxa"/>
            <w:tcBorders>
              <w:top w:val="single" w:sz="4" w:space="0" w:color="auto"/>
              <w:bottom w:val="single" w:sz="4" w:space="0" w:color="auto"/>
            </w:tcBorders>
          </w:tcPr>
          <w:p w14:paraId="56A47D08" w14:textId="77777777" w:rsidR="00782939" w:rsidRPr="0060444E" w:rsidRDefault="00512A51" w:rsidP="00B240CE">
            <w:pPr>
              <w:keepNext/>
              <w:keepLines/>
              <w:spacing w:before="40" w:after="40"/>
              <w:jc w:val="right"/>
              <w:rPr>
                <w:b/>
              </w:rPr>
            </w:pPr>
            <w:r>
              <w:rPr>
                <w:b/>
              </w:rPr>
              <w:t>55.2</w:t>
            </w:r>
          </w:p>
        </w:tc>
      </w:tr>
      <w:tr w:rsidR="00E836FE" w:rsidRPr="0060444E" w14:paraId="2A3D468E" w14:textId="77777777" w:rsidTr="00405575">
        <w:trPr>
          <w:cantSplit/>
          <w:trHeight w:val="240"/>
        </w:trPr>
        <w:tc>
          <w:tcPr>
            <w:tcW w:w="3398" w:type="dxa"/>
            <w:tcBorders>
              <w:top w:val="single" w:sz="4" w:space="0" w:color="auto"/>
              <w:bottom w:val="single" w:sz="4" w:space="0" w:color="auto"/>
            </w:tcBorders>
          </w:tcPr>
          <w:p w14:paraId="430A2910" w14:textId="77777777" w:rsidR="00E836FE" w:rsidRPr="005B4C1B" w:rsidRDefault="00E836FE" w:rsidP="00782939">
            <w:pPr>
              <w:keepNext/>
              <w:keepLines/>
              <w:spacing w:before="60" w:after="60"/>
              <w:rPr>
                <w:b/>
              </w:rPr>
            </w:pPr>
            <w:r>
              <w:rPr>
                <w:b/>
              </w:rPr>
              <w:t>Less estimated National Partnership  Payments</w:t>
            </w:r>
            <w:r w:rsidR="00A25EA3" w:rsidRPr="00405575">
              <w:rPr>
                <w:b/>
                <w:vertAlign w:val="superscript"/>
              </w:rPr>
              <w:t>(a)</w:t>
            </w:r>
          </w:p>
        </w:tc>
        <w:tc>
          <w:tcPr>
            <w:tcW w:w="1194" w:type="dxa"/>
            <w:tcBorders>
              <w:top w:val="single" w:sz="4" w:space="0" w:color="auto"/>
              <w:bottom w:val="single" w:sz="4" w:space="0" w:color="auto"/>
            </w:tcBorders>
            <w:shd w:val="clear" w:color="auto" w:fill="auto"/>
          </w:tcPr>
          <w:p w14:paraId="77D62240" w14:textId="77777777" w:rsidR="00E836FE" w:rsidRPr="00CA22E4" w:rsidRDefault="00512A51" w:rsidP="00782939">
            <w:pPr>
              <w:keepNext/>
              <w:keepLines/>
              <w:spacing w:before="40" w:after="40"/>
              <w:jc w:val="center"/>
              <w:rPr>
                <w:b/>
              </w:rPr>
            </w:pPr>
            <w:r>
              <w:rPr>
                <w:b/>
              </w:rPr>
              <w:t>3.6</w:t>
            </w:r>
          </w:p>
        </w:tc>
        <w:tc>
          <w:tcPr>
            <w:tcW w:w="1013" w:type="dxa"/>
            <w:tcBorders>
              <w:top w:val="single" w:sz="4" w:space="0" w:color="auto"/>
              <w:bottom w:val="single" w:sz="4" w:space="0" w:color="auto"/>
            </w:tcBorders>
          </w:tcPr>
          <w:p w14:paraId="6CECF07A" w14:textId="77777777" w:rsidR="00E836FE" w:rsidRDefault="00512A51" w:rsidP="00364780">
            <w:pPr>
              <w:keepNext/>
              <w:keepLines/>
              <w:spacing w:before="40" w:after="40"/>
              <w:jc w:val="center"/>
              <w:rPr>
                <w:b/>
              </w:rPr>
            </w:pPr>
            <w:r>
              <w:rPr>
                <w:b/>
              </w:rPr>
              <w:t>6.0</w:t>
            </w:r>
          </w:p>
        </w:tc>
        <w:tc>
          <w:tcPr>
            <w:tcW w:w="1009" w:type="dxa"/>
            <w:tcBorders>
              <w:top w:val="single" w:sz="4" w:space="0" w:color="auto"/>
              <w:bottom w:val="single" w:sz="4" w:space="0" w:color="auto"/>
            </w:tcBorders>
          </w:tcPr>
          <w:p w14:paraId="58D262A4" w14:textId="77777777" w:rsidR="00E836FE" w:rsidRDefault="00512A51" w:rsidP="00782939">
            <w:pPr>
              <w:keepNext/>
              <w:keepLines/>
              <w:spacing w:before="40" w:after="40"/>
              <w:jc w:val="center"/>
              <w:rPr>
                <w:b/>
              </w:rPr>
            </w:pPr>
            <w:r>
              <w:rPr>
                <w:b/>
              </w:rPr>
              <w:t>6.0</w:t>
            </w:r>
          </w:p>
        </w:tc>
        <w:tc>
          <w:tcPr>
            <w:tcW w:w="1014" w:type="dxa"/>
            <w:tcBorders>
              <w:top w:val="single" w:sz="4" w:space="0" w:color="auto"/>
              <w:bottom w:val="single" w:sz="4" w:space="0" w:color="auto"/>
            </w:tcBorders>
          </w:tcPr>
          <w:p w14:paraId="1A1F2431" w14:textId="77777777" w:rsidR="00E836FE" w:rsidRDefault="00512A51" w:rsidP="00E2026C">
            <w:pPr>
              <w:keepNext/>
              <w:keepLines/>
              <w:spacing w:before="40" w:after="40"/>
              <w:jc w:val="center"/>
              <w:rPr>
                <w:b/>
              </w:rPr>
            </w:pPr>
            <w:r>
              <w:rPr>
                <w:b/>
              </w:rPr>
              <w:t>8.0</w:t>
            </w:r>
          </w:p>
        </w:tc>
        <w:tc>
          <w:tcPr>
            <w:tcW w:w="1010" w:type="dxa"/>
            <w:tcBorders>
              <w:top w:val="single" w:sz="4" w:space="0" w:color="auto"/>
              <w:bottom w:val="single" w:sz="4" w:space="0" w:color="auto"/>
            </w:tcBorders>
          </w:tcPr>
          <w:p w14:paraId="37BC33E2" w14:textId="77777777" w:rsidR="00E836FE" w:rsidRDefault="00512A51" w:rsidP="00782939">
            <w:pPr>
              <w:keepNext/>
              <w:keepLines/>
              <w:spacing w:before="40" w:after="40"/>
              <w:jc w:val="center"/>
              <w:rPr>
                <w:b/>
              </w:rPr>
            </w:pPr>
            <w:r>
              <w:rPr>
                <w:b/>
              </w:rPr>
              <w:t>4.0</w:t>
            </w:r>
          </w:p>
        </w:tc>
        <w:tc>
          <w:tcPr>
            <w:tcW w:w="1000" w:type="dxa"/>
            <w:tcBorders>
              <w:top w:val="single" w:sz="4" w:space="0" w:color="auto"/>
              <w:bottom w:val="single" w:sz="4" w:space="0" w:color="auto"/>
            </w:tcBorders>
          </w:tcPr>
          <w:p w14:paraId="4A1F34E6" w14:textId="77777777" w:rsidR="00E836FE" w:rsidRDefault="00512A51" w:rsidP="00B240CE">
            <w:pPr>
              <w:keepNext/>
              <w:keepLines/>
              <w:spacing w:before="40" w:after="40"/>
              <w:jc w:val="right"/>
              <w:rPr>
                <w:b/>
              </w:rPr>
            </w:pPr>
            <w:r>
              <w:rPr>
                <w:b/>
              </w:rPr>
              <w:t>27.6</w:t>
            </w:r>
          </w:p>
        </w:tc>
      </w:tr>
      <w:tr w:rsidR="00E836FE" w:rsidRPr="0060444E" w14:paraId="3D3F98F2" w14:textId="77777777" w:rsidTr="00405575">
        <w:trPr>
          <w:cantSplit/>
          <w:trHeight w:val="240"/>
        </w:trPr>
        <w:tc>
          <w:tcPr>
            <w:tcW w:w="3398" w:type="dxa"/>
            <w:tcBorders>
              <w:top w:val="single" w:sz="4" w:space="0" w:color="auto"/>
              <w:bottom w:val="single" w:sz="4" w:space="0" w:color="auto"/>
            </w:tcBorders>
          </w:tcPr>
          <w:p w14:paraId="0BC877C0" w14:textId="77777777" w:rsidR="00E836FE" w:rsidRDefault="00E836FE" w:rsidP="00782939">
            <w:pPr>
              <w:keepNext/>
              <w:keepLines/>
              <w:spacing w:before="60" w:after="60"/>
              <w:rPr>
                <w:b/>
              </w:rPr>
            </w:pPr>
            <w:r w:rsidRPr="00B64A8C">
              <w:rPr>
                <w:b/>
              </w:rPr>
              <w:t>Balance of non-Commonwealth contributions</w:t>
            </w:r>
            <w:r w:rsidR="00A25EA3" w:rsidRPr="00405575">
              <w:rPr>
                <w:b/>
                <w:vertAlign w:val="superscript"/>
              </w:rPr>
              <w:t>(b)</w:t>
            </w:r>
          </w:p>
        </w:tc>
        <w:tc>
          <w:tcPr>
            <w:tcW w:w="1194" w:type="dxa"/>
            <w:tcBorders>
              <w:top w:val="single" w:sz="4" w:space="0" w:color="auto"/>
              <w:bottom w:val="single" w:sz="4" w:space="0" w:color="auto"/>
            </w:tcBorders>
            <w:shd w:val="clear" w:color="auto" w:fill="auto"/>
          </w:tcPr>
          <w:p w14:paraId="24A6C323" w14:textId="77777777" w:rsidR="00E836FE" w:rsidRDefault="00512A51" w:rsidP="00782939">
            <w:pPr>
              <w:keepNext/>
              <w:keepLines/>
              <w:spacing w:before="40" w:after="40"/>
              <w:jc w:val="center"/>
              <w:rPr>
                <w:b/>
              </w:rPr>
            </w:pPr>
            <w:r>
              <w:rPr>
                <w:b/>
              </w:rPr>
              <w:t>3.6</w:t>
            </w:r>
          </w:p>
        </w:tc>
        <w:tc>
          <w:tcPr>
            <w:tcW w:w="1013" w:type="dxa"/>
            <w:tcBorders>
              <w:top w:val="single" w:sz="4" w:space="0" w:color="auto"/>
              <w:bottom w:val="single" w:sz="4" w:space="0" w:color="auto"/>
            </w:tcBorders>
          </w:tcPr>
          <w:p w14:paraId="2C98ED02" w14:textId="77777777" w:rsidR="00E836FE" w:rsidRDefault="00512A51" w:rsidP="00364780">
            <w:pPr>
              <w:keepNext/>
              <w:keepLines/>
              <w:spacing w:before="40" w:after="40"/>
              <w:jc w:val="center"/>
              <w:rPr>
                <w:b/>
              </w:rPr>
            </w:pPr>
            <w:r>
              <w:rPr>
                <w:b/>
              </w:rPr>
              <w:t>6.0</w:t>
            </w:r>
          </w:p>
        </w:tc>
        <w:tc>
          <w:tcPr>
            <w:tcW w:w="1009" w:type="dxa"/>
            <w:tcBorders>
              <w:top w:val="single" w:sz="4" w:space="0" w:color="auto"/>
              <w:bottom w:val="single" w:sz="4" w:space="0" w:color="auto"/>
            </w:tcBorders>
          </w:tcPr>
          <w:p w14:paraId="01C930A9" w14:textId="77777777" w:rsidR="00E836FE" w:rsidRDefault="00512A51" w:rsidP="00782939">
            <w:pPr>
              <w:keepNext/>
              <w:keepLines/>
              <w:spacing w:before="40" w:after="40"/>
              <w:jc w:val="center"/>
              <w:rPr>
                <w:b/>
              </w:rPr>
            </w:pPr>
            <w:r>
              <w:rPr>
                <w:b/>
              </w:rPr>
              <w:t>6.0</w:t>
            </w:r>
          </w:p>
        </w:tc>
        <w:tc>
          <w:tcPr>
            <w:tcW w:w="1014" w:type="dxa"/>
            <w:tcBorders>
              <w:top w:val="single" w:sz="4" w:space="0" w:color="auto"/>
              <w:bottom w:val="single" w:sz="4" w:space="0" w:color="auto"/>
            </w:tcBorders>
          </w:tcPr>
          <w:p w14:paraId="1E5C6916" w14:textId="77777777" w:rsidR="00E836FE" w:rsidRDefault="00512A51" w:rsidP="00E2026C">
            <w:pPr>
              <w:keepNext/>
              <w:keepLines/>
              <w:spacing w:before="40" w:after="40"/>
              <w:jc w:val="center"/>
              <w:rPr>
                <w:b/>
              </w:rPr>
            </w:pPr>
            <w:r>
              <w:rPr>
                <w:b/>
              </w:rPr>
              <w:t>8.0</w:t>
            </w:r>
          </w:p>
        </w:tc>
        <w:tc>
          <w:tcPr>
            <w:tcW w:w="1010" w:type="dxa"/>
            <w:tcBorders>
              <w:top w:val="single" w:sz="4" w:space="0" w:color="auto"/>
              <w:bottom w:val="single" w:sz="4" w:space="0" w:color="auto"/>
            </w:tcBorders>
          </w:tcPr>
          <w:p w14:paraId="5A38327B" w14:textId="77777777" w:rsidR="00E836FE" w:rsidRDefault="00512A51" w:rsidP="00782939">
            <w:pPr>
              <w:keepNext/>
              <w:keepLines/>
              <w:spacing w:before="40" w:after="40"/>
              <w:jc w:val="center"/>
              <w:rPr>
                <w:b/>
              </w:rPr>
            </w:pPr>
            <w:r>
              <w:rPr>
                <w:b/>
              </w:rPr>
              <w:t>4.0</w:t>
            </w:r>
          </w:p>
        </w:tc>
        <w:tc>
          <w:tcPr>
            <w:tcW w:w="1000" w:type="dxa"/>
            <w:tcBorders>
              <w:top w:val="single" w:sz="4" w:space="0" w:color="auto"/>
              <w:bottom w:val="single" w:sz="4" w:space="0" w:color="auto"/>
            </w:tcBorders>
          </w:tcPr>
          <w:p w14:paraId="38F58016" w14:textId="77777777" w:rsidR="00E836FE" w:rsidRDefault="00512A51" w:rsidP="00B240CE">
            <w:pPr>
              <w:keepNext/>
              <w:keepLines/>
              <w:spacing w:before="40" w:after="40"/>
              <w:jc w:val="right"/>
              <w:rPr>
                <w:b/>
              </w:rPr>
            </w:pPr>
            <w:r>
              <w:rPr>
                <w:b/>
              </w:rPr>
              <w:t>27.6</w:t>
            </w:r>
          </w:p>
        </w:tc>
      </w:tr>
      <w:tr w:rsidR="00A25EA3" w:rsidRPr="0060444E" w14:paraId="6612B120" w14:textId="77777777" w:rsidTr="004A7275">
        <w:trPr>
          <w:cantSplit/>
          <w:trHeight w:val="240"/>
        </w:trPr>
        <w:tc>
          <w:tcPr>
            <w:tcW w:w="9638" w:type="dxa"/>
            <w:gridSpan w:val="7"/>
            <w:tcBorders>
              <w:top w:val="single" w:sz="4" w:space="0" w:color="auto"/>
            </w:tcBorders>
          </w:tcPr>
          <w:p w14:paraId="4BDB444B" w14:textId="77777777" w:rsidR="00A25EA3" w:rsidRPr="00405575" w:rsidRDefault="00A25EA3" w:rsidP="00405575">
            <w:pPr>
              <w:keepNext/>
              <w:keepLines/>
              <w:spacing w:before="40" w:after="40"/>
              <w:jc w:val="left"/>
              <w:rPr>
                <w:sz w:val="20"/>
              </w:rPr>
            </w:pPr>
            <w:r w:rsidRPr="00405575">
              <w:rPr>
                <w:sz w:val="20"/>
                <w:vertAlign w:val="superscript"/>
              </w:rPr>
              <w:t xml:space="preserve">(a) </w:t>
            </w:r>
            <w:r w:rsidRPr="00405575">
              <w:rPr>
                <w:sz w:val="20"/>
              </w:rPr>
              <w:t>Estimated National Partnership payments to each State will be set out in the Schedules to this Agreement.</w:t>
            </w:r>
          </w:p>
          <w:p w14:paraId="35D7DCEB" w14:textId="77777777" w:rsidR="00A25EA3" w:rsidRPr="00405575" w:rsidRDefault="00A25EA3" w:rsidP="00405575">
            <w:pPr>
              <w:keepNext/>
              <w:keepLines/>
              <w:spacing w:before="40" w:after="40"/>
              <w:jc w:val="left"/>
              <w:rPr>
                <w:sz w:val="20"/>
              </w:rPr>
            </w:pPr>
            <w:r w:rsidRPr="00405575">
              <w:rPr>
                <w:sz w:val="20"/>
                <w:vertAlign w:val="superscript"/>
              </w:rPr>
              <w:t xml:space="preserve">(b) </w:t>
            </w:r>
            <w:r w:rsidRPr="00405575">
              <w:rPr>
                <w:sz w:val="20"/>
              </w:rPr>
              <w:t>Estimated non-Commonwealth contributions may include State funding contributions and contributions from third parties. Estimated non-Commonwealth contributions from each State will be set out in Schedules to this Agreement.</w:t>
            </w:r>
          </w:p>
          <w:p w14:paraId="3542FDE3" w14:textId="77777777" w:rsidR="00A25EA3" w:rsidRDefault="00A25EA3" w:rsidP="00405575">
            <w:pPr>
              <w:keepNext/>
              <w:keepLines/>
              <w:spacing w:before="40" w:after="40"/>
              <w:jc w:val="left"/>
              <w:rPr>
                <w:b/>
              </w:rPr>
            </w:pPr>
          </w:p>
        </w:tc>
      </w:tr>
    </w:tbl>
    <w:p w14:paraId="7621F349" w14:textId="77777777" w:rsidR="008E7527" w:rsidRDefault="008E7527" w:rsidP="002D0392">
      <w:pPr>
        <w:pStyle w:val="Normalnumbered"/>
        <w:numPr>
          <w:ilvl w:val="0"/>
          <w:numId w:val="12"/>
        </w:numPr>
      </w:pPr>
      <w:r w:rsidRPr="00C738BD">
        <w:t xml:space="preserve">Having regard to the agreed estimated costs of projects specified in </w:t>
      </w:r>
      <w:r w:rsidR="006B43AF">
        <w:t>this</w:t>
      </w:r>
      <w:r>
        <w:t xml:space="preserve"> Agreement</w:t>
      </w:r>
      <w:r w:rsidRPr="00C738BD">
        <w:t xml:space="preserve">, </w:t>
      </w:r>
      <w:r w:rsidR="00DB0F81">
        <w:t>the</w:t>
      </w:r>
      <w:r w:rsidRPr="00C738BD">
        <w:t xml:space="preserve"> State</w:t>
      </w:r>
      <w:r w:rsidR="00DB0F81">
        <w:t>s</w:t>
      </w:r>
      <w:r w:rsidRPr="00C738BD">
        <w:t xml:space="preserve">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0F7F2F7C" w14:textId="77777777" w:rsidR="007D451F" w:rsidRPr="00364780" w:rsidRDefault="007D451F" w:rsidP="00364780">
      <w:pPr>
        <w:pStyle w:val="ScheduleNumberedPara"/>
        <w:numPr>
          <w:ilvl w:val="0"/>
          <w:numId w:val="12"/>
        </w:numPr>
        <w:tabs>
          <w:tab w:val="clear" w:pos="1134"/>
          <w:tab w:val="clear" w:pos="1440"/>
          <w:tab w:val="clear" w:pos="1701"/>
          <w:tab w:val="clear" w:pos="2268"/>
          <w:tab w:val="clear" w:pos="2574"/>
        </w:tabs>
      </w:pPr>
      <w:r w:rsidRPr="00876796">
        <w:t>Should the Commonwealth agree to the proposed project, payments will be made on a matched basis subject to the State achieving milestones specified in the bilateral schedules to this Agreement</w:t>
      </w:r>
      <w:r w:rsidR="00594329">
        <w:t>.</w:t>
      </w:r>
    </w:p>
    <w:p w14:paraId="1D4D542F" w14:textId="77777777" w:rsidR="00180ECB" w:rsidRPr="00180ECB" w:rsidRDefault="00180ECB" w:rsidP="00180ECB">
      <w:pPr>
        <w:pStyle w:val="ScheduleNumberedPara"/>
        <w:numPr>
          <w:ilvl w:val="0"/>
          <w:numId w:val="12"/>
        </w:numPr>
        <w:tabs>
          <w:tab w:val="clear" w:pos="1134"/>
          <w:tab w:val="clear" w:pos="1440"/>
          <w:tab w:val="clear" w:pos="1701"/>
          <w:tab w:val="clear" w:pos="2268"/>
          <w:tab w:val="clear" w:pos="2574"/>
        </w:tabs>
      </w:pPr>
      <w:r>
        <w:t>T</w:t>
      </w:r>
      <w:r w:rsidRPr="00180ECB">
        <w:t>he Commonwealth contribution to a project may be reduced if the State do</w:t>
      </w:r>
      <w:r>
        <w:t>es</w:t>
      </w:r>
      <w:r w:rsidRPr="00180ECB">
        <w:t xml:space="preserve"> not at least match the Commonwealth contribution as set out in the bilateral schedule. The Commonwealth may also withhold payments until matching requirements are met.</w:t>
      </w:r>
    </w:p>
    <w:p w14:paraId="3AA34207" w14:textId="77777777" w:rsidR="00814667" w:rsidRDefault="003A2157">
      <w:pPr>
        <w:pStyle w:val="Heading1"/>
      </w:pPr>
      <w:bookmarkStart w:id="1" w:name="top"/>
      <w:bookmarkEnd w:id="1"/>
      <w:r>
        <w:t xml:space="preserve">Part </w:t>
      </w:r>
      <w:r w:rsidR="000B4080">
        <w:t>6</w:t>
      </w:r>
      <w:r w:rsidR="00814667">
        <w:t xml:space="preserve"> — governance arrangements</w:t>
      </w:r>
    </w:p>
    <w:p w14:paraId="2428CDCD" w14:textId="77777777" w:rsidR="00BC4728" w:rsidRDefault="00BC4728" w:rsidP="00BC4728">
      <w:pPr>
        <w:pStyle w:val="Heading2"/>
      </w:pPr>
      <w:r w:rsidRPr="006F096A">
        <w:t>Enforceability of the Agreement</w:t>
      </w:r>
    </w:p>
    <w:p w14:paraId="4C6C0159" w14:textId="77777777" w:rsidR="00BC4728" w:rsidRPr="00C40EBC" w:rsidRDefault="00BC4728" w:rsidP="002D0392">
      <w:pPr>
        <w:pStyle w:val="Normalnumbered"/>
        <w:numPr>
          <w:ilvl w:val="0"/>
          <w:numId w:val="12"/>
        </w:numPr>
        <w:spacing w:line="240" w:lineRule="auto"/>
      </w:pPr>
      <w:r>
        <w:rPr>
          <w:szCs w:val="23"/>
        </w:rPr>
        <w:t>The Parties do not intend any of the provisions of this Agreement to be legally enforceable. However, that does not lessen the Parties’ commitment to this Agreement.</w:t>
      </w:r>
    </w:p>
    <w:p w14:paraId="667C7EEF" w14:textId="77777777" w:rsidR="00814667" w:rsidRDefault="00814667">
      <w:pPr>
        <w:pStyle w:val="Heading2"/>
      </w:pPr>
      <w:r>
        <w:t>Variation of the Agreement</w:t>
      </w:r>
    </w:p>
    <w:p w14:paraId="511E7B3A" w14:textId="77777777" w:rsidR="00814667" w:rsidRPr="00DE36EB" w:rsidRDefault="00607B03" w:rsidP="002D0392">
      <w:pPr>
        <w:pStyle w:val="Normalnumbered"/>
        <w:numPr>
          <w:ilvl w:val="0"/>
          <w:numId w:val="12"/>
        </w:numPr>
      </w:pPr>
      <w:r>
        <w:t>The A</w:t>
      </w:r>
      <w:r w:rsidR="00814667">
        <w:t xml:space="preserve">greement may be amended at any time by agreement in writing by </w:t>
      </w:r>
      <w:r w:rsidR="00751E2D">
        <w:t>all</w:t>
      </w:r>
      <w:r w:rsidR="002B1C50" w:rsidRPr="00DE36EB">
        <w:t xml:space="preserve"> </w:t>
      </w:r>
      <w:r w:rsidR="00814667" w:rsidRPr="00DE36EB">
        <w:t>the Parties.</w:t>
      </w:r>
    </w:p>
    <w:p w14:paraId="196A4933" w14:textId="77777777" w:rsidR="00292587" w:rsidRPr="00DE36EB" w:rsidRDefault="00292587" w:rsidP="002D0392">
      <w:pPr>
        <w:pStyle w:val="Normalnumbered"/>
        <w:numPr>
          <w:ilvl w:val="0"/>
          <w:numId w:val="12"/>
        </w:numPr>
      </w:pPr>
      <w:r w:rsidRPr="00DE36EB">
        <w:t>Bilateral schedules to this Agreement that have no impact on other Parties may be</w:t>
      </w:r>
      <w:r w:rsidR="00180ECB">
        <w:t xml:space="preserve"> agreed and</w:t>
      </w:r>
      <w:r w:rsidRPr="00DE36EB">
        <w:t xml:space="preserve"> amended at any time by agreement in writing by the relevant Commonwealth and State portfolio ministers.</w:t>
      </w:r>
    </w:p>
    <w:p w14:paraId="1D86D6F0" w14:textId="77777777" w:rsidR="00292587" w:rsidRDefault="00C2605C" w:rsidP="002D0392">
      <w:pPr>
        <w:pStyle w:val="Normalnumbered"/>
        <w:numPr>
          <w:ilvl w:val="0"/>
          <w:numId w:val="12"/>
        </w:numPr>
      </w:pPr>
      <w:r w:rsidRPr="00DE36EB">
        <w:t xml:space="preserve">A </w:t>
      </w:r>
      <w:r w:rsidR="00814667" w:rsidRPr="00DE36EB">
        <w:t>Party to the Agreement may terminate their part</w:t>
      </w:r>
      <w:r w:rsidR="00814667">
        <w:t xml:space="preserve">icipation in the Agreement at any time by notifying all </w:t>
      </w:r>
      <w:r>
        <w:t>Parties</w:t>
      </w:r>
      <w:r>
        <w:rPr>
          <w:i/>
        </w:rPr>
        <w:t xml:space="preserve"> </w:t>
      </w:r>
      <w:r w:rsidR="00814667">
        <w:t>in writing.</w:t>
      </w:r>
    </w:p>
    <w:p w14:paraId="58F06B82" w14:textId="77777777" w:rsidR="009526E4" w:rsidRDefault="009526E4" w:rsidP="0036119D">
      <w:pPr>
        <w:pStyle w:val="Heading2"/>
      </w:pPr>
      <w:r>
        <w:t>Delegations</w:t>
      </w:r>
    </w:p>
    <w:p w14:paraId="1A594E85" w14:textId="77777777" w:rsidR="009526E4" w:rsidRDefault="009526E4" w:rsidP="002D0392">
      <w:pPr>
        <w:pStyle w:val="Normalnumbered"/>
        <w:numPr>
          <w:ilvl w:val="0"/>
          <w:numId w:val="12"/>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6F25F431" w14:textId="77777777" w:rsidR="0036119D" w:rsidRDefault="0036119D" w:rsidP="0036119D">
      <w:pPr>
        <w:pStyle w:val="Heading2"/>
      </w:pPr>
      <w:r>
        <w:t>Dispute resolution</w:t>
      </w:r>
    </w:p>
    <w:p w14:paraId="1E15FEA1" w14:textId="77777777" w:rsidR="0036119D" w:rsidRPr="00DE36EB" w:rsidRDefault="0036119D" w:rsidP="002D0392">
      <w:pPr>
        <w:pStyle w:val="Normalnumbered"/>
        <w:numPr>
          <w:ilvl w:val="0"/>
          <w:numId w:val="12"/>
        </w:numPr>
      </w:pPr>
      <w:r w:rsidRPr="00DE36EB">
        <w:t>Any Party may give notice to other Parties of a dispute under this Agreement.</w:t>
      </w:r>
    </w:p>
    <w:p w14:paraId="4CD61FA8" w14:textId="77777777" w:rsidR="0036119D" w:rsidRPr="00DE36EB" w:rsidRDefault="0036119D" w:rsidP="002D0392">
      <w:pPr>
        <w:pStyle w:val="Normalnumbered"/>
        <w:numPr>
          <w:ilvl w:val="0"/>
          <w:numId w:val="12"/>
        </w:numPr>
      </w:pPr>
      <w:r w:rsidRPr="00DE36EB">
        <w:t>Officials of relevant Parties will attempt to resolve any dispute in the first instance.</w:t>
      </w:r>
    </w:p>
    <w:p w14:paraId="4D896093" w14:textId="77777777" w:rsidR="00A7622A" w:rsidRPr="00FB6A2E" w:rsidRDefault="0036119D" w:rsidP="002D0392">
      <w:pPr>
        <w:pStyle w:val="Normalnumbered"/>
        <w:numPr>
          <w:ilvl w:val="0"/>
          <w:numId w:val="12"/>
        </w:numPr>
      </w:pPr>
      <w:r w:rsidRPr="00DE36EB">
        <w:t>If a dispute cannot be resolved by officials, it may be escalated to the relevant Ministers.</w:t>
      </w:r>
    </w:p>
    <w:p w14:paraId="2A4ABA80" w14:textId="77777777" w:rsidR="0036119D" w:rsidRDefault="0036119D" w:rsidP="000614F9">
      <w:pPr>
        <w:pStyle w:val="Normalnumbered"/>
        <w:tabs>
          <w:tab w:val="clear" w:pos="360"/>
        </w:tabs>
        <w:ind w:left="0" w:firstLine="0"/>
        <w:jc w:val="left"/>
        <w:sectPr w:rsidR="0036119D" w:rsidSect="00795F25">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0FE184D6"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263F9D2A" w14:textId="77777777">
        <w:trPr>
          <w:cantSplit/>
          <w:jc w:val="center"/>
        </w:trPr>
        <w:tc>
          <w:tcPr>
            <w:tcW w:w="4536" w:type="dxa"/>
          </w:tcPr>
          <w:p w14:paraId="59B1D265"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15E13F91" w14:textId="77777777" w:rsidR="00814667" w:rsidRPr="00A50751" w:rsidRDefault="00814667">
            <w:pPr>
              <w:pStyle w:val="LineForSignature"/>
            </w:pPr>
            <w:r>
              <w:tab/>
            </w:r>
          </w:p>
          <w:p w14:paraId="7D504D1A" w14:textId="77777777" w:rsidR="00814667" w:rsidRDefault="00814667">
            <w:pPr>
              <w:pStyle w:val="SingleParagraph"/>
              <w:rPr>
                <w:rStyle w:val="Bold"/>
              </w:rPr>
            </w:pPr>
            <w:r>
              <w:rPr>
                <w:rStyle w:val="Bold"/>
              </w:rPr>
              <w:t xml:space="preserve">The Honourable </w:t>
            </w:r>
            <w:r w:rsidR="00C655A0">
              <w:rPr>
                <w:rStyle w:val="Bold"/>
              </w:rPr>
              <w:t>David Littleproud</w:t>
            </w:r>
            <w:r w:rsidR="0099742A">
              <w:rPr>
                <w:rStyle w:val="Bold"/>
              </w:rPr>
              <w:t xml:space="preserve"> </w:t>
            </w:r>
            <w:r>
              <w:rPr>
                <w:rStyle w:val="Bold"/>
              </w:rPr>
              <w:t>MP</w:t>
            </w:r>
          </w:p>
          <w:p w14:paraId="0CAADDD4" w14:textId="77777777" w:rsidR="00814667" w:rsidRDefault="0099742A">
            <w:pPr>
              <w:pStyle w:val="Position"/>
              <w:rPr>
                <w:lang w:val="en-GB"/>
              </w:rPr>
            </w:pPr>
            <w:r>
              <w:rPr>
                <w:lang w:val="en-GB"/>
              </w:rPr>
              <w:t xml:space="preserve">Minister for </w:t>
            </w:r>
            <w:r w:rsidR="00C655A0">
              <w:rPr>
                <w:lang w:val="en-GB"/>
              </w:rPr>
              <w:t>Agriculture and Water Resources</w:t>
            </w:r>
            <w:r>
              <w:rPr>
                <w:lang w:val="en-GB"/>
              </w:rPr>
              <w:t xml:space="preserve"> </w:t>
            </w:r>
          </w:p>
          <w:p w14:paraId="120CB967"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0D315E6A" w14:textId="77777777" w:rsidR="00814667" w:rsidRPr="00A50751" w:rsidRDefault="00814667">
            <w:pPr>
              <w:rPr>
                <w:rFonts w:ascii="Book Antiqua" w:hAnsi="Book Antiqua"/>
                <w:lang w:val="en-GB"/>
              </w:rPr>
            </w:pPr>
          </w:p>
        </w:tc>
        <w:tc>
          <w:tcPr>
            <w:tcW w:w="4536" w:type="dxa"/>
          </w:tcPr>
          <w:p w14:paraId="39FFD29D" w14:textId="77777777" w:rsidR="00814667" w:rsidRPr="00A50751" w:rsidRDefault="00814667">
            <w:pPr>
              <w:rPr>
                <w:rFonts w:ascii="Book Antiqua" w:hAnsi="Book Antiqua"/>
                <w:lang w:val="en-GB"/>
              </w:rPr>
            </w:pPr>
          </w:p>
        </w:tc>
      </w:tr>
      <w:tr w:rsidR="00814667" w:rsidRPr="00A50751" w14:paraId="071ABACB" w14:textId="77777777">
        <w:trPr>
          <w:cantSplit/>
          <w:jc w:val="center"/>
        </w:trPr>
        <w:tc>
          <w:tcPr>
            <w:tcW w:w="4536" w:type="dxa"/>
          </w:tcPr>
          <w:p w14:paraId="717D1CB6"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7C364C1" w14:textId="77777777" w:rsidR="00814667" w:rsidRPr="00A50751" w:rsidRDefault="00814667">
            <w:pPr>
              <w:pStyle w:val="SingleParagraph"/>
              <w:rPr>
                <w:rFonts w:ascii="Book Antiqua" w:hAnsi="Book Antiqua"/>
                <w:lang w:val="en-GB"/>
              </w:rPr>
            </w:pPr>
          </w:p>
        </w:tc>
        <w:tc>
          <w:tcPr>
            <w:tcW w:w="4536" w:type="dxa"/>
          </w:tcPr>
          <w:p w14:paraId="4DFD3D05" w14:textId="77777777" w:rsidR="00814667" w:rsidRPr="00A50751" w:rsidRDefault="00814667">
            <w:pPr>
              <w:pStyle w:val="SingleParagraph"/>
              <w:rPr>
                <w:rFonts w:ascii="Book Antiqua" w:hAnsi="Book Antiqua"/>
                <w:lang w:val="en-GB"/>
              </w:rPr>
            </w:pPr>
          </w:p>
        </w:tc>
      </w:tr>
      <w:tr w:rsidR="00814667" w:rsidRPr="00A50751" w14:paraId="070B86AE" w14:textId="77777777">
        <w:trPr>
          <w:cantSplit/>
          <w:jc w:val="center"/>
        </w:trPr>
        <w:tc>
          <w:tcPr>
            <w:tcW w:w="4536" w:type="dxa"/>
          </w:tcPr>
          <w:p w14:paraId="277CA649" w14:textId="77777777" w:rsidR="00814667" w:rsidRPr="004A0AE7" w:rsidRDefault="00814667">
            <w:pPr>
              <w:pStyle w:val="Signed"/>
            </w:pPr>
            <w:r>
              <w:rPr>
                <w:rStyle w:val="SignedBold"/>
              </w:rPr>
              <w:t>Signed</w:t>
            </w:r>
            <w:r w:rsidRPr="004A0AE7">
              <w:t xml:space="preserve"> for and on behalf of the</w:t>
            </w:r>
            <w:r>
              <w:t xml:space="preserve"> </w:t>
            </w:r>
            <w:r w:rsidRPr="004A0AE7">
              <w:br/>
              <w:t>State of New South Wales by</w:t>
            </w:r>
          </w:p>
          <w:p w14:paraId="7403FC42" w14:textId="77777777" w:rsidR="00814667" w:rsidRPr="00A50751" w:rsidRDefault="00814667">
            <w:pPr>
              <w:pStyle w:val="LineForSignature"/>
            </w:pPr>
            <w:r w:rsidRPr="00A50751">
              <w:tab/>
            </w:r>
          </w:p>
          <w:p w14:paraId="57F16397" w14:textId="6805ABE5" w:rsidR="00814667" w:rsidRDefault="00814667">
            <w:pPr>
              <w:pStyle w:val="SingleParagraph"/>
              <w:rPr>
                <w:rStyle w:val="Bold"/>
              </w:rPr>
            </w:pPr>
            <w:r>
              <w:rPr>
                <w:rStyle w:val="Bold"/>
              </w:rPr>
              <w:t xml:space="preserve">The </w:t>
            </w:r>
            <w:r w:rsidR="00FF32ED">
              <w:rPr>
                <w:rStyle w:val="Bold"/>
              </w:rPr>
              <w:t xml:space="preserve">Honourable </w:t>
            </w:r>
            <w:r w:rsidR="0020513E">
              <w:rPr>
                <w:rStyle w:val="Bold"/>
              </w:rPr>
              <w:t>Melinda Pavey MP</w:t>
            </w:r>
          </w:p>
          <w:p w14:paraId="62867C2F" w14:textId="77777777" w:rsidR="00FC23C0" w:rsidRPr="00FC23C0" w:rsidRDefault="00FC23C0" w:rsidP="00FC23C0">
            <w:pPr>
              <w:pStyle w:val="Position"/>
            </w:pPr>
            <w:r w:rsidRPr="00FC23C0">
              <w:t>Minister for Primary Industries</w:t>
            </w:r>
          </w:p>
          <w:p w14:paraId="5C56F93B" w14:textId="77777777"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[Day]  [Month]  [Year]</w:t>
            </w:r>
          </w:p>
        </w:tc>
        <w:tc>
          <w:tcPr>
            <w:tcW w:w="284" w:type="dxa"/>
            <w:tcMar>
              <w:left w:w="0" w:type="dxa"/>
              <w:right w:w="0" w:type="dxa"/>
            </w:tcMar>
          </w:tcPr>
          <w:p w14:paraId="0FA42454" w14:textId="77777777" w:rsidR="00814667" w:rsidRPr="00A50751" w:rsidRDefault="00814667">
            <w:pPr>
              <w:rPr>
                <w:rFonts w:ascii="Book Antiqua" w:hAnsi="Book Antiqua"/>
                <w:lang w:val="en-GB"/>
              </w:rPr>
            </w:pPr>
          </w:p>
        </w:tc>
        <w:tc>
          <w:tcPr>
            <w:tcW w:w="4536" w:type="dxa"/>
          </w:tcPr>
          <w:p w14:paraId="27126077" w14:textId="77777777" w:rsidR="00814667" w:rsidRPr="00A50751" w:rsidRDefault="00814667">
            <w:pPr>
              <w:pStyle w:val="SingleParagraph"/>
              <w:tabs>
                <w:tab w:val="num" w:pos="1134"/>
              </w:tabs>
              <w:spacing w:after="240"/>
              <w:ind w:left="1134" w:hanging="567"/>
              <w:rPr>
                <w:lang w:val="en-GB"/>
              </w:rPr>
            </w:pPr>
          </w:p>
        </w:tc>
      </w:tr>
      <w:tr w:rsidR="00814667" w:rsidRPr="00A50751" w14:paraId="3C362111" w14:textId="77777777">
        <w:trPr>
          <w:cantSplit/>
          <w:jc w:val="center"/>
        </w:trPr>
        <w:tc>
          <w:tcPr>
            <w:tcW w:w="4536" w:type="dxa"/>
          </w:tcPr>
          <w:p w14:paraId="603A85B2"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027D841" w14:textId="77777777" w:rsidR="00814667" w:rsidRPr="00A50751" w:rsidRDefault="00814667">
            <w:pPr>
              <w:pStyle w:val="SingleParagraph"/>
              <w:rPr>
                <w:rFonts w:ascii="Book Antiqua" w:hAnsi="Book Antiqua"/>
                <w:lang w:val="en-GB"/>
              </w:rPr>
            </w:pPr>
          </w:p>
        </w:tc>
        <w:tc>
          <w:tcPr>
            <w:tcW w:w="4536" w:type="dxa"/>
          </w:tcPr>
          <w:p w14:paraId="53A0003E" w14:textId="77777777" w:rsidR="00814667" w:rsidRPr="00A50751" w:rsidRDefault="00814667">
            <w:pPr>
              <w:pStyle w:val="SingleParagraph"/>
              <w:rPr>
                <w:rFonts w:ascii="Book Antiqua" w:hAnsi="Book Antiqua"/>
                <w:lang w:val="en-GB"/>
              </w:rPr>
            </w:pPr>
          </w:p>
        </w:tc>
      </w:tr>
      <w:tr w:rsidR="00814667" w:rsidRPr="00A50751" w14:paraId="32239BCF" w14:textId="77777777">
        <w:trPr>
          <w:cantSplit/>
          <w:jc w:val="center"/>
        </w:trPr>
        <w:tc>
          <w:tcPr>
            <w:tcW w:w="4536" w:type="dxa"/>
          </w:tcPr>
          <w:p w14:paraId="039F5B27" w14:textId="77777777" w:rsidR="00814667" w:rsidRPr="004A0AE7" w:rsidRDefault="00814667">
            <w:pPr>
              <w:pStyle w:val="Signed"/>
            </w:pPr>
            <w:r>
              <w:rPr>
                <w:rStyle w:val="SignedBold"/>
              </w:rPr>
              <w:t>Signed</w:t>
            </w:r>
            <w:r w:rsidRPr="004A0AE7">
              <w:t xml:space="preserve"> for and on behalf of the</w:t>
            </w:r>
            <w:r w:rsidRPr="004A0AE7">
              <w:br/>
              <w:t>State of Queensland by</w:t>
            </w:r>
          </w:p>
          <w:p w14:paraId="13788FB5" w14:textId="77777777" w:rsidR="00814667" w:rsidRPr="00A50751" w:rsidRDefault="00814667">
            <w:pPr>
              <w:pStyle w:val="LineForSignature"/>
            </w:pPr>
            <w:r w:rsidRPr="00A50751">
              <w:tab/>
            </w:r>
          </w:p>
          <w:p w14:paraId="132DD07F" w14:textId="77777777" w:rsidR="00FC23C0" w:rsidRDefault="00FC23C0" w:rsidP="00FC23C0">
            <w:pPr>
              <w:pStyle w:val="SingleParagraph"/>
              <w:rPr>
                <w:rStyle w:val="Bold"/>
              </w:rPr>
            </w:pPr>
            <w:r>
              <w:rPr>
                <w:rStyle w:val="Bold"/>
              </w:rPr>
              <w:t xml:space="preserve">The Honourable </w:t>
            </w:r>
            <w:r w:rsidR="004F7735">
              <w:rPr>
                <w:rStyle w:val="Bold"/>
              </w:rPr>
              <w:t>Dr Anthony Lynham MP</w:t>
            </w:r>
          </w:p>
          <w:p w14:paraId="5FA46563" w14:textId="77777777" w:rsidR="00FC23C0" w:rsidRDefault="00FC23C0" w:rsidP="00FC23C0">
            <w:pPr>
              <w:pStyle w:val="Position"/>
              <w:rPr>
                <w:lang w:val="en-GB"/>
              </w:rPr>
            </w:pPr>
            <w:r>
              <w:rPr>
                <w:lang w:val="en-GB"/>
              </w:rPr>
              <w:t xml:space="preserve">Minister for </w:t>
            </w:r>
            <w:r w:rsidR="004F7735">
              <w:rPr>
                <w:lang w:val="en-GB"/>
              </w:rPr>
              <w:t>Natural Resources, Mines and Energy</w:t>
            </w:r>
            <w:r>
              <w:rPr>
                <w:lang w:val="en-GB"/>
              </w:rPr>
              <w:t xml:space="preserve"> </w:t>
            </w:r>
          </w:p>
          <w:p w14:paraId="40D26B38"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63681E88" w14:textId="77777777" w:rsidR="00814667" w:rsidRPr="00A50751" w:rsidRDefault="00814667">
            <w:pPr>
              <w:rPr>
                <w:rFonts w:ascii="Book Antiqua" w:hAnsi="Book Antiqua"/>
                <w:lang w:val="en-GB"/>
              </w:rPr>
            </w:pPr>
          </w:p>
        </w:tc>
        <w:tc>
          <w:tcPr>
            <w:tcW w:w="4536" w:type="dxa"/>
          </w:tcPr>
          <w:p w14:paraId="2C68236B" w14:textId="77777777" w:rsidR="00814667" w:rsidRPr="00A50751" w:rsidRDefault="00814667">
            <w:pPr>
              <w:pStyle w:val="SingleParagraph"/>
              <w:tabs>
                <w:tab w:val="num" w:pos="1134"/>
              </w:tabs>
              <w:spacing w:after="240"/>
              <w:ind w:left="1134" w:hanging="567"/>
              <w:rPr>
                <w:lang w:val="en-GB"/>
              </w:rPr>
            </w:pPr>
          </w:p>
        </w:tc>
      </w:tr>
      <w:tr w:rsidR="00814667" w:rsidRPr="00A50751" w14:paraId="3D94949E" w14:textId="77777777">
        <w:trPr>
          <w:cantSplit/>
          <w:jc w:val="center"/>
        </w:trPr>
        <w:tc>
          <w:tcPr>
            <w:tcW w:w="4536" w:type="dxa"/>
          </w:tcPr>
          <w:p w14:paraId="1B1D292C"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8C12FB6" w14:textId="77777777" w:rsidR="00814667" w:rsidRPr="00A50751" w:rsidRDefault="00814667">
            <w:pPr>
              <w:pStyle w:val="SingleParagraph"/>
              <w:rPr>
                <w:rFonts w:ascii="Book Antiqua" w:hAnsi="Book Antiqua"/>
                <w:lang w:val="en-GB"/>
              </w:rPr>
            </w:pPr>
          </w:p>
        </w:tc>
        <w:tc>
          <w:tcPr>
            <w:tcW w:w="4536" w:type="dxa"/>
          </w:tcPr>
          <w:p w14:paraId="365031D5" w14:textId="77777777" w:rsidR="00814667" w:rsidRPr="00A50751" w:rsidRDefault="00814667">
            <w:pPr>
              <w:pStyle w:val="SingleParagraph"/>
              <w:rPr>
                <w:rFonts w:ascii="Book Antiqua" w:hAnsi="Book Antiqua"/>
                <w:lang w:val="en-GB"/>
              </w:rPr>
            </w:pPr>
          </w:p>
        </w:tc>
      </w:tr>
      <w:tr w:rsidR="00814667" w:rsidRPr="00A50751" w14:paraId="2CEEB32D" w14:textId="77777777">
        <w:trPr>
          <w:cantSplit/>
          <w:trHeight w:val="143"/>
          <w:jc w:val="center"/>
        </w:trPr>
        <w:tc>
          <w:tcPr>
            <w:tcW w:w="4536" w:type="dxa"/>
          </w:tcPr>
          <w:p w14:paraId="08163BE2" w14:textId="77777777" w:rsidR="00814667" w:rsidRPr="004A0AE7" w:rsidRDefault="00814667">
            <w:pPr>
              <w:pStyle w:val="Signed"/>
            </w:pPr>
            <w:r>
              <w:rPr>
                <w:rStyle w:val="SignedBold"/>
              </w:rPr>
              <w:t>Signed</w:t>
            </w:r>
            <w:r w:rsidRPr="004A0AE7">
              <w:t xml:space="preserve"> for and on behalf of the</w:t>
            </w:r>
            <w:r w:rsidRPr="004A0AE7">
              <w:br/>
              <w:t>State of South Australia by</w:t>
            </w:r>
          </w:p>
          <w:p w14:paraId="5803EF58" w14:textId="77777777" w:rsidR="00814667" w:rsidRPr="00A50751" w:rsidRDefault="00814667">
            <w:pPr>
              <w:pStyle w:val="LineForSignature"/>
            </w:pPr>
            <w:r w:rsidRPr="00A50751">
              <w:tab/>
            </w:r>
          </w:p>
          <w:p w14:paraId="2A01DD2F" w14:textId="77777777" w:rsidR="00814667" w:rsidRDefault="00814667">
            <w:pPr>
              <w:pStyle w:val="SingleParagraph"/>
              <w:rPr>
                <w:rStyle w:val="Bold"/>
              </w:rPr>
            </w:pPr>
            <w:r>
              <w:rPr>
                <w:rStyle w:val="Bold"/>
              </w:rPr>
              <w:t xml:space="preserve">The Honourable </w:t>
            </w:r>
            <w:r w:rsidR="004F7735">
              <w:rPr>
                <w:rStyle w:val="Bold"/>
              </w:rPr>
              <w:t>David Speirs</w:t>
            </w:r>
            <w:r w:rsidR="0099742A">
              <w:rPr>
                <w:rStyle w:val="Bold"/>
              </w:rPr>
              <w:t xml:space="preserve"> </w:t>
            </w:r>
            <w:r>
              <w:rPr>
                <w:rStyle w:val="Bold"/>
              </w:rPr>
              <w:t>MP</w:t>
            </w:r>
          </w:p>
          <w:p w14:paraId="248F223A" w14:textId="77777777" w:rsidR="00542A8C" w:rsidRDefault="00542A8C" w:rsidP="00542A8C">
            <w:pPr>
              <w:pStyle w:val="Position"/>
              <w:rPr>
                <w:lang w:val="en-GB"/>
              </w:rPr>
            </w:pPr>
            <w:r>
              <w:rPr>
                <w:lang w:val="en-GB"/>
              </w:rPr>
              <w:t xml:space="preserve">Minister for </w:t>
            </w:r>
            <w:r w:rsidR="004125EC">
              <w:rPr>
                <w:lang w:val="en-GB"/>
              </w:rPr>
              <w:t>Environment</w:t>
            </w:r>
            <w:r w:rsidR="00FC23C0" w:rsidRPr="00FC23C0">
              <w:rPr>
                <w:lang w:val="en-GB"/>
              </w:rPr>
              <w:t xml:space="preserve"> and </w:t>
            </w:r>
            <w:r w:rsidR="004125EC">
              <w:rPr>
                <w:lang w:val="en-GB"/>
              </w:rPr>
              <w:t>Water</w:t>
            </w:r>
          </w:p>
          <w:p w14:paraId="2220CFDB"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5FD2D4A8" w14:textId="77777777" w:rsidR="00814667" w:rsidRPr="00A50751" w:rsidRDefault="00814667">
            <w:pPr>
              <w:rPr>
                <w:rFonts w:ascii="Book Antiqua" w:hAnsi="Book Antiqua"/>
                <w:lang w:val="en-GB"/>
              </w:rPr>
            </w:pPr>
          </w:p>
        </w:tc>
        <w:tc>
          <w:tcPr>
            <w:tcW w:w="4536" w:type="dxa"/>
          </w:tcPr>
          <w:p w14:paraId="3635118A" w14:textId="77777777" w:rsidR="00814667" w:rsidRPr="00A50751" w:rsidRDefault="00814667">
            <w:pPr>
              <w:pStyle w:val="SingleParagraph"/>
              <w:tabs>
                <w:tab w:val="num" w:pos="1134"/>
              </w:tabs>
              <w:spacing w:after="240"/>
              <w:ind w:left="1134" w:hanging="567"/>
              <w:rPr>
                <w:lang w:val="en-GB"/>
              </w:rPr>
            </w:pPr>
          </w:p>
        </w:tc>
      </w:tr>
      <w:tr w:rsidR="00814667" w:rsidRPr="00A50751" w14:paraId="61B821DF" w14:textId="77777777">
        <w:trPr>
          <w:cantSplit/>
          <w:jc w:val="center"/>
        </w:trPr>
        <w:tc>
          <w:tcPr>
            <w:tcW w:w="4536" w:type="dxa"/>
          </w:tcPr>
          <w:p w14:paraId="5C5C893B" w14:textId="77777777" w:rsidR="004F7735" w:rsidRPr="00A50751" w:rsidRDefault="004F7735" w:rsidP="004F773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65098C00" w14:textId="77777777" w:rsidR="004F7735" w:rsidRPr="00A50751" w:rsidRDefault="004F7735" w:rsidP="004F7735">
            <w:pPr>
              <w:pStyle w:val="LineForSignature"/>
            </w:pPr>
            <w:r w:rsidRPr="00A50751">
              <w:tab/>
            </w:r>
          </w:p>
          <w:p w14:paraId="3A4CC799" w14:textId="77777777" w:rsidR="004F7735" w:rsidRDefault="004F7735" w:rsidP="004F7735">
            <w:pPr>
              <w:pStyle w:val="SingleParagraph"/>
              <w:rPr>
                <w:rStyle w:val="Bold"/>
              </w:rPr>
            </w:pPr>
            <w:r>
              <w:rPr>
                <w:rStyle w:val="Bold"/>
              </w:rPr>
              <w:t xml:space="preserve">The Honourable </w:t>
            </w:r>
            <w:r w:rsidR="004125EC">
              <w:rPr>
                <w:rStyle w:val="Bold"/>
              </w:rPr>
              <w:t>Eva Lawler</w:t>
            </w:r>
            <w:r>
              <w:rPr>
                <w:rStyle w:val="Bold"/>
              </w:rPr>
              <w:t xml:space="preserve"> MLA</w:t>
            </w:r>
          </w:p>
          <w:p w14:paraId="2E920C21" w14:textId="77777777" w:rsidR="004F7735" w:rsidRDefault="004F7735" w:rsidP="004F7735">
            <w:pPr>
              <w:pStyle w:val="Position"/>
              <w:rPr>
                <w:lang w:val="en-GB"/>
              </w:rPr>
            </w:pPr>
            <w:r>
              <w:rPr>
                <w:lang w:val="en-GB"/>
              </w:rPr>
              <w:t>Minister</w:t>
            </w:r>
            <w:r w:rsidR="00623BBE" w:rsidRPr="00623BBE">
              <w:rPr>
                <w:lang w:val="en-GB"/>
              </w:rPr>
              <w:t xml:space="preserve"> for Environment and Natural Resources</w:t>
            </w:r>
            <w:r>
              <w:rPr>
                <w:lang w:val="en-GB"/>
              </w:rPr>
              <w:t xml:space="preserve"> </w:t>
            </w:r>
          </w:p>
          <w:p w14:paraId="33E815C5" w14:textId="77777777" w:rsidR="00814667" w:rsidRPr="00A50751" w:rsidRDefault="004F7735" w:rsidP="008466CF">
            <w:pPr>
              <w:pStyle w:val="SingleParagraph"/>
              <w:tabs>
                <w:tab w:val="num" w:pos="1134"/>
              </w:tabs>
              <w:spacing w:after="240"/>
              <w:ind w:left="1134" w:hanging="567"/>
              <w:rPr>
                <w:rFonts w:ascii="Book Antiqua" w:hAnsi="Book Antiqua"/>
                <w:lang w:val="en-GB"/>
              </w:rPr>
            </w:pPr>
            <w:r w:rsidRPr="00B12190" w:rsidDel="00542A8C">
              <w:rPr>
                <w:bCs/>
                <w:lang w:val="en-GB"/>
              </w:rPr>
              <w:t xml:space="preserve"> </w:t>
            </w:r>
            <w:r>
              <w:rPr>
                <w:lang w:val="en-GB"/>
              </w:rPr>
              <w:t>[Day]  [Month]  [Year]</w:t>
            </w:r>
          </w:p>
        </w:tc>
        <w:tc>
          <w:tcPr>
            <w:tcW w:w="284" w:type="dxa"/>
            <w:tcMar>
              <w:left w:w="0" w:type="dxa"/>
              <w:right w:w="0" w:type="dxa"/>
            </w:tcMar>
          </w:tcPr>
          <w:p w14:paraId="699800DA" w14:textId="77777777" w:rsidR="00814667" w:rsidRPr="00A50751" w:rsidRDefault="00814667">
            <w:pPr>
              <w:pStyle w:val="SingleParagraph"/>
              <w:rPr>
                <w:rFonts w:ascii="Book Antiqua" w:hAnsi="Book Antiqua"/>
                <w:lang w:val="en-GB"/>
              </w:rPr>
            </w:pPr>
          </w:p>
        </w:tc>
        <w:tc>
          <w:tcPr>
            <w:tcW w:w="4536" w:type="dxa"/>
          </w:tcPr>
          <w:p w14:paraId="0765A6AE" w14:textId="77777777" w:rsidR="00814667" w:rsidRPr="00A50751" w:rsidRDefault="00814667">
            <w:pPr>
              <w:pStyle w:val="SingleParagraph"/>
              <w:rPr>
                <w:rFonts w:ascii="Book Antiqua" w:hAnsi="Book Antiqua"/>
                <w:lang w:val="en-GB"/>
              </w:rPr>
            </w:pPr>
          </w:p>
        </w:tc>
      </w:tr>
      <w:tr w:rsidR="00814667" w:rsidRPr="00A50751" w14:paraId="7486F332" w14:textId="77777777">
        <w:trPr>
          <w:cantSplit/>
          <w:jc w:val="center"/>
        </w:trPr>
        <w:tc>
          <w:tcPr>
            <w:tcW w:w="4536" w:type="dxa"/>
          </w:tcPr>
          <w:p w14:paraId="6FF85ED8" w14:textId="77777777" w:rsidR="00814667" w:rsidRPr="00A50751" w:rsidRDefault="00814667" w:rsidP="004F7735">
            <w:pPr>
              <w:pStyle w:val="SingleParagraph"/>
              <w:tabs>
                <w:tab w:val="num" w:pos="1134"/>
              </w:tabs>
              <w:spacing w:after="240"/>
              <w:rPr>
                <w:szCs w:val="22"/>
                <w:lang w:val="en-GB"/>
              </w:rPr>
            </w:pPr>
          </w:p>
        </w:tc>
        <w:tc>
          <w:tcPr>
            <w:tcW w:w="284" w:type="dxa"/>
            <w:tcMar>
              <w:left w:w="0" w:type="dxa"/>
              <w:right w:w="0" w:type="dxa"/>
            </w:tcMar>
          </w:tcPr>
          <w:p w14:paraId="265B87D2" w14:textId="77777777" w:rsidR="00814667" w:rsidRPr="00A50751" w:rsidRDefault="00814667">
            <w:pPr>
              <w:rPr>
                <w:rFonts w:ascii="Book Antiqua" w:hAnsi="Book Antiqua"/>
                <w:lang w:val="en-GB"/>
              </w:rPr>
            </w:pPr>
          </w:p>
        </w:tc>
        <w:tc>
          <w:tcPr>
            <w:tcW w:w="4536" w:type="dxa"/>
          </w:tcPr>
          <w:p w14:paraId="207646CD" w14:textId="77777777" w:rsidR="00814667" w:rsidRPr="00A50751" w:rsidRDefault="00814667" w:rsidP="00CB2E14">
            <w:pPr>
              <w:pStyle w:val="SingleParagraph"/>
              <w:tabs>
                <w:tab w:val="num" w:pos="1134"/>
              </w:tabs>
              <w:spacing w:after="240"/>
              <w:rPr>
                <w:lang w:val="en-GB"/>
              </w:rPr>
            </w:pPr>
          </w:p>
        </w:tc>
      </w:tr>
    </w:tbl>
    <w:p w14:paraId="782CC55D" w14:textId="77777777" w:rsidR="000F6B1D" w:rsidRDefault="000F6B1D" w:rsidP="0020144E"/>
    <w:p w14:paraId="689C78E5" w14:textId="77777777" w:rsidR="000F6B1D" w:rsidRDefault="000F6B1D" w:rsidP="000F6B1D"/>
    <w:p w14:paraId="55D6C9A0" w14:textId="77777777" w:rsidR="000F6B1D" w:rsidRPr="000F6B1D" w:rsidRDefault="00DB7C4B" w:rsidP="000F6B1D">
      <w:pPr>
        <w:spacing w:after="0" w:line="240" w:lineRule="auto"/>
        <w:jc w:val="right"/>
        <w:rPr>
          <w:color w:val="3D4B67"/>
          <w:sz w:val="72"/>
          <w:szCs w:val="48"/>
          <w:lang w:eastAsia="ja-JP"/>
        </w:rPr>
      </w:pPr>
      <w:r>
        <w:rPr>
          <w:rFonts w:cs="Corbel"/>
          <w:color w:val="800000"/>
          <w:sz w:val="36"/>
          <w:szCs w:val="36"/>
          <w:lang w:eastAsia="ja-JP"/>
        </w:rPr>
        <w:t>Appendix</w:t>
      </w:r>
      <w:r w:rsidRPr="000F6B1D">
        <w:rPr>
          <w:rFonts w:cs="Corbel"/>
          <w:color w:val="800000"/>
          <w:sz w:val="36"/>
          <w:szCs w:val="36"/>
          <w:lang w:eastAsia="ja-JP"/>
        </w:rPr>
        <w:t xml:space="preserve"> </w:t>
      </w:r>
      <w:r w:rsidR="000F6B1D" w:rsidRPr="000F6B1D">
        <w:rPr>
          <w:rFonts w:cs="Corbel"/>
          <w:color w:val="800000"/>
          <w:sz w:val="36"/>
          <w:szCs w:val="36"/>
          <w:lang w:eastAsia="ja-JP"/>
        </w:rPr>
        <w:t>A</w:t>
      </w:r>
    </w:p>
    <w:p w14:paraId="2C01D033" w14:textId="77777777" w:rsidR="001F4295" w:rsidRDefault="001F4295" w:rsidP="001F4295">
      <w:pPr>
        <w:pStyle w:val="Title"/>
      </w:pPr>
      <w:r>
        <w:t>Assessment Guidelines and Project Eligibility Criteria</w:t>
      </w:r>
    </w:p>
    <w:p w14:paraId="5C9CFC88" w14:textId="77777777" w:rsidR="009026C0" w:rsidRPr="009026C0" w:rsidRDefault="009026C0" w:rsidP="009026C0">
      <w:pPr>
        <w:pStyle w:val="HeaderOdd"/>
        <w:tabs>
          <w:tab w:val="num" w:pos="1134"/>
        </w:tabs>
        <w:rPr>
          <w:rFonts w:ascii="Consolas" w:hAnsi="Consolas"/>
          <w:b/>
          <w:caps/>
          <w:color w:val="C7823E"/>
          <w:spacing w:val="50"/>
          <w:sz w:val="24"/>
          <w:szCs w:val="22"/>
          <w:lang w:eastAsia="ja-JP"/>
        </w:rPr>
      </w:pPr>
      <w:r>
        <w:rPr>
          <w:rFonts w:ascii="Consolas" w:hAnsi="Consolas"/>
          <w:b/>
          <w:caps/>
          <w:color w:val="C7823E"/>
          <w:spacing w:val="50"/>
          <w:sz w:val="24"/>
          <w:szCs w:val="22"/>
          <w:lang w:eastAsia="ja-JP"/>
        </w:rPr>
        <w:t xml:space="preserve">Project </w:t>
      </w:r>
      <w:r w:rsidRPr="009026C0">
        <w:rPr>
          <w:rFonts w:ascii="Consolas" w:hAnsi="Consolas"/>
          <w:b/>
          <w:caps/>
          <w:color w:val="C7823E"/>
          <w:spacing w:val="50"/>
          <w:sz w:val="24"/>
          <w:szCs w:val="22"/>
          <w:lang w:eastAsia="ja-JP"/>
        </w:rPr>
        <w:t xml:space="preserve">Agreement for Improving Great Artesian Basin Drought Resilience </w:t>
      </w:r>
    </w:p>
    <w:p w14:paraId="0D90DC9A" w14:textId="77777777" w:rsidR="000F6B1D" w:rsidRPr="000F6B1D" w:rsidRDefault="000F6B1D" w:rsidP="000F6B1D">
      <w:pPr>
        <w:spacing w:before="100" w:beforeAutospacing="1" w:after="600" w:line="240" w:lineRule="auto"/>
        <w:jc w:val="left"/>
        <w:rPr>
          <w:rFonts w:ascii="Consolas" w:hAnsi="Consolas"/>
          <w:b/>
          <w:caps/>
          <w:color w:val="C7823E"/>
          <w:spacing w:val="50"/>
          <w:sz w:val="24"/>
          <w:szCs w:val="22"/>
          <w:lang w:eastAsia="ja-JP"/>
        </w:rPr>
      </w:pPr>
    </w:p>
    <w:p w14:paraId="096BC8B4" w14:textId="77777777" w:rsidR="001F4295" w:rsidRDefault="001F4295" w:rsidP="001F4295">
      <w:pPr>
        <w:pStyle w:val="Heading1"/>
        <w:spacing w:before="0"/>
      </w:pPr>
      <w:bookmarkStart w:id="2" w:name="_Hlt130373736"/>
      <w:bookmarkStart w:id="3" w:name="_Hlt188680878"/>
      <w:bookmarkStart w:id="4" w:name="_Hlt185760550"/>
      <w:bookmarkStart w:id="5" w:name="_Hlt185760621"/>
      <w:bookmarkStart w:id="6" w:name="_Hlt185761375"/>
      <w:bookmarkStart w:id="7" w:name="_Hlt188677773"/>
      <w:bookmarkStart w:id="8" w:name="_Hlt190071014"/>
      <w:bookmarkStart w:id="9" w:name="_Hlt190071846"/>
      <w:bookmarkStart w:id="10" w:name="_Hlt190071854"/>
      <w:bookmarkEnd w:id="2"/>
      <w:bookmarkEnd w:id="3"/>
      <w:bookmarkEnd w:id="4"/>
      <w:bookmarkEnd w:id="5"/>
      <w:bookmarkEnd w:id="6"/>
      <w:bookmarkEnd w:id="7"/>
      <w:bookmarkEnd w:id="8"/>
      <w:bookmarkEnd w:id="9"/>
      <w:bookmarkEnd w:id="10"/>
      <w:r>
        <w:t>Assessment guidelines</w:t>
      </w:r>
    </w:p>
    <w:p w14:paraId="06FF632E" w14:textId="6EB949C1" w:rsidR="001F4295" w:rsidRPr="00876796" w:rsidRDefault="001F4295" w:rsidP="00682C43">
      <w:pPr>
        <w:pStyle w:val="ScheduleNumberedPara"/>
        <w:numPr>
          <w:ilvl w:val="1"/>
          <w:numId w:val="24"/>
        </w:numPr>
        <w:tabs>
          <w:tab w:val="clear" w:pos="567"/>
          <w:tab w:val="clear" w:pos="1134"/>
          <w:tab w:val="clear" w:pos="1440"/>
          <w:tab w:val="clear" w:pos="1701"/>
          <w:tab w:val="clear" w:pos="2268"/>
          <w:tab w:val="clear" w:pos="2574"/>
        </w:tabs>
        <w:ind w:left="703" w:hanging="601"/>
        <w:rPr>
          <w:color w:val="auto"/>
        </w:rPr>
      </w:pPr>
      <w:r w:rsidRPr="00876796">
        <w:rPr>
          <w:color w:val="auto"/>
        </w:rPr>
        <w:t>These Assessment Guidelines provide advice to assist the States in preparing a list of eligible projects</w:t>
      </w:r>
      <w:r w:rsidR="00547652">
        <w:rPr>
          <w:color w:val="auto"/>
        </w:rPr>
        <w:t xml:space="preserve"> and/or</w:t>
      </w:r>
      <w:r w:rsidR="0020513E">
        <w:rPr>
          <w:color w:val="auto"/>
        </w:rPr>
        <w:t xml:space="preserve"> activities</w:t>
      </w:r>
      <w:r w:rsidRPr="00876796">
        <w:rPr>
          <w:color w:val="auto"/>
        </w:rPr>
        <w:t xml:space="preserve"> for funding under </w:t>
      </w:r>
      <w:r w:rsidR="00876796" w:rsidRPr="00876796">
        <w:rPr>
          <w:color w:val="auto"/>
        </w:rPr>
        <w:t>the Improving Great Artesian Basin Drought Resilience program</w:t>
      </w:r>
      <w:r w:rsidRPr="00876796">
        <w:rPr>
          <w:color w:val="auto"/>
        </w:rPr>
        <w:t>.</w:t>
      </w:r>
    </w:p>
    <w:p w14:paraId="0E8CA19F" w14:textId="0A0DD2F8" w:rsidR="001F4295" w:rsidRPr="00876796" w:rsidRDefault="001F4295" w:rsidP="002D0392">
      <w:pPr>
        <w:pStyle w:val="ScheduleNumberedPara"/>
        <w:numPr>
          <w:ilvl w:val="1"/>
          <w:numId w:val="24"/>
        </w:numPr>
        <w:tabs>
          <w:tab w:val="clear" w:pos="567"/>
          <w:tab w:val="clear" w:pos="1134"/>
          <w:tab w:val="clear" w:pos="1440"/>
          <w:tab w:val="clear" w:pos="1701"/>
          <w:tab w:val="clear" w:pos="2268"/>
          <w:tab w:val="clear" w:pos="2574"/>
        </w:tabs>
        <w:ind w:left="703" w:hanging="601"/>
      </w:pPr>
      <w:r w:rsidRPr="00876796">
        <w:t xml:space="preserve">The Commonwealth agrees to assess the </w:t>
      </w:r>
      <w:r w:rsidR="009879EC">
        <w:t xml:space="preserve">proposed </w:t>
      </w:r>
      <w:r w:rsidRPr="00876796">
        <w:t xml:space="preserve">projects </w:t>
      </w:r>
      <w:r w:rsidR="00547652">
        <w:t xml:space="preserve">and/or </w:t>
      </w:r>
      <w:r w:rsidR="0020513E">
        <w:t>activities</w:t>
      </w:r>
      <w:r w:rsidR="00547652">
        <w:t xml:space="preserve"> </w:t>
      </w:r>
      <w:r w:rsidRPr="00876796">
        <w:t xml:space="preserve">on a State-by-State basis for inclusion as </w:t>
      </w:r>
      <w:r w:rsidR="00BC7E8A">
        <w:t xml:space="preserve">part of </w:t>
      </w:r>
      <w:r w:rsidRPr="00876796">
        <w:t xml:space="preserve">bilateral schedules to this Agreement in accordance with the Assessment Guidelines set out in this </w:t>
      </w:r>
      <w:r w:rsidR="008466CF">
        <w:t>Appendix</w:t>
      </w:r>
      <w:r w:rsidRPr="00876796">
        <w:t>.</w:t>
      </w:r>
    </w:p>
    <w:p w14:paraId="4421164C" w14:textId="25C19B8D" w:rsidR="001F4295" w:rsidRPr="00876796" w:rsidRDefault="001F4295" w:rsidP="002D0392">
      <w:pPr>
        <w:pStyle w:val="ScheduleNumberedPara"/>
        <w:numPr>
          <w:ilvl w:val="1"/>
          <w:numId w:val="24"/>
        </w:numPr>
        <w:tabs>
          <w:tab w:val="clear" w:pos="567"/>
          <w:tab w:val="clear" w:pos="1134"/>
          <w:tab w:val="clear" w:pos="1440"/>
          <w:tab w:val="clear" w:pos="1701"/>
          <w:tab w:val="clear" w:pos="2268"/>
          <w:tab w:val="clear" w:pos="2574"/>
        </w:tabs>
        <w:ind w:left="703" w:hanging="601"/>
      </w:pPr>
      <w:r w:rsidRPr="00876796">
        <w:t>The State Minister will provide to the Commonwealth Minister a list of proposed project</w:t>
      </w:r>
      <w:r w:rsidR="009879EC">
        <w:t>(</w:t>
      </w:r>
      <w:r w:rsidRPr="00876796">
        <w:t>s</w:t>
      </w:r>
      <w:r w:rsidR="009879EC">
        <w:t>)</w:t>
      </w:r>
      <w:r w:rsidRPr="00876796">
        <w:t xml:space="preserve"> </w:t>
      </w:r>
      <w:r w:rsidR="00547652">
        <w:t xml:space="preserve">and/or </w:t>
      </w:r>
      <w:r w:rsidR="0020513E">
        <w:t>activities</w:t>
      </w:r>
      <w:r w:rsidR="00547652">
        <w:t xml:space="preserve"> </w:t>
      </w:r>
      <w:r w:rsidRPr="00876796">
        <w:t xml:space="preserve">for the term of this Agreement which </w:t>
      </w:r>
      <w:r w:rsidR="009879EC">
        <w:t xml:space="preserve">may </w:t>
      </w:r>
      <w:r w:rsidRPr="00876796">
        <w:t xml:space="preserve">contain the </w:t>
      </w:r>
      <w:r w:rsidR="00547652">
        <w:t xml:space="preserve">following </w:t>
      </w:r>
      <w:r w:rsidRPr="00876796">
        <w:t>details:</w:t>
      </w:r>
    </w:p>
    <w:p w14:paraId="44612AAA" w14:textId="76A632BD" w:rsidR="001F4295" w:rsidRPr="00876796" w:rsidRDefault="001F4295" w:rsidP="002D0392">
      <w:pPr>
        <w:pStyle w:val="ScheduleNumberedPara"/>
        <w:numPr>
          <w:ilvl w:val="0"/>
          <w:numId w:val="23"/>
        </w:numPr>
        <w:tabs>
          <w:tab w:val="clear" w:pos="820"/>
          <w:tab w:val="clear" w:pos="1440"/>
          <w:tab w:val="clear" w:pos="1701"/>
          <w:tab w:val="clear" w:pos="2268"/>
          <w:tab w:val="clear" w:pos="2574"/>
        </w:tabs>
        <w:ind w:left="1134" w:hanging="425"/>
      </w:pPr>
      <w:r w:rsidRPr="00876796">
        <w:t>the estimated costings and completion date for each activity under each project</w:t>
      </w:r>
      <w:r w:rsidR="00190A08">
        <w:t xml:space="preserve"> or activity</w:t>
      </w:r>
      <w:r w:rsidRPr="00876796">
        <w:t>;</w:t>
      </w:r>
    </w:p>
    <w:p w14:paraId="5EAE996B" w14:textId="48D016EA" w:rsidR="001F4295" w:rsidRPr="00876796" w:rsidRDefault="001F4295" w:rsidP="002D0392">
      <w:pPr>
        <w:pStyle w:val="ScheduleNumberedPara"/>
        <w:numPr>
          <w:ilvl w:val="0"/>
          <w:numId w:val="23"/>
        </w:numPr>
        <w:tabs>
          <w:tab w:val="clear" w:pos="820"/>
          <w:tab w:val="clear" w:pos="1440"/>
          <w:tab w:val="clear" w:pos="1701"/>
          <w:tab w:val="clear" w:pos="2268"/>
          <w:tab w:val="clear" w:pos="2574"/>
        </w:tabs>
        <w:ind w:left="1134" w:hanging="425"/>
      </w:pPr>
      <w:r w:rsidRPr="00876796">
        <w:t xml:space="preserve">the proposed funding </w:t>
      </w:r>
      <w:r w:rsidR="00547652">
        <w:t xml:space="preserve">required to achieve </w:t>
      </w:r>
      <w:r w:rsidRPr="00876796">
        <w:t>each project</w:t>
      </w:r>
      <w:r w:rsidR="00190A08">
        <w:t xml:space="preserve"> or activity</w:t>
      </w:r>
      <w:r w:rsidRPr="00876796">
        <w:t xml:space="preserve"> (including details of proposed Commonwealth, State, third party and other contributions, where relevant);</w:t>
      </w:r>
    </w:p>
    <w:p w14:paraId="6B4079A8" w14:textId="369372F8" w:rsidR="001F4295" w:rsidRPr="00876796" w:rsidRDefault="001F4295" w:rsidP="002D0392">
      <w:pPr>
        <w:pStyle w:val="ScheduleNumberedPara"/>
        <w:numPr>
          <w:ilvl w:val="0"/>
          <w:numId w:val="23"/>
        </w:numPr>
        <w:tabs>
          <w:tab w:val="clear" w:pos="820"/>
          <w:tab w:val="clear" w:pos="1440"/>
          <w:tab w:val="clear" w:pos="1701"/>
          <w:tab w:val="clear" w:pos="2268"/>
          <w:tab w:val="clear" w:pos="2574"/>
        </w:tabs>
        <w:ind w:left="1134" w:hanging="425"/>
      </w:pPr>
      <w:r w:rsidRPr="00876796">
        <w:rPr>
          <w:szCs w:val="23"/>
        </w:rPr>
        <w:t xml:space="preserve">relevant outcomes </w:t>
      </w:r>
      <w:r w:rsidRPr="00876796">
        <w:t>for each project</w:t>
      </w:r>
      <w:r w:rsidR="00190A08">
        <w:t xml:space="preserve"> or activity</w:t>
      </w:r>
      <w:r w:rsidRPr="00876796">
        <w:t>;</w:t>
      </w:r>
    </w:p>
    <w:p w14:paraId="23880F6E" w14:textId="2CE56EDC" w:rsidR="001F4295" w:rsidRPr="00BC7E8A" w:rsidRDefault="001F4295" w:rsidP="002D0392">
      <w:pPr>
        <w:pStyle w:val="ScheduleNumberedPara"/>
        <w:numPr>
          <w:ilvl w:val="0"/>
          <w:numId w:val="23"/>
        </w:numPr>
        <w:tabs>
          <w:tab w:val="clear" w:pos="820"/>
          <w:tab w:val="clear" w:pos="1440"/>
          <w:tab w:val="clear" w:pos="1701"/>
          <w:tab w:val="clear" w:pos="2268"/>
          <w:tab w:val="clear" w:pos="2574"/>
        </w:tabs>
        <w:ind w:left="1134" w:hanging="425"/>
      </w:pPr>
      <w:r w:rsidRPr="00BC7E8A">
        <w:t>a description of the selection process for each project</w:t>
      </w:r>
      <w:r w:rsidR="007F30D7">
        <w:t xml:space="preserve"> and/or rationale to support the </w:t>
      </w:r>
      <w:r w:rsidR="00190A08">
        <w:t>activity</w:t>
      </w:r>
      <w:r w:rsidRPr="00BC7E8A">
        <w:t>;</w:t>
      </w:r>
    </w:p>
    <w:p w14:paraId="35C4A9EE" w14:textId="78DAB999" w:rsidR="00FE730A" w:rsidRDefault="001F4295" w:rsidP="00FE730A">
      <w:pPr>
        <w:pStyle w:val="ScheduleNumberedPara"/>
        <w:numPr>
          <w:ilvl w:val="0"/>
          <w:numId w:val="23"/>
        </w:numPr>
        <w:tabs>
          <w:tab w:val="clear" w:pos="820"/>
          <w:tab w:val="clear" w:pos="1440"/>
          <w:tab w:val="clear" w:pos="1701"/>
          <w:tab w:val="clear" w:pos="2268"/>
          <w:tab w:val="clear" w:pos="2574"/>
        </w:tabs>
        <w:ind w:left="1134" w:hanging="425"/>
      </w:pPr>
      <w:r w:rsidRPr="00876796">
        <w:t>a description of the methods adopted to design and implement and, where necessary, justification for the particular approach taken</w:t>
      </w:r>
      <w:r w:rsidR="00FE730A">
        <w:t>; and</w:t>
      </w:r>
    </w:p>
    <w:p w14:paraId="54B7E76D" w14:textId="77777777" w:rsidR="00FE730A" w:rsidRDefault="00FE730A" w:rsidP="00FE730A">
      <w:pPr>
        <w:pStyle w:val="ScheduleNumberedPara"/>
        <w:numPr>
          <w:ilvl w:val="0"/>
          <w:numId w:val="23"/>
        </w:numPr>
        <w:tabs>
          <w:tab w:val="clear" w:pos="820"/>
          <w:tab w:val="clear" w:pos="1440"/>
          <w:tab w:val="clear" w:pos="1701"/>
          <w:tab w:val="clear" w:pos="2268"/>
          <w:tab w:val="clear" w:pos="2574"/>
        </w:tabs>
        <w:ind w:left="1134" w:hanging="425"/>
      </w:pPr>
      <w:r>
        <w:t>how the proposed works contribute to one or more of the outputs at Part 2 – Project Outputs</w:t>
      </w:r>
      <w:r w:rsidR="000179F6">
        <w:t>.</w:t>
      </w:r>
    </w:p>
    <w:p w14:paraId="6E0B3C10" w14:textId="77777777" w:rsidR="001F4295" w:rsidRPr="00876796" w:rsidRDefault="001F4295" w:rsidP="002D0392">
      <w:pPr>
        <w:pStyle w:val="ScheduleNumberedPara"/>
        <w:numPr>
          <w:ilvl w:val="1"/>
          <w:numId w:val="24"/>
        </w:numPr>
        <w:tabs>
          <w:tab w:val="clear" w:pos="567"/>
          <w:tab w:val="clear" w:pos="1134"/>
          <w:tab w:val="clear" w:pos="1440"/>
          <w:tab w:val="clear" w:pos="1701"/>
          <w:tab w:val="clear" w:pos="2268"/>
          <w:tab w:val="clear" w:pos="2574"/>
        </w:tabs>
        <w:ind w:left="703" w:hanging="601"/>
      </w:pPr>
      <w:r w:rsidRPr="00876796">
        <w:t>States may include cash and contributions in estimating the cost of each proposed project.</w:t>
      </w:r>
      <w:r w:rsidR="009B589B">
        <w:t xml:space="preserve"> </w:t>
      </w:r>
      <w:r w:rsidRPr="00876796">
        <w:t xml:space="preserve">Only direct costs associated with the </w:t>
      </w:r>
      <w:r w:rsidR="009B589B">
        <w:t>Improving Great Artesian Basin Drought Resilience</w:t>
      </w:r>
      <w:r w:rsidRPr="00876796">
        <w:t xml:space="preserve"> </w:t>
      </w:r>
      <w:r w:rsidR="00876796">
        <w:t>program</w:t>
      </w:r>
      <w:r w:rsidRPr="00876796">
        <w:t xml:space="preserve"> are acceptable as such contributions. Administration items incurred and salaries and wages for officers spending less than 20 per cent of their time on the </w:t>
      </w:r>
      <w:r w:rsidR="00876796">
        <w:t>program</w:t>
      </w:r>
      <w:r w:rsidRPr="00876796">
        <w:t>, should not be included.</w:t>
      </w:r>
    </w:p>
    <w:p w14:paraId="400C1D09" w14:textId="78E82407" w:rsidR="001F4295" w:rsidRPr="00876796" w:rsidRDefault="001F4295" w:rsidP="002D0392">
      <w:pPr>
        <w:pStyle w:val="ScheduleNumberedPara"/>
        <w:numPr>
          <w:ilvl w:val="1"/>
          <w:numId w:val="24"/>
        </w:numPr>
        <w:tabs>
          <w:tab w:val="clear" w:pos="567"/>
          <w:tab w:val="clear" w:pos="1134"/>
          <w:tab w:val="clear" w:pos="1440"/>
          <w:tab w:val="clear" w:pos="1701"/>
          <w:tab w:val="clear" w:pos="2268"/>
          <w:tab w:val="clear" w:pos="2574"/>
        </w:tabs>
        <w:ind w:left="703" w:hanging="601"/>
      </w:pPr>
      <w:r w:rsidRPr="00876796">
        <w:t>In considering whether to agree to the list of proposed projects</w:t>
      </w:r>
      <w:r w:rsidR="00190A08">
        <w:t xml:space="preserve"> or activities</w:t>
      </w:r>
      <w:r w:rsidRPr="00876796">
        <w:t xml:space="preserve"> submitted by the State, the Commonwealth Minister will take into account for each project:</w:t>
      </w:r>
    </w:p>
    <w:p w14:paraId="2BC2B96A" w14:textId="77777777" w:rsidR="001F4295" w:rsidRPr="00876796" w:rsidRDefault="001F4295" w:rsidP="002D0392">
      <w:pPr>
        <w:pStyle w:val="ScheduleNumberedPara"/>
        <w:numPr>
          <w:ilvl w:val="2"/>
          <w:numId w:val="21"/>
        </w:numPr>
        <w:tabs>
          <w:tab w:val="clear" w:pos="1440"/>
          <w:tab w:val="clear" w:pos="1593"/>
          <w:tab w:val="clear" w:pos="1701"/>
          <w:tab w:val="clear" w:pos="2268"/>
          <w:tab w:val="clear" w:pos="2574"/>
        </w:tabs>
        <w:ind w:left="1134" w:hanging="425"/>
      </w:pPr>
      <w:r w:rsidRPr="00876796">
        <w:t xml:space="preserve">consistency with the project eligibility criteria in this </w:t>
      </w:r>
      <w:r w:rsidR="008466CF">
        <w:t>Appendix</w:t>
      </w:r>
      <w:r w:rsidRPr="00876796">
        <w:t xml:space="preserve"> and the outputs of this Agreement;</w:t>
      </w:r>
    </w:p>
    <w:p w14:paraId="684FD47F" w14:textId="77777777" w:rsidR="007F30D7" w:rsidRPr="00876796" w:rsidRDefault="001F4295" w:rsidP="002D0392">
      <w:pPr>
        <w:pStyle w:val="ScheduleNumberedPara"/>
        <w:numPr>
          <w:ilvl w:val="2"/>
          <w:numId w:val="21"/>
        </w:numPr>
        <w:tabs>
          <w:tab w:val="clear" w:pos="1440"/>
          <w:tab w:val="clear" w:pos="1593"/>
          <w:tab w:val="clear" w:pos="1701"/>
          <w:tab w:val="clear" w:pos="2268"/>
          <w:tab w:val="clear" w:pos="2574"/>
        </w:tabs>
        <w:ind w:left="1134" w:hanging="425"/>
      </w:pPr>
      <w:r w:rsidRPr="00876796">
        <w:t>the transparency and equity of the process used to select projects;</w:t>
      </w:r>
    </w:p>
    <w:p w14:paraId="599806CB" w14:textId="77777777" w:rsidR="007F30D7" w:rsidRDefault="001F4295" w:rsidP="00F63A9F">
      <w:pPr>
        <w:pStyle w:val="ScheduleNumberedPara"/>
        <w:numPr>
          <w:ilvl w:val="2"/>
          <w:numId w:val="21"/>
        </w:numPr>
        <w:tabs>
          <w:tab w:val="clear" w:pos="1440"/>
          <w:tab w:val="clear" w:pos="1593"/>
          <w:tab w:val="clear" w:pos="1701"/>
          <w:tab w:val="clear" w:pos="2268"/>
          <w:tab w:val="clear" w:pos="2574"/>
        </w:tabs>
        <w:ind w:left="1134" w:hanging="425"/>
      </w:pPr>
      <w:r w:rsidRPr="00FD7123">
        <w:t xml:space="preserve">the ‘value for money’ of the </w:t>
      </w:r>
      <w:r>
        <w:t>projects</w:t>
      </w:r>
      <w:r w:rsidRPr="00FD7123">
        <w:t xml:space="preserve">, having particular regard to the cost of each </w:t>
      </w:r>
      <w:r>
        <w:t>proposed project</w:t>
      </w:r>
      <w:r w:rsidRPr="00FD7123">
        <w:t xml:space="preserve"> compared to the water estimated to be saved for the environment and the degree of protection to high value natural springs afforded by such a </w:t>
      </w:r>
      <w:r>
        <w:t>project</w:t>
      </w:r>
      <w:r w:rsidRPr="00FD7123">
        <w:t>;</w:t>
      </w:r>
      <w:r>
        <w:t xml:space="preserve"> and</w:t>
      </w:r>
    </w:p>
    <w:p w14:paraId="384980D9" w14:textId="045D4CD7" w:rsidR="001F4295" w:rsidRPr="00876796" w:rsidRDefault="001F4295" w:rsidP="002D0392">
      <w:pPr>
        <w:pStyle w:val="ScheduleNumberedPara"/>
        <w:numPr>
          <w:ilvl w:val="2"/>
          <w:numId w:val="21"/>
        </w:numPr>
        <w:tabs>
          <w:tab w:val="clear" w:pos="1440"/>
          <w:tab w:val="clear" w:pos="1593"/>
          <w:tab w:val="clear" w:pos="1701"/>
          <w:tab w:val="clear" w:pos="2268"/>
          <w:tab w:val="clear" w:pos="2574"/>
        </w:tabs>
        <w:ind w:left="1134" w:hanging="425"/>
      </w:pPr>
      <w:r w:rsidRPr="00876796">
        <w:t xml:space="preserve">the amount of funding available each financial year for </w:t>
      </w:r>
      <w:r w:rsidR="007D451F">
        <w:t>the proposed project</w:t>
      </w:r>
      <w:r w:rsidR="007F30D7">
        <w:t>(</w:t>
      </w:r>
      <w:r w:rsidR="007D451F">
        <w:t>s</w:t>
      </w:r>
      <w:r w:rsidR="007F30D7">
        <w:t xml:space="preserve">) and/or </w:t>
      </w:r>
      <w:r w:rsidR="00190A08">
        <w:t>activities</w:t>
      </w:r>
      <w:r w:rsidRPr="00876796">
        <w:t>.</w:t>
      </w:r>
    </w:p>
    <w:p w14:paraId="76E0DC45" w14:textId="666B85A0" w:rsidR="001F4295" w:rsidRPr="00876796" w:rsidRDefault="001F4295" w:rsidP="002D0392">
      <w:pPr>
        <w:pStyle w:val="ScheduleNumberedPara"/>
        <w:numPr>
          <w:ilvl w:val="1"/>
          <w:numId w:val="24"/>
        </w:numPr>
        <w:tabs>
          <w:tab w:val="clear" w:pos="567"/>
          <w:tab w:val="clear" w:pos="1134"/>
          <w:tab w:val="clear" w:pos="1440"/>
          <w:tab w:val="clear" w:pos="1701"/>
          <w:tab w:val="clear" w:pos="2268"/>
          <w:tab w:val="clear" w:pos="2574"/>
        </w:tabs>
        <w:ind w:left="703" w:hanging="601"/>
      </w:pPr>
      <w:r w:rsidRPr="00876796">
        <w:t>Should the Commonwealth agree to the proposed project, payments will be made on a matched basis subject to the State achieving milestones specified in the bilateral schedules to this Agreement.</w:t>
      </w:r>
    </w:p>
    <w:p w14:paraId="2B6F424C" w14:textId="77777777" w:rsidR="001F4295" w:rsidRPr="00876796" w:rsidRDefault="001F4295" w:rsidP="002D0392">
      <w:pPr>
        <w:pStyle w:val="ScheduleNumberedPara"/>
        <w:numPr>
          <w:ilvl w:val="1"/>
          <w:numId w:val="24"/>
        </w:numPr>
        <w:tabs>
          <w:tab w:val="clear" w:pos="567"/>
          <w:tab w:val="clear" w:pos="1440"/>
          <w:tab w:val="clear" w:pos="1701"/>
          <w:tab w:val="clear" w:pos="2268"/>
          <w:tab w:val="clear" w:pos="2574"/>
          <w:tab w:val="num" w:pos="700"/>
        </w:tabs>
        <w:ind w:left="703" w:hanging="601"/>
      </w:pPr>
      <w:r w:rsidRPr="00876796">
        <w:t>States will provide evidence in each annual performance report as to how the requirements of clauses A5 and A9 have been given effect.</w:t>
      </w:r>
    </w:p>
    <w:p w14:paraId="664F2191" w14:textId="77777777" w:rsidR="001F4295" w:rsidRDefault="001F4295" w:rsidP="001F4295">
      <w:pPr>
        <w:pStyle w:val="Heading1"/>
        <w:spacing w:before="240"/>
      </w:pPr>
      <w:r>
        <w:t>Project eligibility criteria</w:t>
      </w:r>
    </w:p>
    <w:p w14:paraId="04C7AE37" w14:textId="77777777" w:rsidR="001F4295" w:rsidRDefault="001F4295" w:rsidP="002D0392">
      <w:pPr>
        <w:pStyle w:val="ScheduleNumberedPara"/>
        <w:numPr>
          <w:ilvl w:val="1"/>
          <w:numId w:val="24"/>
        </w:numPr>
        <w:tabs>
          <w:tab w:val="clear" w:pos="567"/>
          <w:tab w:val="clear" w:pos="1440"/>
          <w:tab w:val="clear" w:pos="1701"/>
          <w:tab w:val="clear" w:pos="2268"/>
          <w:tab w:val="clear" w:pos="2574"/>
          <w:tab w:val="num" w:pos="700"/>
        </w:tabs>
        <w:ind w:left="703" w:hanging="601"/>
      </w:pPr>
      <w:r>
        <w:t xml:space="preserve">Projects and activities that are eligible for funding under the </w:t>
      </w:r>
      <w:r w:rsidR="00876796">
        <w:t>program</w:t>
      </w:r>
      <w:r>
        <w:t xml:space="preserve"> include:</w:t>
      </w:r>
    </w:p>
    <w:p w14:paraId="7B733517" w14:textId="565E4937" w:rsidR="001F4295" w:rsidRDefault="001F4295" w:rsidP="002D0392">
      <w:pPr>
        <w:pStyle w:val="ScheduleNumberedPara"/>
        <w:numPr>
          <w:ilvl w:val="0"/>
          <w:numId w:val="22"/>
        </w:numPr>
        <w:tabs>
          <w:tab w:val="clear" w:pos="820"/>
          <w:tab w:val="clear" w:pos="1440"/>
          <w:tab w:val="clear" w:pos="1701"/>
          <w:tab w:val="clear" w:pos="2268"/>
          <w:tab w:val="clear" w:pos="2574"/>
        </w:tabs>
        <w:ind w:left="1134" w:hanging="567"/>
      </w:pPr>
      <w:r>
        <w:t xml:space="preserve">rehabilitation or replacement of </w:t>
      </w:r>
      <w:r w:rsidR="001A40F8">
        <w:t>ageing,</w:t>
      </w:r>
      <w:r>
        <w:t xml:space="preserve"> legally</w:t>
      </w:r>
      <w:r w:rsidR="001A40F8">
        <w:t>-operated bores which are in an</w:t>
      </w:r>
      <w:r>
        <w:t xml:space="preserve"> uncontrolled state with controlled bores and efficient</w:t>
      </w:r>
      <w:r w:rsidR="001A40F8">
        <w:t xml:space="preserve"> watering system infrastructure</w:t>
      </w:r>
      <w:r>
        <w:t xml:space="preserve"> particularly where such works will </w:t>
      </w:r>
      <w:r w:rsidR="005176BF">
        <w:t>achieve significant and quantifiable environmental benefit or avoid significant and quantifiable environmental degradation</w:t>
      </w:r>
      <w:r w:rsidR="0002335A">
        <w:t>;</w:t>
      </w:r>
    </w:p>
    <w:p w14:paraId="0DC8ADA4" w14:textId="77777777" w:rsidR="001F4295" w:rsidRDefault="001F4295" w:rsidP="002D0392">
      <w:pPr>
        <w:pStyle w:val="ScheduleNumberedPara"/>
        <w:numPr>
          <w:ilvl w:val="0"/>
          <w:numId w:val="22"/>
        </w:numPr>
        <w:tabs>
          <w:tab w:val="clear" w:pos="820"/>
          <w:tab w:val="clear" w:pos="1440"/>
          <w:tab w:val="clear" w:pos="1701"/>
          <w:tab w:val="clear" w:pos="2268"/>
          <w:tab w:val="clear" w:pos="2574"/>
        </w:tabs>
        <w:ind w:left="1134" w:hanging="567"/>
      </w:pPr>
      <w:r>
        <w:t xml:space="preserve">rehabilitation or replacement </w:t>
      </w:r>
      <w:r w:rsidR="005849D7">
        <w:t xml:space="preserve">of bores </w:t>
      </w:r>
      <w:r>
        <w:t xml:space="preserve">where there has been a critical failure of infrastructure assets previously rehabilitated under earlier programs jointly funded by the Parties, due to the impact of highly corrosive </w:t>
      </w:r>
      <w:r w:rsidR="000179F6">
        <w:t xml:space="preserve">water </w:t>
      </w:r>
      <w:r>
        <w:t xml:space="preserve">or a generic failure of technology not due to poor workmanship </w:t>
      </w:r>
      <w:r w:rsidR="005849D7">
        <w:t>or for the payment of</w:t>
      </w:r>
      <w:r>
        <w:t xml:space="preserve"> normal maintenance costs</w:t>
      </w:r>
      <w:r w:rsidR="00DB0C47">
        <w:t>;</w:t>
      </w:r>
    </w:p>
    <w:p w14:paraId="66BA30D6" w14:textId="77777777" w:rsidR="000103D1" w:rsidRDefault="000103D1" w:rsidP="002D0392">
      <w:pPr>
        <w:pStyle w:val="ScheduleNumberedPara"/>
        <w:numPr>
          <w:ilvl w:val="0"/>
          <w:numId w:val="22"/>
        </w:numPr>
        <w:tabs>
          <w:tab w:val="clear" w:pos="820"/>
          <w:tab w:val="clear" w:pos="1440"/>
          <w:tab w:val="clear" w:pos="1701"/>
          <w:tab w:val="clear" w:pos="2268"/>
          <w:tab w:val="clear" w:pos="2574"/>
        </w:tabs>
        <w:ind w:left="1134" w:hanging="567"/>
      </w:pPr>
      <w:r>
        <w:t xml:space="preserve">decommissioning </w:t>
      </w:r>
      <w:r w:rsidR="00C63A00">
        <w:t xml:space="preserve">of </w:t>
      </w:r>
      <w:r>
        <w:t xml:space="preserve">old bores </w:t>
      </w:r>
      <w:r w:rsidR="00C63A00">
        <w:t xml:space="preserve">where the state governments have implemented new regulatory responses that require landholders to manage their own assets; </w:t>
      </w:r>
    </w:p>
    <w:p w14:paraId="0FF06DCB" w14:textId="77777777" w:rsidR="001F4295" w:rsidRDefault="002D2B61" w:rsidP="002D0392">
      <w:pPr>
        <w:pStyle w:val="ScheduleNumberedPara"/>
        <w:numPr>
          <w:ilvl w:val="0"/>
          <w:numId w:val="22"/>
        </w:numPr>
        <w:tabs>
          <w:tab w:val="clear" w:pos="820"/>
          <w:tab w:val="clear" w:pos="1440"/>
          <w:tab w:val="clear" w:pos="1701"/>
          <w:tab w:val="clear" w:pos="2268"/>
          <w:tab w:val="clear" w:pos="2574"/>
        </w:tabs>
        <w:ind w:left="1134" w:hanging="567"/>
      </w:pPr>
      <w:r w:rsidRPr="002D6390">
        <w:t>project management costs</w:t>
      </w:r>
      <w:r>
        <w:t>,</w:t>
      </w:r>
      <w:r w:rsidRPr="002D6390">
        <w:t xml:space="preserve"> </w:t>
      </w:r>
      <w:r w:rsidR="001F4295" w:rsidRPr="002D6390">
        <w:t>audits of works,</w:t>
      </w:r>
      <w:r w:rsidR="001F4295">
        <w:t xml:space="preserve"> </w:t>
      </w:r>
      <w:r w:rsidR="001F4295" w:rsidRPr="002D6390">
        <w:t>marketing and promo</w:t>
      </w:r>
      <w:r>
        <w:t>tional material for the program;</w:t>
      </w:r>
      <w:r w:rsidR="00FE3A71">
        <w:t xml:space="preserve"> and</w:t>
      </w:r>
      <w:r w:rsidR="00FE3A71" w:rsidRPr="00FE3A71">
        <w:t xml:space="preserve"> </w:t>
      </w:r>
      <w:r w:rsidR="00FE3A71">
        <w:t>compliance programs that assist state agencies to implement new Great Artesian Basin water management arrangements;</w:t>
      </w:r>
    </w:p>
    <w:p w14:paraId="15B0B561" w14:textId="77777777" w:rsidR="000103D1" w:rsidRDefault="00FE3A71" w:rsidP="002D0392">
      <w:pPr>
        <w:pStyle w:val="ScheduleNumberedPara"/>
        <w:numPr>
          <w:ilvl w:val="0"/>
          <w:numId w:val="22"/>
        </w:numPr>
        <w:tabs>
          <w:tab w:val="clear" w:pos="820"/>
          <w:tab w:val="clear" w:pos="1440"/>
          <w:tab w:val="clear" w:pos="1701"/>
          <w:tab w:val="clear" w:pos="2268"/>
          <w:tab w:val="clear" w:pos="2574"/>
        </w:tabs>
        <w:ind w:left="1134" w:hanging="567"/>
      </w:pPr>
      <w:r>
        <w:t>a</w:t>
      </w:r>
      <w:r w:rsidRPr="002D6390">
        <w:t>ctivities to encourage</w:t>
      </w:r>
      <w:r>
        <w:t xml:space="preserve"> landholders to adopt</w:t>
      </w:r>
      <w:r w:rsidRPr="002D6390">
        <w:t xml:space="preserve"> best practice approaches to maintaining water extraction and distribution</w:t>
      </w:r>
      <w:r>
        <w:t xml:space="preserve"> </w:t>
      </w:r>
      <w:r w:rsidRPr="002D6390">
        <w:t xml:space="preserve">infrastructure </w:t>
      </w:r>
      <w:r>
        <w:t>including</w:t>
      </w:r>
      <w:r w:rsidRPr="002D6390">
        <w:t xml:space="preserve"> </w:t>
      </w:r>
      <w:r w:rsidR="002D2B61">
        <w:t>education</w:t>
      </w:r>
      <w:r>
        <w:t xml:space="preserve"> and </w:t>
      </w:r>
      <w:r w:rsidR="002D2B61">
        <w:t xml:space="preserve">communication </w:t>
      </w:r>
      <w:r>
        <w:t xml:space="preserve">activities </w:t>
      </w:r>
      <w:r w:rsidR="002D2B61">
        <w:t xml:space="preserve">which </w:t>
      </w:r>
      <w:r>
        <w:t xml:space="preserve">assist in </w:t>
      </w:r>
      <w:r w:rsidR="000103D1">
        <w:t>minimis</w:t>
      </w:r>
      <w:r>
        <w:t>ing</w:t>
      </w:r>
      <w:r w:rsidR="002D2B61">
        <w:t xml:space="preserve"> the wastage of </w:t>
      </w:r>
      <w:r w:rsidR="000103D1">
        <w:t>water and increase water pressure</w:t>
      </w:r>
      <w:r w:rsidR="002D2B61">
        <w:t>; and</w:t>
      </w:r>
    </w:p>
    <w:p w14:paraId="372AF94B" w14:textId="77777777" w:rsidR="00DB0C47" w:rsidRDefault="000103D1" w:rsidP="002D0392">
      <w:pPr>
        <w:pStyle w:val="ScheduleNumberedPara"/>
        <w:numPr>
          <w:ilvl w:val="0"/>
          <w:numId w:val="22"/>
        </w:numPr>
        <w:tabs>
          <w:tab w:val="clear" w:pos="820"/>
          <w:tab w:val="clear" w:pos="1440"/>
          <w:tab w:val="clear" w:pos="1701"/>
          <w:tab w:val="clear" w:pos="2268"/>
          <w:tab w:val="clear" w:pos="2574"/>
        </w:tabs>
        <w:ind w:left="1134" w:hanging="567"/>
      </w:pPr>
      <w:r>
        <w:t xml:space="preserve">undertaking </w:t>
      </w:r>
      <w:r w:rsidR="00DB0C47">
        <w:t>studies that assist with the development and implementation of new water management arrangements within the Great Artesian Basin.</w:t>
      </w:r>
    </w:p>
    <w:p w14:paraId="06AA8EC9" w14:textId="77777777" w:rsidR="001F4295" w:rsidRDefault="001F4295" w:rsidP="002D0392">
      <w:pPr>
        <w:pStyle w:val="ScheduleNumberedPara"/>
        <w:numPr>
          <w:ilvl w:val="1"/>
          <w:numId w:val="24"/>
        </w:numPr>
        <w:tabs>
          <w:tab w:val="clear" w:pos="567"/>
          <w:tab w:val="clear" w:pos="1440"/>
          <w:tab w:val="clear" w:pos="1701"/>
          <w:tab w:val="clear" w:pos="2268"/>
          <w:tab w:val="clear" w:pos="2574"/>
          <w:tab w:val="num" w:pos="700"/>
        </w:tabs>
        <w:ind w:left="703" w:hanging="601"/>
      </w:pPr>
      <w:r>
        <w:t xml:space="preserve">All projects under </w:t>
      </w:r>
      <w:r w:rsidRPr="00361FBF">
        <w:t>clauses A8(a)</w:t>
      </w:r>
      <w:r w:rsidR="000179F6">
        <w:t>, (b) and (c)</w:t>
      </w:r>
      <w:r w:rsidRPr="00361FBF">
        <w:t xml:space="preserve"> </w:t>
      </w:r>
      <w:r>
        <w:t xml:space="preserve">must have a water meter or pressure monitoring device. Any new water meter that is installed must be pattern approved (by the meter manufacturer or supplier) in accordance with requirements of the National Measurement Institute and installed and operated in accordance with ATS 4747 of Standards Australia. </w:t>
      </w:r>
    </w:p>
    <w:p w14:paraId="58347502" w14:textId="77777777" w:rsidR="001F4295" w:rsidRDefault="001F4295" w:rsidP="002D0392">
      <w:pPr>
        <w:pStyle w:val="ScheduleNumberedPara"/>
        <w:numPr>
          <w:ilvl w:val="1"/>
          <w:numId w:val="24"/>
        </w:numPr>
        <w:tabs>
          <w:tab w:val="clear" w:pos="567"/>
          <w:tab w:val="clear" w:pos="1440"/>
          <w:tab w:val="clear" w:pos="1701"/>
          <w:tab w:val="clear" w:pos="2268"/>
          <w:tab w:val="clear" w:pos="2574"/>
          <w:tab w:val="num" w:pos="700"/>
        </w:tabs>
        <w:ind w:left="703" w:hanging="601"/>
      </w:pPr>
      <w:r>
        <w:t xml:space="preserve">At least 70 per cent of the estimated water savings from </w:t>
      </w:r>
      <w:r w:rsidR="00C63A00">
        <w:t>a</w:t>
      </w:r>
      <w:r w:rsidR="009B589B">
        <w:t>n</w:t>
      </w:r>
      <w:r w:rsidR="00C63A00">
        <w:t xml:space="preserve"> infrastructure</w:t>
      </w:r>
      <w:r>
        <w:t xml:space="preserve"> project under </w:t>
      </w:r>
      <w:r w:rsidRPr="00361FBF">
        <w:t>clauses A8(a)</w:t>
      </w:r>
      <w:r w:rsidR="000179F6">
        <w:t>, (b)</w:t>
      </w:r>
      <w:r w:rsidRPr="00361FBF">
        <w:t xml:space="preserve"> and </w:t>
      </w:r>
      <w:r w:rsidR="00C63A00">
        <w:t>(c</w:t>
      </w:r>
      <w:r w:rsidRPr="00361FBF">
        <w:t>)</w:t>
      </w:r>
      <w:r>
        <w:t xml:space="preserve"> will</w:t>
      </w:r>
      <w:r w:rsidRPr="00F72127">
        <w:t xml:space="preserve"> be directed to restoring pressure </w:t>
      </w:r>
      <w:r>
        <w:t>to the formation in which it is saved in</w:t>
      </w:r>
      <w:r w:rsidRPr="00F72127">
        <w:t xml:space="preserve"> the Basin and </w:t>
      </w:r>
      <w:r>
        <w:t xml:space="preserve">must </w:t>
      </w:r>
      <w:r w:rsidRPr="00F72127">
        <w:t xml:space="preserve">not be reallocated </w:t>
      </w:r>
      <w:r>
        <w:t xml:space="preserve">by the States </w:t>
      </w:r>
      <w:r w:rsidRPr="00F72127">
        <w:t>for consumptive purposes</w:t>
      </w:r>
      <w:r>
        <w:t>.</w:t>
      </w:r>
    </w:p>
    <w:p w14:paraId="6F79AC35" w14:textId="77777777" w:rsidR="001F4295" w:rsidRDefault="001F4295" w:rsidP="002D0392">
      <w:pPr>
        <w:pStyle w:val="ScheduleNumberedPara"/>
        <w:numPr>
          <w:ilvl w:val="1"/>
          <w:numId w:val="24"/>
        </w:numPr>
        <w:tabs>
          <w:tab w:val="clear" w:pos="567"/>
          <w:tab w:val="clear" w:pos="1440"/>
          <w:tab w:val="clear" w:pos="1701"/>
          <w:tab w:val="clear" w:pos="2268"/>
          <w:tab w:val="clear" w:pos="2574"/>
          <w:tab w:val="num" w:pos="700"/>
        </w:tabs>
        <w:ind w:left="703" w:hanging="601"/>
      </w:pPr>
      <w:r>
        <w:t xml:space="preserve">All projects under </w:t>
      </w:r>
      <w:r w:rsidRPr="00361FBF">
        <w:t>clauses A8</w:t>
      </w:r>
      <w:r w:rsidR="00C63A00">
        <w:t xml:space="preserve">(a), </w:t>
      </w:r>
      <w:r w:rsidRPr="00361FBF">
        <w:t>(b)</w:t>
      </w:r>
      <w:r w:rsidR="00C63A00">
        <w:t xml:space="preserve"> and (c)</w:t>
      </w:r>
      <w:r>
        <w:t xml:space="preserve"> require third party financial contributions.  States may determine the quantum of third party contributions required for eligibility under this clause.</w:t>
      </w:r>
    </w:p>
    <w:sectPr w:rsidR="001F4295" w:rsidSect="00C606F6">
      <w:footerReference w:type="default" r:id="rId16"/>
      <w:headerReference w:type="first" r:id="rId17"/>
      <w:footerReference w:type="first" r:id="rId18"/>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AC813" w14:textId="77777777" w:rsidR="00353485" w:rsidRDefault="00353485">
      <w:r>
        <w:separator/>
      </w:r>
    </w:p>
  </w:endnote>
  <w:endnote w:type="continuationSeparator" w:id="0">
    <w:p w14:paraId="28880D40" w14:textId="77777777" w:rsidR="00353485" w:rsidRDefault="00353485">
      <w:r>
        <w:continuationSeparator/>
      </w:r>
    </w:p>
  </w:endnote>
  <w:endnote w:type="continuationNotice" w:id="1">
    <w:p w14:paraId="3CE7575C" w14:textId="77777777" w:rsidR="00353485" w:rsidRDefault="00353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Dingbats">
    <w:altName w:val="Times New Roman"/>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36AC" w14:textId="77777777" w:rsidR="00F301F2" w:rsidRDefault="00F301F2">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1B3BDA" w14:textId="77777777" w:rsidR="00F301F2" w:rsidRDefault="00F301F2">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1CA6" w14:textId="77777777" w:rsidR="00795F25" w:rsidRDefault="00795F25">
    <w:pPr>
      <w:pStyle w:val="Footer"/>
      <w:jc w:val="right"/>
    </w:pPr>
    <w:r>
      <w:t xml:space="preserve">Page </w:t>
    </w:r>
    <w:r>
      <w:fldChar w:fldCharType="begin"/>
    </w:r>
    <w:r>
      <w:instrText xml:space="preserve"> PAGE   \* MERGEFORMAT </w:instrText>
    </w:r>
    <w:r>
      <w:fldChar w:fldCharType="separate"/>
    </w:r>
    <w:r w:rsidR="00F801D7">
      <w:rPr>
        <w:noProof/>
      </w:rPr>
      <w:t>2</w:t>
    </w:r>
    <w:r>
      <w:fldChar w:fldCharType="end"/>
    </w:r>
  </w:p>
  <w:p w14:paraId="19F8F488" w14:textId="77777777" w:rsidR="00795F25" w:rsidRDefault="00795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FBEF" w14:textId="77777777" w:rsidR="00F301F2" w:rsidRDefault="00F301F2">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01D7">
      <w:rPr>
        <w:rStyle w:val="PageNumber"/>
        <w:noProof/>
      </w:rPr>
      <w:t>1</w:t>
    </w:r>
    <w:r>
      <w:rPr>
        <w:rStyle w:val="PageNumber"/>
      </w:rPr>
      <w:fldChar w:fldCharType="end"/>
    </w:r>
  </w:p>
  <w:p w14:paraId="3191C955" w14:textId="1D0EA5F4" w:rsidR="00F301F2" w:rsidRDefault="00F301F2">
    <w:pPr>
      <w:pStyle w:val="FooterOdd"/>
      <w:keepNext/>
      <w:tabs>
        <w:tab w:val="num" w:pos="567"/>
      </w:tabs>
    </w:pPr>
    <w:r>
      <w:t xml:space="preserve">Version of template: </w:t>
    </w:r>
    <w:r>
      <w:fldChar w:fldCharType="begin"/>
    </w:r>
    <w:r>
      <w:instrText xml:space="preserve"> DATE \@ "d/MM/yyyy" </w:instrText>
    </w:r>
    <w:r>
      <w:fldChar w:fldCharType="separate"/>
    </w:r>
    <w:r w:rsidR="00F801D7">
      <w:rPr>
        <w:noProof/>
      </w:rPr>
      <w:t>4/04/2019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C930" w14:textId="77777777" w:rsidR="00795F25" w:rsidRDefault="00795F25">
    <w:pPr>
      <w:pStyle w:val="Footer"/>
      <w:jc w:val="right"/>
    </w:pPr>
    <w:r>
      <w:t>Page 7</w:t>
    </w:r>
  </w:p>
  <w:p w14:paraId="5034FFB7" w14:textId="77777777" w:rsidR="00795F25" w:rsidRDefault="00795F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686A" w14:textId="77777777" w:rsidR="00F301F2" w:rsidRDefault="00F301F2" w:rsidP="00751725">
    <w:pPr>
      <w:pStyle w:val="FooterEven"/>
      <w:jc w:val="right"/>
    </w:pPr>
    <w:r>
      <w:t xml:space="preserve">Page </w:t>
    </w:r>
    <w:r w:rsidR="00FD316B">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8804" w14:textId="77777777" w:rsidR="00353485" w:rsidRDefault="00353485">
      <w:r>
        <w:separator/>
      </w:r>
    </w:p>
  </w:footnote>
  <w:footnote w:type="continuationSeparator" w:id="0">
    <w:p w14:paraId="612179E9" w14:textId="77777777" w:rsidR="00353485" w:rsidRDefault="00353485">
      <w:r>
        <w:continuationSeparator/>
      </w:r>
    </w:p>
  </w:footnote>
  <w:footnote w:type="continuationNotice" w:id="1">
    <w:p w14:paraId="5772EA93" w14:textId="77777777" w:rsidR="00353485" w:rsidRDefault="003534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AE0" w14:textId="77777777" w:rsidR="00F301F2" w:rsidRPr="00814590" w:rsidRDefault="00F301F2">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CAD5" w14:textId="77777777" w:rsidR="00F301F2" w:rsidRPr="00814590" w:rsidRDefault="00F301F2">
    <w:pPr>
      <w:pStyle w:val="HeaderOdd"/>
      <w:tabs>
        <w:tab w:val="num" w:pos="1134"/>
      </w:tabs>
      <w:rPr>
        <w:color w:val="800000"/>
      </w:rPr>
    </w:pPr>
    <w:r>
      <w:rPr>
        <w:color w:val="800000"/>
      </w:rPr>
      <w:t xml:space="preserve">Project Agreement for </w:t>
    </w:r>
    <w:r w:rsidR="00D43CC6">
      <w:rPr>
        <w:color w:val="800000"/>
      </w:rPr>
      <w:t>Improving Great Artesian Basin Drought Resilience</w:t>
    </w:r>
    <w:r w:rsidR="00EE61F1">
      <w:rPr>
        <w:color w:val="8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55C8" w14:textId="3E638E54" w:rsidR="009026C0" w:rsidRPr="00814590" w:rsidRDefault="009026C0" w:rsidP="009026C0">
    <w:pPr>
      <w:pStyle w:val="HeaderOdd"/>
      <w:tabs>
        <w:tab w:val="num" w:pos="1134"/>
      </w:tabs>
      <w:rPr>
        <w:color w:val="800000"/>
      </w:rPr>
    </w:pPr>
    <w:r>
      <w:rPr>
        <w:color w:val="800000"/>
      </w:rPr>
      <w:t xml:space="preserve">Project Agreement for Improving Great Artesian Basin Drought Resilience </w:t>
    </w:r>
  </w:p>
  <w:p w14:paraId="4191C82D" w14:textId="77777777" w:rsidR="00F301F2" w:rsidRPr="00751725" w:rsidRDefault="00F301F2"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ScheduleNumberedPara"/>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30565DD"/>
    <w:multiLevelType w:val="multilevel"/>
    <w:tmpl w:val="19B0DC0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A170C22"/>
    <w:multiLevelType w:val="hybridMultilevel"/>
    <w:tmpl w:val="228EE844"/>
    <w:lvl w:ilvl="0" w:tplc="660EB736">
      <w:start w:val="1"/>
      <w:numFmt w:val="lowerLetter"/>
      <w:lvlText w:val="(%1)"/>
      <w:lvlJc w:val="left"/>
      <w:pPr>
        <w:tabs>
          <w:tab w:val="num" w:pos="820"/>
        </w:tabs>
        <w:ind w:left="820" w:hanging="360"/>
      </w:pPr>
      <w:rPr>
        <w:rFonts w:cs="Times New Roman" w:hint="default"/>
      </w:rPr>
    </w:lvl>
    <w:lvl w:ilvl="1" w:tplc="0C090019" w:tentative="1">
      <w:start w:val="1"/>
      <w:numFmt w:val="lowerLetter"/>
      <w:lvlText w:val="%2."/>
      <w:lvlJc w:val="left"/>
      <w:pPr>
        <w:tabs>
          <w:tab w:val="num" w:pos="1540"/>
        </w:tabs>
        <w:ind w:left="1540" w:hanging="360"/>
      </w:pPr>
      <w:rPr>
        <w:rFonts w:cs="Times New Roman"/>
      </w:rPr>
    </w:lvl>
    <w:lvl w:ilvl="2" w:tplc="0C09001B" w:tentative="1">
      <w:start w:val="1"/>
      <w:numFmt w:val="lowerRoman"/>
      <w:lvlText w:val="%3."/>
      <w:lvlJc w:val="right"/>
      <w:pPr>
        <w:tabs>
          <w:tab w:val="num" w:pos="2260"/>
        </w:tabs>
        <w:ind w:left="2260" w:hanging="180"/>
      </w:pPr>
      <w:rPr>
        <w:rFonts w:cs="Times New Roman"/>
      </w:rPr>
    </w:lvl>
    <w:lvl w:ilvl="3" w:tplc="0C09000F" w:tentative="1">
      <w:start w:val="1"/>
      <w:numFmt w:val="decimal"/>
      <w:lvlText w:val="%4."/>
      <w:lvlJc w:val="left"/>
      <w:pPr>
        <w:tabs>
          <w:tab w:val="num" w:pos="2980"/>
        </w:tabs>
        <w:ind w:left="2980" w:hanging="360"/>
      </w:pPr>
      <w:rPr>
        <w:rFonts w:cs="Times New Roman"/>
      </w:rPr>
    </w:lvl>
    <w:lvl w:ilvl="4" w:tplc="0C090019" w:tentative="1">
      <w:start w:val="1"/>
      <w:numFmt w:val="lowerLetter"/>
      <w:lvlText w:val="%5."/>
      <w:lvlJc w:val="left"/>
      <w:pPr>
        <w:tabs>
          <w:tab w:val="num" w:pos="3700"/>
        </w:tabs>
        <w:ind w:left="3700" w:hanging="360"/>
      </w:pPr>
      <w:rPr>
        <w:rFonts w:cs="Times New Roman"/>
      </w:rPr>
    </w:lvl>
    <w:lvl w:ilvl="5" w:tplc="0C09001B" w:tentative="1">
      <w:start w:val="1"/>
      <w:numFmt w:val="lowerRoman"/>
      <w:lvlText w:val="%6."/>
      <w:lvlJc w:val="right"/>
      <w:pPr>
        <w:tabs>
          <w:tab w:val="num" w:pos="4420"/>
        </w:tabs>
        <w:ind w:left="4420" w:hanging="180"/>
      </w:pPr>
      <w:rPr>
        <w:rFonts w:cs="Times New Roman"/>
      </w:rPr>
    </w:lvl>
    <w:lvl w:ilvl="6" w:tplc="0C09000F" w:tentative="1">
      <w:start w:val="1"/>
      <w:numFmt w:val="decimal"/>
      <w:lvlText w:val="%7."/>
      <w:lvlJc w:val="left"/>
      <w:pPr>
        <w:tabs>
          <w:tab w:val="num" w:pos="5140"/>
        </w:tabs>
        <w:ind w:left="5140" w:hanging="360"/>
      </w:pPr>
      <w:rPr>
        <w:rFonts w:cs="Times New Roman"/>
      </w:rPr>
    </w:lvl>
    <w:lvl w:ilvl="7" w:tplc="0C090019" w:tentative="1">
      <w:start w:val="1"/>
      <w:numFmt w:val="lowerLetter"/>
      <w:lvlText w:val="%8."/>
      <w:lvlJc w:val="left"/>
      <w:pPr>
        <w:tabs>
          <w:tab w:val="num" w:pos="5860"/>
        </w:tabs>
        <w:ind w:left="5860" w:hanging="360"/>
      </w:pPr>
      <w:rPr>
        <w:rFonts w:cs="Times New Roman"/>
      </w:rPr>
    </w:lvl>
    <w:lvl w:ilvl="8" w:tplc="0C09001B" w:tentative="1">
      <w:start w:val="1"/>
      <w:numFmt w:val="lowerRoman"/>
      <w:lvlText w:val="%9."/>
      <w:lvlJc w:val="right"/>
      <w:pPr>
        <w:tabs>
          <w:tab w:val="num" w:pos="6580"/>
        </w:tabs>
        <w:ind w:left="6580" w:hanging="180"/>
      </w:pPr>
      <w:rPr>
        <w:rFonts w:cs="Times New Roman"/>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67958A1"/>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AE90419"/>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512537AC"/>
    <w:multiLevelType w:val="hybridMultilevel"/>
    <w:tmpl w:val="154E9A2E"/>
    <w:lvl w:ilvl="0" w:tplc="660EB736">
      <w:start w:val="1"/>
      <w:numFmt w:val="lowerLetter"/>
      <w:lvlText w:val="(%1)"/>
      <w:lvlJc w:val="left"/>
      <w:pPr>
        <w:tabs>
          <w:tab w:val="num" w:pos="820"/>
        </w:tabs>
        <w:ind w:left="820" w:hanging="360"/>
      </w:pPr>
      <w:rPr>
        <w:rFonts w:cs="Times New Roman" w:hint="default"/>
      </w:rPr>
    </w:lvl>
    <w:lvl w:ilvl="1" w:tplc="FFFFFFFF">
      <w:start w:val="1"/>
      <w:numFmt w:val="lowerLetter"/>
      <w:lvlText w:val="%2."/>
      <w:lvlJc w:val="left"/>
      <w:pPr>
        <w:tabs>
          <w:tab w:val="num" w:pos="1540"/>
        </w:tabs>
        <w:ind w:left="1540" w:hanging="360"/>
      </w:pPr>
      <w:rPr>
        <w:rFonts w:cs="Times New Roman"/>
      </w:rPr>
    </w:lvl>
    <w:lvl w:ilvl="2" w:tplc="FFFFFFFF" w:tentative="1">
      <w:start w:val="1"/>
      <w:numFmt w:val="lowerRoman"/>
      <w:lvlText w:val="%3."/>
      <w:lvlJc w:val="right"/>
      <w:pPr>
        <w:tabs>
          <w:tab w:val="num" w:pos="2260"/>
        </w:tabs>
        <w:ind w:left="2260" w:hanging="180"/>
      </w:pPr>
      <w:rPr>
        <w:rFonts w:cs="Times New Roman"/>
      </w:rPr>
    </w:lvl>
    <w:lvl w:ilvl="3" w:tplc="FFFFFFFF" w:tentative="1">
      <w:start w:val="1"/>
      <w:numFmt w:val="decimal"/>
      <w:lvlText w:val="%4."/>
      <w:lvlJc w:val="left"/>
      <w:pPr>
        <w:tabs>
          <w:tab w:val="num" w:pos="2980"/>
        </w:tabs>
        <w:ind w:left="2980" w:hanging="360"/>
      </w:pPr>
      <w:rPr>
        <w:rFonts w:cs="Times New Roman"/>
      </w:rPr>
    </w:lvl>
    <w:lvl w:ilvl="4" w:tplc="FFFFFFFF" w:tentative="1">
      <w:start w:val="1"/>
      <w:numFmt w:val="lowerLetter"/>
      <w:lvlText w:val="%5."/>
      <w:lvlJc w:val="left"/>
      <w:pPr>
        <w:tabs>
          <w:tab w:val="num" w:pos="3700"/>
        </w:tabs>
        <w:ind w:left="3700" w:hanging="360"/>
      </w:pPr>
      <w:rPr>
        <w:rFonts w:cs="Times New Roman"/>
      </w:rPr>
    </w:lvl>
    <w:lvl w:ilvl="5" w:tplc="FFFFFFFF" w:tentative="1">
      <w:start w:val="1"/>
      <w:numFmt w:val="lowerRoman"/>
      <w:lvlText w:val="%6."/>
      <w:lvlJc w:val="right"/>
      <w:pPr>
        <w:tabs>
          <w:tab w:val="num" w:pos="4420"/>
        </w:tabs>
        <w:ind w:left="4420" w:hanging="180"/>
      </w:pPr>
      <w:rPr>
        <w:rFonts w:cs="Times New Roman"/>
      </w:rPr>
    </w:lvl>
    <w:lvl w:ilvl="6" w:tplc="FFFFFFFF" w:tentative="1">
      <w:start w:val="1"/>
      <w:numFmt w:val="decimal"/>
      <w:lvlText w:val="%7."/>
      <w:lvlJc w:val="left"/>
      <w:pPr>
        <w:tabs>
          <w:tab w:val="num" w:pos="5140"/>
        </w:tabs>
        <w:ind w:left="5140" w:hanging="360"/>
      </w:pPr>
      <w:rPr>
        <w:rFonts w:cs="Times New Roman"/>
      </w:rPr>
    </w:lvl>
    <w:lvl w:ilvl="7" w:tplc="FFFFFFFF" w:tentative="1">
      <w:start w:val="1"/>
      <w:numFmt w:val="lowerLetter"/>
      <w:lvlText w:val="%8."/>
      <w:lvlJc w:val="left"/>
      <w:pPr>
        <w:tabs>
          <w:tab w:val="num" w:pos="5860"/>
        </w:tabs>
        <w:ind w:left="5860" w:hanging="360"/>
      </w:pPr>
      <w:rPr>
        <w:rFonts w:cs="Times New Roman"/>
      </w:rPr>
    </w:lvl>
    <w:lvl w:ilvl="8" w:tplc="FFFFFFFF" w:tentative="1">
      <w:start w:val="1"/>
      <w:numFmt w:val="lowerRoman"/>
      <w:lvlText w:val="%9."/>
      <w:lvlJc w:val="right"/>
      <w:pPr>
        <w:tabs>
          <w:tab w:val="num" w:pos="6580"/>
        </w:tabs>
        <w:ind w:left="6580" w:hanging="180"/>
      </w:pPr>
      <w:rPr>
        <w:rFonts w:cs="Times New Roman"/>
      </w:rPr>
    </w:lvl>
  </w:abstractNum>
  <w:abstractNum w:abstractNumId="15"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hybridMultilevel"/>
    <w:tmpl w:val="1688D4AE"/>
    <w:lvl w:ilvl="0" w:tplc="9AD45DF6">
      <w:start w:val="1"/>
      <w:numFmt w:val="decimal"/>
      <w:lvlText w:val="%1."/>
      <w:lvlJc w:val="left"/>
      <w:pPr>
        <w:tabs>
          <w:tab w:val="num" w:pos="567"/>
        </w:tabs>
        <w:ind w:left="567" w:hanging="567"/>
      </w:pPr>
      <w:rPr>
        <w:rFonts w:cs="Times New Roman" w:hint="default"/>
        <w:b w:val="0"/>
        <w:i w:val="0"/>
        <w:color w:val="auto"/>
        <w:sz w:val="23"/>
        <w:szCs w:val="23"/>
      </w:rPr>
    </w:lvl>
    <w:lvl w:ilvl="1" w:tplc="660EB736">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7"/>
  </w:num>
  <w:num w:numId="5">
    <w:abstractNumId w:val="13"/>
  </w:num>
  <w:num w:numId="6">
    <w:abstractNumId w:val="16"/>
  </w:num>
  <w:num w:numId="7">
    <w:abstractNumId w:val="3"/>
  </w:num>
  <w:num w:numId="8">
    <w:abstractNumId w:val="18"/>
  </w:num>
  <w:num w:numId="9">
    <w:abstractNumId w:val="10"/>
  </w:num>
  <w:num w:numId="10">
    <w:abstractNumId w:val="5"/>
  </w:num>
  <w:num w:numId="11">
    <w:abstractNumId w:val="8"/>
  </w:num>
  <w:num w:numId="12">
    <w:abstractNumId w:val="21"/>
  </w:num>
  <w:num w:numId="13">
    <w:abstractNumId w:val="1"/>
  </w:num>
  <w:num w:numId="14">
    <w:abstractNumId w:val="15"/>
  </w:num>
  <w:num w:numId="15">
    <w:abstractNumId w:val="19"/>
  </w:num>
  <w:num w:numId="16">
    <w:abstractNumId w:val="17"/>
  </w:num>
  <w:num w:numId="17">
    <w:abstractNumId w:val="20"/>
  </w:num>
  <w:num w:numId="18">
    <w:abstractNumId w:val="6"/>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4"/>
  </w:num>
  <w:num w:numId="24">
    <w:abstractNumId w:val="12"/>
  </w:num>
  <w:num w:numId="25">
    <w:abstractNumId w:val="11"/>
  </w:num>
  <w:num w:numId="26">
    <w:abstractNumId w:val="0"/>
  </w:num>
  <w:num w:numId="2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C38"/>
    <w:rsid w:val="00004B4E"/>
    <w:rsid w:val="00004F41"/>
    <w:rsid w:val="00005A5D"/>
    <w:rsid w:val="000076D9"/>
    <w:rsid w:val="000103D1"/>
    <w:rsid w:val="0001673F"/>
    <w:rsid w:val="000179F6"/>
    <w:rsid w:val="00021708"/>
    <w:rsid w:val="0002335A"/>
    <w:rsid w:val="00023C79"/>
    <w:rsid w:val="00030CB2"/>
    <w:rsid w:val="00031DE1"/>
    <w:rsid w:val="000323C9"/>
    <w:rsid w:val="000343F1"/>
    <w:rsid w:val="00040A2C"/>
    <w:rsid w:val="00041A4F"/>
    <w:rsid w:val="000428F6"/>
    <w:rsid w:val="00044700"/>
    <w:rsid w:val="00050F15"/>
    <w:rsid w:val="0006051B"/>
    <w:rsid w:val="00060E34"/>
    <w:rsid w:val="000614F9"/>
    <w:rsid w:val="0006451A"/>
    <w:rsid w:val="0006551D"/>
    <w:rsid w:val="00065679"/>
    <w:rsid w:val="000658E9"/>
    <w:rsid w:val="0007004C"/>
    <w:rsid w:val="000724F6"/>
    <w:rsid w:val="0007368E"/>
    <w:rsid w:val="00074611"/>
    <w:rsid w:val="00074A62"/>
    <w:rsid w:val="00081A01"/>
    <w:rsid w:val="00086712"/>
    <w:rsid w:val="000879CE"/>
    <w:rsid w:val="00091DF8"/>
    <w:rsid w:val="00093CB6"/>
    <w:rsid w:val="00093DD8"/>
    <w:rsid w:val="00097794"/>
    <w:rsid w:val="000A0C9E"/>
    <w:rsid w:val="000A5191"/>
    <w:rsid w:val="000B2ABF"/>
    <w:rsid w:val="000B4080"/>
    <w:rsid w:val="000B4D2D"/>
    <w:rsid w:val="000B7685"/>
    <w:rsid w:val="000C714F"/>
    <w:rsid w:val="000D19D8"/>
    <w:rsid w:val="000D1C37"/>
    <w:rsid w:val="000D4377"/>
    <w:rsid w:val="000E075D"/>
    <w:rsid w:val="000E2AF6"/>
    <w:rsid w:val="000E36B7"/>
    <w:rsid w:val="000E3C70"/>
    <w:rsid w:val="000E48C3"/>
    <w:rsid w:val="000F0880"/>
    <w:rsid w:val="000F25D5"/>
    <w:rsid w:val="000F5230"/>
    <w:rsid w:val="000F6B1D"/>
    <w:rsid w:val="000F6CF6"/>
    <w:rsid w:val="00102778"/>
    <w:rsid w:val="00103FD6"/>
    <w:rsid w:val="001065EE"/>
    <w:rsid w:val="00110C15"/>
    <w:rsid w:val="00110F5D"/>
    <w:rsid w:val="001134AC"/>
    <w:rsid w:val="00115166"/>
    <w:rsid w:val="001156C6"/>
    <w:rsid w:val="00115A97"/>
    <w:rsid w:val="0011655B"/>
    <w:rsid w:val="001209CB"/>
    <w:rsid w:val="00122DBA"/>
    <w:rsid w:val="001262B5"/>
    <w:rsid w:val="00132587"/>
    <w:rsid w:val="001404A9"/>
    <w:rsid w:val="00140F43"/>
    <w:rsid w:val="00142A93"/>
    <w:rsid w:val="00145D5C"/>
    <w:rsid w:val="00151133"/>
    <w:rsid w:val="00154669"/>
    <w:rsid w:val="0015578C"/>
    <w:rsid w:val="001573E4"/>
    <w:rsid w:val="00160506"/>
    <w:rsid w:val="0016131F"/>
    <w:rsid w:val="001629FA"/>
    <w:rsid w:val="001630C1"/>
    <w:rsid w:val="00165CAB"/>
    <w:rsid w:val="00166312"/>
    <w:rsid w:val="00167BB8"/>
    <w:rsid w:val="00172360"/>
    <w:rsid w:val="00172E3A"/>
    <w:rsid w:val="00173F81"/>
    <w:rsid w:val="00174C2A"/>
    <w:rsid w:val="00175FB9"/>
    <w:rsid w:val="00177A0A"/>
    <w:rsid w:val="00180AAB"/>
    <w:rsid w:val="00180ECB"/>
    <w:rsid w:val="00180F76"/>
    <w:rsid w:val="00183EAB"/>
    <w:rsid w:val="00185891"/>
    <w:rsid w:val="00185CC1"/>
    <w:rsid w:val="00185E7B"/>
    <w:rsid w:val="00187BEB"/>
    <w:rsid w:val="00190A08"/>
    <w:rsid w:val="001931E8"/>
    <w:rsid w:val="00194232"/>
    <w:rsid w:val="00194587"/>
    <w:rsid w:val="00195EA1"/>
    <w:rsid w:val="001A1422"/>
    <w:rsid w:val="001A14C1"/>
    <w:rsid w:val="001A3A9A"/>
    <w:rsid w:val="001A3F52"/>
    <w:rsid w:val="001A4093"/>
    <w:rsid w:val="001A40F8"/>
    <w:rsid w:val="001A4DFB"/>
    <w:rsid w:val="001A79C1"/>
    <w:rsid w:val="001A7A15"/>
    <w:rsid w:val="001A7E13"/>
    <w:rsid w:val="001B19A0"/>
    <w:rsid w:val="001B1CA3"/>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23EB"/>
    <w:rsid w:val="001F4295"/>
    <w:rsid w:val="001F6F39"/>
    <w:rsid w:val="001F6FE8"/>
    <w:rsid w:val="001F7A73"/>
    <w:rsid w:val="001F7FB5"/>
    <w:rsid w:val="0020144E"/>
    <w:rsid w:val="0020513E"/>
    <w:rsid w:val="00205E18"/>
    <w:rsid w:val="00205EBB"/>
    <w:rsid w:val="00206773"/>
    <w:rsid w:val="002069F9"/>
    <w:rsid w:val="00212869"/>
    <w:rsid w:val="00221308"/>
    <w:rsid w:val="00222C97"/>
    <w:rsid w:val="00225761"/>
    <w:rsid w:val="00233835"/>
    <w:rsid w:val="00237F93"/>
    <w:rsid w:val="00241EE9"/>
    <w:rsid w:val="00244500"/>
    <w:rsid w:val="002448D5"/>
    <w:rsid w:val="00247D1F"/>
    <w:rsid w:val="00247D45"/>
    <w:rsid w:val="0025088B"/>
    <w:rsid w:val="0025130E"/>
    <w:rsid w:val="00252551"/>
    <w:rsid w:val="00261ABA"/>
    <w:rsid w:val="00262E18"/>
    <w:rsid w:val="0026413D"/>
    <w:rsid w:val="0026503A"/>
    <w:rsid w:val="00265157"/>
    <w:rsid w:val="0026571E"/>
    <w:rsid w:val="00281874"/>
    <w:rsid w:val="00282C25"/>
    <w:rsid w:val="00284884"/>
    <w:rsid w:val="00285003"/>
    <w:rsid w:val="002869F5"/>
    <w:rsid w:val="00287DCC"/>
    <w:rsid w:val="00291CF1"/>
    <w:rsid w:val="00292587"/>
    <w:rsid w:val="00297862"/>
    <w:rsid w:val="002A06DB"/>
    <w:rsid w:val="002A143D"/>
    <w:rsid w:val="002A3DE9"/>
    <w:rsid w:val="002A493A"/>
    <w:rsid w:val="002A530A"/>
    <w:rsid w:val="002A5884"/>
    <w:rsid w:val="002A6981"/>
    <w:rsid w:val="002A7F09"/>
    <w:rsid w:val="002B1B96"/>
    <w:rsid w:val="002B1C50"/>
    <w:rsid w:val="002B207C"/>
    <w:rsid w:val="002B7922"/>
    <w:rsid w:val="002B7E1B"/>
    <w:rsid w:val="002C2529"/>
    <w:rsid w:val="002C2A03"/>
    <w:rsid w:val="002C62B3"/>
    <w:rsid w:val="002C7620"/>
    <w:rsid w:val="002D0392"/>
    <w:rsid w:val="002D122C"/>
    <w:rsid w:val="002D2B61"/>
    <w:rsid w:val="002D6390"/>
    <w:rsid w:val="002D7CF9"/>
    <w:rsid w:val="002E144A"/>
    <w:rsid w:val="002E2DE2"/>
    <w:rsid w:val="002E3AEA"/>
    <w:rsid w:val="002E4B66"/>
    <w:rsid w:val="002F576E"/>
    <w:rsid w:val="002F5B29"/>
    <w:rsid w:val="002F5B54"/>
    <w:rsid w:val="002F5C6C"/>
    <w:rsid w:val="002F6B14"/>
    <w:rsid w:val="002F7E40"/>
    <w:rsid w:val="003012DA"/>
    <w:rsid w:val="00307C5C"/>
    <w:rsid w:val="00312CFE"/>
    <w:rsid w:val="00313480"/>
    <w:rsid w:val="00313C98"/>
    <w:rsid w:val="00313FD9"/>
    <w:rsid w:val="003155BD"/>
    <w:rsid w:val="003177B9"/>
    <w:rsid w:val="00321E0A"/>
    <w:rsid w:val="00333506"/>
    <w:rsid w:val="00336056"/>
    <w:rsid w:val="003372E2"/>
    <w:rsid w:val="00340987"/>
    <w:rsid w:val="003410AA"/>
    <w:rsid w:val="0034465F"/>
    <w:rsid w:val="00352A6B"/>
    <w:rsid w:val="00352EC1"/>
    <w:rsid w:val="00353485"/>
    <w:rsid w:val="00361054"/>
    <w:rsid w:val="0036119D"/>
    <w:rsid w:val="00361FBF"/>
    <w:rsid w:val="003637A0"/>
    <w:rsid w:val="0036474E"/>
    <w:rsid w:val="00364780"/>
    <w:rsid w:val="00364CF3"/>
    <w:rsid w:val="00365C07"/>
    <w:rsid w:val="00365CAA"/>
    <w:rsid w:val="00367EAB"/>
    <w:rsid w:val="00372573"/>
    <w:rsid w:val="003741B2"/>
    <w:rsid w:val="0037719D"/>
    <w:rsid w:val="00377AB2"/>
    <w:rsid w:val="003877C3"/>
    <w:rsid w:val="0039283B"/>
    <w:rsid w:val="00396EA4"/>
    <w:rsid w:val="003A038A"/>
    <w:rsid w:val="003A2157"/>
    <w:rsid w:val="003A3363"/>
    <w:rsid w:val="003A3905"/>
    <w:rsid w:val="003A3CC1"/>
    <w:rsid w:val="003A55ED"/>
    <w:rsid w:val="003A6635"/>
    <w:rsid w:val="003A6B0E"/>
    <w:rsid w:val="003A78C6"/>
    <w:rsid w:val="003B0F99"/>
    <w:rsid w:val="003B117E"/>
    <w:rsid w:val="003B32B4"/>
    <w:rsid w:val="003B5562"/>
    <w:rsid w:val="003B6363"/>
    <w:rsid w:val="003B737F"/>
    <w:rsid w:val="003B7D87"/>
    <w:rsid w:val="003C0CF7"/>
    <w:rsid w:val="003C2E5D"/>
    <w:rsid w:val="003C59E0"/>
    <w:rsid w:val="003C6F2A"/>
    <w:rsid w:val="003D44A5"/>
    <w:rsid w:val="003D5B5F"/>
    <w:rsid w:val="003D743C"/>
    <w:rsid w:val="003E33BA"/>
    <w:rsid w:val="003E5961"/>
    <w:rsid w:val="003E6BA0"/>
    <w:rsid w:val="003E73DB"/>
    <w:rsid w:val="003F0ADC"/>
    <w:rsid w:val="003F59E6"/>
    <w:rsid w:val="003F5BE6"/>
    <w:rsid w:val="003F6C00"/>
    <w:rsid w:val="00405575"/>
    <w:rsid w:val="004120B1"/>
    <w:rsid w:val="00412590"/>
    <w:rsid w:val="004125EC"/>
    <w:rsid w:val="00413E74"/>
    <w:rsid w:val="0041421D"/>
    <w:rsid w:val="0041490D"/>
    <w:rsid w:val="00414A5C"/>
    <w:rsid w:val="004156B4"/>
    <w:rsid w:val="0041697F"/>
    <w:rsid w:val="00416B4A"/>
    <w:rsid w:val="00420235"/>
    <w:rsid w:val="004223AA"/>
    <w:rsid w:val="00423104"/>
    <w:rsid w:val="00426026"/>
    <w:rsid w:val="004267D3"/>
    <w:rsid w:val="00427E2A"/>
    <w:rsid w:val="00433E65"/>
    <w:rsid w:val="0043469F"/>
    <w:rsid w:val="004357ED"/>
    <w:rsid w:val="004369AB"/>
    <w:rsid w:val="004374B2"/>
    <w:rsid w:val="00437D73"/>
    <w:rsid w:val="00442AB8"/>
    <w:rsid w:val="004436EA"/>
    <w:rsid w:val="0044456C"/>
    <w:rsid w:val="00450B39"/>
    <w:rsid w:val="00451F57"/>
    <w:rsid w:val="00453BC6"/>
    <w:rsid w:val="00454498"/>
    <w:rsid w:val="00456C59"/>
    <w:rsid w:val="00477931"/>
    <w:rsid w:val="00481655"/>
    <w:rsid w:val="0048242D"/>
    <w:rsid w:val="00490198"/>
    <w:rsid w:val="00490E28"/>
    <w:rsid w:val="0049241C"/>
    <w:rsid w:val="0049663F"/>
    <w:rsid w:val="00497362"/>
    <w:rsid w:val="00497C77"/>
    <w:rsid w:val="004A0AE7"/>
    <w:rsid w:val="004A4072"/>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059D"/>
    <w:rsid w:val="004D11ED"/>
    <w:rsid w:val="004D310E"/>
    <w:rsid w:val="004D37D8"/>
    <w:rsid w:val="004D4B81"/>
    <w:rsid w:val="004D72B2"/>
    <w:rsid w:val="004F1759"/>
    <w:rsid w:val="004F5DCD"/>
    <w:rsid w:val="004F6B2B"/>
    <w:rsid w:val="004F7735"/>
    <w:rsid w:val="004F7B44"/>
    <w:rsid w:val="005005DF"/>
    <w:rsid w:val="00505045"/>
    <w:rsid w:val="00505602"/>
    <w:rsid w:val="00510B96"/>
    <w:rsid w:val="00511501"/>
    <w:rsid w:val="00511B5B"/>
    <w:rsid w:val="00512A51"/>
    <w:rsid w:val="00515AF2"/>
    <w:rsid w:val="0051640E"/>
    <w:rsid w:val="00516741"/>
    <w:rsid w:val="0051684E"/>
    <w:rsid w:val="005176BF"/>
    <w:rsid w:val="00527ABC"/>
    <w:rsid w:val="00533831"/>
    <w:rsid w:val="0054193D"/>
    <w:rsid w:val="00542A8C"/>
    <w:rsid w:val="00542D59"/>
    <w:rsid w:val="00543637"/>
    <w:rsid w:val="00543CC1"/>
    <w:rsid w:val="00545DF7"/>
    <w:rsid w:val="00546CA2"/>
    <w:rsid w:val="00547652"/>
    <w:rsid w:val="005539F5"/>
    <w:rsid w:val="00553C8E"/>
    <w:rsid w:val="0055415C"/>
    <w:rsid w:val="00554AAC"/>
    <w:rsid w:val="0055503F"/>
    <w:rsid w:val="005572D7"/>
    <w:rsid w:val="00563797"/>
    <w:rsid w:val="005651B5"/>
    <w:rsid w:val="00566234"/>
    <w:rsid w:val="0057262B"/>
    <w:rsid w:val="005730BE"/>
    <w:rsid w:val="005815B3"/>
    <w:rsid w:val="00582A03"/>
    <w:rsid w:val="005849D7"/>
    <w:rsid w:val="00587E37"/>
    <w:rsid w:val="00593821"/>
    <w:rsid w:val="00594329"/>
    <w:rsid w:val="005946AD"/>
    <w:rsid w:val="00596E88"/>
    <w:rsid w:val="00597CBD"/>
    <w:rsid w:val="00597EA1"/>
    <w:rsid w:val="005A0969"/>
    <w:rsid w:val="005A5E7A"/>
    <w:rsid w:val="005B0DEF"/>
    <w:rsid w:val="005B2A03"/>
    <w:rsid w:val="005B4C1B"/>
    <w:rsid w:val="005C2684"/>
    <w:rsid w:val="005C2DDC"/>
    <w:rsid w:val="005C5620"/>
    <w:rsid w:val="005C578C"/>
    <w:rsid w:val="005D1F0F"/>
    <w:rsid w:val="005D29DB"/>
    <w:rsid w:val="005D41F9"/>
    <w:rsid w:val="005E132C"/>
    <w:rsid w:val="005E4143"/>
    <w:rsid w:val="005E724B"/>
    <w:rsid w:val="00601F7C"/>
    <w:rsid w:val="00602A48"/>
    <w:rsid w:val="00602EF7"/>
    <w:rsid w:val="0060444E"/>
    <w:rsid w:val="00605169"/>
    <w:rsid w:val="00606F11"/>
    <w:rsid w:val="00607B03"/>
    <w:rsid w:val="0061050F"/>
    <w:rsid w:val="0061059D"/>
    <w:rsid w:val="0061326F"/>
    <w:rsid w:val="00614393"/>
    <w:rsid w:val="006146F2"/>
    <w:rsid w:val="00614C00"/>
    <w:rsid w:val="00623567"/>
    <w:rsid w:val="00623BBE"/>
    <w:rsid w:val="0062610F"/>
    <w:rsid w:val="00626701"/>
    <w:rsid w:val="006412B5"/>
    <w:rsid w:val="00641932"/>
    <w:rsid w:val="00642AB6"/>
    <w:rsid w:val="00644083"/>
    <w:rsid w:val="0064429B"/>
    <w:rsid w:val="0064477C"/>
    <w:rsid w:val="00650903"/>
    <w:rsid w:val="00656F26"/>
    <w:rsid w:val="00662E43"/>
    <w:rsid w:val="006650A8"/>
    <w:rsid w:val="006679C0"/>
    <w:rsid w:val="006775A8"/>
    <w:rsid w:val="00680ED5"/>
    <w:rsid w:val="00681956"/>
    <w:rsid w:val="00682C43"/>
    <w:rsid w:val="00682FBA"/>
    <w:rsid w:val="00683370"/>
    <w:rsid w:val="00684EC1"/>
    <w:rsid w:val="006903F9"/>
    <w:rsid w:val="006923C8"/>
    <w:rsid w:val="0069402A"/>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194E"/>
    <w:rsid w:val="006E3B48"/>
    <w:rsid w:val="006E5633"/>
    <w:rsid w:val="006E6184"/>
    <w:rsid w:val="006E631B"/>
    <w:rsid w:val="006F096A"/>
    <w:rsid w:val="006F22E3"/>
    <w:rsid w:val="006F3095"/>
    <w:rsid w:val="006F3340"/>
    <w:rsid w:val="006F5455"/>
    <w:rsid w:val="006F5CB6"/>
    <w:rsid w:val="006F79D3"/>
    <w:rsid w:val="00703194"/>
    <w:rsid w:val="00706E50"/>
    <w:rsid w:val="0070737C"/>
    <w:rsid w:val="00711229"/>
    <w:rsid w:val="007145BC"/>
    <w:rsid w:val="00715018"/>
    <w:rsid w:val="007179FE"/>
    <w:rsid w:val="00717F25"/>
    <w:rsid w:val="007201B1"/>
    <w:rsid w:val="007201D7"/>
    <w:rsid w:val="00724E14"/>
    <w:rsid w:val="007254A6"/>
    <w:rsid w:val="00725AD5"/>
    <w:rsid w:val="00726A03"/>
    <w:rsid w:val="00726DB5"/>
    <w:rsid w:val="00726EB4"/>
    <w:rsid w:val="00731945"/>
    <w:rsid w:val="007363DE"/>
    <w:rsid w:val="0073698D"/>
    <w:rsid w:val="00736C0B"/>
    <w:rsid w:val="00744D93"/>
    <w:rsid w:val="00746531"/>
    <w:rsid w:val="00747E52"/>
    <w:rsid w:val="00750F59"/>
    <w:rsid w:val="00751725"/>
    <w:rsid w:val="00751E2D"/>
    <w:rsid w:val="00752028"/>
    <w:rsid w:val="0075450A"/>
    <w:rsid w:val="0075476D"/>
    <w:rsid w:val="00754897"/>
    <w:rsid w:val="0075717D"/>
    <w:rsid w:val="0076017E"/>
    <w:rsid w:val="00760DB6"/>
    <w:rsid w:val="00761D8F"/>
    <w:rsid w:val="0076361C"/>
    <w:rsid w:val="007661AE"/>
    <w:rsid w:val="00766A51"/>
    <w:rsid w:val="00771FFF"/>
    <w:rsid w:val="00772818"/>
    <w:rsid w:val="00774065"/>
    <w:rsid w:val="0077685D"/>
    <w:rsid w:val="0077788E"/>
    <w:rsid w:val="00782939"/>
    <w:rsid w:val="00784439"/>
    <w:rsid w:val="00787E75"/>
    <w:rsid w:val="00792108"/>
    <w:rsid w:val="00795150"/>
    <w:rsid w:val="007955B8"/>
    <w:rsid w:val="00795F25"/>
    <w:rsid w:val="00797257"/>
    <w:rsid w:val="007A3157"/>
    <w:rsid w:val="007A6E20"/>
    <w:rsid w:val="007B10ED"/>
    <w:rsid w:val="007B2B2E"/>
    <w:rsid w:val="007B3BFC"/>
    <w:rsid w:val="007B4B03"/>
    <w:rsid w:val="007C4F31"/>
    <w:rsid w:val="007C7CD7"/>
    <w:rsid w:val="007D451F"/>
    <w:rsid w:val="007E5257"/>
    <w:rsid w:val="007E5391"/>
    <w:rsid w:val="007F30D7"/>
    <w:rsid w:val="007F4EF5"/>
    <w:rsid w:val="007F59E0"/>
    <w:rsid w:val="00801A72"/>
    <w:rsid w:val="00804105"/>
    <w:rsid w:val="00806D94"/>
    <w:rsid w:val="00807AD8"/>
    <w:rsid w:val="00811800"/>
    <w:rsid w:val="00812E1C"/>
    <w:rsid w:val="00813CFF"/>
    <w:rsid w:val="008140C5"/>
    <w:rsid w:val="00814590"/>
    <w:rsid w:val="00814667"/>
    <w:rsid w:val="008148E2"/>
    <w:rsid w:val="008149E4"/>
    <w:rsid w:val="008156B7"/>
    <w:rsid w:val="00816E72"/>
    <w:rsid w:val="00817D90"/>
    <w:rsid w:val="00822355"/>
    <w:rsid w:val="0082332D"/>
    <w:rsid w:val="0082402C"/>
    <w:rsid w:val="00825FF5"/>
    <w:rsid w:val="008262F1"/>
    <w:rsid w:val="008311FA"/>
    <w:rsid w:val="008317EF"/>
    <w:rsid w:val="0083432B"/>
    <w:rsid w:val="0083791E"/>
    <w:rsid w:val="008407B0"/>
    <w:rsid w:val="00845BCC"/>
    <w:rsid w:val="00845D2F"/>
    <w:rsid w:val="008466CF"/>
    <w:rsid w:val="00847916"/>
    <w:rsid w:val="00851465"/>
    <w:rsid w:val="008514B8"/>
    <w:rsid w:val="00852ED8"/>
    <w:rsid w:val="0085330A"/>
    <w:rsid w:val="008550CA"/>
    <w:rsid w:val="0085533A"/>
    <w:rsid w:val="00855543"/>
    <w:rsid w:val="0085738D"/>
    <w:rsid w:val="0085772B"/>
    <w:rsid w:val="00862395"/>
    <w:rsid w:val="00864DD3"/>
    <w:rsid w:val="00866724"/>
    <w:rsid w:val="008708D6"/>
    <w:rsid w:val="00874608"/>
    <w:rsid w:val="008760D0"/>
    <w:rsid w:val="00876796"/>
    <w:rsid w:val="00881317"/>
    <w:rsid w:val="008843EE"/>
    <w:rsid w:val="00892CA4"/>
    <w:rsid w:val="00896477"/>
    <w:rsid w:val="00896BD6"/>
    <w:rsid w:val="00896F5A"/>
    <w:rsid w:val="008A20FE"/>
    <w:rsid w:val="008A3C37"/>
    <w:rsid w:val="008B1840"/>
    <w:rsid w:val="008B70D3"/>
    <w:rsid w:val="008B73A2"/>
    <w:rsid w:val="008B7733"/>
    <w:rsid w:val="008B7FE2"/>
    <w:rsid w:val="008C0BBA"/>
    <w:rsid w:val="008C2450"/>
    <w:rsid w:val="008C7817"/>
    <w:rsid w:val="008C7F5B"/>
    <w:rsid w:val="008D079A"/>
    <w:rsid w:val="008D2F40"/>
    <w:rsid w:val="008D5B52"/>
    <w:rsid w:val="008E0AD6"/>
    <w:rsid w:val="008E4209"/>
    <w:rsid w:val="008E48FC"/>
    <w:rsid w:val="008E55BD"/>
    <w:rsid w:val="008E7527"/>
    <w:rsid w:val="008F1539"/>
    <w:rsid w:val="008F2AD6"/>
    <w:rsid w:val="008F3127"/>
    <w:rsid w:val="008F322D"/>
    <w:rsid w:val="008F39F5"/>
    <w:rsid w:val="008F44F1"/>
    <w:rsid w:val="008F4BA8"/>
    <w:rsid w:val="008F5C07"/>
    <w:rsid w:val="008F696D"/>
    <w:rsid w:val="008F7777"/>
    <w:rsid w:val="00901CF5"/>
    <w:rsid w:val="00901F53"/>
    <w:rsid w:val="009026C0"/>
    <w:rsid w:val="00906431"/>
    <w:rsid w:val="009115AF"/>
    <w:rsid w:val="00913276"/>
    <w:rsid w:val="009221DF"/>
    <w:rsid w:val="009224FD"/>
    <w:rsid w:val="0093296C"/>
    <w:rsid w:val="00935896"/>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879EC"/>
    <w:rsid w:val="0099244E"/>
    <w:rsid w:val="0099742A"/>
    <w:rsid w:val="009A0446"/>
    <w:rsid w:val="009A062C"/>
    <w:rsid w:val="009A48AF"/>
    <w:rsid w:val="009A522D"/>
    <w:rsid w:val="009A65A1"/>
    <w:rsid w:val="009B0C68"/>
    <w:rsid w:val="009B3F77"/>
    <w:rsid w:val="009B5132"/>
    <w:rsid w:val="009B589B"/>
    <w:rsid w:val="009B724A"/>
    <w:rsid w:val="009C11B3"/>
    <w:rsid w:val="009C166A"/>
    <w:rsid w:val="009C2059"/>
    <w:rsid w:val="009C6FFB"/>
    <w:rsid w:val="009C7EF5"/>
    <w:rsid w:val="009D0C93"/>
    <w:rsid w:val="009D2694"/>
    <w:rsid w:val="009D2FAC"/>
    <w:rsid w:val="009E093C"/>
    <w:rsid w:val="009E1311"/>
    <w:rsid w:val="009E151E"/>
    <w:rsid w:val="009E3ACF"/>
    <w:rsid w:val="009E5529"/>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54D6"/>
    <w:rsid w:val="00A25EA3"/>
    <w:rsid w:val="00A26FC8"/>
    <w:rsid w:val="00A303A1"/>
    <w:rsid w:val="00A338B9"/>
    <w:rsid w:val="00A34106"/>
    <w:rsid w:val="00A42386"/>
    <w:rsid w:val="00A446E4"/>
    <w:rsid w:val="00A50751"/>
    <w:rsid w:val="00A50E72"/>
    <w:rsid w:val="00A52E03"/>
    <w:rsid w:val="00A54B81"/>
    <w:rsid w:val="00A54BE7"/>
    <w:rsid w:val="00A564EB"/>
    <w:rsid w:val="00A6500A"/>
    <w:rsid w:val="00A65333"/>
    <w:rsid w:val="00A6540E"/>
    <w:rsid w:val="00A6719E"/>
    <w:rsid w:val="00A739F1"/>
    <w:rsid w:val="00A758DE"/>
    <w:rsid w:val="00A7622A"/>
    <w:rsid w:val="00A76CBE"/>
    <w:rsid w:val="00A8189A"/>
    <w:rsid w:val="00A81C2E"/>
    <w:rsid w:val="00A81EC4"/>
    <w:rsid w:val="00A83B8E"/>
    <w:rsid w:val="00A8478F"/>
    <w:rsid w:val="00A858C4"/>
    <w:rsid w:val="00A874D2"/>
    <w:rsid w:val="00A9141E"/>
    <w:rsid w:val="00A9341B"/>
    <w:rsid w:val="00A9718B"/>
    <w:rsid w:val="00A974CA"/>
    <w:rsid w:val="00A97E12"/>
    <w:rsid w:val="00AA2CD5"/>
    <w:rsid w:val="00AA4F6C"/>
    <w:rsid w:val="00AB16AE"/>
    <w:rsid w:val="00AB392A"/>
    <w:rsid w:val="00AB4CE3"/>
    <w:rsid w:val="00AB5801"/>
    <w:rsid w:val="00AB5A64"/>
    <w:rsid w:val="00AB71A5"/>
    <w:rsid w:val="00AB76C6"/>
    <w:rsid w:val="00AB79E9"/>
    <w:rsid w:val="00AC34CF"/>
    <w:rsid w:val="00AC5567"/>
    <w:rsid w:val="00AC6C38"/>
    <w:rsid w:val="00AC7645"/>
    <w:rsid w:val="00AD04F4"/>
    <w:rsid w:val="00AD1AEF"/>
    <w:rsid w:val="00AD576C"/>
    <w:rsid w:val="00AD670F"/>
    <w:rsid w:val="00AD6C71"/>
    <w:rsid w:val="00AE0D51"/>
    <w:rsid w:val="00AE1E4B"/>
    <w:rsid w:val="00AE1E54"/>
    <w:rsid w:val="00AE2AFD"/>
    <w:rsid w:val="00AE4372"/>
    <w:rsid w:val="00AE478A"/>
    <w:rsid w:val="00AE741B"/>
    <w:rsid w:val="00AF0C8D"/>
    <w:rsid w:val="00AF2058"/>
    <w:rsid w:val="00B00778"/>
    <w:rsid w:val="00B04E8C"/>
    <w:rsid w:val="00B050C0"/>
    <w:rsid w:val="00B05642"/>
    <w:rsid w:val="00B06097"/>
    <w:rsid w:val="00B10045"/>
    <w:rsid w:val="00B100DF"/>
    <w:rsid w:val="00B10CAE"/>
    <w:rsid w:val="00B12190"/>
    <w:rsid w:val="00B1294B"/>
    <w:rsid w:val="00B137C3"/>
    <w:rsid w:val="00B14C4A"/>
    <w:rsid w:val="00B171BB"/>
    <w:rsid w:val="00B21D69"/>
    <w:rsid w:val="00B2247A"/>
    <w:rsid w:val="00B23961"/>
    <w:rsid w:val="00B240CE"/>
    <w:rsid w:val="00B24B4E"/>
    <w:rsid w:val="00B36551"/>
    <w:rsid w:val="00B36E9E"/>
    <w:rsid w:val="00B40E38"/>
    <w:rsid w:val="00B45C9E"/>
    <w:rsid w:val="00B47D94"/>
    <w:rsid w:val="00B50965"/>
    <w:rsid w:val="00B51ACE"/>
    <w:rsid w:val="00B6168F"/>
    <w:rsid w:val="00B619AA"/>
    <w:rsid w:val="00B623D7"/>
    <w:rsid w:val="00B64A8C"/>
    <w:rsid w:val="00B66E7A"/>
    <w:rsid w:val="00B8096A"/>
    <w:rsid w:val="00B87CD9"/>
    <w:rsid w:val="00B91564"/>
    <w:rsid w:val="00B9206A"/>
    <w:rsid w:val="00B9279E"/>
    <w:rsid w:val="00BA1CFA"/>
    <w:rsid w:val="00BA3DD1"/>
    <w:rsid w:val="00BA4284"/>
    <w:rsid w:val="00BC1029"/>
    <w:rsid w:val="00BC2720"/>
    <w:rsid w:val="00BC3E5E"/>
    <w:rsid w:val="00BC4728"/>
    <w:rsid w:val="00BC4BF4"/>
    <w:rsid w:val="00BC60B3"/>
    <w:rsid w:val="00BC7E8A"/>
    <w:rsid w:val="00BD2253"/>
    <w:rsid w:val="00BD4FE3"/>
    <w:rsid w:val="00BD7496"/>
    <w:rsid w:val="00BE042D"/>
    <w:rsid w:val="00BE4063"/>
    <w:rsid w:val="00BE4212"/>
    <w:rsid w:val="00BE4802"/>
    <w:rsid w:val="00BE7212"/>
    <w:rsid w:val="00BF0D7C"/>
    <w:rsid w:val="00BF331F"/>
    <w:rsid w:val="00C02878"/>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440B8"/>
    <w:rsid w:val="00C51308"/>
    <w:rsid w:val="00C51F78"/>
    <w:rsid w:val="00C5232C"/>
    <w:rsid w:val="00C539F8"/>
    <w:rsid w:val="00C53A47"/>
    <w:rsid w:val="00C57BB9"/>
    <w:rsid w:val="00C606F6"/>
    <w:rsid w:val="00C6082E"/>
    <w:rsid w:val="00C61699"/>
    <w:rsid w:val="00C62B02"/>
    <w:rsid w:val="00C63A00"/>
    <w:rsid w:val="00C64908"/>
    <w:rsid w:val="00C655A0"/>
    <w:rsid w:val="00C705B5"/>
    <w:rsid w:val="00C7093C"/>
    <w:rsid w:val="00C7241D"/>
    <w:rsid w:val="00C738BD"/>
    <w:rsid w:val="00C75D40"/>
    <w:rsid w:val="00C83627"/>
    <w:rsid w:val="00C85E41"/>
    <w:rsid w:val="00C85E44"/>
    <w:rsid w:val="00C928AD"/>
    <w:rsid w:val="00C92F94"/>
    <w:rsid w:val="00C95D81"/>
    <w:rsid w:val="00C960AA"/>
    <w:rsid w:val="00C978B3"/>
    <w:rsid w:val="00CA121E"/>
    <w:rsid w:val="00CA22E4"/>
    <w:rsid w:val="00CA3E24"/>
    <w:rsid w:val="00CA501D"/>
    <w:rsid w:val="00CA55C4"/>
    <w:rsid w:val="00CB1789"/>
    <w:rsid w:val="00CB1CB2"/>
    <w:rsid w:val="00CB2557"/>
    <w:rsid w:val="00CB2E14"/>
    <w:rsid w:val="00CB44C4"/>
    <w:rsid w:val="00CB47FE"/>
    <w:rsid w:val="00CB4D35"/>
    <w:rsid w:val="00CB6703"/>
    <w:rsid w:val="00CC308C"/>
    <w:rsid w:val="00CC39B1"/>
    <w:rsid w:val="00CC3D90"/>
    <w:rsid w:val="00CD34EE"/>
    <w:rsid w:val="00CD526B"/>
    <w:rsid w:val="00CD5B93"/>
    <w:rsid w:val="00CD6E69"/>
    <w:rsid w:val="00CD7039"/>
    <w:rsid w:val="00CE3B32"/>
    <w:rsid w:val="00CE4A24"/>
    <w:rsid w:val="00CE613B"/>
    <w:rsid w:val="00CE7403"/>
    <w:rsid w:val="00CF0826"/>
    <w:rsid w:val="00CF0D8A"/>
    <w:rsid w:val="00CF267F"/>
    <w:rsid w:val="00CF7DA0"/>
    <w:rsid w:val="00D017CC"/>
    <w:rsid w:val="00D0312C"/>
    <w:rsid w:val="00D04614"/>
    <w:rsid w:val="00D1723F"/>
    <w:rsid w:val="00D26B64"/>
    <w:rsid w:val="00D30AA4"/>
    <w:rsid w:val="00D30CE5"/>
    <w:rsid w:val="00D31488"/>
    <w:rsid w:val="00D34C05"/>
    <w:rsid w:val="00D3594E"/>
    <w:rsid w:val="00D3674A"/>
    <w:rsid w:val="00D40383"/>
    <w:rsid w:val="00D405EF"/>
    <w:rsid w:val="00D4085D"/>
    <w:rsid w:val="00D410C8"/>
    <w:rsid w:val="00D428F4"/>
    <w:rsid w:val="00D434F3"/>
    <w:rsid w:val="00D43CC6"/>
    <w:rsid w:val="00D46E83"/>
    <w:rsid w:val="00D51386"/>
    <w:rsid w:val="00D52914"/>
    <w:rsid w:val="00D5485B"/>
    <w:rsid w:val="00D57346"/>
    <w:rsid w:val="00D61911"/>
    <w:rsid w:val="00D62258"/>
    <w:rsid w:val="00D625A7"/>
    <w:rsid w:val="00D677F9"/>
    <w:rsid w:val="00D702F1"/>
    <w:rsid w:val="00D729FA"/>
    <w:rsid w:val="00D73101"/>
    <w:rsid w:val="00D7336A"/>
    <w:rsid w:val="00D73591"/>
    <w:rsid w:val="00D74D41"/>
    <w:rsid w:val="00D7584A"/>
    <w:rsid w:val="00D802FC"/>
    <w:rsid w:val="00D8532B"/>
    <w:rsid w:val="00D85463"/>
    <w:rsid w:val="00D94E38"/>
    <w:rsid w:val="00D973A5"/>
    <w:rsid w:val="00DA205D"/>
    <w:rsid w:val="00DA2CBF"/>
    <w:rsid w:val="00DA2FB0"/>
    <w:rsid w:val="00DA7233"/>
    <w:rsid w:val="00DB0C47"/>
    <w:rsid w:val="00DB0F81"/>
    <w:rsid w:val="00DB7C4B"/>
    <w:rsid w:val="00DC4D62"/>
    <w:rsid w:val="00DC50E5"/>
    <w:rsid w:val="00DC76C7"/>
    <w:rsid w:val="00DE076A"/>
    <w:rsid w:val="00DE311A"/>
    <w:rsid w:val="00DE36EB"/>
    <w:rsid w:val="00DE4A6C"/>
    <w:rsid w:val="00DE64C1"/>
    <w:rsid w:val="00DF0812"/>
    <w:rsid w:val="00DF10A3"/>
    <w:rsid w:val="00DF4778"/>
    <w:rsid w:val="00DF48E3"/>
    <w:rsid w:val="00DF5BAB"/>
    <w:rsid w:val="00E10555"/>
    <w:rsid w:val="00E11087"/>
    <w:rsid w:val="00E1367D"/>
    <w:rsid w:val="00E13826"/>
    <w:rsid w:val="00E16E0A"/>
    <w:rsid w:val="00E2026C"/>
    <w:rsid w:val="00E204BB"/>
    <w:rsid w:val="00E220BC"/>
    <w:rsid w:val="00E22222"/>
    <w:rsid w:val="00E255EA"/>
    <w:rsid w:val="00E31096"/>
    <w:rsid w:val="00E33938"/>
    <w:rsid w:val="00E339DB"/>
    <w:rsid w:val="00E33F03"/>
    <w:rsid w:val="00E34ECD"/>
    <w:rsid w:val="00E354D8"/>
    <w:rsid w:val="00E3658A"/>
    <w:rsid w:val="00E3706A"/>
    <w:rsid w:val="00E3738B"/>
    <w:rsid w:val="00E37446"/>
    <w:rsid w:val="00E37730"/>
    <w:rsid w:val="00E4099E"/>
    <w:rsid w:val="00E456AA"/>
    <w:rsid w:val="00E5201F"/>
    <w:rsid w:val="00E579FF"/>
    <w:rsid w:val="00E65948"/>
    <w:rsid w:val="00E6698B"/>
    <w:rsid w:val="00E7195E"/>
    <w:rsid w:val="00E72BDD"/>
    <w:rsid w:val="00E72F4A"/>
    <w:rsid w:val="00E7467D"/>
    <w:rsid w:val="00E82115"/>
    <w:rsid w:val="00E832FF"/>
    <w:rsid w:val="00E833DB"/>
    <w:rsid w:val="00E83448"/>
    <w:rsid w:val="00E836FE"/>
    <w:rsid w:val="00E838D3"/>
    <w:rsid w:val="00E8723E"/>
    <w:rsid w:val="00E90BF8"/>
    <w:rsid w:val="00E92C8A"/>
    <w:rsid w:val="00E9346D"/>
    <w:rsid w:val="00EA21BF"/>
    <w:rsid w:val="00EA594C"/>
    <w:rsid w:val="00EA7329"/>
    <w:rsid w:val="00EA7A1C"/>
    <w:rsid w:val="00EB5170"/>
    <w:rsid w:val="00EB7EDA"/>
    <w:rsid w:val="00EC247B"/>
    <w:rsid w:val="00EC3E78"/>
    <w:rsid w:val="00EC5206"/>
    <w:rsid w:val="00EC5D22"/>
    <w:rsid w:val="00ED0175"/>
    <w:rsid w:val="00ED0AC8"/>
    <w:rsid w:val="00ED2AC4"/>
    <w:rsid w:val="00ED4036"/>
    <w:rsid w:val="00EE041B"/>
    <w:rsid w:val="00EE57AC"/>
    <w:rsid w:val="00EE61F1"/>
    <w:rsid w:val="00EE74C4"/>
    <w:rsid w:val="00EE7D29"/>
    <w:rsid w:val="00EF33DE"/>
    <w:rsid w:val="00EF6486"/>
    <w:rsid w:val="00EF72D4"/>
    <w:rsid w:val="00F0525B"/>
    <w:rsid w:val="00F11A23"/>
    <w:rsid w:val="00F11DDE"/>
    <w:rsid w:val="00F120E6"/>
    <w:rsid w:val="00F12ACD"/>
    <w:rsid w:val="00F16589"/>
    <w:rsid w:val="00F2068C"/>
    <w:rsid w:val="00F234AB"/>
    <w:rsid w:val="00F24478"/>
    <w:rsid w:val="00F251B0"/>
    <w:rsid w:val="00F301F2"/>
    <w:rsid w:val="00F31DE0"/>
    <w:rsid w:val="00F3245D"/>
    <w:rsid w:val="00F34E70"/>
    <w:rsid w:val="00F4377A"/>
    <w:rsid w:val="00F46237"/>
    <w:rsid w:val="00F47765"/>
    <w:rsid w:val="00F501C6"/>
    <w:rsid w:val="00F60C76"/>
    <w:rsid w:val="00F630DB"/>
    <w:rsid w:val="00F630EF"/>
    <w:rsid w:val="00F63A9F"/>
    <w:rsid w:val="00F6403E"/>
    <w:rsid w:val="00F71346"/>
    <w:rsid w:val="00F715F2"/>
    <w:rsid w:val="00F72127"/>
    <w:rsid w:val="00F730C7"/>
    <w:rsid w:val="00F76230"/>
    <w:rsid w:val="00F76C87"/>
    <w:rsid w:val="00F801D7"/>
    <w:rsid w:val="00F8440C"/>
    <w:rsid w:val="00F8684A"/>
    <w:rsid w:val="00F90535"/>
    <w:rsid w:val="00F94C3D"/>
    <w:rsid w:val="00F95D26"/>
    <w:rsid w:val="00F979C5"/>
    <w:rsid w:val="00FA0CBF"/>
    <w:rsid w:val="00FA0E45"/>
    <w:rsid w:val="00FA2EC0"/>
    <w:rsid w:val="00FA3F2A"/>
    <w:rsid w:val="00FA4E87"/>
    <w:rsid w:val="00FA64FD"/>
    <w:rsid w:val="00FB2594"/>
    <w:rsid w:val="00FB4200"/>
    <w:rsid w:val="00FB5750"/>
    <w:rsid w:val="00FB6A2E"/>
    <w:rsid w:val="00FC055C"/>
    <w:rsid w:val="00FC23C0"/>
    <w:rsid w:val="00FC3CEE"/>
    <w:rsid w:val="00FD316B"/>
    <w:rsid w:val="00FD4437"/>
    <w:rsid w:val="00FD7123"/>
    <w:rsid w:val="00FE26A5"/>
    <w:rsid w:val="00FE347C"/>
    <w:rsid w:val="00FE3A71"/>
    <w:rsid w:val="00FE4A16"/>
    <w:rsid w:val="00FE730A"/>
    <w:rsid w:val="00FF32ED"/>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EEA48"/>
  <w14:defaultImageDpi w14:val="0"/>
  <w15:docId w15:val="{484A76A8-44EB-48D9-B8C3-625D1E7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7"/>
      </w:numPr>
      <w:tabs>
        <w:tab w:val="num" w:pos="567"/>
        <w:tab w:val="num" w:pos="850"/>
      </w:tabs>
      <w:ind w:left="850" w:hanging="284"/>
    </w:pPr>
  </w:style>
  <w:style w:type="paragraph" w:customStyle="1" w:styleId="DoubleDot">
    <w:name w:val="Double Dot"/>
    <w:basedOn w:val="Normal"/>
    <w:rsid w:val="00D51386"/>
    <w:pPr>
      <w:numPr>
        <w:ilvl w:val="2"/>
        <w:numId w:val="7"/>
      </w:numPr>
      <w:tabs>
        <w:tab w:val="num" w:pos="850"/>
        <w:tab w:val="num" w:pos="1133"/>
      </w:tabs>
      <w:ind w:left="1133" w:hanging="283"/>
    </w:pPr>
  </w:style>
  <w:style w:type="paragraph" w:customStyle="1" w:styleId="OutlineNumbered1">
    <w:name w:val="Outline Numbered 1"/>
    <w:basedOn w:val="Normal"/>
    <w:rsid w:val="00D51386"/>
    <w:pPr>
      <w:numPr>
        <w:numId w:val="4"/>
      </w:numPr>
    </w:pPr>
  </w:style>
  <w:style w:type="paragraph" w:customStyle="1" w:styleId="OutlineNumbered2">
    <w:name w:val="Outline Numbered 2"/>
    <w:basedOn w:val="Normal"/>
    <w:rsid w:val="00D51386"/>
    <w:pPr>
      <w:numPr>
        <w:ilvl w:val="1"/>
        <w:numId w:val="4"/>
      </w:numPr>
    </w:pPr>
  </w:style>
  <w:style w:type="paragraph" w:customStyle="1" w:styleId="OutlineNumbered3">
    <w:name w:val="Outline Numbered 3"/>
    <w:basedOn w:val="Normal"/>
    <w:rsid w:val="00D51386"/>
    <w:pPr>
      <w:numPr>
        <w:ilvl w:val="2"/>
        <w:numId w:val="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6"/>
      </w:numPr>
    </w:pPr>
  </w:style>
  <w:style w:type="paragraph" w:customStyle="1" w:styleId="BoxDash">
    <w:name w:val="Box Dash"/>
    <w:basedOn w:val="Normal"/>
    <w:uiPriority w:val="99"/>
    <w:rsid w:val="00D51386"/>
    <w:pPr>
      <w:numPr>
        <w:ilvl w:val="1"/>
        <w:numId w:val="6"/>
      </w:numPr>
    </w:pPr>
  </w:style>
  <w:style w:type="paragraph" w:customStyle="1" w:styleId="BoxDoubleDot">
    <w:name w:val="Box Double Dot"/>
    <w:basedOn w:val="BoxTextBase"/>
    <w:uiPriority w:val="99"/>
    <w:rsid w:val="00D51386"/>
    <w:pPr>
      <w:numPr>
        <w:ilvl w:val="2"/>
        <w:numId w:val="6"/>
      </w:numPr>
    </w:pPr>
  </w:style>
  <w:style w:type="paragraph" w:customStyle="1" w:styleId="RecommendationBullet">
    <w:name w:val="Recommendation Bullet"/>
    <w:basedOn w:val="RecommendationTextBase"/>
    <w:rsid w:val="00D51386"/>
    <w:pPr>
      <w:numPr>
        <w:numId w:val="8"/>
      </w:numPr>
    </w:pPr>
  </w:style>
  <w:style w:type="paragraph" w:customStyle="1" w:styleId="RecommendationDash">
    <w:name w:val="Recommendation Dash"/>
    <w:basedOn w:val="RecommendationTextBase"/>
    <w:rsid w:val="00D51386"/>
    <w:pPr>
      <w:numPr>
        <w:ilvl w:val="1"/>
        <w:numId w:val="8"/>
      </w:numPr>
    </w:pPr>
  </w:style>
  <w:style w:type="paragraph" w:customStyle="1" w:styleId="RecommendationDoubleDot">
    <w:name w:val="Recommendation Double Dot"/>
    <w:basedOn w:val="RecommendationTextBase"/>
    <w:rsid w:val="00D51386"/>
    <w:pPr>
      <w:numPr>
        <w:ilvl w:val="2"/>
        <w:numId w:val="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360"/>
      </w:tabs>
      <w:ind w:left="360" w:hanging="360"/>
    </w:pPr>
  </w:style>
  <w:style w:type="paragraph" w:customStyle="1" w:styleId="Romannumeral">
    <w:name w:val="Roman numeral"/>
    <w:basedOn w:val="Normal"/>
    <w:rsid w:val="00D51386"/>
    <w:pPr>
      <w:numPr>
        <w:numId w:val="1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3"/>
      </w:numPr>
      <w:tabs>
        <w:tab w:val="clear" w:pos="360"/>
        <w:tab w:val="num" w:pos="1086"/>
        <w:tab w:val="num" w:pos="1134"/>
        <w:tab w:val="num" w:pos="1440"/>
        <w:tab w:val="num" w:pos="1701"/>
        <w:tab w:val="num" w:pos="2268"/>
        <w:tab w:val="num" w:pos="2574"/>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1"/>
      </w:numPr>
    </w:pPr>
  </w:style>
  <w:style w:type="paragraph" w:customStyle="1" w:styleId="AgreementParties">
    <w:name w:val="AgreementParties"/>
    <w:rsid w:val="00D51386"/>
    <w:pPr>
      <w:numPr>
        <w:numId w:val="1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52E03"/>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0552">
      <w:bodyDiv w:val="1"/>
      <w:marLeft w:val="0"/>
      <w:marRight w:val="0"/>
      <w:marTop w:val="0"/>
      <w:marBottom w:val="0"/>
      <w:divBdr>
        <w:top w:val="none" w:sz="0" w:space="0" w:color="auto"/>
        <w:left w:val="none" w:sz="0" w:space="0" w:color="auto"/>
        <w:bottom w:val="none" w:sz="0" w:space="0" w:color="auto"/>
        <w:right w:val="none" w:sz="0" w:space="0" w:color="auto"/>
      </w:divBdr>
    </w:div>
    <w:div w:id="245385872">
      <w:bodyDiv w:val="1"/>
      <w:marLeft w:val="0"/>
      <w:marRight w:val="0"/>
      <w:marTop w:val="0"/>
      <w:marBottom w:val="0"/>
      <w:divBdr>
        <w:top w:val="none" w:sz="0" w:space="0" w:color="auto"/>
        <w:left w:val="none" w:sz="0" w:space="0" w:color="auto"/>
        <w:bottom w:val="none" w:sz="0" w:space="0" w:color="auto"/>
        <w:right w:val="none" w:sz="0" w:space="0" w:color="auto"/>
      </w:divBdr>
    </w:div>
    <w:div w:id="434519996">
      <w:marLeft w:val="0"/>
      <w:marRight w:val="0"/>
      <w:marTop w:val="0"/>
      <w:marBottom w:val="0"/>
      <w:divBdr>
        <w:top w:val="none" w:sz="0" w:space="0" w:color="auto"/>
        <w:left w:val="none" w:sz="0" w:space="0" w:color="auto"/>
        <w:bottom w:val="none" w:sz="0" w:space="0" w:color="auto"/>
        <w:right w:val="none" w:sz="0" w:space="0" w:color="auto"/>
      </w:divBdr>
    </w:div>
    <w:div w:id="434519997">
      <w:marLeft w:val="0"/>
      <w:marRight w:val="0"/>
      <w:marTop w:val="0"/>
      <w:marBottom w:val="0"/>
      <w:divBdr>
        <w:top w:val="none" w:sz="0" w:space="0" w:color="auto"/>
        <w:left w:val="none" w:sz="0" w:space="0" w:color="auto"/>
        <w:bottom w:val="none" w:sz="0" w:space="0" w:color="auto"/>
        <w:right w:val="none" w:sz="0" w:space="0" w:color="auto"/>
      </w:divBdr>
    </w:div>
    <w:div w:id="434519998">
      <w:marLeft w:val="0"/>
      <w:marRight w:val="0"/>
      <w:marTop w:val="0"/>
      <w:marBottom w:val="0"/>
      <w:divBdr>
        <w:top w:val="none" w:sz="0" w:space="0" w:color="auto"/>
        <w:left w:val="none" w:sz="0" w:space="0" w:color="auto"/>
        <w:bottom w:val="none" w:sz="0" w:space="0" w:color="auto"/>
        <w:right w:val="none" w:sz="0" w:space="0" w:color="auto"/>
      </w:divBdr>
    </w:div>
    <w:div w:id="445276817">
      <w:bodyDiv w:val="1"/>
      <w:marLeft w:val="0"/>
      <w:marRight w:val="0"/>
      <w:marTop w:val="0"/>
      <w:marBottom w:val="0"/>
      <w:divBdr>
        <w:top w:val="none" w:sz="0" w:space="0" w:color="auto"/>
        <w:left w:val="none" w:sz="0" w:space="0" w:color="auto"/>
        <w:bottom w:val="none" w:sz="0" w:space="0" w:color="auto"/>
        <w:right w:val="none" w:sz="0" w:space="0" w:color="auto"/>
      </w:divBdr>
    </w:div>
    <w:div w:id="824592143">
      <w:bodyDiv w:val="1"/>
      <w:marLeft w:val="0"/>
      <w:marRight w:val="0"/>
      <w:marTop w:val="0"/>
      <w:marBottom w:val="0"/>
      <w:divBdr>
        <w:top w:val="none" w:sz="0" w:space="0" w:color="auto"/>
        <w:left w:val="none" w:sz="0" w:space="0" w:color="auto"/>
        <w:bottom w:val="none" w:sz="0" w:space="0" w:color="auto"/>
        <w:right w:val="none" w:sz="0" w:space="0" w:color="auto"/>
      </w:divBdr>
    </w:div>
    <w:div w:id="865942925">
      <w:bodyDiv w:val="1"/>
      <w:marLeft w:val="0"/>
      <w:marRight w:val="0"/>
      <w:marTop w:val="0"/>
      <w:marBottom w:val="0"/>
      <w:divBdr>
        <w:top w:val="none" w:sz="0" w:space="0" w:color="auto"/>
        <w:left w:val="none" w:sz="0" w:space="0" w:color="auto"/>
        <w:bottom w:val="none" w:sz="0" w:space="0" w:color="auto"/>
        <w:right w:val="none" w:sz="0" w:space="0" w:color="auto"/>
      </w:divBdr>
    </w:div>
    <w:div w:id="1101726123">
      <w:bodyDiv w:val="1"/>
      <w:marLeft w:val="0"/>
      <w:marRight w:val="0"/>
      <w:marTop w:val="0"/>
      <w:marBottom w:val="0"/>
      <w:divBdr>
        <w:top w:val="none" w:sz="0" w:space="0" w:color="auto"/>
        <w:left w:val="none" w:sz="0" w:space="0" w:color="auto"/>
        <w:bottom w:val="none" w:sz="0" w:space="0" w:color="auto"/>
        <w:right w:val="none" w:sz="0" w:space="0" w:color="auto"/>
      </w:divBdr>
    </w:div>
    <w:div w:id="1119837862">
      <w:marLeft w:val="0"/>
      <w:marRight w:val="0"/>
      <w:marTop w:val="0"/>
      <w:marBottom w:val="0"/>
      <w:divBdr>
        <w:top w:val="none" w:sz="0" w:space="0" w:color="auto"/>
        <w:left w:val="none" w:sz="0" w:space="0" w:color="auto"/>
        <w:bottom w:val="none" w:sz="0" w:space="0" w:color="auto"/>
        <w:right w:val="none" w:sz="0" w:space="0" w:color="auto"/>
      </w:divBdr>
    </w:div>
    <w:div w:id="1119837863">
      <w:marLeft w:val="0"/>
      <w:marRight w:val="0"/>
      <w:marTop w:val="0"/>
      <w:marBottom w:val="0"/>
      <w:divBdr>
        <w:top w:val="none" w:sz="0" w:space="0" w:color="auto"/>
        <w:left w:val="none" w:sz="0" w:space="0" w:color="auto"/>
        <w:bottom w:val="none" w:sz="0" w:space="0" w:color="auto"/>
        <w:right w:val="none" w:sz="0" w:space="0" w:color="auto"/>
      </w:divBdr>
    </w:div>
    <w:div w:id="1119837864">
      <w:marLeft w:val="0"/>
      <w:marRight w:val="0"/>
      <w:marTop w:val="0"/>
      <w:marBottom w:val="0"/>
      <w:divBdr>
        <w:top w:val="none" w:sz="0" w:space="0" w:color="auto"/>
        <w:left w:val="none" w:sz="0" w:space="0" w:color="auto"/>
        <w:bottom w:val="none" w:sz="0" w:space="0" w:color="auto"/>
        <w:right w:val="none" w:sz="0" w:space="0" w:color="auto"/>
      </w:divBdr>
    </w:div>
    <w:div w:id="1301689631">
      <w:bodyDiv w:val="1"/>
      <w:marLeft w:val="0"/>
      <w:marRight w:val="0"/>
      <w:marTop w:val="0"/>
      <w:marBottom w:val="0"/>
      <w:divBdr>
        <w:top w:val="none" w:sz="0" w:space="0" w:color="auto"/>
        <w:left w:val="none" w:sz="0" w:space="0" w:color="auto"/>
        <w:bottom w:val="none" w:sz="0" w:space="0" w:color="auto"/>
        <w:right w:val="none" w:sz="0" w:space="0" w:color="auto"/>
      </w:divBdr>
    </w:div>
    <w:div w:id="18681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2020FG-64-73892</_dlc_DocId>
    <_dlc_DocIdUrl xmlns="0f563589-9cf9-4143-b1eb-fb0534803d38">
      <Url>http://tweb/sites/fg/csrd/_layouts/15/DocIdRedir.aspx?ID=2020FG-64-73892</Url>
      <Description>2020FG-64-73892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049060E-3F23-492F-AC6A-B1346EBD952D}"/>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3B4FFA44-EDD8-45AD-9832-925676667B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3A295A-5D76-4235-B9C2-9293CC299BA7"/>
    <ds:schemaRef ds:uri="http://www.w3.org/XML/1998/namespace"/>
    <ds:schemaRef ds:uri="http://purl.org/dc/dcmitype/"/>
  </ds:schemaRefs>
</ds:datastoreItem>
</file>

<file path=customXml/itemProps4.xml><?xml version="1.0" encoding="utf-8"?>
<ds:datastoreItem xmlns:ds="http://schemas.openxmlformats.org/officeDocument/2006/customXml" ds:itemID="{5E406AC7-6FB3-453A-B30B-C2490CFEEE1B}">
  <ds:schemaRefs>
    <ds:schemaRef ds:uri="http://schemas.openxmlformats.org/officeDocument/2006/bibliography"/>
  </ds:schemaRefs>
</ds:datastoreItem>
</file>

<file path=customXml/itemProps5.xml><?xml version="1.0" encoding="utf-8"?>
<ds:datastoreItem xmlns:ds="http://schemas.openxmlformats.org/officeDocument/2006/customXml" ds:itemID="{71175BC0-866E-4B13-A9BB-E956FF3F7261}"/>
</file>

<file path=customXml/itemProps6.xml><?xml version="1.0" encoding="utf-8"?>
<ds:datastoreItem xmlns:ds="http://schemas.openxmlformats.org/officeDocument/2006/customXml" ds:itemID="{4543CD31-31D1-46D2-9AEF-92B2B596F863}"/>
</file>

<file path=customXml/itemProps7.xml><?xml version="1.0" encoding="utf-8"?>
<ds:datastoreItem xmlns:ds="http://schemas.openxmlformats.org/officeDocument/2006/customXml" ds:itemID="{72D3029E-3F1D-4635-98EC-42D0C16FE51A}"/>
</file>

<file path=docProps/app.xml><?xml version="1.0" encoding="utf-8"?>
<Properties xmlns="http://schemas.openxmlformats.org/officeDocument/2006/extended-properties" xmlns:vt="http://schemas.openxmlformats.org/officeDocument/2006/docPropsVTypes">
  <Template>COAG</Template>
  <TotalTime>0</TotalTime>
  <Pages>13</Pages>
  <Words>2302</Words>
  <Characters>13126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McKenzie, Thea</cp:lastModifiedBy>
  <cp:revision>2</cp:revision>
  <cp:lastPrinted>2018-11-16T02:29:00Z</cp:lastPrinted>
  <dcterms:created xsi:type="dcterms:W3CDTF">2019-04-04T04:27:00Z</dcterms:created>
  <dcterms:modified xsi:type="dcterms:W3CDTF">2019-04-04T04:27:00Z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c7c657a1-0d67-4a12-aaae-0a03ee4aa896</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{c7c657a1-0d67-4a12-aaae-0a03ee4aa896}</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R0002260094</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2020-05-04T09:10:55.0980782+10:00</vt:lpwstr>
  </property>
</Properties>
</file>