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4D2AA0DC" w14:textId="77777777">
        <w:tc>
          <w:tcPr>
            <w:tcW w:w="5000" w:type="pct"/>
            <w:gridSpan w:val="2"/>
          </w:tcPr>
          <w:p w14:paraId="2BF0BA5F" w14:textId="70EC9793" w:rsidR="00814667" w:rsidRDefault="00BA4284" w:rsidP="005420C6">
            <w:pPr>
              <w:pStyle w:val="CoverTitleMain"/>
            </w:pPr>
            <w:r>
              <w:t>Project AGreement</w:t>
            </w:r>
            <w:r w:rsidR="00292587">
              <w:t xml:space="preserve"> FOR </w:t>
            </w:r>
            <w:r w:rsidR="00501654">
              <w:t xml:space="preserve">THE </w:t>
            </w:r>
            <w:r w:rsidR="00BD044B">
              <w:t xml:space="preserve">Kamay </w:t>
            </w:r>
            <w:r w:rsidR="005420C6">
              <w:t>250</w:t>
            </w:r>
            <w:r w:rsidR="005420C6" w:rsidRPr="005420C6">
              <w:rPr>
                <w:vertAlign w:val="superscript"/>
              </w:rPr>
              <w:t>th</w:t>
            </w:r>
            <w:r w:rsidR="005420C6">
              <w:t xml:space="preserve"> anniversary project</w:t>
            </w:r>
          </w:p>
        </w:tc>
      </w:tr>
      <w:tr w:rsidR="00814667" w14:paraId="5BE78128" w14:textId="77777777">
        <w:tc>
          <w:tcPr>
            <w:tcW w:w="767" w:type="pct"/>
          </w:tcPr>
          <w:p w14:paraId="7769E34C" w14:textId="77777777" w:rsidR="00814667" w:rsidRDefault="00814667">
            <w:pPr>
              <w:pStyle w:val="SingleParagraph"/>
              <w:tabs>
                <w:tab w:val="num" w:pos="1134"/>
              </w:tabs>
              <w:spacing w:after="240"/>
              <w:ind w:left="1134" w:hanging="567"/>
            </w:pPr>
          </w:p>
        </w:tc>
        <w:tc>
          <w:tcPr>
            <w:tcW w:w="4233" w:type="pct"/>
          </w:tcPr>
          <w:p w14:paraId="3441D079" w14:textId="77777777" w:rsidR="00814667" w:rsidRDefault="00814667">
            <w:pPr>
              <w:pStyle w:val="SingleParagraph"/>
              <w:tabs>
                <w:tab w:val="num" w:pos="1134"/>
              </w:tabs>
              <w:spacing w:after="240"/>
              <w:ind w:left="1134" w:hanging="567"/>
            </w:pPr>
          </w:p>
        </w:tc>
      </w:tr>
      <w:tr w:rsidR="00814667" w14:paraId="7BB9D9CA" w14:textId="77777777">
        <w:tc>
          <w:tcPr>
            <w:tcW w:w="767" w:type="pct"/>
          </w:tcPr>
          <w:p w14:paraId="5B52B525" w14:textId="77777777" w:rsidR="00814667" w:rsidRDefault="00814667">
            <w:pPr>
              <w:pStyle w:val="SingleParagraph"/>
              <w:tabs>
                <w:tab w:val="num" w:pos="1134"/>
              </w:tabs>
              <w:spacing w:after="240"/>
              <w:ind w:left="1134" w:hanging="567"/>
            </w:pPr>
          </w:p>
        </w:tc>
        <w:tc>
          <w:tcPr>
            <w:tcW w:w="4233" w:type="pct"/>
          </w:tcPr>
          <w:p w14:paraId="0EFC2F93" w14:textId="77777777" w:rsidR="00814667" w:rsidRPr="001E74D0" w:rsidRDefault="00814667">
            <w:pPr>
              <w:pStyle w:val="SingleParagraph"/>
              <w:tabs>
                <w:tab w:val="num" w:pos="1134"/>
              </w:tabs>
              <w:spacing w:after="240"/>
              <w:ind w:left="1134" w:hanging="567"/>
            </w:pPr>
          </w:p>
        </w:tc>
      </w:tr>
      <w:tr w:rsidR="00814667" w14:paraId="2551143A" w14:textId="77777777">
        <w:tc>
          <w:tcPr>
            <w:tcW w:w="5000" w:type="pct"/>
            <w:gridSpan w:val="2"/>
          </w:tcPr>
          <w:p w14:paraId="23E50DD9" w14:textId="77777777" w:rsidR="00814667" w:rsidRDefault="00814667">
            <w:pPr>
              <w:pStyle w:val="AgreementHeading"/>
              <w:tabs>
                <w:tab w:val="clear" w:pos="1134"/>
              </w:tabs>
            </w:pPr>
            <w:r>
              <w:t>An agreement between</w:t>
            </w:r>
            <w:r w:rsidR="00697494">
              <w:t>:</w:t>
            </w:r>
          </w:p>
        </w:tc>
      </w:tr>
      <w:tr w:rsidR="00814667" w14:paraId="72A82325" w14:textId="77777777">
        <w:tc>
          <w:tcPr>
            <w:tcW w:w="767" w:type="pct"/>
          </w:tcPr>
          <w:p w14:paraId="3281B91B" w14:textId="77777777" w:rsidR="00814667" w:rsidRPr="001E74D0" w:rsidRDefault="00814667">
            <w:pPr>
              <w:pStyle w:val="AgreementHeading"/>
              <w:tabs>
                <w:tab w:val="clear" w:pos="1134"/>
              </w:tabs>
              <w:ind w:left="522"/>
            </w:pPr>
          </w:p>
        </w:tc>
        <w:tc>
          <w:tcPr>
            <w:tcW w:w="4233" w:type="pct"/>
          </w:tcPr>
          <w:p w14:paraId="35A717F3"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64EA8A1" w14:textId="265A7F39" w:rsidR="00814667" w:rsidRPr="001E74D0" w:rsidRDefault="00501654" w:rsidP="00501654">
            <w:pPr>
              <w:pStyle w:val="AgreementParties"/>
            </w:pPr>
            <w:r w:rsidRPr="00645AF7">
              <w:rPr>
                <w:b/>
              </w:rPr>
              <w:t>New South Wales</w:t>
            </w:r>
            <w:r>
              <w:t>.</w:t>
            </w:r>
          </w:p>
        </w:tc>
      </w:tr>
      <w:tr w:rsidR="00814667" w14:paraId="001E7D0D" w14:textId="77777777">
        <w:tc>
          <w:tcPr>
            <w:tcW w:w="767" w:type="pct"/>
          </w:tcPr>
          <w:p w14:paraId="3759298B" w14:textId="77777777" w:rsidR="00814667" w:rsidRDefault="00814667">
            <w:pPr>
              <w:pStyle w:val="SingleParagraph"/>
              <w:tabs>
                <w:tab w:val="num" w:pos="1134"/>
              </w:tabs>
              <w:spacing w:after="240"/>
              <w:ind w:left="1134" w:hanging="567"/>
            </w:pPr>
          </w:p>
        </w:tc>
        <w:tc>
          <w:tcPr>
            <w:tcW w:w="4233" w:type="pct"/>
            <w:tcBorders>
              <w:left w:val="nil"/>
            </w:tcBorders>
          </w:tcPr>
          <w:p w14:paraId="729B90EF" w14:textId="77777777" w:rsidR="00814667" w:rsidRDefault="00814667" w:rsidP="00501654">
            <w:pPr>
              <w:pStyle w:val="StatesList"/>
              <w:numPr>
                <w:ilvl w:val="0"/>
                <w:numId w:val="0"/>
              </w:numPr>
              <w:tabs>
                <w:tab w:val="clear" w:pos="1134"/>
              </w:tabs>
            </w:pPr>
          </w:p>
          <w:p w14:paraId="5514200D" w14:textId="77777777" w:rsidR="00EB7EDA" w:rsidRPr="00EB7EDA" w:rsidRDefault="00EB7EDA" w:rsidP="00F630EF">
            <w:pPr>
              <w:rPr>
                <w:i/>
              </w:rPr>
            </w:pPr>
          </w:p>
        </w:tc>
      </w:tr>
      <w:tr w:rsidR="00814667" w14:paraId="77D119E1" w14:textId="77777777">
        <w:tc>
          <w:tcPr>
            <w:tcW w:w="5000" w:type="pct"/>
            <w:gridSpan w:val="2"/>
          </w:tcPr>
          <w:p w14:paraId="2CB00589" w14:textId="77777777" w:rsidR="00814667" w:rsidRDefault="00814667">
            <w:pPr>
              <w:pStyle w:val="SingleParagraph"/>
              <w:tabs>
                <w:tab w:val="num" w:pos="1134"/>
              </w:tabs>
              <w:spacing w:after="240"/>
              <w:ind w:left="1134" w:hanging="567"/>
            </w:pPr>
          </w:p>
        </w:tc>
      </w:tr>
      <w:tr w:rsidR="00814667" w14:paraId="0539DC9D" w14:textId="77777777">
        <w:tc>
          <w:tcPr>
            <w:tcW w:w="5000" w:type="pct"/>
            <w:gridSpan w:val="2"/>
          </w:tcPr>
          <w:p w14:paraId="2BDAD569" w14:textId="1C97D277" w:rsidR="001C211F" w:rsidRDefault="00771FFF" w:rsidP="00BD044B">
            <w:pPr>
              <w:pStyle w:val="Abstract"/>
            </w:pPr>
            <w:r>
              <w:t>The output of this project will be</w:t>
            </w:r>
            <w:r w:rsidR="00845BCC">
              <w:t xml:space="preserve"> </w:t>
            </w:r>
            <w:bookmarkStart w:id="0" w:name="OLE_LINK3"/>
            <w:bookmarkStart w:id="1" w:name="OLE_LINK4"/>
            <w:r w:rsidR="00BD044B">
              <w:t>construction of a new commemorative monument and upgrade of infrastructure as part of the Kamay Botany Bay National Park, Kurnell Master Plan,</w:t>
            </w:r>
            <w:bookmarkEnd w:id="0"/>
            <w:bookmarkEnd w:id="1"/>
            <w:r w:rsidR="00BD044B">
              <w:t xml:space="preserve"> </w:t>
            </w:r>
            <w:r w:rsidR="00501654">
              <w:t xml:space="preserve">to commemorate the 250th anniversary of Captain James Cook’s </w:t>
            </w:r>
            <w:r w:rsidR="00BD044B">
              <w:t>landing at Kurnell</w:t>
            </w:r>
            <w:r w:rsidR="00501654">
              <w:t>.</w:t>
            </w:r>
          </w:p>
          <w:p w14:paraId="17A538AD" w14:textId="77777777" w:rsidR="001C211F" w:rsidRPr="001C211F" w:rsidRDefault="001C211F" w:rsidP="001C211F"/>
          <w:p w14:paraId="0617E3A8" w14:textId="77777777" w:rsidR="001C211F" w:rsidRPr="001C211F" w:rsidRDefault="001C211F" w:rsidP="001C211F"/>
          <w:p w14:paraId="605B1DCF" w14:textId="77777777" w:rsidR="001C211F" w:rsidRPr="001C211F" w:rsidRDefault="001C211F" w:rsidP="001C211F"/>
          <w:p w14:paraId="0F8BF0F5" w14:textId="77777777" w:rsidR="001C211F" w:rsidRPr="001C211F" w:rsidRDefault="001C211F" w:rsidP="001C211F"/>
          <w:p w14:paraId="6995D30E" w14:textId="77777777" w:rsidR="001C211F" w:rsidRPr="001C211F" w:rsidRDefault="001C211F" w:rsidP="001C211F"/>
          <w:p w14:paraId="1DA82913" w14:textId="77777777" w:rsidR="001C211F" w:rsidRPr="001C211F" w:rsidRDefault="001C211F" w:rsidP="001C211F"/>
          <w:p w14:paraId="473D8C3C" w14:textId="77777777" w:rsidR="001C211F" w:rsidRPr="001C211F" w:rsidRDefault="001C211F" w:rsidP="001C211F"/>
          <w:p w14:paraId="03AD45E4" w14:textId="77777777" w:rsidR="001C211F" w:rsidRPr="001C211F" w:rsidRDefault="001C211F" w:rsidP="001C211F"/>
          <w:p w14:paraId="39FE15C9" w14:textId="77777777" w:rsidR="001C211F" w:rsidRPr="001C211F" w:rsidRDefault="001C211F" w:rsidP="001C211F"/>
          <w:p w14:paraId="217CF6E9" w14:textId="77777777" w:rsidR="001C211F" w:rsidRPr="001C211F" w:rsidRDefault="001C211F" w:rsidP="001C211F"/>
          <w:p w14:paraId="249B36C7" w14:textId="77777777" w:rsidR="001C211F" w:rsidRPr="001C211F" w:rsidRDefault="001C211F" w:rsidP="001C211F"/>
          <w:p w14:paraId="0771EAE9" w14:textId="5219032A" w:rsidR="00814667" w:rsidRPr="001C211F" w:rsidRDefault="00814667" w:rsidP="001C211F">
            <w:pPr>
              <w:jc w:val="right"/>
            </w:pPr>
          </w:p>
        </w:tc>
      </w:tr>
    </w:tbl>
    <w:p w14:paraId="17D120BF" w14:textId="34204F42" w:rsidR="00814667" w:rsidRDefault="00FF5029">
      <w:pPr>
        <w:pStyle w:val="Title"/>
        <w:pageBreakBefore/>
      </w:pPr>
      <w:r>
        <w:lastRenderedPageBreak/>
        <w:t xml:space="preserve">Project </w:t>
      </w:r>
      <w:r w:rsidR="00D7336A">
        <w:t>Agreement</w:t>
      </w:r>
      <w:r>
        <w:t xml:space="preserve"> for</w:t>
      </w:r>
      <w:r w:rsidR="00C7093C">
        <w:t xml:space="preserve"> </w:t>
      </w:r>
      <w:r w:rsidR="008B0EEC">
        <w:t xml:space="preserve">the </w:t>
      </w:r>
      <w:r w:rsidR="005420C6">
        <w:t>Kamay 250</w:t>
      </w:r>
      <w:r w:rsidR="005420C6">
        <w:rPr>
          <w:vertAlign w:val="superscript"/>
        </w:rPr>
        <w:t>th</w:t>
      </w:r>
      <w:r w:rsidR="005420C6">
        <w:t xml:space="preserve"> Anniversary Project</w:t>
      </w:r>
    </w:p>
    <w:p w14:paraId="3C7905A3" w14:textId="77777777" w:rsidR="00172839" w:rsidRPr="00172839" w:rsidRDefault="00172839" w:rsidP="00172839">
      <w:pPr>
        <w:pStyle w:val="Subtitle"/>
      </w:pPr>
    </w:p>
    <w:p w14:paraId="175E348C"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1412AD3D" w14:textId="77777777" w:rsidR="00C960AA" w:rsidRPr="0096732C" w:rsidRDefault="00C960AA" w:rsidP="00172839">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2B8CB07D"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F5B6F25" w14:textId="63261525" w:rsidR="0096732C" w:rsidRDefault="00852ED8" w:rsidP="00172839">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w:t>
      </w:r>
      <w:r w:rsidR="00BD044B">
        <w:t>construction of a new commemorative monument and upgrade of infrastructure as part of the Kamay Botany Bay National Park, Kurnell Master Plan, to commemorate the 250th anniversary of Captain James Cook’s landing at Kurnell.</w:t>
      </w:r>
    </w:p>
    <w:p w14:paraId="01C3C014"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4DAC6661" w14:textId="738236D5" w:rsidR="0096732C" w:rsidRDefault="00116E1F" w:rsidP="00172839">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New South Wales</w:t>
      </w:r>
      <w:r w:rsidR="0096732C">
        <w:t xml:space="preserve"> will report </w:t>
      </w:r>
      <w:r w:rsidR="00BF3444">
        <w:t>bi-</w:t>
      </w:r>
      <w:r w:rsidR="0096732C">
        <w:t xml:space="preserve">annually against the </w:t>
      </w:r>
      <w:r w:rsidR="00BF3444">
        <w:t xml:space="preserve">Project Plan </w:t>
      </w:r>
      <w:r w:rsidR="0096732C">
        <w:t>during the operation of this Agreement, as set out in Part 4 –</w:t>
      </w:r>
      <w:r w:rsidR="00BF3444">
        <w:t xml:space="preserve"> </w:t>
      </w:r>
      <w:r w:rsidR="00676E15">
        <w:t xml:space="preserve">Performance and </w:t>
      </w:r>
      <w:r w:rsidR="00BD044B">
        <w:t>Reporting.</w:t>
      </w:r>
    </w:p>
    <w:p w14:paraId="69E06A09"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6150C118" w14:textId="656138F6" w:rsidR="0096732C" w:rsidRPr="0096732C" w:rsidRDefault="0096732C" w:rsidP="00172839">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116E1F">
        <w:t>New South Wales of $25 million</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720CB026" w14:textId="027DD290" w:rsidR="0096732C" w:rsidRPr="004B1F38"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6BCE9A5D" w14:textId="77777777" w:rsidR="00814667" w:rsidRDefault="00814667">
      <w:pPr>
        <w:pStyle w:val="Heading1"/>
      </w:pPr>
      <w:r>
        <w:t>Part 1 — Formalities</w:t>
      </w:r>
    </w:p>
    <w:p w14:paraId="021FE98C" w14:textId="77777777" w:rsidR="00804105" w:rsidRDefault="00804105" w:rsidP="00172839">
      <w:pPr>
        <w:pStyle w:val="Normalnumbered"/>
        <w:numPr>
          <w:ilvl w:val="0"/>
          <w:numId w:val="9"/>
        </w:numPr>
      </w:pPr>
      <w:r>
        <w:t>This Agreement constitutes the entire agreement for this project.</w:t>
      </w:r>
    </w:p>
    <w:p w14:paraId="1D4F4ACC" w14:textId="77777777" w:rsidR="00814667" w:rsidRDefault="00814667">
      <w:pPr>
        <w:pStyle w:val="Heading2"/>
      </w:pPr>
      <w:r>
        <w:t>Parties to this Agreement</w:t>
      </w:r>
    </w:p>
    <w:p w14:paraId="05F52AAA" w14:textId="56BB028E" w:rsidR="007B4B03" w:rsidRPr="007B4B03" w:rsidRDefault="00E7195E" w:rsidP="00172839">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and</w:t>
      </w:r>
      <w:r w:rsidR="00116E1F">
        <w:t xml:space="preserve"> </w:t>
      </w:r>
      <w:r w:rsidR="00BF3444">
        <w:t>New</w:t>
      </w:r>
      <w:r w:rsidR="001C211F">
        <w:t> </w:t>
      </w:r>
      <w:r w:rsidR="00BF3444">
        <w:t>South Wales (</w:t>
      </w:r>
      <w:r w:rsidR="00BD044B">
        <w:t>the State</w:t>
      </w:r>
      <w:r w:rsidR="00BF3444">
        <w:t>)</w:t>
      </w:r>
      <w:r w:rsidRPr="003012DA">
        <w:t>.</w:t>
      </w:r>
    </w:p>
    <w:p w14:paraId="297268DE" w14:textId="77777777" w:rsidR="00814667" w:rsidRDefault="00814667">
      <w:pPr>
        <w:pStyle w:val="Heading2"/>
      </w:pPr>
      <w:r>
        <w:t>Term of the Agreement</w:t>
      </w:r>
    </w:p>
    <w:p w14:paraId="252DCD77" w14:textId="23CFBB67" w:rsidR="00814667" w:rsidRPr="00DE36EB" w:rsidRDefault="00814667" w:rsidP="00172839">
      <w:pPr>
        <w:pStyle w:val="Normalnumbered"/>
        <w:numPr>
          <w:ilvl w:val="0"/>
          <w:numId w:val="9"/>
        </w:numPr>
      </w:pPr>
      <w:r w:rsidRPr="00DE36EB">
        <w:t xml:space="preserve">This Agreement will commence as soon as the Commonwealth and </w:t>
      </w:r>
      <w:r w:rsidR="00116E1F">
        <w:t xml:space="preserve">New South Wales </w:t>
      </w:r>
      <w:r w:rsidR="00726DB5" w:rsidRPr="00DE36EB">
        <w:t>sign</w:t>
      </w:r>
      <w:r w:rsidRPr="00DE36EB">
        <w:t xml:space="preserve"> </w:t>
      </w:r>
      <w:r w:rsidR="0096732C">
        <w:t xml:space="preserve">it </w:t>
      </w:r>
      <w:r w:rsidRPr="00DE36EB">
        <w:t>and will expire on</w:t>
      </w:r>
      <w:r w:rsidR="00C7093C" w:rsidRPr="00DE36EB">
        <w:t xml:space="preserve"> </w:t>
      </w:r>
      <w:r w:rsidR="00116E1F" w:rsidRPr="0066782F">
        <w:t>30</w:t>
      </w:r>
      <w:r w:rsidR="00BF3444" w:rsidRPr="0066782F">
        <w:t xml:space="preserve"> June </w:t>
      </w:r>
      <w:r w:rsidR="00116E1F" w:rsidRPr="0066782F">
        <w:t>2022</w:t>
      </w:r>
      <w:r w:rsidR="00284884" w:rsidRPr="00DE36EB">
        <w:t xml:space="preserve"> or on</w:t>
      </w:r>
      <w:r w:rsidR="00FA2EC0" w:rsidRPr="00DE36EB">
        <w:t xml:space="preserve"> complet</w:t>
      </w:r>
      <w:r w:rsidR="00284884" w:rsidRPr="00DE36EB">
        <w:t>ion of the project, including final performance reporting</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726DA689" w14:textId="735524EC"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739AC051" w14:textId="05D748C9" w:rsidR="00814667" w:rsidRDefault="00814667">
      <w:pPr>
        <w:pStyle w:val="Heading2"/>
      </w:pPr>
      <w:r>
        <w:t>Outputs</w:t>
      </w:r>
    </w:p>
    <w:p w14:paraId="332E3ACA" w14:textId="3239A7ED" w:rsidR="0085738D" w:rsidRDefault="00814667" w:rsidP="00172839">
      <w:pPr>
        <w:pStyle w:val="Normalnumbered"/>
        <w:numPr>
          <w:ilvl w:val="0"/>
          <w:numId w:val="9"/>
        </w:numPr>
        <w:jc w:val="left"/>
      </w:pPr>
      <w:r w:rsidRPr="0085738D">
        <w:t>The o</w:t>
      </w:r>
      <w:r w:rsidR="00D642F4">
        <w:t>utput</w:t>
      </w:r>
      <w:r w:rsidR="006F79D3">
        <w:t>s of this Agreement will be:</w:t>
      </w:r>
    </w:p>
    <w:p w14:paraId="0F921A39" w14:textId="5AB4A98F" w:rsidR="00B06097" w:rsidRDefault="00E77741" w:rsidP="00172839">
      <w:pPr>
        <w:pStyle w:val="AlphaParagraph"/>
        <w:numPr>
          <w:ilvl w:val="0"/>
          <w:numId w:val="19"/>
        </w:numPr>
        <w:tabs>
          <w:tab w:val="clear" w:pos="567"/>
          <w:tab w:val="clear" w:pos="1418"/>
          <w:tab w:val="clear" w:pos="1701"/>
        </w:tabs>
        <w:ind w:left="1134" w:hanging="567"/>
      </w:pPr>
      <w:r>
        <w:t>completion and installation</w:t>
      </w:r>
      <w:r w:rsidR="00D642F4">
        <w:t xml:space="preserve"> of a new</w:t>
      </w:r>
      <w:r w:rsidR="00D642F4" w:rsidRPr="00D642F4">
        <w:t xml:space="preserve"> </w:t>
      </w:r>
      <w:r w:rsidR="00A86103">
        <w:t xml:space="preserve">commemorative </w:t>
      </w:r>
      <w:r w:rsidR="0066782F">
        <w:t>monument at</w:t>
      </w:r>
      <w:r w:rsidR="00D642F4">
        <w:t xml:space="preserve"> Botany Bay</w:t>
      </w:r>
      <w:r>
        <w:t xml:space="preserve"> by 29</w:t>
      </w:r>
      <w:r w:rsidR="001C211F">
        <w:t> </w:t>
      </w:r>
      <w:r w:rsidR="007D4DFB">
        <w:t>April</w:t>
      </w:r>
      <w:r w:rsidR="001C211F">
        <w:t> </w:t>
      </w:r>
      <w:r w:rsidR="007D4DFB">
        <w:t>2020</w:t>
      </w:r>
      <w:r w:rsidR="003B737F">
        <w:t>;</w:t>
      </w:r>
      <w:r w:rsidR="00814590">
        <w:t xml:space="preserve"> </w:t>
      </w:r>
      <w:r w:rsidR="006C23E5">
        <w:t>and</w:t>
      </w:r>
    </w:p>
    <w:p w14:paraId="7304B114" w14:textId="498B43FC" w:rsidR="00814667" w:rsidRDefault="007D4DFB" w:rsidP="00172839">
      <w:pPr>
        <w:pStyle w:val="AlphaParagraph"/>
        <w:numPr>
          <w:ilvl w:val="0"/>
          <w:numId w:val="14"/>
        </w:numPr>
        <w:tabs>
          <w:tab w:val="clear" w:pos="567"/>
          <w:tab w:val="clear" w:pos="1418"/>
          <w:tab w:val="clear" w:pos="1701"/>
        </w:tabs>
        <w:spacing w:after="120"/>
        <w:ind w:left="1134" w:hanging="567"/>
      </w:pPr>
      <w:r>
        <w:t xml:space="preserve">commencement of </w:t>
      </w:r>
      <w:r w:rsidR="0066782F">
        <w:t>Stage 1 of</w:t>
      </w:r>
      <w:r w:rsidR="006C23E5">
        <w:t xml:space="preserve"> the Kamay Botany Bay National Park</w:t>
      </w:r>
      <w:r w:rsidR="00977CF2">
        <w:t>, Kurnell</w:t>
      </w:r>
      <w:r w:rsidR="006C23E5">
        <w:t xml:space="preserve"> Master Plan </w:t>
      </w:r>
      <w:r>
        <w:t xml:space="preserve">by 29 April 2020, </w:t>
      </w:r>
      <w:r w:rsidR="00977CF2">
        <w:t>including:</w:t>
      </w:r>
    </w:p>
    <w:p w14:paraId="4FA8439A" w14:textId="63532B8F" w:rsidR="00977CF2" w:rsidRDefault="00676E15" w:rsidP="00172839">
      <w:pPr>
        <w:pStyle w:val="AlphaParagraph"/>
        <w:numPr>
          <w:ilvl w:val="0"/>
          <w:numId w:val="21"/>
        </w:numPr>
        <w:tabs>
          <w:tab w:val="clear" w:pos="283"/>
          <w:tab w:val="clear" w:pos="567"/>
          <w:tab w:val="clear" w:pos="1134"/>
          <w:tab w:val="clear" w:pos="1418"/>
          <w:tab w:val="clear" w:pos="1701"/>
        </w:tabs>
        <w:spacing w:after="120"/>
        <w:ind w:left="1701" w:hanging="567"/>
      </w:pPr>
      <w:r>
        <w:t xml:space="preserve">construction of a </w:t>
      </w:r>
      <w:r w:rsidR="00977CF2">
        <w:t>new visitor building;</w:t>
      </w:r>
    </w:p>
    <w:p w14:paraId="1C6CE716" w14:textId="3D57BBD5" w:rsidR="00977CF2" w:rsidRDefault="00676E15" w:rsidP="00172839">
      <w:pPr>
        <w:pStyle w:val="AlphaParagraph"/>
        <w:numPr>
          <w:ilvl w:val="0"/>
          <w:numId w:val="21"/>
        </w:numPr>
        <w:tabs>
          <w:tab w:val="clear" w:pos="283"/>
          <w:tab w:val="clear" w:pos="567"/>
          <w:tab w:val="clear" w:pos="1134"/>
          <w:tab w:val="clear" w:pos="1418"/>
          <w:tab w:val="clear" w:pos="1701"/>
        </w:tabs>
        <w:spacing w:after="120"/>
        <w:ind w:left="1701" w:hanging="567"/>
      </w:pPr>
      <w:r>
        <w:t xml:space="preserve">upgrade of </w:t>
      </w:r>
      <w:r w:rsidR="00977CF2">
        <w:t>foreshore loop;</w:t>
      </w:r>
    </w:p>
    <w:p w14:paraId="60257727" w14:textId="5FD9B062" w:rsidR="00977CF2" w:rsidRDefault="00676E15" w:rsidP="00172839">
      <w:pPr>
        <w:pStyle w:val="AlphaParagraph"/>
        <w:numPr>
          <w:ilvl w:val="0"/>
          <w:numId w:val="21"/>
        </w:numPr>
        <w:tabs>
          <w:tab w:val="clear" w:pos="283"/>
          <w:tab w:val="clear" w:pos="567"/>
          <w:tab w:val="clear" w:pos="1134"/>
          <w:tab w:val="clear" w:pos="1418"/>
          <w:tab w:val="clear" w:pos="1701"/>
        </w:tabs>
        <w:spacing w:after="120"/>
        <w:ind w:left="1701" w:hanging="567"/>
      </w:pPr>
      <w:r>
        <w:t xml:space="preserve">reconstruction of </w:t>
      </w:r>
      <w:r w:rsidR="00977CF2">
        <w:t>wharves</w:t>
      </w:r>
      <w:r w:rsidR="00F35F0F">
        <w:t>;</w:t>
      </w:r>
    </w:p>
    <w:p w14:paraId="29A57394" w14:textId="657E87C8" w:rsidR="00977CF2" w:rsidRDefault="00676E15" w:rsidP="00172839">
      <w:pPr>
        <w:pStyle w:val="AlphaParagraph"/>
        <w:numPr>
          <w:ilvl w:val="0"/>
          <w:numId w:val="21"/>
        </w:numPr>
        <w:tabs>
          <w:tab w:val="clear" w:pos="283"/>
          <w:tab w:val="clear" w:pos="567"/>
          <w:tab w:val="clear" w:pos="1134"/>
          <w:tab w:val="clear" w:pos="1418"/>
          <w:tab w:val="clear" w:pos="1701"/>
        </w:tabs>
        <w:spacing w:after="120"/>
        <w:ind w:left="1701" w:hanging="567"/>
      </w:pPr>
      <w:r>
        <w:t xml:space="preserve">repurposing of </w:t>
      </w:r>
      <w:r w:rsidR="00977CF2">
        <w:t>Alpha House</w:t>
      </w:r>
      <w:r>
        <w:t>; and</w:t>
      </w:r>
    </w:p>
    <w:p w14:paraId="667DA0E0" w14:textId="641B1812" w:rsidR="00676E15" w:rsidRDefault="00676E15" w:rsidP="00172839">
      <w:pPr>
        <w:pStyle w:val="AlphaParagraph"/>
        <w:numPr>
          <w:ilvl w:val="0"/>
          <w:numId w:val="21"/>
        </w:numPr>
        <w:tabs>
          <w:tab w:val="clear" w:pos="283"/>
          <w:tab w:val="clear" w:pos="567"/>
          <w:tab w:val="clear" w:pos="1134"/>
          <w:tab w:val="clear" w:pos="1418"/>
          <w:tab w:val="clear" w:pos="1701"/>
        </w:tabs>
        <w:ind w:left="1701" w:hanging="567"/>
      </w:pPr>
      <w:r>
        <w:t>upgrade of Commem</w:t>
      </w:r>
      <w:r w:rsidR="00F35F0F">
        <w:t>oration</w:t>
      </w:r>
      <w:r>
        <w:t xml:space="preserve"> Flat.</w:t>
      </w:r>
    </w:p>
    <w:p w14:paraId="23F38B9E" w14:textId="77777777" w:rsidR="008F44F1" w:rsidRDefault="008F44F1" w:rsidP="00E77741">
      <w:pPr>
        <w:pStyle w:val="Heading1"/>
        <w:spacing w:before="360"/>
      </w:pPr>
      <w:r>
        <w:t>Part 3 — roles and responsibilities of each party</w:t>
      </w:r>
    </w:p>
    <w:p w14:paraId="513FE6B1" w14:textId="77777777" w:rsidR="008F44F1" w:rsidRDefault="008F44F1" w:rsidP="008F44F1">
      <w:pPr>
        <w:pStyle w:val="Heading2"/>
      </w:pPr>
      <w:r w:rsidRPr="00814590">
        <w:t>Role of the Commonwealth</w:t>
      </w:r>
    </w:p>
    <w:p w14:paraId="1B81FA48" w14:textId="77777777" w:rsidR="008F44F1" w:rsidRDefault="008F44F1" w:rsidP="00172839">
      <w:pPr>
        <w:pStyle w:val="Normalnumbered"/>
        <w:numPr>
          <w:ilvl w:val="0"/>
          <w:numId w:val="9"/>
        </w:numPr>
        <w:jc w:val="left"/>
      </w:pPr>
      <w:r>
        <w:t>The Commonwealth will be responsible for:</w:t>
      </w:r>
    </w:p>
    <w:p w14:paraId="646B57CC" w14:textId="20692E48" w:rsidR="008F44F1" w:rsidRPr="000614F9" w:rsidRDefault="008F44F1" w:rsidP="00172839">
      <w:pPr>
        <w:pStyle w:val="AlphaParagraph"/>
        <w:numPr>
          <w:ilvl w:val="0"/>
          <w:numId w:val="20"/>
        </w:numPr>
        <w:tabs>
          <w:tab w:val="clear" w:pos="567"/>
          <w:tab w:val="clear" w:pos="1418"/>
          <w:tab w:val="clear" w:pos="1701"/>
        </w:tabs>
        <w:ind w:left="1134" w:hanging="567"/>
      </w:pPr>
      <w:r w:rsidRPr="000614F9">
        <w:rPr>
          <w:color w:val="auto"/>
        </w:rPr>
        <w:t>monitoring</w:t>
      </w:r>
      <w:r w:rsidRPr="004B6083">
        <w:t xml:space="preserve"> and assessing achievement against </w:t>
      </w:r>
      <w:r w:rsidR="0066782F">
        <w:t>the</w:t>
      </w:r>
      <w:r w:rsidR="00676E15">
        <w:t xml:space="preserve"> agreed Project Plan</w:t>
      </w:r>
      <w:r w:rsidR="0066782F">
        <w:t xml:space="preserve"> </w:t>
      </w:r>
      <w:r w:rsidRPr="004B6083">
        <w:t>to ensure that outputs are deliver</w:t>
      </w:r>
      <w:r w:rsidR="00676E15">
        <w:t>ed within the agreed timeframe;</w:t>
      </w:r>
    </w:p>
    <w:p w14:paraId="05141D6E" w14:textId="7E213580" w:rsidR="008F44F1" w:rsidRPr="000614F9" w:rsidRDefault="008F44F1" w:rsidP="00172839">
      <w:pPr>
        <w:pStyle w:val="AlphaParagraph"/>
        <w:numPr>
          <w:ilvl w:val="0"/>
          <w:numId w:val="14"/>
        </w:numPr>
        <w:tabs>
          <w:tab w:val="clear" w:pos="567"/>
          <w:tab w:val="clear" w:pos="1418"/>
          <w:tab w:val="clear" w:pos="1701"/>
        </w:tabs>
        <w:ind w:left="1134" w:hanging="567"/>
        <w:rPr>
          <w:color w:val="auto"/>
        </w:rPr>
      </w:pPr>
      <w:r w:rsidRPr="004B6083">
        <w:rPr>
          <w:color w:val="auto"/>
        </w:rPr>
        <w:t xml:space="preserve">providing a financial contribution to </w:t>
      </w:r>
      <w:r w:rsidR="00BF3444">
        <w:rPr>
          <w:color w:val="auto"/>
        </w:rPr>
        <w:t>New South Wales</w:t>
      </w:r>
      <w:r w:rsidRPr="004B6083">
        <w:rPr>
          <w:color w:val="auto"/>
        </w:rPr>
        <w:t xml:space="preserve"> to support the </w:t>
      </w:r>
      <w:r w:rsidRPr="000614F9">
        <w:t>implementation</w:t>
      </w:r>
      <w:r w:rsidRPr="004B6083">
        <w:rPr>
          <w:color w:val="auto"/>
        </w:rPr>
        <w:t xml:space="preserve"> of this Agreement;</w:t>
      </w:r>
    </w:p>
    <w:p w14:paraId="6FB9C326" w14:textId="344047D2" w:rsidR="004F5DCD" w:rsidRPr="00676E15" w:rsidRDefault="006C23E5" w:rsidP="00172839">
      <w:pPr>
        <w:pStyle w:val="AlphaParagraph"/>
        <w:numPr>
          <w:ilvl w:val="0"/>
          <w:numId w:val="14"/>
        </w:numPr>
        <w:tabs>
          <w:tab w:val="clear" w:pos="567"/>
          <w:tab w:val="clear" w:pos="1418"/>
          <w:tab w:val="clear" w:pos="1701"/>
        </w:tabs>
        <w:ind w:left="1134" w:hanging="567"/>
        <w:rPr>
          <w:color w:val="auto"/>
        </w:rPr>
      </w:pPr>
      <w:r>
        <w:rPr>
          <w:color w:val="auto"/>
          <w:szCs w:val="23"/>
        </w:rPr>
        <w:t>i</w:t>
      </w:r>
      <w:r w:rsidR="004F5DCD" w:rsidRPr="00750F59">
        <w:rPr>
          <w:color w:val="auto"/>
          <w:szCs w:val="23"/>
        </w:rPr>
        <w:t xml:space="preserve">n accordance with the </w:t>
      </w:r>
      <w:r w:rsidR="004F5DCD">
        <w:rPr>
          <w:i/>
          <w:color w:val="auto"/>
          <w:szCs w:val="23"/>
        </w:rPr>
        <w:t>Building and Construction Industry (Improving Productivity) Act 2016</w:t>
      </w:r>
      <w:r w:rsidR="004F5DCD" w:rsidRPr="00750F59">
        <w:rPr>
          <w:color w:val="auto"/>
        </w:rPr>
        <w:t xml:space="preserve">, </w:t>
      </w:r>
      <w:r w:rsidR="004F5DCD" w:rsidRPr="00750F59">
        <w:rPr>
          <w:color w:val="auto"/>
          <w:szCs w:val="23"/>
        </w:rPr>
        <w:t xml:space="preserve">ensuring that </w:t>
      </w:r>
      <w:r w:rsidR="004F5DCD" w:rsidRPr="00750F59">
        <w:rPr>
          <w:color w:val="auto"/>
        </w:rPr>
        <w:t xml:space="preserve">financial contributions to a building project or projects as defined under the </w:t>
      </w:r>
      <w:r w:rsidR="004F5DCD" w:rsidRPr="00750F59">
        <w:rPr>
          <w:color w:val="auto"/>
          <w:szCs w:val="23"/>
        </w:rPr>
        <w:t xml:space="preserve">Fair Work (Building Industry – Accreditation Scheme) </w:t>
      </w:r>
      <w:r w:rsidR="004F5DCD" w:rsidRPr="00750F59">
        <w:rPr>
          <w:color w:val="auto"/>
        </w:rPr>
        <w:t xml:space="preserve">Regulations </w:t>
      </w:r>
      <w:r w:rsidR="004F5DCD">
        <w:rPr>
          <w:color w:val="auto"/>
        </w:rPr>
        <w:t>2016</w:t>
      </w:r>
      <w:r w:rsidR="004F5DCD" w:rsidRPr="00750F59">
        <w:rPr>
          <w:color w:val="auto"/>
        </w:rPr>
        <w:t xml:space="preserve"> are only made where a builder or builders accredited under the Australian Government Building and Construction WHS Accreditation Scheme is contracted; and</w:t>
      </w:r>
    </w:p>
    <w:p w14:paraId="44807FDE" w14:textId="49A3F749" w:rsidR="004F5DCD" w:rsidRPr="00676E15" w:rsidRDefault="004F5DCD" w:rsidP="00172839">
      <w:pPr>
        <w:pStyle w:val="AlphaParagraph"/>
        <w:numPr>
          <w:ilvl w:val="0"/>
          <w:numId w:val="14"/>
        </w:numPr>
        <w:tabs>
          <w:tab w:val="clear" w:pos="567"/>
          <w:tab w:val="clear" w:pos="1418"/>
          <w:tab w:val="clear" w:pos="1701"/>
        </w:tabs>
        <w:ind w:left="1134" w:hanging="567"/>
        <w:rPr>
          <w:color w:val="auto"/>
        </w:rPr>
      </w:pPr>
      <w:r w:rsidRPr="00750F59">
        <w:rPr>
          <w:color w:val="auto"/>
        </w:rPr>
        <w:t xml:space="preserve">ensuring that compliance with the </w:t>
      </w:r>
      <w:r>
        <w:rPr>
          <w:color w:val="auto"/>
        </w:rPr>
        <w:t>Code for the Tendering and Performance of Building Work 2016 (</w:t>
      </w:r>
      <w:r w:rsidRPr="00750F59">
        <w:rPr>
          <w:color w:val="auto"/>
        </w:rPr>
        <w:t>Building Code 201</w:t>
      </w:r>
      <w:r>
        <w:rPr>
          <w:color w:val="auto"/>
        </w:rPr>
        <w:t>6)</w:t>
      </w:r>
      <w:r w:rsidRPr="00750F59">
        <w:rPr>
          <w:color w:val="auto"/>
        </w:rPr>
        <w:t xml:space="preserve"> is a condition of Australian Government funding.</w:t>
      </w:r>
    </w:p>
    <w:p w14:paraId="10B63341" w14:textId="5051842B" w:rsidR="008F44F1" w:rsidRPr="00751725" w:rsidRDefault="00BF3444" w:rsidP="008F44F1">
      <w:pPr>
        <w:pStyle w:val="Heading2"/>
      </w:pPr>
      <w:r>
        <w:t>Role of New South Wales</w:t>
      </w:r>
    </w:p>
    <w:p w14:paraId="38D902A8" w14:textId="46D5C208" w:rsidR="008F44F1" w:rsidRPr="00751725" w:rsidRDefault="006C23E5" w:rsidP="00172839">
      <w:pPr>
        <w:pStyle w:val="Normalnumbered"/>
        <w:numPr>
          <w:ilvl w:val="0"/>
          <w:numId w:val="9"/>
        </w:numPr>
        <w:jc w:val="left"/>
      </w:pPr>
      <w:r>
        <w:t xml:space="preserve">New South Wales </w:t>
      </w:r>
      <w:r w:rsidR="008F44F1">
        <w:t>will be responsible for</w:t>
      </w:r>
      <w:r w:rsidR="00545DF7">
        <w:t>:</w:t>
      </w:r>
    </w:p>
    <w:p w14:paraId="7847A9CA" w14:textId="33D75061" w:rsidR="008F44F1" w:rsidRDefault="008F44F1" w:rsidP="00172839">
      <w:pPr>
        <w:pStyle w:val="AlphaParagraph"/>
        <w:numPr>
          <w:ilvl w:val="0"/>
          <w:numId w:val="18"/>
        </w:numPr>
        <w:tabs>
          <w:tab w:val="clear" w:pos="567"/>
          <w:tab w:val="clear" w:pos="1418"/>
          <w:tab w:val="clear" w:pos="1701"/>
        </w:tabs>
        <w:ind w:left="1134" w:hanging="567"/>
      </w:pPr>
      <w:r w:rsidRPr="00751725">
        <w:t>providing a</w:t>
      </w:r>
      <w:r w:rsidR="006C23E5">
        <w:t xml:space="preserve"> </w:t>
      </w:r>
      <w:r w:rsidR="00423E2F">
        <w:t xml:space="preserve">matching </w:t>
      </w:r>
      <w:r w:rsidR="006C23E5">
        <w:t>financial</w:t>
      </w:r>
      <w:r>
        <w:t xml:space="preserve"> </w:t>
      </w:r>
      <w:r w:rsidRPr="00751725">
        <w:t>contribution to support the implementation of this Agreement;</w:t>
      </w:r>
    </w:p>
    <w:p w14:paraId="622EB39F" w14:textId="74AB8056" w:rsidR="007D4DFB" w:rsidRDefault="007D4DFB" w:rsidP="00172839">
      <w:pPr>
        <w:pStyle w:val="AlphaParagraph"/>
        <w:numPr>
          <w:ilvl w:val="0"/>
          <w:numId w:val="14"/>
        </w:numPr>
        <w:tabs>
          <w:tab w:val="clear" w:pos="567"/>
          <w:tab w:val="clear" w:pos="1418"/>
          <w:tab w:val="clear" w:pos="1701"/>
        </w:tabs>
        <w:ind w:left="1134" w:hanging="567"/>
      </w:pPr>
      <w:r>
        <w:t>developing a Project Plan including establishment of a Project Board;</w:t>
      </w:r>
    </w:p>
    <w:p w14:paraId="7049A483" w14:textId="34ADD199" w:rsidR="008F44F1" w:rsidRDefault="008F44F1" w:rsidP="00172839">
      <w:pPr>
        <w:pStyle w:val="AlphaParagraph"/>
        <w:numPr>
          <w:ilvl w:val="0"/>
          <w:numId w:val="14"/>
        </w:numPr>
        <w:tabs>
          <w:tab w:val="clear" w:pos="567"/>
          <w:tab w:val="clear" w:pos="1418"/>
          <w:tab w:val="clear" w:pos="1701"/>
        </w:tabs>
        <w:ind w:left="1134" w:hanging="567"/>
      </w:pPr>
      <w:r>
        <w:t>all aspects of delivering on the project outputs set out in this Agreement;</w:t>
      </w:r>
    </w:p>
    <w:p w14:paraId="543938CA" w14:textId="5B0E7C4A" w:rsidR="00A6719E" w:rsidRDefault="00A6719E" w:rsidP="00172839">
      <w:pPr>
        <w:pStyle w:val="AlphaParagraph"/>
        <w:numPr>
          <w:ilvl w:val="0"/>
          <w:numId w:val="14"/>
        </w:numPr>
        <w:tabs>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w:t>
      </w:r>
      <w:r w:rsidR="00676E15">
        <w:t xml:space="preserve">Performance and </w:t>
      </w:r>
      <w:r>
        <w:t>Reporting</w:t>
      </w:r>
      <w:r w:rsidR="006B43AF">
        <w:t>;</w:t>
      </w:r>
    </w:p>
    <w:p w14:paraId="32447952" w14:textId="6201FB11" w:rsidR="008F44F1" w:rsidRDefault="008F44F1" w:rsidP="00172839">
      <w:pPr>
        <w:pStyle w:val="AlphaParagraph"/>
        <w:numPr>
          <w:ilvl w:val="0"/>
          <w:numId w:val="14"/>
        </w:numPr>
        <w:tabs>
          <w:tab w:val="clear" w:pos="567"/>
          <w:tab w:val="clear" w:pos="1418"/>
          <w:tab w:val="clear" w:pos="1701"/>
        </w:tabs>
        <w:ind w:left="1134" w:hanging="567"/>
      </w:pPr>
      <w:r>
        <w:rPr>
          <w:szCs w:val="23"/>
        </w:rPr>
        <w:t>e</w:t>
      </w:r>
      <w:r w:rsidRPr="00772818">
        <w:rPr>
          <w:szCs w:val="23"/>
        </w:rPr>
        <w:t xml:space="preserve">nsuring that </w:t>
      </w:r>
      <w:r w:rsidRPr="00772818">
        <w:t xml:space="preserve">only a builder or builders accredited under the Australian Government Building and Construction </w:t>
      </w:r>
      <w:r w:rsidR="00281874">
        <w:t>WHS</w:t>
      </w:r>
      <w:r w:rsidRPr="00772818">
        <w:t xml:space="preserve"> Accreditation Scheme is </w:t>
      </w:r>
      <w:r>
        <w:t>contracted, and providing the necessary assurances to the Commonwealth;</w:t>
      </w:r>
      <w:r w:rsidR="00A6719E">
        <w:t xml:space="preserve"> and</w:t>
      </w:r>
    </w:p>
    <w:p w14:paraId="07EF13C3" w14:textId="169663B8" w:rsidR="004F5DCD" w:rsidRPr="00750F59" w:rsidRDefault="004F5DCD" w:rsidP="00172839">
      <w:pPr>
        <w:pStyle w:val="AlphaParagraph"/>
        <w:numPr>
          <w:ilvl w:val="0"/>
          <w:numId w:val="14"/>
        </w:numPr>
        <w:tabs>
          <w:tab w:val="clear" w:pos="567"/>
          <w:tab w:val="clear" w:pos="1418"/>
          <w:tab w:val="clear" w:pos="1701"/>
        </w:tabs>
        <w:ind w:left="1134" w:hanging="567"/>
        <w:rPr>
          <w:color w:val="auto"/>
          <w:szCs w:val="23"/>
        </w:rPr>
      </w:pPr>
      <w:r w:rsidRPr="00750F59">
        <w:rPr>
          <w:color w:val="auto"/>
          <w:szCs w:val="23"/>
        </w:rPr>
        <w:lastRenderedPageBreak/>
        <w:t>ensuring that compliance with the Building Code 201</w:t>
      </w:r>
      <w:r>
        <w:rPr>
          <w:color w:val="auto"/>
          <w:szCs w:val="23"/>
        </w:rPr>
        <w:t>6</w:t>
      </w:r>
      <w:r w:rsidRPr="00750F59">
        <w:rPr>
          <w:color w:val="auto"/>
        </w:rPr>
        <w:t xml:space="preserve"> is made a condition of tender for </w:t>
      </w:r>
      <w:r>
        <w:rPr>
          <w:color w:val="auto"/>
        </w:rPr>
        <w:t xml:space="preserve">and performance of building work by </w:t>
      </w:r>
      <w:r w:rsidRPr="00750F59">
        <w:rPr>
          <w:color w:val="auto"/>
        </w:rPr>
        <w:t>all contractors and subcontractors, and providing</w:t>
      </w:r>
      <w:r w:rsidRPr="00750F59">
        <w:rPr>
          <w:color w:val="auto"/>
          <w:szCs w:val="23"/>
        </w:rPr>
        <w:t xml:space="preserve"> the necessary assurances to the Commonwealth.</w:t>
      </w:r>
    </w:p>
    <w:p w14:paraId="0793C0D3" w14:textId="362682B4" w:rsidR="008F44F1" w:rsidRDefault="008F44F1" w:rsidP="004F5DCD">
      <w:pPr>
        <w:pStyle w:val="Heading2"/>
      </w:pPr>
      <w:r>
        <w:t>Shared roles</w:t>
      </w:r>
    </w:p>
    <w:p w14:paraId="78702F78" w14:textId="77777777" w:rsidR="00EF174C" w:rsidRDefault="007D4DFB" w:rsidP="00172839">
      <w:pPr>
        <w:pStyle w:val="Normalnumbered"/>
        <w:numPr>
          <w:ilvl w:val="0"/>
          <w:numId w:val="9"/>
        </w:numPr>
        <w:tabs>
          <w:tab w:val="clear" w:pos="567"/>
        </w:tabs>
        <w:spacing w:before="120" w:line="240" w:lineRule="auto"/>
      </w:pPr>
      <w:r>
        <w:t>The Commonwealth and New South Wales will be jointly responsible for agreeing a Project Plan</w:t>
      </w:r>
      <w:r w:rsidR="00EF174C">
        <w:t xml:space="preserve"> to ensure that:</w:t>
      </w:r>
    </w:p>
    <w:p w14:paraId="0FE74710" w14:textId="21F80753" w:rsidR="007D4DFB" w:rsidRDefault="00EF174C" w:rsidP="00213DDE">
      <w:pPr>
        <w:pStyle w:val="AlphaParagraph"/>
        <w:numPr>
          <w:ilvl w:val="0"/>
          <w:numId w:val="22"/>
        </w:numPr>
        <w:tabs>
          <w:tab w:val="clear" w:pos="283"/>
          <w:tab w:val="clear" w:pos="567"/>
          <w:tab w:val="clear" w:pos="1418"/>
          <w:tab w:val="clear" w:pos="1701"/>
        </w:tabs>
        <w:ind w:left="1134" w:hanging="567"/>
      </w:pPr>
      <w:r>
        <w:t>the</w:t>
      </w:r>
      <w:r w:rsidR="007D4DFB">
        <w:t xml:space="preserve"> new</w:t>
      </w:r>
      <w:r w:rsidR="007D4DFB" w:rsidRPr="00D642F4">
        <w:t xml:space="preserve"> </w:t>
      </w:r>
      <w:r w:rsidR="007D4DFB">
        <w:t>commemorative monument at Botany Bay</w:t>
      </w:r>
      <w:r>
        <w:t xml:space="preserve"> is</w:t>
      </w:r>
      <w:r w:rsidR="007D4DFB">
        <w:t xml:space="preserve"> completed and installed by 29</w:t>
      </w:r>
      <w:r w:rsidR="001C211F">
        <w:t> </w:t>
      </w:r>
      <w:r w:rsidR="007D4DFB">
        <w:t>April</w:t>
      </w:r>
      <w:r w:rsidR="001C211F">
        <w:t> </w:t>
      </w:r>
      <w:r w:rsidR="007D4DFB">
        <w:t>2020</w:t>
      </w:r>
      <w:r>
        <w:t>; and</w:t>
      </w:r>
    </w:p>
    <w:p w14:paraId="6CB36C53" w14:textId="0E5AA09F" w:rsidR="00EF174C" w:rsidRDefault="00EF174C" w:rsidP="00213DDE">
      <w:pPr>
        <w:pStyle w:val="AlphaParagraph"/>
        <w:numPr>
          <w:ilvl w:val="0"/>
          <w:numId w:val="22"/>
        </w:numPr>
        <w:tabs>
          <w:tab w:val="clear" w:pos="283"/>
          <w:tab w:val="clear" w:pos="567"/>
          <w:tab w:val="clear" w:pos="1418"/>
          <w:tab w:val="clear" w:pos="1701"/>
        </w:tabs>
        <w:ind w:left="1134" w:hanging="567"/>
      </w:pPr>
      <w:r>
        <w:t>Stage 1 of the Kamay Botany Bay National Park, Kurnell Master Plan has commenced by 29 April 2020.</w:t>
      </w:r>
    </w:p>
    <w:p w14:paraId="72553315" w14:textId="024CEF31" w:rsidR="007D4DFB" w:rsidRDefault="007D4DFB" w:rsidP="00172839">
      <w:pPr>
        <w:pStyle w:val="Normalnumbered"/>
        <w:numPr>
          <w:ilvl w:val="0"/>
          <w:numId w:val="9"/>
        </w:numPr>
        <w:tabs>
          <w:tab w:val="clear" w:pos="567"/>
        </w:tabs>
        <w:spacing w:before="120" w:line="240" w:lineRule="auto"/>
      </w:pPr>
      <w:r>
        <w:t xml:space="preserve">Project Plans typically include details on scope, project schedule, budget, project stakeholders, </w:t>
      </w:r>
      <w:r w:rsidRPr="007D4DFB">
        <w:rPr>
          <w:color w:val="auto"/>
        </w:rPr>
        <w:t>governance</w:t>
      </w:r>
      <w:r>
        <w:t xml:space="preserve"> arrangements, communication plan, high level design plans and a risk management plan. </w:t>
      </w:r>
      <w:r w:rsidR="00EF174C">
        <w:t xml:space="preserve"> </w:t>
      </w:r>
      <w:r>
        <w:t>New South Wales has the flexibility to determine how to meet this requirement and can make use of any existing information or document prepared for another purpose.</w:t>
      </w:r>
    </w:p>
    <w:p w14:paraId="74BCCF1B" w14:textId="7B8CEBF7" w:rsidR="007D4DFB" w:rsidRPr="005420C6" w:rsidRDefault="007D4DFB" w:rsidP="00172839">
      <w:pPr>
        <w:pStyle w:val="Normalnumbered"/>
        <w:numPr>
          <w:ilvl w:val="0"/>
          <w:numId w:val="9"/>
        </w:numPr>
        <w:tabs>
          <w:tab w:val="clear" w:pos="567"/>
        </w:tabs>
        <w:spacing w:before="120" w:line="240" w:lineRule="auto"/>
      </w:pPr>
      <w:r>
        <w:t xml:space="preserve">The </w:t>
      </w:r>
      <w:r w:rsidRPr="007D4DFB">
        <w:t>Project</w:t>
      </w:r>
      <w:r>
        <w:t xml:space="preserve"> Plan is expected to be a flexible document that may be varied over time to accommodate changed circumsta</w:t>
      </w:r>
      <w:r w:rsidR="00EF174C">
        <w:t>nces.</w:t>
      </w:r>
      <w:r w:rsidR="00E77741">
        <w:t xml:space="preserve">  </w:t>
      </w:r>
      <w:r w:rsidR="00E77741" w:rsidRPr="005420C6">
        <w:t>Variations to the Project Plan that directly affect the timeframes for the project are subject to written agreement between senior Commonwealth and New South Wales officials.</w:t>
      </w:r>
    </w:p>
    <w:p w14:paraId="4A590863" w14:textId="77777777" w:rsidR="008F44F1" w:rsidRDefault="008F44F1" w:rsidP="00E77741">
      <w:pPr>
        <w:pStyle w:val="Normalnumbered"/>
        <w:numPr>
          <w:ilvl w:val="0"/>
          <w:numId w:val="9"/>
        </w:numPr>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383B3F7" w14:textId="44F9FABF" w:rsidR="00225DD8" w:rsidRDefault="00814667" w:rsidP="00E77741">
      <w:pPr>
        <w:pStyle w:val="Heading1"/>
        <w:spacing w:before="360"/>
      </w:pPr>
      <w:r w:rsidRPr="00814590">
        <w:t>Part 4 —</w:t>
      </w:r>
      <w:r w:rsidR="00645AF7">
        <w:t xml:space="preserve"> </w:t>
      </w:r>
      <w:r w:rsidR="007D4DFB">
        <w:t xml:space="preserve">performance and </w:t>
      </w:r>
      <w:r w:rsidRPr="00814590">
        <w:t>reportin</w:t>
      </w:r>
      <w:r w:rsidR="00E83658">
        <w:t>g</w:t>
      </w:r>
    </w:p>
    <w:p w14:paraId="2F204BC9" w14:textId="77777777" w:rsidR="00F3245D" w:rsidRDefault="00F3245D" w:rsidP="00F3245D">
      <w:pPr>
        <w:pStyle w:val="Heading2"/>
      </w:pPr>
      <w:r>
        <w:t>Reporting arrangements</w:t>
      </w:r>
    </w:p>
    <w:p w14:paraId="7FDE19E2" w14:textId="5C087B42" w:rsidR="00ED2AC4" w:rsidRPr="00E83658" w:rsidRDefault="006C23E5" w:rsidP="00172839">
      <w:pPr>
        <w:pStyle w:val="Normalnumbered"/>
        <w:numPr>
          <w:ilvl w:val="0"/>
          <w:numId w:val="9"/>
        </w:numPr>
        <w:tabs>
          <w:tab w:val="clear" w:pos="567"/>
        </w:tabs>
        <w:spacing w:before="120" w:line="240" w:lineRule="auto"/>
        <w:rPr>
          <w:szCs w:val="23"/>
        </w:rPr>
      </w:pPr>
      <w:r>
        <w:t>New South Wales</w:t>
      </w:r>
      <w:r w:rsidR="0076361C">
        <w:t xml:space="preserve"> </w:t>
      </w:r>
      <w:r w:rsidR="009E151E">
        <w:t xml:space="preserve">will </w:t>
      </w:r>
      <w:r w:rsidR="00E83658">
        <w:t xml:space="preserve">submit bi-annual </w:t>
      </w:r>
      <w:r w:rsidR="0095223D">
        <w:t xml:space="preserve">performance reports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w:t>
      </w:r>
      <w:r w:rsidR="00E83658">
        <w:t xml:space="preserve">e against the </w:t>
      </w:r>
      <w:r w:rsidR="007D4DFB">
        <w:t xml:space="preserve">agreed </w:t>
      </w:r>
      <w:r w:rsidR="00E83658">
        <w:t>Project Plan</w:t>
      </w:r>
      <w:r w:rsidR="00ED2AC4">
        <w:t>.</w:t>
      </w:r>
      <w:r w:rsidR="00ED2AC4">
        <w:rPr>
          <w:szCs w:val="23"/>
        </w:rPr>
        <w:t xml:space="preserve"> </w:t>
      </w:r>
      <w:r w:rsidR="007D4DFB">
        <w:rPr>
          <w:szCs w:val="23"/>
        </w:rPr>
        <w:t xml:space="preserve"> </w:t>
      </w:r>
      <w:r w:rsidR="00E83658">
        <w:t>These reports are due on the 10</w:t>
      </w:r>
      <w:r w:rsidR="00E83658" w:rsidRPr="00EB7A4F">
        <w:rPr>
          <w:vertAlign w:val="superscript"/>
        </w:rPr>
        <w:t>th</w:t>
      </w:r>
      <w:r w:rsidR="00E83658">
        <w:t xml:space="preserve"> business day of May and November each year during the operation of this Agreement.</w:t>
      </w:r>
      <w:r w:rsidR="00EF174C">
        <w:t xml:space="preserve"> </w:t>
      </w:r>
      <w:r w:rsidR="00E83658">
        <w:t xml:space="preserve"> All bi-annual </w:t>
      </w:r>
      <w:r w:rsidR="00EF174C">
        <w:t xml:space="preserve">reports must be certified by a </w:t>
      </w:r>
      <w:r w:rsidR="00E83658">
        <w:t>New South Wales</w:t>
      </w:r>
      <w:r w:rsidR="00EF174C">
        <w:t>’ senior official</w:t>
      </w:r>
      <w:r w:rsidR="00E83658">
        <w:t xml:space="preserve"> as being a true and accurate representation of the progress of the project for the relevant reporting period.</w:t>
      </w:r>
    </w:p>
    <w:p w14:paraId="47FB1D66" w14:textId="4359D8F7" w:rsidR="00E83658" w:rsidRPr="00E83658" w:rsidRDefault="00E83658" w:rsidP="00E77741">
      <w:pPr>
        <w:pStyle w:val="Normalnumbered"/>
        <w:numPr>
          <w:ilvl w:val="0"/>
          <w:numId w:val="9"/>
        </w:numPr>
        <w:rPr>
          <w:szCs w:val="23"/>
        </w:rPr>
      </w:pPr>
      <w:r>
        <w:t xml:space="preserve">A Final Project Performance Report </w:t>
      </w:r>
      <w:r w:rsidR="00E6031C">
        <w:t>is required on completion of the project.</w:t>
      </w:r>
      <w:r w:rsidR="00423E2F">
        <w:t xml:space="preserve"> </w:t>
      </w:r>
      <w:r w:rsidR="00E6031C">
        <w:t xml:space="preserve"> The Final Project Performance Report </w:t>
      </w:r>
      <w:r>
        <w:t>will be a report that can be used for public information and dissemination purposes and will evaluate the Project from New South Wales perspective and include a description of the conduct, benefits and outcomes of the Project.</w:t>
      </w:r>
    </w:p>
    <w:p w14:paraId="0693F568" w14:textId="77777777" w:rsidR="008E7527" w:rsidRDefault="008E7527" w:rsidP="00E77741">
      <w:pPr>
        <w:pStyle w:val="Heading1"/>
        <w:spacing w:before="360"/>
      </w:pPr>
      <w:r>
        <w:t>Part 5</w:t>
      </w:r>
      <w:r w:rsidRPr="00751725">
        <w:t xml:space="preserve"> — financial arrangements</w:t>
      </w:r>
    </w:p>
    <w:p w14:paraId="6F358D8B" w14:textId="3BABF391" w:rsidR="008E7527" w:rsidRDefault="008E7527" w:rsidP="00172839">
      <w:pPr>
        <w:pStyle w:val="Normalnumbered"/>
        <w:numPr>
          <w:ilvl w:val="0"/>
          <w:numId w:val="9"/>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6C23E5">
        <w:t>New South Wales of $25</w:t>
      </w:r>
      <w:r w:rsidR="00476964">
        <w:t xml:space="preserve"> </w:t>
      </w:r>
      <w:r>
        <w:t>m</w:t>
      </w:r>
      <w:r w:rsidR="00476964">
        <w:t>illion</w:t>
      </w:r>
      <w:r>
        <w:t xml:space="preserve"> in respect of this Agreement</w:t>
      </w:r>
      <w:r w:rsidR="007454B7">
        <w:t>, on signing of the Agreement by both Parties</w:t>
      </w:r>
      <w:r>
        <w:t xml:space="preserve">. </w:t>
      </w:r>
      <w:r w:rsidRPr="000E48C3">
        <w:t xml:space="preserve"> </w:t>
      </w:r>
      <w:r>
        <w:t>All payments are GST exclusive.</w:t>
      </w:r>
    </w:p>
    <w:p w14:paraId="37628530" w14:textId="2BAFD459" w:rsidR="00423E2F" w:rsidRDefault="00423E2F" w:rsidP="00172839">
      <w:pPr>
        <w:pStyle w:val="Normalnumbered"/>
        <w:numPr>
          <w:ilvl w:val="0"/>
          <w:numId w:val="9"/>
        </w:numPr>
        <w:jc w:val="left"/>
      </w:pPr>
      <w:r>
        <w:t>New South Wales will provide a matching contribution of $25 million</w:t>
      </w:r>
      <w:r w:rsidR="00F35F0F">
        <w:t>.</w:t>
      </w:r>
    </w:p>
    <w:p w14:paraId="043D3555" w14:textId="170DBD05" w:rsidR="008E7527" w:rsidRDefault="005A5E7A" w:rsidP="00172839">
      <w:pPr>
        <w:pStyle w:val="Normalnumbered"/>
        <w:numPr>
          <w:ilvl w:val="0"/>
          <w:numId w:val="9"/>
        </w:numPr>
      </w:pPr>
      <w:r>
        <w:lastRenderedPageBreak/>
        <w:t>T</w:t>
      </w:r>
      <w:r w:rsidR="008E7527" w:rsidRPr="002B7E1B">
        <w:t>he Commonwealth’s funding contribution</w:t>
      </w:r>
      <w:r w:rsidR="00645AF7">
        <w:t xml:space="preserve"> will not be reduced where New South Wales secures</w:t>
      </w:r>
      <w:r w:rsidR="008E7527" w:rsidRPr="002B7E1B">
        <w:t xml:space="preserve"> funding from other activity partners</w:t>
      </w:r>
      <w:r w:rsidR="002E144A">
        <w:t>.</w:t>
      </w:r>
    </w:p>
    <w:p w14:paraId="3B33C224" w14:textId="7D400319" w:rsidR="008E7527" w:rsidRPr="00751725" w:rsidRDefault="008E7527" w:rsidP="00172839">
      <w:pPr>
        <w:pStyle w:val="Normalnumbered"/>
        <w:keepNext/>
        <w:keepLines/>
        <w:numPr>
          <w:ilvl w:val="0"/>
          <w:numId w:val="9"/>
        </w:numPr>
      </w:pPr>
      <w:r w:rsidRPr="00751725">
        <w:t>The Commonwealth</w:t>
      </w:r>
      <w:r>
        <w:t>’s</w:t>
      </w:r>
      <w:r w:rsidRPr="00751725">
        <w:t xml:space="preserve"> and the </w:t>
      </w:r>
      <w:r w:rsidR="00BD2253">
        <w:t>State’s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E6031C">
        <w:t>, are shown in Table 1</w:t>
      </w:r>
      <w:r w:rsidRPr="00751725">
        <w:t>.</w:t>
      </w:r>
    </w:p>
    <w:p w14:paraId="4BABA4C3" w14:textId="27940B3B" w:rsidR="008E7527" w:rsidRPr="00172839" w:rsidRDefault="00E83658" w:rsidP="00172839">
      <w:pPr>
        <w:pStyle w:val="Normalnumbered"/>
        <w:numPr>
          <w:ilvl w:val="0"/>
          <w:numId w:val="0"/>
        </w:numPr>
        <w:spacing w:after="120"/>
        <w:rPr>
          <w:b/>
        </w:rPr>
      </w:pPr>
      <w:r>
        <w:rPr>
          <w:b/>
        </w:rPr>
        <w:t>Table 1</w:t>
      </w:r>
      <w:r w:rsidR="008E7527" w:rsidRPr="00E204BB">
        <w:rPr>
          <w:b/>
        </w:rPr>
        <w:t>: Estimated financial contributions</w:t>
      </w:r>
    </w:p>
    <w:tbl>
      <w:tblPr>
        <w:tblW w:w="0" w:type="auto"/>
        <w:tblLook w:val="01E0" w:firstRow="1" w:lastRow="1" w:firstColumn="1" w:lastColumn="1" w:noHBand="0" w:noVBand="0"/>
      </w:tblPr>
      <w:tblGrid>
        <w:gridCol w:w="4801"/>
        <w:gridCol w:w="2418"/>
        <w:gridCol w:w="2419"/>
      </w:tblGrid>
      <w:tr w:rsidR="00087D55" w14:paraId="22AAFD27" w14:textId="77777777" w:rsidTr="00423E2F">
        <w:trPr>
          <w:cantSplit/>
        </w:trPr>
        <w:tc>
          <w:tcPr>
            <w:tcW w:w="4852" w:type="dxa"/>
            <w:tcBorders>
              <w:top w:val="single" w:sz="4" w:space="0" w:color="000080"/>
            </w:tcBorders>
          </w:tcPr>
          <w:p w14:paraId="12DCA3D6" w14:textId="77777777" w:rsidR="00087D55" w:rsidRPr="00C2711B" w:rsidRDefault="00087D55" w:rsidP="00AB71A5">
            <w:pPr>
              <w:keepNext/>
              <w:keepLines/>
              <w:spacing w:before="40" w:after="40"/>
              <w:jc w:val="left"/>
              <w:rPr>
                <w:b/>
              </w:rPr>
            </w:pPr>
            <w:r w:rsidRPr="00C2711B">
              <w:rPr>
                <w:b/>
              </w:rPr>
              <w:t>($ million)</w:t>
            </w:r>
          </w:p>
        </w:tc>
        <w:tc>
          <w:tcPr>
            <w:tcW w:w="2447" w:type="dxa"/>
            <w:tcBorders>
              <w:top w:val="single" w:sz="4" w:space="0" w:color="000080"/>
              <w:bottom w:val="single" w:sz="4" w:space="0" w:color="000080"/>
            </w:tcBorders>
          </w:tcPr>
          <w:p w14:paraId="3585F7CC" w14:textId="3B02EEF6" w:rsidR="00087D55" w:rsidRDefault="00087D55" w:rsidP="00AB71A5">
            <w:pPr>
              <w:keepNext/>
              <w:keepLines/>
              <w:spacing w:before="40" w:after="40"/>
              <w:jc w:val="right"/>
            </w:pPr>
            <w:r>
              <w:t>2017-18</w:t>
            </w:r>
          </w:p>
        </w:tc>
        <w:tc>
          <w:tcPr>
            <w:tcW w:w="2448" w:type="dxa"/>
            <w:tcBorders>
              <w:top w:val="single" w:sz="4" w:space="0" w:color="000080"/>
              <w:bottom w:val="single" w:sz="4" w:space="0" w:color="000080"/>
            </w:tcBorders>
          </w:tcPr>
          <w:p w14:paraId="1725DD64" w14:textId="77777777" w:rsidR="00087D55" w:rsidRDefault="00087D55" w:rsidP="00AB71A5">
            <w:pPr>
              <w:keepNext/>
              <w:keepLines/>
              <w:spacing w:before="40" w:after="40"/>
              <w:jc w:val="right"/>
            </w:pPr>
            <w:r>
              <w:t>Total</w:t>
            </w:r>
          </w:p>
        </w:tc>
      </w:tr>
      <w:tr w:rsidR="00087D55" w14:paraId="61E3F640" w14:textId="77777777" w:rsidTr="00423E2F">
        <w:trPr>
          <w:cantSplit/>
        </w:trPr>
        <w:tc>
          <w:tcPr>
            <w:tcW w:w="4852" w:type="dxa"/>
          </w:tcPr>
          <w:p w14:paraId="14BE8103" w14:textId="77777777" w:rsidR="00087D55" w:rsidRPr="005B4C1B" w:rsidRDefault="00087D55" w:rsidP="00AB71A5">
            <w:pPr>
              <w:keepNext/>
              <w:keepLines/>
              <w:spacing w:before="60" w:after="60"/>
              <w:rPr>
                <w:b/>
              </w:rPr>
            </w:pPr>
            <w:r w:rsidRPr="005B4C1B">
              <w:rPr>
                <w:b/>
              </w:rPr>
              <w:t>Estimated total budget</w:t>
            </w:r>
          </w:p>
        </w:tc>
        <w:tc>
          <w:tcPr>
            <w:tcW w:w="2447" w:type="dxa"/>
            <w:tcBorders>
              <w:top w:val="single" w:sz="4" w:space="0" w:color="000080"/>
            </w:tcBorders>
          </w:tcPr>
          <w:p w14:paraId="6B67FA46" w14:textId="1749754C" w:rsidR="00087D55" w:rsidRPr="005B4C1B" w:rsidRDefault="00423E2F" w:rsidP="00423E2F">
            <w:pPr>
              <w:keepNext/>
              <w:keepLines/>
              <w:spacing w:before="40" w:after="40"/>
              <w:jc w:val="right"/>
              <w:rPr>
                <w:b/>
              </w:rPr>
            </w:pPr>
            <w:r>
              <w:rPr>
                <w:b/>
              </w:rPr>
              <w:t>50</w:t>
            </w:r>
            <w:r w:rsidR="00087D55" w:rsidRPr="005B4C1B">
              <w:rPr>
                <w:b/>
              </w:rPr>
              <w:t>.0</w:t>
            </w:r>
          </w:p>
        </w:tc>
        <w:tc>
          <w:tcPr>
            <w:tcW w:w="2448" w:type="dxa"/>
            <w:tcBorders>
              <w:top w:val="single" w:sz="4" w:space="0" w:color="000080"/>
            </w:tcBorders>
          </w:tcPr>
          <w:p w14:paraId="22F3111B" w14:textId="5681A791" w:rsidR="00087D55" w:rsidRPr="005B4C1B" w:rsidRDefault="00423E2F" w:rsidP="00087D55">
            <w:pPr>
              <w:keepNext/>
              <w:keepLines/>
              <w:spacing w:before="40" w:after="40"/>
              <w:jc w:val="right"/>
              <w:rPr>
                <w:b/>
              </w:rPr>
            </w:pPr>
            <w:r>
              <w:rPr>
                <w:b/>
              </w:rPr>
              <w:t>50</w:t>
            </w:r>
            <w:r w:rsidR="00087D55" w:rsidRPr="005B4C1B">
              <w:rPr>
                <w:b/>
              </w:rPr>
              <w:t>.0</w:t>
            </w:r>
          </w:p>
        </w:tc>
      </w:tr>
      <w:tr w:rsidR="00087D55" w14:paraId="0B667C99" w14:textId="77777777" w:rsidTr="00423E2F">
        <w:trPr>
          <w:cantSplit/>
        </w:trPr>
        <w:tc>
          <w:tcPr>
            <w:tcW w:w="4852" w:type="dxa"/>
          </w:tcPr>
          <w:p w14:paraId="6CF56A99" w14:textId="77777777" w:rsidR="00087D55" w:rsidRDefault="00087D55" w:rsidP="00AB71A5">
            <w:pPr>
              <w:keepNext/>
              <w:keepLines/>
              <w:spacing w:before="60" w:after="60"/>
            </w:pPr>
            <w:r>
              <w:t>Less estimated National Partnership Payments</w:t>
            </w:r>
          </w:p>
          <w:p w14:paraId="71BDFE29" w14:textId="77777777" w:rsidR="00423E2F" w:rsidRDefault="00423E2F" w:rsidP="00423E2F">
            <w:pPr>
              <w:keepNext/>
              <w:keepLines/>
              <w:spacing w:before="60" w:after="60"/>
            </w:pPr>
            <w:r>
              <w:tab/>
              <w:t>New</w:t>
            </w:r>
            <w:r w:rsidRPr="00D642F4">
              <w:t xml:space="preserve"> </w:t>
            </w:r>
            <w:r>
              <w:t>commemorative monument</w:t>
            </w:r>
          </w:p>
          <w:p w14:paraId="016ACCFF" w14:textId="0D39BE5C" w:rsidR="00423E2F" w:rsidRPr="004A673A" w:rsidRDefault="00423E2F" w:rsidP="00423E2F">
            <w:pPr>
              <w:keepNext/>
              <w:keepLines/>
              <w:spacing w:before="60" w:after="60"/>
            </w:pPr>
            <w:r>
              <w:tab/>
              <w:t xml:space="preserve">Stage 1 of the Kamay Botany Bay </w:t>
            </w:r>
            <w:r>
              <w:tab/>
              <w:t>National Park, Kurnell Master Plan</w:t>
            </w:r>
          </w:p>
        </w:tc>
        <w:tc>
          <w:tcPr>
            <w:tcW w:w="2447" w:type="dxa"/>
            <w:tcBorders>
              <w:bottom w:val="single" w:sz="4" w:space="0" w:color="000080"/>
            </w:tcBorders>
          </w:tcPr>
          <w:p w14:paraId="4C3083A7" w14:textId="77777777" w:rsidR="00087D55" w:rsidRDefault="00087D55" w:rsidP="00AB71A5">
            <w:pPr>
              <w:keepNext/>
              <w:keepLines/>
              <w:spacing w:before="40" w:after="40"/>
              <w:jc w:val="right"/>
            </w:pPr>
            <w:r>
              <w:t>25</w:t>
            </w:r>
            <w:r w:rsidRPr="005B4C1B">
              <w:t>.0</w:t>
            </w:r>
          </w:p>
          <w:p w14:paraId="73DCE892" w14:textId="77777777" w:rsidR="00423E2F" w:rsidRDefault="00423E2F" w:rsidP="00423E2F">
            <w:pPr>
              <w:keepNext/>
              <w:keepLines/>
              <w:spacing w:before="60" w:after="60"/>
              <w:jc w:val="right"/>
            </w:pPr>
            <w:r>
              <w:t>3.0</w:t>
            </w:r>
          </w:p>
          <w:p w14:paraId="7946FAA5" w14:textId="7CD330CE" w:rsidR="00423E2F" w:rsidRPr="005B4C1B" w:rsidRDefault="00423E2F" w:rsidP="00AB71A5">
            <w:pPr>
              <w:keepNext/>
              <w:keepLines/>
              <w:spacing w:before="40" w:after="40"/>
              <w:jc w:val="right"/>
            </w:pPr>
            <w:r>
              <w:t>22.0</w:t>
            </w:r>
          </w:p>
        </w:tc>
        <w:tc>
          <w:tcPr>
            <w:tcW w:w="2448" w:type="dxa"/>
            <w:tcBorders>
              <w:bottom w:val="single" w:sz="4" w:space="0" w:color="000080"/>
            </w:tcBorders>
          </w:tcPr>
          <w:p w14:paraId="77DC3D4A" w14:textId="77777777" w:rsidR="00087D55" w:rsidRDefault="00087D55" w:rsidP="00AB71A5">
            <w:pPr>
              <w:keepNext/>
              <w:keepLines/>
              <w:spacing w:before="40" w:after="40"/>
              <w:jc w:val="right"/>
            </w:pPr>
            <w:r>
              <w:t>25</w:t>
            </w:r>
            <w:r w:rsidRPr="005B4C1B">
              <w:t>.0</w:t>
            </w:r>
          </w:p>
          <w:p w14:paraId="572846FA" w14:textId="77777777" w:rsidR="00423E2F" w:rsidRDefault="00423E2F" w:rsidP="00423E2F">
            <w:pPr>
              <w:keepNext/>
              <w:keepLines/>
              <w:spacing w:before="60" w:after="60"/>
              <w:jc w:val="right"/>
            </w:pPr>
            <w:r>
              <w:t>3.0</w:t>
            </w:r>
          </w:p>
          <w:p w14:paraId="0F675CF9" w14:textId="5B7A09F5" w:rsidR="00423E2F" w:rsidRPr="005B4C1B" w:rsidRDefault="00423E2F" w:rsidP="00AB71A5">
            <w:pPr>
              <w:keepNext/>
              <w:keepLines/>
              <w:spacing w:before="40" w:after="40"/>
              <w:jc w:val="right"/>
            </w:pPr>
            <w:r>
              <w:t>22.0</w:t>
            </w:r>
          </w:p>
        </w:tc>
      </w:tr>
      <w:tr w:rsidR="00087D55" w14:paraId="3EFCF3C1" w14:textId="77777777" w:rsidTr="00423E2F">
        <w:trPr>
          <w:cantSplit/>
        </w:trPr>
        <w:tc>
          <w:tcPr>
            <w:tcW w:w="4852" w:type="dxa"/>
            <w:tcBorders>
              <w:bottom w:val="single" w:sz="4" w:space="0" w:color="000080"/>
            </w:tcBorders>
          </w:tcPr>
          <w:p w14:paraId="75C6BFA3" w14:textId="1E24AAD5" w:rsidR="00087D55" w:rsidRPr="006146F2" w:rsidRDefault="00087D55" w:rsidP="00AB71A5">
            <w:pPr>
              <w:keepNext/>
              <w:keepLines/>
              <w:spacing w:before="40" w:after="40"/>
            </w:pPr>
            <w:r w:rsidRPr="006146F2">
              <w:t>Balance of non-Commonwealth contribution</w:t>
            </w:r>
            <w:r>
              <w:t>s</w:t>
            </w:r>
            <w:r w:rsidR="00213DDE" w:rsidRPr="00213DDE">
              <w:rPr>
                <w:vertAlign w:val="superscript"/>
              </w:rPr>
              <w:t>(a)</w:t>
            </w:r>
          </w:p>
        </w:tc>
        <w:tc>
          <w:tcPr>
            <w:tcW w:w="2447" w:type="dxa"/>
            <w:tcBorders>
              <w:bottom w:val="single" w:sz="4" w:space="0" w:color="000080"/>
            </w:tcBorders>
          </w:tcPr>
          <w:p w14:paraId="64B2CA0C" w14:textId="575D6A00" w:rsidR="00087D55" w:rsidRDefault="00423E2F" w:rsidP="00423E2F">
            <w:pPr>
              <w:keepNext/>
              <w:keepLines/>
              <w:spacing w:before="40" w:after="40"/>
              <w:jc w:val="right"/>
            </w:pPr>
            <w:r>
              <w:t>25</w:t>
            </w:r>
            <w:r w:rsidR="00087D55">
              <w:t>.0</w:t>
            </w:r>
          </w:p>
        </w:tc>
        <w:tc>
          <w:tcPr>
            <w:tcW w:w="2448" w:type="dxa"/>
            <w:tcBorders>
              <w:bottom w:val="single" w:sz="4" w:space="0" w:color="000080"/>
            </w:tcBorders>
          </w:tcPr>
          <w:p w14:paraId="663CA118" w14:textId="7FA4B660" w:rsidR="00087D55" w:rsidRDefault="00423E2F" w:rsidP="00423E2F">
            <w:pPr>
              <w:keepNext/>
              <w:keepLines/>
              <w:spacing w:before="40" w:after="40"/>
              <w:jc w:val="right"/>
            </w:pPr>
            <w:r>
              <w:t>25</w:t>
            </w:r>
            <w:r w:rsidR="00087D55">
              <w:t>.0</w:t>
            </w:r>
          </w:p>
        </w:tc>
      </w:tr>
    </w:tbl>
    <w:p w14:paraId="77B17307" w14:textId="7CB912BC" w:rsidR="00213DDE" w:rsidRDefault="00213DDE" w:rsidP="00213DDE">
      <w:pPr>
        <w:pStyle w:val="Normalnumbered"/>
        <w:numPr>
          <w:ilvl w:val="0"/>
          <w:numId w:val="0"/>
        </w:numPr>
        <w:spacing w:before="60"/>
        <w:ind w:left="360" w:hanging="360"/>
      </w:pPr>
      <w:r w:rsidRPr="00EB34D7">
        <w:rPr>
          <w:vertAlign w:val="superscript"/>
        </w:rPr>
        <w:t>(a)</w:t>
      </w:r>
      <w:r>
        <w:t xml:space="preserve"> Balance of non-Commonwealth contributions will be allocated over the period of projects.</w:t>
      </w:r>
    </w:p>
    <w:p w14:paraId="0BD42CC0" w14:textId="435F7035" w:rsidR="008E7527" w:rsidRDefault="008E7527" w:rsidP="00172839">
      <w:pPr>
        <w:pStyle w:val="Normalnumbered"/>
        <w:numPr>
          <w:ilvl w:val="0"/>
          <w:numId w:val="9"/>
        </w:numPr>
        <w:spacing w:before="360"/>
      </w:pPr>
      <w:r w:rsidRPr="00C738BD">
        <w:t xml:space="preserve">Having regard to the agreed estimated costs of projects specified in </w:t>
      </w:r>
      <w:r w:rsidR="006B43AF">
        <w:t>this</w:t>
      </w:r>
      <w:r>
        <w:t xml:space="preserve"> Agreement</w:t>
      </w:r>
      <w:r w:rsidRPr="00C738BD">
        <w:t xml:space="preserve">, </w:t>
      </w:r>
      <w:r w:rsidR="00E6031C">
        <w:t xml:space="preserve">New South Wales </w:t>
      </w:r>
      <w:r w:rsidRPr="00C738BD">
        <w:t>will not be required to pay a refund to the C</w:t>
      </w:r>
      <w:bookmarkStart w:id="2" w:name="_GoBack"/>
      <w:bookmarkEnd w:id="2"/>
      <w:r w:rsidRPr="00C738BD">
        <w:t>ommonwealth if the actual cost of the project is less than the agreed</w:t>
      </w:r>
      <w:r w:rsidR="00515AF2">
        <w:t xml:space="preserve"> estimated cost of the project.  </w:t>
      </w:r>
      <w:r w:rsidRPr="00C738BD">
        <w:t xml:space="preserve">Similarly, </w:t>
      </w:r>
      <w:r w:rsidR="00E6031C">
        <w:t>New South Wales</w:t>
      </w:r>
      <w:r>
        <w:t xml:space="preserve"> </w:t>
      </w:r>
      <w:r w:rsidRPr="00C738BD">
        <w:t>bear</w:t>
      </w:r>
      <w:r w:rsidR="00E6031C">
        <w:t>s</w:t>
      </w:r>
      <w:r w:rsidRPr="00C738BD">
        <w:t xml:space="preserve"> all risk should the costs of a project exceed the agreed estimated cost</w:t>
      </w:r>
      <w:r>
        <w:t>s.</w:t>
      </w:r>
      <w:r w:rsidRPr="00C738BD">
        <w:t xml:space="preserve"> The Parties acknowledge that this arrangement provides the maximum incentive for </w:t>
      </w:r>
      <w:r w:rsidR="00E6031C">
        <w:t>New South Wales</w:t>
      </w:r>
      <w:r w:rsidRPr="00C738BD">
        <w:t xml:space="preserve"> to deliver projects cost effectively and efficiently.</w:t>
      </w:r>
    </w:p>
    <w:p w14:paraId="65C5881B" w14:textId="77777777" w:rsidR="00814667" w:rsidRDefault="003A2157" w:rsidP="00E77741">
      <w:pPr>
        <w:pStyle w:val="Heading1"/>
        <w:spacing w:before="360"/>
      </w:pPr>
      <w:bookmarkStart w:id="3" w:name="top"/>
      <w:bookmarkEnd w:id="3"/>
      <w:r>
        <w:t xml:space="preserve">Part </w:t>
      </w:r>
      <w:r w:rsidR="000B4080">
        <w:t>6</w:t>
      </w:r>
      <w:r w:rsidR="00814667">
        <w:t xml:space="preserve"> — governance arrangements</w:t>
      </w:r>
    </w:p>
    <w:p w14:paraId="66036326" w14:textId="77777777" w:rsidR="00BC4728" w:rsidRDefault="00BC4728" w:rsidP="00BC4728">
      <w:pPr>
        <w:pStyle w:val="Heading2"/>
      </w:pPr>
      <w:r w:rsidRPr="006F096A">
        <w:t>Enforceability of the Agreement</w:t>
      </w:r>
    </w:p>
    <w:p w14:paraId="2C8AC8D5" w14:textId="77777777" w:rsidR="00BC4728" w:rsidRPr="00C40EBC" w:rsidRDefault="00BC4728" w:rsidP="00172839">
      <w:pPr>
        <w:pStyle w:val="Normalnumbered"/>
        <w:numPr>
          <w:ilvl w:val="0"/>
          <w:numId w:val="9"/>
        </w:numPr>
        <w:spacing w:line="240" w:lineRule="auto"/>
      </w:pPr>
      <w:r>
        <w:rPr>
          <w:szCs w:val="23"/>
        </w:rPr>
        <w:t>The Parties do not intend any of the provisions of this Agreement to be legally enforceable. However, that does not lessen the Parties’ commitment to this Agreement.</w:t>
      </w:r>
    </w:p>
    <w:p w14:paraId="63475A09" w14:textId="77777777" w:rsidR="00814667" w:rsidRDefault="00814667">
      <w:pPr>
        <w:pStyle w:val="Heading2"/>
      </w:pPr>
      <w:r>
        <w:t>Variation of the Agreement</w:t>
      </w:r>
    </w:p>
    <w:p w14:paraId="52E9C1D5" w14:textId="004A4E48" w:rsidR="00814667" w:rsidRPr="00DE36EB" w:rsidRDefault="00607B03" w:rsidP="00172839">
      <w:pPr>
        <w:pStyle w:val="Normalnumbered"/>
        <w:numPr>
          <w:ilvl w:val="0"/>
          <w:numId w:val="9"/>
        </w:numPr>
      </w:pPr>
      <w:r>
        <w:t>The A</w:t>
      </w:r>
      <w:r w:rsidR="00814667">
        <w:t xml:space="preserve">greement may be amended at any time by agreement in writing by </w:t>
      </w:r>
      <w:r w:rsidR="00087D55">
        <w:t xml:space="preserve">both </w:t>
      </w:r>
      <w:r w:rsidR="00814667" w:rsidRPr="00DE36EB">
        <w:t>the Parties.</w:t>
      </w:r>
    </w:p>
    <w:p w14:paraId="487E49E0" w14:textId="3F607912" w:rsidR="00292587" w:rsidRDefault="00C2605C" w:rsidP="00172839">
      <w:pPr>
        <w:pStyle w:val="Normalnumbered"/>
        <w:numPr>
          <w:ilvl w:val="0"/>
          <w:numId w:val="9"/>
        </w:numPr>
      </w:pPr>
      <w:r w:rsidRPr="00DE36EB">
        <w:t xml:space="preserve">Either </w:t>
      </w:r>
      <w:r w:rsidR="00814667" w:rsidRPr="00DE36EB">
        <w:t>Party to the Agreement may terminate their part</w:t>
      </w:r>
      <w:r w:rsidR="00814667">
        <w:t>icipation in the Agreement at any time by notifying the other Part</w:t>
      </w:r>
      <w:r w:rsidR="00087D55">
        <w:t>y</w:t>
      </w:r>
      <w:r>
        <w:rPr>
          <w:i/>
        </w:rPr>
        <w:t xml:space="preserve"> </w:t>
      </w:r>
      <w:r w:rsidR="00814667">
        <w:t>in writing.</w:t>
      </w:r>
    </w:p>
    <w:p w14:paraId="2FE4EB0C" w14:textId="77777777" w:rsidR="009526E4" w:rsidRDefault="009526E4" w:rsidP="0036119D">
      <w:pPr>
        <w:pStyle w:val="Heading2"/>
      </w:pPr>
      <w:r>
        <w:t>Delegations</w:t>
      </w:r>
    </w:p>
    <w:p w14:paraId="7C19E893" w14:textId="77777777" w:rsidR="009526E4" w:rsidRDefault="009526E4" w:rsidP="00172839">
      <w:pPr>
        <w:pStyle w:val="Normalnumbered"/>
        <w:numPr>
          <w:ilvl w:val="0"/>
          <w:numId w:val="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08FC389B" w14:textId="77777777" w:rsidR="0036119D" w:rsidRDefault="0036119D" w:rsidP="0036119D">
      <w:pPr>
        <w:pStyle w:val="Heading2"/>
      </w:pPr>
      <w:r>
        <w:t>Dispute resolution</w:t>
      </w:r>
    </w:p>
    <w:p w14:paraId="57E88023" w14:textId="4D5ED389" w:rsidR="0036119D" w:rsidRPr="00DE36EB" w:rsidRDefault="00697494" w:rsidP="00172839">
      <w:pPr>
        <w:pStyle w:val="Normalnumbered"/>
        <w:numPr>
          <w:ilvl w:val="0"/>
          <w:numId w:val="9"/>
        </w:numPr>
      </w:pPr>
      <w:r w:rsidRPr="00DE36EB">
        <w:t>E</w:t>
      </w:r>
      <w:r w:rsidR="002B1C50" w:rsidRPr="00DE36EB">
        <w:t xml:space="preserve">ither </w:t>
      </w:r>
      <w:r w:rsidR="0036119D" w:rsidRPr="00DE36EB">
        <w:t xml:space="preserve">Party may give notice to other </w:t>
      </w:r>
      <w:r w:rsidR="00684EC1" w:rsidRPr="00DE36EB">
        <w:t xml:space="preserve">Party </w:t>
      </w:r>
      <w:r w:rsidR="0036119D" w:rsidRPr="00DE36EB">
        <w:t>of a dispute under this Agreement.</w:t>
      </w:r>
    </w:p>
    <w:p w14:paraId="0D88B362" w14:textId="667C02D1" w:rsidR="0036119D" w:rsidRPr="00DE36EB" w:rsidRDefault="0036119D" w:rsidP="00172839">
      <w:pPr>
        <w:pStyle w:val="Normalnumbered"/>
        <w:numPr>
          <w:ilvl w:val="0"/>
          <w:numId w:val="9"/>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505662F5" w14:textId="77777777" w:rsidR="0036119D" w:rsidRPr="00DE36EB" w:rsidRDefault="0036119D" w:rsidP="00172839">
      <w:pPr>
        <w:pStyle w:val="Normalnumbered"/>
        <w:numPr>
          <w:ilvl w:val="0"/>
          <w:numId w:val="9"/>
        </w:numPr>
      </w:pPr>
      <w:r w:rsidRPr="00DE36EB">
        <w:t>If a dispute cannot be resolved by officials, it may be escalated to the relevant Ministers.</w:t>
      </w:r>
    </w:p>
    <w:p w14:paraId="02E8056A" w14:textId="77777777" w:rsidR="0036119D" w:rsidRDefault="0036119D" w:rsidP="000614F9">
      <w:pPr>
        <w:pStyle w:val="Normalnumbered"/>
        <w:numPr>
          <w:ilvl w:val="0"/>
          <w:numId w:val="0"/>
        </w:numPr>
        <w:jc w:val="left"/>
        <w:sectPr w:rsidR="0036119D"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1A245587"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23C454BF" w14:textId="77777777">
        <w:trPr>
          <w:cantSplit/>
          <w:jc w:val="center"/>
        </w:trPr>
        <w:tc>
          <w:tcPr>
            <w:tcW w:w="4536" w:type="dxa"/>
          </w:tcPr>
          <w:p w14:paraId="7EF1E15A"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205F2B37" w14:textId="77777777" w:rsidR="00814667" w:rsidRPr="00A50751" w:rsidRDefault="00814667" w:rsidP="00297C05">
            <w:pPr>
              <w:pStyle w:val="LineForSignature"/>
              <w:spacing w:before="1080"/>
            </w:pPr>
            <w:r>
              <w:tab/>
            </w:r>
          </w:p>
          <w:p w14:paraId="7E0997A5" w14:textId="41923D82" w:rsidR="00814667" w:rsidRDefault="00814667">
            <w:pPr>
              <w:pStyle w:val="SingleParagraph"/>
              <w:rPr>
                <w:rStyle w:val="Bold"/>
              </w:rPr>
            </w:pPr>
            <w:r>
              <w:rPr>
                <w:rStyle w:val="Bold"/>
              </w:rPr>
              <w:t xml:space="preserve">The Honourable </w:t>
            </w:r>
            <w:r w:rsidR="00087D55">
              <w:rPr>
                <w:rStyle w:val="Bold"/>
              </w:rPr>
              <w:t>Josh Frydenberg</w:t>
            </w:r>
            <w:r w:rsidR="0099742A">
              <w:rPr>
                <w:rStyle w:val="Bold"/>
              </w:rPr>
              <w:t xml:space="preserve"> </w:t>
            </w:r>
            <w:r>
              <w:rPr>
                <w:rStyle w:val="Bold"/>
              </w:rPr>
              <w:t>MP</w:t>
            </w:r>
          </w:p>
          <w:p w14:paraId="510B9DC2" w14:textId="55CE5763" w:rsidR="00814667" w:rsidRDefault="00087D55">
            <w:pPr>
              <w:pStyle w:val="Position"/>
              <w:rPr>
                <w:lang w:val="en-GB"/>
              </w:rPr>
            </w:pPr>
            <w:r>
              <w:rPr>
                <w:lang w:val="en-GB"/>
              </w:rPr>
              <w:t>Minister for the Environment and Energy</w:t>
            </w:r>
          </w:p>
          <w:p w14:paraId="45B00F64" w14:textId="306D9CFD" w:rsidR="00814667" w:rsidRDefault="00087D55">
            <w:pPr>
              <w:pStyle w:val="SingleParagraph"/>
              <w:tabs>
                <w:tab w:val="num" w:pos="1134"/>
              </w:tabs>
              <w:spacing w:after="240"/>
              <w:ind w:left="1134" w:hanging="567"/>
              <w:rPr>
                <w:b/>
                <w:lang w:val="en-GB"/>
              </w:rPr>
            </w:pPr>
            <w:r>
              <w:rPr>
                <w:lang w:val="en-GB"/>
              </w:rPr>
              <w:t xml:space="preserve"> May 2018</w:t>
            </w:r>
          </w:p>
        </w:tc>
        <w:tc>
          <w:tcPr>
            <w:tcW w:w="284" w:type="dxa"/>
            <w:tcMar>
              <w:left w:w="0" w:type="dxa"/>
              <w:right w:w="0" w:type="dxa"/>
            </w:tcMar>
          </w:tcPr>
          <w:p w14:paraId="0E4B4918" w14:textId="77777777" w:rsidR="00814667" w:rsidRPr="00A50751" w:rsidRDefault="00814667">
            <w:pPr>
              <w:rPr>
                <w:rFonts w:ascii="Book Antiqua" w:hAnsi="Book Antiqua"/>
                <w:lang w:val="en-GB"/>
              </w:rPr>
            </w:pPr>
          </w:p>
        </w:tc>
        <w:tc>
          <w:tcPr>
            <w:tcW w:w="4536" w:type="dxa"/>
          </w:tcPr>
          <w:p w14:paraId="793FE86B" w14:textId="77777777" w:rsidR="00814667" w:rsidRPr="00A50751" w:rsidRDefault="00814667">
            <w:pPr>
              <w:rPr>
                <w:rFonts w:ascii="Book Antiqua" w:hAnsi="Book Antiqua"/>
                <w:lang w:val="en-GB"/>
              </w:rPr>
            </w:pPr>
          </w:p>
        </w:tc>
      </w:tr>
      <w:tr w:rsidR="00814667" w:rsidRPr="00A50751" w14:paraId="08E25D4B" w14:textId="77777777">
        <w:trPr>
          <w:cantSplit/>
          <w:jc w:val="center"/>
        </w:trPr>
        <w:tc>
          <w:tcPr>
            <w:tcW w:w="4536" w:type="dxa"/>
          </w:tcPr>
          <w:p w14:paraId="3DF3F13D"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527A806F" w14:textId="77777777" w:rsidR="00814667" w:rsidRPr="00A50751" w:rsidRDefault="00814667">
            <w:pPr>
              <w:pStyle w:val="SingleParagraph"/>
              <w:rPr>
                <w:rFonts w:ascii="Book Antiqua" w:hAnsi="Book Antiqua"/>
                <w:lang w:val="en-GB"/>
              </w:rPr>
            </w:pPr>
          </w:p>
        </w:tc>
        <w:tc>
          <w:tcPr>
            <w:tcW w:w="4536" w:type="dxa"/>
          </w:tcPr>
          <w:p w14:paraId="409E02E8" w14:textId="77777777" w:rsidR="00814667" w:rsidRPr="00A50751" w:rsidRDefault="00814667">
            <w:pPr>
              <w:pStyle w:val="SingleParagraph"/>
              <w:rPr>
                <w:rFonts w:ascii="Book Antiqua" w:hAnsi="Book Antiqua"/>
                <w:lang w:val="en-GB"/>
              </w:rPr>
            </w:pPr>
          </w:p>
        </w:tc>
      </w:tr>
      <w:tr w:rsidR="00814667" w:rsidRPr="00A50751" w14:paraId="7395AFD9" w14:textId="77777777">
        <w:trPr>
          <w:cantSplit/>
          <w:jc w:val="center"/>
        </w:trPr>
        <w:tc>
          <w:tcPr>
            <w:tcW w:w="4536" w:type="dxa"/>
          </w:tcPr>
          <w:p w14:paraId="6F21C602" w14:textId="77777777" w:rsidR="00814667" w:rsidRPr="004A0AE7" w:rsidRDefault="00814667">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7DB62AAA" w14:textId="77777777" w:rsidR="00814667" w:rsidRPr="00A50751" w:rsidRDefault="00814667" w:rsidP="00297C05">
            <w:pPr>
              <w:pStyle w:val="LineForSignature"/>
              <w:spacing w:before="1080"/>
            </w:pPr>
            <w:r w:rsidRPr="00A50751">
              <w:tab/>
            </w:r>
          </w:p>
          <w:p w14:paraId="508FCA58" w14:textId="44B8BD0A" w:rsidR="00814667" w:rsidRDefault="00814667">
            <w:pPr>
              <w:pStyle w:val="SingleParagraph"/>
              <w:rPr>
                <w:rStyle w:val="Bold"/>
              </w:rPr>
            </w:pPr>
            <w:r>
              <w:rPr>
                <w:rStyle w:val="Bold"/>
              </w:rPr>
              <w:t xml:space="preserve">The Honourable </w:t>
            </w:r>
            <w:r w:rsidR="00087D55">
              <w:rPr>
                <w:rStyle w:val="Bold"/>
              </w:rPr>
              <w:t>Gabrielle Upton</w:t>
            </w:r>
            <w:r w:rsidR="0099742A">
              <w:rPr>
                <w:rStyle w:val="Bold"/>
              </w:rPr>
              <w:t xml:space="preserve"> </w:t>
            </w:r>
            <w:r>
              <w:rPr>
                <w:rStyle w:val="Bold"/>
              </w:rPr>
              <w:t>MP</w:t>
            </w:r>
          </w:p>
          <w:p w14:paraId="37528549" w14:textId="4B480405" w:rsidR="00542A8C" w:rsidRDefault="00087D55" w:rsidP="00542A8C">
            <w:pPr>
              <w:pStyle w:val="Position"/>
              <w:rPr>
                <w:lang w:val="en-GB"/>
              </w:rPr>
            </w:pPr>
            <w:r>
              <w:rPr>
                <w:lang w:val="en-GB"/>
              </w:rPr>
              <w:t>Minister for Environment and Heritage</w:t>
            </w:r>
          </w:p>
          <w:p w14:paraId="73D009E6" w14:textId="187BE6FD" w:rsidR="00814667" w:rsidRPr="00A50751" w:rsidRDefault="00542A8C">
            <w:pPr>
              <w:pStyle w:val="SingleParagraph"/>
              <w:tabs>
                <w:tab w:val="num" w:pos="1134"/>
              </w:tabs>
              <w:spacing w:after="240"/>
              <w:ind w:left="1134" w:hanging="567"/>
              <w:rPr>
                <w:szCs w:val="22"/>
                <w:lang w:val="en-GB"/>
              </w:rPr>
            </w:pPr>
            <w:r w:rsidRPr="001F6FE8" w:rsidDel="00542A8C">
              <w:rPr>
                <w:bCs/>
                <w:lang w:val="en-GB"/>
              </w:rPr>
              <w:t xml:space="preserve"> </w:t>
            </w:r>
            <w:r w:rsidR="00087D55">
              <w:rPr>
                <w:lang w:val="en-GB"/>
              </w:rPr>
              <w:t>May 2018</w:t>
            </w:r>
          </w:p>
        </w:tc>
        <w:tc>
          <w:tcPr>
            <w:tcW w:w="284" w:type="dxa"/>
            <w:tcMar>
              <w:left w:w="0" w:type="dxa"/>
              <w:right w:w="0" w:type="dxa"/>
            </w:tcMar>
          </w:tcPr>
          <w:p w14:paraId="0F18A83B" w14:textId="77777777" w:rsidR="00814667" w:rsidRPr="00A50751" w:rsidRDefault="00814667">
            <w:pPr>
              <w:rPr>
                <w:rFonts w:ascii="Book Antiqua" w:hAnsi="Book Antiqua"/>
                <w:lang w:val="en-GB"/>
              </w:rPr>
            </w:pPr>
          </w:p>
        </w:tc>
        <w:tc>
          <w:tcPr>
            <w:tcW w:w="4536" w:type="dxa"/>
          </w:tcPr>
          <w:p w14:paraId="18EA679D" w14:textId="7B3D2D6B" w:rsidR="00814667" w:rsidRPr="00A50751" w:rsidRDefault="00814667">
            <w:pPr>
              <w:pStyle w:val="SingleParagraph"/>
              <w:tabs>
                <w:tab w:val="num" w:pos="1134"/>
              </w:tabs>
              <w:spacing w:after="240"/>
              <w:ind w:left="1134" w:hanging="567"/>
              <w:rPr>
                <w:lang w:val="en-GB"/>
              </w:rPr>
            </w:pPr>
          </w:p>
        </w:tc>
      </w:tr>
    </w:tbl>
    <w:p w14:paraId="6E767840" w14:textId="77777777" w:rsidR="008843EE" w:rsidRDefault="008843EE" w:rsidP="0020144E"/>
    <w:sectPr w:rsidR="008843EE" w:rsidSect="00C606F6">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65BBE" w16cid:durableId="1E95B1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A2FAC" w14:textId="77777777" w:rsidR="00ED393F" w:rsidRDefault="00ED393F">
      <w:r>
        <w:separator/>
      </w:r>
    </w:p>
  </w:endnote>
  <w:endnote w:type="continuationSeparator" w:id="0">
    <w:p w14:paraId="74F167DC" w14:textId="77777777" w:rsidR="00ED393F" w:rsidRDefault="00ED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B25A" w14:textId="77777777" w:rsidR="008B0EEC" w:rsidRDefault="008B0EEC">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6ED109" w14:textId="77777777" w:rsidR="008B0EEC" w:rsidRDefault="008B0EEC">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5F5C1" w14:textId="19061CA0" w:rsidR="008B0EEC" w:rsidRDefault="008B0EEC">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8E407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08C0" w14:textId="0E44A84E" w:rsidR="008B0EEC" w:rsidRDefault="008B0EEC">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4077">
      <w:rPr>
        <w:rStyle w:val="PageNumber"/>
        <w:noProof/>
      </w:rPr>
      <w:t>1</w:t>
    </w:r>
    <w:r>
      <w:rPr>
        <w:rStyle w:val="PageNumber"/>
      </w:rPr>
      <w:fldChar w:fldCharType="end"/>
    </w:r>
  </w:p>
  <w:p w14:paraId="02425ED5" w14:textId="3F3F5977" w:rsidR="008B0EEC" w:rsidRDefault="008B0EEC">
    <w:pPr>
      <w:pStyle w:val="FooterOdd"/>
      <w:keepNext/>
      <w:tabs>
        <w:tab w:val="num" w:pos="56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3AA1" w14:textId="06C3C489" w:rsidR="008B0EEC" w:rsidRDefault="008B0EEC" w:rsidP="00751725">
    <w:pPr>
      <w:pStyle w:val="FooterEven"/>
      <w:jc w:val="right"/>
    </w:pPr>
    <w:r>
      <w:t xml:space="preserve">Page </w:t>
    </w:r>
    <w:r w:rsidR="007302CA">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8AD8" w14:textId="77777777" w:rsidR="00ED393F" w:rsidRDefault="00ED393F">
      <w:r>
        <w:separator/>
      </w:r>
    </w:p>
  </w:footnote>
  <w:footnote w:type="continuationSeparator" w:id="0">
    <w:p w14:paraId="29C47CB4" w14:textId="77777777" w:rsidR="00ED393F" w:rsidRDefault="00ED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0EAB" w14:textId="77777777" w:rsidR="008B0EEC" w:rsidRPr="00814590" w:rsidRDefault="008B0EEC">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F0F8" w14:textId="349C15B8" w:rsidR="008B0EEC" w:rsidRPr="00814590" w:rsidRDefault="008B0EEC">
    <w:pPr>
      <w:pStyle w:val="HeaderOdd"/>
      <w:tabs>
        <w:tab w:val="num" w:pos="1134"/>
      </w:tabs>
      <w:rPr>
        <w:color w:val="800000"/>
      </w:rPr>
    </w:pPr>
    <w:r>
      <w:rPr>
        <w:color w:val="800000"/>
      </w:rPr>
      <w:t xml:space="preserve">Project Agreement for </w:t>
    </w:r>
    <w:r w:rsidR="00D642F4">
      <w:rPr>
        <w:color w:val="800000"/>
      </w:rPr>
      <w:t xml:space="preserve">the </w:t>
    </w:r>
    <w:r w:rsidR="00172839" w:rsidRPr="00172839">
      <w:rPr>
        <w:color w:val="800000"/>
      </w:rPr>
      <w:t>Kamay</w:t>
    </w:r>
    <w:r w:rsidR="005420C6">
      <w:rPr>
        <w:color w:val="800000"/>
      </w:rPr>
      <w:t xml:space="preserve"> </w:t>
    </w:r>
    <w:r w:rsidR="005420C6" w:rsidRPr="005420C6">
      <w:rPr>
        <w:color w:val="943634" w:themeColor="accent2" w:themeShade="BF"/>
      </w:rPr>
      <w:t>250</w:t>
    </w:r>
    <w:r w:rsidR="005420C6" w:rsidRPr="005420C6">
      <w:rPr>
        <w:color w:val="943634" w:themeColor="accent2" w:themeShade="BF"/>
        <w:vertAlign w:val="superscript"/>
      </w:rPr>
      <w:t>th</w:t>
    </w:r>
    <w:r w:rsidR="005420C6" w:rsidRPr="005420C6">
      <w:rPr>
        <w:color w:val="943634" w:themeColor="accent2" w:themeShade="BF"/>
      </w:rPr>
      <w:t xml:space="preserve"> Anniversary Project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DBF2" w14:textId="347D5D18" w:rsidR="00172839" w:rsidRPr="00814590" w:rsidRDefault="00172839" w:rsidP="00172839">
    <w:pPr>
      <w:pStyle w:val="HeaderOdd"/>
      <w:tabs>
        <w:tab w:val="num" w:pos="1134"/>
      </w:tabs>
      <w:rPr>
        <w:color w:val="800000"/>
      </w:rPr>
    </w:pPr>
    <w:r>
      <w:rPr>
        <w:color w:val="800000"/>
      </w:rPr>
      <w:t xml:space="preserve">Project Agreement for the </w:t>
    </w:r>
    <w:r w:rsidRPr="00172839">
      <w:rPr>
        <w:color w:val="800000"/>
      </w:rPr>
      <w:t xml:space="preserve">Kamay </w:t>
    </w:r>
    <w:r w:rsidR="005420C6">
      <w:rPr>
        <w:color w:val="800000"/>
      </w:rPr>
      <w:t>250</w:t>
    </w:r>
    <w:r w:rsidR="005420C6" w:rsidRPr="005420C6">
      <w:rPr>
        <w:color w:val="800000"/>
        <w:vertAlign w:val="superscript"/>
      </w:rPr>
      <w:t>th</w:t>
    </w:r>
    <w:r w:rsidR="005420C6">
      <w:rPr>
        <w:color w:val="800000"/>
      </w:rPr>
      <w:t xml:space="preserve"> Anniversary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5"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15:restartNumberingAfterBreak="0">
    <w:nsid w:val="26886F79"/>
    <w:multiLevelType w:val="hybridMultilevel"/>
    <w:tmpl w:val="88C43E8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15:restartNumberingAfterBreak="0">
    <w:nsid w:val="35FC42F6"/>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2"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5"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7"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8"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1"/>
  </w:num>
  <w:num w:numId="4">
    <w:abstractNumId w:val="13"/>
  </w:num>
  <w:num w:numId="5">
    <w:abstractNumId w:val="2"/>
  </w:num>
  <w:num w:numId="6">
    <w:abstractNumId w:val="15"/>
  </w:num>
  <w:num w:numId="7">
    <w:abstractNumId w:val="3"/>
  </w:num>
  <w:num w:numId="8">
    <w:abstractNumId w:val="7"/>
  </w:num>
  <w:num w:numId="9">
    <w:abstractNumId w:val="18"/>
  </w:num>
  <w:num w:numId="10">
    <w:abstractNumId w:val="1"/>
  </w:num>
  <w:num w:numId="11">
    <w:abstractNumId w:val="12"/>
  </w:num>
  <w:num w:numId="12">
    <w:abstractNumId w:val="16"/>
  </w:num>
  <w:num w:numId="13">
    <w:abstractNumId w:val="10"/>
  </w:num>
  <w:num w:numId="14">
    <w:abstractNumId w:val="14"/>
  </w:num>
  <w:num w:numId="15">
    <w:abstractNumId w:val="17"/>
  </w:num>
  <w:num w:numId="16">
    <w:abstractNumId w:val="4"/>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38E7"/>
    <w:rsid w:val="00005A5D"/>
    <w:rsid w:val="000076D9"/>
    <w:rsid w:val="00021708"/>
    <w:rsid w:val="00030CB2"/>
    <w:rsid w:val="000343F1"/>
    <w:rsid w:val="00044700"/>
    <w:rsid w:val="0006051B"/>
    <w:rsid w:val="000614F9"/>
    <w:rsid w:val="0006451A"/>
    <w:rsid w:val="0006551D"/>
    <w:rsid w:val="00065679"/>
    <w:rsid w:val="0007004C"/>
    <w:rsid w:val="000724F6"/>
    <w:rsid w:val="00074611"/>
    <w:rsid w:val="00074A62"/>
    <w:rsid w:val="00086712"/>
    <w:rsid w:val="00087D55"/>
    <w:rsid w:val="00091DF8"/>
    <w:rsid w:val="00093CB6"/>
    <w:rsid w:val="00093DD8"/>
    <w:rsid w:val="00097794"/>
    <w:rsid w:val="000A0C9E"/>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6CF6"/>
    <w:rsid w:val="00103FD6"/>
    <w:rsid w:val="001065EE"/>
    <w:rsid w:val="00110F5D"/>
    <w:rsid w:val="001134AC"/>
    <w:rsid w:val="00115166"/>
    <w:rsid w:val="00115A97"/>
    <w:rsid w:val="00116E1F"/>
    <w:rsid w:val="00122DBA"/>
    <w:rsid w:val="001262B5"/>
    <w:rsid w:val="00132587"/>
    <w:rsid w:val="001404A9"/>
    <w:rsid w:val="00140F43"/>
    <w:rsid w:val="00145D5C"/>
    <w:rsid w:val="00151133"/>
    <w:rsid w:val="00160506"/>
    <w:rsid w:val="0016131F"/>
    <w:rsid w:val="001629FA"/>
    <w:rsid w:val="00165CAB"/>
    <w:rsid w:val="00166312"/>
    <w:rsid w:val="00167BB8"/>
    <w:rsid w:val="00172360"/>
    <w:rsid w:val="00172839"/>
    <w:rsid w:val="00172E3A"/>
    <w:rsid w:val="00173F81"/>
    <w:rsid w:val="00174C2A"/>
    <w:rsid w:val="00175FB9"/>
    <w:rsid w:val="00177A0A"/>
    <w:rsid w:val="00180F76"/>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7933"/>
    <w:rsid w:val="001C211F"/>
    <w:rsid w:val="001C346E"/>
    <w:rsid w:val="001C3717"/>
    <w:rsid w:val="001C5CC5"/>
    <w:rsid w:val="001D2C27"/>
    <w:rsid w:val="001D3CAD"/>
    <w:rsid w:val="001D6E9A"/>
    <w:rsid w:val="001E20EC"/>
    <w:rsid w:val="001E4479"/>
    <w:rsid w:val="001E7173"/>
    <w:rsid w:val="001E74D0"/>
    <w:rsid w:val="001E7803"/>
    <w:rsid w:val="001F1D48"/>
    <w:rsid w:val="001F6F39"/>
    <w:rsid w:val="001F6FE8"/>
    <w:rsid w:val="0020144E"/>
    <w:rsid w:val="00205E18"/>
    <w:rsid w:val="00206773"/>
    <w:rsid w:val="002069F9"/>
    <w:rsid w:val="00212869"/>
    <w:rsid w:val="00213DDE"/>
    <w:rsid w:val="00221308"/>
    <w:rsid w:val="00222C97"/>
    <w:rsid w:val="00225761"/>
    <w:rsid w:val="00225DD8"/>
    <w:rsid w:val="00233835"/>
    <w:rsid w:val="00241EE9"/>
    <w:rsid w:val="00244500"/>
    <w:rsid w:val="00247D45"/>
    <w:rsid w:val="00252551"/>
    <w:rsid w:val="00261ABA"/>
    <w:rsid w:val="00262E18"/>
    <w:rsid w:val="0026571E"/>
    <w:rsid w:val="00281874"/>
    <w:rsid w:val="00282C25"/>
    <w:rsid w:val="00284884"/>
    <w:rsid w:val="00285003"/>
    <w:rsid w:val="002869F5"/>
    <w:rsid w:val="00287DCC"/>
    <w:rsid w:val="00291CF1"/>
    <w:rsid w:val="00292587"/>
    <w:rsid w:val="00297C05"/>
    <w:rsid w:val="002A143D"/>
    <w:rsid w:val="002A2EE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77B9"/>
    <w:rsid w:val="00321E0A"/>
    <w:rsid w:val="00333506"/>
    <w:rsid w:val="00340987"/>
    <w:rsid w:val="003410AA"/>
    <w:rsid w:val="0034465F"/>
    <w:rsid w:val="00352A6B"/>
    <w:rsid w:val="00352EC1"/>
    <w:rsid w:val="00361054"/>
    <w:rsid w:val="0036119D"/>
    <w:rsid w:val="003637A0"/>
    <w:rsid w:val="00363E53"/>
    <w:rsid w:val="0036474E"/>
    <w:rsid w:val="00364CF3"/>
    <w:rsid w:val="00365CAA"/>
    <w:rsid w:val="00367EAB"/>
    <w:rsid w:val="00372573"/>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2E5D"/>
    <w:rsid w:val="003C59E0"/>
    <w:rsid w:val="003C6F2A"/>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23AA"/>
    <w:rsid w:val="00423104"/>
    <w:rsid w:val="00423E2F"/>
    <w:rsid w:val="004267D3"/>
    <w:rsid w:val="00427E2A"/>
    <w:rsid w:val="00433E65"/>
    <w:rsid w:val="004374B2"/>
    <w:rsid w:val="00442AB8"/>
    <w:rsid w:val="004436EA"/>
    <w:rsid w:val="0044456C"/>
    <w:rsid w:val="00450B39"/>
    <w:rsid w:val="00453BC6"/>
    <w:rsid w:val="00454498"/>
    <w:rsid w:val="00456C59"/>
    <w:rsid w:val="00476964"/>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4B81"/>
    <w:rsid w:val="004F5DCD"/>
    <w:rsid w:val="004F6B2B"/>
    <w:rsid w:val="005005DF"/>
    <w:rsid w:val="00501654"/>
    <w:rsid w:val="00505045"/>
    <w:rsid w:val="00510B96"/>
    <w:rsid w:val="00511501"/>
    <w:rsid w:val="00511B5B"/>
    <w:rsid w:val="00515AF2"/>
    <w:rsid w:val="0051640E"/>
    <w:rsid w:val="00516741"/>
    <w:rsid w:val="0051684E"/>
    <w:rsid w:val="00527ABC"/>
    <w:rsid w:val="0054193D"/>
    <w:rsid w:val="005420C6"/>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E37"/>
    <w:rsid w:val="00593821"/>
    <w:rsid w:val="00596E88"/>
    <w:rsid w:val="00597CBD"/>
    <w:rsid w:val="005A0969"/>
    <w:rsid w:val="005A5E7A"/>
    <w:rsid w:val="005B0DEF"/>
    <w:rsid w:val="005B2A03"/>
    <w:rsid w:val="005B4C1B"/>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326F"/>
    <w:rsid w:val="00614393"/>
    <w:rsid w:val="006146F2"/>
    <w:rsid w:val="00614C00"/>
    <w:rsid w:val="00623567"/>
    <w:rsid w:val="006412B5"/>
    <w:rsid w:val="00641932"/>
    <w:rsid w:val="00644083"/>
    <w:rsid w:val="0064429B"/>
    <w:rsid w:val="0064477C"/>
    <w:rsid w:val="00645AF7"/>
    <w:rsid w:val="00650903"/>
    <w:rsid w:val="006650A8"/>
    <w:rsid w:val="0066782F"/>
    <w:rsid w:val="006679C0"/>
    <w:rsid w:val="00676E15"/>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3E5"/>
    <w:rsid w:val="006C2931"/>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02CA"/>
    <w:rsid w:val="00731945"/>
    <w:rsid w:val="007363DE"/>
    <w:rsid w:val="0073698D"/>
    <w:rsid w:val="00736C0B"/>
    <w:rsid w:val="00744D93"/>
    <w:rsid w:val="007454B7"/>
    <w:rsid w:val="00746531"/>
    <w:rsid w:val="00750F59"/>
    <w:rsid w:val="00751725"/>
    <w:rsid w:val="00752028"/>
    <w:rsid w:val="0075450A"/>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B10ED"/>
    <w:rsid w:val="007B2B2E"/>
    <w:rsid w:val="007B3BFC"/>
    <w:rsid w:val="007B4B03"/>
    <w:rsid w:val="007C4F31"/>
    <w:rsid w:val="007D4DFB"/>
    <w:rsid w:val="007E5257"/>
    <w:rsid w:val="007E5391"/>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27EB"/>
    <w:rsid w:val="00864DD3"/>
    <w:rsid w:val="008708D6"/>
    <w:rsid w:val="00874608"/>
    <w:rsid w:val="008760D0"/>
    <w:rsid w:val="00881317"/>
    <w:rsid w:val="008843EE"/>
    <w:rsid w:val="00892CA4"/>
    <w:rsid w:val="00896477"/>
    <w:rsid w:val="00896BD6"/>
    <w:rsid w:val="00896F5A"/>
    <w:rsid w:val="008A3C37"/>
    <w:rsid w:val="008B0EEC"/>
    <w:rsid w:val="008B1840"/>
    <w:rsid w:val="008B70D3"/>
    <w:rsid w:val="008B73A2"/>
    <w:rsid w:val="008B7FE2"/>
    <w:rsid w:val="008C0BBA"/>
    <w:rsid w:val="008C2450"/>
    <w:rsid w:val="008C7817"/>
    <w:rsid w:val="008C7F5B"/>
    <w:rsid w:val="008D079A"/>
    <w:rsid w:val="008D2F40"/>
    <w:rsid w:val="008D5B52"/>
    <w:rsid w:val="008E0AD6"/>
    <w:rsid w:val="008E4077"/>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77CF2"/>
    <w:rsid w:val="00983979"/>
    <w:rsid w:val="00983DC2"/>
    <w:rsid w:val="00983DF0"/>
    <w:rsid w:val="0099742A"/>
    <w:rsid w:val="009A0446"/>
    <w:rsid w:val="009A062C"/>
    <w:rsid w:val="009A48AF"/>
    <w:rsid w:val="009A522D"/>
    <w:rsid w:val="009B0C68"/>
    <w:rsid w:val="009B3F77"/>
    <w:rsid w:val="009B5132"/>
    <w:rsid w:val="009C166A"/>
    <w:rsid w:val="009C2059"/>
    <w:rsid w:val="009C6FFB"/>
    <w:rsid w:val="009C7EF5"/>
    <w:rsid w:val="009D0C93"/>
    <w:rsid w:val="009D2FAC"/>
    <w:rsid w:val="009E093C"/>
    <w:rsid w:val="009E1311"/>
    <w:rsid w:val="009E151E"/>
    <w:rsid w:val="009E3ACF"/>
    <w:rsid w:val="009E5DB6"/>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86103"/>
    <w:rsid w:val="00A9141E"/>
    <w:rsid w:val="00A9341B"/>
    <w:rsid w:val="00A974CA"/>
    <w:rsid w:val="00A97E12"/>
    <w:rsid w:val="00AA2CD5"/>
    <w:rsid w:val="00AA4125"/>
    <w:rsid w:val="00AA4F6C"/>
    <w:rsid w:val="00AB16A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23AF9"/>
    <w:rsid w:val="00B36551"/>
    <w:rsid w:val="00B36E9E"/>
    <w:rsid w:val="00B40E38"/>
    <w:rsid w:val="00B43CFD"/>
    <w:rsid w:val="00B45C9E"/>
    <w:rsid w:val="00B51ACE"/>
    <w:rsid w:val="00B619AA"/>
    <w:rsid w:val="00B623D7"/>
    <w:rsid w:val="00B66E7A"/>
    <w:rsid w:val="00B8096A"/>
    <w:rsid w:val="00B91564"/>
    <w:rsid w:val="00B9206A"/>
    <w:rsid w:val="00B9279E"/>
    <w:rsid w:val="00BA1CFA"/>
    <w:rsid w:val="00BA4284"/>
    <w:rsid w:val="00BC1029"/>
    <w:rsid w:val="00BC2720"/>
    <w:rsid w:val="00BC4728"/>
    <w:rsid w:val="00BC4BF4"/>
    <w:rsid w:val="00BC60B3"/>
    <w:rsid w:val="00BD044B"/>
    <w:rsid w:val="00BD2253"/>
    <w:rsid w:val="00BD7496"/>
    <w:rsid w:val="00BE042D"/>
    <w:rsid w:val="00BE4802"/>
    <w:rsid w:val="00BE7212"/>
    <w:rsid w:val="00BF0D7C"/>
    <w:rsid w:val="00BF331F"/>
    <w:rsid w:val="00BF3444"/>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4A39"/>
    <w:rsid w:val="00C75D40"/>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826"/>
    <w:rsid w:val="00CF0D8A"/>
    <w:rsid w:val="00CF267F"/>
    <w:rsid w:val="00CF7DA0"/>
    <w:rsid w:val="00D0312C"/>
    <w:rsid w:val="00D04614"/>
    <w:rsid w:val="00D1723F"/>
    <w:rsid w:val="00D26B64"/>
    <w:rsid w:val="00D30AA4"/>
    <w:rsid w:val="00D30CE5"/>
    <w:rsid w:val="00D3674A"/>
    <w:rsid w:val="00D40383"/>
    <w:rsid w:val="00D4085D"/>
    <w:rsid w:val="00D428F4"/>
    <w:rsid w:val="00D434F3"/>
    <w:rsid w:val="00D46E83"/>
    <w:rsid w:val="00D51386"/>
    <w:rsid w:val="00D52914"/>
    <w:rsid w:val="00D5485B"/>
    <w:rsid w:val="00D57346"/>
    <w:rsid w:val="00D61911"/>
    <w:rsid w:val="00D62258"/>
    <w:rsid w:val="00D625A7"/>
    <w:rsid w:val="00D642F4"/>
    <w:rsid w:val="00D677F9"/>
    <w:rsid w:val="00D702F1"/>
    <w:rsid w:val="00D729FA"/>
    <w:rsid w:val="00D7336A"/>
    <w:rsid w:val="00D73591"/>
    <w:rsid w:val="00D802FC"/>
    <w:rsid w:val="00D8532B"/>
    <w:rsid w:val="00D85463"/>
    <w:rsid w:val="00D973A5"/>
    <w:rsid w:val="00DA205D"/>
    <w:rsid w:val="00DA7233"/>
    <w:rsid w:val="00DB62DC"/>
    <w:rsid w:val="00DC4D62"/>
    <w:rsid w:val="00DC50E5"/>
    <w:rsid w:val="00DC76C7"/>
    <w:rsid w:val="00DE311A"/>
    <w:rsid w:val="00DE36EB"/>
    <w:rsid w:val="00DE4A6C"/>
    <w:rsid w:val="00DE64C1"/>
    <w:rsid w:val="00DF5BAB"/>
    <w:rsid w:val="00E10555"/>
    <w:rsid w:val="00E1108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031C"/>
    <w:rsid w:val="00E6698B"/>
    <w:rsid w:val="00E7195E"/>
    <w:rsid w:val="00E72F4A"/>
    <w:rsid w:val="00E7467D"/>
    <w:rsid w:val="00E77741"/>
    <w:rsid w:val="00E82115"/>
    <w:rsid w:val="00E832FF"/>
    <w:rsid w:val="00E83448"/>
    <w:rsid w:val="00E83658"/>
    <w:rsid w:val="00E838D3"/>
    <w:rsid w:val="00E90BF8"/>
    <w:rsid w:val="00E92C8A"/>
    <w:rsid w:val="00E9346D"/>
    <w:rsid w:val="00EA21BF"/>
    <w:rsid w:val="00EA594C"/>
    <w:rsid w:val="00EA7329"/>
    <w:rsid w:val="00EA7A1C"/>
    <w:rsid w:val="00EB5170"/>
    <w:rsid w:val="00EB7EDA"/>
    <w:rsid w:val="00EC3E78"/>
    <w:rsid w:val="00EC5206"/>
    <w:rsid w:val="00EC5D22"/>
    <w:rsid w:val="00ED0175"/>
    <w:rsid w:val="00ED0AC8"/>
    <w:rsid w:val="00ED2AC4"/>
    <w:rsid w:val="00ED393F"/>
    <w:rsid w:val="00ED4036"/>
    <w:rsid w:val="00EE041B"/>
    <w:rsid w:val="00EE57AC"/>
    <w:rsid w:val="00EE74C4"/>
    <w:rsid w:val="00EE7D29"/>
    <w:rsid w:val="00EF174C"/>
    <w:rsid w:val="00EF33DE"/>
    <w:rsid w:val="00EF6486"/>
    <w:rsid w:val="00EF72D4"/>
    <w:rsid w:val="00F11A23"/>
    <w:rsid w:val="00F11DDE"/>
    <w:rsid w:val="00F120E6"/>
    <w:rsid w:val="00F12ACD"/>
    <w:rsid w:val="00F16589"/>
    <w:rsid w:val="00F2068C"/>
    <w:rsid w:val="00F234AB"/>
    <w:rsid w:val="00F24478"/>
    <w:rsid w:val="00F31DE0"/>
    <w:rsid w:val="00F3245D"/>
    <w:rsid w:val="00F34E70"/>
    <w:rsid w:val="00F35F0F"/>
    <w:rsid w:val="00F4377A"/>
    <w:rsid w:val="00F46237"/>
    <w:rsid w:val="00F47765"/>
    <w:rsid w:val="00F501C6"/>
    <w:rsid w:val="00F630DB"/>
    <w:rsid w:val="00F630EF"/>
    <w:rsid w:val="00F6403E"/>
    <w:rsid w:val="00F71346"/>
    <w:rsid w:val="00F715F2"/>
    <w:rsid w:val="00F730C7"/>
    <w:rsid w:val="00F76C87"/>
    <w:rsid w:val="00F8684A"/>
    <w:rsid w:val="00F94C3D"/>
    <w:rsid w:val="00F95D26"/>
    <w:rsid w:val="00F979C5"/>
    <w:rsid w:val="00FA0CBF"/>
    <w:rsid w:val="00FA0E45"/>
    <w:rsid w:val="00FA2EC0"/>
    <w:rsid w:val="00FA4E87"/>
    <w:rsid w:val="00FA64FD"/>
    <w:rsid w:val="00FB4200"/>
    <w:rsid w:val="00FB5750"/>
    <w:rsid w:val="00FB6A2E"/>
    <w:rsid w:val="00FC055C"/>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126C98"/>
  <w14:defaultImageDpi w14:val="0"/>
  <w15:docId w15:val="{586E4D2F-1F05-4E45-98B4-39965233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6330">
      <w:marLeft w:val="0"/>
      <w:marRight w:val="0"/>
      <w:marTop w:val="0"/>
      <w:marBottom w:val="0"/>
      <w:divBdr>
        <w:top w:val="none" w:sz="0" w:space="0" w:color="auto"/>
        <w:left w:val="none" w:sz="0" w:space="0" w:color="auto"/>
        <w:bottom w:val="none" w:sz="0" w:space="0" w:color="auto"/>
        <w:right w:val="none" w:sz="0" w:space="0" w:color="auto"/>
      </w:divBdr>
    </w:div>
    <w:div w:id="915556331">
      <w:marLeft w:val="0"/>
      <w:marRight w:val="0"/>
      <w:marTop w:val="0"/>
      <w:marBottom w:val="0"/>
      <w:divBdr>
        <w:top w:val="none" w:sz="0" w:space="0" w:color="auto"/>
        <w:left w:val="none" w:sz="0" w:space="0" w:color="auto"/>
        <w:bottom w:val="none" w:sz="0" w:space="0" w:color="auto"/>
        <w:right w:val="none" w:sz="0" w:space="0" w:color="auto"/>
      </w:divBdr>
    </w:div>
    <w:div w:id="915556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26"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49" ma:contentTypeDescription=" " ma:contentTypeScope="" ma:versionID="55e1696c57e414f346c4151edc7cd57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2020FG-64-73903</_dlc_DocId>
    <_dlc_DocIdUrl xmlns="0f563589-9cf9-4143-b1eb-fb0534803d38">
      <Url>http://tweb/sites/fg/csrd/_layouts/15/DocIdRedir.aspx?ID=2020FG-64-73903</Url>
      <Description>2020FG-64-73903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A1B0D3C-0B46-46E7-AB26-8AAB86B7A61E}"/>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786BD6EB-5A93-4230-AFE0-489E8B4A4F9C}">
  <ds:schemaRefs>
    <ds:schemaRef ds:uri="http://purl.org/dc/terms/"/>
    <ds:schemaRef ds:uri="D197585E-4355-4CA2-AD51-29C9AE2A2121"/>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3006033-8B89-4AFD-8299-65B6D2CECD9A}">
  <ds:schemaRefs>
    <ds:schemaRef ds:uri="http://schemas.openxmlformats.org/officeDocument/2006/bibliography"/>
  </ds:schemaRefs>
</ds:datastoreItem>
</file>

<file path=customXml/itemProps5.xml><?xml version="1.0" encoding="utf-8"?>
<ds:datastoreItem xmlns:ds="http://schemas.openxmlformats.org/officeDocument/2006/customXml" ds:itemID="{E23DB60E-40E7-4F31-80AE-51017AC5EB88}"/>
</file>

<file path=customXml/itemProps6.xml><?xml version="1.0" encoding="utf-8"?>
<ds:datastoreItem xmlns:ds="http://schemas.openxmlformats.org/officeDocument/2006/customXml" ds:itemID="{9691FA03-20BB-42EE-A7FF-AD5BEFDC7BFA}"/>
</file>

<file path=customXml/itemProps7.xml><?xml version="1.0" encoding="utf-8"?>
<ds:datastoreItem xmlns:ds="http://schemas.openxmlformats.org/officeDocument/2006/customXml" ds:itemID="{9A3BA31A-1B6C-4E5C-815D-145CDD00805D}"/>
</file>

<file path=docProps/app.xml><?xml version="1.0" encoding="utf-8"?>
<Properties xmlns="http://schemas.openxmlformats.org/officeDocument/2006/extended-properties" xmlns:vt="http://schemas.openxmlformats.org/officeDocument/2006/docPropsVTypes">
  <Template>COAG.dot</Template>
  <TotalTime>0</TotalTime>
  <Pages>6</Pages>
  <Words>1411</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Kamay Project - Project Agreement final for signature - 180508</vt:lpstr>
    </vt:vector>
  </TitlesOfParts>
  <Company>Australian Government - The Treasury</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Kamay Project - Project Agreement final for signature - 180508</dc:title>
  <dc:creator>Council of Australian Governments</dc:creator>
  <cp:lastModifiedBy>McCarthy, Therese</cp:lastModifiedBy>
  <cp:revision>2</cp:revision>
  <cp:lastPrinted>2018-05-08T23:03:00Z</cp:lastPrinted>
  <dcterms:created xsi:type="dcterms:W3CDTF">2018-05-30T01:46:00Z</dcterms:created>
  <dcterms:modified xsi:type="dcterms:W3CDTF">2018-05-30T01:46:00Z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WorkflowType">
    <vt:lpwstr>ActiveSubmitStub</vt:lpwstr>
  </property>
  <property fmtid="{D5CDD505-2E9C-101B-9397-08002B2CF9AE}" pid="4" name="RecordPoint_ActiveItemSiteId">
    <vt:lpwstr>{a3a280d1-e8f1-4ce7-94f0-aaa2322da0dd}</vt:lpwstr>
  </property>
  <property fmtid="{D5CDD505-2E9C-101B-9397-08002B2CF9AE}" pid="5" name="RecordPoint_ActiveItemListId">
    <vt:lpwstr>{4435c73b-6585-4bc2-a76a-5d21b1a02e06}</vt:lpwstr>
  </property>
  <property fmtid="{D5CDD505-2E9C-101B-9397-08002B2CF9AE}" pid="6" name="RecordPoint_ActiveItemUniqueId">
    <vt:lpwstr>{32a1fd1c-364d-4e3f-82e3-b78c2ff099be}</vt:lpwstr>
  </property>
  <property fmtid="{D5CDD505-2E9C-101B-9397-08002B2CF9AE}" pid="7" name="RecordPoint_ActiveItemWebId">
    <vt:lpwstr>{a4589788-615f-4b8b-8296-7f9f6dfbab44}</vt:lpwstr>
  </property>
  <property fmtid="{D5CDD505-2E9C-101B-9397-08002B2CF9AE}" pid="8" name="TSYRecordClass">
    <vt:lpwstr>2;#TSY RA-8748 - Retain as national archives|243f2231-dbfc-4282-b24a-c9b768286bd0</vt:lpwstr>
  </property>
  <property fmtid="{D5CDD505-2E9C-101B-9397-08002B2CF9AE}" pid="9" name="_dlc_DocIdItemGuid">
    <vt:lpwstr>32a1fd1c-364d-4e3f-82e3-b78c2ff099be</vt:lpwstr>
  </property>
  <property fmtid="{D5CDD505-2E9C-101B-9397-08002B2CF9AE}" pid="10" name="_NewReviewCycle">
    <vt:lpwstr/>
  </property>
  <property fmtid="{D5CDD505-2E9C-101B-9397-08002B2CF9AE}" pid="11" name="RecordPoint_SubmissionDate">
    <vt:lpwstr/>
  </property>
  <property fmtid="{D5CDD505-2E9C-101B-9397-08002B2CF9AE}" pid="12" name="RecordPoint_RecordNumberSubmitted">
    <vt:lpwstr>R0002260086</vt:lpwstr>
  </property>
  <property fmtid="{D5CDD505-2E9C-101B-9397-08002B2CF9AE}" pid="13" name="RecordPoint_ActiveItemMoved">
    <vt:lpwstr/>
  </property>
  <property fmtid="{D5CDD505-2E9C-101B-9397-08002B2CF9AE}" pid="14" name="RecordPoint_SubmissionCompleted">
    <vt:lpwstr>2020-05-04T09:00:34.9250531+10:00</vt:lpwstr>
  </property>
  <property fmtid="{D5CDD505-2E9C-101B-9397-08002B2CF9AE}" pid="15" name="RecordPoint_RecordFormat">
    <vt:lpwstr/>
  </property>
</Properties>
</file>