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9B783F" w14:paraId="29900151" w14:textId="77777777">
        <w:tc>
          <w:tcPr>
            <w:tcW w:w="5000" w:type="pct"/>
            <w:gridSpan w:val="2"/>
          </w:tcPr>
          <w:p w14:paraId="658139B7" w14:textId="77777777" w:rsidR="000728E8" w:rsidRPr="009B783F" w:rsidRDefault="00BA4284" w:rsidP="000728E8">
            <w:pPr>
              <w:pStyle w:val="CoverTitleMain"/>
              <w:rPr>
                <w:sz w:val="72"/>
                <w:szCs w:val="72"/>
              </w:rPr>
            </w:pPr>
            <w:r w:rsidRPr="009B783F">
              <w:rPr>
                <w:sz w:val="72"/>
                <w:szCs w:val="72"/>
              </w:rPr>
              <w:t>Project AGreement</w:t>
            </w:r>
            <w:r w:rsidR="00292587" w:rsidRPr="009B783F">
              <w:rPr>
                <w:sz w:val="72"/>
                <w:szCs w:val="72"/>
              </w:rPr>
              <w:t xml:space="preserve"> FOR</w:t>
            </w:r>
            <w:r w:rsidR="005A24D8" w:rsidRPr="009B783F">
              <w:t xml:space="preserve"> </w:t>
            </w:r>
            <w:r w:rsidR="005A24D8" w:rsidRPr="009B783F">
              <w:rPr>
                <w:sz w:val="72"/>
                <w:szCs w:val="72"/>
              </w:rPr>
              <w:t>the Review of the National Regulatory System for Community housing</w:t>
            </w:r>
            <w:r w:rsidR="00E16832" w:rsidRPr="009B783F">
              <w:rPr>
                <w:sz w:val="72"/>
                <w:szCs w:val="72"/>
              </w:rPr>
              <w:t xml:space="preserve"> (NRSCH)</w:t>
            </w:r>
          </w:p>
        </w:tc>
      </w:tr>
      <w:tr w:rsidR="00814667" w:rsidRPr="009B783F" w14:paraId="26C4446D" w14:textId="77777777">
        <w:tc>
          <w:tcPr>
            <w:tcW w:w="767" w:type="pct"/>
          </w:tcPr>
          <w:p w14:paraId="148F401E" w14:textId="77777777" w:rsidR="00814667" w:rsidRPr="009B783F" w:rsidRDefault="00814667">
            <w:pPr>
              <w:pStyle w:val="SingleParagraph"/>
              <w:tabs>
                <w:tab w:val="num" w:pos="1134"/>
              </w:tabs>
              <w:spacing w:after="240"/>
              <w:ind w:left="1134" w:hanging="567"/>
            </w:pPr>
          </w:p>
        </w:tc>
        <w:tc>
          <w:tcPr>
            <w:tcW w:w="4233" w:type="pct"/>
          </w:tcPr>
          <w:p w14:paraId="569B8182" w14:textId="77777777" w:rsidR="00814667" w:rsidRPr="009B783F" w:rsidRDefault="00814667">
            <w:pPr>
              <w:pStyle w:val="SingleParagraph"/>
              <w:tabs>
                <w:tab w:val="num" w:pos="1134"/>
              </w:tabs>
              <w:spacing w:after="240"/>
              <w:ind w:left="1134" w:hanging="567"/>
            </w:pPr>
          </w:p>
        </w:tc>
      </w:tr>
      <w:tr w:rsidR="00814667" w:rsidRPr="009B783F" w14:paraId="172B3F9D" w14:textId="77777777">
        <w:tc>
          <w:tcPr>
            <w:tcW w:w="767" w:type="pct"/>
          </w:tcPr>
          <w:p w14:paraId="5281C829" w14:textId="77777777" w:rsidR="00814667" w:rsidRPr="009B783F" w:rsidRDefault="00814667">
            <w:pPr>
              <w:pStyle w:val="SingleParagraph"/>
              <w:tabs>
                <w:tab w:val="num" w:pos="1134"/>
              </w:tabs>
              <w:spacing w:after="240"/>
              <w:ind w:left="1134" w:hanging="567"/>
            </w:pPr>
          </w:p>
        </w:tc>
        <w:tc>
          <w:tcPr>
            <w:tcW w:w="4233" w:type="pct"/>
          </w:tcPr>
          <w:p w14:paraId="57E8C06F" w14:textId="77777777" w:rsidR="00814667" w:rsidRPr="009B783F" w:rsidRDefault="00814667">
            <w:pPr>
              <w:pStyle w:val="SingleParagraph"/>
              <w:tabs>
                <w:tab w:val="num" w:pos="1134"/>
              </w:tabs>
              <w:spacing w:after="240"/>
              <w:ind w:left="1134" w:hanging="567"/>
            </w:pPr>
          </w:p>
        </w:tc>
      </w:tr>
      <w:tr w:rsidR="00814667" w:rsidRPr="009B783F" w14:paraId="782ED2D1" w14:textId="77777777">
        <w:tc>
          <w:tcPr>
            <w:tcW w:w="5000" w:type="pct"/>
            <w:gridSpan w:val="2"/>
          </w:tcPr>
          <w:p w14:paraId="713422FA" w14:textId="77777777" w:rsidR="00814667" w:rsidRPr="009B783F" w:rsidRDefault="00814667">
            <w:pPr>
              <w:pStyle w:val="AgreementHeading"/>
              <w:tabs>
                <w:tab w:val="clear" w:pos="1134"/>
              </w:tabs>
            </w:pPr>
            <w:r w:rsidRPr="009B783F">
              <w:t>An agreement between</w:t>
            </w:r>
            <w:r w:rsidR="00697494" w:rsidRPr="009B783F">
              <w:t>:</w:t>
            </w:r>
          </w:p>
        </w:tc>
      </w:tr>
      <w:tr w:rsidR="00814667" w:rsidRPr="009B783F" w14:paraId="590D498B" w14:textId="77777777">
        <w:tc>
          <w:tcPr>
            <w:tcW w:w="767" w:type="pct"/>
          </w:tcPr>
          <w:p w14:paraId="375AA1D3" w14:textId="77777777" w:rsidR="00814667" w:rsidRPr="009B783F" w:rsidRDefault="00814667">
            <w:pPr>
              <w:pStyle w:val="AgreementHeading"/>
              <w:tabs>
                <w:tab w:val="clear" w:pos="1134"/>
              </w:tabs>
              <w:ind w:left="522"/>
            </w:pPr>
          </w:p>
        </w:tc>
        <w:tc>
          <w:tcPr>
            <w:tcW w:w="4233" w:type="pct"/>
          </w:tcPr>
          <w:p w14:paraId="2AFEE5E8" w14:textId="77777777" w:rsidR="00814667" w:rsidRPr="009B783F" w:rsidRDefault="00814667">
            <w:pPr>
              <w:pStyle w:val="AgreementParties"/>
            </w:pPr>
            <w:r w:rsidRPr="009B783F">
              <w:t xml:space="preserve">the </w:t>
            </w:r>
            <w:r w:rsidRPr="009B783F">
              <w:rPr>
                <w:rStyle w:val="Bold"/>
              </w:rPr>
              <w:t>Commonwealth of Australia</w:t>
            </w:r>
            <w:r w:rsidR="00697494" w:rsidRPr="009B783F">
              <w:rPr>
                <w:rStyle w:val="Bold"/>
              </w:rPr>
              <w:t>;</w:t>
            </w:r>
            <w:r w:rsidRPr="009B783F">
              <w:t xml:space="preserve"> and</w:t>
            </w:r>
          </w:p>
          <w:p w14:paraId="0FC6CF59" w14:textId="77777777" w:rsidR="00814667" w:rsidRPr="009B783F" w:rsidRDefault="00814667" w:rsidP="004847F5">
            <w:pPr>
              <w:pStyle w:val="AgreementParties"/>
            </w:pPr>
            <w:r w:rsidRPr="009B783F">
              <w:t xml:space="preserve">the </w:t>
            </w:r>
            <w:r w:rsidRPr="009B783F">
              <w:rPr>
                <w:rStyle w:val="Bold"/>
              </w:rPr>
              <w:t xml:space="preserve">State </w:t>
            </w:r>
            <w:r w:rsidR="00697494" w:rsidRPr="009B783F">
              <w:rPr>
                <w:rStyle w:val="Bold"/>
              </w:rPr>
              <w:t>of</w:t>
            </w:r>
            <w:r w:rsidR="003E70DE" w:rsidRPr="009B783F">
              <w:rPr>
                <w:rStyle w:val="Bold"/>
              </w:rPr>
              <w:t xml:space="preserve"> New South Wales.</w:t>
            </w:r>
          </w:p>
        </w:tc>
      </w:tr>
      <w:tr w:rsidR="00814667" w:rsidRPr="009B783F" w14:paraId="6E3B6630" w14:textId="77777777">
        <w:tc>
          <w:tcPr>
            <w:tcW w:w="767" w:type="pct"/>
          </w:tcPr>
          <w:p w14:paraId="6DCB4CE2" w14:textId="77777777" w:rsidR="00814667" w:rsidRPr="009B783F" w:rsidRDefault="00814667">
            <w:pPr>
              <w:pStyle w:val="SingleParagraph"/>
              <w:tabs>
                <w:tab w:val="num" w:pos="1134"/>
              </w:tabs>
              <w:spacing w:after="240"/>
              <w:ind w:left="1134" w:hanging="567"/>
            </w:pPr>
          </w:p>
        </w:tc>
        <w:tc>
          <w:tcPr>
            <w:tcW w:w="4233" w:type="pct"/>
            <w:tcBorders>
              <w:left w:val="nil"/>
            </w:tcBorders>
          </w:tcPr>
          <w:p w14:paraId="2B516FD1" w14:textId="77777777" w:rsidR="00EB7EDA" w:rsidRPr="009B783F" w:rsidRDefault="00EB7EDA" w:rsidP="003E70DE">
            <w:pPr>
              <w:pStyle w:val="StatesList"/>
              <w:numPr>
                <w:ilvl w:val="0"/>
                <w:numId w:val="0"/>
              </w:numPr>
              <w:tabs>
                <w:tab w:val="clear" w:pos="1134"/>
              </w:tabs>
            </w:pPr>
          </w:p>
        </w:tc>
      </w:tr>
      <w:tr w:rsidR="00814667" w:rsidRPr="009B783F" w14:paraId="6D261CA0" w14:textId="77777777">
        <w:tc>
          <w:tcPr>
            <w:tcW w:w="5000" w:type="pct"/>
            <w:gridSpan w:val="2"/>
          </w:tcPr>
          <w:p w14:paraId="77CC214A" w14:textId="77777777" w:rsidR="00814667" w:rsidRPr="009B783F" w:rsidRDefault="00814667">
            <w:pPr>
              <w:pStyle w:val="SingleParagraph"/>
              <w:tabs>
                <w:tab w:val="num" w:pos="1134"/>
              </w:tabs>
              <w:spacing w:after="240"/>
              <w:ind w:left="1134" w:hanging="567"/>
            </w:pPr>
          </w:p>
        </w:tc>
      </w:tr>
      <w:tr w:rsidR="00814667" w:rsidRPr="009B783F" w14:paraId="2B5697A1" w14:textId="77777777">
        <w:tc>
          <w:tcPr>
            <w:tcW w:w="5000" w:type="pct"/>
            <w:gridSpan w:val="2"/>
          </w:tcPr>
          <w:p w14:paraId="6A2512FE" w14:textId="77777777" w:rsidR="00814667" w:rsidRPr="009B783F" w:rsidRDefault="00A6111D" w:rsidP="00B301E5">
            <w:pPr>
              <w:pStyle w:val="Abstract"/>
            </w:pPr>
            <w:r w:rsidRPr="009B783F">
              <w:t>This Agreement will support the delivery of a range of papers to review the effectiveness of the NRSCH in accordance with terms agreed between the Commonwealth and State and Territory government officials.</w:t>
            </w:r>
          </w:p>
        </w:tc>
      </w:tr>
    </w:tbl>
    <w:p w14:paraId="3403D0E8" w14:textId="77777777" w:rsidR="00814667" w:rsidRPr="009B783F" w:rsidRDefault="00FF5029">
      <w:pPr>
        <w:pStyle w:val="Title"/>
        <w:pageBreakBefore/>
      </w:pPr>
      <w:r w:rsidRPr="009B783F">
        <w:lastRenderedPageBreak/>
        <w:t xml:space="preserve">Project </w:t>
      </w:r>
      <w:r w:rsidR="00D7336A" w:rsidRPr="009B783F">
        <w:t>Agreement</w:t>
      </w:r>
      <w:r w:rsidRPr="009B783F">
        <w:t xml:space="preserve"> for</w:t>
      </w:r>
      <w:r w:rsidR="00C7093C" w:rsidRPr="009B783F">
        <w:t xml:space="preserve"> </w:t>
      </w:r>
      <w:r w:rsidR="000C4FAA" w:rsidRPr="009B783F">
        <w:t>the Review of the National Regulatory System for Community Housing (NRSCH)</w:t>
      </w:r>
    </w:p>
    <w:p w14:paraId="117230D2" w14:textId="77777777" w:rsidR="004B2EF6" w:rsidRPr="009B783F"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B783F">
        <w:t>overview</w:t>
      </w:r>
    </w:p>
    <w:p w14:paraId="64C7A847" w14:textId="77777777" w:rsidR="00C960AA" w:rsidRPr="009B783F" w:rsidRDefault="00C960AA" w:rsidP="00E92A6C">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pPr>
      <w:r w:rsidRPr="009B783F">
        <w:rPr>
          <w:color w:val="auto"/>
        </w:rPr>
        <w:t xml:space="preserve">This </w:t>
      </w:r>
      <w:r w:rsidR="00CB4D35" w:rsidRPr="009B783F">
        <w:rPr>
          <w:color w:val="auto"/>
        </w:rPr>
        <w:t>Project Agreement</w:t>
      </w:r>
      <w:r w:rsidRPr="009B783F">
        <w:rPr>
          <w:color w:val="auto"/>
        </w:rPr>
        <w:t xml:space="preserve"> (the Agreement) is created subject to the provisions of the Intergovernmental Agreement on Federal Financial Relations </w:t>
      </w:r>
      <w:r w:rsidR="00C2605C" w:rsidRPr="009B783F">
        <w:rPr>
          <w:color w:val="auto"/>
        </w:rPr>
        <w:t xml:space="preserve">(IGA FFR) </w:t>
      </w:r>
      <w:r w:rsidRPr="009B783F">
        <w:rPr>
          <w:color w:val="auto"/>
        </w:rPr>
        <w:t xml:space="preserve">and should be read in conjunction with that Agreement and </w:t>
      </w:r>
      <w:r w:rsidR="001C346E" w:rsidRPr="009B783F">
        <w:rPr>
          <w:color w:val="auto"/>
        </w:rPr>
        <w:t>its</w:t>
      </w:r>
      <w:r w:rsidRPr="009B783F">
        <w:rPr>
          <w:color w:val="auto"/>
        </w:rPr>
        <w:t xml:space="preserve"> </w:t>
      </w:r>
      <w:r w:rsidR="001C346E" w:rsidRPr="009B783F">
        <w:rPr>
          <w:color w:val="auto"/>
        </w:rPr>
        <w:t>S</w:t>
      </w:r>
      <w:r w:rsidRPr="009B783F">
        <w:rPr>
          <w:color w:val="auto"/>
        </w:rPr>
        <w:t>chedules</w:t>
      </w:r>
      <w:r w:rsidR="001C346E" w:rsidRPr="009B783F">
        <w:rPr>
          <w:color w:val="auto"/>
        </w:rPr>
        <w:t xml:space="preserve">, which provide information in relation to </w:t>
      </w:r>
      <w:r w:rsidRPr="009B783F">
        <w:rPr>
          <w:color w:val="auto"/>
        </w:rPr>
        <w:t>performance reporting and payment arrangements</w:t>
      </w:r>
      <w:r w:rsidR="001C346E" w:rsidRPr="009B783F">
        <w:rPr>
          <w:color w:val="auto"/>
        </w:rPr>
        <w:t xml:space="preserve"> under the </w:t>
      </w:r>
      <w:r w:rsidR="008148E2" w:rsidRPr="009B783F">
        <w:rPr>
          <w:color w:val="auto"/>
        </w:rPr>
        <w:t>I</w:t>
      </w:r>
      <w:r w:rsidR="00C2605C" w:rsidRPr="009B783F">
        <w:rPr>
          <w:color w:val="auto"/>
        </w:rPr>
        <w:t>GA FFR</w:t>
      </w:r>
      <w:r w:rsidRPr="009B783F">
        <w:rPr>
          <w:color w:val="auto"/>
        </w:rPr>
        <w:t>.</w:t>
      </w:r>
    </w:p>
    <w:p w14:paraId="5A8F8A47" w14:textId="77777777" w:rsidR="0096732C" w:rsidRPr="009B783F"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B783F">
        <w:t>Purpose</w:t>
      </w:r>
    </w:p>
    <w:p w14:paraId="4FB8A181" w14:textId="77777777" w:rsidR="0096732C" w:rsidRPr="009B783F" w:rsidRDefault="00427908" w:rsidP="005855A7">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783F">
        <w:t xml:space="preserve">This Agreement will support the delivery of a range of papers to review the effectiveness of the NRSCH in accordance with terms agreed between the Commonwealth and State and Territory government officials. </w:t>
      </w:r>
    </w:p>
    <w:p w14:paraId="7918B849" w14:textId="77777777" w:rsidR="0096732C" w:rsidRPr="009B783F"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783F">
        <w:rPr>
          <w:rFonts w:cs="Arial"/>
          <w:b/>
          <w:bCs/>
          <w:iCs/>
          <w:color w:val="3D4B67"/>
          <w:sz w:val="29"/>
          <w:szCs w:val="28"/>
        </w:rPr>
        <w:t>Reporting Arrangements</w:t>
      </w:r>
      <w:r w:rsidRPr="009B783F">
        <w:t xml:space="preserve"> </w:t>
      </w:r>
    </w:p>
    <w:p w14:paraId="4462D456" w14:textId="77777777" w:rsidR="0096732C" w:rsidRPr="009B783F" w:rsidRDefault="002B467A" w:rsidP="00E92A6C">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783F">
        <w:t>The</w:t>
      </w:r>
      <w:r w:rsidR="0032438F" w:rsidRPr="009B783F">
        <w:t xml:space="preserve"> States </w:t>
      </w:r>
      <w:r w:rsidR="0096732C" w:rsidRPr="009B783F">
        <w:t xml:space="preserve">will report against the agreed milestones during the operation of this Agreement, as set out in Part 4 – Project Milestones, Reporting and Payments. </w:t>
      </w:r>
    </w:p>
    <w:p w14:paraId="1E78BED6" w14:textId="77777777" w:rsidR="0096732C" w:rsidRPr="009B783F"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B783F">
        <w:rPr>
          <w:rFonts w:cs="Arial"/>
          <w:b/>
          <w:bCs/>
          <w:iCs/>
          <w:color w:val="3D4B67"/>
          <w:sz w:val="29"/>
          <w:szCs w:val="28"/>
        </w:rPr>
        <w:t xml:space="preserve">Financial Arrangements </w:t>
      </w:r>
    </w:p>
    <w:p w14:paraId="193DD82F" w14:textId="77777777" w:rsidR="0096732C" w:rsidRPr="009B783F" w:rsidRDefault="0096732C" w:rsidP="00E92A6C">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783F">
        <w:t xml:space="preserve">The Commonwealth will provide </w:t>
      </w:r>
      <w:r w:rsidR="00902272" w:rsidRPr="009B783F">
        <w:t>an estimated</w:t>
      </w:r>
      <w:r w:rsidRPr="009B783F">
        <w:t xml:space="preserve"> total financial contribution</w:t>
      </w:r>
      <w:r w:rsidR="00F632A2" w:rsidRPr="009B783F">
        <w:t xml:space="preserve"> </w:t>
      </w:r>
      <w:r w:rsidR="002B467A" w:rsidRPr="009B783F">
        <w:t xml:space="preserve">to </w:t>
      </w:r>
      <w:r w:rsidR="00D92440" w:rsidRPr="009B783F">
        <w:t>New South Wales</w:t>
      </w:r>
      <w:r w:rsidR="002B467A" w:rsidRPr="009B783F">
        <w:t xml:space="preserve"> of </w:t>
      </w:r>
      <w:r w:rsidR="00F632A2" w:rsidRPr="009B783F">
        <w:t>up to $</w:t>
      </w:r>
      <w:r w:rsidR="000728E8" w:rsidRPr="009B783F">
        <w:t>1,1</w:t>
      </w:r>
      <w:r w:rsidR="009454F0" w:rsidRPr="009B783F">
        <w:t>00,000</w:t>
      </w:r>
      <w:r w:rsidR="000728E8" w:rsidRPr="009B783F">
        <w:t>,</w:t>
      </w:r>
      <w:r w:rsidR="00F632A2" w:rsidRPr="009B783F">
        <w:t xml:space="preserve"> exclusive of GST,</w:t>
      </w:r>
      <w:r w:rsidR="00EF33DE" w:rsidRPr="009B783F">
        <w:t xml:space="preserve"> </w:t>
      </w:r>
      <w:r w:rsidRPr="009B783F">
        <w:t>in respect of this Agreement</w:t>
      </w:r>
      <w:r w:rsidR="00FC055C" w:rsidRPr="009B783F">
        <w:t>,</w:t>
      </w:r>
      <w:r w:rsidRPr="009B783F">
        <w:t xml:space="preserve"> as set out in Part 5 – Financial Arrangements.</w:t>
      </w:r>
      <w:r w:rsidR="000728E8" w:rsidRPr="009B783F">
        <w:t xml:space="preserve"> The States will contribute</w:t>
      </w:r>
      <w:r w:rsidR="00F44CAF" w:rsidRPr="009B783F">
        <w:t xml:space="preserve"> matched funding </w:t>
      </w:r>
      <w:r w:rsidR="003441EB" w:rsidRPr="009B783F">
        <w:t xml:space="preserve">or </w:t>
      </w:r>
      <w:r w:rsidR="00902272" w:rsidRPr="009B783F">
        <w:t>in-kind</w:t>
      </w:r>
      <w:r w:rsidR="003441EB" w:rsidRPr="009B783F">
        <w:t xml:space="preserve"> contributions</w:t>
      </w:r>
      <w:r w:rsidR="00F632A2" w:rsidRPr="009B783F">
        <w:t xml:space="preserve"> </w:t>
      </w:r>
      <w:r w:rsidR="003441EB" w:rsidRPr="009B783F">
        <w:t xml:space="preserve">to the total value </w:t>
      </w:r>
      <w:r w:rsidR="004847F5" w:rsidRPr="009B783F">
        <w:t xml:space="preserve">of </w:t>
      </w:r>
      <w:r w:rsidR="00F632A2" w:rsidRPr="009B783F">
        <w:t>$</w:t>
      </w:r>
      <w:r w:rsidR="00F44CAF" w:rsidRPr="009B783F">
        <w:t>1,10</w:t>
      </w:r>
      <w:r w:rsidR="00D61BDC" w:rsidRPr="009B783F">
        <w:t>0,000</w:t>
      </w:r>
      <w:r w:rsidR="00F632A2" w:rsidRPr="009B783F">
        <w:t xml:space="preserve">, exclusive of GST, in respect of this Agreement. </w:t>
      </w:r>
    </w:p>
    <w:p w14:paraId="749B3EA4" w14:textId="77777777" w:rsidR="0096732C" w:rsidRPr="009B783F"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02BF02EE" w14:textId="77777777" w:rsidR="00AD2F46" w:rsidRPr="009B783F" w:rsidRDefault="00AD2F46">
      <w:pPr>
        <w:spacing w:after="0" w:line="240" w:lineRule="auto"/>
        <w:jc w:val="left"/>
        <w:rPr>
          <w:rFonts w:ascii="Consolas" w:hAnsi="Consolas" w:cs="Arial"/>
          <w:bCs/>
          <w:caps/>
          <w:color w:val="3D4B67"/>
          <w:kern w:val="32"/>
          <w:sz w:val="32"/>
          <w:szCs w:val="36"/>
        </w:rPr>
      </w:pPr>
      <w:r w:rsidRPr="009B783F">
        <w:br w:type="page"/>
      </w:r>
    </w:p>
    <w:p w14:paraId="74E026C5" w14:textId="77777777" w:rsidR="00814667" w:rsidRDefault="00814667">
      <w:pPr>
        <w:pStyle w:val="Heading1"/>
      </w:pPr>
      <w:r w:rsidRPr="009B783F">
        <w:lastRenderedPageBreak/>
        <w:t>Part 1 — Formalities</w:t>
      </w:r>
    </w:p>
    <w:p w14:paraId="563C4A41" w14:textId="77777777" w:rsidR="00804105" w:rsidRDefault="00804105" w:rsidP="00E92A6C">
      <w:pPr>
        <w:pStyle w:val="Normalnumbered"/>
        <w:numPr>
          <w:ilvl w:val="0"/>
          <w:numId w:val="14"/>
        </w:numPr>
      </w:pPr>
      <w:r>
        <w:t>This Agreement constitutes the entire agreement for this project.</w:t>
      </w:r>
    </w:p>
    <w:p w14:paraId="61F98597" w14:textId="77777777" w:rsidR="00814667" w:rsidRDefault="00814667">
      <w:pPr>
        <w:pStyle w:val="Heading2"/>
      </w:pPr>
      <w:r>
        <w:t>Parties to this Agreement</w:t>
      </w:r>
    </w:p>
    <w:p w14:paraId="3C86D3DD" w14:textId="77777777" w:rsidR="007B4B03" w:rsidRPr="007B4B03" w:rsidRDefault="00E7195E" w:rsidP="00E92A6C">
      <w:pPr>
        <w:pStyle w:val="Normalnumbered"/>
        <w:numPr>
          <w:ilvl w:val="0"/>
          <w:numId w:val="14"/>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he State</w:t>
      </w:r>
      <w:r w:rsidR="00D92440">
        <w:t xml:space="preserve"> of New South Wales</w:t>
      </w:r>
      <w:r w:rsidRPr="003012DA">
        <w:t xml:space="preserve">. </w:t>
      </w:r>
    </w:p>
    <w:p w14:paraId="1B7A8F3E" w14:textId="77777777" w:rsidR="00814667" w:rsidRDefault="00814667">
      <w:pPr>
        <w:pStyle w:val="Heading2"/>
      </w:pPr>
      <w:r>
        <w:t>Term of the Agreement</w:t>
      </w:r>
    </w:p>
    <w:p w14:paraId="47D5FBB7" w14:textId="77777777" w:rsidR="00814667" w:rsidRPr="00DE36EB" w:rsidRDefault="00814667" w:rsidP="00E92A6C">
      <w:pPr>
        <w:pStyle w:val="Normalnumbered"/>
        <w:numPr>
          <w:ilvl w:val="0"/>
          <w:numId w:val="14"/>
        </w:numPr>
      </w:pPr>
      <w:r w:rsidRPr="00DE36EB">
        <w:t xml:space="preserve">This Agreement will commence as soon as the Commonwealth and </w:t>
      </w:r>
      <w:r w:rsidR="00D92440">
        <w:t>New South Wales</w:t>
      </w:r>
      <w:r w:rsidR="002A281C">
        <w:t xml:space="preserve"> sign </w:t>
      </w:r>
      <w:r w:rsidR="0096732C">
        <w:t xml:space="preserve">it </w:t>
      </w:r>
      <w:r w:rsidRPr="00DE36EB">
        <w:t xml:space="preserve">and will expire </w:t>
      </w:r>
      <w:r w:rsidRPr="00892C3F">
        <w:t>on</w:t>
      </w:r>
      <w:r w:rsidR="00C7093C" w:rsidRPr="00892C3F">
        <w:t xml:space="preserve"> </w:t>
      </w:r>
      <w:r w:rsidR="002A281C" w:rsidRPr="00892C3F">
        <w:t>3</w:t>
      </w:r>
      <w:r w:rsidR="00D61BDC" w:rsidRPr="00892C3F">
        <w:t>1</w:t>
      </w:r>
      <w:r w:rsidR="002C49CE" w:rsidRPr="00892C3F">
        <w:t xml:space="preserve"> </w:t>
      </w:r>
      <w:r w:rsidR="00D61BDC" w:rsidRPr="00892C3F">
        <w:t>December</w:t>
      </w:r>
      <w:r w:rsidR="002C49CE" w:rsidRPr="00892C3F">
        <w:t xml:space="preserve"> 2019</w:t>
      </w:r>
      <w:r w:rsidR="00284884" w:rsidRPr="00DE36EB">
        <w:t xml:space="preserve"> or on</w:t>
      </w:r>
      <w:r w:rsidR="00FA2EC0" w:rsidRPr="00DE36EB">
        <w:t xml:space="preserve"> complet</w:t>
      </w:r>
      <w:r w:rsidR="00284884" w:rsidRPr="00DE36EB">
        <w:t>ion of the project</w:t>
      </w:r>
      <w:r w:rsidR="00775164">
        <w:t xml:space="preserve"> (whichever</w:t>
      </w:r>
      <w:r w:rsidR="002B467A">
        <w:t xml:space="preserve"> is</w:t>
      </w:r>
      <w:r w:rsidR="00775164">
        <w:t xml:space="preserve"> </w:t>
      </w:r>
      <w:r w:rsidR="0038691B">
        <w:t>earlier</w:t>
      </w:r>
      <w:r w:rsidR="00775164">
        <w:t>)</w:t>
      </w:r>
      <w:r w:rsidR="00284884" w:rsidRPr="00DE36EB">
        <w: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7266C2D"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1810EC3E" w14:textId="77777777" w:rsidR="00814667" w:rsidRDefault="00814667">
      <w:pPr>
        <w:pStyle w:val="Heading2"/>
      </w:pPr>
      <w:r>
        <w:t>Outputs</w:t>
      </w:r>
    </w:p>
    <w:p w14:paraId="5C43BD98" w14:textId="77777777" w:rsidR="0085738D" w:rsidRDefault="00814667" w:rsidP="00E92A6C">
      <w:pPr>
        <w:pStyle w:val="Normalnumbered"/>
        <w:numPr>
          <w:ilvl w:val="0"/>
          <w:numId w:val="14"/>
        </w:numPr>
        <w:jc w:val="left"/>
      </w:pPr>
      <w:r w:rsidRPr="0085738D">
        <w:t>The o</w:t>
      </w:r>
      <w:r w:rsidR="006F79D3">
        <w:t>utputs of this Agreement will be</w:t>
      </w:r>
      <w:r w:rsidR="00CD582D">
        <w:t xml:space="preserve"> a review of the NRSCH, including</w:t>
      </w:r>
      <w:r w:rsidR="006F79D3">
        <w:t>:</w:t>
      </w:r>
    </w:p>
    <w:p w14:paraId="2DCD5D77" w14:textId="77777777" w:rsidR="005A4BC7" w:rsidRPr="00BC3555" w:rsidRDefault="007A495D" w:rsidP="00E92A6C">
      <w:pPr>
        <w:pStyle w:val="AlphaParagraph"/>
        <w:numPr>
          <w:ilvl w:val="0"/>
          <w:numId w:val="24"/>
        </w:numPr>
        <w:tabs>
          <w:tab w:val="clear" w:pos="567"/>
          <w:tab w:val="clear" w:pos="1134"/>
          <w:tab w:val="clear" w:pos="1418"/>
          <w:tab w:val="clear" w:pos="1701"/>
        </w:tabs>
        <w:ind w:left="1134" w:hanging="567"/>
      </w:pPr>
      <w:r>
        <w:t>a</w:t>
      </w:r>
      <w:r w:rsidR="005A4BC7">
        <w:t xml:space="preserve"> </w:t>
      </w:r>
      <w:r w:rsidR="005A4BC7" w:rsidRPr="005A5DE0">
        <w:t xml:space="preserve">discussion paper </w:t>
      </w:r>
      <w:r w:rsidR="00D829C6">
        <w:t xml:space="preserve">to examine </w:t>
      </w:r>
      <w:r w:rsidR="005A4BC7" w:rsidRPr="005A5DE0">
        <w:t>the</w:t>
      </w:r>
      <w:r w:rsidR="005A4BC7" w:rsidRPr="00C52EB6">
        <w:t xml:space="preserve"> </w:t>
      </w:r>
      <w:r w:rsidR="00C16E15">
        <w:t xml:space="preserve">operation and effectiveness </w:t>
      </w:r>
      <w:r w:rsidR="005A4BC7" w:rsidRPr="00C52EB6">
        <w:t>of the NRSCH</w:t>
      </w:r>
      <w:r>
        <w:t>;</w:t>
      </w:r>
    </w:p>
    <w:p w14:paraId="3A8771A0" w14:textId="77777777" w:rsidR="00A1498D" w:rsidRDefault="00296E48" w:rsidP="005855A7">
      <w:pPr>
        <w:pStyle w:val="AlphaParagraph"/>
        <w:numPr>
          <w:ilvl w:val="0"/>
          <w:numId w:val="24"/>
        </w:numPr>
        <w:tabs>
          <w:tab w:val="clear" w:pos="283"/>
          <w:tab w:val="clear" w:pos="567"/>
          <w:tab w:val="clear" w:pos="1134"/>
          <w:tab w:val="clear" w:pos="1418"/>
          <w:tab w:val="clear" w:pos="1701"/>
        </w:tabs>
        <w:ind w:left="1134" w:hanging="567"/>
      </w:pPr>
      <w:r>
        <w:rPr>
          <w:bCs/>
          <w:color w:val="auto"/>
          <w:szCs w:val="23"/>
        </w:rPr>
        <w:t>a s</w:t>
      </w:r>
      <w:r w:rsidR="002A607D" w:rsidRPr="005855A7">
        <w:rPr>
          <w:bCs/>
          <w:color w:val="auto"/>
          <w:szCs w:val="23"/>
        </w:rPr>
        <w:t xml:space="preserve">coping </w:t>
      </w:r>
      <w:r>
        <w:rPr>
          <w:bCs/>
          <w:color w:val="auto"/>
          <w:szCs w:val="23"/>
        </w:rPr>
        <w:t>p</w:t>
      </w:r>
      <w:r w:rsidR="002A607D" w:rsidRPr="005855A7">
        <w:rPr>
          <w:bCs/>
          <w:color w:val="auto"/>
          <w:szCs w:val="23"/>
        </w:rPr>
        <w:t>aper on</w:t>
      </w:r>
      <w:r w:rsidR="002A607D" w:rsidRPr="002A607D">
        <w:rPr>
          <w:b/>
          <w:bCs/>
          <w:color w:val="auto"/>
          <w:szCs w:val="23"/>
        </w:rPr>
        <w:t xml:space="preserve"> </w:t>
      </w:r>
      <w:r w:rsidR="002A607D" w:rsidRPr="002A607D">
        <w:rPr>
          <w:color w:val="auto"/>
          <w:szCs w:val="23"/>
        </w:rPr>
        <w:t>the current and future data reporting needs of the NRSCH</w:t>
      </w:r>
      <w:r w:rsidR="00F5779D">
        <w:rPr>
          <w:color w:val="auto"/>
          <w:szCs w:val="23"/>
        </w:rPr>
        <w:t xml:space="preserve"> as accepted by the registrars forum</w:t>
      </w:r>
      <w:r w:rsidR="007A495D">
        <w:t>;</w:t>
      </w:r>
    </w:p>
    <w:p w14:paraId="791EE754" w14:textId="77777777" w:rsidR="002A607D" w:rsidRDefault="00296E48" w:rsidP="00AD7EEF">
      <w:pPr>
        <w:pStyle w:val="AlphaParagraph"/>
        <w:numPr>
          <w:ilvl w:val="0"/>
          <w:numId w:val="24"/>
        </w:numPr>
        <w:tabs>
          <w:tab w:val="clear" w:pos="567"/>
          <w:tab w:val="clear" w:pos="1134"/>
          <w:tab w:val="clear" w:pos="1418"/>
          <w:tab w:val="clear" w:pos="1701"/>
        </w:tabs>
        <w:ind w:left="1134" w:hanging="567"/>
      </w:pPr>
      <w:r>
        <w:rPr>
          <w:color w:val="auto"/>
          <w:szCs w:val="23"/>
        </w:rPr>
        <w:t>a r</w:t>
      </w:r>
      <w:r w:rsidR="002A607D" w:rsidRPr="00750B7C">
        <w:rPr>
          <w:color w:val="auto"/>
          <w:szCs w:val="23"/>
        </w:rPr>
        <w:t>ecommendations paper</w:t>
      </w:r>
      <w:r w:rsidR="002A607D">
        <w:rPr>
          <w:color w:val="auto"/>
          <w:szCs w:val="23"/>
        </w:rPr>
        <w:t xml:space="preserve"> canvassing data reporting improvements</w:t>
      </w:r>
      <w:r w:rsidR="00490757">
        <w:rPr>
          <w:color w:val="auto"/>
          <w:szCs w:val="23"/>
        </w:rPr>
        <w:t>;</w:t>
      </w:r>
      <w:r w:rsidR="002A607D">
        <w:t xml:space="preserve"> </w:t>
      </w:r>
    </w:p>
    <w:p w14:paraId="319D8A69" w14:textId="77777777" w:rsidR="006B3D0F" w:rsidRDefault="007A495D" w:rsidP="005855A7">
      <w:pPr>
        <w:pStyle w:val="AlphaParagraph"/>
        <w:numPr>
          <w:ilvl w:val="0"/>
          <w:numId w:val="24"/>
        </w:numPr>
        <w:tabs>
          <w:tab w:val="clear" w:pos="283"/>
          <w:tab w:val="clear" w:pos="567"/>
          <w:tab w:val="clear" w:pos="1134"/>
          <w:tab w:val="clear" w:pos="1418"/>
          <w:tab w:val="clear" w:pos="1701"/>
        </w:tabs>
        <w:ind w:left="1134" w:hanging="567"/>
      </w:pPr>
      <w:r>
        <w:t>a</w:t>
      </w:r>
      <w:r w:rsidR="00417276">
        <w:t>n options paper on the operation</w:t>
      </w:r>
      <w:r w:rsidR="00C16E15">
        <w:t xml:space="preserve"> and </w:t>
      </w:r>
      <w:r w:rsidR="00A64CE4">
        <w:t>effectiveness</w:t>
      </w:r>
      <w:r w:rsidR="00C16E15">
        <w:t xml:space="preserve"> </w:t>
      </w:r>
      <w:r w:rsidR="00417276">
        <w:t>of the NRSCH</w:t>
      </w:r>
      <w:r w:rsidR="00427908">
        <w:t>.</w:t>
      </w:r>
    </w:p>
    <w:p w14:paraId="03D3B298" w14:textId="77777777" w:rsidR="00C16E15" w:rsidRPr="00490757" w:rsidRDefault="00C16E15" w:rsidP="00C16E15">
      <w:pPr>
        <w:pStyle w:val="AlphaParagraph"/>
        <w:numPr>
          <w:ilvl w:val="0"/>
          <w:numId w:val="24"/>
        </w:numPr>
        <w:tabs>
          <w:tab w:val="clear" w:pos="283"/>
          <w:tab w:val="clear" w:pos="567"/>
          <w:tab w:val="clear" w:pos="1134"/>
          <w:tab w:val="clear" w:pos="1418"/>
          <w:tab w:val="clear" w:pos="1701"/>
        </w:tabs>
        <w:ind w:left="1134" w:hanging="567"/>
      </w:pPr>
      <w:r w:rsidRPr="00490757">
        <w:rPr>
          <w:bCs/>
          <w:color w:val="auto"/>
          <w:szCs w:val="23"/>
        </w:rPr>
        <w:t xml:space="preserve">A final </w:t>
      </w:r>
      <w:r>
        <w:rPr>
          <w:bCs/>
          <w:color w:val="auto"/>
          <w:szCs w:val="23"/>
        </w:rPr>
        <w:t>report</w:t>
      </w:r>
      <w:r w:rsidRPr="00490757">
        <w:rPr>
          <w:bCs/>
          <w:color w:val="auto"/>
          <w:szCs w:val="23"/>
        </w:rPr>
        <w:t xml:space="preserve"> on the</w:t>
      </w:r>
      <w:r>
        <w:rPr>
          <w:bCs/>
          <w:color w:val="auto"/>
          <w:szCs w:val="23"/>
        </w:rPr>
        <w:t xml:space="preserve"> operation and effectiveness of the</w:t>
      </w:r>
      <w:r w:rsidRPr="00490757">
        <w:rPr>
          <w:bCs/>
          <w:color w:val="auto"/>
          <w:szCs w:val="23"/>
        </w:rPr>
        <w:t xml:space="preserve"> NRSCH</w:t>
      </w:r>
      <w:r>
        <w:rPr>
          <w:bCs/>
          <w:color w:val="auto"/>
          <w:szCs w:val="23"/>
        </w:rPr>
        <w:t>; and</w:t>
      </w:r>
    </w:p>
    <w:p w14:paraId="6B771987" w14:textId="77777777" w:rsidR="00490757" w:rsidRPr="00490757" w:rsidRDefault="00C16E15" w:rsidP="00C16E15">
      <w:pPr>
        <w:pStyle w:val="AlphaParagraph"/>
        <w:numPr>
          <w:ilvl w:val="0"/>
          <w:numId w:val="24"/>
        </w:numPr>
        <w:tabs>
          <w:tab w:val="clear" w:pos="283"/>
          <w:tab w:val="clear" w:pos="567"/>
          <w:tab w:val="clear" w:pos="1134"/>
          <w:tab w:val="clear" w:pos="1418"/>
          <w:tab w:val="clear" w:pos="1701"/>
        </w:tabs>
        <w:ind w:left="1134" w:hanging="567"/>
      </w:pPr>
      <w:r w:rsidRPr="00490757">
        <w:rPr>
          <w:bCs/>
          <w:color w:val="auto"/>
          <w:szCs w:val="23"/>
        </w:rPr>
        <w:t xml:space="preserve"> </w:t>
      </w:r>
      <w:r w:rsidR="00490757" w:rsidRPr="00490757">
        <w:rPr>
          <w:bCs/>
          <w:color w:val="auto"/>
          <w:szCs w:val="23"/>
        </w:rPr>
        <w:t xml:space="preserve">A final </w:t>
      </w:r>
      <w:r w:rsidR="0009710C">
        <w:rPr>
          <w:bCs/>
          <w:color w:val="auto"/>
          <w:szCs w:val="23"/>
        </w:rPr>
        <w:t>report on data reporting</w:t>
      </w:r>
      <w:r w:rsidR="00490757" w:rsidRPr="00490757">
        <w:rPr>
          <w:bCs/>
          <w:color w:val="auto"/>
          <w:szCs w:val="23"/>
        </w:rPr>
        <w:t xml:space="preserve"> improvement</w:t>
      </w:r>
      <w:r w:rsidR="0009710C">
        <w:rPr>
          <w:bCs/>
          <w:color w:val="auto"/>
          <w:szCs w:val="23"/>
        </w:rPr>
        <w:t>s</w:t>
      </w:r>
      <w:r>
        <w:t>.</w:t>
      </w:r>
    </w:p>
    <w:p w14:paraId="531B459B" w14:textId="77777777" w:rsidR="008F44F1" w:rsidRDefault="008F44F1">
      <w:pPr>
        <w:pStyle w:val="Heading1"/>
      </w:pPr>
      <w:r>
        <w:t>Part 3 — roles and responsibilities of each party</w:t>
      </w:r>
    </w:p>
    <w:p w14:paraId="584A24FF" w14:textId="77777777" w:rsidR="008F44F1" w:rsidRDefault="008F44F1" w:rsidP="008F44F1">
      <w:pPr>
        <w:pStyle w:val="Heading2"/>
      </w:pPr>
      <w:r w:rsidRPr="00814590">
        <w:t>Role of the Commonwealth</w:t>
      </w:r>
    </w:p>
    <w:p w14:paraId="2F7A34BD" w14:textId="77777777" w:rsidR="008F44F1" w:rsidRPr="00BE04A5" w:rsidRDefault="008F44F1" w:rsidP="00E92A6C">
      <w:pPr>
        <w:pStyle w:val="Normalnumbered"/>
        <w:numPr>
          <w:ilvl w:val="0"/>
          <w:numId w:val="14"/>
        </w:numPr>
        <w:jc w:val="left"/>
      </w:pPr>
      <w:r w:rsidRPr="00BE04A5">
        <w:t>The Commonwealth will be responsible for:</w:t>
      </w:r>
    </w:p>
    <w:p w14:paraId="7E45F1ED" w14:textId="77777777" w:rsidR="008F44F1" w:rsidRPr="00BC3555" w:rsidRDefault="007A495D" w:rsidP="00E92A6C">
      <w:pPr>
        <w:pStyle w:val="AlphaParagraph"/>
        <w:numPr>
          <w:ilvl w:val="0"/>
          <w:numId w:val="25"/>
        </w:numPr>
        <w:tabs>
          <w:tab w:val="clear" w:pos="567"/>
          <w:tab w:val="clear" w:pos="1418"/>
          <w:tab w:val="clear" w:pos="1701"/>
        </w:tabs>
        <w:ind w:left="1134" w:hanging="567"/>
      </w:pPr>
      <w:r>
        <w:rPr>
          <w:color w:val="auto"/>
        </w:rPr>
        <w:t>m</w:t>
      </w:r>
      <w:r w:rsidR="008F44F1" w:rsidRPr="00BE04A5">
        <w:rPr>
          <w:color w:val="auto"/>
        </w:rPr>
        <w:t>onitoring</w:t>
      </w:r>
      <w:r w:rsidR="008F44F1" w:rsidRPr="00BC3555">
        <w:t xml:space="preserve"> and assessing achievement</w:t>
      </w:r>
      <w:r w:rsidR="00032757">
        <w:t>s</w:t>
      </w:r>
      <w:r w:rsidR="008F44F1" w:rsidRPr="00BC3555">
        <w:t xml:space="preserve"> against milestones in the delivery of the </w:t>
      </w:r>
      <w:r w:rsidR="00582869" w:rsidRPr="00BC3555">
        <w:t>Review of the NRSCH</w:t>
      </w:r>
      <w:r w:rsidR="008F44F1" w:rsidRPr="00BC3555">
        <w:t xml:space="preserve"> </w:t>
      </w:r>
      <w:r w:rsidR="008F44F1" w:rsidRPr="00BC3555">
        <w:rPr>
          <w:color w:val="auto"/>
        </w:rPr>
        <w:t>under</w:t>
      </w:r>
      <w:r w:rsidR="008F44F1" w:rsidRPr="00BC3555">
        <w:t xml:space="preserve"> this Agreement to ensure that outputs are delivered within the agreed timeframe</w:t>
      </w:r>
      <w:r w:rsidR="002B467A">
        <w:t>;</w:t>
      </w:r>
      <w:r w:rsidR="00AD2F46" w:rsidRPr="00BC3555">
        <w:t xml:space="preserve"> </w:t>
      </w:r>
      <w:r w:rsidR="003E70DE">
        <w:t>and</w:t>
      </w:r>
    </w:p>
    <w:p w14:paraId="5C5F04EF" w14:textId="77777777" w:rsidR="008F44F1" w:rsidRPr="00032757" w:rsidRDefault="007A495D" w:rsidP="003E70DE">
      <w:pPr>
        <w:pStyle w:val="AlphaParagraph"/>
        <w:numPr>
          <w:ilvl w:val="0"/>
          <w:numId w:val="19"/>
        </w:numPr>
        <w:tabs>
          <w:tab w:val="clear" w:pos="567"/>
          <w:tab w:val="clear" w:pos="1418"/>
          <w:tab w:val="clear" w:pos="1701"/>
        </w:tabs>
        <w:ind w:left="1134" w:hanging="567"/>
        <w:rPr>
          <w:color w:val="auto"/>
        </w:rPr>
      </w:pPr>
      <w:r>
        <w:rPr>
          <w:color w:val="auto"/>
        </w:rPr>
        <w:t>p</w:t>
      </w:r>
      <w:r w:rsidR="008F44F1" w:rsidRPr="00BE04A5">
        <w:rPr>
          <w:color w:val="auto"/>
        </w:rPr>
        <w:t xml:space="preserve">roviding a consequent financial contribution to </w:t>
      </w:r>
      <w:r w:rsidR="00A52308">
        <w:rPr>
          <w:color w:val="auto"/>
        </w:rPr>
        <w:t>NSW</w:t>
      </w:r>
      <w:r w:rsidR="003E70DE">
        <w:rPr>
          <w:color w:val="auto"/>
        </w:rPr>
        <w:t>.</w:t>
      </w:r>
    </w:p>
    <w:p w14:paraId="444D3DFC" w14:textId="77777777" w:rsidR="008A49A1" w:rsidRDefault="008A49A1">
      <w:pPr>
        <w:spacing w:after="0" w:line="240" w:lineRule="auto"/>
        <w:jc w:val="left"/>
        <w:rPr>
          <w:rFonts w:cs="Arial"/>
          <w:b/>
          <w:bCs/>
          <w:iCs/>
          <w:color w:val="3D4B67"/>
          <w:sz w:val="29"/>
          <w:szCs w:val="28"/>
        </w:rPr>
      </w:pPr>
      <w:r>
        <w:br w:type="page"/>
      </w:r>
    </w:p>
    <w:p w14:paraId="624FBB5F" w14:textId="77777777" w:rsidR="008F44F1" w:rsidRPr="00751725" w:rsidRDefault="008F44F1" w:rsidP="008F44F1">
      <w:pPr>
        <w:pStyle w:val="Heading2"/>
      </w:pPr>
      <w:r w:rsidRPr="00751725">
        <w:lastRenderedPageBreak/>
        <w:t xml:space="preserve">Role of </w:t>
      </w:r>
      <w:r w:rsidR="00A52308">
        <w:t>NSW</w:t>
      </w:r>
    </w:p>
    <w:p w14:paraId="27D408A6" w14:textId="77777777" w:rsidR="008F44F1" w:rsidRPr="00751725" w:rsidRDefault="00A52308" w:rsidP="00E92A6C">
      <w:pPr>
        <w:pStyle w:val="Normalnumbered"/>
        <w:numPr>
          <w:ilvl w:val="0"/>
          <w:numId w:val="14"/>
        </w:numPr>
        <w:jc w:val="left"/>
      </w:pPr>
      <w:r>
        <w:t>NSW</w:t>
      </w:r>
      <w:r w:rsidR="00545DF7">
        <w:t xml:space="preserve"> </w:t>
      </w:r>
      <w:r w:rsidR="008F44F1">
        <w:t>will be responsible for</w:t>
      </w:r>
      <w:r w:rsidR="00545DF7">
        <w:t>:</w:t>
      </w:r>
    </w:p>
    <w:p w14:paraId="0C5C99AE" w14:textId="77777777" w:rsidR="00A6111D" w:rsidRDefault="007A495D" w:rsidP="00E92A6C">
      <w:pPr>
        <w:pStyle w:val="AlphaParagraph"/>
        <w:numPr>
          <w:ilvl w:val="0"/>
          <w:numId w:val="23"/>
        </w:numPr>
        <w:tabs>
          <w:tab w:val="clear" w:pos="567"/>
          <w:tab w:val="clear" w:pos="1418"/>
          <w:tab w:val="clear" w:pos="1701"/>
        </w:tabs>
        <w:ind w:left="1134" w:hanging="567"/>
      </w:pPr>
      <w:r>
        <w:t>p</w:t>
      </w:r>
      <w:r w:rsidR="000728E8">
        <w:t>roviding</w:t>
      </w:r>
      <w:r w:rsidR="003E70DE">
        <w:t>, with the assistance of other states and territories,</w:t>
      </w:r>
      <w:r w:rsidR="00AD7EEF">
        <w:t xml:space="preserve"> </w:t>
      </w:r>
      <w:r w:rsidR="003441EB">
        <w:t xml:space="preserve">financial or </w:t>
      </w:r>
      <w:r w:rsidR="00AD7EEF">
        <w:t>in-kind contribution</w:t>
      </w:r>
      <w:r w:rsidR="000728E8">
        <w:t>s</w:t>
      </w:r>
      <w:r w:rsidR="00161F29">
        <w:t xml:space="preserve"> </w:t>
      </w:r>
      <w:r w:rsidR="003441EB">
        <w:t xml:space="preserve">to the </w:t>
      </w:r>
      <w:r w:rsidR="00F5779D">
        <w:t xml:space="preserve">total </w:t>
      </w:r>
      <w:r w:rsidR="003441EB">
        <w:t xml:space="preserve">value </w:t>
      </w:r>
      <w:r w:rsidR="0038691B">
        <w:t xml:space="preserve">of </w:t>
      </w:r>
      <w:r w:rsidR="00CC60E0">
        <w:t>$</w:t>
      </w:r>
      <w:r w:rsidR="004847F5">
        <w:t>1,100</w:t>
      </w:r>
      <w:r w:rsidR="005863F5">
        <w:t>,000</w:t>
      </w:r>
      <w:r w:rsidR="00AD7EEF">
        <w:t>,</w:t>
      </w:r>
      <w:r w:rsidR="00AD2F46">
        <w:t xml:space="preserve"> </w:t>
      </w:r>
      <w:r w:rsidR="00AD7EEF">
        <w:t xml:space="preserve">exclusive of GST, </w:t>
      </w:r>
      <w:r w:rsidR="000728E8">
        <w:t>such as facilities and staff to facilitate public consultation</w:t>
      </w:r>
      <w:r w:rsidR="00D622ED">
        <w:t>,</w:t>
      </w:r>
      <w:r w:rsidR="000728E8">
        <w:t xml:space="preserve"> </w:t>
      </w:r>
      <w:r w:rsidR="008F44F1" w:rsidRPr="00751725">
        <w:t>to support the implementation of this Agreement</w:t>
      </w:r>
      <w:r w:rsidR="002B467A">
        <w:t>;</w:t>
      </w:r>
    </w:p>
    <w:p w14:paraId="578065BA" w14:textId="77777777" w:rsidR="008F44F1" w:rsidRDefault="00A6111D" w:rsidP="00E92A6C">
      <w:pPr>
        <w:pStyle w:val="AlphaParagraph"/>
        <w:numPr>
          <w:ilvl w:val="0"/>
          <w:numId w:val="23"/>
        </w:numPr>
        <w:tabs>
          <w:tab w:val="clear" w:pos="567"/>
          <w:tab w:val="clear" w:pos="1418"/>
          <w:tab w:val="clear" w:pos="1701"/>
        </w:tabs>
        <w:ind w:left="1134" w:hanging="567"/>
      </w:pPr>
      <w:r>
        <w:t xml:space="preserve">all aspects of delivering on the project outputs set out in this agreement; </w:t>
      </w:r>
      <w:r w:rsidR="000728E8">
        <w:t>and</w:t>
      </w:r>
    </w:p>
    <w:p w14:paraId="73CB6F47" w14:textId="77777777" w:rsidR="00A6719E" w:rsidRDefault="007A495D" w:rsidP="009B783F">
      <w:pPr>
        <w:pStyle w:val="AlphaParagraph"/>
        <w:numPr>
          <w:ilvl w:val="0"/>
          <w:numId w:val="19"/>
        </w:numPr>
        <w:tabs>
          <w:tab w:val="clear" w:pos="283"/>
          <w:tab w:val="clear" w:pos="567"/>
          <w:tab w:val="clear" w:pos="1418"/>
          <w:tab w:val="clear" w:pos="1701"/>
        </w:tabs>
        <w:ind w:left="1134" w:hanging="567"/>
      </w:pPr>
      <w:r>
        <w:t>r</w:t>
      </w:r>
      <w:r w:rsidR="00A6719E" w:rsidRPr="006B4DF0">
        <w:t xml:space="preserve">eporting on the delivery of </w:t>
      </w:r>
      <w:r w:rsidR="00A6719E">
        <w:t>outputs</w:t>
      </w:r>
      <w:r w:rsidR="00A6719E" w:rsidRPr="006B4DF0">
        <w:t xml:space="preserve"> </w:t>
      </w:r>
      <w:r w:rsidR="00A6719E">
        <w:t>as set out in Part 4</w:t>
      </w:r>
      <w:r w:rsidR="00A6719E" w:rsidRPr="006B4DF0">
        <w:t xml:space="preserve"> – P</w:t>
      </w:r>
      <w:r w:rsidR="00A6719E">
        <w:t>roject Milestones, Reporting and Payments</w:t>
      </w:r>
      <w:r w:rsidR="000728E8">
        <w:t>.</w:t>
      </w:r>
    </w:p>
    <w:p w14:paraId="5E78E769" w14:textId="77777777" w:rsidR="008F44F1" w:rsidRDefault="008F44F1" w:rsidP="004F5DCD">
      <w:pPr>
        <w:pStyle w:val="Heading2"/>
      </w:pPr>
      <w:r>
        <w:t>Shared roles</w:t>
      </w:r>
    </w:p>
    <w:p w14:paraId="5F528148" w14:textId="77777777" w:rsidR="005C1AA4" w:rsidRDefault="008F44F1" w:rsidP="00E92A6C">
      <w:pPr>
        <w:pStyle w:val="Normalnumbered"/>
        <w:numPr>
          <w:ilvl w:val="0"/>
          <w:numId w:val="14"/>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7B3694B3" w14:textId="77777777" w:rsidR="00814667" w:rsidRPr="00814590" w:rsidRDefault="00814667" w:rsidP="00DD7F84">
      <w:pPr>
        <w:pStyle w:val="Heading1"/>
        <w:keepNext w:val="0"/>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77F3864B" w14:textId="77777777" w:rsidR="00AD2F46" w:rsidRPr="00BC3555" w:rsidRDefault="00545DF7" w:rsidP="00DD7F84">
      <w:pPr>
        <w:pStyle w:val="Normalnumbered"/>
        <w:keepLines/>
        <w:numPr>
          <w:ilvl w:val="0"/>
          <w:numId w:val="14"/>
        </w:numPr>
        <w:spacing w:after="480"/>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w:t>
      </w:r>
      <w:r w:rsidR="00ED2AC4" w:rsidRPr="00CC60E0">
        <w:t>performance report</w:t>
      </w:r>
      <w:r w:rsidR="00ED2AC4">
        <w:t xml:space="preserve"> demonstrating the relevant </w:t>
      </w:r>
      <w:r w:rsidR="00ED2AC4" w:rsidRPr="00BE04A5">
        <w:rPr>
          <w:szCs w:val="23"/>
        </w:rPr>
        <w:t xml:space="preserve">milestone </w:t>
      </w:r>
      <w:r w:rsidR="00ED2AC4">
        <w:t>has been met.</w:t>
      </w:r>
      <w:r w:rsidR="009D58BD">
        <w:t xml:space="preserve"> </w:t>
      </w:r>
    </w:p>
    <w:p w14:paraId="5473E168" w14:textId="77777777" w:rsidR="00251044" w:rsidRDefault="00251044" w:rsidP="00BC3555">
      <w:pPr>
        <w:pStyle w:val="Normalnumbered"/>
        <w:keepNext/>
        <w:numPr>
          <w:ilvl w:val="0"/>
          <w:numId w:val="0"/>
        </w:numPr>
        <w:spacing w:after="480"/>
        <w:rPr>
          <w:b/>
        </w:rPr>
      </w:pPr>
      <w:r w:rsidRPr="00BE04A5">
        <w:rPr>
          <w:b/>
        </w:rPr>
        <w:lastRenderedPageBreak/>
        <w:t>Table 1</w:t>
      </w:r>
      <w:r w:rsidRPr="001D3CAD">
        <w:t xml:space="preserve">: </w:t>
      </w:r>
      <w:r w:rsidRPr="00BE04A5">
        <w:rPr>
          <w:b/>
        </w:rPr>
        <w:t>Performance requirements, reporting and payment summary</w:t>
      </w:r>
    </w:p>
    <w:tbl>
      <w:tblPr>
        <w:tblW w:w="976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518"/>
        <w:gridCol w:w="4536"/>
        <w:gridCol w:w="1276"/>
        <w:gridCol w:w="1438"/>
      </w:tblGrid>
      <w:tr w:rsidR="008D075B" w14:paraId="09D93461" w14:textId="77777777" w:rsidTr="007A495D">
        <w:trPr>
          <w:trHeight w:val="1171"/>
        </w:trPr>
        <w:tc>
          <w:tcPr>
            <w:tcW w:w="2518" w:type="dxa"/>
            <w:hideMark/>
          </w:tcPr>
          <w:p w14:paraId="7C9B3DDA" w14:textId="77777777" w:rsidR="008D075B" w:rsidRDefault="00D622ED">
            <w:pPr>
              <w:pStyle w:val="Heading2"/>
              <w:rPr>
                <w:bCs w:val="0"/>
                <w:sz w:val="24"/>
                <w:szCs w:val="24"/>
              </w:rPr>
            </w:pPr>
            <w:r>
              <w:rPr>
                <w:bCs w:val="0"/>
                <w:sz w:val="24"/>
                <w:szCs w:val="24"/>
              </w:rPr>
              <w:t>Outputs</w:t>
            </w:r>
            <w:r w:rsidR="008D075B">
              <w:rPr>
                <w:bCs w:val="0"/>
                <w:sz w:val="24"/>
                <w:szCs w:val="24"/>
              </w:rPr>
              <w:br/>
            </w:r>
          </w:p>
        </w:tc>
        <w:tc>
          <w:tcPr>
            <w:tcW w:w="4536" w:type="dxa"/>
            <w:hideMark/>
          </w:tcPr>
          <w:p w14:paraId="6AA0C3B0" w14:textId="77777777" w:rsidR="008D075B" w:rsidRDefault="00D622ED" w:rsidP="007A495D">
            <w:pPr>
              <w:pStyle w:val="Heading2"/>
              <w:rPr>
                <w:bCs w:val="0"/>
                <w:sz w:val="24"/>
                <w:szCs w:val="24"/>
              </w:rPr>
            </w:pPr>
            <w:r>
              <w:rPr>
                <w:bCs w:val="0"/>
                <w:sz w:val="24"/>
                <w:szCs w:val="24"/>
              </w:rPr>
              <w:t>Performance milestones</w:t>
            </w:r>
            <w:r w:rsidR="008D075B">
              <w:rPr>
                <w:bCs w:val="0"/>
                <w:sz w:val="24"/>
                <w:szCs w:val="24"/>
              </w:rPr>
              <w:t xml:space="preserve"> </w:t>
            </w:r>
          </w:p>
        </w:tc>
        <w:tc>
          <w:tcPr>
            <w:tcW w:w="1276" w:type="dxa"/>
            <w:hideMark/>
          </w:tcPr>
          <w:p w14:paraId="34801B91" w14:textId="77777777" w:rsidR="008D075B" w:rsidRDefault="008D075B">
            <w:pPr>
              <w:pStyle w:val="Heading2"/>
              <w:rPr>
                <w:sz w:val="18"/>
                <w:szCs w:val="18"/>
              </w:rPr>
            </w:pPr>
            <w:r>
              <w:rPr>
                <w:bCs w:val="0"/>
                <w:sz w:val="24"/>
                <w:szCs w:val="24"/>
              </w:rPr>
              <w:t xml:space="preserve">Report due </w:t>
            </w:r>
          </w:p>
        </w:tc>
        <w:tc>
          <w:tcPr>
            <w:tcW w:w="1438" w:type="dxa"/>
            <w:hideMark/>
          </w:tcPr>
          <w:p w14:paraId="31AE6158" w14:textId="77777777" w:rsidR="008D075B" w:rsidRDefault="008D075B">
            <w:pPr>
              <w:pStyle w:val="Heading2"/>
              <w:rPr>
                <w:bCs w:val="0"/>
                <w:sz w:val="24"/>
                <w:szCs w:val="24"/>
              </w:rPr>
            </w:pPr>
            <w:r>
              <w:rPr>
                <w:bCs w:val="0"/>
                <w:sz w:val="24"/>
                <w:szCs w:val="24"/>
              </w:rPr>
              <w:t>Payment</w:t>
            </w:r>
          </w:p>
        </w:tc>
      </w:tr>
      <w:tr w:rsidR="008D075B" w14:paraId="1736A58D" w14:textId="77777777" w:rsidTr="007A495D">
        <w:tc>
          <w:tcPr>
            <w:tcW w:w="2518" w:type="dxa"/>
            <w:hideMark/>
          </w:tcPr>
          <w:p w14:paraId="6CBB24AF" w14:textId="77777777" w:rsidR="008D075B" w:rsidRDefault="003441EB">
            <w:pPr>
              <w:pStyle w:val="Heading2"/>
              <w:rPr>
                <w:b w:val="0"/>
                <w:bCs w:val="0"/>
                <w:color w:val="auto"/>
                <w:sz w:val="23"/>
                <w:szCs w:val="23"/>
              </w:rPr>
            </w:pPr>
            <w:r>
              <w:rPr>
                <w:b w:val="0"/>
                <w:bCs w:val="0"/>
                <w:color w:val="auto"/>
                <w:sz w:val="23"/>
                <w:szCs w:val="23"/>
              </w:rPr>
              <w:t>Consistent with Clause 8(a), a</w:t>
            </w:r>
            <w:r w:rsidR="008D075B">
              <w:rPr>
                <w:b w:val="0"/>
                <w:bCs w:val="0"/>
                <w:color w:val="auto"/>
                <w:sz w:val="23"/>
                <w:szCs w:val="23"/>
              </w:rPr>
              <w:t xml:space="preserve"> </w:t>
            </w:r>
            <w:r>
              <w:rPr>
                <w:b w:val="0"/>
                <w:bCs w:val="0"/>
                <w:color w:val="auto"/>
                <w:sz w:val="23"/>
                <w:szCs w:val="23"/>
              </w:rPr>
              <w:t>d</w:t>
            </w:r>
            <w:r w:rsidR="008D075B">
              <w:rPr>
                <w:b w:val="0"/>
                <w:bCs w:val="0"/>
                <w:color w:val="auto"/>
                <w:sz w:val="23"/>
                <w:szCs w:val="23"/>
              </w:rPr>
              <w:t xml:space="preserve">iscussion </w:t>
            </w:r>
            <w:r>
              <w:rPr>
                <w:b w:val="0"/>
                <w:bCs w:val="0"/>
                <w:color w:val="auto"/>
                <w:sz w:val="23"/>
                <w:szCs w:val="23"/>
              </w:rPr>
              <w:t>p</w:t>
            </w:r>
            <w:r w:rsidR="008D075B">
              <w:rPr>
                <w:b w:val="0"/>
                <w:bCs w:val="0"/>
                <w:color w:val="auto"/>
                <w:sz w:val="23"/>
                <w:szCs w:val="23"/>
              </w:rPr>
              <w:t xml:space="preserve">aper assessing the operation and </w:t>
            </w:r>
            <w:r w:rsidR="00C16E15">
              <w:rPr>
                <w:b w:val="0"/>
                <w:bCs w:val="0"/>
                <w:color w:val="auto"/>
                <w:sz w:val="23"/>
                <w:szCs w:val="23"/>
              </w:rPr>
              <w:t xml:space="preserve">effectiveness </w:t>
            </w:r>
            <w:r w:rsidR="008D075B">
              <w:rPr>
                <w:b w:val="0"/>
                <w:bCs w:val="0"/>
                <w:color w:val="auto"/>
                <w:sz w:val="23"/>
                <w:szCs w:val="23"/>
              </w:rPr>
              <w:t>of the NRSCH</w:t>
            </w:r>
          </w:p>
        </w:tc>
        <w:tc>
          <w:tcPr>
            <w:tcW w:w="4536" w:type="dxa"/>
            <w:hideMark/>
          </w:tcPr>
          <w:p w14:paraId="627B374C" w14:textId="77777777" w:rsidR="008D075B" w:rsidRDefault="00D622ED">
            <w:pPr>
              <w:pStyle w:val="Heading2"/>
              <w:rPr>
                <w:b w:val="0"/>
                <w:color w:val="auto"/>
                <w:sz w:val="23"/>
                <w:szCs w:val="23"/>
              </w:rPr>
            </w:pPr>
            <w:r>
              <w:rPr>
                <w:b w:val="0"/>
                <w:color w:val="auto"/>
                <w:sz w:val="23"/>
                <w:szCs w:val="23"/>
              </w:rPr>
              <w:t>Discussion P</w:t>
            </w:r>
            <w:r w:rsidR="008D075B">
              <w:rPr>
                <w:b w:val="0"/>
                <w:color w:val="auto"/>
                <w:sz w:val="23"/>
                <w:szCs w:val="23"/>
              </w:rPr>
              <w:t>aper released for public consultation</w:t>
            </w:r>
          </w:p>
        </w:tc>
        <w:tc>
          <w:tcPr>
            <w:tcW w:w="1276" w:type="dxa"/>
            <w:hideMark/>
          </w:tcPr>
          <w:p w14:paraId="2C0543D7" w14:textId="77777777" w:rsidR="008D075B" w:rsidRDefault="00C87BF3">
            <w:pPr>
              <w:pStyle w:val="Heading2"/>
              <w:rPr>
                <w:b w:val="0"/>
                <w:color w:val="auto"/>
                <w:sz w:val="23"/>
                <w:szCs w:val="23"/>
              </w:rPr>
            </w:pPr>
            <w:r>
              <w:rPr>
                <w:b w:val="0"/>
                <w:color w:val="auto"/>
                <w:sz w:val="23"/>
                <w:szCs w:val="23"/>
              </w:rPr>
              <w:t>31/1</w:t>
            </w:r>
            <w:r w:rsidR="008D075B">
              <w:rPr>
                <w:b w:val="0"/>
                <w:color w:val="auto"/>
                <w:sz w:val="23"/>
                <w:szCs w:val="23"/>
              </w:rPr>
              <w:t>/201</w:t>
            </w:r>
            <w:r>
              <w:rPr>
                <w:b w:val="0"/>
                <w:color w:val="auto"/>
                <w:sz w:val="23"/>
                <w:szCs w:val="23"/>
              </w:rPr>
              <w:t>9</w:t>
            </w:r>
          </w:p>
        </w:tc>
        <w:tc>
          <w:tcPr>
            <w:tcW w:w="1438" w:type="dxa"/>
            <w:hideMark/>
          </w:tcPr>
          <w:p w14:paraId="610851CA" w14:textId="77777777" w:rsidR="008D075B" w:rsidRDefault="007A495D" w:rsidP="00427908">
            <w:pPr>
              <w:pStyle w:val="Heading2"/>
              <w:rPr>
                <w:b w:val="0"/>
                <w:color w:val="auto"/>
                <w:sz w:val="23"/>
                <w:szCs w:val="23"/>
              </w:rPr>
            </w:pPr>
            <w:r>
              <w:rPr>
                <w:b w:val="0"/>
                <w:color w:val="auto"/>
                <w:sz w:val="23"/>
                <w:szCs w:val="23"/>
              </w:rPr>
              <w:t>$</w:t>
            </w:r>
            <w:r w:rsidR="00427908">
              <w:rPr>
                <w:b w:val="0"/>
                <w:color w:val="auto"/>
                <w:sz w:val="23"/>
                <w:szCs w:val="23"/>
              </w:rPr>
              <w:t>400</w:t>
            </w:r>
            <w:r w:rsidR="00617759">
              <w:rPr>
                <w:b w:val="0"/>
                <w:color w:val="auto"/>
                <w:sz w:val="23"/>
                <w:szCs w:val="23"/>
              </w:rPr>
              <w:t>,000</w:t>
            </w:r>
          </w:p>
        </w:tc>
      </w:tr>
      <w:tr w:rsidR="003441EB" w14:paraId="4897F827" w14:textId="77777777" w:rsidTr="003441EB">
        <w:tc>
          <w:tcPr>
            <w:tcW w:w="25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679CCAB" w14:textId="77777777" w:rsidR="003441EB" w:rsidRDefault="003441EB" w:rsidP="00F0006D">
            <w:pPr>
              <w:pStyle w:val="Heading2"/>
              <w:rPr>
                <w:b w:val="0"/>
                <w:bCs w:val="0"/>
                <w:color w:val="auto"/>
                <w:sz w:val="23"/>
                <w:szCs w:val="23"/>
              </w:rPr>
            </w:pPr>
            <w:r>
              <w:rPr>
                <w:b w:val="0"/>
                <w:bCs w:val="0"/>
                <w:color w:val="auto"/>
                <w:sz w:val="23"/>
                <w:szCs w:val="23"/>
              </w:rPr>
              <w:t>Consistent with Clause 8(b), a Scoping Paper on the current and future data reporting needs of the NRSCH</w:t>
            </w:r>
          </w:p>
        </w:tc>
        <w:tc>
          <w:tcPr>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9AD89AC" w14:textId="77777777" w:rsidR="003441EB" w:rsidRPr="00C87BF3" w:rsidRDefault="003441EB" w:rsidP="00F5779D">
            <w:pPr>
              <w:pStyle w:val="Heading2"/>
              <w:rPr>
                <w:b w:val="0"/>
                <w:color w:val="auto"/>
                <w:sz w:val="23"/>
                <w:szCs w:val="23"/>
              </w:rPr>
            </w:pPr>
            <w:r w:rsidRPr="003441EB">
              <w:rPr>
                <w:b w:val="0"/>
                <w:color w:val="auto"/>
                <w:sz w:val="23"/>
                <w:szCs w:val="23"/>
              </w:rPr>
              <w:t xml:space="preserve">Scoping paper on the current and future data reporting needs of the NRSCH </w:t>
            </w:r>
            <w:r w:rsidR="00F5779D">
              <w:rPr>
                <w:b w:val="0"/>
                <w:color w:val="auto"/>
                <w:sz w:val="23"/>
                <w:szCs w:val="23"/>
              </w:rPr>
              <w:t>accepted by</w:t>
            </w:r>
            <w:r w:rsidRPr="003441EB">
              <w:rPr>
                <w:b w:val="0"/>
                <w:color w:val="auto"/>
                <w:sz w:val="23"/>
                <w:szCs w:val="23"/>
              </w:rPr>
              <w:t xml:space="preserve"> the Registrar’s Forum</w:t>
            </w:r>
            <w:r w:rsidR="00F95CCE">
              <w:rPr>
                <w:b w:val="0"/>
                <w:bCs w:val="0"/>
                <w:color w:val="auto"/>
                <w:sz w:val="23"/>
                <w:szCs w:val="23"/>
              </w:rPr>
              <w:t>, through the NRSCH Secretariat</w:t>
            </w: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1876541" w14:textId="77777777" w:rsidR="003441EB" w:rsidRDefault="003441EB" w:rsidP="00F0006D">
            <w:pPr>
              <w:pStyle w:val="Heading2"/>
              <w:rPr>
                <w:b w:val="0"/>
                <w:color w:val="auto"/>
                <w:sz w:val="23"/>
                <w:szCs w:val="23"/>
              </w:rPr>
            </w:pPr>
            <w:r>
              <w:rPr>
                <w:b w:val="0"/>
                <w:color w:val="auto"/>
                <w:sz w:val="23"/>
                <w:szCs w:val="23"/>
              </w:rPr>
              <w:t>31/1/2019</w:t>
            </w:r>
          </w:p>
        </w:tc>
        <w:tc>
          <w:tcPr>
            <w:tcW w:w="14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24412F4" w14:textId="77777777" w:rsidR="003441EB" w:rsidRDefault="003441EB" w:rsidP="00F0006D">
            <w:pPr>
              <w:pStyle w:val="Heading2"/>
              <w:rPr>
                <w:b w:val="0"/>
                <w:color w:val="auto"/>
                <w:sz w:val="23"/>
                <w:szCs w:val="23"/>
              </w:rPr>
            </w:pPr>
            <w:r>
              <w:rPr>
                <w:b w:val="0"/>
                <w:color w:val="auto"/>
                <w:sz w:val="23"/>
                <w:szCs w:val="23"/>
              </w:rPr>
              <w:t>$400,000</w:t>
            </w:r>
          </w:p>
        </w:tc>
      </w:tr>
      <w:tr w:rsidR="00490757" w14:paraId="61E124BF" w14:textId="77777777" w:rsidTr="003477B6">
        <w:tc>
          <w:tcPr>
            <w:tcW w:w="2518" w:type="dxa"/>
          </w:tcPr>
          <w:p w14:paraId="0917C97C" w14:textId="77777777" w:rsidR="00490757" w:rsidDel="002C76C3" w:rsidRDefault="00490757" w:rsidP="003441EB">
            <w:pPr>
              <w:pStyle w:val="Heading2"/>
              <w:rPr>
                <w:b w:val="0"/>
                <w:bCs w:val="0"/>
                <w:color w:val="auto"/>
                <w:sz w:val="23"/>
                <w:szCs w:val="23"/>
              </w:rPr>
            </w:pPr>
            <w:r>
              <w:rPr>
                <w:b w:val="0"/>
                <w:bCs w:val="0"/>
                <w:color w:val="auto"/>
                <w:sz w:val="23"/>
                <w:szCs w:val="23"/>
              </w:rPr>
              <w:t>A r</w:t>
            </w:r>
            <w:r w:rsidRPr="00750B7C">
              <w:rPr>
                <w:b w:val="0"/>
                <w:bCs w:val="0"/>
                <w:color w:val="auto"/>
                <w:sz w:val="23"/>
                <w:szCs w:val="23"/>
              </w:rPr>
              <w:t>ecommendations paper</w:t>
            </w:r>
            <w:r>
              <w:rPr>
                <w:b w:val="0"/>
                <w:bCs w:val="0"/>
                <w:color w:val="auto"/>
                <w:sz w:val="23"/>
                <w:szCs w:val="23"/>
              </w:rPr>
              <w:t xml:space="preserve"> canvassing data reporting improvements (see Clause 8(c))</w:t>
            </w:r>
          </w:p>
        </w:tc>
        <w:tc>
          <w:tcPr>
            <w:tcW w:w="4536" w:type="dxa"/>
          </w:tcPr>
          <w:p w14:paraId="7099614D" w14:textId="77777777" w:rsidR="00490757" w:rsidDel="002C76C3" w:rsidRDefault="00490757" w:rsidP="002C76C3">
            <w:pPr>
              <w:pStyle w:val="Heading2"/>
              <w:rPr>
                <w:b w:val="0"/>
                <w:bCs w:val="0"/>
                <w:color w:val="auto"/>
                <w:sz w:val="23"/>
                <w:szCs w:val="23"/>
              </w:rPr>
            </w:pPr>
            <w:r w:rsidRPr="00750B7C">
              <w:rPr>
                <w:b w:val="0"/>
                <w:bCs w:val="0"/>
                <w:color w:val="auto"/>
                <w:sz w:val="23"/>
                <w:szCs w:val="23"/>
              </w:rPr>
              <w:t>Recommendations paper approved by the Registrars Forum</w:t>
            </w:r>
            <w:r w:rsidR="00F95CCE">
              <w:rPr>
                <w:b w:val="0"/>
                <w:bCs w:val="0"/>
                <w:color w:val="auto"/>
                <w:sz w:val="23"/>
                <w:szCs w:val="23"/>
              </w:rPr>
              <w:t>, through the NRSCH Secretariat,</w:t>
            </w:r>
            <w:r w:rsidRPr="00750B7C">
              <w:rPr>
                <w:b w:val="0"/>
                <w:bCs w:val="0"/>
                <w:color w:val="auto"/>
                <w:sz w:val="23"/>
                <w:szCs w:val="23"/>
              </w:rPr>
              <w:t xml:space="preserve"> and released for public consultation</w:t>
            </w:r>
          </w:p>
        </w:tc>
        <w:tc>
          <w:tcPr>
            <w:tcW w:w="1276" w:type="dxa"/>
          </w:tcPr>
          <w:p w14:paraId="4736BD36" w14:textId="77777777" w:rsidR="00490757" w:rsidDel="002C76C3" w:rsidRDefault="00490757" w:rsidP="003477B6">
            <w:pPr>
              <w:pStyle w:val="Heading2"/>
              <w:rPr>
                <w:b w:val="0"/>
                <w:color w:val="auto"/>
                <w:sz w:val="23"/>
                <w:szCs w:val="23"/>
              </w:rPr>
            </w:pPr>
            <w:r>
              <w:rPr>
                <w:b w:val="0"/>
                <w:color w:val="auto"/>
                <w:sz w:val="23"/>
                <w:szCs w:val="23"/>
              </w:rPr>
              <w:t>31/7/2019</w:t>
            </w:r>
          </w:p>
        </w:tc>
        <w:tc>
          <w:tcPr>
            <w:tcW w:w="1438" w:type="dxa"/>
          </w:tcPr>
          <w:p w14:paraId="1A058C39" w14:textId="77777777" w:rsidR="00490757" w:rsidRDefault="00490757" w:rsidP="00490757">
            <w:pPr>
              <w:pStyle w:val="Heading2"/>
              <w:rPr>
                <w:b w:val="0"/>
                <w:color w:val="auto"/>
                <w:sz w:val="23"/>
                <w:szCs w:val="23"/>
              </w:rPr>
            </w:pPr>
            <w:r>
              <w:rPr>
                <w:b w:val="0"/>
                <w:color w:val="auto"/>
                <w:sz w:val="23"/>
                <w:szCs w:val="23"/>
              </w:rPr>
              <w:t>$100,000</w:t>
            </w:r>
          </w:p>
        </w:tc>
      </w:tr>
      <w:tr w:rsidR="00490757" w14:paraId="65409053" w14:textId="77777777" w:rsidTr="003477B6">
        <w:tc>
          <w:tcPr>
            <w:tcW w:w="2518" w:type="dxa"/>
          </w:tcPr>
          <w:p w14:paraId="154B9C84" w14:textId="77777777" w:rsidR="00490757" w:rsidRPr="003477B6" w:rsidRDefault="00490757" w:rsidP="003441EB">
            <w:pPr>
              <w:pStyle w:val="Heading2"/>
              <w:rPr>
                <w:b w:val="0"/>
                <w:bCs w:val="0"/>
                <w:color w:val="auto"/>
                <w:sz w:val="23"/>
                <w:szCs w:val="23"/>
              </w:rPr>
            </w:pPr>
            <w:r>
              <w:rPr>
                <w:b w:val="0"/>
                <w:bCs w:val="0"/>
                <w:color w:val="auto"/>
                <w:sz w:val="23"/>
                <w:szCs w:val="23"/>
              </w:rPr>
              <w:t>An options paper on the operation</w:t>
            </w:r>
            <w:r w:rsidR="00A64CE4">
              <w:rPr>
                <w:b w:val="0"/>
                <w:bCs w:val="0"/>
                <w:color w:val="auto"/>
                <w:sz w:val="23"/>
                <w:szCs w:val="23"/>
              </w:rPr>
              <w:t xml:space="preserve"> and effectiveness</w:t>
            </w:r>
            <w:r>
              <w:rPr>
                <w:b w:val="0"/>
                <w:bCs w:val="0"/>
                <w:color w:val="auto"/>
                <w:sz w:val="23"/>
                <w:szCs w:val="23"/>
              </w:rPr>
              <w:t xml:space="preserve"> of the NRSCH (see clause 8(d))</w:t>
            </w:r>
          </w:p>
        </w:tc>
        <w:tc>
          <w:tcPr>
            <w:tcW w:w="4536" w:type="dxa"/>
          </w:tcPr>
          <w:p w14:paraId="10C0215D" w14:textId="77777777" w:rsidR="00490757" w:rsidRPr="00750B7C" w:rsidRDefault="00490757" w:rsidP="002C76C3">
            <w:pPr>
              <w:pStyle w:val="Heading2"/>
              <w:rPr>
                <w:b w:val="0"/>
                <w:bCs w:val="0"/>
                <w:color w:val="auto"/>
                <w:sz w:val="23"/>
                <w:szCs w:val="23"/>
              </w:rPr>
            </w:pPr>
            <w:r>
              <w:rPr>
                <w:b w:val="0"/>
                <w:bCs w:val="0"/>
                <w:color w:val="auto"/>
                <w:sz w:val="23"/>
                <w:szCs w:val="23"/>
              </w:rPr>
              <w:t>Options Paper released for public consultation</w:t>
            </w:r>
          </w:p>
        </w:tc>
        <w:tc>
          <w:tcPr>
            <w:tcW w:w="1276" w:type="dxa"/>
          </w:tcPr>
          <w:p w14:paraId="35CCA31C" w14:textId="77777777" w:rsidR="00490757" w:rsidRDefault="00490757" w:rsidP="003477B6">
            <w:pPr>
              <w:pStyle w:val="Heading2"/>
              <w:rPr>
                <w:b w:val="0"/>
                <w:color w:val="auto"/>
                <w:sz w:val="23"/>
                <w:szCs w:val="23"/>
              </w:rPr>
            </w:pPr>
            <w:r>
              <w:rPr>
                <w:b w:val="0"/>
                <w:color w:val="auto"/>
                <w:sz w:val="23"/>
                <w:szCs w:val="23"/>
              </w:rPr>
              <w:t>31/7/2019</w:t>
            </w:r>
          </w:p>
        </w:tc>
        <w:tc>
          <w:tcPr>
            <w:tcW w:w="1438" w:type="dxa"/>
          </w:tcPr>
          <w:p w14:paraId="069A371A" w14:textId="77777777" w:rsidR="00490757" w:rsidRDefault="00490757" w:rsidP="00490757">
            <w:pPr>
              <w:pStyle w:val="Heading2"/>
              <w:rPr>
                <w:b w:val="0"/>
                <w:color w:val="auto"/>
                <w:sz w:val="23"/>
                <w:szCs w:val="23"/>
              </w:rPr>
            </w:pPr>
            <w:r>
              <w:rPr>
                <w:b w:val="0"/>
                <w:color w:val="auto"/>
                <w:sz w:val="23"/>
                <w:szCs w:val="23"/>
              </w:rPr>
              <w:t>$100,000</w:t>
            </w:r>
          </w:p>
        </w:tc>
      </w:tr>
      <w:tr w:rsidR="00490757" w14:paraId="584814DF" w14:textId="77777777" w:rsidTr="003477B6">
        <w:tc>
          <w:tcPr>
            <w:tcW w:w="2518" w:type="dxa"/>
          </w:tcPr>
          <w:p w14:paraId="78ED9C9C" w14:textId="77777777" w:rsidR="00490757" w:rsidDel="002C76C3" w:rsidRDefault="00490757">
            <w:pPr>
              <w:pStyle w:val="Heading2"/>
              <w:rPr>
                <w:b w:val="0"/>
                <w:bCs w:val="0"/>
                <w:color w:val="auto"/>
                <w:sz w:val="23"/>
                <w:szCs w:val="23"/>
              </w:rPr>
            </w:pPr>
            <w:r>
              <w:rPr>
                <w:b w:val="0"/>
                <w:bCs w:val="0"/>
                <w:color w:val="auto"/>
                <w:sz w:val="23"/>
                <w:szCs w:val="23"/>
              </w:rPr>
              <w:t xml:space="preserve">A final </w:t>
            </w:r>
            <w:r w:rsidR="00C16E15">
              <w:rPr>
                <w:b w:val="0"/>
                <w:bCs w:val="0"/>
                <w:color w:val="auto"/>
                <w:sz w:val="23"/>
                <w:szCs w:val="23"/>
              </w:rPr>
              <w:t>report</w:t>
            </w:r>
            <w:r>
              <w:rPr>
                <w:b w:val="0"/>
                <w:bCs w:val="0"/>
                <w:color w:val="auto"/>
                <w:sz w:val="23"/>
                <w:szCs w:val="23"/>
              </w:rPr>
              <w:t xml:space="preserve"> on the </w:t>
            </w:r>
            <w:r w:rsidR="00C16E15">
              <w:rPr>
                <w:b w:val="0"/>
                <w:bCs w:val="0"/>
                <w:color w:val="auto"/>
                <w:sz w:val="23"/>
                <w:szCs w:val="23"/>
              </w:rPr>
              <w:t>operation and effectiveness</w:t>
            </w:r>
            <w:r>
              <w:rPr>
                <w:b w:val="0"/>
                <w:bCs w:val="0"/>
                <w:color w:val="auto"/>
                <w:sz w:val="23"/>
                <w:szCs w:val="23"/>
              </w:rPr>
              <w:t xml:space="preserve"> of the NRSCH (see clause 8(e))</w:t>
            </w:r>
          </w:p>
        </w:tc>
        <w:tc>
          <w:tcPr>
            <w:tcW w:w="4536" w:type="dxa"/>
          </w:tcPr>
          <w:p w14:paraId="4E9E126B" w14:textId="77777777" w:rsidR="00490757" w:rsidDel="002C76C3" w:rsidRDefault="00490757" w:rsidP="002C76C3">
            <w:pPr>
              <w:pStyle w:val="Heading2"/>
              <w:rPr>
                <w:b w:val="0"/>
                <w:bCs w:val="0"/>
                <w:color w:val="auto"/>
                <w:sz w:val="23"/>
                <w:szCs w:val="23"/>
              </w:rPr>
            </w:pPr>
            <w:r>
              <w:rPr>
                <w:b w:val="0"/>
                <w:bCs w:val="0"/>
                <w:color w:val="auto"/>
                <w:sz w:val="23"/>
                <w:szCs w:val="23"/>
              </w:rPr>
              <w:t>Provision of the final report to HHSON</w:t>
            </w:r>
          </w:p>
        </w:tc>
        <w:tc>
          <w:tcPr>
            <w:tcW w:w="1276" w:type="dxa"/>
          </w:tcPr>
          <w:p w14:paraId="2135758E" w14:textId="77777777" w:rsidR="00490757" w:rsidDel="002C76C3" w:rsidRDefault="00490757" w:rsidP="003477B6">
            <w:pPr>
              <w:pStyle w:val="Heading2"/>
              <w:rPr>
                <w:b w:val="0"/>
                <w:color w:val="auto"/>
                <w:sz w:val="23"/>
                <w:szCs w:val="23"/>
              </w:rPr>
            </w:pPr>
            <w:r>
              <w:rPr>
                <w:b w:val="0"/>
                <w:color w:val="auto"/>
                <w:sz w:val="23"/>
                <w:szCs w:val="23"/>
              </w:rPr>
              <w:t>31/12/2019</w:t>
            </w:r>
          </w:p>
        </w:tc>
        <w:tc>
          <w:tcPr>
            <w:tcW w:w="1438" w:type="dxa"/>
          </w:tcPr>
          <w:p w14:paraId="1AEB8488" w14:textId="77777777" w:rsidR="00490757" w:rsidRDefault="00490757" w:rsidP="003477B6">
            <w:pPr>
              <w:pStyle w:val="Heading2"/>
              <w:rPr>
                <w:b w:val="0"/>
                <w:color w:val="auto"/>
                <w:sz w:val="23"/>
                <w:szCs w:val="23"/>
              </w:rPr>
            </w:pPr>
            <w:r>
              <w:rPr>
                <w:b w:val="0"/>
                <w:color w:val="auto"/>
                <w:sz w:val="23"/>
                <w:szCs w:val="23"/>
              </w:rPr>
              <w:t>$50,000</w:t>
            </w:r>
          </w:p>
        </w:tc>
      </w:tr>
      <w:tr w:rsidR="00490757" w14:paraId="2A17F743" w14:textId="77777777" w:rsidTr="007A495D">
        <w:tc>
          <w:tcPr>
            <w:tcW w:w="2518" w:type="dxa"/>
          </w:tcPr>
          <w:p w14:paraId="60558314" w14:textId="77777777" w:rsidR="00490757" w:rsidRDefault="00490757" w:rsidP="00F95CCE">
            <w:pPr>
              <w:pStyle w:val="Heading2"/>
              <w:rPr>
                <w:b w:val="0"/>
                <w:bCs w:val="0"/>
                <w:color w:val="auto"/>
                <w:sz w:val="23"/>
                <w:szCs w:val="23"/>
              </w:rPr>
            </w:pPr>
            <w:r>
              <w:rPr>
                <w:b w:val="0"/>
                <w:bCs w:val="0"/>
                <w:color w:val="auto"/>
                <w:sz w:val="23"/>
                <w:szCs w:val="23"/>
              </w:rPr>
              <w:t>A final</w:t>
            </w:r>
            <w:r w:rsidR="0009710C">
              <w:rPr>
                <w:b w:val="0"/>
                <w:bCs w:val="0"/>
                <w:color w:val="auto"/>
                <w:sz w:val="23"/>
                <w:szCs w:val="23"/>
              </w:rPr>
              <w:t xml:space="preserve"> report</w:t>
            </w:r>
            <w:r>
              <w:rPr>
                <w:b w:val="0"/>
                <w:bCs w:val="0"/>
                <w:color w:val="auto"/>
                <w:sz w:val="23"/>
                <w:szCs w:val="23"/>
              </w:rPr>
              <w:t xml:space="preserve"> </w:t>
            </w:r>
            <w:r w:rsidR="0009710C">
              <w:rPr>
                <w:b w:val="0"/>
                <w:bCs w:val="0"/>
                <w:color w:val="auto"/>
                <w:sz w:val="23"/>
                <w:szCs w:val="23"/>
              </w:rPr>
              <w:t xml:space="preserve">on </w:t>
            </w:r>
            <w:r w:rsidR="0009710C" w:rsidRPr="009B783F">
              <w:rPr>
                <w:b w:val="0"/>
                <w:bCs w:val="0"/>
                <w:color w:val="auto"/>
                <w:sz w:val="23"/>
                <w:szCs w:val="23"/>
              </w:rPr>
              <w:t>data reporting improvements</w:t>
            </w:r>
            <w:r>
              <w:rPr>
                <w:b w:val="0"/>
                <w:bCs w:val="0"/>
                <w:color w:val="auto"/>
                <w:sz w:val="23"/>
                <w:szCs w:val="23"/>
              </w:rPr>
              <w:t xml:space="preserve"> (see clause 8(f))</w:t>
            </w:r>
          </w:p>
        </w:tc>
        <w:tc>
          <w:tcPr>
            <w:tcW w:w="4536" w:type="dxa"/>
          </w:tcPr>
          <w:p w14:paraId="4B928ED3" w14:textId="77777777" w:rsidR="00490757" w:rsidRPr="00750B7C" w:rsidRDefault="00490757" w:rsidP="00F95CCE">
            <w:pPr>
              <w:pStyle w:val="Heading2"/>
              <w:rPr>
                <w:b w:val="0"/>
                <w:bCs w:val="0"/>
                <w:color w:val="auto"/>
                <w:sz w:val="23"/>
                <w:szCs w:val="23"/>
              </w:rPr>
            </w:pPr>
            <w:r>
              <w:rPr>
                <w:b w:val="0"/>
                <w:bCs w:val="0"/>
                <w:color w:val="auto"/>
                <w:sz w:val="23"/>
                <w:szCs w:val="23"/>
              </w:rPr>
              <w:t xml:space="preserve">The provision of a final </w:t>
            </w:r>
            <w:r w:rsidR="0009710C">
              <w:rPr>
                <w:b w:val="0"/>
                <w:bCs w:val="0"/>
                <w:color w:val="auto"/>
                <w:sz w:val="23"/>
                <w:szCs w:val="23"/>
              </w:rPr>
              <w:t>report</w:t>
            </w:r>
            <w:r>
              <w:rPr>
                <w:b w:val="0"/>
                <w:bCs w:val="0"/>
                <w:color w:val="auto"/>
                <w:sz w:val="23"/>
                <w:szCs w:val="23"/>
              </w:rPr>
              <w:t xml:space="preserve"> </w:t>
            </w:r>
            <w:r w:rsidRPr="00B301E5">
              <w:rPr>
                <w:b w:val="0"/>
                <w:bCs w:val="0"/>
                <w:color w:val="auto"/>
                <w:sz w:val="23"/>
                <w:szCs w:val="23"/>
              </w:rPr>
              <w:t xml:space="preserve">to the </w:t>
            </w:r>
            <w:r w:rsidR="0009710C" w:rsidRPr="00B301E5">
              <w:rPr>
                <w:b w:val="0"/>
                <w:color w:val="auto"/>
                <w:sz w:val="23"/>
                <w:szCs w:val="23"/>
              </w:rPr>
              <w:t>Registrar’s Forum</w:t>
            </w:r>
            <w:r w:rsidR="00F95CCE">
              <w:rPr>
                <w:b w:val="0"/>
                <w:color w:val="auto"/>
                <w:sz w:val="23"/>
                <w:szCs w:val="23"/>
              </w:rPr>
              <w:t xml:space="preserve"> provided through the NRSCH Secretariat</w:t>
            </w:r>
          </w:p>
        </w:tc>
        <w:tc>
          <w:tcPr>
            <w:tcW w:w="1276" w:type="dxa"/>
          </w:tcPr>
          <w:p w14:paraId="507E1875" w14:textId="77777777" w:rsidR="00490757" w:rsidRDefault="00490757">
            <w:pPr>
              <w:pStyle w:val="Heading2"/>
              <w:rPr>
                <w:b w:val="0"/>
                <w:color w:val="auto"/>
                <w:sz w:val="23"/>
                <w:szCs w:val="23"/>
              </w:rPr>
            </w:pPr>
            <w:r>
              <w:rPr>
                <w:b w:val="0"/>
                <w:color w:val="auto"/>
                <w:sz w:val="23"/>
                <w:szCs w:val="23"/>
              </w:rPr>
              <w:t>31/12/2019</w:t>
            </w:r>
          </w:p>
        </w:tc>
        <w:tc>
          <w:tcPr>
            <w:tcW w:w="1438" w:type="dxa"/>
          </w:tcPr>
          <w:p w14:paraId="107D1840" w14:textId="77777777" w:rsidR="00490757" w:rsidRDefault="00490757" w:rsidP="00427908">
            <w:pPr>
              <w:pStyle w:val="Heading2"/>
              <w:rPr>
                <w:b w:val="0"/>
                <w:color w:val="auto"/>
                <w:sz w:val="23"/>
                <w:szCs w:val="23"/>
              </w:rPr>
            </w:pPr>
            <w:r>
              <w:rPr>
                <w:b w:val="0"/>
                <w:color w:val="auto"/>
                <w:sz w:val="23"/>
                <w:szCs w:val="23"/>
              </w:rPr>
              <w:t>$50,000</w:t>
            </w:r>
          </w:p>
        </w:tc>
      </w:tr>
    </w:tbl>
    <w:p w14:paraId="74759F07" w14:textId="77777777" w:rsidR="00C87BF3" w:rsidRDefault="00C87BF3" w:rsidP="00C87BF3">
      <w:pPr>
        <w:pStyle w:val="Normalnumbered"/>
        <w:numPr>
          <w:ilvl w:val="0"/>
          <w:numId w:val="0"/>
        </w:numPr>
        <w:ind w:left="567"/>
      </w:pPr>
    </w:p>
    <w:p w14:paraId="5F62B9A4" w14:textId="77777777" w:rsidR="00172360" w:rsidRDefault="002E144A" w:rsidP="00E92A6C">
      <w:pPr>
        <w:pStyle w:val="Normalnumbered"/>
        <w:numPr>
          <w:ilvl w:val="0"/>
          <w:numId w:val="14"/>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6978AA35" w14:textId="77777777" w:rsidR="00F3245D" w:rsidRDefault="00F3245D" w:rsidP="00F3245D">
      <w:pPr>
        <w:pStyle w:val="Heading2"/>
      </w:pPr>
      <w:r>
        <w:lastRenderedPageBreak/>
        <w:t>Reporting arrangements</w:t>
      </w:r>
    </w:p>
    <w:p w14:paraId="5526A718" w14:textId="77777777" w:rsidR="00F95CCE" w:rsidRDefault="00A52308" w:rsidP="00E92A6C">
      <w:pPr>
        <w:pStyle w:val="Normalnumbered"/>
        <w:numPr>
          <w:ilvl w:val="0"/>
          <w:numId w:val="14"/>
        </w:numPr>
        <w:spacing w:before="120" w:line="240" w:lineRule="auto"/>
        <w:rPr>
          <w:szCs w:val="23"/>
        </w:rPr>
      </w:pPr>
      <w:r>
        <w:t>NSW</w:t>
      </w:r>
      <w:r w:rsidR="0076361C">
        <w:t xml:space="preserve"> </w:t>
      </w:r>
      <w:r w:rsidR="009E151E">
        <w:t xml:space="preserve">will </w:t>
      </w:r>
      <w:r w:rsidR="0095223D">
        <w:t xml:space="preserve">provide </w:t>
      </w:r>
      <w:r w:rsidR="00D622ED">
        <w:t xml:space="preserve">performance </w:t>
      </w:r>
      <w:r w:rsidR="0095223D">
        <w:t xml:space="preserve">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46E51684" w14:textId="77777777" w:rsidR="008E7527" w:rsidRDefault="008E7527" w:rsidP="009E093C">
      <w:pPr>
        <w:pStyle w:val="Heading1"/>
      </w:pPr>
      <w:r>
        <w:t>Part 5</w:t>
      </w:r>
      <w:r w:rsidRPr="00751725">
        <w:t xml:space="preserve"> — financial arrangements</w:t>
      </w:r>
    </w:p>
    <w:p w14:paraId="5D9D94C7" w14:textId="77777777" w:rsidR="008E7527" w:rsidRDefault="008E7527" w:rsidP="00E92A6C">
      <w:pPr>
        <w:pStyle w:val="Normalnumbered"/>
        <w:numPr>
          <w:ilvl w:val="0"/>
          <w:numId w:val="14"/>
        </w:numPr>
        <w:jc w:val="left"/>
      </w:pPr>
      <w:r w:rsidRPr="000E48C3">
        <w:t xml:space="preserve">The Commonwealth will </w:t>
      </w:r>
      <w:r>
        <w:t>provide</w:t>
      </w:r>
      <w:r w:rsidRPr="000E48C3">
        <w:t xml:space="preserve"> a</w:t>
      </w:r>
      <w:r w:rsidR="005C1AA4">
        <w:t>n estimated</w:t>
      </w:r>
      <w:r>
        <w:t xml:space="preserve"> total</w:t>
      </w:r>
      <w:r w:rsidRPr="000E48C3">
        <w:t xml:space="preserve"> financial contribution to </w:t>
      </w:r>
      <w:r w:rsidR="00A52308">
        <w:t>NSW</w:t>
      </w:r>
      <w:r>
        <w:t xml:space="preserve"> of</w:t>
      </w:r>
      <w:r w:rsidR="00120D56">
        <w:t xml:space="preserve"> </w:t>
      </w:r>
      <w:r w:rsidRPr="00CD526B">
        <w:t>$</w:t>
      </w:r>
      <w:r w:rsidR="00C87BF3">
        <w:t>1,1</w:t>
      </w:r>
      <w:r w:rsidR="00590826">
        <w:t>00,000</w:t>
      </w:r>
      <w:r>
        <w:t xml:space="preserve"> in respect of this Agreement</w:t>
      </w:r>
      <w:r w:rsidR="00FD6FC4">
        <w:t xml:space="preserve">. </w:t>
      </w:r>
      <w:r>
        <w:t>All payments are GST exclusive.</w:t>
      </w:r>
      <w:r w:rsidR="00120D56">
        <w:t xml:space="preserve"> </w:t>
      </w:r>
    </w:p>
    <w:p w14:paraId="0161736F" w14:textId="77777777" w:rsidR="00635552" w:rsidRDefault="00635552" w:rsidP="00694D2B">
      <w:pPr>
        <w:pStyle w:val="Normalnumbered"/>
        <w:numPr>
          <w:ilvl w:val="0"/>
          <w:numId w:val="14"/>
        </w:numPr>
      </w:pPr>
      <w:r>
        <w:t>T</w:t>
      </w:r>
      <w:r w:rsidRPr="002B7E1B">
        <w:t xml:space="preserve">he Commonwealth’s funding contribution will not be reduced where </w:t>
      </w:r>
      <w:r w:rsidR="00A52308">
        <w:t>NSW</w:t>
      </w:r>
      <w:r w:rsidRPr="002B7E1B">
        <w:t xml:space="preserve"> secure</w:t>
      </w:r>
      <w:r w:rsidR="00A52308">
        <w:t>s</w:t>
      </w:r>
      <w:r w:rsidRPr="002B7E1B">
        <w:t xml:space="preserve"> funding from other activity partners</w:t>
      </w:r>
      <w:r>
        <w:t>.</w:t>
      </w:r>
    </w:p>
    <w:p w14:paraId="12961456" w14:textId="77777777" w:rsidR="008E7527" w:rsidRDefault="008E7527" w:rsidP="00E92A6C">
      <w:pPr>
        <w:pStyle w:val="Normalnumbered"/>
        <w:keepNext/>
        <w:keepLines/>
        <w:numPr>
          <w:ilvl w:val="0"/>
          <w:numId w:val="14"/>
        </w:numPr>
      </w:pPr>
      <w:r w:rsidRPr="00751725">
        <w:t>The Commonwealth</w:t>
      </w:r>
      <w:r>
        <w:t>’s</w:t>
      </w:r>
      <w:r w:rsidRPr="00751725">
        <w:t xml:space="preserve"> and </w:t>
      </w:r>
      <w:r w:rsidR="00A52308">
        <w:t>NSW’s</w:t>
      </w:r>
      <w:r w:rsidRPr="00751725">
        <w:t xml:space="preserve"> </w:t>
      </w:r>
      <w:r>
        <w:t xml:space="preserve">estimated </w:t>
      </w:r>
      <w:r w:rsidRPr="00751725">
        <w:t>financial contribution</w:t>
      </w:r>
      <w:r w:rsidR="002E144A">
        <w:t>s</w:t>
      </w:r>
      <w:r w:rsidRPr="00751725">
        <w:t xml:space="preserve"> to the operation of </w:t>
      </w:r>
      <w:r>
        <w:t>this Agreement</w:t>
      </w:r>
      <w:r w:rsidR="00635552">
        <w:t>,</w:t>
      </w:r>
      <w:r w:rsidR="00635552" w:rsidRPr="00635552">
        <w:t xml:space="preserve"> </w:t>
      </w:r>
      <w:r w:rsidR="00635552">
        <w:t xml:space="preserve">including through National Partnership payments to the States paid in accordance with </w:t>
      </w:r>
      <w:r w:rsidR="00635552" w:rsidRPr="002B7E1B">
        <w:rPr>
          <w:i/>
        </w:rPr>
        <w:t>Schedule</w:t>
      </w:r>
      <w:r w:rsidR="00635552">
        <w:rPr>
          <w:i/>
        </w:rPr>
        <w:t> </w:t>
      </w:r>
      <w:r w:rsidR="00635552" w:rsidRPr="002B7E1B">
        <w:rPr>
          <w:i/>
        </w:rPr>
        <w:t>D — Payment Arrangements</w:t>
      </w:r>
      <w:r w:rsidR="00635552">
        <w:t xml:space="preserve"> of the IGA FFR, are shown in Table 2</w:t>
      </w:r>
      <w:r w:rsidR="00635552" w:rsidRPr="00751725">
        <w:t>.</w:t>
      </w:r>
      <w:r>
        <w:t xml:space="preserve"> </w:t>
      </w:r>
    </w:p>
    <w:p w14:paraId="2296E4C3" w14:textId="77777777" w:rsidR="00C81FDA" w:rsidRDefault="00C81FDA" w:rsidP="00C81FDA">
      <w:pPr>
        <w:pStyle w:val="Normalnumbered"/>
        <w:numPr>
          <w:ilvl w:val="0"/>
          <w:numId w:val="0"/>
        </w:numPr>
        <w:rPr>
          <w:b/>
        </w:rPr>
      </w:pPr>
      <w:r>
        <w:rPr>
          <w:b/>
        </w:rPr>
        <w:t>Table 2</w:t>
      </w:r>
      <w:r w:rsidRPr="00E204BB">
        <w:rPr>
          <w:b/>
        </w:rPr>
        <w:t>: Estimated</w:t>
      </w:r>
      <w:r>
        <w:rPr>
          <w:b/>
        </w:rPr>
        <w:t xml:space="preserve"> </w:t>
      </w:r>
      <w:r w:rsidRPr="00E204BB">
        <w:rPr>
          <w:b/>
        </w:rPr>
        <w:t xml:space="preserve">financial contributions </w:t>
      </w:r>
    </w:p>
    <w:tbl>
      <w:tblPr>
        <w:tblW w:w="0" w:type="auto"/>
        <w:tblLook w:val="01E0" w:firstRow="1" w:lastRow="1" w:firstColumn="1" w:lastColumn="1" w:noHBand="0" w:noVBand="0"/>
      </w:tblPr>
      <w:tblGrid>
        <w:gridCol w:w="4372"/>
        <w:gridCol w:w="850"/>
        <w:gridCol w:w="620"/>
        <w:gridCol w:w="1361"/>
        <w:gridCol w:w="1191"/>
        <w:gridCol w:w="1412"/>
      </w:tblGrid>
      <w:tr w:rsidR="004D28F4" w14:paraId="6A9ACA14" w14:textId="77777777" w:rsidTr="009B783F">
        <w:trPr>
          <w:cantSplit/>
          <w:trHeight w:val="340"/>
        </w:trPr>
        <w:tc>
          <w:tcPr>
            <w:tcW w:w="4372" w:type="dxa"/>
            <w:tcBorders>
              <w:top w:val="single" w:sz="4" w:space="0" w:color="000080"/>
              <w:left w:val="nil"/>
              <w:bottom w:val="nil"/>
              <w:right w:val="nil"/>
            </w:tcBorders>
            <w:hideMark/>
          </w:tcPr>
          <w:p w14:paraId="11D2D0B1" w14:textId="77777777" w:rsidR="004D28F4" w:rsidRDefault="004D28F4" w:rsidP="009A443B">
            <w:pPr>
              <w:keepNext/>
              <w:keepLines/>
              <w:spacing w:before="40" w:after="40"/>
              <w:jc w:val="left"/>
              <w:rPr>
                <w:b/>
              </w:rPr>
            </w:pPr>
            <w:r>
              <w:rPr>
                <w:b/>
              </w:rPr>
              <w:t>($)</w:t>
            </w:r>
          </w:p>
        </w:tc>
        <w:tc>
          <w:tcPr>
            <w:tcW w:w="850" w:type="dxa"/>
            <w:tcBorders>
              <w:top w:val="single" w:sz="4" w:space="0" w:color="000080"/>
              <w:left w:val="nil"/>
              <w:right w:val="nil"/>
            </w:tcBorders>
          </w:tcPr>
          <w:p w14:paraId="5F9CC8D7" w14:textId="77777777" w:rsidR="004D28F4" w:rsidRDefault="004D28F4" w:rsidP="009A443B">
            <w:pPr>
              <w:keepNext/>
              <w:keepLines/>
              <w:spacing w:before="40" w:after="40"/>
              <w:jc w:val="right"/>
            </w:pPr>
          </w:p>
        </w:tc>
        <w:tc>
          <w:tcPr>
            <w:tcW w:w="620" w:type="dxa"/>
            <w:tcBorders>
              <w:top w:val="single" w:sz="4" w:space="0" w:color="000080"/>
              <w:left w:val="nil"/>
              <w:right w:val="nil"/>
            </w:tcBorders>
          </w:tcPr>
          <w:p w14:paraId="1CD1BA95" w14:textId="77777777" w:rsidR="004D28F4" w:rsidRDefault="004D28F4" w:rsidP="009A443B">
            <w:pPr>
              <w:keepNext/>
              <w:keepLines/>
              <w:spacing w:before="40" w:after="40"/>
              <w:jc w:val="right"/>
            </w:pPr>
          </w:p>
        </w:tc>
        <w:tc>
          <w:tcPr>
            <w:tcW w:w="1361" w:type="dxa"/>
            <w:tcBorders>
              <w:top w:val="single" w:sz="4" w:space="0" w:color="000080"/>
              <w:left w:val="nil"/>
              <w:bottom w:val="single" w:sz="4" w:space="0" w:color="000080"/>
              <w:right w:val="nil"/>
            </w:tcBorders>
            <w:hideMark/>
          </w:tcPr>
          <w:p w14:paraId="34EFB986" w14:textId="77777777" w:rsidR="004D28F4" w:rsidRPr="00FC6F20" w:rsidRDefault="004D28F4" w:rsidP="009A443B">
            <w:pPr>
              <w:keepNext/>
              <w:keepLines/>
              <w:spacing w:before="40" w:after="40"/>
              <w:jc w:val="right"/>
              <w:rPr>
                <w:i/>
              </w:rPr>
            </w:pPr>
            <w:r w:rsidRPr="00FC6F20">
              <w:rPr>
                <w:i/>
              </w:rPr>
              <w:t>2018-19</w:t>
            </w:r>
          </w:p>
        </w:tc>
        <w:tc>
          <w:tcPr>
            <w:tcW w:w="1191" w:type="dxa"/>
            <w:tcBorders>
              <w:top w:val="single" w:sz="4" w:space="0" w:color="000080"/>
              <w:left w:val="nil"/>
              <w:bottom w:val="single" w:sz="4" w:space="0" w:color="000080"/>
              <w:right w:val="nil"/>
            </w:tcBorders>
          </w:tcPr>
          <w:p w14:paraId="6BAD29E3" w14:textId="77777777" w:rsidR="004D28F4" w:rsidRDefault="004D28F4" w:rsidP="009A443B">
            <w:pPr>
              <w:keepNext/>
              <w:keepLines/>
              <w:spacing w:before="40" w:after="40"/>
              <w:jc w:val="right"/>
            </w:pPr>
            <w:r>
              <w:t>2019-20</w:t>
            </w:r>
          </w:p>
        </w:tc>
        <w:tc>
          <w:tcPr>
            <w:tcW w:w="1412" w:type="dxa"/>
            <w:tcBorders>
              <w:top w:val="single" w:sz="4" w:space="0" w:color="000080"/>
              <w:left w:val="nil"/>
              <w:bottom w:val="single" w:sz="4" w:space="0" w:color="000080"/>
              <w:right w:val="nil"/>
            </w:tcBorders>
            <w:hideMark/>
          </w:tcPr>
          <w:p w14:paraId="6D2CCBFE" w14:textId="77777777" w:rsidR="004D28F4" w:rsidRDefault="004D28F4" w:rsidP="009A443B">
            <w:pPr>
              <w:keepNext/>
              <w:keepLines/>
              <w:spacing w:before="40" w:after="40"/>
              <w:jc w:val="right"/>
            </w:pPr>
            <w:r>
              <w:t>Total</w:t>
            </w:r>
          </w:p>
        </w:tc>
      </w:tr>
      <w:tr w:rsidR="004D28F4" w14:paraId="07A24650" w14:textId="77777777" w:rsidTr="009B783F">
        <w:trPr>
          <w:cantSplit/>
          <w:trHeight w:val="379"/>
        </w:trPr>
        <w:tc>
          <w:tcPr>
            <w:tcW w:w="4372" w:type="dxa"/>
            <w:tcBorders>
              <w:bottom w:val="single" w:sz="4" w:space="0" w:color="auto"/>
            </w:tcBorders>
            <w:hideMark/>
          </w:tcPr>
          <w:p w14:paraId="4F475661" w14:textId="77777777" w:rsidR="004D28F4" w:rsidRDefault="004D28F4" w:rsidP="009A443B">
            <w:pPr>
              <w:keepNext/>
              <w:keepLines/>
              <w:spacing w:before="60" w:after="60"/>
              <w:rPr>
                <w:b/>
              </w:rPr>
            </w:pPr>
            <w:r>
              <w:rPr>
                <w:b/>
              </w:rPr>
              <w:t>Estimated total budget</w:t>
            </w:r>
          </w:p>
        </w:tc>
        <w:tc>
          <w:tcPr>
            <w:tcW w:w="850" w:type="dxa"/>
            <w:tcBorders>
              <w:left w:val="nil"/>
              <w:bottom w:val="single" w:sz="4" w:space="0" w:color="auto"/>
              <w:right w:val="nil"/>
            </w:tcBorders>
          </w:tcPr>
          <w:p w14:paraId="7EC99D67" w14:textId="77777777" w:rsidR="004D28F4" w:rsidRDefault="004D28F4" w:rsidP="009A443B">
            <w:pPr>
              <w:keepNext/>
              <w:keepLines/>
              <w:spacing w:before="40" w:after="40"/>
              <w:jc w:val="right"/>
              <w:rPr>
                <w:b/>
              </w:rPr>
            </w:pPr>
          </w:p>
        </w:tc>
        <w:tc>
          <w:tcPr>
            <w:tcW w:w="620" w:type="dxa"/>
            <w:tcBorders>
              <w:left w:val="nil"/>
              <w:bottom w:val="single" w:sz="4" w:space="0" w:color="auto"/>
              <w:right w:val="nil"/>
            </w:tcBorders>
          </w:tcPr>
          <w:p w14:paraId="17A87447" w14:textId="77777777" w:rsidR="004D28F4" w:rsidRDefault="004D28F4" w:rsidP="009A443B">
            <w:pPr>
              <w:keepNext/>
              <w:keepLines/>
              <w:spacing w:before="40" w:after="40"/>
              <w:jc w:val="right"/>
              <w:rPr>
                <w:b/>
              </w:rPr>
            </w:pPr>
          </w:p>
        </w:tc>
        <w:tc>
          <w:tcPr>
            <w:tcW w:w="1361" w:type="dxa"/>
            <w:tcBorders>
              <w:top w:val="single" w:sz="4" w:space="0" w:color="000080"/>
              <w:left w:val="nil"/>
              <w:bottom w:val="single" w:sz="4" w:space="0" w:color="auto"/>
              <w:right w:val="nil"/>
            </w:tcBorders>
            <w:hideMark/>
          </w:tcPr>
          <w:p w14:paraId="34818503" w14:textId="77777777" w:rsidR="004D28F4" w:rsidRDefault="00502C3A" w:rsidP="009A443B">
            <w:pPr>
              <w:keepNext/>
              <w:keepLines/>
              <w:spacing w:before="40" w:after="40"/>
              <w:jc w:val="right"/>
              <w:rPr>
                <w:b/>
              </w:rPr>
            </w:pPr>
            <w:r>
              <w:rPr>
                <w:b/>
              </w:rPr>
              <w:t>1,6</w:t>
            </w:r>
            <w:r w:rsidR="004D28F4">
              <w:rPr>
                <w:b/>
              </w:rPr>
              <w:t>00,000</w:t>
            </w:r>
          </w:p>
        </w:tc>
        <w:tc>
          <w:tcPr>
            <w:tcW w:w="1191" w:type="dxa"/>
            <w:tcBorders>
              <w:top w:val="single" w:sz="4" w:space="0" w:color="000080"/>
              <w:left w:val="nil"/>
              <w:bottom w:val="single" w:sz="4" w:space="0" w:color="auto"/>
              <w:right w:val="nil"/>
            </w:tcBorders>
          </w:tcPr>
          <w:p w14:paraId="67D886EC" w14:textId="77777777" w:rsidR="004D28F4" w:rsidRDefault="00502C3A" w:rsidP="009A443B">
            <w:pPr>
              <w:keepNext/>
              <w:keepLines/>
              <w:spacing w:before="40" w:after="40"/>
              <w:jc w:val="right"/>
              <w:rPr>
                <w:b/>
              </w:rPr>
            </w:pPr>
            <w:r>
              <w:rPr>
                <w:b/>
              </w:rPr>
              <w:t>6</w:t>
            </w:r>
            <w:r w:rsidR="004D28F4">
              <w:rPr>
                <w:b/>
              </w:rPr>
              <w:t>00,000</w:t>
            </w:r>
          </w:p>
        </w:tc>
        <w:tc>
          <w:tcPr>
            <w:tcW w:w="1412" w:type="dxa"/>
            <w:tcBorders>
              <w:top w:val="single" w:sz="4" w:space="0" w:color="000080"/>
              <w:left w:val="nil"/>
              <w:bottom w:val="single" w:sz="4" w:space="0" w:color="auto"/>
              <w:right w:val="nil"/>
            </w:tcBorders>
            <w:hideMark/>
          </w:tcPr>
          <w:p w14:paraId="78BD0CD5" w14:textId="77777777" w:rsidR="004D28F4" w:rsidRDefault="00502C3A" w:rsidP="00502C3A">
            <w:pPr>
              <w:keepNext/>
              <w:keepLines/>
              <w:spacing w:before="40" w:after="40"/>
              <w:jc w:val="right"/>
              <w:rPr>
                <w:b/>
              </w:rPr>
            </w:pPr>
            <w:r>
              <w:rPr>
                <w:b/>
              </w:rPr>
              <w:t>2</w:t>
            </w:r>
            <w:r w:rsidR="004D28F4">
              <w:rPr>
                <w:b/>
              </w:rPr>
              <w:t>,</w:t>
            </w:r>
            <w:r>
              <w:rPr>
                <w:b/>
              </w:rPr>
              <w:t>2</w:t>
            </w:r>
            <w:r w:rsidR="004D28F4">
              <w:rPr>
                <w:b/>
              </w:rPr>
              <w:t>00,000</w:t>
            </w:r>
          </w:p>
        </w:tc>
      </w:tr>
      <w:tr w:rsidR="004D28F4" w14:paraId="39CF6BCF" w14:textId="77777777" w:rsidTr="009B783F">
        <w:trPr>
          <w:cantSplit/>
          <w:trHeight w:val="379"/>
        </w:trPr>
        <w:tc>
          <w:tcPr>
            <w:tcW w:w="4372" w:type="dxa"/>
            <w:tcBorders>
              <w:top w:val="single" w:sz="4" w:space="0" w:color="auto"/>
            </w:tcBorders>
            <w:hideMark/>
          </w:tcPr>
          <w:p w14:paraId="777012FF" w14:textId="77777777" w:rsidR="004D28F4" w:rsidRDefault="00AD789B" w:rsidP="009A443B">
            <w:pPr>
              <w:keepNext/>
              <w:keepLines/>
              <w:spacing w:before="60" w:after="60"/>
            </w:pPr>
            <w:r>
              <w:t>E</w:t>
            </w:r>
            <w:r w:rsidR="004D28F4">
              <w:t>stimated National Partnership Payments</w:t>
            </w:r>
          </w:p>
        </w:tc>
        <w:tc>
          <w:tcPr>
            <w:tcW w:w="850" w:type="dxa"/>
            <w:tcBorders>
              <w:top w:val="single" w:sz="4" w:space="0" w:color="auto"/>
              <w:left w:val="nil"/>
              <w:right w:val="nil"/>
            </w:tcBorders>
          </w:tcPr>
          <w:p w14:paraId="2195B9B9" w14:textId="77777777" w:rsidR="004D28F4" w:rsidRDefault="004D28F4" w:rsidP="009A443B">
            <w:pPr>
              <w:keepNext/>
              <w:keepLines/>
              <w:spacing w:before="40" w:after="40"/>
              <w:jc w:val="right"/>
            </w:pPr>
          </w:p>
        </w:tc>
        <w:tc>
          <w:tcPr>
            <w:tcW w:w="620" w:type="dxa"/>
            <w:tcBorders>
              <w:top w:val="single" w:sz="4" w:space="0" w:color="auto"/>
              <w:left w:val="nil"/>
              <w:right w:val="nil"/>
            </w:tcBorders>
          </w:tcPr>
          <w:p w14:paraId="0802B611" w14:textId="77777777" w:rsidR="004D28F4" w:rsidRDefault="004D28F4" w:rsidP="009A443B">
            <w:pPr>
              <w:keepNext/>
              <w:keepLines/>
              <w:spacing w:before="40" w:after="40"/>
              <w:jc w:val="right"/>
            </w:pPr>
          </w:p>
        </w:tc>
        <w:tc>
          <w:tcPr>
            <w:tcW w:w="1361" w:type="dxa"/>
            <w:tcBorders>
              <w:top w:val="single" w:sz="4" w:space="0" w:color="auto"/>
              <w:left w:val="nil"/>
              <w:right w:val="nil"/>
            </w:tcBorders>
            <w:hideMark/>
          </w:tcPr>
          <w:p w14:paraId="6B0F6511" w14:textId="77777777" w:rsidR="004D28F4" w:rsidRDefault="004D28F4" w:rsidP="009A443B">
            <w:pPr>
              <w:keepNext/>
              <w:keepLines/>
              <w:spacing w:before="40" w:after="40"/>
              <w:jc w:val="right"/>
            </w:pPr>
            <w:r>
              <w:t>800,000</w:t>
            </w:r>
          </w:p>
        </w:tc>
        <w:tc>
          <w:tcPr>
            <w:tcW w:w="1191" w:type="dxa"/>
            <w:tcBorders>
              <w:top w:val="single" w:sz="4" w:space="0" w:color="auto"/>
              <w:left w:val="nil"/>
              <w:right w:val="nil"/>
            </w:tcBorders>
          </w:tcPr>
          <w:p w14:paraId="48A53489" w14:textId="77777777" w:rsidR="004D28F4" w:rsidRDefault="004D28F4" w:rsidP="009A443B">
            <w:pPr>
              <w:keepNext/>
              <w:keepLines/>
              <w:spacing w:before="40" w:after="40"/>
              <w:jc w:val="right"/>
            </w:pPr>
            <w:r>
              <w:t>300,000</w:t>
            </w:r>
          </w:p>
        </w:tc>
        <w:tc>
          <w:tcPr>
            <w:tcW w:w="1412" w:type="dxa"/>
            <w:tcBorders>
              <w:top w:val="single" w:sz="4" w:space="0" w:color="auto"/>
              <w:left w:val="nil"/>
              <w:right w:val="nil"/>
            </w:tcBorders>
            <w:hideMark/>
          </w:tcPr>
          <w:p w14:paraId="04DD5340" w14:textId="77777777" w:rsidR="004D28F4" w:rsidRDefault="004D28F4" w:rsidP="009A443B">
            <w:pPr>
              <w:keepNext/>
              <w:keepLines/>
              <w:spacing w:before="40" w:after="40"/>
              <w:jc w:val="right"/>
            </w:pPr>
            <w:r>
              <w:t>1,100,000</w:t>
            </w:r>
          </w:p>
        </w:tc>
      </w:tr>
      <w:tr w:rsidR="003E70DE" w14:paraId="19368ABE" w14:textId="77777777" w:rsidTr="009B783F">
        <w:trPr>
          <w:cantSplit/>
          <w:trHeight w:val="379"/>
        </w:trPr>
        <w:tc>
          <w:tcPr>
            <w:tcW w:w="4372" w:type="dxa"/>
          </w:tcPr>
          <w:p w14:paraId="6567A875" w14:textId="77777777" w:rsidR="003E70DE" w:rsidRDefault="00AD789B" w:rsidP="000934CC">
            <w:pPr>
              <w:keepNext/>
              <w:keepLines/>
              <w:spacing w:before="60" w:after="60"/>
            </w:pPr>
            <w:r>
              <w:t>E</w:t>
            </w:r>
            <w:r w:rsidR="003E70DE">
              <w:t xml:space="preserve">stimated </w:t>
            </w:r>
            <w:r w:rsidR="00502C3A">
              <w:t xml:space="preserve">financial or </w:t>
            </w:r>
            <w:r w:rsidR="003E70DE">
              <w:t>in-kind New South Wales contributions</w:t>
            </w:r>
            <w:r w:rsidR="00502C3A">
              <w:t>*</w:t>
            </w:r>
          </w:p>
        </w:tc>
        <w:tc>
          <w:tcPr>
            <w:tcW w:w="850" w:type="dxa"/>
            <w:tcBorders>
              <w:top w:val="nil"/>
              <w:left w:val="nil"/>
              <w:right w:val="nil"/>
            </w:tcBorders>
          </w:tcPr>
          <w:p w14:paraId="54B67C8D" w14:textId="77777777" w:rsidR="003E70DE" w:rsidRDefault="003E70DE" w:rsidP="00872271">
            <w:pPr>
              <w:keepNext/>
              <w:keepLines/>
              <w:spacing w:before="40" w:after="40"/>
              <w:jc w:val="right"/>
            </w:pPr>
          </w:p>
        </w:tc>
        <w:tc>
          <w:tcPr>
            <w:tcW w:w="620" w:type="dxa"/>
            <w:tcBorders>
              <w:top w:val="nil"/>
              <w:left w:val="nil"/>
              <w:right w:val="nil"/>
            </w:tcBorders>
          </w:tcPr>
          <w:p w14:paraId="77D50436" w14:textId="77777777" w:rsidR="003E70DE" w:rsidRDefault="003E70DE" w:rsidP="00872271">
            <w:pPr>
              <w:keepNext/>
              <w:keepLines/>
              <w:spacing w:before="40" w:after="40"/>
              <w:jc w:val="right"/>
            </w:pPr>
          </w:p>
        </w:tc>
        <w:tc>
          <w:tcPr>
            <w:tcW w:w="1361" w:type="dxa"/>
            <w:tcBorders>
              <w:top w:val="nil"/>
              <w:left w:val="nil"/>
              <w:bottom w:val="single" w:sz="4" w:space="0" w:color="000080"/>
              <w:right w:val="nil"/>
            </w:tcBorders>
          </w:tcPr>
          <w:p w14:paraId="420F8766" w14:textId="77777777" w:rsidR="003E70DE" w:rsidRDefault="003E70DE" w:rsidP="00872271">
            <w:pPr>
              <w:keepNext/>
              <w:keepLines/>
              <w:spacing w:before="40" w:after="40"/>
              <w:jc w:val="right"/>
            </w:pPr>
            <w:r>
              <w:t>800,00</w:t>
            </w:r>
            <w:r w:rsidR="00D5552A">
              <w:t>0</w:t>
            </w:r>
          </w:p>
        </w:tc>
        <w:tc>
          <w:tcPr>
            <w:tcW w:w="1191" w:type="dxa"/>
            <w:tcBorders>
              <w:top w:val="nil"/>
              <w:left w:val="nil"/>
              <w:bottom w:val="single" w:sz="4" w:space="0" w:color="000080"/>
              <w:right w:val="nil"/>
            </w:tcBorders>
          </w:tcPr>
          <w:p w14:paraId="68CA3097" w14:textId="77777777" w:rsidR="003E70DE" w:rsidRDefault="003E70DE" w:rsidP="00872271">
            <w:pPr>
              <w:keepNext/>
              <w:keepLines/>
              <w:spacing w:before="40" w:after="40"/>
              <w:jc w:val="right"/>
            </w:pPr>
            <w:r>
              <w:t>300,000</w:t>
            </w:r>
          </w:p>
        </w:tc>
        <w:tc>
          <w:tcPr>
            <w:tcW w:w="1412" w:type="dxa"/>
            <w:tcBorders>
              <w:top w:val="nil"/>
              <w:left w:val="nil"/>
              <w:bottom w:val="single" w:sz="4" w:space="0" w:color="000080"/>
              <w:right w:val="nil"/>
            </w:tcBorders>
          </w:tcPr>
          <w:p w14:paraId="2FB6F735" w14:textId="77777777" w:rsidR="003E70DE" w:rsidRDefault="003E70DE" w:rsidP="00872271">
            <w:pPr>
              <w:keepNext/>
              <w:keepLines/>
              <w:spacing w:before="40" w:after="40"/>
              <w:jc w:val="right"/>
            </w:pPr>
            <w:r>
              <w:t>1,100,000</w:t>
            </w:r>
          </w:p>
        </w:tc>
      </w:tr>
    </w:tbl>
    <w:p w14:paraId="5C75505F" w14:textId="77777777" w:rsidR="00C81FDA" w:rsidRPr="00502C3A" w:rsidRDefault="00502C3A" w:rsidP="003D060E">
      <w:pPr>
        <w:pStyle w:val="Normalnumbered"/>
        <w:keepNext/>
        <w:keepLines/>
        <w:numPr>
          <w:ilvl w:val="0"/>
          <w:numId w:val="0"/>
        </w:numPr>
        <w:rPr>
          <w:sz w:val="21"/>
        </w:rPr>
      </w:pPr>
      <w:r w:rsidRPr="00502C3A">
        <w:rPr>
          <w:sz w:val="21"/>
        </w:rPr>
        <w:t xml:space="preserve">*In kind contributions may contribute to the total NSW contribution. Financial or in-kind contributions from other states may also contribute to the total NSW contribution for the purposes of Clauses 18 and 19. </w:t>
      </w:r>
    </w:p>
    <w:p w14:paraId="1B9932F1" w14:textId="77777777" w:rsidR="00C81FDA" w:rsidRDefault="004B54C2" w:rsidP="00C81FDA">
      <w:pPr>
        <w:pStyle w:val="Normalnumbered"/>
        <w:numPr>
          <w:ilvl w:val="0"/>
          <w:numId w:val="14"/>
        </w:numPr>
        <w:jc w:val="left"/>
      </w:pPr>
      <w:r>
        <w:t xml:space="preserve">NSW is required to provide, or obtain from </w:t>
      </w:r>
      <w:r w:rsidR="00296E48">
        <w:t>other State and Territory</w:t>
      </w:r>
      <w:r>
        <w:t xml:space="preserve"> jurisdictions, </w:t>
      </w:r>
      <w:r w:rsidR="003441EB">
        <w:t xml:space="preserve">financial or in kind contributions such as </w:t>
      </w:r>
      <w:r>
        <w:t>staff resources and consultation venues</w:t>
      </w:r>
      <w:r w:rsidR="00F5779D">
        <w:t xml:space="preserve">, to the total </w:t>
      </w:r>
      <w:r>
        <w:t>value of $</w:t>
      </w:r>
      <w:r w:rsidR="004847F5">
        <w:t>1,100</w:t>
      </w:r>
      <w:r>
        <w:t xml:space="preserve">,000, exclusive of GST to facilitate the Review. </w:t>
      </w:r>
    </w:p>
    <w:p w14:paraId="5F4406A4" w14:textId="77777777" w:rsidR="00C81FDA" w:rsidRDefault="00C81FDA" w:rsidP="00C81FDA">
      <w:pPr>
        <w:pStyle w:val="Normalnumbered"/>
        <w:numPr>
          <w:ilvl w:val="0"/>
          <w:numId w:val="14"/>
        </w:numPr>
      </w:pPr>
      <w:r>
        <w:t xml:space="preserve">Where </w:t>
      </w:r>
      <w:r w:rsidR="00A52308">
        <w:t>NSW</w:t>
      </w:r>
      <w:r>
        <w:t xml:space="preserve"> </w:t>
      </w:r>
      <w:r w:rsidR="00A52308">
        <w:t>is</w:t>
      </w:r>
      <w:r w:rsidR="003D060E">
        <w:t xml:space="preserve"> unable to provide the required amount of </w:t>
      </w:r>
      <w:r w:rsidR="00502C3A">
        <w:t xml:space="preserve">financial or </w:t>
      </w:r>
      <w:r w:rsidR="003D060E">
        <w:t>in-kind contributions</w:t>
      </w:r>
      <w:r w:rsidR="00F95CCE">
        <w:t xml:space="preserve"> for the outputs at Clauses 8(a), 8(d), and 8(e)</w:t>
      </w:r>
      <w:r w:rsidR="003D060E">
        <w:t>, the Commonwealth may</w:t>
      </w:r>
      <w:r>
        <w:t xml:space="preserve"> reduce its </w:t>
      </w:r>
      <w:r w:rsidR="003D060E">
        <w:t xml:space="preserve">financial </w:t>
      </w:r>
      <w:r>
        <w:t>contribution</w:t>
      </w:r>
      <w:r w:rsidR="00F95CCE">
        <w:t xml:space="preserve"> related to these performance milestones</w:t>
      </w:r>
      <w:r>
        <w:t xml:space="preserve"> by </w:t>
      </w:r>
      <w:r w:rsidR="001C3B1E">
        <w:t xml:space="preserve">a </w:t>
      </w:r>
      <w:r>
        <w:t xml:space="preserve">corresponding amount. </w:t>
      </w:r>
    </w:p>
    <w:p w14:paraId="4FBF992B" w14:textId="77777777" w:rsidR="00F95CCE" w:rsidRDefault="00F95CCE" w:rsidP="00F95CCE">
      <w:pPr>
        <w:pStyle w:val="Normalnumbered"/>
        <w:numPr>
          <w:ilvl w:val="0"/>
          <w:numId w:val="14"/>
        </w:numPr>
      </w:pPr>
      <w:bookmarkStart w:id="0" w:name="top"/>
      <w:bookmarkEnd w:id="0"/>
      <w:r>
        <w:t>Where NSW, through the NRSCH Secretariat, is unable to provide the required amount of financial or in-kind contributions for the outputs at Clauses 8(b), 8(c), and 8(f), the Commonwealth may reduce its financial contribution</w:t>
      </w:r>
      <w:r w:rsidR="001C3B1E">
        <w:t xml:space="preserve"> rel</w:t>
      </w:r>
      <w:r w:rsidR="00AE4425">
        <w:t>a</w:t>
      </w:r>
      <w:r w:rsidR="001C3B1E">
        <w:t>ted to these performance milestones</w:t>
      </w:r>
      <w:r>
        <w:t xml:space="preserve"> by </w:t>
      </w:r>
      <w:r w:rsidR="001C3B1E">
        <w:t xml:space="preserve">a </w:t>
      </w:r>
      <w:r>
        <w:t xml:space="preserve">corresponding amount. </w:t>
      </w:r>
    </w:p>
    <w:p w14:paraId="0463ED6D" w14:textId="77777777" w:rsidR="00814667" w:rsidRDefault="003A2157" w:rsidP="00F95CCE">
      <w:pPr>
        <w:pStyle w:val="Heading1"/>
      </w:pPr>
      <w:r>
        <w:t xml:space="preserve">Part </w:t>
      </w:r>
      <w:r w:rsidR="000B4080">
        <w:t>6</w:t>
      </w:r>
      <w:r w:rsidR="00814667">
        <w:t xml:space="preserve"> — governance arrangements</w:t>
      </w:r>
    </w:p>
    <w:p w14:paraId="08982A2B" w14:textId="77777777" w:rsidR="00BC4728" w:rsidRDefault="00BC4728" w:rsidP="00BC4728">
      <w:pPr>
        <w:pStyle w:val="Heading2"/>
      </w:pPr>
      <w:r w:rsidRPr="006F096A">
        <w:t>Enforceability of the Agreement</w:t>
      </w:r>
    </w:p>
    <w:p w14:paraId="5096769B" w14:textId="77777777" w:rsidR="00BC4728" w:rsidRPr="00C40EBC" w:rsidRDefault="00BC4728" w:rsidP="00E92A6C">
      <w:pPr>
        <w:pStyle w:val="Normalnumbered"/>
        <w:numPr>
          <w:ilvl w:val="0"/>
          <w:numId w:val="14"/>
        </w:numPr>
        <w:spacing w:line="240" w:lineRule="auto"/>
      </w:pPr>
      <w:r>
        <w:rPr>
          <w:szCs w:val="23"/>
        </w:rPr>
        <w:t>The Parties do not intend any of the provisions of this Agreement to be legally enforceable. However, that does not lessen the Parties’ commitment to this Agreement.</w:t>
      </w:r>
    </w:p>
    <w:p w14:paraId="375100FC" w14:textId="77777777" w:rsidR="00814667" w:rsidRDefault="00814667">
      <w:pPr>
        <w:pStyle w:val="Heading2"/>
      </w:pPr>
      <w:r>
        <w:lastRenderedPageBreak/>
        <w:t>Variation of the Agreement</w:t>
      </w:r>
    </w:p>
    <w:p w14:paraId="399F93DF" w14:textId="77777777" w:rsidR="00814667" w:rsidRPr="00DE36EB" w:rsidRDefault="00607B03" w:rsidP="00E92A6C">
      <w:pPr>
        <w:pStyle w:val="Normalnumbered"/>
        <w:numPr>
          <w:ilvl w:val="0"/>
          <w:numId w:val="14"/>
        </w:numPr>
      </w:pPr>
      <w:r>
        <w:t>The A</w:t>
      </w:r>
      <w:r w:rsidR="00814667">
        <w:t xml:space="preserve">greement may be amended at any time by agreement in writing by </w:t>
      </w:r>
      <w:r w:rsidR="00814667" w:rsidRPr="00DE36EB">
        <w:t>the Parties.</w:t>
      </w:r>
    </w:p>
    <w:p w14:paraId="39F8A110" w14:textId="77777777" w:rsidR="00292587" w:rsidRDefault="00814667" w:rsidP="00E92A6C">
      <w:pPr>
        <w:pStyle w:val="Normalnumbered"/>
        <w:numPr>
          <w:ilvl w:val="0"/>
          <w:numId w:val="14"/>
        </w:numPr>
      </w:pPr>
      <w:r w:rsidRPr="00DE36EB">
        <w:t>Part</w:t>
      </w:r>
      <w:r w:rsidR="00097D52">
        <w:t>ies</w:t>
      </w:r>
      <w:r w:rsidRPr="00DE36EB">
        <w:t xml:space="preserve"> to the Agreement may terminate their part</w:t>
      </w:r>
      <w:r>
        <w:t xml:space="preserve">icipation in the Agreement at any time by notifying </w:t>
      </w:r>
      <w:r w:rsidR="008174CF">
        <w:t>the other</w:t>
      </w:r>
      <w:r w:rsidR="008174CF">
        <w:rPr>
          <w:i/>
        </w:rPr>
        <w:t xml:space="preserve"> </w:t>
      </w:r>
      <w:r w:rsidR="008174CF">
        <w:t>Party</w:t>
      </w:r>
      <w:r w:rsidR="008174CF">
        <w:rPr>
          <w:i/>
        </w:rPr>
        <w:t xml:space="preserve"> </w:t>
      </w:r>
      <w:r>
        <w:t>in writing.</w:t>
      </w:r>
    </w:p>
    <w:p w14:paraId="1247AE7E" w14:textId="77777777" w:rsidR="009526E4" w:rsidRDefault="009526E4" w:rsidP="0036119D">
      <w:pPr>
        <w:pStyle w:val="Heading2"/>
      </w:pPr>
      <w:r>
        <w:t>Delegations</w:t>
      </w:r>
    </w:p>
    <w:p w14:paraId="62FDDCC8" w14:textId="77777777" w:rsidR="009526E4" w:rsidRDefault="009526E4" w:rsidP="00E92A6C">
      <w:pPr>
        <w:pStyle w:val="Normalnumbered"/>
        <w:numPr>
          <w:ilvl w:val="0"/>
          <w:numId w:val="1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400BC9A9" w14:textId="77777777" w:rsidR="0036119D" w:rsidRDefault="0036119D" w:rsidP="0036119D">
      <w:pPr>
        <w:pStyle w:val="Heading2"/>
      </w:pPr>
      <w:r>
        <w:t>Dispute resolution</w:t>
      </w:r>
    </w:p>
    <w:p w14:paraId="1F442C8B" w14:textId="77777777" w:rsidR="0036119D" w:rsidRPr="00DE36EB" w:rsidRDefault="008174CF" w:rsidP="00E92A6C">
      <w:pPr>
        <w:pStyle w:val="Normalnumbered"/>
        <w:numPr>
          <w:ilvl w:val="0"/>
          <w:numId w:val="14"/>
        </w:numPr>
      </w:pPr>
      <w:r>
        <w:t>Either</w:t>
      </w:r>
      <w:r w:rsidRPr="00DE36EB">
        <w:t xml:space="preserve"> </w:t>
      </w:r>
      <w:r w:rsidR="0036119D" w:rsidRPr="00DE36EB">
        <w:t xml:space="preserve">Party may give notice to </w:t>
      </w:r>
      <w:r>
        <w:t xml:space="preserve">the </w:t>
      </w:r>
      <w:r w:rsidR="0036119D" w:rsidRPr="00DE36EB">
        <w:t xml:space="preserve">other </w:t>
      </w:r>
      <w:r w:rsidRPr="00DE36EB">
        <w:t>Part</w:t>
      </w:r>
      <w:r>
        <w:t>y</w:t>
      </w:r>
      <w:r w:rsidRPr="00DE36EB">
        <w:t xml:space="preserve"> </w:t>
      </w:r>
      <w:r w:rsidR="0036119D" w:rsidRPr="00DE36EB">
        <w:t>of a dispute under this Agreement.</w:t>
      </w:r>
    </w:p>
    <w:p w14:paraId="156D834D" w14:textId="77777777" w:rsidR="0036119D" w:rsidRPr="00DE36EB" w:rsidRDefault="0036119D" w:rsidP="00E92A6C">
      <w:pPr>
        <w:pStyle w:val="Normalnumbered"/>
        <w:numPr>
          <w:ilvl w:val="0"/>
          <w:numId w:val="14"/>
        </w:numPr>
      </w:pPr>
      <w:r w:rsidRPr="00DE36EB">
        <w:t xml:space="preserve">Officials of </w:t>
      </w:r>
      <w:r w:rsidR="008174CF">
        <w:t>the</w:t>
      </w:r>
      <w:r w:rsidR="008174CF" w:rsidRPr="00DE36EB">
        <w:rPr>
          <w:i/>
        </w:rPr>
        <w:t xml:space="preserve"> </w:t>
      </w:r>
      <w:r w:rsidRPr="00DE36EB">
        <w:t>Parties will attempt to resolve any dispute in the first instance.</w:t>
      </w:r>
    </w:p>
    <w:p w14:paraId="2552DA4B" w14:textId="77777777" w:rsidR="0036119D" w:rsidRPr="00DE36EB" w:rsidRDefault="0036119D" w:rsidP="00E92A6C">
      <w:pPr>
        <w:pStyle w:val="Normalnumbered"/>
        <w:numPr>
          <w:ilvl w:val="0"/>
          <w:numId w:val="14"/>
        </w:numPr>
      </w:pPr>
      <w:r w:rsidRPr="00DE36EB">
        <w:t>If a dispute cannot be resolved by officials, it may be escalated to the relevant Ministers.</w:t>
      </w:r>
    </w:p>
    <w:p w14:paraId="605D8DC4" w14:textId="77777777" w:rsidR="0036119D" w:rsidRDefault="0036119D" w:rsidP="000614F9">
      <w:pPr>
        <w:pStyle w:val="Normalnumbered"/>
        <w:numPr>
          <w:ilvl w:val="0"/>
          <w:numId w:val="0"/>
        </w:numPr>
        <w:jc w:val="left"/>
        <w:sectPr w:rsidR="0036119D" w:rsidSect="00D51EBD">
          <w:headerReference w:type="even" r:id="rId15"/>
          <w:headerReference w:type="default" r:id="rId16"/>
          <w:footerReference w:type="even" r:id="rId17"/>
          <w:footerReference w:type="default" r:id="rId18"/>
          <w:footerReference w:type="first" r:id="rId19"/>
          <w:pgSz w:w="11906" w:h="16838" w:code="9"/>
          <w:pgMar w:top="1418" w:right="1134" w:bottom="1418" w:left="1134" w:header="709" w:footer="709" w:gutter="0"/>
          <w:cols w:space="708"/>
          <w:titlePg/>
          <w:docGrid w:linePitch="360"/>
        </w:sectPr>
      </w:pPr>
      <w:bookmarkStart w:id="1" w:name="_GoBack"/>
      <w:bookmarkEnd w:id="1"/>
    </w:p>
    <w:p w14:paraId="0014750B"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7D2D1E18" w14:textId="77777777">
        <w:trPr>
          <w:cantSplit/>
          <w:jc w:val="center"/>
        </w:trPr>
        <w:tc>
          <w:tcPr>
            <w:tcW w:w="4536" w:type="dxa"/>
          </w:tcPr>
          <w:p w14:paraId="2BDADC7F" w14:textId="77777777" w:rsidR="00814667" w:rsidRPr="002E23A9" w:rsidRDefault="00814667">
            <w:pPr>
              <w:pStyle w:val="Signed"/>
            </w:pPr>
            <w:r w:rsidRPr="002E23A9">
              <w:rPr>
                <w:rStyle w:val="SignedBold"/>
              </w:rPr>
              <w:t>Signed</w:t>
            </w:r>
            <w:r w:rsidRPr="002E23A9">
              <w:t xml:space="preserve"> for and on behalf of the Commonwealth of </w:t>
            </w:r>
            <w:smartTag w:uri="urn:schemas-microsoft-com:office:smarttags" w:element="country-region">
              <w:smartTag w:uri="urn:schemas-microsoft-com:office:smarttags" w:element="place">
                <w:r w:rsidRPr="002E23A9">
                  <w:t>Australia</w:t>
                </w:r>
              </w:smartTag>
            </w:smartTag>
            <w:r w:rsidRPr="002E23A9">
              <w:t xml:space="preserve"> by</w:t>
            </w:r>
          </w:p>
          <w:p w14:paraId="0649C224" w14:textId="77777777" w:rsidR="00814667" w:rsidRPr="002E23A9" w:rsidRDefault="00814667">
            <w:pPr>
              <w:pStyle w:val="LineForSignature"/>
            </w:pPr>
            <w:r w:rsidRPr="002E23A9">
              <w:tab/>
            </w:r>
          </w:p>
          <w:p w14:paraId="56A9A390" w14:textId="77777777" w:rsidR="00814667" w:rsidRPr="002E23A9" w:rsidRDefault="00814667">
            <w:pPr>
              <w:pStyle w:val="SingleParagraph"/>
              <w:rPr>
                <w:rStyle w:val="Bold"/>
              </w:rPr>
            </w:pPr>
            <w:r w:rsidRPr="002E23A9">
              <w:rPr>
                <w:rStyle w:val="Bold"/>
              </w:rPr>
              <w:t xml:space="preserve">The Honourable </w:t>
            </w:r>
            <w:r w:rsidR="00D622ED" w:rsidRPr="002E23A9">
              <w:rPr>
                <w:rStyle w:val="Bold"/>
              </w:rPr>
              <w:t>Paul Fletcher</w:t>
            </w:r>
            <w:r w:rsidR="0099742A" w:rsidRPr="002E23A9">
              <w:rPr>
                <w:rStyle w:val="Bold"/>
              </w:rPr>
              <w:t xml:space="preserve"> </w:t>
            </w:r>
            <w:r w:rsidRPr="002E23A9">
              <w:rPr>
                <w:rStyle w:val="Bold"/>
              </w:rPr>
              <w:t>MP</w:t>
            </w:r>
          </w:p>
          <w:p w14:paraId="44F4A5E7" w14:textId="77777777" w:rsidR="00814667" w:rsidRPr="002E23A9" w:rsidRDefault="0099742A">
            <w:pPr>
              <w:pStyle w:val="Position"/>
              <w:rPr>
                <w:lang w:val="en-GB"/>
              </w:rPr>
            </w:pPr>
            <w:r w:rsidRPr="002E23A9">
              <w:rPr>
                <w:lang w:val="en-GB"/>
              </w:rPr>
              <w:t xml:space="preserve">Minister for </w:t>
            </w:r>
            <w:r w:rsidR="00D622ED" w:rsidRPr="002E23A9">
              <w:rPr>
                <w:lang w:val="en-GB"/>
              </w:rPr>
              <w:t xml:space="preserve">Families and </w:t>
            </w:r>
            <w:r w:rsidR="00B57FD2" w:rsidRPr="002E23A9">
              <w:rPr>
                <w:lang w:val="en-GB"/>
              </w:rPr>
              <w:t>Social Services</w:t>
            </w:r>
            <w:r w:rsidRPr="002E23A9">
              <w:rPr>
                <w:lang w:val="en-GB"/>
              </w:rPr>
              <w:t xml:space="preserve"> </w:t>
            </w:r>
          </w:p>
          <w:p w14:paraId="788D598B" w14:textId="77777777" w:rsidR="00814667" w:rsidRPr="002E23A9" w:rsidRDefault="006679C0">
            <w:pPr>
              <w:pStyle w:val="SingleParagraph"/>
              <w:tabs>
                <w:tab w:val="num" w:pos="1134"/>
              </w:tabs>
              <w:spacing w:after="240"/>
              <w:ind w:left="1134" w:hanging="567"/>
              <w:rPr>
                <w:b/>
                <w:lang w:val="en-GB"/>
              </w:rPr>
            </w:pPr>
            <w:r w:rsidRPr="002E23A9">
              <w:rPr>
                <w:lang w:val="en-GB"/>
              </w:rPr>
              <w:t>[Day]  [</w:t>
            </w:r>
            <w:r w:rsidR="001B1CA3" w:rsidRPr="002E23A9">
              <w:rPr>
                <w:lang w:val="en-GB"/>
              </w:rPr>
              <w:t>Month</w:t>
            </w:r>
            <w:r w:rsidRPr="002E23A9">
              <w:rPr>
                <w:lang w:val="en-GB"/>
              </w:rPr>
              <w:t>]</w:t>
            </w:r>
            <w:r w:rsidR="001B1CA3" w:rsidRPr="002E23A9">
              <w:rPr>
                <w:lang w:val="en-GB"/>
              </w:rPr>
              <w:t xml:space="preserve"> </w:t>
            </w:r>
            <w:r w:rsidRPr="002E23A9">
              <w:rPr>
                <w:lang w:val="en-GB"/>
              </w:rPr>
              <w:t xml:space="preserve"> [Year]</w:t>
            </w:r>
          </w:p>
        </w:tc>
        <w:tc>
          <w:tcPr>
            <w:tcW w:w="284" w:type="dxa"/>
            <w:tcMar>
              <w:left w:w="0" w:type="dxa"/>
              <w:right w:w="0" w:type="dxa"/>
            </w:tcMar>
          </w:tcPr>
          <w:p w14:paraId="61B12666" w14:textId="77777777" w:rsidR="00814667" w:rsidRPr="00BC3555" w:rsidRDefault="00814667">
            <w:pPr>
              <w:rPr>
                <w:rFonts w:ascii="Book Antiqua" w:hAnsi="Book Antiqua"/>
                <w:highlight w:val="yellow"/>
                <w:lang w:val="en-GB"/>
              </w:rPr>
            </w:pPr>
          </w:p>
        </w:tc>
        <w:tc>
          <w:tcPr>
            <w:tcW w:w="4536" w:type="dxa"/>
          </w:tcPr>
          <w:p w14:paraId="641B0F76" w14:textId="77777777" w:rsidR="00814667" w:rsidRPr="00BC3555" w:rsidRDefault="00814667">
            <w:pPr>
              <w:rPr>
                <w:rFonts w:ascii="Book Antiqua" w:hAnsi="Book Antiqua"/>
                <w:highlight w:val="yellow"/>
                <w:lang w:val="en-GB"/>
              </w:rPr>
            </w:pPr>
          </w:p>
        </w:tc>
      </w:tr>
      <w:tr w:rsidR="00814667" w:rsidRPr="00A50751" w14:paraId="051C30BB" w14:textId="77777777">
        <w:trPr>
          <w:cantSplit/>
          <w:jc w:val="center"/>
        </w:trPr>
        <w:tc>
          <w:tcPr>
            <w:tcW w:w="4536" w:type="dxa"/>
          </w:tcPr>
          <w:p w14:paraId="46E88511" w14:textId="77777777" w:rsidR="00814667" w:rsidRPr="002E23A9" w:rsidRDefault="00814667">
            <w:pPr>
              <w:pStyle w:val="SingleParagraph"/>
              <w:rPr>
                <w:rFonts w:ascii="Book Antiqua" w:hAnsi="Book Antiqua"/>
                <w:lang w:val="en-GB"/>
              </w:rPr>
            </w:pPr>
          </w:p>
        </w:tc>
        <w:tc>
          <w:tcPr>
            <w:tcW w:w="284" w:type="dxa"/>
            <w:tcMar>
              <w:left w:w="0" w:type="dxa"/>
              <w:right w:w="0" w:type="dxa"/>
            </w:tcMar>
          </w:tcPr>
          <w:p w14:paraId="6145AAE0" w14:textId="77777777" w:rsidR="00814667" w:rsidRPr="00BC3555" w:rsidRDefault="00814667">
            <w:pPr>
              <w:pStyle w:val="SingleParagraph"/>
              <w:rPr>
                <w:rFonts w:ascii="Book Antiqua" w:hAnsi="Book Antiqua"/>
                <w:highlight w:val="yellow"/>
                <w:lang w:val="en-GB"/>
              </w:rPr>
            </w:pPr>
          </w:p>
        </w:tc>
        <w:tc>
          <w:tcPr>
            <w:tcW w:w="4536" w:type="dxa"/>
          </w:tcPr>
          <w:p w14:paraId="48B93B13" w14:textId="77777777" w:rsidR="00814667" w:rsidRPr="00BC3555" w:rsidRDefault="00814667">
            <w:pPr>
              <w:pStyle w:val="SingleParagraph"/>
              <w:rPr>
                <w:rFonts w:ascii="Book Antiqua" w:hAnsi="Book Antiqua"/>
                <w:highlight w:val="yellow"/>
                <w:lang w:val="en-GB"/>
              </w:rPr>
            </w:pPr>
          </w:p>
        </w:tc>
      </w:tr>
      <w:tr w:rsidR="00814667" w:rsidRPr="00A50751" w14:paraId="26D8B45B" w14:textId="77777777">
        <w:trPr>
          <w:cantSplit/>
          <w:jc w:val="center"/>
        </w:trPr>
        <w:tc>
          <w:tcPr>
            <w:tcW w:w="4536" w:type="dxa"/>
          </w:tcPr>
          <w:p w14:paraId="25862DD5" w14:textId="77777777" w:rsidR="00814667" w:rsidRPr="002E23A9" w:rsidRDefault="00814667">
            <w:pPr>
              <w:pStyle w:val="Signed"/>
            </w:pPr>
            <w:r w:rsidRPr="002E23A9">
              <w:rPr>
                <w:rStyle w:val="SignedBold"/>
              </w:rPr>
              <w:t>Signed</w:t>
            </w:r>
            <w:r w:rsidRPr="002E23A9">
              <w:t xml:space="preserve"> for and on behalf of the </w:t>
            </w:r>
            <w:r w:rsidRPr="002E23A9">
              <w:br/>
              <w:t xml:space="preserve">State of </w:t>
            </w:r>
            <w:smartTag w:uri="urn:schemas-microsoft-com:office:smarttags" w:element="State">
              <w:smartTag w:uri="urn:schemas-microsoft-com:office:smarttags" w:element="place">
                <w:r w:rsidRPr="002E23A9">
                  <w:t>New South Wales</w:t>
                </w:r>
              </w:smartTag>
            </w:smartTag>
            <w:r w:rsidRPr="002E23A9">
              <w:t xml:space="preserve"> by</w:t>
            </w:r>
          </w:p>
          <w:p w14:paraId="27990B30" w14:textId="77777777" w:rsidR="00814667" w:rsidRPr="002E23A9" w:rsidRDefault="00814667">
            <w:pPr>
              <w:pStyle w:val="LineForSignature"/>
            </w:pPr>
            <w:r w:rsidRPr="002E23A9">
              <w:tab/>
            </w:r>
          </w:p>
          <w:p w14:paraId="354EFCDE" w14:textId="77777777" w:rsidR="00814667" w:rsidRPr="002E23A9" w:rsidRDefault="00814667">
            <w:pPr>
              <w:pStyle w:val="SingleParagraph"/>
              <w:rPr>
                <w:rStyle w:val="Bold"/>
              </w:rPr>
            </w:pPr>
            <w:r w:rsidRPr="002E23A9">
              <w:rPr>
                <w:rStyle w:val="Bold"/>
              </w:rPr>
              <w:t xml:space="preserve">The Honourable </w:t>
            </w:r>
            <w:r w:rsidR="00B57FD2" w:rsidRPr="002E23A9">
              <w:rPr>
                <w:rStyle w:val="Bold"/>
              </w:rPr>
              <w:t>Pru Goward</w:t>
            </w:r>
            <w:r w:rsidR="0099742A" w:rsidRPr="002E23A9">
              <w:rPr>
                <w:rStyle w:val="Bold"/>
              </w:rPr>
              <w:t xml:space="preserve"> </w:t>
            </w:r>
            <w:r w:rsidRPr="002E23A9">
              <w:rPr>
                <w:rStyle w:val="Bold"/>
              </w:rPr>
              <w:t>MP</w:t>
            </w:r>
          </w:p>
          <w:p w14:paraId="32478E9E" w14:textId="77777777" w:rsidR="00542A8C" w:rsidRPr="002E23A9" w:rsidRDefault="00542A8C" w:rsidP="00542A8C">
            <w:pPr>
              <w:pStyle w:val="Position"/>
              <w:rPr>
                <w:lang w:val="en-GB"/>
              </w:rPr>
            </w:pPr>
            <w:r w:rsidRPr="002E23A9">
              <w:rPr>
                <w:lang w:val="en-GB"/>
              </w:rPr>
              <w:t>Minister for</w:t>
            </w:r>
            <w:r w:rsidR="00B57FD2" w:rsidRPr="002E23A9">
              <w:rPr>
                <w:lang w:val="en-GB"/>
              </w:rPr>
              <w:t xml:space="preserve"> </w:t>
            </w:r>
            <w:r w:rsidR="00AC5C97" w:rsidRPr="002E23A9">
              <w:rPr>
                <w:lang w:val="en-GB"/>
              </w:rPr>
              <w:t>Social </w:t>
            </w:r>
            <w:r w:rsidR="00B57FD2" w:rsidRPr="002E23A9">
              <w:rPr>
                <w:lang w:val="en-GB"/>
              </w:rPr>
              <w:t>Housing</w:t>
            </w:r>
          </w:p>
          <w:p w14:paraId="7E36FF30" w14:textId="77777777" w:rsidR="00814667" w:rsidRPr="002E23A9" w:rsidRDefault="00542A8C">
            <w:pPr>
              <w:pStyle w:val="SingleParagraph"/>
              <w:tabs>
                <w:tab w:val="num" w:pos="1134"/>
              </w:tabs>
              <w:spacing w:after="240"/>
              <w:ind w:left="1134" w:hanging="567"/>
              <w:rPr>
                <w:szCs w:val="22"/>
                <w:lang w:val="en-GB"/>
              </w:rPr>
            </w:pPr>
            <w:r w:rsidRPr="002E23A9" w:rsidDel="00542A8C">
              <w:rPr>
                <w:bCs/>
                <w:lang w:val="en-GB"/>
              </w:rPr>
              <w:t xml:space="preserve"> </w:t>
            </w:r>
            <w:r w:rsidR="006679C0" w:rsidRPr="002E23A9">
              <w:rPr>
                <w:lang w:val="en-GB"/>
              </w:rPr>
              <w:t>[Day]  [Month]  [Year]</w:t>
            </w:r>
          </w:p>
        </w:tc>
        <w:tc>
          <w:tcPr>
            <w:tcW w:w="284" w:type="dxa"/>
            <w:tcMar>
              <w:left w:w="0" w:type="dxa"/>
              <w:right w:w="0" w:type="dxa"/>
            </w:tcMar>
          </w:tcPr>
          <w:p w14:paraId="1EE8D2B2" w14:textId="77777777" w:rsidR="00814667" w:rsidRPr="00B57FD2" w:rsidRDefault="00814667">
            <w:pPr>
              <w:rPr>
                <w:rFonts w:ascii="Book Antiqua" w:hAnsi="Book Antiqua"/>
                <w:lang w:val="en-GB"/>
              </w:rPr>
            </w:pPr>
          </w:p>
        </w:tc>
        <w:tc>
          <w:tcPr>
            <w:tcW w:w="4536" w:type="dxa"/>
          </w:tcPr>
          <w:p w14:paraId="64E7ACAF" w14:textId="77777777" w:rsidR="00814667" w:rsidRPr="00B57FD2" w:rsidRDefault="00814667">
            <w:pPr>
              <w:pStyle w:val="SingleParagraph"/>
              <w:tabs>
                <w:tab w:val="num" w:pos="1134"/>
              </w:tabs>
              <w:spacing w:after="240"/>
              <w:ind w:left="1134" w:hanging="567"/>
              <w:rPr>
                <w:lang w:val="en-GB"/>
              </w:rPr>
            </w:pPr>
          </w:p>
        </w:tc>
      </w:tr>
      <w:tr w:rsidR="00814667" w:rsidRPr="00A50751" w14:paraId="4ED3CB27" w14:textId="77777777">
        <w:trPr>
          <w:cantSplit/>
          <w:jc w:val="center"/>
        </w:trPr>
        <w:tc>
          <w:tcPr>
            <w:tcW w:w="4536" w:type="dxa"/>
          </w:tcPr>
          <w:p w14:paraId="628BC76C" w14:textId="77777777" w:rsidR="00814667" w:rsidRPr="00BC3555" w:rsidRDefault="00814667">
            <w:pPr>
              <w:pStyle w:val="SingleParagraph"/>
              <w:rPr>
                <w:rFonts w:ascii="Book Antiqua" w:hAnsi="Book Antiqua"/>
                <w:highlight w:val="yellow"/>
                <w:lang w:val="en-GB"/>
              </w:rPr>
            </w:pPr>
          </w:p>
        </w:tc>
        <w:tc>
          <w:tcPr>
            <w:tcW w:w="284" w:type="dxa"/>
            <w:tcMar>
              <w:left w:w="0" w:type="dxa"/>
              <w:right w:w="0" w:type="dxa"/>
            </w:tcMar>
          </w:tcPr>
          <w:p w14:paraId="276E5533" w14:textId="77777777" w:rsidR="00814667" w:rsidRPr="00BC3555" w:rsidRDefault="00814667">
            <w:pPr>
              <w:pStyle w:val="SingleParagraph"/>
              <w:rPr>
                <w:rFonts w:ascii="Book Antiqua" w:hAnsi="Book Antiqua"/>
                <w:highlight w:val="yellow"/>
                <w:lang w:val="en-GB"/>
              </w:rPr>
            </w:pPr>
          </w:p>
        </w:tc>
        <w:tc>
          <w:tcPr>
            <w:tcW w:w="4536" w:type="dxa"/>
          </w:tcPr>
          <w:p w14:paraId="4EC74CA2" w14:textId="77777777" w:rsidR="00814667" w:rsidRPr="00BC3555" w:rsidRDefault="00814667">
            <w:pPr>
              <w:pStyle w:val="SingleParagraph"/>
              <w:rPr>
                <w:rFonts w:ascii="Book Antiqua" w:hAnsi="Book Antiqua"/>
                <w:highlight w:val="yellow"/>
                <w:lang w:val="en-GB"/>
              </w:rPr>
            </w:pPr>
          </w:p>
        </w:tc>
      </w:tr>
      <w:tr w:rsidR="00814667" w:rsidRPr="00A50751" w14:paraId="31FEF07E" w14:textId="77777777">
        <w:trPr>
          <w:cantSplit/>
          <w:jc w:val="center"/>
        </w:trPr>
        <w:tc>
          <w:tcPr>
            <w:tcW w:w="4536" w:type="dxa"/>
          </w:tcPr>
          <w:p w14:paraId="2E256B04" w14:textId="77777777" w:rsidR="00814667" w:rsidRPr="00BC3555" w:rsidRDefault="00814667">
            <w:pPr>
              <w:pStyle w:val="SingleParagraph"/>
              <w:tabs>
                <w:tab w:val="num" w:pos="1134"/>
              </w:tabs>
              <w:spacing w:after="240"/>
              <w:ind w:left="1134" w:hanging="567"/>
              <w:rPr>
                <w:highlight w:val="yellow"/>
                <w:lang w:val="en-GB"/>
              </w:rPr>
            </w:pPr>
          </w:p>
        </w:tc>
        <w:tc>
          <w:tcPr>
            <w:tcW w:w="284" w:type="dxa"/>
            <w:tcMar>
              <w:left w:w="0" w:type="dxa"/>
              <w:right w:w="0" w:type="dxa"/>
            </w:tcMar>
          </w:tcPr>
          <w:p w14:paraId="6C8735BE" w14:textId="77777777" w:rsidR="00814667" w:rsidRPr="00BC3555" w:rsidRDefault="00814667">
            <w:pPr>
              <w:rPr>
                <w:rFonts w:ascii="Book Antiqua" w:hAnsi="Book Antiqua"/>
                <w:highlight w:val="yellow"/>
                <w:lang w:val="en-GB"/>
              </w:rPr>
            </w:pPr>
          </w:p>
        </w:tc>
        <w:tc>
          <w:tcPr>
            <w:tcW w:w="4536" w:type="dxa"/>
          </w:tcPr>
          <w:p w14:paraId="1A25AA32" w14:textId="77777777" w:rsidR="00814667" w:rsidRPr="00BC3555" w:rsidRDefault="00814667">
            <w:pPr>
              <w:pStyle w:val="SingleParagraph"/>
              <w:tabs>
                <w:tab w:val="num" w:pos="1134"/>
              </w:tabs>
              <w:spacing w:after="240"/>
              <w:ind w:left="1134" w:hanging="567"/>
              <w:rPr>
                <w:highlight w:val="yellow"/>
                <w:lang w:val="en-GB"/>
              </w:rPr>
            </w:pPr>
          </w:p>
        </w:tc>
      </w:tr>
      <w:tr w:rsidR="00814667" w:rsidRPr="00A50751" w14:paraId="159CDE18" w14:textId="77777777">
        <w:trPr>
          <w:cantSplit/>
          <w:jc w:val="center"/>
        </w:trPr>
        <w:tc>
          <w:tcPr>
            <w:tcW w:w="4536" w:type="dxa"/>
          </w:tcPr>
          <w:p w14:paraId="1C5CF1AF" w14:textId="77777777" w:rsidR="00814667" w:rsidRPr="00BC3555" w:rsidRDefault="00814667">
            <w:pPr>
              <w:pStyle w:val="SingleParagraph"/>
              <w:rPr>
                <w:rFonts w:ascii="Book Antiqua" w:hAnsi="Book Antiqua"/>
                <w:highlight w:val="yellow"/>
                <w:lang w:val="en-GB"/>
              </w:rPr>
            </w:pPr>
          </w:p>
        </w:tc>
        <w:tc>
          <w:tcPr>
            <w:tcW w:w="284" w:type="dxa"/>
            <w:tcMar>
              <w:left w:w="0" w:type="dxa"/>
              <w:right w:w="0" w:type="dxa"/>
            </w:tcMar>
          </w:tcPr>
          <w:p w14:paraId="34B08D3C" w14:textId="77777777" w:rsidR="00814667" w:rsidRPr="00BC3555" w:rsidRDefault="00814667">
            <w:pPr>
              <w:pStyle w:val="SingleParagraph"/>
              <w:rPr>
                <w:rFonts w:ascii="Book Antiqua" w:hAnsi="Book Antiqua"/>
                <w:highlight w:val="yellow"/>
                <w:lang w:val="en-GB"/>
              </w:rPr>
            </w:pPr>
          </w:p>
        </w:tc>
        <w:tc>
          <w:tcPr>
            <w:tcW w:w="4536" w:type="dxa"/>
          </w:tcPr>
          <w:p w14:paraId="7426F549" w14:textId="77777777" w:rsidR="00814667" w:rsidRPr="00BC3555" w:rsidRDefault="00814667">
            <w:pPr>
              <w:pStyle w:val="SingleParagraph"/>
              <w:rPr>
                <w:rFonts w:ascii="Book Antiqua" w:hAnsi="Book Antiqua"/>
                <w:highlight w:val="yellow"/>
                <w:lang w:val="en-GB"/>
              </w:rPr>
            </w:pPr>
          </w:p>
        </w:tc>
      </w:tr>
      <w:tr w:rsidR="00814667" w:rsidRPr="00A50751" w14:paraId="1106FB43" w14:textId="77777777">
        <w:trPr>
          <w:cantSplit/>
          <w:trHeight w:val="143"/>
          <w:jc w:val="center"/>
        </w:trPr>
        <w:tc>
          <w:tcPr>
            <w:tcW w:w="4536" w:type="dxa"/>
          </w:tcPr>
          <w:p w14:paraId="3E00F9D6" w14:textId="77777777" w:rsidR="00814667" w:rsidRPr="00BC3555" w:rsidRDefault="00814667">
            <w:pPr>
              <w:pStyle w:val="SingleParagraph"/>
              <w:tabs>
                <w:tab w:val="num" w:pos="1134"/>
              </w:tabs>
              <w:spacing w:after="240"/>
              <w:ind w:left="1134" w:hanging="567"/>
              <w:rPr>
                <w:highlight w:val="yellow"/>
                <w:lang w:val="en-GB"/>
              </w:rPr>
            </w:pPr>
          </w:p>
        </w:tc>
        <w:tc>
          <w:tcPr>
            <w:tcW w:w="284" w:type="dxa"/>
            <w:tcMar>
              <w:left w:w="0" w:type="dxa"/>
              <w:right w:w="0" w:type="dxa"/>
            </w:tcMar>
          </w:tcPr>
          <w:p w14:paraId="467D6CA5" w14:textId="77777777" w:rsidR="00814667" w:rsidRPr="00BC3555" w:rsidRDefault="00814667">
            <w:pPr>
              <w:rPr>
                <w:rFonts w:ascii="Book Antiqua" w:hAnsi="Book Antiqua"/>
                <w:highlight w:val="yellow"/>
                <w:lang w:val="en-GB"/>
              </w:rPr>
            </w:pPr>
          </w:p>
        </w:tc>
        <w:tc>
          <w:tcPr>
            <w:tcW w:w="4536" w:type="dxa"/>
          </w:tcPr>
          <w:p w14:paraId="54BDD0FA" w14:textId="77777777" w:rsidR="00814667" w:rsidRPr="00BC3555" w:rsidRDefault="00814667">
            <w:pPr>
              <w:pStyle w:val="SingleParagraph"/>
              <w:tabs>
                <w:tab w:val="num" w:pos="1134"/>
              </w:tabs>
              <w:spacing w:after="240"/>
              <w:ind w:left="1134" w:hanging="567"/>
              <w:rPr>
                <w:highlight w:val="yellow"/>
                <w:lang w:val="en-GB"/>
              </w:rPr>
            </w:pPr>
          </w:p>
        </w:tc>
      </w:tr>
      <w:tr w:rsidR="00814667" w:rsidRPr="00A50751" w14:paraId="3E005FAA" w14:textId="77777777">
        <w:trPr>
          <w:cantSplit/>
          <w:jc w:val="center"/>
        </w:trPr>
        <w:tc>
          <w:tcPr>
            <w:tcW w:w="4536" w:type="dxa"/>
          </w:tcPr>
          <w:p w14:paraId="53E1F728" w14:textId="77777777" w:rsidR="00814667" w:rsidRPr="00BC3555" w:rsidRDefault="00814667">
            <w:pPr>
              <w:pStyle w:val="SingleParagraph"/>
              <w:rPr>
                <w:rFonts w:ascii="Book Antiqua" w:hAnsi="Book Antiqua"/>
                <w:highlight w:val="yellow"/>
                <w:lang w:val="en-GB"/>
              </w:rPr>
            </w:pPr>
          </w:p>
        </w:tc>
        <w:tc>
          <w:tcPr>
            <w:tcW w:w="284" w:type="dxa"/>
            <w:tcMar>
              <w:left w:w="0" w:type="dxa"/>
              <w:right w:w="0" w:type="dxa"/>
            </w:tcMar>
          </w:tcPr>
          <w:p w14:paraId="1ED38DC1" w14:textId="77777777" w:rsidR="00814667" w:rsidRPr="00BC3555" w:rsidRDefault="00814667">
            <w:pPr>
              <w:pStyle w:val="SingleParagraph"/>
              <w:rPr>
                <w:rFonts w:ascii="Book Antiqua" w:hAnsi="Book Antiqua"/>
                <w:highlight w:val="yellow"/>
                <w:lang w:val="en-GB"/>
              </w:rPr>
            </w:pPr>
          </w:p>
        </w:tc>
        <w:tc>
          <w:tcPr>
            <w:tcW w:w="4536" w:type="dxa"/>
          </w:tcPr>
          <w:p w14:paraId="34F1DEE2" w14:textId="77777777" w:rsidR="00814667" w:rsidRPr="00BC3555" w:rsidRDefault="00814667">
            <w:pPr>
              <w:pStyle w:val="SingleParagraph"/>
              <w:rPr>
                <w:rFonts w:ascii="Book Antiqua" w:hAnsi="Book Antiqua"/>
                <w:highlight w:val="yellow"/>
                <w:lang w:val="en-GB"/>
              </w:rPr>
            </w:pPr>
          </w:p>
        </w:tc>
      </w:tr>
      <w:tr w:rsidR="00814667" w:rsidRPr="00A50751" w14:paraId="4B805103" w14:textId="77777777">
        <w:trPr>
          <w:cantSplit/>
          <w:jc w:val="center"/>
        </w:trPr>
        <w:tc>
          <w:tcPr>
            <w:tcW w:w="4536" w:type="dxa"/>
          </w:tcPr>
          <w:p w14:paraId="2F62D540" w14:textId="77777777" w:rsidR="00814667" w:rsidRPr="00BC3555" w:rsidRDefault="00814667">
            <w:pPr>
              <w:pStyle w:val="SingleParagraph"/>
              <w:tabs>
                <w:tab w:val="num" w:pos="1134"/>
              </w:tabs>
              <w:spacing w:after="240"/>
              <w:ind w:left="1134" w:hanging="567"/>
              <w:rPr>
                <w:szCs w:val="22"/>
                <w:highlight w:val="yellow"/>
                <w:lang w:val="en-GB"/>
              </w:rPr>
            </w:pPr>
          </w:p>
        </w:tc>
        <w:tc>
          <w:tcPr>
            <w:tcW w:w="284" w:type="dxa"/>
            <w:tcMar>
              <w:left w:w="0" w:type="dxa"/>
              <w:right w:w="0" w:type="dxa"/>
            </w:tcMar>
          </w:tcPr>
          <w:p w14:paraId="7D9BBF94" w14:textId="77777777" w:rsidR="00814667" w:rsidRPr="00BC3555" w:rsidRDefault="00814667">
            <w:pPr>
              <w:rPr>
                <w:rFonts w:ascii="Book Antiqua" w:hAnsi="Book Antiqua"/>
                <w:highlight w:val="yellow"/>
                <w:lang w:val="en-GB"/>
              </w:rPr>
            </w:pPr>
          </w:p>
        </w:tc>
        <w:tc>
          <w:tcPr>
            <w:tcW w:w="4536" w:type="dxa"/>
          </w:tcPr>
          <w:p w14:paraId="5B118DF8" w14:textId="77777777" w:rsidR="00814667" w:rsidRPr="00BC3555" w:rsidRDefault="00814667">
            <w:pPr>
              <w:pStyle w:val="SingleParagraph"/>
              <w:tabs>
                <w:tab w:val="num" w:pos="1134"/>
              </w:tabs>
              <w:spacing w:after="240"/>
              <w:ind w:left="1134" w:hanging="567"/>
              <w:rPr>
                <w:highlight w:val="yellow"/>
                <w:lang w:val="en-GB"/>
              </w:rPr>
            </w:pPr>
          </w:p>
        </w:tc>
      </w:tr>
    </w:tbl>
    <w:p w14:paraId="14B0CBD7" w14:textId="77777777" w:rsidR="008843EE" w:rsidRDefault="008843EE" w:rsidP="0020144E"/>
    <w:sectPr w:rsidR="008843EE"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3362" w14:textId="77777777" w:rsidR="00462032" w:rsidRDefault="00462032">
      <w:r>
        <w:separator/>
      </w:r>
    </w:p>
  </w:endnote>
  <w:endnote w:type="continuationSeparator" w:id="0">
    <w:p w14:paraId="2822F9D0" w14:textId="77777777" w:rsidR="00462032" w:rsidRDefault="0046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2AAAE" w14:textId="77777777" w:rsidR="005C5239" w:rsidRDefault="005C5239">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CA7C19" w14:textId="77777777" w:rsidR="005C5239" w:rsidRDefault="005C5239">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686F" w14:textId="77777777" w:rsidR="005C5239" w:rsidRDefault="005C5239">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D51EBD">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5CD4" w14:textId="77777777" w:rsidR="005C5239" w:rsidRDefault="005C5239">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1EBD">
      <w:rPr>
        <w:rStyle w:val="PageNumber"/>
        <w:noProof/>
      </w:rPr>
      <w:t>1</w:t>
    </w:r>
    <w:r>
      <w:rPr>
        <w:rStyle w:val="PageNumber"/>
      </w:rPr>
      <w:fldChar w:fldCharType="end"/>
    </w:r>
  </w:p>
  <w:p w14:paraId="734605E8" w14:textId="77777777" w:rsidR="005C5239" w:rsidRDefault="005C5239">
    <w:pPr>
      <w:pStyle w:val="FooterOdd"/>
      <w:keepNext/>
      <w:tabs>
        <w:tab w:val="num" w:pos="567"/>
      </w:tabs>
    </w:pPr>
    <w:r w:rsidRPr="000365E3">
      <w:t xml:space="preserve">Version of template: </w:t>
    </w:r>
    <w:r w:rsidRPr="002C49CE">
      <w:fldChar w:fldCharType="begin"/>
    </w:r>
    <w:r w:rsidRPr="002C49CE">
      <w:instrText xml:space="preserve"> DATE \@ "d/MM/yyyy" </w:instrText>
    </w:r>
    <w:r w:rsidRPr="002C49CE">
      <w:fldChar w:fldCharType="separate"/>
    </w:r>
    <w:r w:rsidR="00D51EBD">
      <w:rPr>
        <w:noProof/>
      </w:rPr>
      <w:t>21/12/2018</w:t>
    </w:r>
    <w:r w:rsidRPr="002C49C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F566" w14:textId="77777777" w:rsidR="005C5239" w:rsidRDefault="005C5239" w:rsidP="00751725">
    <w:pPr>
      <w:pStyle w:val="FooterEven"/>
      <w:jc w:val="right"/>
    </w:pPr>
    <w:r>
      <w:t xml:space="preserve">Page </w:t>
    </w:r>
    <w:r w:rsidR="004D40F7">
      <w:rPr>
        <w:rStyle w:val="PageNumbe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2508D" w14:textId="77777777" w:rsidR="00462032" w:rsidRDefault="00462032">
      <w:r>
        <w:separator/>
      </w:r>
    </w:p>
  </w:footnote>
  <w:footnote w:type="continuationSeparator" w:id="0">
    <w:p w14:paraId="42890CDC" w14:textId="77777777" w:rsidR="00462032" w:rsidRDefault="0046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85A4" w14:textId="77777777" w:rsidR="005C5239" w:rsidRPr="00814590" w:rsidRDefault="005C5239">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843E" w14:textId="21DFC568" w:rsidR="005C5239" w:rsidRPr="00814590" w:rsidRDefault="005C5239">
    <w:pPr>
      <w:pStyle w:val="HeaderOdd"/>
      <w:tabs>
        <w:tab w:val="num" w:pos="1134"/>
      </w:tabs>
      <w:rPr>
        <w:color w:val="800000"/>
      </w:rPr>
    </w:pPr>
    <w:r>
      <w:rPr>
        <w:color w:val="800000"/>
      </w:rPr>
      <w:t>Project Agreement for the Review of the National Regulatory System for Community Housing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1A9C" w14:textId="77777777" w:rsidR="004D40F7" w:rsidRPr="00814590" w:rsidRDefault="005C5239" w:rsidP="004D40F7">
    <w:pPr>
      <w:pStyle w:val="HeaderOdd"/>
      <w:tabs>
        <w:tab w:val="num" w:pos="1134"/>
      </w:tabs>
      <w:rPr>
        <w:color w:val="800000"/>
      </w:rPr>
    </w:pPr>
    <w:r>
      <w:rPr>
        <w:color w:val="800000"/>
      </w:rPr>
      <w:t xml:space="preserve">Project </w:t>
    </w:r>
    <w:r w:rsidR="004D40F7">
      <w:rPr>
        <w:color w:val="800000"/>
      </w:rPr>
      <w:t>Agreement for the Review of the National Regulatory System for Community Housing</w:t>
    </w:r>
  </w:p>
  <w:p w14:paraId="4A4BADB6" w14:textId="77777777" w:rsidR="005C5239" w:rsidRPr="00814590" w:rsidRDefault="005C5239" w:rsidP="0036474E">
    <w:pPr>
      <w:pStyle w:val="HeaderOdd"/>
      <w:tabs>
        <w:tab w:val="num" w:pos="1134"/>
      </w:tabs>
      <w:rPr>
        <w:color w:val="800000"/>
      </w:rPr>
    </w:pPr>
  </w:p>
  <w:p w14:paraId="5453ED31" w14:textId="77777777" w:rsidR="005C5239" w:rsidRPr="00751725" w:rsidRDefault="005C5239"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8">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2">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6">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7">
    <w:nsid w:val="78854AAC"/>
    <w:multiLevelType w:val="hybridMultilevel"/>
    <w:tmpl w:val="5A968A4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0"/>
  </w:num>
  <w:num w:numId="8">
    <w:abstractNumId w:val="12"/>
  </w:num>
  <w:num w:numId="9">
    <w:abstractNumId w:val="2"/>
  </w:num>
  <w:num w:numId="10">
    <w:abstractNumId w:val="14"/>
  </w:num>
  <w:num w:numId="11">
    <w:abstractNumId w:val="8"/>
  </w:num>
  <w:num w:numId="12">
    <w:abstractNumId w:val="3"/>
  </w:num>
  <w:num w:numId="13">
    <w:abstractNumId w:val="6"/>
  </w:num>
  <w:num w:numId="14">
    <w:abstractNumId w:val="17"/>
  </w:num>
  <w:num w:numId="15">
    <w:abstractNumId w:val="1"/>
  </w:num>
  <w:num w:numId="16">
    <w:abstractNumId w:val="11"/>
  </w:num>
  <w:num w:numId="17">
    <w:abstractNumId w:val="15"/>
  </w:num>
  <w:num w:numId="18">
    <w:abstractNumId w:val="9"/>
  </w:num>
  <w:num w:numId="19">
    <w:abstractNumId w:val="13"/>
  </w:num>
  <w:num w:numId="20">
    <w:abstractNumId w:val="16"/>
  </w:num>
  <w:num w:numId="21">
    <w:abstractNumId w:val="4"/>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F2"/>
    <w:rsid w:val="00000334"/>
    <w:rsid w:val="00005A5D"/>
    <w:rsid w:val="000076D9"/>
    <w:rsid w:val="00021708"/>
    <w:rsid w:val="00030CB2"/>
    <w:rsid w:val="00032757"/>
    <w:rsid w:val="000343F1"/>
    <w:rsid w:val="000365E3"/>
    <w:rsid w:val="00044700"/>
    <w:rsid w:val="0006051B"/>
    <w:rsid w:val="000614F9"/>
    <w:rsid w:val="0006451A"/>
    <w:rsid w:val="0006551D"/>
    <w:rsid w:val="00065679"/>
    <w:rsid w:val="0007004C"/>
    <w:rsid w:val="000724F6"/>
    <w:rsid w:val="000728E8"/>
    <w:rsid w:val="00074611"/>
    <w:rsid w:val="00074A62"/>
    <w:rsid w:val="00086712"/>
    <w:rsid w:val="00091DF8"/>
    <w:rsid w:val="000934CC"/>
    <w:rsid w:val="00093CB6"/>
    <w:rsid w:val="00093DD8"/>
    <w:rsid w:val="0009710C"/>
    <w:rsid w:val="00097794"/>
    <w:rsid w:val="00097D52"/>
    <w:rsid w:val="000A0C9E"/>
    <w:rsid w:val="000A5191"/>
    <w:rsid w:val="000B288A"/>
    <w:rsid w:val="000B4080"/>
    <w:rsid w:val="000B7685"/>
    <w:rsid w:val="000C4FAA"/>
    <w:rsid w:val="000C714F"/>
    <w:rsid w:val="000D19D8"/>
    <w:rsid w:val="000D1C37"/>
    <w:rsid w:val="000D2717"/>
    <w:rsid w:val="000D4377"/>
    <w:rsid w:val="000E075D"/>
    <w:rsid w:val="000E2AF6"/>
    <w:rsid w:val="000E36B7"/>
    <w:rsid w:val="000E3C70"/>
    <w:rsid w:val="000E48C3"/>
    <w:rsid w:val="000E605D"/>
    <w:rsid w:val="000F0880"/>
    <w:rsid w:val="000F25D5"/>
    <w:rsid w:val="000F6CF6"/>
    <w:rsid w:val="00103FD6"/>
    <w:rsid w:val="001065EE"/>
    <w:rsid w:val="00110F5D"/>
    <w:rsid w:val="0011228D"/>
    <w:rsid w:val="001134AC"/>
    <w:rsid w:val="00115166"/>
    <w:rsid w:val="0011562A"/>
    <w:rsid w:val="00115A97"/>
    <w:rsid w:val="00120D56"/>
    <w:rsid w:val="0012111A"/>
    <w:rsid w:val="00122DBA"/>
    <w:rsid w:val="001262B5"/>
    <w:rsid w:val="00132587"/>
    <w:rsid w:val="00135191"/>
    <w:rsid w:val="001404A9"/>
    <w:rsid w:val="00140F43"/>
    <w:rsid w:val="00145D5C"/>
    <w:rsid w:val="00151133"/>
    <w:rsid w:val="00160506"/>
    <w:rsid w:val="0016131F"/>
    <w:rsid w:val="00161F29"/>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3B1E"/>
    <w:rsid w:val="001C4D69"/>
    <w:rsid w:val="001C5CC5"/>
    <w:rsid w:val="001D2C27"/>
    <w:rsid w:val="001D3CAD"/>
    <w:rsid w:val="001D6E4C"/>
    <w:rsid w:val="001D6E9A"/>
    <w:rsid w:val="001E20EC"/>
    <w:rsid w:val="001E4479"/>
    <w:rsid w:val="001E7173"/>
    <w:rsid w:val="001E74D0"/>
    <w:rsid w:val="001E7803"/>
    <w:rsid w:val="001F1D48"/>
    <w:rsid w:val="001F1E90"/>
    <w:rsid w:val="001F4C78"/>
    <w:rsid w:val="001F6F39"/>
    <w:rsid w:val="001F6FE8"/>
    <w:rsid w:val="00200246"/>
    <w:rsid w:val="0020144E"/>
    <w:rsid w:val="00205E18"/>
    <w:rsid w:val="00206773"/>
    <w:rsid w:val="002069F9"/>
    <w:rsid w:val="00207F84"/>
    <w:rsid w:val="00212869"/>
    <w:rsid w:val="00221308"/>
    <w:rsid w:val="00222C97"/>
    <w:rsid w:val="00225761"/>
    <w:rsid w:val="00233835"/>
    <w:rsid w:val="00240B26"/>
    <w:rsid w:val="00241EE9"/>
    <w:rsid w:val="00244500"/>
    <w:rsid w:val="00247D45"/>
    <w:rsid w:val="00251044"/>
    <w:rsid w:val="00252551"/>
    <w:rsid w:val="002601BA"/>
    <w:rsid w:val="00261ABA"/>
    <w:rsid w:val="00262E18"/>
    <w:rsid w:val="0026571E"/>
    <w:rsid w:val="00281874"/>
    <w:rsid w:val="00282C25"/>
    <w:rsid w:val="00284884"/>
    <w:rsid w:val="00285003"/>
    <w:rsid w:val="002869F5"/>
    <w:rsid w:val="00287DCC"/>
    <w:rsid w:val="00291CF1"/>
    <w:rsid w:val="00292587"/>
    <w:rsid w:val="00294531"/>
    <w:rsid w:val="00296E48"/>
    <w:rsid w:val="002A143D"/>
    <w:rsid w:val="002A281C"/>
    <w:rsid w:val="002A37B5"/>
    <w:rsid w:val="002A3DE9"/>
    <w:rsid w:val="002A493A"/>
    <w:rsid w:val="002A530A"/>
    <w:rsid w:val="002A5884"/>
    <w:rsid w:val="002A607D"/>
    <w:rsid w:val="002A65B7"/>
    <w:rsid w:val="002A6981"/>
    <w:rsid w:val="002B1C50"/>
    <w:rsid w:val="002B207C"/>
    <w:rsid w:val="002B467A"/>
    <w:rsid w:val="002B7922"/>
    <w:rsid w:val="002B7E1B"/>
    <w:rsid w:val="002C12A1"/>
    <w:rsid w:val="002C2529"/>
    <w:rsid w:val="002C2A03"/>
    <w:rsid w:val="002C49CE"/>
    <w:rsid w:val="002C62B3"/>
    <w:rsid w:val="002C7620"/>
    <w:rsid w:val="002C76C3"/>
    <w:rsid w:val="002D122C"/>
    <w:rsid w:val="002D5438"/>
    <w:rsid w:val="002D7CF9"/>
    <w:rsid w:val="002E144A"/>
    <w:rsid w:val="002E23A9"/>
    <w:rsid w:val="002E2DE2"/>
    <w:rsid w:val="002E4B66"/>
    <w:rsid w:val="002F576E"/>
    <w:rsid w:val="002F5B29"/>
    <w:rsid w:val="002F5B54"/>
    <w:rsid w:val="002F5B61"/>
    <w:rsid w:val="002F5C6C"/>
    <w:rsid w:val="002F7E40"/>
    <w:rsid w:val="00301178"/>
    <w:rsid w:val="003012DA"/>
    <w:rsid w:val="00307C5C"/>
    <w:rsid w:val="00312CFE"/>
    <w:rsid w:val="00313480"/>
    <w:rsid w:val="00313C98"/>
    <w:rsid w:val="00313FD9"/>
    <w:rsid w:val="003155BD"/>
    <w:rsid w:val="00316717"/>
    <w:rsid w:val="003177B9"/>
    <w:rsid w:val="00321E0A"/>
    <w:rsid w:val="0032438F"/>
    <w:rsid w:val="0033308B"/>
    <w:rsid w:val="00333506"/>
    <w:rsid w:val="00340987"/>
    <w:rsid w:val="003410AA"/>
    <w:rsid w:val="003441EB"/>
    <w:rsid w:val="0034465F"/>
    <w:rsid w:val="00352A6B"/>
    <w:rsid w:val="00352EC1"/>
    <w:rsid w:val="00361054"/>
    <w:rsid w:val="0036119D"/>
    <w:rsid w:val="003637A0"/>
    <w:rsid w:val="0036474E"/>
    <w:rsid w:val="00364CF3"/>
    <w:rsid w:val="00365CAA"/>
    <w:rsid w:val="00367EAB"/>
    <w:rsid w:val="00372573"/>
    <w:rsid w:val="00377AB2"/>
    <w:rsid w:val="0038691B"/>
    <w:rsid w:val="003877C3"/>
    <w:rsid w:val="0039283B"/>
    <w:rsid w:val="00396EA4"/>
    <w:rsid w:val="003A2157"/>
    <w:rsid w:val="003A3363"/>
    <w:rsid w:val="003A3905"/>
    <w:rsid w:val="003A3CC1"/>
    <w:rsid w:val="003A6635"/>
    <w:rsid w:val="003A6B0E"/>
    <w:rsid w:val="003A78C6"/>
    <w:rsid w:val="003B1532"/>
    <w:rsid w:val="003B5562"/>
    <w:rsid w:val="003B6363"/>
    <w:rsid w:val="003B737F"/>
    <w:rsid w:val="003C0CF7"/>
    <w:rsid w:val="003C2E5D"/>
    <w:rsid w:val="003C59E0"/>
    <w:rsid w:val="003C6F2A"/>
    <w:rsid w:val="003D060E"/>
    <w:rsid w:val="003D6E39"/>
    <w:rsid w:val="003D743C"/>
    <w:rsid w:val="003E33BA"/>
    <w:rsid w:val="003E6BA0"/>
    <w:rsid w:val="003E70DE"/>
    <w:rsid w:val="003E73DB"/>
    <w:rsid w:val="003F06BE"/>
    <w:rsid w:val="003F0ADC"/>
    <w:rsid w:val="003F59E6"/>
    <w:rsid w:val="003F5BE6"/>
    <w:rsid w:val="003F6C00"/>
    <w:rsid w:val="004120B1"/>
    <w:rsid w:val="00413E74"/>
    <w:rsid w:val="0041421D"/>
    <w:rsid w:val="0041490D"/>
    <w:rsid w:val="00414A5C"/>
    <w:rsid w:val="004156B4"/>
    <w:rsid w:val="0041697F"/>
    <w:rsid w:val="00417276"/>
    <w:rsid w:val="00420235"/>
    <w:rsid w:val="004223AA"/>
    <w:rsid w:val="00423104"/>
    <w:rsid w:val="004267D3"/>
    <w:rsid w:val="00427908"/>
    <w:rsid w:val="00427E2A"/>
    <w:rsid w:val="00433E65"/>
    <w:rsid w:val="004374B2"/>
    <w:rsid w:val="00442AB8"/>
    <w:rsid w:val="004436EA"/>
    <w:rsid w:val="0044456C"/>
    <w:rsid w:val="00450B39"/>
    <w:rsid w:val="00453BC6"/>
    <w:rsid w:val="00454498"/>
    <w:rsid w:val="00456C59"/>
    <w:rsid w:val="00462032"/>
    <w:rsid w:val="00477931"/>
    <w:rsid w:val="004847F5"/>
    <w:rsid w:val="00484F77"/>
    <w:rsid w:val="00490198"/>
    <w:rsid w:val="00490757"/>
    <w:rsid w:val="00490E28"/>
    <w:rsid w:val="00497362"/>
    <w:rsid w:val="00497C77"/>
    <w:rsid w:val="004A0AE7"/>
    <w:rsid w:val="004A523F"/>
    <w:rsid w:val="004A6062"/>
    <w:rsid w:val="004A673A"/>
    <w:rsid w:val="004A770F"/>
    <w:rsid w:val="004A7DA4"/>
    <w:rsid w:val="004B0813"/>
    <w:rsid w:val="004B136A"/>
    <w:rsid w:val="004B1F38"/>
    <w:rsid w:val="004B21C5"/>
    <w:rsid w:val="004B2EF6"/>
    <w:rsid w:val="004B34A6"/>
    <w:rsid w:val="004B49DC"/>
    <w:rsid w:val="004B54C2"/>
    <w:rsid w:val="004B5612"/>
    <w:rsid w:val="004B5AA7"/>
    <w:rsid w:val="004B6083"/>
    <w:rsid w:val="004B6927"/>
    <w:rsid w:val="004B7E5C"/>
    <w:rsid w:val="004C110E"/>
    <w:rsid w:val="004C3CC4"/>
    <w:rsid w:val="004C4D5E"/>
    <w:rsid w:val="004D11ED"/>
    <w:rsid w:val="004D28F4"/>
    <w:rsid w:val="004D310E"/>
    <w:rsid w:val="004D37D8"/>
    <w:rsid w:val="004D40F7"/>
    <w:rsid w:val="004D4B81"/>
    <w:rsid w:val="004E08DA"/>
    <w:rsid w:val="004E2193"/>
    <w:rsid w:val="004F5DCD"/>
    <w:rsid w:val="004F6B2B"/>
    <w:rsid w:val="005005DF"/>
    <w:rsid w:val="00502C3A"/>
    <w:rsid w:val="00505045"/>
    <w:rsid w:val="00510A09"/>
    <w:rsid w:val="00510B96"/>
    <w:rsid w:val="00511501"/>
    <w:rsid w:val="00511B5B"/>
    <w:rsid w:val="00515AF2"/>
    <w:rsid w:val="0051640E"/>
    <w:rsid w:val="00516741"/>
    <w:rsid w:val="0051684E"/>
    <w:rsid w:val="00522394"/>
    <w:rsid w:val="00527ABC"/>
    <w:rsid w:val="0054193D"/>
    <w:rsid w:val="00542840"/>
    <w:rsid w:val="00542A2E"/>
    <w:rsid w:val="00542A8C"/>
    <w:rsid w:val="00542D59"/>
    <w:rsid w:val="00543637"/>
    <w:rsid w:val="00545DF7"/>
    <w:rsid w:val="00546CA2"/>
    <w:rsid w:val="00551B3C"/>
    <w:rsid w:val="005539F5"/>
    <w:rsid w:val="0055415C"/>
    <w:rsid w:val="00554AAC"/>
    <w:rsid w:val="0055503F"/>
    <w:rsid w:val="005572D7"/>
    <w:rsid w:val="00563797"/>
    <w:rsid w:val="005651B5"/>
    <w:rsid w:val="00566234"/>
    <w:rsid w:val="0057262B"/>
    <w:rsid w:val="00575D94"/>
    <w:rsid w:val="005815B3"/>
    <w:rsid w:val="00582869"/>
    <w:rsid w:val="00582A03"/>
    <w:rsid w:val="005855A7"/>
    <w:rsid w:val="005863F5"/>
    <w:rsid w:val="00587E37"/>
    <w:rsid w:val="00590826"/>
    <w:rsid w:val="00593821"/>
    <w:rsid w:val="00596E88"/>
    <w:rsid w:val="00597CBD"/>
    <w:rsid w:val="005A0969"/>
    <w:rsid w:val="005A24D8"/>
    <w:rsid w:val="005A4BC7"/>
    <w:rsid w:val="005A5DE0"/>
    <w:rsid w:val="005A5E7A"/>
    <w:rsid w:val="005A6F4B"/>
    <w:rsid w:val="005A7600"/>
    <w:rsid w:val="005B0DEF"/>
    <w:rsid w:val="005B2A03"/>
    <w:rsid w:val="005B4C1B"/>
    <w:rsid w:val="005C1AA4"/>
    <w:rsid w:val="005C2684"/>
    <w:rsid w:val="005C2DDC"/>
    <w:rsid w:val="005C5239"/>
    <w:rsid w:val="005C5620"/>
    <w:rsid w:val="005C578C"/>
    <w:rsid w:val="005D0BE8"/>
    <w:rsid w:val="005D1F0F"/>
    <w:rsid w:val="005D29DB"/>
    <w:rsid w:val="005D41F9"/>
    <w:rsid w:val="005E4143"/>
    <w:rsid w:val="005E724B"/>
    <w:rsid w:val="00601F7C"/>
    <w:rsid w:val="00602A48"/>
    <w:rsid w:val="00602EF7"/>
    <w:rsid w:val="00606F11"/>
    <w:rsid w:val="00607B03"/>
    <w:rsid w:val="0061059D"/>
    <w:rsid w:val="0061326F"/>
    <w:rsid w:val="00614393"/>
    <w:rsid w:val="006146F2"/>
    <w:rsid w:val="00614C00"/>
    <w:rsid w:val="0061697E"/>
    <w:rsid w:val="00617759"/>
    <w:rsid w:val="00623567"/>
    <w:rsid w:val="00635552"/>
    <w:rsid w:val="006412B5"/>
    <w:rsid w:val="00641932"/>
    <w:rsid w:val="00644083"/>
    <w:rsid w:val="0064429B"/>
    <w:rsid w:val="0064477C"/>
    <w:rsid w:val="00650903"/>
    <w:rsid w:val="006650A8"/>
    <w:rsid w:val="006679C0"/>
    <w:rsid w:val="00670EF3"/>
    <w:rsid w:val="00671BEB"/>
    <w:rsid w:val="00674168"/>
    <w:rsid w:val="006771F4"/>
    <w:rsid w:val="00680ED5"/>
    <w:rsid w:val="00681956"/>
    <w:rsid w:val="00682FBA"/>
    <w:rsid w:val="00683370"/>
    <w:rsid w:val="00684EC1"/>
    <w:rsid w:val="006903F9"/>
    <w:rsid w:val="00691AC8"/>
    <w:rsid w:val="006923C8"/>
    <w:rsid w:val="00694D2B"/>
    <w:rsid w:val="00696AB4"/>
    <w:rsid w:val="00697494"/>
    <w:rsid w:val="006976BF"/>
    <w:rsid w:val="006A05D7"/>
    <w:rsid w:val="006A4628"/>
    <w:rsid w:val="006B3D0F"/>
    <w:rsid w:val="006B3F39"/>
    <w:rsid w:val="006B4213"/>
    <w:rsid w:val="006B43AF"/>
    <w:rsid w:val="006B4DF0"/>
    <w:rsid w:val="006B7258"/>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17B"/>
    <w:rsid w:val="006F5455"/>
    <w:rsid w:val="006F5CB6"/>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5A26"/>
    <w:rsid w:val="007363DE"/>
    <w:rsid w:val="0073698D"/>
    <w:rsid w:val="00736C0B"/>
    <w:rsid w:val="00741BAF"/>
    <w:rsid w:val="00744D93"/>
    <w:rsid w:val="00746531"/>
    <w:rsid w:val="00750B7C"/>
    <w:rsid w:val="00750F59"/>
    <w:rsid w:val="00751725"/>
    <w:rsid w:val="00752028"/>
    <w:rsid w:val="0075450A"/>
    <w:rsid w:val="0075717D"/>
    <w:rsid w:val="0076017E"/>
    <w:rsid w:val="00760DB6"/>
    <w:rsid w:val="0076361C"/>
    <w:rsid w:val="00764250"/>
    <w:rsid w:val="007661AE"/>
    <w:rsid w:val="00766A51"/>
    <w:rsid w:val="00771FFF"/>
    <w:rsid w:val="00772818"/>
    <w:rsid w:val="00775164"/>
    <w:rsid w:val="0077685D"/>
    <w:rsid w:val="0077788E"/>
    <w:rsid w:val="007839D0"/>
    <w:rsid w:val="00784439"/>
    <w:rsid w:val="00787E75"/>
    <w:rsid w:val="00797257"/>
    <w:rsid w:val="007A3157"/>
    <w:rsid w:val="007A495D"/>
    <w:rsid w:val="007A6E20"/>
    <w:rsid w:val="007B10ED"/>
    <w:rsid w:val="007B2B2E"/>
    <w:rsid w:val="007B3BFC"/>
    <w:rsid w:val="007B4B03"/>
    <w:rsid w:val="007C0AA5"/>
    <w:rsid w:val="007C4F31"/>
    <w:rsid w:val="007E5257"/>
    <w:rsid w:val="007E5391"/>
    <w:rsid w:val="007F4EF5"/>
    <w:rsid w:val="00804105"/>
    <w:rsid w:val="008060F5"/>
    <w:rsid w:val="00806D94"/>
    <w:rsid w:val="00807AD8"/>
    <w:rsid w:val="008100FB"/>
    <w:rsid w:val="00811800"/>
    <w:rsid w:val="0081258C"/>
    <w:rsid w:val="00812E1C"/>
    <w:rsid w:val="00813CFF"/>
    <w:rsid w:val="008140C5"/>
    <w:rsid w:val="00814590"/>
    <w:rsid w:val="00814667"/>
    <w:rsid w:val="008148E2"/>
    <w:rsid w:val="008149E4"/>
    <w:rsid w:val="008156B7"/>
    <w:rsid w:val="008174CF"/>
    <w:rsid w:val="00817D90"/>
    <w:rsid w:val="00822355"/>
    <w:rsid w:val="0082332D"/>
    <w:rsid w:val="0082402C"/>
    <w:rsid w:val="00825FF5"/>
    <w:rsid w:val="008262F1"/>
    <w:rsid w:val="008277D9"/>
    <w:rsid w:val="008311FA"/>
    <w:rsid w:val="00831201"/>
    <w:rsid w:val="008317EF"/>
    <w:rsid w:val="008424F7"/>
    <w:rsid w:val="00845BCC"/>
    <w:rsid w:val="00851465"/>
    <w:rsid w:val="008514B8"/>
    <w:rsid w:val="00852ED8"/>
    <w:rsid w:val="0085330A"/>
    <w:rsid w:val="008550CA"/>
    <w:rsid w:val="0085533A"/>
    <w:rsid w:val="00855543"/>
    <w:rsid w:val="0085738D"/>
    <w:rsid w:val="008615C9"/>
    <w:rsid w:val="00862395"/>
    <w:rsid w:val="00864DD3"/>
    <w:rsid w:val="008708D6"/>
    <w:rsid w:val="00874608"/>
    <w:rsid w:val="008760D0"/>
    <w:rsid w:val="00881317"/>
    <w:rsid w:val="00883AAC"/>
    <w:rsid w:val="008843EE"/>
    <w:rsid w:val="00891CCC"/>
    <w:rsid w:val="00892C3F"/>
    <w:rsid w:val="00892CA4"/>
    <w:rsid w:val="00896477"/>
    <w:rsid w:val="00896BD6"/>
    <w:rsid w:val="00896F5A"/>
    <w:rsid w:val="008A3C37"/>
    <w:rsid w:val="008A49A1"/>
    <w:rsid w:val="008B003B"/>
    <w:rsid w:val="008B1840"/>
    <w:rsid w:val="008B3C8F"/>
    <w:rsid w:val="008B70D3"/>
    <w:rsid w:val="008B73A2"/>
    <w:rsid w:val="008B7FE2"/>
    <w:rsid w:val="008C0131"/>
    <w:rsid w:val="008C0BBA"/>
    <w:rsid w:val="008C2450"/>
    <w:rsid w:val="008C7817"/>
    <w:rsid w:val="008C7F5B"/>
    <w:rsid w:val="008D075B"/>
    <w:rsid w:val="008D079A"/>
    <w:rsid w:val="008D25CB"/>
    <w:rsid w:val="008D2F40"/>
    <w:rsid w:val="008D5B52"/>
    <w:rsid w:val="008E0AD6"/>
    <w:rsid w:val="008E4209"/>
    <w:rsid w:val="008E48FC"/>
    <w:rsid w:val="008E55BD"/>
    <w:rsid w:val="008E7527"/>
    <w:rsid w:val="008F2AD6"/>
    <w:rsid w:val="008F44F1"/>
    <w:rsid w:val="008F4BA8"/>
    <w:rsid w:val="008F5C07"/>
    <w:rsid w:val="008F696D"/>
    <w:rsid w:val="008F7777"/>
    <w:rsid w:val="009002FE"/>
    <w:rsid w:val="00901CF5"/>
    <w:rsid w:val="00901F53"/>
    <w:rsid w:val="00902272"/>
    <w:rsid w:val="00906431"/>
    <w:rsid w:val="009115AF"/>
    <w:rsid w:val="00911F3D"/>
    <w:rsid w:val="00913276"/>
    <w:rsid w:val="009211EA"/>
    <w:rsid w:val="009221DF"/>
    <w:rsid w:val="009224FD"/>
    <w:rsid w:val="0093296C"/>
    <w:rsid w:val="00933DDA"/>
    <w:rsid w:val="00935CC7"/>
    <w:rsid w:val="0094002F"/>
    <w:rsid w:val="0094129D"/>
    <w:rsid w:val="00941BB7"/>
    <w:rsid w:val="00944760"/>
    <w:rsid w:val="009454F0"/>
    <w:rsid w:val="00946A91"/>
    <w:rsid w:val="00946AE5"/>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9742A"/>
    <w:rsid w:val="009A0446"/>
    <w:rsid w:val="009A062C"/>
    <w:rsid w:val="009A48AF"/>
    <w:rsid w:val="009A522D"/>
    <w:rsid w:val="009B0C68"/>
    <w:rsid w:val="009B3F77"/>
    <w:rsid w:val="009B5132"/>
    <w:rsid w:val="009B783F"/>
    <w:rsid w:val="009C166A"/>
    <w:rsid w:val="009C2059"/>
    <w:rsid w:val="009C6FFB"/>
    <w:rsid w:val="009C75E8"/>
    <w:rsid w:val="009C7EF5"/>
    <w:rsid w:val="009D0C93"/>
    <w:rsid w:val="009D2FAC"/>
    <w:rsid w:val="009D3B7D"/>
    <w:rsid w:val="009D58BD"/>
    <w:rsid w:val="009E093C"/>
    <w:rsid w:val="009E1311"/>
    <w:rsid w:val="009E151E"/>
    <w:rsid w:val="009E3ACF"/>
    <w:rsid w:val="009E5DB6"/>
    <w:rsid w:val="009F777E"/>
    <w:rsid w:val="009F7F52"/>
    <w:rsid w:val="00A0202C"/>
    <w:rsid w:val="00A0227E"/>
    <w:rsid w:val="00A05C1E"/>
    <w:rsid w:val="00A0603F"/>
    <w:rsid w:val="00A07967"/>
    <w:rsid w:val="00A112E6"/>
    <w:rsid w:val="00A14966"/>
    <w:rsid w:val="00A1498D"/>
    <w:rsid w:val="00A15CAB"/>
    <w:rsid w:val="00A16E8F"/>
    <w:rsid w:val="00A17CCB"/>
    <w:rsid w:val="00A201DE"/>
    <w:rsid w:val="00A211A9"/>
    <w:rsid w:val="00A2422A"/>
    <w:rsid w:val="00A25265"/>
    <w:rsid w:val="00A26FC8"/>
    <w:rsid w:val="00A303A1"/>
    <w:rsid w:val="00A42386"/>
    <w:rsid w:val="00A50751"/>
    <w:rsid w:val="00A50E72"/>
    <w:rsid w:val="00A52308"/>
    <w:rsid w:val="00A54B81"/>
    <w:rsid w:val="00A54BE7"/>
    <w:rsid w:val="00A564EB"/>
    <w:rsid w:val="00A6111D"/>
    <w:rsid w:val="00A6365F"/>
    <w:rsid w:val="00A64945"/>
    <w:rsid w:val="00A64CE4"/>
    <w:rsid w:val="00A6500A"/>
    <w:rsid w:val="00A65333"/>
    <w:rsid w:val="00A6719E"/>
    <w:rsid w:val="00A71B6F"/>
    <w:rsid w:val="00A73173"/>
    <w:rsid w:val="00A739F1"/>
    <w:rsid w:val="00A758DE"/>
    <w:rsid w:val="00A76457"/>
    <w:rsid w:val="00A8189A"/>
    <w:rsid w:val="00A81C2E"/>
    <w:rsid w:val="00A81EC4"/>
    <w:rsid w:val="00A83B8E"/>
    <w:rsid w:val="00A8478F"/>
    <w:rsid w:val="00A85187"/>
    <w:rsid w:val="00A858C4"/>
    <w:rsid w:val="00A9141E"/>
    <w:rsid w:val="00A9341B"/>
    <w:rsid w:val="00A974CA"/>
    <w:rsid w:val="00A97843"/>
    <w:rsid w:val="00A97E12"/>
    <w:rsid w:val="00AA2CD5"/>
    <w:rsid w:val="00AA4F6C"/>
    <w:rsid w:val="00AB16AE"/>
    <w:rsid w:val="00AB392A"/>
    <w:rsid w:val="00AB5801"/>
    <w:rsid w:val="00AB5A64"/>
    <w:rsid w:val="00AB71A5"/>
    <w:rsid w:val="00AB76C6"/>
    <w:rsid w:val="00AB79E9"/>
    <w:rsid w:val="00AC5567"/>
    <w:rsid w:val="00AC5C97"/>
    <w:rsid w:val="00AD04F4"/>
    <w:rsid w:val="00AD2F46"/>
    <w:rsid w:val="00AD576C"/>
    <w:rsid w:val="00AD670F"/>
    <w:rsid w:val="00AD6C71"/>
    <w:rsid w:val="00AD789B"/>
    <w:rsid w:val="00AD7EEF"/>
    <w:rsid w:val="00AE1E4B"/>
    <w:rsid w:val="00AE1E54"/>
    <w:rsid w:val="00AE2AFD"/>
    <w:rsid w:val="00AE4372"/>
    <w:rsid w:val="00AE4425"/>
    <w:rsid w:val="00AE478A"/>
    <w:rsid w:val="00AE509F"/>
    <w:rsid w:val="00AF0C8D"/>
    <w:rsid w:val="00AF2B99"/>
    <w:rsid w:val="00AF60B3"/>
    <w:rsid w:val="00B00778"/>
    <w:rsid w:val="00B04E8C"/>
    <w:rsid w:val="00B050C0"/>
    <w:rsid w:val="00B05642"/>
    <w:rsid w:val="00B06097"/>
    <w:rsid w:val="00B10045"/>
    <w:rsid w:val="00B100DF"/>
    <w:rsid w:val="00B10CAE"/>
    <w:rsid w:val="00B12190"/>
    <w:rsid w:val="00B1294B"/>
    <w:rsid w:val="00B137C3"/>
    <w:rsid w:val="00B171BB"/>
    <w:rsid w:val="00B2247A"/>
    <w:rsid w:val="00B2565D"/>
    <w:rsid w:val="00B301E5"/>
    <w:rsid w:val="00B36551"/>
    <w:rsid w:val="00B36E9E"/>
    <w:rsid w:val="00B40E38"/>
    <w:rsid w:val="00B45C9E"/>
    <w:rsid w:val="00B50D0E"/>
    <w:rsid w:val="00B51ACE"/>
    <w:rsid w:val="00B54097"/>
    <w:rsid w:val="00B57FD2"/>
    <w:rsid w:val="00B619AA"/>
    <w:rsid w:val="00B623D7"/>
    <w:rsid w:val="00B66E7A"/>
    <w:rsid w:val="00B726B4"/>
    <w:rsid w:val="00B7766E"/>
    <w:rsid w:val="00B8096A"/>
    <w:rsid w:val="00B91564"/>
    <w:rsid w:val="00B9206A"/>
    <w:rsid w:val="00B92496"/>
    <w:rsid w:val="00B9279E"/>
    <w:rsid w:val="00BA1CFA"/>
    <w:rsid w:val="00BA4284"/>
    <w:rsid w:val="00BC1029"/>
    <w:rsid w:val="00BC2720"/>
    <w:rsid w:val="00BC3555"/>
    <w:rsid w:val="00BC4728"/>
    <w:rsid w:val="00BC4BF4"/>
    <w:rsid w:val="00BC60B3"/>
    <w:rsid w:val="00BD2253"/>
    <w:rsid w:val="00BD7496"/>
    <w:rsid w:val="00BE042D"/>
    <w:rsid w:val="00BE04A5"/>
    <w:rsid w:val="00BE4802"/>
    <w:rsid w:val="00BE7212"/>
    <w:rsid w:val="00BF0D7C"/>
    <w:rsid w:val="00BF331F"/>
    <w:rsid w:val="00C01DE9"/>
    <w:rsid w:val="00C053A4"/>
    <w:rsid w:val="00C05CC6"/>
    <w:rsid w:val="00C068C7"/>
    <w:rsid w:val="00C073C2"/>
    <w:rsid w:val="00C13C12"/>
    <w:rsid w:val="00C14104"/>
    <w:rsid w:val="00C14820"/>
    <w:rsid w:val="00C160F4"/>
    <w:rsid w:val="00C16E15"/>
    <w:rsid w:val="00C20F99"/>
    <w:rsid w:val="00C2120D"/>
    <w:rsid w:val="00C215E7"/>
    <w:rsid w:val="00C233E9"/>
    <w:rsid w:val="00C25A4F"/>
    <w:rsid w:val="00C2605C"/>
    <w:rsid w:val="00C26C5B"/>
    <w:rsid w:val="00C2711B"/>
    <w:rsid w:val="00C303B4"/>
    <w:rsid w:val="00C40EBC"/>
    <w:rsid w:val="00C41265"/>
    <w:rsid w:val="00C4202E"/>
    <w:rsid w:val="00C42ACA"/>
    <w:rsid w:val="00C51308"/>
    <w:rsid w:val="00C51F78"/>
    <w:rsid w:val="00C52EB6"/>
    <w:rsid w:val="00C539F8"/>
    <w:rsid w:val="00C53A47"/>
    <w:rsid w:val="00C57BB9"/>
    <w:rsid w:val="00C606F6"/>
    <w:rsid w:val="00C6082E"/>
    <w:rsid w:val="00C61699"/>
    <w:rsid w:val="00C62B02"/>
    <w:rsid w:val="00C64908"/>
    <w:rsid w:val="00C705B5"/>
    <w:rsid w:val="00C7093C"/>
    <w:rsid w:val="00C737FD"/>
    <w:rsid w:val="00C738BD"/>
    <w:rsid w:val="00C75D40"/>
    <w:rsid w:val="00C815FA"/>
    <w:rsid w:val="00C81FDA"/>
    <w:rsid w:val="00C83627"/>
    <w:rsid w:val="00C85E44"/>
    <w:rsid w:val="00C877EA"/>
    <w:rsid w:val="00C87BF3"/>
    <w:rsid w:val="00C92F94"/>
    <w:rsid w:val="00C95D81"/>
    <w:rsid w:val="00C960AA"/>
    <w:rsid w:val="00CA121E"/>
    <w:rsid w:val="00CA501D"/>
    <w:rsid w:val="00CA55C4"/>
    <w:rsid w:val="00CB1789"/>
    <w:rsid w:val="00CB1CB2"/>
    <w:rsid w:val="00CB2557"/>
    <w:rsid w:val="00CB44C4"/>
    <w:rsid w:val="00CB47FE"/>
    <w:rsid w:val="00CB4D35"/>
    <w:rsid w:val="00CB6703"/>
    <w:rsid w:val="00CC3761"/>
    <w:rsid w:val="00CC39B1"/>
    <w:rsid w:val="00CC3D90"/>
    <w:rsid w:val="00CC5535"/>
    <w:rsid w:val="00CC60E0"/>
    <w:rsid w:val="00CD526B"/>
    <w:rsid w:val="00CD582D"/>
    <w:rsid w:val="00CD5B93"/>
    <w:rsid w:val="00CD7039"/>
    <w:rsid w:val="00CE3B32"/>
    <w:rsid w:val="00CE4A24"/>
    <w:rsid w:val="00CE613B"/>
    <w:rsid w:val="00CE6804"/>
    <w:rsid w:val="00CE7403"/>
    <w:rsid w:val="00CF0826"/>
    <w:rsid w:val="00CF0D8A"/>
    <w:rsid w:val="00CF267F"/>
    <w:rsid w:val="00CF68E1"/>
    <w:rsid w:val="00CF7DA0"/>
    <w:rsid w:val="00D00B8F"/>
    <w:rsid w:val="00D01BE1"/>
    <w:rsid w:val="00D0312C"/>
    <w:rsid w:val="00D04614"/>
    <w:rsid w:val="00D1444F"/>
    <w:rsid w:val="00D1723F"/>
    <w:rsid w:val="00D26B64"/>
    <w:rsid w:val="00D30AA4"/>
    <w:rsid w:val="00D30CE5"/>
    <w:rsid w:val="00D3674A"/>
    <w:rsid w:val="00D40383"/>
    <w:rsid w:val="00D4085D"/>
    <w:rsid w:val="00D428F4"/>
    <w:rsid w:val="00D42CF8"/>
    <w:rsid w:val="00D434F3"/>
    <w:rsid w:val="00D46E83"/>
    <w:rsid w:val="00D512C6"/>
    <w:rsid w:val="00D51386"/>
    <w:rsid w:val="00D51EBD"/>
    <w:rsid w:val="00D52914"/>
    <w:rsid w:val="00D5485B"/>
    <w:rsid w:val="00D5552A"/>
    <w:rsid w:val="00D57346"/>
    <w:rsid w:val="00D61911"/>
    <w:rsid w:val="00D61BDC"/>
    <w:rsid w:val="00D62258"/>
    <w:rsid w:val="00D622ED"/>
    <w:rsid w:val="00D625A7"/>
    <w:rsid w:val="00D656AB"/>
    <w:rsid w:val="00D677F9"/>
    <w:rsid w:val="00D702F1"/>
    <w:rsid w:val="00D729FA"/>
    <w:rsid w:val="00D7336A"/>
    <w:rsid w:val="00D73591"/>
    <w:rsid w:val="00D802FC"/>
    <w:rsid w:val="00D829C6"/>
    <w:rsid w:val="00D8532B"/>
    <w:rsid w:val="00D85463"/>
    <w:rsid w:val="00D92440"/>
    <w:rsid w:val="00D973A5"/>
    <w:rsid w:val="00DA205D"/>
    <w:rsid w:val="00DA7233"/>
    <w:rsid w:val="00DB2C5D"/>
    <w:rsid w:val="00DC0361"/>
    <w:rsid w:val="00DC4D62"/>
    <w:rsid w:val="00DC50E5"/>
    <w:rsid w:val="00DC76C7"/>
    <w:rsid w:val="00DD1FF8"/>
    <w:rsid w:val="00DD7F84"/>
    <w:rsid w:val="00DE311A"/>
    <w:rsid w:val="00DE36EB"/>
    <w:rsid w:val="00DE4A6C"/>
    <w:rsid w:val="00DE634D"/>
    <w:rsid w:val="00DE64C1"/>
    <w:rsid w:val="00DF5BAB"/>
    <w:rsid w:val="00E10555"/>
    <w:rsid w:val="00E11087"/>
    <w:rsid w:val="00E13880"/>
    <w:rsid w:val="00E16832"/>
    <w:rsid w:val="00E16E0A"/>
    <w:rsid w:val="00E204BB"/>
    <w:rsid w:val="00E220BC"/>
    <w:rsid w:val="00E31096"/>
    <w:rsid w:val="00E33938"/>
    <w:rsid w:val="00E33F03"/>
    <w:rsid w:val="00E354D8"/>
    <w:rsid w:val="00E3658A"/>
    <w:rsid w:val="00E3706A"/>
    <w:rsid w:val="00E3738B"/>
    <w:rsid w:val="00E37446"/>
    <w:rsid w:val="00E37730"/>
    <w:rsid w:val="00E4099E"/>
    <w:rsid w:val="00E4280C"/>
    <w:rsid w:val="00E456AA"/>
    <w:rsid w:val="00E478B6"/>
    <w:rsid w:val="00E5201F"/>
    <w:rsid w:val="00E579FF"/>
    <w:rsid w:val="00E6698B"/>
    <w:rsid w:val="00E7195E"/>
    <w:rsid w:val="00E72F4A"/>
    <w:rsid w:val="00E737A4"/>
    <w:rsid w:val="00E7467D"/>
    <w:rsid w:val="00E82115"/>
    <w:rsid w:val="00E832FF"/>
    <w:rsid w:val="00E83448"/>
    <w:rsid w:val="00E838D3"/>
    <w:rsid w:val="00E83D83"/>
    <w:rsid w:val="00E90BF8"/>
    <w:rsid w:val="00E92A6C"/>
    <w:rsid w:val="00E92C8A"/>
    <w:rsid w:val="00E9346D"/>
    <w:rsid w:val="00EA21BF"/>
    <w:rsid w:val="00EA594C"/>
    <w:rsid w:val="00EA7329"/>
    <w:rsid w:val="00EA7A1C"/>
    <w:rsid w:val="00EB5170"/>
    <w:rsid w:val="00EB7EDA"/>
    <w:rsid w:val="00EC0297"/>
    <w:rsid w:val="00EC3E78"/>
    <w:rsid w:val="00EC5206"/>
    <w:rsid w:val="00EC5D22"/>
    <w:rsid w:val="00ED0175"/>
    <w:rsid w:val="00ED0AC8"/>
    <w:rsid w:val="00ED2AC4"/>
    <w:rsid w:val="00ED33F2"/>
    <w:rsid w:val="00ED3EB4"/>
    <w:rsid w:val="00ED4036"/>
    <w:rsid w:val="00ED51E2"/>
    <w:rsid w:val="00EE041B"/>
    <w:rsid w:val="00EE273D"/>
    <w:rsid w:val="00EE57AC"/>
    <w:rsid w:val="00EE74C4"/>
    <w:rsid w:val="00EE7D29"/>
    <w:rsid w:val="00EF33DE"/>
    <w:rsid w:val="00EF6486"/>
    <w:rsid w:val="00EF72D4"/>
    <w:rsid w:val="00F11A23"/>
    <w:rsid w:val="00F11DDE"/>
    <w:rsid w:val="00F120E6"/>
    <w:rsid w:val="00F12ACD"/>
    <w:rsid w:val="00F16589"/>
    <w:rsid w:val="00F2068C"/>
    <w:rsid w:val="00F234AB"/>
    <w:rsid w:val="00F24478"/>
    <w:rsid w:val="00F31DE0"/>
    <w:rsid w:val="00F3245D"/>
    <w:rsid w:val="00F34E70"/>
    <w:rsid w:val="00F4377A"/>
    <w:rsid w:val="00F44CAF"/>
    <w:rsid w:val="00F46237"/>
    <w:rsid w:val="00F47765"/>
    <w:rsid w:val="00F501C6"/>
    <w:rsid w:val="00F5779D"/>
    <w:rsid w:val="00F630DB"/>
    <w:rsid w:val="00F630EF"/>
    <w:rsid w:val="00F632A2"/>
    <w:rsid w:val="00F6403E"/>
    <w:rsid w:val="00F71346"/>
    <w:rsid w:val="00F715F2"/>
    <w:rsid w:val="00F730C7"/>
    <w:rsid w:val="00F76C87"/>
    <w:rsid w:val="00F8684A"/>
    <w:rsid w:val="00F94C3D"/>
    <w:rsid w:val="00F95CCE"/>
    <w:rsid w:val="00F95D26"/>
    <w:rsid w:val="00F979C5"/>
    <w:rsid w:val="00FA0CBF"/>
    <w:rsid w:val="00FA0E45"/>
    <w:rsid w:val="00FA2EC0"/>
    <w:rsid w:val="00FA4E87"/>
    <w:rsid w:val="00FA5DD0"/>
    <w:rsid w:val="00FA64FD"/>
    <w:rsid w:val="00FB4200"/>
    <w:rsid w:val="00FB5750"/>
    <w:rsid w:val="00FB6A2E"/>
    <w:rsid w:val="00FC055C"/>
    <w:rsid w:val="00FC30C2"/>
    <w:rsid w:val="00FD2CA0"/>
    <w:rsid w:val="00FD4437"/>
    <w:rsid w:val="00FD6FC4"/>
    <w:rsid w:val="00FE26A5"/>
    <w:rsid w:val="00FE347C"/>
    <w:rsid w:val="00FE4A16"/>
    <w:rsid w:val="00FF2300"/>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06329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2"/>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3"/>
      </w:numPr>
    </w:pPr>
  </w:style>
  <w:style w:type="paragraph" w:customStyle="1" w:styleId="AgreementParties">
    <w:name w:val="AgreementParties"/>
    <w:rsid w:val="00D51386"/>
    <w:pPr>
      <w:numPr>
        <w:numId w:val="1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C52EB6"/>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2"/>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3"/>
      </w:numPr>
    </w:pPr>
  </w:style>
  <w:style w:type="paragraph" w:customStyle="1" w:styleId="AgreementParties">
    <w:name w:val="AgreementParties"/>
    <w:rsid w:val="00D51386"/>
    <w:pPr>
      <w:numPr>
        <w:numId w:val="1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C52EB6"/>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7950">
      <w:bodyDiv w:val="1"/>
      <w:marLeft w:val="0"/>
      <w:marRight w:val="0"/>
      <w:marTop w:val="0"/>
      <w:marBottom w:val="0"/>
      <w:divBdr>
        <w:top w:val="none" w:sz="0" w:space="0" w:color="auto"/>
        <w:left w:val="none" w:sz="0" w:space="0" w:color="auto"/>
        <w:bottom w:val="none" w:sz="0" w:space="0" w:color="auto"/>
        <w:right w:val="none" w:sz="0" w:space="0" w:color="auto"/>
      </w:divBdr>
    </w:div>
    <w:div w:id="614218291">
      <w:bodyDiv w:val="1"/>
      <w:marLeft w:val="0"/>
      <w:marRight w:val="0"/>
      <w:marTop w:val="0"/>
      <w:marBottom w:val="0"/>
      <w:divBdr>
        <w:top w:val="none" w:sz="0" w:space="0" w:color="auto"/>
        <w:left w:val="none" w:sz="0" w:space="0" w:color="auto"/>
        <w:bottom w:val="none" w:sz="0" w:space="0" w:color="auto"/>
        <w:right w:val="none" w:sz="0" w:space="0" w:color="auto"/>
      </w:divBdr>
    </w:div>
    <w:div w:id="960695095">
      <w:bodyDiv w:val="1"/>
      <w:marLeft w:val="0"/>
      <w:marRight w:val="0"/>
      <w:marTop w:val="0"/>
      <w:marBottom w:val="0"/>
      <w:divBdr>
        <w:top w:val="none" w:sz="0" w:space="0" w:color="auto"/>
        <w:left w:val="none" w:sz="0" w:space="0" w:color="auto"/>
        <w:bottom w:val="none" w:sz="0" w:space="0" w:color="auto"/>
        <w:right w:val="none" w:sz="0" w:space="0" w:color="auto"/>
      </w:divBdr>
    </w:div>
    <w:div w:id="1655526413">
      <w:marLeft w:val="0"/>
      <w:marRight w:val="0"/>
      <w:marTop w:val="0"/>
      <w:marBottom w:val="0"/>
      <w:divBdr>
        <w:top w:val="none" w:sz="0" w:space="0" w:color="auto"/>
        <w:left w:val="none" w:sz="0" w:space="0" w:color="auto"/>
        <w:bottom w:val="none" w:sz="0" w:space="0" w:color="auto"/>
        <w:right w:val="none" w:sz="0" w:space="0" w:color="auto"/>
      </w:divBdr>
    </w:div>
    <w:div w:id="1655526414">
      <w:marLeft w:val="0"/>
      <w:marRight w:val="0"/>
      <w:marTop w:val="0"/>
      <w:marBottom w:val="0"/>
      <w:divBdr>
        <w:top w:val="none" w:sz="0" w:space="0" w:color="auto"/>
        <w:left w:val="none" w:sz="0" w:space="0" w:color="auto"/>
        <w:bottom w:val="none" w:sz="0" w:space="0" w:color="auto"/>
        <w:right w:val="none" w:sz="0" w:space="0" w:color="auto"/>
      </w:divBdr>
    </w:div>
    <w:div w:id="1655526415">
      <w:marLeft w:val="0"/>
      <w:marRight w:val="0"/>
      <w:marTop w:val="0"/>
      <w:marBottom w:val="0"/>
      <w:divBdr>
        <w:top w:val="none" w:sz="0" w:space="0" w:color="auto"/>
        <w:left w:val="none" w:sz="0" w:space="0" w:color="auto"/>
        <w:bottom w:val="none" w:sz="0" w:space="0" w:color="auto"/>
        <w:right w:val="none" w:sz="0" w:space="0" w:color="auto"/>
      </w:divBdr>
    </w:div>
    <w:div w:id="1655526416">
      <w:marLeft w:val="0"/>
      <w:marRight w:val="0"/>
      <w:marTop w:val="0"/>
      <w:marBottom w:val="0"/>
      <w:divBdr>
        <w:top w:val="none" w:sz="0" w:space="0" w:color="auto"/>
        <w:left w:val="none" w:sz="0" w:space="0" w:color="auto"/>
        <w:bottom w:val="none" w:sz="0" w:space="0" w:color="auto"/>
        <w:right w:val="none" w:sz="0" w:space="0" w:color="auto"/>
      </w:divBdr>
    </w:div>
    <w:div w:id="19341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353" ma:contentTypeDescription=" " ma:contentTypeScope="" ma:versionID="6914f116d580093ba4210dbf4a5d8fe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2020FG-64-73845</_dlc_DocId>
    <_dlc_DocIdUrl xmlns="0f563589-9cf9-4143-b1eb-fb0534803d38">
      <Url>http://tweb/sites/fg/csrd/_layouts/15/DocIdRedir.aspx?ID=2020FG-64-73845</Url>
      <Description>2020FG-64-73845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4789-D6AB-40EE-83EC-F692E50FCFB1}"/>
</file>

<file path=customXml/itemProps2.xml><?xml version="1.0" encoding="utf-8"?>
<ds:datastoreItem xmlns:ds="http://schemas.openxmlformats.org/officeDocument/2006/customXml" ds:itemID="{44ADA39C-B7CD-47DC-9CF1-BD1B48C8125F}">
  <ds:schemaRefs>
    <ds:schemaRef ds:uri="Microsoft.SharePoint.Taxonomy.ContentTypeSync"/>
  </ds:schemaRefs>
</ds:datastoreItem>
</file>

<file path=customXml/itemProps3.xml><?xml version="1.0" encoding="utf-8"?>
<ds:datastoreItem xmlns:ds="http://schemas.openxmlformats.org/officeDocument/2006/customXml" ds:itemID="{542DD755-F0BB-4F6F-BF0C-F54C95214DAF}">
  <ds:schemaRefs>
    <ds:schemaRef ds:uri="http://schemas.microsoft.com/sharepoint/v3"/>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f563589-9cf9-4143-b1eb-fb0534803d38"/>
    <ds:schemaRef ds:uri="http://purl.org/dc/elements/1.1/"/>
    <ds:schemaRef ds:uri="http://schemas.microsoft.com/office/2006/documentManagement/types"/>
    <ds:schemaRef ds:uri="http://schemas.microsoft.com/sharepoint/v4"/>
    <ds:schemaRef ds:uri="e544e5cc-ab70-42e1-849e-1a0f8bb1f4ef"/>
    <ds:schemaRef ds:uri="http://purl.org/dc/dcmitype/"/>
  </ds:schemaRefs>
</ds:datastoreItem>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D0789E7A-199C-4FB9-853D-7146004EA9C1}">
  <ds:schemaRefs>
    <ds:schemaRef ds:uri="office.server.policy"/>
  </ds:schemaRefs>
</ds:datastoreItem>
</file>

<file path=customXml/itemProps6.xml><?xml version="1.0" encoding="utf-8"?>
<ds:datastoreItem xmlns:ds="http://schemas.openxmlformats.org/officeDocument/2006/customXml" ds:itemID="{16810A96-9457-46A0-8BAC-E57FD47199EF}">
  <ds:schemaRefs>
    <ds:schemaRef ds:uri="http://schemas.microsoft.com/sharepoint/events"/>
  </ds:schemaRefs>
</ds:datastoreItem>
</file>

<file path=customXml/itemProps7.xml><?xml version="1.0" encoding="utf-8"?>
<ds:datastoreItem xmlns:ds="http://schemas.openxmlformats.org/officeDocument/2006/customXml" ds:itemID="{BB664B5E-840F-482B-B489-04A56983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WILSON, Michael</dc:creator>
  <cp:lastModifiedBy>Le, Alan</cp:lastModifiedBy>
  <cp:revision>2</cp:revision>
  <cp:lastPrinted>2018-08-23T23:53:00Z</cp:lastPrinted>
  <dcterms:created xsi:type="dcterms:W3CDTF">2018-12-21T05:16:00Z</dcterms:created>
  <dcterms:modified xsi:type="dcterms:W3CDTF">2018-12-21T05:16:00Z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NewReviewCycle">
    <vt:lpwstr/>
  </property>
  <property fmtid="{D5CDD505-2E9C-101B-9397-08002B2CF9AE}" pid="4" name="HPRMSecurityCaveat">
    <vt:lpwstr/>
  </property>
  <property fmtid="{D5CDD505-2E9C-101B-9397-08002B2CF9AE}" pid="5" name="HPRMSecurityLevel">
    <vt:lpwstr>1;#UNCLASSIFIED|9c49a7c7-17c7-412f-8077-62dec89b9196</vt:lpwstr>
  </property>
  <property fmtid="{D5CDD505-2E9C-101B-9397-08002B2CF9AE}" pid="6" name="TSYRecordClass">
    <vt:lpwstr>2;#TSY RA-8748 - Retain as national archives|243f2231-dbfc-4282-b24a-c9b768286bd0</vt:lpwstr>
  </property>
  <property fmtid="{D5CDD505-2E9C-101B-9397-08002B2CF9AE}" pid="7" name="_dlc_DocIdItemGuid">
    <vt:lpwstr>9d80bdc7-c1dc-4d21-af1d-7cddf36effcb</vt:lpwstr>
  </property>
  <property fmtid="{D5CDD505-2E9C-101B-9397-08002B2CF9AE}" pid="8" name="RecordPoint_ActiveItemUniqueId">
    <vt:lpwstr>{9d80bdc7-c1dc-4d21-af1d-7cddf36effcb}</vt:lpwstr>
  </property>
  <property fmtid="{D5CDD505-2E9C-101B-9397-08002B2CF9AE}" pid="9" name="RecordPoint_WorkflowType">
    <vt:lpwstr>ActiveSubmitStub</vt:lpwstr>
  </property>
  <property fmtid="{D5CDD505-2E9C-101B-9397-08002B2CF9AE}" pid="10" name="RecordPoint_SubmissionDate">
    <vt:lpwstr/>
  </property>
  <property fmtid="{D5CDD505-2E9C-101B-9397-08002B2CF9AE}" pid="11" name="RecordPoint_RecordNumberSubmitted">
    <vt:lpwstr>R0002259764</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2020-05-01T17:30:05.4756598+10:00</vt:lpwstr>
  </property>
  <property fmtid="{D5CDD505-2E9C-101B-9397-08002B2CF9AE}" pid="15" name="RecordPoint_ActiveItemWebId">
    <vt:lpwstr>{a4589788-615f-4b8b-8296-7f9f6dfbab44}</vt:lpwstr>
  </property>
  <property fmtid="{D5CDD505-2E9C-101B-9397-08002B2CF9AE}" pid="16" name="RecordPoint_ActiveItemSiteId">
    <vt:lpwstr>{a3a280d1-e8f1-4ce7-94f0-aaa2322da0dd}</vt:lpwstr>
  </property>
  <property fmtid="{D5CDD505-2E9C-101B-9397-08002B2CF9AE}" pid="17" name="RecordPoint_ActiveItemListId">
    <vt:lpwstr>{4435c73b-6585-4bc2-a76a-5d21b1a02e06}</vt:lpwstr>
  </property>
  <property fmtid="{D5CDD505-2E9C-101B-9397-08002B2CF9AE}" pid="18" name="_AdHocReviewCycleID">
    <vt:i4>-1019636805</vt:i4>
  </property>
  <property fmtid="{D5CDD505-2E9C-101B-9397-08002B2CF9AE}" pid="19" name="_EmailSubject">
    <vt:lpwstr>Update - Change to Existing Webpage Request #S84992 [SEC=UNCLASSIFIED]</vt:lpwstr>
  </property>
  <property fmtid="{D5CDD505-2E9C-101B-9397-08002B2CF9AE}" pid="20" name="_AuthorEmail">
    <vt:lpwstr>Alan.Le@TREASURY.GOV.AU</vt:lpwstr>
  </property>
  <property fmtid="{D5CDD505-2E9C-101B-9397-08002B2CF9AE}" pid="21" name="_AuthorEmailDisplayName">
    <vt:lpwstr>Le, Alan</vt:lpwstr>
  </property>
</Properties>
</file>