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08F62" w14:textId="77777777" w:rsidR="009562B6" w:rsidRDefault="009562B6" w:rsidP="009562B6">
      <w:pPr>
        <w:pStyle w:val="Heading9"/>
        <w:keepNext/>
        <w:numPr>
          <w:ilvl w:val="8"/>
          <w:numId w:val="2"/>
        </w:numPr>
        <w:spacing w:before="120" w:after="120" w:line="240" w:lineRule="auto"/>
        <w:jc w:val="right"/>
      </w:pPr>
    </w:p>
    <w:p w14:paraId="344988A8" w14:textId="77777777" w:rsidR="009562B6" w:rsidRPr="0088209D" w:rsidRDefault="009562B6" w:rsidP="0088209D">
      <w:pPr>
        <w:pStyle w:val="Title"/>
        <w:pBdr>
          <w:bottom w:val="none" w:sz="0" w:space="0" w:color="auto"/>
        </w:pBdr>
        <w:spacing w:before="240" w:after="0" w:line="240" w:lineRule="auto"/>
        <w:contextualSpacing w:val="0"/>
        <w:jc w:val="left"/>
        <w:rPr>
          <w:rFonts w:ascii="Consolas" w:eastAsia="Times New Roman" w:hAnsi="Consolas"/>
          <w:i/>
          <w:color w:val="3D4B67"/>
          <w:spacing w:val="0"/>
          <w:sz w:val="56"/>
          <w:lang w:eastAsia="ja-JP"/>
        </w:rPr>
      </w:pPr>
      <w:r w:rsidRPr="0088209D">
        <w:rPr>
          <w:rFonts w:ascii="Consolas" w:eastAsia="Times New Roman" w:hAnsi="Consolas"/>
          <w:i/>
          <w:color w:val="3D4B67"/>
          <w:spacing w:val="0"/>
          <w:sz w:val="56"/>
          <w:lang w:eastAsia="ja-JP"/>
        </w:rPr>
        <w:t>WOMEN’S SAFETY PACKAGE –</w:t>
      </w:r>
    </w:p>
    <w:p w14:paraId="040C57A6" w14:textId="77777777" w:rsidR="009562B6" w:rsidRPr="0088209D" w:rsidRDefault="009562B6" w:rsidP="0088209D">
      <w:pPr>
        <w:pStyle w:val="Title"/>
        <w:pBdr>
          <w:bottom w:val="none" w:sz="0" w:space="0" w:color="auto"/>
        </w:pBdr>
        <w:spacing w:before="240" w:after="0" w:line="240" w:lineRule="auto"/>
        <w:contextualSpacing w:val="0"/>
        <w:jc w:val="left"/>
        <w:rPr>
          <w:rFonts w:ascii="Consolas" w:eastAsia="Times New Roman" w:hAnsi="Consolas"/>
          <w:i/>
          <w:color w:val="3D4B67"/>
          <w:spacing w:val="0"/>
          <w:sz w:val="56"/>
          <w:lang w:eastAsia="ja-JP"/>
        </w:rPr>
      </w:pPr>
      <w:r w:rsidRPr="0088209D">
        <w:rPr>
          <w:rFonts w:ascii="Consolas" w:eastAsia="Times New Roman" w:hAnsi="Consolas"/>
          <w:i/>
          <w:color w:val="3D4B67"/>
          <w:spacing w:val="0"/>
          <w:sz w:val="56"/>
          <w:lang w:eastAsia="ja-JP"/>
        </w:rPr>
        <w:t xml:space="preserve">TECHNOLOGY TRIALS </w:t>
      </w:r>
      <w:r w:rsidRPr="0088209D">
        <w:rPr>
          <w:rFonts w:ascii="Consolas" w:eastAsia="Times New Roman" w:hAnsi="Consolas"/>
          <w:i/>
          <w:color w:val="3D4B67"/>
          <w:spacing w:val="0"/>
          <w:sz w:val="56"/>
          <w:lang w:eastAsia="ja-JP"/>
        </w:rPr>
        <w:br/>
        <w:t>(NEW SOUTH WALES)</w:t>
      </w:r>
    </w:p>
    <w:p w14:paraId="688B1AC6" w14:textId="77777777" w:rsidR="009562B6" w:rsidRPr="0088209D" w:rsidRDefault="009562B6" w:rsidP="0088209D">
      <w:pPr>
        <w:pStyle w:val="Subtitle"/>
        <w:spacing w:line="240" w:lineRule="auto"/>
        <w:jc w:val="left"/>
        <w:rPr>
          <w:rFonts w:ascii="Consolas" w:eastAsia="Times New Roman" w:hAnsi="Consolas"/>
          <w:b/>
          <w:i w:val="0"/>
          <w:caps/>
          <w:color w:val="C7823E"/>
          <w:spacing w:val="50"/>
          <w:sz w:val="24"/>
          <w:lang w:eastAsia="ja-JP"/>
        </w:rPr>
      </w:pPr>
      <w:r w:rsidRPr="0088209D">
        <w:rPr>
          <w:rFonts w:ascii="Consolas" w:eastAsia="Times New Roman" w:hAnsi="Consolas"/>
          <w:b/>
          <w:i w:val="0"/>
          <w:caps/>
          <w:color w:val="C7823E"/>
          <w:spacing w:val="50"/>
          <w:sz w:val="24"/>
          <w:lang w:eastAsia="ja-JP"/>
        </w:rPr>
        <w:t>PROJECT AGREEMENT FOR the Women’s Safety Package - Technology Trials</w:t>
      </w:r>
    </w:p>
    <w:p w14:paraId="3B8F02DC" w14:textId="6431B170" w:rsidR="009562B6" w:rsidRDefault="009562B6" w:rsidP="009562B6">
      <w:pPr>
        <w:pStyle w:val="Normalnumbered"/>
        <w:numPr>
          <w:ilvl w:val="0"/>
          <w:numId w:val="3"/>
        </w:numPr>
        <w:tabs>
          <w:tab w:val="left" w:pos="567"/>
        </w:tabs>
        <w:ind w:left="567" w:hanging="567"/>
      </w:pPr>
      <w:r w:rsidRPr="00B82557">
        <w:t>This</w:t>
      </w:r>
      <w:r>
        <w:t xml:space="preserve"> </w:t>
      </w:r>
      <w:r w:rsidRPr="00B82557">
        <w:t xml:space="preserve">schedule </w:t>
      </w:r>
      <w:r>
        <w:t xml:space="preserve">has been developed in accordance with </w:t>
      </w:r>
      <w:r w:rsidR="006C2919">
        <w:t>C</w:t>
      </w:r>
      <w:r>
        <w:t xml:space="preserve">lause 11(a) of </w:t>
      </w:r>
      <w:r w:rsidRPr="00B82557">
        <w:t xml:space="preserve">the Project Agreement on </w:t>
      </w:r>
      <w:r>
        <w:t xml:space="preserve">the </w:t>
      </w:r>
      <w:r w:rsidRPr="002C29D4">
        <w:rPr>
          <w:i/>
        </w:rPr>
        <w:t>Women</w:t>
      </w:r>
      <w:r w:rsidRPr="00453920">
        <w:rPr>
          <w:i/>
        </w:rPr>
        <w:t>’</w:t>
      </w:r>
      <w:r w:rsidRPr="002C29D4">
        <w:rPr>
          <w:i/>
        </w:rPr>
        <w:t>s Safety Package</w:t>
      </w:r>
      <w:r>
        <w:t xml:space="preserve"> – </w:t>
      </w:r>
      <w:r w:rsidRPr="00275027">
        <w:rPr>
          <w:i/>
        </w:rPr>
        <w:t>Technology Trials</w:t>
      </w:r>
      <w:r w:rsidRPr="00B82557">
        <w:t>.</w:t>
      </w:r>
      <w:r>
        <w:t xml:space="preserve"> It</w:t>
      </w:r>
      <w:r w:rsidRPr="004F23B2">
        <w:t xml:space="preserve"> will commence as soon as it is agreed between the Commonwealth and </w:t>
      </w:r>
      <w:r>
        <w:t>New South Wales (NSW)</w:t>
      </w:r>
      <w:r w:rsidRPr="004F23B2">
        <w:t xml:space="preserve"> and expire on </w:t>
      </w:r>
      <w:r>
        <w:t xml:space="preserve">30 June 2020 </w:t>
      </w:r>
      <w:r w:rsidRPr="004F23B2">
        <w:t xml:space="preserve">or on completion of the </w:t>
      </w:r>
      <w:r>
        <w:t>technology trials</w:t>
      </w:r>
      <w:r w:rsidRPr="004F23B2">
        <w:t xml:space="preserve">, including final performance reporting and processing of </w:t>
      </w:r>
      <w:r w:rsidRPr="00076D94">
        <w:t>final payments against mileston</w:t>
      </w:r>
      <w:r>
        <w:t xml:space="preserve">es. </w:t>
      </w:r>
    </w:p>
    <w:p w14:paraId="786D7F18" w14:textId="77777777" w:rsidR="009562B6" w:rsidRDefault="009562B6" w:rsidP="009562B6">
      <w:pPr>
        <w:pStyle w:val="Normalnumbered"/>
        <w:numPr>
          <w:ilvl w:val="0"/>
          <w:numId w:val="3"/>
        </w:numPr>
        <w:tabs>
          <w:tab w:val="left" w:pos="567"/>
        </w:tabs>
        <w:ind w:left="567" w:hanging="567"/>
      </w:pPr>
      <w:r>
        <w:t>NSW will</w:t>
      </w:r>
      <w:r w:rsidRPr="00076D94">
        <w:t xml:space="preserve"> trial </w:t>
      </w:r>
      <w:r>
        <w:t xml:space="preserve">60 </w:t>
      </w:r>
      <w:r w:rsidRPr="00076D94">
        <w:t>GPS</w:t>
      </w:r>
      <w:r>
        <w:t xml:space="preserve"> devices to track and monitor</w:t>
      </w:r>
      <w:r w:rsidRPr="00076D94">
        <w:t xml:space="preserve"> selected domestic violence offenders in 2016-17 and 2017-18 comprising:</w:t>
      </w:r>
    </w:p>
    <w:p w14:paraId="1BB1BF5F" w14:textId="77777777" w:rsidR="009562B6" w:rsidRDefault="009562B6" w:rsidP="009562B6">
      <w:pPr>
        <w:pStyle w:val="Normalnumbered"/>
        <w:numPr>
          <w:ilvl w:val="1"/>
          <w:numId w:val="3"/>
        </w:numPr>
        <w:tabs>
          <w:tab w:val="left" w:pos="567"/>
        </w:tabs>
        <w:ind w:left="1134" w:hanging="567"/>
      </w:pPr>
      <w:r>
        <w:t>project management requirements including:</w:t>
      </w:r>
    </w:p>
    <w:p w14:paraId="0D075889" w14:textId="77777777" w:rsidR="009562B6" w:rsidRDefault="009562B6" w:rsidP="009562B6">
      <w:pPr>
        <w:pStyle w:val="Normalnumbered"/>
        <w:numPr>
          <w:ilvl w:val="2"/>
          <w:numId w:val="3"/>
        </w:numPr>
        <w:tabs>
          <w:tab w:val="left" w:pos="567"/>
        </w:tabs>
        <w:ind w:left="1843" w:hanging="567"/>
      </w:pPr>
      <w:r>
        <w:t xml:space="preserve">developing </w:t>
      </w:r>
      <w:r w:rsidRPr="00A920FB">
        <w:t>a monitoring and evaluation framework</w:t>
      </w:r>
      <w:r>
        <w:t xml:space="preserve">, </w:t>
      </w:r>
      <w:r w:rsidRPr="00A920FB">
        <w:t>policies and procedures</w:t>
      </w:r>
      <w:r>
        <w:t xml:space="preserve">, and </w:t>
      </w:r>
      <w:r w:rsidRPr="00A920FB">
        <w:t>a communication strategy</w:t>
      </w:r>
      <w:r>
        <w:t>; and</w:t>
      </w:r>
    </w:p>
    <w:p w14:paraId="6DDC3C02" w14:textId="77777777" w:rsidR="009562B6" w:rsidRDefault="009562B6" w:rsidP="009562B6">
      <w:pPr>
        <w:pStyle w:val="Normalnumbered"/>
        <w:numPr>
          <w:ilvl w:val="2"/>
          <w:numId w:val="3"/>
        </w:numPr>
        <w:tabs>
          <w:tab w:val="left" w:pos="567"/>
        </w:tabs>
        <w:ind w:left="1843" w:hanging="567"/>
      </w:pPr>
      <w:r>
        <w:t>developing and providing training to participating personnel;</w:t>
      </w:r>
    </w:p>
    <w:p w14:paraId="34F71A6E" w14:textId="77777777" w:rsidR="009562B6" w:rsidRDefault="009562B6" w:rsidP="009562B6">
      <w:pPr>
        <w:pStyle w:val="Normalnumbered"/>
        <w:numPr>
          <w:ilvl w:val="1"/>
          <w:numId w:val="3"/>
        </w:numPr>
        <w:tabs>
          <w:tab w:val="left" w:pos="567"/>
        </w:tabs>
        <w:ind w:left="1134" w:hanging="567"/>
      </w:pPr>
      <w:r>
        <w:t>technical testing for a period of three months within identified regional and metropolitan locations to:</w:t>
      </w:r>
    </w:p>
    <w:p w14:paraId="06BDB1A0" w14:textId="77777777" w:rsidR="009562B6" w:rsidRDefault="009562B6" w:rsidP="009562B6">
      <w:pPr>
        <w:pStyle w:val="Normalnumbered"/>
        <w:numPr>
          <w:ilvl w:val="2"/>
          <w:numId w:val="3"/>
        </w:numPr>
        <w:tabs>
          <w:tab w:val="left" w:pos="567"/>
        </w:tabs>
        <w:ind w:left="1843" w:hanging="567"/>
      </w:pPr>
      <w:r>
        <w:t>evaluate and identify</w:t>
      </w:r>
      <w:r w:rsidRPr="00584FE3">
        <w:t xml:space="preserve"> the equipment </w:t>
      </w:r>
      <w:r>
        <w:t>to suit the program needs for the</w:t>
      </w:r>
      <w:r w:rsidRPr="00584FE3">
        <w:t xml:space="preserve"> specific offender group</w:t>
      </w:r>
      <w:r>
        <w:t xml:space="preserve"> through a designated three month trial; and</w:t>
      </w:r>
    </w:p>
    <w:p w14:paraId="3653FB6D" w14:textId="77777777" w:rsidR="009562B6" w:rsidRDefault="009562B6" w:rsidP="009562B6">
      <w:pPr>
        <w:pStyle w:val="Normalnumbered"/>
        <w:numPr>
          <w:ilvl w:val="2"/>
          <w:numId w:val="3"/>
        </w:numPr>
        <w:tabs>
          <w:tab w:val="left" w:pos="567"/>
        </w:tabs>
        <w:ind w:left="1843" w:hanging="567"/>
      </w:pPr>
      <w:r>
        <w:t>test mobile technologies;</w:t>
      </w:r>
    </w:p>
    <w:p w14:paraId="4EE15632" w14:textId="77777777" w:rsidR="009562B6" w:rsidRDefault="009562B6" w:rsidP="009562B6">
      <w:pPr>
        <w:pStyle w:val="Normalnumbered"/>
        <w:numPr>
          <w:ilvl w:val="1"/>
          <w:numId w:val="3"/>
        </w:numPr>
        <w:tabs>
          <w:tab w:val="left" w:pos="567"/>
        </w:tabs>
        <w:ind w:left="1134" w:hanging="567"/>
      </w:pPr>
      <w:r>
        <w:t>a twelve month trial of the domestic violence monitoring program following the technical testing period, including:</w:t>
      </w:r>
    </w:p>
    <w:p w14:paraId="35B48E96" w14:textId="77777777" w:rsidR="009562B6" w:rsidRDefault="009562B6" w:rsidP="009562B6">
      <w:pPr>
        <w:pStyle w:val="Normalnumbered"/>
        <w:numPr>
          <w:ilvl w:val="2"/>
          <w:numId w:val="3"/>
        </w:numPr>
        <w:tabs>
          <w:tab w:val="left" w:pos="567"/>
        </w:tabs>
        <w:ind w:left="1843" w:hanging="567"/>
      </w:pPr>
      <w:r>
        <w:t>fitting and allocation of</w:t>
      </w:r>
      <w:r w:rsidRPr="00EB7CC2">
        <w:t xml:space="preserve"> GPS </w:t>
      </w:r>
      <w:r>
        <w:t>equipment (including Smart Tag, strap, anti-tamper plates, home beacon and charger) to offenders subject to court and parole orders;</w:t>
      </w:r>
    </w:p>
    <w:p w14:paraId="6ACEE2D6" w14:textId="77777777" w:rsidR="009562B6" w:rsidRDefault="009562B6" w:rsidP="009562B6">
      <w:pPr>
        <w:pStyle w:val="Normalnumbered"/>
        <w:numPr>
          <w:ilvl w:val="2"/>
          <w:numId w:val="3"/>
        </w:numPr>
        <w:tabs>
          <w:tab w:val="left" w:pos="567"/>
        </w:tabs>
        <w:ind w:left="1843" w:hanging="567"/>
      </w:pPr>
      <w:r w:rsidRPr="00EB7CC2">
        <w:t xml:space="preserve">24 hour monitoring </w:t>
      </w:r>
      <w:r>
        <w:t>any breaches of order conditions, via the monitoring centre; and</w:t>
      </w:r>
    </w:p>
    <w:p w14:paraId="1DE11D7C" w14:textId="77777777" w:rsidR="009562B6" w:rsidRDefault="009562B6" w:rsidP="009562B6">
      <w:pPr>
        <w:pStyle w:val="Normalnumbered"/>
        <w:numPr>
          <w:ilvl w:val="2"/>
          <w:numId w:val="3"/>
        </w:numPr>
        <w:tabs>
          <w:tab w:val="left" w:pos="567"/>
        </w:tabs>
        <w:ind w:left="1843" w:hanging="567"/>
      </w:pPr>
      <w:r>
        <w:t>ongoing review and evaluation; and</w:t>
      </w:r>
    </w:p>
    <w:p w14:paraId="6034ED8B" w14:textId="20164ED9" w:rsidR="009562B6" w:rsidRDefault="009562B6" w:rsidP="009562B6">
      <w:pPr>
        <w:pStyle w:val="Normalnumbered"/>
        <w:numPr>
          <w:ilvl w:val="1"/>
          <w:numId w:val="3"/>
        </w:numPr>
        <w:tabs>
          <w:tab w:val="left" w:pos="567"/>
        </w:tabs>
        <w:ind w:left="1134" w:hanging="567"/>
      </w:pPr>
      <w:r>
        <w:t>a</w:t>
      </w:r>
      <w:r w:rsidR="00C16EF9">
        <w:t>n</w:t>
      </w:r>
      <w:r>
        <w:t xml:space="preserve"> </w:t>
      </w:r>
      <w:r w:rsidRPr="00EB7CC2">
        <w:t>evaluation</w:t>
      </w:r>
      <w:r>
        <w:t xml:space="preserve"> of the trial including:</w:t>
      </w:r>
    </w:p>
    <w:p w14:paraId="6989E2FB" w14:textId="77777777" w:rsidR="009562B6" w:rsidRDefault="009562B6" w:rsidP="009562B6">
      <w:pPr>
        <w:pStyle w:val="Normalnumbered"/>
        <w:numPr>
          <w:ilvl w:val="2"/>
          <w:numId w:val="3"/>
        </w:numPr>
        <w:tabs>
          <w:tab w:val="left" w:pos="567"/>
        </w:tabs>
        <w:ind w:left="1843" w:hanging="567"/>
      </w:pPr>
      <w:r>
        <w:t>establishing a review panel prior to the end of the 12 month period comprised of representatives from the Electronic Monitoring Group, Community Corrections, and the Crime Policy, Strategy and Policy division within Corrective Services NSW and the NSW Department of Justice; and</w:t>
      </w:r>
    </w:p>
    <w:p w14:paraId="69D5B031" w14:textId="77777777" w:rsidR="009562B6" w:rsidRDefault="009562B6" w:rsidP="009562B6">
      <w:pPr>
        <w:pStyle w:val="Normalnumbered"/>
        <w:numPr>
          <w:ilvl w:val="2"/>
          <w:numId w:val="3"/>
        </w:numPr>
        <w:tabs>
          <w:tab w:val="left" w:pos="567"/>
        </w:tabs>
        <w:ind w:left="1843" w:hanging="567"/>
      </w:pPr>
      <w:proofErr w:type="gramStart"/>
      <w:r>
        <w:lastRenderedPageBreak/>
        <w:t>detailing</w:t>
      </w:r>
      <w:proofErr w:type="gramEnd"/>
      <w:r>
        <w:t xml:space="preserve"> lessons learnt and contribute to the development of national standards for appropriate sentencing options and correct identification processes for offenders.</w:t>
      </w:r>
    </w:p>
    <w:p w14:paraId="45D52F0D" w14:textId="77777777" w:rsidR="009562B6" w:rsidRDefault="009562B6" w:rsidP="00287B70">
      <w:pPr>
        <w:pStyle w:val="Normalnumbered"/>
        <w:numPr>
          <w:ilvl w:val="0"/>
          <w:numId w:val="3"/>
        </w:numPr>
        <w:tabs>
          <w:tab w:val="left" w:pos="567"/>
        </w:tabs>
        <w:ind w:left="567" w:hanging="207"/>
      </w:pPr>
      <w:r>
        <w:t xml:space="preserve">NSW will </w:t>
      </w:r>
      <w:r w:rsidRPr="006C5BED">
        <w:t xml:space="preserve">trial </w:t>
      </w:r>
      <w:r>
        <w:t xml:space="preserve">the combined use of </w:t>
      </w:r>
      <w:r w:rsidRPr="006C5BED">
        <w:t>transdermal alcohol monitoring bracelets</w:t>
      </w:r>
      <w:r>
        <w:t>, behavioural messaging and case management for perpetrators of domestic and family violence</w:t>
      </w:r>
      <w:r w:rsidRPr="006C5BED">
        <w:t xml:space="preserve"> </w:t>
      </w:r>
      <w:r>
        <w:t>between 2017-18 and 2019-20 in the context of Apprehended Domestic Violence Orders</w:t>
      </w:r>
      <w:r w:rsidDel="00502EDA">
        <w:t xml:space="preserve"> </w:t>
      </w:r>
      <w:r>
        <w:t>comprising:</w:t>
      </w:r>
    </w:p>
    <w:p w14:paraId="1E7AEB1A" w14:textId="67DEC290" w:rsidR="009562B6" w:rsidRDefault="0040233F" w:rsidP="009562B6">
      <w:pPr>
        <w:pStyle w:val="Normalnumbered"/>
        <w:numPr>
          <w:ilvl w:val="1"/>
          <w:numId w:val="3"/>
        </w:numPr>
        <w:tabs>
          <w:tab w:val="left" w:pos="567"/>
        </w:tabs>
        <w:ind w:left="1134" w:hanging="567"/>
      </w:pPr>
      <w:r>
        <w:t>a</w:t>
      </w:r>
      <w:r w:rsidR="00345321">
        <w:t xml:space="preserve"> </w:t>
      </w:r>
      <w:r w:rsidR="009562B6">
        <w:t xml:space="preserve">project </w:t>
      </w:r>
      <w:r w:rsidR="000B1698">
        <w:t xml:space="preserve"> scoping </w:t>
      </w:r>
      <w:r w:rsidR="00345321">
        <w:t>phase</w:t>
      </w:r>
      <w:r w:rsidR="009562B6">
        <w:t xml:space="preserve"> including:</w:t>
      </w:r>
    </w:p>
    <w:p w14:paraId="6C9A1511" w14:textId="77777777" w:rsidR="009562B6" w:rsidRDefault="009562B6" w:rsidP="009562B6">
      <w:pPr>
        <w:pStyle w:val="Normalnumbered"/>
        <w:numPr>
          <w:ilvl w:val="2"/>
          <w:numId w:val="3"/>
        </w:numPr>
        <w:tabs>
          <w:tab w:val="left" w:pos="567"/>
        </w:tabs>
        <w:ind w:left="1843" w:hanging="567"/>
      </w:pPr>
      <w:r>
        <w:t xml:space="preserve">establishment of a Steering Committee including representatives from the Commonwealth and NSW; </w:t>
      </w:r>
    </w:p>
    <w:p w14:paraId="6E271819" w14:textId="4E59C043" w:rsidR="009562B6" w:rsidRDefault="00152BF5" w:rsidP="009562B6">
      <w:pPr>
        <w:pStyle w:val="Normalnumbered"/>
        <w:numPr>
          <w:ilvl w:val="2"/>
          <w:numId w:val="3"/>
        </w:numPr>
        <w:tabs>
          <w:tab w:val="left" w:pos="567"/>
        </w:tabs>
        <w:ind w:left="1843" w:hanging="567"/>
      </w:pPr>
      <w:r>
        <w:t>develop</w:t>
      </w:r>
      <w:r w:rsidR="000E7279">
        <w:t>ment of</w:t>
      </w:r>
      <w:r>
        <w:t xml:space="preserve"> </w:t>
      </w:r>
      <w:r w:rsidR="009562B6">
        <w:t xml:space="preserve">a </w:t>
      </w:r>
      <w:r>
        <w:t xml:space="preserve">detailed </w:t>
      </w:r>
      <w:r w:rsidR="009562B6">
        <w:t>project scope, including identification of potential metropolitan and regional pilot sites,</w:t>
      </w:r>
      <w:r w:rsidR="000C666A">
        <w:t xml:space="preserve"> an</w:t>
      </w:r>
      <w:r w:rsidR="009562B6">
        <w:t xml:space="preserve"> implementation and feasibility plan, </w:t>
      </w:r>
      <w:r w:rsidR="000C666A">
        <w:t xml:space="preserve">and a </w:t>
      </w:r>
      <w:r w:rsidR="009562B6">
        <w:t>participant engagement strategy;</w:t>
      </w:r>
    </w:p>
    <w:p w14:paraId="6CD458B6" w14:textId="481A0240" w:rsidR="009562B6" w:rsidRDefault="009562B6" w:rsidP="009562B6">
      <w:pPr>
        <w:pStyle w:val="Normalnumbered"/>
        <w:numPr>
          <w:ilvl w:val="2"/>
          <w:numId w:val="3"/>
        </w:numPr>
        <w:tabs>
          <w:tab w:val="left" w:pos="567"/>
        </w:tabs>
        <w:ind w:left="1843" w:hanging="567"/>
      </w:pPr>
      <w:r>
        <w:t>development of policies and procedures to address privacy and safety issues</w:t>
      </w:r>
      <w:r w:rsidRPr="00502EDA">
        <w:t xml:space="preserve"> </w:t>
      </w:r>
      <w:r>
        <w:t>and receipt of ethics approval</w:t>
      </w:r>
      <w:r w:rsidR="00287B70">
        <w:t>; and</w:t>
      </w:r>
    </w:p>
    <w:p w14:paraId="295C3208" w14:textId="229EE18E" w:rsidR="009562B6" w:rsidRDefault="009562B6" w:rsidP="009562B6">
      <w:pPr>
        <w:pStyle w:val="Normalnumbered"/>
        <w:numPr>
          <w:ilvl w:val="1"/>
          <w:numId w:val="3"/>
        </w:numPr>
        <w:tabs>
          <w:tab w:val="left" w:pos="567"/>
        </w:tabs>
        <w:ind w:left="1134" w:hanging="567"/>
      </w:pPr>
      <w:r>
        <w:t>a 12 month trial of the transdermal alcohol monitoring bracelets including</w:t>
      </w:r>
      <w:r w:rsidR="00287B70">
        <w:t>:</w:t>
      </w:r>
      <w:r>
        <w:t xml:space="preserve"> </w:t>
      </w:r>
    </w:p>
    <w:p w14:paraId="50F836BF" w14:textId="77777777" w:rsidR="009562B6" w:rsidRPr="00C17139" w:rsidRDefault="009562B6" w:rsidP="009562B6">
      <w:pPr>
        <w:pStyle w:val="Normalnumbered"/>
        <w:numPr>
          <w:ilvl w:val="2"/>
          <w:numId w:val="3"/>
        </w:numPr>
        <w:tabs>
          <w:tab w:val="left" w:pos="567"/>
        </w:tabs>
        <w:ind w:left="1843" w:hanging="567"/>
      </w:pPr>
      <w:r>
        <w:t>i</w:t>
      </w:r>
      <w:r w:rsidRPr="00C17139">
        <w:t>dentifying participants and pathways to engagement</w:t>
      </w:r>
      <w:r>
        <w:t xml:space="preserve"> including </w:t>
      </w:r>
      <w:r w:rsidRPr="00C17139">
        <w:t>recruitment of participants, development of behavioural messaging, and integration of case management for the alcohol monitoring bracelets into existing case management</w:t>
      </w:r>
      <w:r>
        <w:t xml:space="preserve"> structures;</w:t>
      </w:r>
    </w:p>
    <w:p w14:paraId="5D590F0F" w14:textId="77777777" w:rsidR="009562B6" w:rsidRDefault="009562B6" w:rsidP="009562B6">
      <w:pPr>
        <w:pStyle w:val="Normalnumbered"/>
        <w:numPr>
          <w:ilvl w:val="2"/>
          <w:numId w:val="3"/>
        </w:numPr>
        <w:tabs>
          <w:tab w:val="left" w:pos="567"/>
        </w:tabs>
        <w:ind w:left="1843" w:hanging="567"/>
      </w:pPr>
      <w:r>
        <w:t>fitting the bracelets and implementing a system of proactive messaging and outreach; and</w:t>
      </w:r>
    </w:p>
    <w:p w14:paraId="3CA38BD7" w14:textId="7AC76D53" w:rsidR="009562B6" w:rsidRDefault="00301946" w:rsidP="009562B6">
      <w:pPr>
        <w:pStyle w:val="Normalnumbered"/>
        <w:numPr>
          <w:ilvl w:val="1"/>
          <w:numId w:val="3"/>
        </w:numPr>
        <w:tabs>
          <w:tab w:val="left" w:pos="567"/>
        </w:tabs>
        <w:ind w:left="1134" w:hanging="567"/>
      </w:pPr>
      <w:r>
        <w:t>a</w:t>
      </w:r>
      <w:r w:rsidR="00C16EF9">
        <w:t>n</w:t>
      </w:r>
      <w:r w:rsidR="009562B6">
        <w:t xml:space="preserve"> evaluation of the trial including:</w:t>
      </w:r>
    </w:p>
    <w:p w14:paraId="69388554" w14:textId="77777777" w:rsidR="009562B6" w:rsidRDefault="009562B6" w:rsidP="000E7279">
      <w:pPr>
        <w:pStyle w:val="Normalnumbered"/>
        <w:numPr>
          <w:ilvl w:val="2"/>
          <w:numId w:val="3"/>
        </w:numPr>
        <w:tabs>
          <w:tab w:val="left" w:pos="567"/>
        </w:tabs>
        <w:ind w:left="1843" w:hanging="567"/>
      </w:pPr>
      <w:r>
        <w:t>identifying drivers of take-up and engagement in relation to the bracelets; and</w:t>
      </w:r>
    </w:p>
    <w:p w14:paraId="385FD9A2" w14:textId="77777777" w:rsidR="009562B6" w:rsidRDefault="009562B6" w:rsidP="000E7279">
      <w:pPr>
        <w:pStyle w:val="Normalnumbered"/>
        <w:numPr>
          <w:ilvl w:val="2"/>
          <w:numId w:val="3"/>
        </w:numPr>
        <w:tabs>
          <w:tab w:val="left" w:pos="567"/>
        </w:tabs>
        <w:ind w:left="1843" w:hanging="567"/>
      </w:pPr>
      <w:proofErr w:type="gramStart"/>
      <w:r>
        <w:t>detailed</w:t>
      </w:r>
      <w:proofErr w:type="gramEnd"/>
      <w:r>
        <w:t xml:space="preserve"> lessons learnt including the implications </w:t>
      </w:r>
      <w:r w:rsidR="007C38E6">
        <w:t xml:space="preserve">of the </w:t>
      </w:r>
      <w:r>
        <w:t>combined potential and scalability of the technology and behavioural messaging methodology to reduce alcohol-related domestic and family violence.</w:t>
      </w:r>
    </w:p>
    <w:p w14:paraId="502CE7D4" w14:textId="77777777" w:rsidR="009562B6" w:rsidRDefault="009562B6" w:rsidP="009562B6">
      <w:pPr>
        <w:pStyle w:val="Normalnumbered"/>
        <w:numPr>
          <w:ilvl w:val="0"/>
          <w:numId w:val="3"/>
        </w:numPr>
        <w:tabs>
          <w:tab w:val="left" w:pos="567"/>
        </w:tabs>
        <w:ind w:left="567" w:hanging="567"/>
      </w:pPr>
      <w:r w:rsidRPr="009B1652">
        <w:t xml:space="preserve">In accordance with </w:t>
      </w:r>
      <w:r>
        <w:t>C</w:t>
      </w:r>
      <w:r w:rsidRPr="009B1652">
        <w:t>lause 1</w:t>
      </w:r>
      <w:r>
        <w:t>3</w:t>
      </w:r>
      <w:r w:rsidRPr="009B1652">
        <w:t xml:space="preserve"> of the Agreement, milestones for </w:t>
      </w:r>
      <w:r>
        <w:t>projects</w:t>
      </w:r>
      <w:r w:rsidRPr="009B1652">
        <w:t>, their relationship to outputs, expected completion dates, relevant reporting dates and expected payments</w:t>
      </w:r>
      <w:r>
        <w:t xml:space="preserve"> are set out in Tables 1 and 2.</w:t>
      </w:r>
    </w:p>
    <w:p w14:paraId="65C690E5" w14:textId="77777777" w:rsidR="009562B6" w:rsidRDefault="009562B6" w:rsidP="009562B6">
      <w:pPr>
        <w:pStyle w:val="Normalnumbered"/>
        <w:rPr>
          <w:b/>
        </w:rPr>
      </w:pPr>
      <w:r>
        <w:rPr>
          <w:b/>
        </w:rPr>
        <w:t>Table 1: Milestones, reporting and payment summary of GPS Technology Trial</w:t>
      </w:r>
    </w:p>
    <w:tbl>
      <w:tblPr>
        <w:tblW w:w="9600" w:type="dxa"/>
        <w:tblCellMar>
          <w:left w:w="0" w:type="dxa"/>
          <w:right w:w="0" w:type="dxa"/>
        </w:tblCellMar>
        <w:tblLook w:val="04A0" w:firstRow="1" w:lastRow="0" w:firstColumn="1" w:lastColumn="0" w:noHBand="0" w:noVBand="1"/>
      </w:tblPr>
      <w:tblGrid>
        <w:gridCol w:w="2782"/>
        <w:gridCol w:w="3660"/>
        <w:gridCol w:w="2028"/>
        <w:gridCol w:w="1130"/>
      </w:tblGrid>
      <w:tr w:rsidR="009562B6" w14:paraId="46CCF9F5" w14:textId="77777777" w:rsidTr="00152F03">
        <w:trPr>
          <w:trHeight w:val="523"/>
        </w:trPr>
        <w:tc>
          <w:tcPr>
            <w:tcW w:w="2782" w:type="dxa"/>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vAlign w:val="center"/>
            <w:hideMark/>
          </w:tcPr>
          <w:p w14:paraId="0DB19C14" w14:textId="77777777" w:rsidR="009562B6" w:rsidRPr="00755CD9" w:rsidRDefault="009562B6" w:rsidP="00152F03">
            <w:pPr>
              <w:jc w:val="left"/>
            </w:pPr>
            <w:r w:rsidRPr="00755CD9">
              <w:t>Outputs</w:t>
            </w:r>
          </w:p>
        </w:tc>
        <w:tc>
          <w:tcPr>
            <w:tcW w:w="3660" w:type="dxa"/>
            <w:tcBorders>
              <w:top w:val="single" w:sz="8" w:space="0" w:color="000000"/>
              <w:left w:val="nil"/>
              <w:bottom w:val="single" w:sz="8" w:space="0" w:color="000000"/>
              <w:right w:val="single" w:sz="8" w:space="0" w:color="000000"/>
            </w:tcBorders>
            <w:shd w:val="clear" w:color="auto" w:fill="8DB3E2"/>
            <w:tcMar>
              <w:top w:w="0" w:type="dxa"/>
              <w:left w:w="108" w:type="dxa"/>
              <w:bottom w:w="0" w:type="dxa"/>
              <w:right w:w="108" w:type="dxa"/>
            </w:tcMar>
            <w:vAlign w:val="center"/>
            <w:hideMark/>
          </w:tcPr>
          <w:p w14:paraId="71BD5A8B" w14:textId="77777777" w:rsidR="009562B6" w:rsidRPr="00755CD9" w:rsidRDefault="009562B6" w:rsidP="00152F03">
            <w:pPr>
              <w:jc w:val="left"/>
            </w:pPr>
            <w:r w:rsidRPr="00755CD9">
              <w:t>Performance milestones</w:t>
            </w:r>
          </w:p>
        </w:tc>
        <w:tc>
          <w:tcPr>
            <w:tcW w:w="2028" w:type="dxa"/>
            <w:tcBorders>
              <w:top w:val="single" w:sz="8" w:space="0" w:color="000000"/>
              <w:left w:val="nil"/>
              <w:bottom w:val="single" w:sz="8" w:space="0" w:color="000000"/>
              <w:right w:val="single" w:sz="8" w:space="0" w:color="000000"/>
            </w:tcBorders>
            <w:shd w:val="clear" w:color="auto" w:fill="8DB3E2"/>
            <w:tcMar>
              <w:top w:w="0" w:type="dxa"/>
              <w:left w:w="108" w:type="dxa"/>
              <w:bottom w:w="0" w:type="dxa"/>
              <w:right w:w="108" w:type="dxa"/>
            </w:tcMar>
            <w:vAlign w:val="center"/>
            <w:hideMark/>
          </w:tcPr>
          <w:p w14:paraId="084777F1" w14:textId="77777777" w:rsidR="009562B6" w:rsidRPr="00755CD9" w:rsidRDefault="009562B6" w:rsidP="00152F03">
            <w:pPr>
              <w:jc w:val="left"/>
            </w:pPr>
            <w:r w:rsidRPr="00755CD9">
              <w:t>Report due</w:t>
            </w:r>
          </w:p>
        </w:tc>
        <w:tc>
          <w:tcPr>
            <w:tcW w:w="1130" w:type="dxa"/>
            <w:tcBorders>
              <w:top w:val="single" w:sz="8" w:space="0" w:color="000000"/>
              <w:left w:val="nil"/>
              <w:bottom w:val="single" w:sz="8" w:space="0" w:color="000000"/>
              <w:right w:val="single" w:sz="8" w:space="0" w:color="000000"/>
            </w:tcBorders>
            <w:shd w:val="clear" w:color="auto" w:fill="8DB3E2"/>
            <w:tcMar>
              <w:top w:w="0" w:type="dxa"/>
              <w:left w:w="108" w:type="dxa"/>
              <w:bottom w:w="0" w:type="dxa"/>
              <w:right w:w="108" w:type="dxa"/>
            </w:tcMar>
            <w:vAlign w:val="center"/>
            <w:hideMark/>
          </w:tcPr>
          <w:p w14:paraId="38D10C2D" w14:textId="77777777" w:rsidR="009562B6" w:rsidRPr="00755CD9" w:rsidRDefault="009562B6" w:rsidP="00152F03">
            <w:pPr>
              <w:jc w:val="left"/>
            </w:pPr>
            <w:r w:rsidRPr="00755CD9">
              <w:t>Payment</w:t>
            </w:r>
          </w:p>
        </w:tc>
      </w:tr>
      <w:tr w:rsidR="009562B6" w14:paraId="3E6BACD4" w14:textId="77777777" w:rsidTr="00152F03">
        <w:trPr>
          <w:trHeight w:val="1460"/>
        </w:trPr>
        <w:tc>
          <w:tcPr>
            <w:tcW w:w="2782"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09DFD27" w14:textId="77777777" w:rsidR="009562B6" w:rsidRPr="00755CD9" w:rsidRDefault="009562B6" w:rsidP="00152F03">
            <w:pPr>
              <w:jc w:val="left"/>
            </w:pPr>
            <w:r w:rsidRPr="00755CD9">
              <w:t>Implementation of GPS Technology Trial</w:t>
            </w:r>
          </w:p>
        </w:tc>
        <w:tc>
          <w:tcPr>
            <w:tcW w:w="3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8059025" w14:textId="77777777" w:rsidR="009562B6" w:rsidRPr="00755CD9" w:rsidRDefault="009562B6" w:rsidP="00152F03">
            <w:pPr>
              <w:jc w:val="left"/>
              <w:rPr>
                <w:iCs/>
              </w:rPr>
            </w:pPr>
            <w:r>
              <w:rPr>
                <w:bCs/>
                <w:iCs/>
              </w:rPr>
              <w:t>Complete the three-month initial trial</w:t>
            </w:r>
          </w:p>
          <w:p w14:paraId="5877A026" w14:textId="77777777" w:rsidR="009562B6" w:rsidRPr="00755CD9" w:rsidRDefault="009562B6" w:rsidP="00152F03">
            <w:pPr>
              <w:jc w:val="left"/>
              <w:rPr>
                <w:iCs/>
              </w:rPr>
            </w:pPr>
            <w:r>
              <w:rPr>
                <w:bCs/>
                <w:iCs/>
              </w:rPr>
              <w:t>Set up required hardware and software systems; arrange associated policies and procedures; and develop training programs and communication strategy.</w:t>
            </w:r>
          </w:p>
        </w:tc>
        <w:tc>
          <w:tcPr>
            <w:tcW w:w="20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0047C14D" w14:textId="77777777" w:rsidR="009562B6" w:rsidRPr="00755CD9" w:rsidRDefault="009562B6" w:rsidP="00152F03">
            <w:pPr>
              <w:jc w:val="left"/>
              <w:rPr>
                <w:iCs/>
              </w:rPr>
            </w:pPr>
            <w:r>
              <w:rPr>
                <w:iCs/>
              </w:rPr>
              <w:t>15 May 2017</w:t>
            </w:r>
          </w:p>
        </w:tc>
        <w:tc>
          <w:tcPr>
            <w:tcW w:w="11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5BCF653D" w14:textId="77777777" w:rsidR="009562B6" w:rsidRPr="00755CD9" w:rsidRDefault="009562B6" w:rsidP="00152F03">
            <w:pPr>
              <w:jc w:val="left"/>
              <w:rPr>
                <w:iCs/>
              </w:rPr>
            </w:pPr>
            <w:r>
              <w:rPr>
                <w:iCs/>
              </w:rPr>
              <w:t>$278,300</w:t>
            </w:r>
          </w:p>
        </w:tc>
      </w:tr>
      <w:tr w:rsidR="009562B6" w14:paraId="729FCA6F" w14:textId="77777777" w:rsidTr="00152F03">
        <w:tc>
          <w:tcPr>
            <w:tcW w:w="2782" w:type="dxa"/>
            <w:vMerge/>
            <w:tcBorders>
              <w:top w:val="nil"/>
              <w:left w:val="single" w:sz="8" w:space="0" w:color="000000"/>
              <w:bottom w:val="single" w:sz="8" w:space="0" w:color="000000"/>
              <w:right w:val="single" w:sz="8" w:space="0" w:color="000000"/>
            </w:tcBorders>
            <w:vAlign w:val="center"/>
            <w:hideMark/>
          </w:tcPr>
          <w:p w14:paraId="43D216CF" w14:textId="77777777" w:rsidR="009562B6" w:rsidRPr="00755CD9" w:rsidRDefault="009562B6" w:rsidP="00152F03">
            <w:pPr>
              <w:jc w:val="left"/>
            </w:pPr>
          </w:p>
        </w:tc>
        <w:tc>
          <w:tcPr>
            <w:tcW w:w="3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DC1DC36" w14:textId="77777777" w:rsidR="009562B6" w:rsidRPr="00755CD9" w:rsidRDefault="009562B6" w:rsidP="00152F03">
            <w:pPr>
              <w:jc w:val="left"/>
              <w:rPr>
                <w:iCs/>
              </w:rPr>
            </w:pPr>
            <w:r w:rsidRPr="00755CD9">
              <w:rPr>
                <w:bCs/>
                <w:iCs/>
              </w:rPr>
              <w:t>Completion of the</w:t>
            </w:r>
            <w:r>
              <w:rPr>
                <w:bCs/>
                <w:iCs/>
              </w:rPr>
              <w:t xml:space="preserve"> 12-month</w:t>
            </w:r>
            <w:r w:rsidRPr="00755CD9">
              <w:rPr>
                <w:bCs/>
                <w:iCs/>
              </w:rPr>
              <w:t xml:space="preserve"> GPS trial</w:t>
            </w:r>
          </w:p>
        </w:tc>
        <w:tc>
          <w:tcPr>
            <w:tcW w:w="20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4129FBBA" w14:textId="77777777" w:rsidR="009562B6" w:rsidRPr="00755CD9" w:rsidRDefault="009562B6" w:rsidP="00152F03">
            <w:pPr>
              <w:jc w:val="left"/>
              <w:rPr>
                <w:iCs/>
              </w:rPr>
            </w:pPr>
            <w:r>
              <w:rPr>
                <w:iCs/>
              </w:rPr>
              <w:t>15 May 2018</w:t>
            </w:r>
          </w:p>
        </w:tc>
        <w:tc>
          <w:tcPr>
            <w:tcW w:w="11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02AAEF02" w14:textId="77777777" w:rsidR="009562B6" w:rsidRPr="00755CD9" w:rsidRDefault="009562B6" w:rsidP="00152F03">
            <w:pPr>
              <w:jc w:val="left"/>
              <w:rPr>
                <w:iCs/>
              </w:rPr>
            </w:pPr>
            <w:r>
              <w:rPr>
                <w:iCs/>
              </w:rPr>
              <w:t>$200,000</w:t>
            </w:r>
          </w:p>
        </w:tc>
      </w:tr>
      <w:tr w:rsidR="009562B6" w14:paraId="67D2B03B" w14:textId="77777777" w:rsidTr="00152F03">
        <w:trPr>
          <w:trHeight w:val="814"/>
        </w:trPr>
        <w:tc>
          <w:tcPr>
            <w:tcW w:w="278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725F2B1" w14:textId="77777777" w:rsidR="009562B6" w:rsidRPr="00755CD9" w:rsidRDefault="009562B6" w:rsidP="00152F03">
            <w:pPr>
              <w:jc w:val="left"/>
            </w:pPr>
            <w:r w:rsidRPr="00755CD9">
              <w:lastRenderedPageBreak/>
              <w:t>Evaluation of GPS Technology Trial</w:t>
            </w:r>
          </w:p>
        </w:tc>
        <w:tc>
          <w:tcPr>
            <w:tcW w:w="3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5DC7680" w14:textId="77777777" w:rsidR="009562B6" w:rsidRPr="00755CD9" w:rsidRDefault="009562B6" w:rsidP="00152F03">
            <w:pPr>
              <w:jc w:val="left"/>
              <w:rPr>
                <w:iCs/>
              </w:rPr>
            </w:pPr>
            <w:r>
              <w:rPr>
                <w:bCs/>
                <w:iCs/>
              </w:rPr>
              <w:t>Completion of a t</w:t>
            </w:r>
            <w:r w:rsidRPr="00755CD9">
              <w:rPr>
                <w:bCs/>
                <w:iCs/>
              </w:rPr>
              <w:t>echnology trial evaluation</w:t>
            </w:r>
          </w:p>
        </w:tc>
        <w:tc>
          <w:tcPr>
            <w:tcW w:w="20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75BACC43" w14:textId="77777777" w:rsidR="009562B6" w:rsidRPr="00755CD9" w:rsidRDefault="009562B6" w:rsidP="00152F03">
            <w:pPr>
              <w:jc w:val="left"/>
              <w:rPr>
                <w:iCs/>
              </w:rPr>
            </w:pPr>
            <w:r>
              <w:rPr>
                <w:iCs/>
              </w:rPr>
              <w:t>15 May 2018</w:t>
            </w:r>
          </w:p>
        </w:tc>
        <w:tc>
          <w:tcPr>
            <w:tcW w:w="11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1A3B1649" w14:textId="77777777" w:rsidR="009562B6" w:rsidRPr="00755CD9" w:rsidRDefault="009562B6" w:rsidP="00152F03">
            <w:pPr>
              <w:jc w:val="left"/>
              <w:rPr>
                <w:iCs/>
              </w:rPr>
            </w:pPr>
            <w:r>
              <w:rPr>
                <w:iCs/>
              </w:rPr>
              <w:t>$200,000</w:t>
            </w:r>
          </w:p>
        </w:tc>
      </w:tr>
    </w:tbl>
    <w:p w14:paraId="18BFACBD" w14:textId="77777777" w:rsidR="009562B6" w:rsidRDefault="009562B6" w:rsidP="009562B6"/>
    <w:p w14:paraId="0C529851" w14:textId="77777777" w:rsidR="009562B6" w:rsidRDefault="009562B6" w:rsidP="009562B6">
      <w:pPr>
        <w:pStyle w:val="Normalnumbered"/>
        <w:rPr>
          <w:b/>
        </w:rPr>
      </w:pPr>
      <w:r>
        <w:rPr>
          <w:b/>
        </w:rPr>
        <w:t>Table 2: Milestones, reporting and payment summary of the Transdermal Alcohol Bracelet Trial</w:t>
      </w:r>
    </w:p>
    <w:tbl>
      <w:tblPr>
        <w:tblW w:w="9600" w:type="dxa"/>
        <w:tblCellMar>
          <w:left w:w="0" w:type="dxa"/>
          <w:right w:w="0" w:type="dxa"/>
        </w:tblCellMar>
        <w:tblLook w:val="04A0" w:firstRow="1" w:lastRow="0" w:firstColumn="1" w:lastColumn="0" w:noHBand="0" w:noVBand="1"/>
      </w:tblPr>
      <w:tblGrid>
        <w:gridCol w:w="2782"/>
        <w:gridCol w:w="3660"/>
        <w:gridCol w:w="2028"/>
        <w:gridCol w:w="1130"/>
      </w:tblGrid>
      <w:tr w:rsidR="009562B6" w14:paraId="6A577FB6" w14:textId="77777777" w:rsidTr="00152F03">
        <w:trPr>
          <w:trHeight w:val="523"/>
        </w:trPr>
        <w:tc>
          <w:tcPr>
            <w:tcW w:w="2782" w:type="dxa"/>
            <w:tcBorders>
              <w:top w:val="single" w:sz="8" w:space="0" w:color="000000"/>
              <w:left w:val="single" w:sz="8" w:space="0" w:color="000000"/>
              <w:bottom w:val="single" w:sz="8" w:space="0" w:color="000000"/>
              <w:right w:val="single" w:sz="8" w:space="0" w:color="000000"/>
            </w:tcBorders>
            <w:shd w:val="clear" w:color="auto" w:fill="8DB3E2"/>
            <w:tcMar>
              <w:top w:w="0" w:type="dxa"/>
              <w:left w:w="108" w:type="dxa"/>
              <w:bottom w:w="0" w:type="dxa"/>
              <w:right w:w="108" w:type="dxa"/>
            </w:tcMar>
            <w:vAlign w:val="center"/>
            <w:hideMark/>
          </w:tcPr>
          <w:p w14:paraId="57AA241B" w14:textId="77777777" w:rsidR="009562B6" w:rsidRPr="00755CD9" w:rsidRDefault="009562B6" w:rsidP="00152F03">
            <w:pPr>
              <w:jc w:val="left"/>
            </w:pPr>
            <w:r w:rsidRPr="00755CD9">
              <w:t>Outputs</w:t>
            </w:r>
          </w:p>
        </w:tc>
        <w:tc>
          <w:tcPr>
            <w:tcW w:w="3660" w:type="dxa"/>
            <w:tcBorders>
              <w:top w:val="single" w:sz="8" w:space="0" w:color="000000"/>
              <w:left w:val="nil"/>
              <w:bottom w:val="single" w:sz="8" w:space="0" w:color="000000"/>
              <w:right w:val="single" w:sz="8" w:space="0" w:color="000000"/>
            </w:tcBorders>
            <w:shd w:val="clear" w:color="auto" w:fill="8DB3E2"/>
            <w:tcMar>
              <w:top w:w="0" w:type="dxa"/>
              <w:left w:w="108" w:type="dxa"/>
              <w:bottom w:w="0" w:type="dxa"/>
              <w:right w:w="108" w:type="dxa"/>
            </w:tcMar>
            <w:vAlign w:val="center"/>
            <w:hideMark/>
          </w:tcPr>
          <w:p w14:paraId="353800FE" w14:textId="77777777" w:rsidR="009562B6" w:rsidRPr="00755CD9" w:rsidRDefault="009562B6" w:rsidP="00152F03">
            <w:pPr>
              <w:jc w:val="left"/>
            </w:pPr>
            <w:r w:rsidRPr="00755CD9">
              <w:t>Performance milestones</w:t>
            </w:r>
          </w:p>
        </w:tc>
        <w:tc>
          <w:tcPr>
            <w:tcW w:w="2028" w:type="dxa"/>
            <w:tcBorders>
              <w:top w:val="single" w:sz="8" w:space="0" w:color="000000"/>
              <w:left w:val="nil"/>
              <w:bottom w:val="single" w:sz="8" w:space="0" w:color="000000"/>
              <w:right w:val="single" w:sz="8" w:space="0" w:color="000000"/>
            </w:tcBorders>
            <w:shd w:val="clear" w:color="auto" w:fill="8DB3E2"/>
            <w:tcMar>
              <w:top w:w="0" w:type="dxa"/>
              <w:left w:w="108" w:type="dxa"/>
              <w:bottom w:w="0" w:type="dxa"/>
              <w:right w:w="108" w:type="dxa"/>
            </w:tcMar>
            <w:vAlign w:val="center"/>
            <w:hideMark/>
          </w:tcPr>
          <w:p w14:paraId="408ADA4E" w14:textId="77777777" w:rsidR="009562B6" w:rsidRPr="00755CD9" w:rsidRDefault="009562B6" w:rsidP="00152F03">
            <w:pPr>
              <w:jc w:val="left"/>
            </w:pPr>
            <w:r w:rsidRPr="00755CD9">
              <w:t>Report due</w:t>
            </w:r>
          </w:p>
        </w:tc>
        <w:tc>
          <w:tcPr>
            <w:tcW w:w="1130" w:type="dxa"/>
            <w:tcBorders>
              <w:top w:val="single" w:sz="8" w:space="0" w:color="000000"/>
              <w:left w:val="nil"/>
              <w:bottom w:val="single" w:sz="8" w:space="0" w:color="000000"/>
              <w:right w:val="single" w:sz="8" w:space="0" w:color="000000"/>
            </w:tcBorders>
            <w:shd w:val="clear" w:color="auto" w:fill="8DB3E2"/>
            <w:tcMar>
              <w:top w:w="0" w:type="dxa"/>
              <w:left w:w="108" w:type="dxa"/>
              <w:bottom w:w="0" w:type="dxa"/>
              <w:right w:w="108" w:type="dxa"/>
            </w:tcMar>
            <w:vAlign w:val="center"/>
            <w:hideMark/>
          </w:tcPr>
          <w:p w14:paraId="29E5A77F" w14:textId="77777777" w:rsidR="009562B6" w:rsidRPr="00755CD9" w:rsidRDefault="009562B6" w:rsidP="00152F03">
            <w:pPr>
              <w:jc w:val="left"/>
            </w:pPr>
            <w:r w:rsidRPr="00755CD9">
              <w:t>Payment</w:t>
            </w:r>
          </w:p>
        </w:tc>
      </w:tr>
      <w:tr w:rsidR="009562B6" w14:paraId="0D741153" w14:textId="77777777" w:rsidTr="00152F03">
        <w:trPr>
          <w:trHeight w:val="1460"/>
        </w:trPr>
        <w:tc>
          <w:tcPr>
            <w:tcW w:w="2782"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9CB5B62" w14:textId="77777777" w:rsidR="009562B6" w:rsidRPr="00755CD9" w:rsidRDefault="009562B6" w:rsidP="00152F03">
            <w:pPr>
              <w:jc w:val="left"/>
            </w:pPr>
            <w:r w:rsidRPr="00755CD9">
              <w:t xml:space="preserve">Implementation of </w:t>
            </w:r>
            <w:r w:rsidRPr="006C5BED">
              <w:t>Transdermal Alcohol Bracelet Trial</w:t>
            </w:r>
          </w:p>
        </w:tc>
        <w:tc>
          <w:tcPr>
            <w:tcW w:w="3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250D897" w14:textId="5202B792" w:rsidR="009562B6" w:rsidRPr="00755CD9" w:rsidRDefault="009562B6" w:rsidP="000E7279">
            <w:pPr>
              <w:rPr>
                <w:iCs/>
              </w:rPr>
            </w:pPr>
            <w:r>
              <w:t>Complet</w:t>
            </w:r>
            <w:r w:rsidR="00345321">
              <w:t>ion of</w:t>
            </w:r>
            <w:r>
              <w:t xml:space="preserve"> a </w:t>
            </w:r>
            <w:r w:rsidR="00193474">
              <w:t xml:space="preserve">project </w:t>
            </w:r>
            <w:r>
              <w:t>scoping phase</w:t>
            </w:r>
            <w:r w:rsidR="000B1698">
              <w:t xml:space="preserve"> </w:t>
            </w:r>
            <w:r>
              <w:t>in accordance with clause 3</w:t>
            </w:r>
            <w:r w:rsidR="000B1698">
              <w:t>(</w:t>
            </w:r>
            <w:r>
              <w:t>a)</w:t>
            </w:r>
          </w:p>
        </w:tc>
        <w:tc>
          <w:tcPr>
            <w:tcW w:w="20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2292147D" w14:textId="2A11ECCF" w:rsidR="009562B6" w:rsidRPr="00755CD9" w:rsidRDefault="009562B6" w:rsidP="00BC5739">
            <w:pPr>
              <w:jc w:val="left"/>
              <w:rPr>
                <w:iCs/>
              </w:rPr>
            </w:pPr>
            <w:r>
              <w:rPr>
                <w:iCs/>
              </w:rPr>
              <w:t xml:space="preserve">15 </w:t>
            </w:r>
            <w:r w:rsidR="00BC5739">
              <w:rPr>
                <w:iCs/>
              </w:rPr>
              <w:t>Oct</w:t>
            </w:r>
            <w:r w:rsidR="00AC64BC">
              <w:rPr>
                <w:iCs/>
              </w:rPr>
              <w:t>ober</w:t>
            </w:r>
            <w:r w:rsidR="005305CE">
              <w:rPr>
                <w:iCs/>
              </w:rPr>
              <w:t xml:space="preserve"> </w:t>
            </w:r>
            <w:r>
              <w:rPr>
                <w:iCs/>
              </w:rPr>
              <w:t>2018</w:t>
            </w:r>
          </w:p>
        </w:tc>
        <w:tc>
          <w:tcPr>
            <w:tcW w:w="11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5928CE02" w14:textId="77777777" w:rsidR="009562B6" w:rsidRPr="00755CD9" w:rsidRDefault="009562B6" w:rsidP="00152F03">
            <w:pPr>
              <w:jc w:val="left"/>
              <w:rPr>
                <w:iCs/>
              </w:rPr>
            </w:pPr>
            <w:r>
              <w:rPr>
                <w:iCs/>
              </w:rPr>
              <w:t>$100,000</w:t>
            </w:r>
          </w:p>
        </w:tc>
      </w:tr>
      <w:tr w:rsidR="009562B6" w14:paraId="516BA854" w14:textId="77777777" w:rsidTr="00152F03">
        <w:tc>
          <w:tcPr>
            <w:tcW w:w="2782" w:type="dxa"/>
            <w:vMerge/>
            <w:tcBorders>
              <w:top w:val="nil"/>
              <w:left w:val="single" w:sz="8" w:space="0" w:color="000000"/>
              <w:bottom w:val="single" w:sz="8" w:space="0" w:color="000000"/>
              <w:right w:val="single" w:sz="8" w:space="0" w:color="000000"/>
            </w:tcBorders>
            <w:vAlign w:val="center"/>
            <w:hideMark/>
          </w:tcPr>
          <w:p w14:paraId="38C95486" w14:textId="77777777" w:rsidR="009562B6" w:rsidRPr="00755CD9" w:rsidRDefault="009562B6" w:rsidP="00152F03">
            <w:pPr>
              <w:jc w:val="left"/>
            </w:pPr>
          </w:p>
        </w:tc>
        <w:tc>
          <w:tcPr>
            <w:tcW w:w="3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EBC7B70" w14:textId="77777777" w:rsidR="009562B6" w:rsidRPr="00755CD9" w:rsidRDefault="009562B6" w:rsidP="00152F03">
            <w:pPr>
              <w:jc w:val="left"/>
              <w:rPr>
                <w:iCs/>
              </w:rPr>
            </w:pPr>
            <w:r w:rsidRPr="00755CD9">
              <w:rPr>
                <w:bCs/>
                <w:iCs/>
              </w:rPr>
              <w:t>Completion of the</w:t>
            </w:r>
            <w:r>
              <w:rPr>
                <w:bCs/>
                <w:iCs/>
              </w:rPr>
              <w:t xml:space="preserve"> 12-month</w:t>
            </w:r>
            <w:r w:rsidRPr="00755CD9">
              <w:rPr>
                <w:bCs/>
                <w:iCs/>
              </w:rPr>
              <w:t xml:space="preserve"> </w:t>
            </w:r>
            <w:r w:rsidRPr="006C5BED">
              <w:rPr>
                <w:bCs/>
                <w:iCs/>
              </w:rPr>
              <w:t>Transdermal Alcohol Bracelet Trial</w:t>
            </w:r>
            <w:r>
              <w:rPr>
                <w:bCs/>
                <w:iCs/>
              </w:rPr>
              <w:t xml:space="preserve"> </w:t>
            </w:r>
          </w:p>
        </w:tc>
        <w:tc>
          <w:tcPr>
            <w:tcW w:w="20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3FD83A99" w14:textId="77777777" w:rsidR="009562B6" w:rsidRPr="00755CD9" w:rsidRDefault="009562B6" w:rsidP="00152F03">
            <w:pPr>
              <w:jc w:val="left"/>
              <w:rPr>
                <w:iCs/>
              </w:rPr>
            </w:pPr>
            <w:r>
              <w:rPr>
                <w:iCs/>
              </w:rPr>
              <w:t>15 November 2019</w:t>
            </w:r>
          </w:p>
        </w:tc>
        <w:tc>
          <w:tcPr>
            <w:tcW w:w="11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654CE149" w14:textId="77777777" w:rsidR="009562B6" w:rsidRPr="00755CD9" w:rsidRDefault="009562B6" w:rsidP="00152F03">
            <w:pPr>
              <w:jc w:val="left"/>
              <w:rPr>
                <w:iCs/>
              </w:rPr>
            </w:pPr>
            <w:r>
              <w:rPr>
                <w:iCs/>
              </w:rPr>
              <w:t>$150,000</w:t>
            </w:r>
          </w:p>
        </w:tc>
      </w:tr>
      <w:tr w:rsidR="009562B6" w14:paraId="019AD417" w14:textId="77777777" w:rsidTr="00152F03">
        <w:trPr>
          <w:trHeight w:val="814"/>
        </w:trPr>
        <w:tc>
          <w:tcPr>
            <w:tcW w:w="278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2A256D31" w14:textId="77777777" w:rsidR="009562B6" w:rsidRPr="00755CD9" w:rsidRDefault="009562B6" w:rsidP="00152F03">
            <w:pPr>
              <w:jc w:val="left"/>
            </w:pPr>
            <w:r w:rsidRPr="00755CD9">
              <w:t xml:space="preserve">Evaluation of </w:t>
            </w:r>
            <w:r w:rsidRPr="006C5BED">
              <w:t>Transdermal Alcohol Bracelet Trial</w:t>
            </w:r>
          </w:p>
        </w:tc>
        <w:tc>
          <w:tcPr>
            <w:tcW w:w="3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8DABFFF" w14:textId="4D492F49" w:rsidR="009562B6" w:rsidRPr="00755CD9" w:rsidRDefault="009562B6" w:rsidP="000C666A">
            <w:pPr>
              <w:jc w:val="left"/>
              <w:rPr>
                <w:iCs/>
              </w:rPr>
            </w:pPr>
            <w:r>
              <w:rPr>
                <w:bCs/>
                <w:iCs/>
              </w:rPr>
              <w:t>Completion of a t</w:t>
            </w:r>
            <w:r w:rsidRPr="00755CD9">
              <w:rPr>
                <w:bCs/>
                <w:iCs/>
              </w:rPr>
              <w:t>echnology trial evaluation</w:t>
            </w:r>
            <w:r>
              <w:rPr>
                <w:bCs/>
                <w:iCs/>
              </w:rPr>
              <w:t xml:space="preserve"> </w:t>
            </w:r>
          </w:p>
        </w:tc>
        <w:tc>
          <w:tcPr>
            <w:tcW w:w="202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7B04999C" w14:textId="77777777" w:rsidR="009562B6" w:rsidRPr="00755CD9" w:rsidRDefault="009562B6" w:rsidP="00152F03">
            <w:pPr>
              <w:jc w:val="left"/>
              <w:rPr>
                <w:iCs/>
              </w:rPr>
            </w:pPr>
            <w:r>
              <w:rPr>
                <w:iCs/>
              </w:rPr>
              <w:t>15 November 2019</w:t>
            </w:r>
          </w:p>
        </w:tc>
        <w:tc>
          <w:tcPr>
            <w:tcW w:w="11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7A85FF29" w14:textId="77777777" w:rsidR="009562B6" w:rsidRPr="00755CD9" w:rsidRDefault="009562B6" w:rsidP="00152F03">
            <w:pPr>
              <w:jc w:val="left"/>
              <w:rPr>
                <w:iCs/>
              </w:rPr>
            </w:pPr>
            <w:r>
              <w:rPr>
                <w:iCs/>
              </w:rPr>
              <w:t>$49,910</w:t>
            </w:r>
          </w:p>
        </w:tc>
      </w:tr>
    </w:tbl>
    <w:p w14:paraId="2BC72423" w14:textId="77777777" w:rsidR="009562B6" w:rsidRPr="00076D94" w:rsidRDefault="009562B6" w:rsidP="009562B6"/>
    <w:p w14:paraId="11C22BE2" w14:textId="2604D10B" w:rsidR="009562B6" w:rsidRDefault="009562B6" w:rsidP="009562B6">
      <w:pPr>
        <w:pStyle w:val="Normalnumbered"/>
        <w:numPr>
          <w:ilvl w:val="0"/>
          <w:numId w:val="3"/>
        </w:numPr>
        <w:tabs>
          <w:tab w:val="left" w:pos="567"/>
        </w:tabs>
        <w:ind w:left="567" w:hanging="567"/>
      </w:pPr>
      <w:r>
        <w:t xml:space="preserve">The Commonwealth </w:t>
      </w:r>
      <w:r w:rsidRPr="00E16581">
        <w:t xml:space="preserve">will provide an estimated total financial contribution to projects in New South Wales of </w:t>
      </w:r>
      <w:r w:rsidR="005828FE">
        <w:t>$</w:t>
      </w:r>
      <w:r>
        <w:t>978,210</w:t>
      </w:r>
      <w:r w:rsidR="005828FE">
        <w:t xml:space="preserve"> </w:t>
      </w:r>
      <w:r w:rsidRPr="00E16581">
        <w:t>in respect</w:t>
      </w:r>
      <w:r>
        <w:t xml:space="preserve"> of this Agreement as shown in Table 3. All payments are GST exclusive.</w:t>
      </w:r>
    </w:p>
    <w:p w14:paraId="611A41EC" w14:textId="77777777" w:rsidR="009562B6" w:rsidRPr="00F83EE1" w:rsidRDefault="009562B6" w:rsidP="009562B6">
      <w:pPr>
        <w:pStyle w:val="Normalnumbered"/>
        <w:ind w:left="-142"/>
        <w:rPr>
          <w:b/>
        </w:rPr>
      </w:pPr>
      <w:r w:rsidRPr="00216E26">
        <w:rPr>
          <w:b/>
        </w:rPr>
        <w:t xml:space="preserve">Table </w:t>
      </w:r>
      <w:r>
        <w:rPr>
          <w:b/>
        </w:rPr>
        <w:t>3:</w:t>
      </w:r>
      <w:r w:rsidRPr="00216E26">
        <w:rPr>
          <w:b/>
        </w:rPr>
        <w:t xml:space="preserve"> Estimated </w:t>
      </w:r>
      <w:r>
        <w:rPr>
          <w:b/>
        </w:rPr>
        <w:t>financial</w:t>
      </w:r>
      <w:r w:rsidRPr="00216E26">
        <w:rPr>
          <w:b/>
        </w:rPr>
        <w:t xml:space="preserve"> 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7"/>
        <w:gridCol w:w="1176"/>
        <w:gridCol w:w="1176"/>
        <w:gridCol w:w="1175"/>
        <w:gridCol w:w="1175"/>
        <w:gridCol w:w="1189"/>
      </w:tblGrid>
      <w:tr w:rsidR="009562B6" w:rsidRPr="00E25B02" w14:paraId="28F3D6B3" w14:textId="77777777" w:rsidTr="00152F03">
        <w:tc>
          <w:tcPr>
            <w:tcW w:w="3898" w:type="dxa"/>
          </w:tcPr>
          <w:p w14:paraId="475FE180" w14:textId="77777777" w:rsidR="009562B6" w:rsidRPr="00E25B02" w:rsidRDefault="009562B6" w:rsidP="00152F03">
            <w:pPr>
              <w:keepNext/>
              <w:keepLines/>
              <w:spacing w:after="40"/>
              <w:rPr>
                <w:b/>
              </w:rPr>
            </w:pPr>
            <w:r>
              <w:rPr>
                <w:b/>
              </w:rPr>
              <w:t>($)</w:t>
            </w:r>
          </w:p>
        </w:tc>
        <w:tc>
          <w:tcPr>
            <w:tcW w:w="1191" w:type="dxa"/>
          </w:tcPr>
          <w:p w14:paraId="445AB6CE" w14:textId="77777777" w:rsidR="009562B6" w:rsidRPr="00E25B02" w:rsidRDefault="009562B6" w:rsidP="00152F03">
            <w:pPr>
              <w:keepNext/>
              <w:keepLines/>
              <w:spacing w:after="40"/>
              <w:jc w:val="right"/>
            </w:pPr>
            <w:r w:rsidRPr="00E25B02">
              <w:t>2016-17</w:t>
            </w:r>
          </w:p>
        </w:tc>
        <w:tc>
          <w:tcPr>
            <w:tcW w:w="1191" w:type="dxa"/>
          </w:tcPr>
          <w:p w14:paraId="6723C55D" w14:textId="77777777" w:rsidR="009562B6" w:rsidRPr="00E25B02" w:rsidRDefault="009562B6" w:rsidP="00152F03">
            <w:pPr>
              <w:keepNext/>
              <w:keepLines/>
              <w:spacing w:after="40"/>
              <w:jc w:val="right"/>
            </w:pPr>
            <w:r w:rsidRPr="00E25B02">
              <w:t>2017-18</w:t>
            </w:r>
          </w:p>
        </w:tc>
        <w:tc>
          <w:tcPr>
            <w:tcW w:w="1191" w:type="dxa"/>
          </w:tcPr>
          <w:p w14:paraId="62577A64" w14:textId="77777777" w:rsidR="009562B6" w:rsidRPr="00E25B02" w:rsidRDefault="009562B6" w:rsidP="00152F03">
            <w:pPr>
              <w:keepNext/>
              <w:keepLines/>
              <w:spacing w:after="40"/>
              <w:jc w:val="right"/>
            </w:pPr>
            <w:r>
              <w:t>2018-19</w:t>
            </w:r>
          </w:p>
        </w:tc>
        <w:tc>
          <w:tcPr>
            <w:tcW w:w="1191" w:type="dxa"/>
          </w:tcPr>
          <w:p w14:paraId="50FF46F6" w14:textId="77777777" w:rsidR="009562B6" w:rsidRPr="00E25B02" w:rsidRDefault="009562B6" w:rsidP="00152F03">
            <w:pPr>
              <w:keepNext/>
              <w:keepLines/>
              <w:spacing w:after="40"/>
              <w:jc w:val="right"/>
            </w:pPr>
            <w:r>
              <w:t>2019-20</w:t>
            </w:r>
          </w:p>
        </w:tc>
        <w:tc>
          <w:tcPr>
            <w:tcW w:w="1192" w:type="dxa"/>
          </w:tcPr>
          <w:p w14:paraId="6C523623" w14:textId="77777777" w:rsidR="009562B6" w:rsidRPr="00E25B02" w:rsidRDefault="009562B6" w:rsidP="00152F03">
            <w:pPr>
              <w:keepNext/>
              <w:keepLines/>
              <w:spacing w:after="40"/>
              <w:jc w:val="right"/>
            </w:pPr>
            <w:r w:rsidRPr="00E25B02">
              <w:t>Total</w:t>
            </w:r>
          </w:p>
        </w:tc>
      </w:tr>
      <w:tr w:rsidR="009562B6" w:rsidRPr="00E25B02" w14:paraId="3988C111" w14:textId="77777777" w:rsidTr="00152F03">
        <w:tc>
          <w:tcPr>
            <w:tcW w:w="3898" w:type="dxa"/>
          </w:tcPr>
          <w:p w14:paraId="2D805FC7" w14:textId="77777777" w:rsidR="009562B6" w:rsidRPr="00E25B02" w:rsidRDefault="009562B6" w:rsidP="00152F03">
            <w:pPr>
              <w:keepNext/>
              <w:keepLines/>
              <w:spacing w:after="60"/>
              <w:rPr>
                <w:b/>
              </w:rPr>
            </w:pPr>
            <w:r w:rsidRPr="00E25B02">
              <w:rPr>
                <w:b/>
              </w:rPr>
              <w:t>Estimated total budget</w:t>
            </w:r>
            <w:r>
              <w:rPr>
                <w:b/>
              </w:rPr>
              <w:t xml:space="preserve"> </w:t>
            </w:r>
          </w:p>
        </w:tc>
        <w:tc>
          <w:tcPr>
            <w:tcW w:w="1191" w:type="dxa"/>
          </w:tcPr>
          <w:p w14:paraId="30E72B76" w14:textId="77777777" w:rsidR="009562B6" w:rsidRPr="005562DA" w:rsidRDefault="009562B6" w:rsidP="00152F03">
            <w:pPr>
              <w:keepNext/>
              <w:keepLines/>
              <w:spacing w:after="40"/>
              <w:jc w:val="right"/>
            </w:pPr>
            <w:r>
              <w:t>698,300</w:t>
            </w:r>
          </w:p>
        </w:tc>
        <w:tc>
          <w:tcPr>
            <w:tcW w:w="1191" w:type="dxa"/>
          </w:tcPr>
          <w:p w14:paraId="2F7B235D" w14:textId="77777777" w:rsidR="009562B6" w:rsidRPr="005562DA" w:rsidRDefault="009562B6" w:rsidP="00152F03">
            <w:pPr>
              <w:keepNext/>
              <w:keepLines/>
              <w:spacing w:after="40"/>
              <w:jc w:val="right"/>
            </w:pPr>
            <w:r>
              <w:t>658,300</w:t>
            </w:r>
          </w:p>
        </w:tc>
        <w:tc>
          <w:tcPr>
            <w:tcW w:w="1191" w:type="dxa"/>
          </w:tcPr>
          <w:p w14:paraId="220863EE" w14:textId="77777777" w:rsidR="009562B6" w:rsidRDefault="009562B6" w:rsidP="00152F03">
            <w:pPr>
              <w:keepNext/>
              <w:keepLines/>
              <w:spacing w:after="40"/>
              <w:jc w:val="right"/>
            </w:pPr>
            <w:r>
              <w:t>200, 000</w:t>
            </w:r>
          </w:p>
        </w:tc>
        <w:tc>
          <w:tcPr>
            <w:tcW w:w="1191" w:type="dxa"/>
          </w:tcPr>
          <w:p w14:paraId="36EE5D54" w14:textId="77777777" w:rsidR="009562B6" w:rsidRDefault="009562B6" w:rsidP="00152F03">
            <w:pPr>
              <w:keepNext/>
              <w:keepLines/>
              <w:spacing w:after="40"/>
              <w:jc w:val="right"/>
            </w:pPr>
            <w:r>
              <w:t>399,820</w:t>
            </w:r>
          </w:p>
        </w:tc>
        <w:tc>
          <w:tcPr>
            <w:tcW w:w="1192" w:type="dxa"/>
          </w:tcPr>
          <w:p w14:paraId="717F3E5F" w14:textId="77777777" w:rsidR="009562B6" w:rsidRPr="005562DA" w:rsidRDefault="009562B6" w:rsidP="00152F03">
            <w:pPr>
              <w:keepNext/>
              <w:keepLines/>
              <w:spacing w:after="40"/>
              <w:jc w:val="right"/>
            </w:pPr>
            <w:r>
              <w:t>1,956,420</w:t>
            </w:r>
          </w:p>
        </w:tc>
      </w:tr>
      <w:tr w:rsidR="009562B6" w:rsidRPr="00E25B02" w14:paraId="787D6322" w14:textId="77777777" w:rsidTr="00152F03">
        <w:tc>
          <w:tcPr>
            <w:tcW w:w="3898" w:type="dxa"/>
          </w:tcPr>
          <w:p w14:paraId="4E637B12" w14:textId="77777777" w:rsidR="009562B6" w:rsidRPr="00E25B02" w:rsidRDefault="009562B6" w:rsidP="00152F03">
            <w:pPr>
              <w:keepNext/>
              <w:keepLines/>
              <w:spacing w:after="60"/>
            </w:pPr>
            <w:r w:rsidRPr="00E25B02">
              <w:t>Less estimated National Partnership</w:t>
            </w:r>
            <w:r>
              <w:t xml:space="preserve"> payments</w:t>
            </w:r>
          </w:p>
        </w:tc>
        <w:tc>
          <w:tcPr>
            <w:tcW w:w="1191" w:type="dxa"/>
          </w:tcPr>
          <w:p w14:paraId="59754FD5" w14:textId="77777777" w:rsidR="009562B6" w:rsidRPr="005562DA" w:rsidRDefault="009562B6" w:rsidP="00152F03">
            <w:pPr>
              <w:keepNext/>
              <w:keepLines/>
              <w:spacing w:after="40"/>
              <w:jc w:val="right"/>
            </w:pPr>
            <w:r>
              <w:t>278,300</w:t>
            </w:r>
          </w:p>
        </w:tc>
        <w:tc>
          <w:tcPr>
            <w:tcW w:w="1191" w:type="dxa"/>
          </w:tcPr>
          <w:p w14:paraId="0484869C" w14:textId="77777777" w:rsidR="009562B6" w:rsidRPr="005562DA" w:rsidRDefault="009562B6" w:rsidP="00152F03">
            <w:pPr>
              <w:keepNext/>
              <w:keepLines/>
              <w:spacing w:after="40"/>
              <w:jc w:val="right"/>
            </w:pPr>
            <w:r>
              <w:t>400,000</w:t>
            </w:r>
          </w:p>
        </w:tc>
        <w:tc>
          <w:tcPr>
            <w:tcW w:w="1191" w:type="dxa"/>
          </w:tcPr>
          <w:p w14:paraId="6B2CB52F" w14:textId="77777777" w:rsidR="009562B6" w:rsidRDefault="009562B6" w:rsidP="00152F03">
            <w:pPr>
              <w:keepNext/>
              <w:keepLines/>
              <w:spacing w:after="40"/>
              <w:jc w:val="right"/>
            </w:pPr>
            <w:r>
              <w:t>100,000</w:t>
            </w:r>
          </w:p>
        </w:tc>
        <w:tc>
          <w:tcPr>
            <w:tcW w:w="1191" w:type="dxa"/>
          </w:tcPr>
          <w:p w14:paraId="2D2FB3DA" w14:textId="77777777" w:rsidR="009562B6" w:rsidRDefault="009562B6" w:rsidP="00152F03">
            <w:pPr>
              <w:keepNext/>
              <w:keepLines/>
              <w:spacing w:after="40"/>
              <w:jc w:val="right"/>
            </w:pPr>
            <w:r>
              <w:t>199,910</w:t>
            </w:r>
          </w:p>
        </w:tc>
        <w:tc>
          <w:tcPr>
            <w:tcW w:w="1192" w:type="dxa"/>
          </w:tcPr>
          <w:p w14:paraId="1A137BB4" w14:textId="77777777" w:rsidR="009562B6" w:rsidRPr="005562DA" w:rsidRDefault="009562B6" w:rsidP="00152F03">
            <w:pPr>
              <w:keepNext/>
              <w:keepLines/>
              <w:spacing w:after="40"/>
              <w:jc w:val="right"/>
            </w:pPr>
            <w:r>
              <w:t>978,210</w:t>
            </w:r>
          </w:p>
        </w:tc>
      </w:tr>
      <w:tr w:rsidR="009562B6" w:rsidRPr="00E25B02" w14:paraId="2AB107A8" w14:textId="77777777" w:rsidTr="00152F03">
        <w:tc>
          <w:tcPr>
            <w:tcW w:w="3898" w:type="dxa"/>
          </w:tcPr>
          <w:p w14:paraId="7D50F8C6" w14:textId="77777777" w:rsidR="009562B6" w:rsidRPr="00E25B02" w:rsidRDefault="009562B6" w:rsidP="00152F03">
            <w:pPr>
              <w:keepNext/>
              <w:keepLines/>
              <w:spacing w:after="40"/>
            </w:pPr>
            <w:r w:rsidRPr="00E25B02">
              <w:t>Balance of non-Commonwealth contributions</w:t>
            </w:r>
          </w:p>
        </w:tc>
        <w:tc>
          <w:tcPr>
            <w:tcW w:w="1191" w:type="dxa"/>
          </w:tcPr>
          <w:p w14:paraId="2664B3A6" w14:textId="77777777" w:rsidR="009562B6" w:rsidRPr="005562DA" w:rsidRDefault="009562B6" w:rsidP="00152F03">
            <w:pPr>
              <w:keepNext/>
              <w:keepLines/>
              <w:spacing w:after="40"/>
              <w:jc w:val="right"/>
            </w:pPr>
            <w:r>
              <w:t>420,000</w:t>
            </w:r>
          </w:p>
        </w:tc>
        <w:tc>
          <w:tcPr>
            <w:tcW w:w="1191" w:type="dxa"/>
          </w:tcPr>
          <w:p w14:paraId="004CBA8E" w14:textId="77777777" w:rsidR="009562B6" w:rsidRPr="005562DA" w:rsidRDefault="009562B6" w:rsidP="00152F03">
            <w:pPr>
              <w:keepNext/>
              <w:keepLines/>
              <w:spacing w:after="40"/>
              <w:jc w:val="right"/>
            </w:pPr>
            <w:r>
              <w:t>258,300</w:t>
            </w:r>
          </w:p>
        </w:tc>
        <w:tc>
          <w:tcPr>
            <w:tcW w:w="1191" w:type="dxa"/>
          </w:tcPr>
          <w:p w14:paraId="1A9D857F" w14:textId="77777777" w:rsidR="009562B6" w:rsidRDefault="009562B6" w:rsidP="00152F03">
            <w:pPr>
              <w:keepNext/>
              <w:keepLines/>
              <w:spacing w:after="40"/>
              <w:jc w:val="right"/>
            </w:pPr>
            <w:r>
              <w:t>100,000</w:t>
            </w:r>
          </w:p>
        </w:tc>
        <w:tc>
          <w:tcPr>
            <w:tcW w:w="1191" w:type="dxa"/>
          </w:tcPr>
          <w:p w14:paraId="28171D8D" w14:textId="77777777" w:rsidR="009562B6" w:rsidRDefault="009562B6" w:rsidP="00152F03">
            <w:pPr>
              <w:keepNext/>
              <w:keepLines/>
              <w:spacing w:after="40"/>
              <w:jc w:val="right"/>
            </w:pPr>
            <w:r>
              <w:t>199,910</w:t>
            </w:r>
          </w:p>
        </w:tc>
        <w:tc>
          <w:tcPr>
            <w:tcW w:w="1192" w:type="dxa"/>
          </w:tcPr>
          <w:p w14:paraId="19D565D9" w14:textId="77777777" w:rsidR="009562B6" w:rsidRPr="005562DA" w:rsidRDefault="009562B6" w:rsidP="00152F03">
            <w:pPr>
              <w:keepNext/>
              <w:keepLines/>
              <w:spacing w:after="40"/>
              <w:jc w:val="right"/>
            </w:pPr>
            <w:r>
              <w:t>978,210</w:t>
            </w:r>
          </w:p>
        </w:tc>
      </w:tr>
    </w:tbl>
    <w:p w14:paraId="647F78FE" w14:textId="77777777" w:rsidR="009562B6" w:rsidRDefault="009562B6" w:rsidP="009562B6">
      <w:pPr>
        <w:spacing w:after="0" w:line="240" w:lineRule="auto"/>
        <w:jc w:val="left"/>
      </w:pPr>
      <w:r>
        <w:br w:type="page"/>
      </w:r>
    </w:p>
    <w:p w14:paraId="095194A0" w14:textId="77777777" w:rsidR="009562B6" w:rsidRDefault="009562B6" w:rsidP="009562B6">
      <w:pPr>
        <w:pStyle w:val="ScheduleNumberedPara"/>
        <w:numPr>
          <w:ilvl w:val="0"/>
          <w:numId w:val="0"/>
        </w:numPr>
      </w:pPr>
      <w:r w:rsidRPr="00753D51">
        <w:lastRenderedPageBreak/>
        <w:t xml:space="preserve">The Parties have confirmed their commitment to this </w:t>
      </w:r>
      <w:r>
        <w:t xml:space="preserve">Schedule </w:t>
      </w:r>
      <w:r w:rsidRPr="00753D51">
        <w:t>as follows:</w:t>
      </w:r>
    </w:p>
    <w:tbl>
      <w:tblPr>
        <w:tblpPr w:leftFromText="180" w:rightFromText="180" w:vertAnchor="text" w:horzAnchor="margin" w:tblpY="192"/>
        <w:tblW w:w="0" w:type="auto"/>
        <w:tblLayout w:type="fixed"/>
        <w:tblLook w:val="01E0" w:firstRow="1" w:lastRow="1" w:firstColumn="1" w:lastColumn="1" w:noHBand="0" w:noVBand="0"/>
      </w:tblPr>
      <w:tblGrid>
        <w:gridCol w:w="4536"/>
        <w:gridCol w:w="284"/>
        <w:gridCol w:w="4536"/>
      </w:tblGrid>
      <w:tr w:rsidR="009562B6" w:rsidRPr="00A50751" w14:paraId="3F133E15" w14:textId="77777777" w:rsidTr="00152F03">
        <w:trPr>
          <w:cantSplit/>
        </w:trPr>
        <w:tc>
          <w:tcPr>
            <w:tcW w:w="4536" w:type="dxa"/>
          </w:tcPr>
          <w:p w14:paraId="19BF6444" w14:textId="77777777" w:rsidR="009562B6" w:rsidRPr="004A0AE7" w:rsidRDefault="009562B6" w:rsidP="00152F03">
            <w:pPr>
              <w:pStyle w:val="Signed"/>
            </w:pPr>
            <w:r>
              <w:rPr>
                <w:rStyle w:val="SignedBold"/>
              </w:rPr>
              <w:t>Signed</w:t>
            </w:r>
            <w:r w:rsidRPr="004A0AE7">
              <w:t xml:space="preserve"> for and on behalf of the</w:t>
            </w:r>
            <w:r>
              <w:t xml:space="preserve"> </w:t>
            </w:r>
            <w:r w:rsidRPr="004A0AE7">
              <w:t>Commonwealth of Australia by</w:t>
            </w:r>
          </w:p>
          <w:p w14:paraId="5E7649A3" w14:textId="77777777" w:rsidR="009562B6" w:rsidRPr="00A50751" w:rsidRDefault="009562B6" w:rsidP="00152F03">
            <w:pPr>
              <w:pStyle w:val="LineForSignature"/>
            </w:pPr>
            <w:r>
              <w:tab/>
            </w:r>
          </w:p>
          <w:p w14:paraId="7AF3D03F" w14:textId="59F8851E" w:rsidR="009562B6" w:rsidRDefault="009562B6" w:rsidP="00152F03">
            <w:pPr>
              <w:pStyle w:val="SingleParagraph"/>
              <w:rPr>
                <w:rStyle w:val="Bold"/>
              </w:rPr>
            </w:pPr>
            <w:r>
              <w:rPr>
                <w:rStyle w:val="Bold"/>
              </w:rPr>
              <w:t xml:space="preserve">The Honourable </w:t>
            </w:r>
            <w:r w:rsidR="00B60F52">
              <w:rPr>
                <w:rStyle w:val="Bold"/>
              </w:rPr>
              <w:t xml:space="preserve">Dan </w:t>
            </w:r>
            <w:proofErr w:type="spellStart"/>
            <w:r w:rsidR="00B60F52">
              <w:rPr>
                <w:rStyle w:val="Bold"/>
              </w:rPr>
              <w:t>Tehan</w:t>
            </w:r>
            <w:proofErr w:type="spellEnd"/>
            <w:r>
              <w:rPr>
                <w:rStyle w:val="Bold"/>
              </w:rPr>
              <w:t xml:space="preserve"> MP</w:t>
            </w:r>
          </w:p>
          <w:p w14:paraId="7688FF83" w14:textId="77777777" w:rsidR="009562B6" w:rsidRDefault="009562B6" w:rsidP="00152F03">
            <w:pPr>
              <w:pStyle w:val="Position"/>
              <w:rPr>
                <w:lang w:val="en-GB"/>
              </w:rPr>
            </w:pPr>
            <w:r>
              <w:rPr>
                <w:lang w:val="en-GB"/>
              </w:rPr>
              <w:t xml:space="preserve">Minister for Social Services </w:t>
            </w:r>
          </w:p>
          <w:p w14:paraId="00BF43BF" w14:textId="6D1181A1" w:rsidR="009562B6" w:rsidRDefault="00B60F52" w:rsidP="006C2919">
            <w:pPr>
              <w:pStyle w:val="SingleParagraph"/>
              <w:tabs>
                <w:tab w:val="num" w:pos="1134"/>
              </w:tabs>
              <w:spacing w:after="240"/>
              <w:ind w:left="1134" w:hanging="567"/>
              <w:rPr>
                <w:b/>
                <w:lang w:val="en-GB"/>
              </w:rPr>
            </w:pPr>
            <w:r>
              <w:rPr>
                <w:lang w:val="en-GB"/>
              </w:rPr>
              <w:t xml:space="preserve">       2018</w:t>
            </w:r>
          </w:p>
        </w:tc>
        <w:tc>
          <w:tcPr>
            <w:tcW w:w="284" w:type="dxa"/>
            <w:tcMar>
              <w:left w:w="0" w:type="dxa"/>
              <w:right w:w="0" w:type="dxa"/>
            </w:tcMar>
          </w:tcPr>
          <w:p w14:paraId="4496B34E" w14:textId="77777777" w:rsidR="009562B6" w:rsidRPr="00A50751" w:rsidRDefault="009562B6" w:rsidP="00152F03">
            <w:pPr>
              <w:rPr>
                <w:rFonts w:ascii="Book Antiqua" w:hAnsi="Book Antiqua"/>
                <w:lang w:val="en-GB"/>
              </w:rPr>
            </w:pPr>
          </w:p>
        </w:tc>
        <w:tc>
          <w:tcPr>
            <w:tcW w:w="4536" w:type="dxa"/>
          </w:tcPr>
          <w:p w14:paraId="646984A9" w14:textId="77777777" w:rsidR="009562B6" w:rsidRPr="00A50751" w:rsidRDefault="009562B6" w:rsidP="00152F03">
            <w:pPr>
              <w:rPr>
                <w:rFonts w:ascii="Book Antiqua" w:hAnsi="Book Antiqua"/>
                <w:lang w:val="en-GB"/>
              </w:rPr>
            </w:pPr>
            <w:bookmarkStart w:id="0" w:name="_GoBack"/>
            <w:bookmarkEnd w:id="0"/>
          </w:p>
        </w:tc>
      </w:tr>
      <w:tr w:rsidR="009562B6" w:rsidRPr="00A50751" w14:paraId="2DBC5FD7" w14:textId="77777777" w:rsidTr="00152F03">
        <w:trPr>
          <w:gridAfter w:val="1"/>
          <w:wAfter w:w="4536" w:type="dxa"/>
          <w:cantSplit/>
        </w:trPr>
        <w:tc>
          <w:tcPr>
            <w:tcW w:w="4536" w:type="dxa"/>
          </w:tcPr>
          <w:p w14:paraId="60417AAD" w14:textId="77777777" w:rsidR="009562B6" w:rsidRPr="00A50751" w:rsidRDefault="009562B6" w:rsidP="00152F03">
            <w:pPr>
              <w:pStyle w:val="SingleParagraph"/>
              <w:rPr>
                <w:rFonts w:ascii="Book Antiqua" w:hAnsi="Book Antiqua"/>
                <w:lang w:val="en-GB"/>
              </w:rPr>
            </w:pPr>
          </w:p>
        </w:tc>
        <w:tc>
          <w:tcPr>
            <w:tcW w:w="284" w:type="dxa"/>
            <w:tcMar>
              <w:left w:w="0" w:type="dxa"/>
              <w:right w:w="0" w:type="dxa"/>
            </w:tcMar>
          </w:tcPr>
          <w:p w14:paraId="4B0C30E3" w14:textId="77777777" w:rsidR="009562B6" w:rsidRPr="00A50751" w:rsidRDefault="009562B6" w:rsidP="00152F03">
            <w:pPr>
              <w:pStyle w:val="SingleParagraph"/>
              <w:rPr>
                <w:rFonts w:ascii="Book Antiqua" w:hAnsi="Book Antiqua"/>
                <w:lang w:val="en-GB"/>
              </w:rPr>
            </w:pPr>
          </w:p>
        </w:tc>
      </w:tr>
      <w:tr w:rsidR="009562B6" w:rsidRPr="00A50751" w14:paraId="3651B83F" w14:textId="77777777" w:rsidTr="00152F03">
        <w:trPr>
          <w:gridAfter w:val="1"/>
          <w:wAfter w:w="4536" w:type="dxa"/>
          <w:cantSplit/>
        </w:trPr>
        <w:tc>
          <w:tcPr>
            <w:tcW w:w="4536" w:type="dxa"/>
          </w:tcPr>
          <w:p w14:paraId="2EB579BF" w14:textId="77777777" w:rsidR="009562B6" w:rsidRPr="004A0AE7" w:rsidRDefault="009562B6" w:rsidP="00152F03">
            <w:pPr>
              <w:pStyle w:val="Signed"/>
            </w:pPr>
            <w:r>
              <w:rPr>
                <w:rStyle w:val="SignedBold"/>
              </w:rPr>
              <w:t>Signed</w:t>
            </w:r>
            <w:r w:rsidRPr="004A0AE7">
              <w:t xml:space="preserve"> for and on behalf of the</w:t>
            </w:r>
            <w:r>
              <w:t xml:space="preserve"> </w:t>
            </w:r>
            <w:r w:rsidRPr="004A0AE7">
              <w:br/>
              <w:t>State of New South Wales by</w:t>
            </w:r>
          </w:p>
          <w:p w14:paraId="030C6889" w14:textId="77777777" w:rsidR="009562B6" w:rsidRPr="00A50751" w:rsidRDefault="009562B6" w:rsidP="00152F03">
            <w:pPr>
              <w:pStyle w:val="LineForSignature"/>
            </w:pPr>
            <w:r w:rsidRPr="00A50751">
              <w:tab/>
            </w:r>
          </w:p>
          <w:p w14:paraId="0E130293" w14:textId="4EA66C3A" w:rsidR="009562B6" w:rsidRDefault="009562B6" w:rsidP="00152F03">
            <w:pPr>
              <w:pStyle w:val="SingleParagraph"/>
              <w:rPr>
                <w:rStyle w:val="Bold"/>
              </w:rPr>
            </w:pPr>
            <w:r>
              <w:rPr>
                <w:rStyle w:val="Bold"/>
              </w:rPr>
              <w:t xml:space="preserve">The Honourable </w:t>
            </w:r>
            <w:proofErr w:type="spellStart"/>
            <w:r w:rsidR="0054788B">
              <w:rPr>
                <w:rStyle w:val="Bold"/>
              </w:rPr>
              <w:t>Pru</w:t>
            </w:r>
            <w:proofErr w:type="spellEnd"/>
            <w:r w:rsidR="0054788B">
              <w:rPr>
                <w:rStyle w:val="Bold"/>
              </w:rPr>
              <w:t xml:space="preserve"> </w:t>
            </w:r>
            <w:proofErr w:type="spellStart"/>
            <w:r w:rsidR="0054788B">
              <w:rPr>
                <w:rStyle w:val="Bold"/>
              </w:rPr>
              <w:t>Goward</w:t>
            </w:r>
            <w:proofErr w:type="spellEnd"/>
            <w:r>
              <w:rPr>
                <w:rStyle w:val="Bold"/>
              </w:rPr>
              <w:t xml:space="preserve"> MP</w:t>
            </w:r>
          </w:p>
          <w:p w14:paraId="0A567ABA" w14:textId="6192DD63" w:rsidR="009562B6" w:rsidRDefault="009562B6" w:rsidP="00152F03">
            <w:pPr>
              <w:pStyle w:val="Position"/>
              <w:rPr>
                <w:lang w:val="en-GB"/>
              </w:rPr>
            </w:pPr>
            <w:r>
              <w:rPr>
                <w:lang w:val="en-GB"/>
              </w:rPr>
              <w:t xml:space="preserve">Minister for </w:t>
            </w:r>
            <w:r w:rsidR="0054788B">
              <w:rPr>
                <w:lang w:val="en-GB"/>
              </w:rPr>
              <w:t xml:space="preserve"> Family and Community Services, Minister for Social Housing and Minister for the Prevention of Domestic Violence and Sexual Assault</w:t>
            </w:r>
            <w:r>
              <w:rPr>
                <w:lang w:val="en-GB"/>
              </w:rPr>
              <w:t xml:space="preserve"> </w:t>
            </w:r>
          </w:p>
          <w:p w14:paraId="32AEFA54" w14:textId="36832478" w:rsidR="009562B6" w:rsidRPr="00A50751" w:rsidRDefault="009562B6" w:rsidP="00152F03">
            <w:pPr>
              <w:pStyle w:val="SingleParagraph"/>
              <w:tabs>
                <w:tab w:val="num" w:pos="1134"/>
              </w:tabs>
              <w:spacing w:after="240"/>
              <w:ind w:left="1134" w:hanging="567"/>
              <w:rPr>
                <w:szCs w:val="22"/>
                <w:lang w:val="en-GB"/>
              </w:rPr>
            </w:pPr>
            <w:r w:rsidRPr="001F6FE8" w:rsidDel="00542A8C">
              <w:rPr>
                <w:bCs/>
                <w:lang w:val="en-GB"/>
              </w:rPr>
              <w:t xml:space="preserve"> </w:t>
            </w:r>
            <w:r>
              <w:rPr>
                <w:bCs/>
                <w:lang w:val="en-GB"/>
              </w:rPr>
              <w:t xml:space="preserve">            </w:t>
            </w:r>
            <w:r w:rsidR="00B60F52">
              <w:rPr>
                <w:lang w:val="en-GB"/>
              </w:rPr>
              <w:t xml:space="preserve">            2018</w:t>
            </w:r>
          </w:p>
        </w:tc>
        <w:tc>
          <w:tcPr>
            <w:tcW w:w="284" w:type="dxa"/>
            <w:tcMar>
              <w:left w:w="0" w:type="dxa"/>
              <w:right w:w="0" w:type="dxa"/>
            </w:tcMar>
          </w:tcPr>
          <w:p w14:paraId="7DC62A4D" w14:textId="77777777" w:rsidR="009562B6" w:rsidRPr="00A50751" w:rsidRDefault="009562B6" w:rsidP="00152F03">
            <w:pPr>
              <w:rPr>
                <w:rFonts w:ascii="Book Antiqua" w:hAnsi="Book Antiqua"/>
                <w:lang w:val="en-GB"/>
              </w:rPr>
            </w:pPr>
          </w:p>
        </w:tc>
      </w:tr>
    </w:tbl>
    <w:p w14:paraId="78160E7E" w14:textId="77777777" w:rsidR="009562B6" w:rsidRDefault="009562B6" w:rsidP="009562B6">
      <w:pPr>
        <w:pStyle w:val="ScheduleNumberedPara"/>
        <w:numPr>
          <w:ilvl w:val="0"/>
          <w:numId w:val="0"/>
        </w:numPr>
        <w:ind w:left="567" w:hanging="567"/>
      </w:pPr>
    </w:p>
    <w:p w14:paraId="0136EE2A" w14:textId="77777777" w:rsidR="007B0256" w:rsidRPr="005C3AA9" w:rsidRDefault="007B0256" w:rsidP="004B54CA">
      <w:pPr>
        <w:rPr>
          <w:rStyle w:val="BookTitle"/>
          <w:i w:val="0"/>
          <w:iCs w:val="0"/>
          <w:smallCaps w:val="0"/>
          <w:spacing w:val="0"/>
        </w:rPr>
      </w:pPr>
    </w:p>
    <w:sectPr w:rsidR="007B0256" w:rsidRPr="005C3AA9" w:rsidSect="00152F03">
      <w:headerReference w:type="default" r:id="rId11"/>
      <w:footerReference w:type="default" r:id="rId12"/>
      <w:headerReference w:type="first" r:id="rId13"/>
      <w:pgSz w:w="11906" w:h="16838" w:code="9"/>
      <w:pgMar w:top="1134" w:right="1134" w:bottom="993"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28D59" w14:textId="77777777" w:rsidR="0031402B" w:rsidRDefault="0031402B">
      <w:pPr>
        <w:spacing w:after="0" w:line="240" w:lineRule="auto"/>
      </w:pPr>
      <w:r>
        <w:separator/>
      </w:r>
    </w:p>
  </w:endnote>
  <w:endnote w:type="continuationSeparator" w:id="0">
    <w:p w14:paraId="04E077F5" w14:textId="77777777" w:rsidR="0031402B" w:rsidRDefault="0031402B">
      <w:pPr>
        <w:spacing w:after="0" w:line="240" w:lineRule="auto"/>
      </w:pPr>
      <w:r>
        <w:continuationSeparator/>
      </w:r>
    </w:p>
  </w:endnote>
  <w:endnote w:type="continuationNotice" w:id="1">
    <w:p w14:paraId="244F2F3B" w14:textId="77777777" w:rsidR="0031402B" w:rsidRDefault="003140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altName w:val="Zapf 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altName w:val="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C2EDE" w14:textId="77777777" w:rsidR="00784271" w:rsidRDefault="00784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E9B76" w14:textId="77777777" w:rsidR="0031402B" w:rsidRDefault="0031402B">
      <w:pPr>
        <w:spacing w:after="0" w:line="240" w:lineRule="auto"/>
      </w:pPr>
      <w:r>
        <w:separator/>
      </w:r>
    </w:p>
  </w:footnote>
  <w:footnote w:type="continuationSeparator" w:id="0">
    <w:p w14:paraId="34227430" w14:textId="77777777" w:rsidR="0031402B" w:rsidRDefault="0031402B">
      <w:pPr>
        <w:spacing w:after="0" w:line="240" w:lineRule="auto"/>
      </w:pPr>
      <w:r>
        <w:continuationSeparator/>
      </w:r>
    </w:p>
  </w:footnote>
  <w:footnote w:type="continuationNotice" w:id="1">
    <w:p w14:paraId="558D2A25" w14:textId="77777777" w:rsidR="0031402B" w:rsidRDefault="003140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6C6E" w14:textId="77777777" w:rsidR="00784271" w:rsidRDefault="007842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4994" w14:textId="77777777" w:rsidR="00784271" w:rsidRPr="00814590" w:rsidRDefault="00784271" w:rsidP="00152F03">
    <w:pPr>
      <w:pStyle w:val="HeaderOdd"/>
      <w:tabs>
        <w:tab w:val="num" w:pos="1134"/>
      </w:tabs>
      <w:rPr>
        <w:color w:val="800000"/>
      </w:rPr>
    </w:pPr>
    <w:r>
      <w:rPr>
        <w:color w:val="800000"/>
      </w:rPr>
      <w:t xml:space="preserve">Project Agreement for the </w:t>
    </w:r>
    <w:r w:rsidRPr="002C29D4">
      <w:rPr>
        <w:i/>
        <w:color w:val="800000"/>
      </w:rPr>
      <w:t>Women</w:t>
    </w:r>
    <w:r w:rsidRPr="00453920">
      <w:rPr>
        <w:i/>
        <w:color w:val="800000"/>
      </w:rPr>
      <w:t>’</w:t>
    </w:r>
    <w:r w:rsidRPr="002C29D4">
      <w:rPr>
        <w:i/>
        <w:color w:val="800000"/>
      </w:rPr>
      <w:t>s Safety Package</w:t>
    </w:r>
    <w:r>
      <w:rPr>
        <w:color w:val="800000"/>
      </w:rPr>
      <w:t xml:space="preserve"> - </w:t>
    </w:r>
    <w:r w:rsidRPr="00894700">
      <w:rPr>
        <w:color w:val="800000"/>
      </w:rPr>
      <w:t>Technology Trials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B3D39"/>
    <w:multiLevelType w:val="hybridMultilevel"/>
    <w:tmpl w:val="652836B2"/>
    <w:lvl w:ilvl="0" w:tplc="A27C1DFA">
      <w:start w:val="1"/>
      <w:numFmt w:val="bullet"/>
      <w:lvlText w:val=""/>
      <w:lvlJc w:val="left"/>
      <w:pPr>
        <w:tabs>
          <w:tab w:val="num" w:pos="1134"/>
        </w:tabs>
        <w:ind w:left="1134" w:hanging="567"/>
      </w:pPr>
      <w:rPr>
        <w:rFonts w:ascii="ZapfDingbats" w:hAnsi="ZapfDingbats" w:hint="default"/>
        <w:color w:val="000080"/>
        <w:sz w:val="20"/>
      </w:rPr>
    </w:lvl>
    <w:lvl w:ilvl="1" w:tplc="0C090003" w:tentative="1">
      <w:start w:val="1"/>
      <w:numFmt w:val="bullet"/>
      <w:pStyle w:val="ScheduleNumberedPara"/>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357A47DF"/>
    <w:multiLevelType w:val="hybridMultilevel"/>
    <w:tmpl w:val="FA866BB4"/>
    <w:lvl w:ilvl="0" w:tplc="C76AB8CE">
      <w:start w:val="1"/>
      <w:numFmt w:val="decimal"/>
      <w:lvlText w:val="%1."/>
      <w:lvlJc w:val="left"/>
      <w:pPr>
        <w:ind w:left="720" w:hanging="360"/>
      </w:pPr>
      <w:rPr>
        <w:rFonts w:cs="Times New Roman" w:hint="default"/>
        <w:b w:val="0"/>
        <w:color w:val="auto"/>
        <w:sz w:val="23"/>
        <w:szCs w:val="23"/>
      </w:rPr>
    </w:lvl>
    <w:lvl w:ilvl="1" w:tplc="660EB736">
      <w:start w:val="1"/>
      <w:numFmt w:val="lowerLetter"/>
      <w:lvlText w:val="(%2)"/>
      <w:lvlJc w:val="left"/>
      <w:pPr>
        <w:ind w:left="1440" w:hanging="360"/>
      </w:pPr>
      <w:rPr>
        <w:rFonts w:cs="Times New Roman" w:hint="default"/>
      </w:rPr>
    </w:lvl>
    <w:lvl w:ilvl="2" w:tplc="0C09001B">
      <w:start w:val="1"/>
      <w:numFmt w:val="lowerRoman"/>
      <w:lvlText w:val="%3."/>
      <w:lvlJc w:val="right"/>
      <w:pPr>
        <w:ind w:left="2160" w:hanging="180"/>
      </w:pPr>
      <w:rPr>
        <w:rFonts w:cs="Times New Roman"/>
      </w:rPr>
    </w:lvl>
    <w:lvl w:ilvl="3" w:tplc="0C090019">
      <w:start w:val="1"/>
      <w:numFmt w:val="lowerLetter"/>
      <w:lvlText w:val="%4."/>
      <w:lvlJc w:val="left"/>
      <w:pPr>
        <w:ind w:left="2061" w:hanging="360"/>
      </w:pPr>
      <w:rPr>
        <w:rFonts w:hint="default"/>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3E6910F4"/>
    <w:multiLevelType w:val="hybridMultilevel"/>
    <w:tmpl w:val="FE3C0DF0"/>
    <w:lvl w:ilvl="0" w:tplc="C76AB8CE">
      <w:start w:val="1"/>
      <w:numFmt w:val="decimal"/>
      <w:lvlText w:val="%1."/>
      <w:lvlJc w:val="left"/>
      <w:pPr>
        <w:ind w:left="720" w:hanging="360"/>
      </w:pPr>
      <w:rPr>
        <w:rFonts w:cs="Times New Roman" w:hint="default"/>
        <w:b w:val="0"/>
        <w:color w:val="auto"/>
        <w:sz w:val="23"/>
        <w:szCs w:val="23"/>
      </w:rPr>
    </w:lvl>
    <w:lvl w:ilvl="1" w:tplc="660EB736">
      <w:start w:val="1"/>
      <w:numFmt w:val="lowerLetter"/>
      <w:lvlText w:val="(%2)"/>
      <w:lvlJc w:val="left"/>
      <w:pPr>
        <w:ind w:left="1440" w:hanging="360"/>
      </w:pPr>
      <w:rPr>
        <w:rFonts w:cs="Times New Roman" w:hint="default"/>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061" w:hanging="360"/>
      </w:p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6D7A39BC"/>
    <w:multiLevelType w:val="multilevel"/>
    <w:tmpl w:val="18F60756"/>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suff w:val="space"/>
      <w:lvlText w:val="Schedule %9"/>
      <w:lvlJc w:val="left"/>
      <w:rPr>
        <w:rFonts w:cs="Times New Roman" w:hint="default"/>
        <w:b w:val="0"/>
        <w:i w:val="0"/>
        <w:color w:val="800000"/>
        <w:sz w:val="36"/>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B6"/>
    <w:rsid w:val="000633F1"/>
    <w:rsid w:val="00082CCC"/>
    <w:rsid w:val="000B1698"/>
    <w:rsid w:val="000C666A"/>
    <w:rsid w:val="000D4A18"/>
    <w:rsid w:val="000E206B"/>
    <w:rsid w:val="000E7279"/>
    <w:rsid w:val="001354EC"/>
    <w:rsid w:val="00152BF5"/>
    <w:rsid w:val="00152F03"/>
    <w:rsid w:val="00174824"/>
    <w:rsid w:val="00181438"/>
    <w:rsid w:val="00193474"/>
    <w:rsid w:val="001E4678"/>
    <w:rsid w:val="001E630D"/>
    <w:rsid w:val="00216C4D"/>
    <w:rsid w:val="0022280B"/>
    <w:rsid w:val="0024150D"/>
    <w:rsid w:val="00287B70"/>
    <w:rsid w:val="002B50C8"/>
    <w:rsid w:val="002C2AAC"/>
    <w:rsid w:val="002C2C02"/>
    <w:rsid w:val="002D363B"/>
    <w:rsid w:val="00301946"/>
    <w:rsid w:val="00307976"/>
    <w:rsid w:val="0031402B"/>
    <w:rsid w:val="00322B28"/>
    <w:rsid w:val="0032570F"/>
    <w:rsid w:val="00335FC2"/>
    <w:rsid w:val="00345321"/>
    <w:rsid w:val="003B2BB8"/>
    <w:rsid w:val="003C1AB6"/>
    <w:rsid w:val="003C2A7A"/>
    <w:rsid w:val="003D34FF"/>
    <w:rsid w:val="003E42F9"/>
    <w:rsid w:val="0040233F"/>
    <w:rsid w:val="004141C7"/>
    <w:rsid w:val="0042314E"/>
    <w:rsid w:val="00435D54"/>
    <w:rsid w:val="004B54CA"/>
    <w:rsid w:val="004E5CBF"/>
    <w:rsid w:val="00515F14"/>
    <w:rsid w:val="005305CE"/>
    <w:rsid w:val="0054788B"/>
    <w:rsid w:val="00572211"/>
    <w:rsid w:val="005828FE"/>
    <w:rsid w:val="00583F58"/>
    <w:rsid w:val="005C3AA9"/>
    <w:rsid w:val="005D7A99"/>
    <w:rsid w:val="006312C2"/>
    <w:rsid w:val="00661BAE"/>
    <w:rsid w:val="006A4CE7"/>
    <w:rsid w:val="006C2919"/>
    <w:rsid w:val="006C6DD0"/>
    <w:rsid w:val="006D2D42"/>
    <w:rsid w:val="006E4826"/>
    <w:rsid w:val="006E5848"/>
    <w:rsid w:val="007001F6"/>
    <w:rsid w:val="00713A9E"/>
    <w:rsid w:val="0074587B"/>
    <w:rsid w:val="00784271"/>
    <w:rsid w:val="00785261"/>
    <w:rsid w:val="00792D9B"/>
    <w:rsid w:val="007B0256"/>
    <w:rsid w:val="007C38E6"/>
    <w:rsid w:val="00853423"/>
    <w:rsid w:val="0088209D"/>
    <w:rsid w:val="00910864"/>
    <w:rsid w:val="009225F0"/>
    <w:rsid w:val="00942E4A"/>
    <w:rsid w:val="009562B6"/>
    <w:rsid w:val="0096418E"/>
    <w:rsid w:val="009D513D"/>
    <w:rsid w:val="00A05E63"/>
    <w:rsid w:val="00A41470"/>
    <w:rsid w:val="00AC2C13"/>
    <w:rsid w:val="00AC64BC"/>
    <w:rsid w:val="00AD68D4"/>
    <w:rsid w:val="00B60F52"/>
    <w:rsid w:val="00B752BC"/>
    <w:rsid w:val="00BA2DB9"/>
    <w:rsid w:val="00BC5739"/>
    <w:rsid w:val="00BE7148"/>
    <w:rsid w:val="00BE72F7"/>
    <w:rsid w:val="00C16EF9"/>
    <w:rsid w:val="00C368AB"/>
    <w:rsid w:val="00C4060F"/>
    <w:rsid w:val="00C45A98"/>
    <w:rsid w:val="00CA62CA"/>
    <w:rsid w:val="00CE3214"/>
    <w:rsid w:val="00D43DFA"/>
    <w:rsid w:val="00D51C08"/>
    <w:rsid w:val="00EC7035"/>
    <w:rsid w:val="00F07E42"/>
    <w:rsid w:val="00F4703A"/>
    <w:rsid w:val="00F602A7"/>
    <w:rsid w:val="00F873C8"/>
    <w:rsid w:val="00FD1A4E"/>
    <w:rsid w:val="00FF05CE"/>
    <w:rsid w:val="00FF458D"/>
    <w:rsid w:val="00FF6F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3A14E"/>
  <w15:docId w15:val="{C7BC46B5-7CEE-4A17-9430-4346AD7D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2B6"/>
    <w:pPr>
      <w:spacing w:after="240" w:line="260" w:lineRule="exact"/>
      <w:jc w:val="both"/>
    </w:pPr>
    <w:rPr>
      <w:rFonts w:ascii="Corbel" w:eastAsia="Times New Roman" w:hAnsi="Corbel" w:cs="Times New Roman"/>
      <w:color w:val="000000"/>
      <w:sz w:val="23"/>
      <w:szCs w:val="20"/>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SingleParagraph">
    <w:name w:val="Single Paragraph"/>
    <w:basedOn w:val="Normal"/>
    <w:rsid w:val="009562B6"/>
    <w:pPr>
      <w:spacing w:after="0"/>
    </w:pPr>
  </w:style>
  <w:style w:type="character" w:customStyle="1" w:styleId="Bold">
    <w:name w:val="Bold"/>
    <w:rsid w:val="009562B6"/>
    <w:rPr>
      <w:b/>
    </w:rPr>
  </w:style>
  <w:style w:type="paragraph" w:styleId="Footer">
    <w:name w:val="footer"/>
    <w:basedOn w:val="Normal"/>
    <w:link w:val="FooterChar"/>
    <w:uiPriority w:val="99"/>
    <w:rsid w:val="009562B6"/>
    <w:pPr>
      <w:keepNext/>
      <w:spacing w:after="0" w:line="240" w:lineRule="auto"/>
      <w:jc w:val="left"/>
    </w:pPr>
    <w:rPr>
      <w:color w:val="3D4B67"/>
      <w:sz w:val="18"/>
    </w:rPr>
  </w:style>
  <w:style w:type="character" w:customStyle="1" w:styleId="FooterChar">
    <w:name w:val="Footer Char"/>
    <w:basedOn w:val="DefaultParagraphFont"/>
    <w:link w:val="Footer"/>
    <w:uiPriority w:val="99"/>
    <w:rsid w:val="009562B6"/>
    <w:rPr>
      <w:rFonts w:ascii="Corbel" w:eastAsia="Times New Roman" w:hAnsi="Corbel" w:cs="Times New Roman"/>
      <w:color w:val="3D4B67"/>
      <w:sz w:val="18"/>
      <w:szCs w:val="20"/>
      <w:lang w:eastAsia="en-AU"/>
    </w:rPr>
  </w:style>
  <w:style w:type="paragraph" w:styleId="Header">
    <w:name w:val="header"/>
    <w:basedOn w:val="Normal"/>
    <w:link w:val="HeaderChar"/>
    <w:uiPriority w:val="99"/>
    <w:rsid w:val="009562B6"/>
    <w:pPr>
      <w:keepNext/>
      <w:spacing w:after="0" w:line="240" w:lineRule="auto"/>
      <w:jc w:val="left"/>
    </w:pPr>
    <w:rPr>
      <w:color w:val="3D4B67"/>
      <w:sz w:val="18"/>
    </w:rPr>
  </w:style>
  <w:style w:type="character" w:customStyle="1" w:styleId="HeaderChar">
    <w:name w:val="Header Char"/>
    <w:basedOn w:val="DefaultParagraphFont"/>
    <w:link w:val="Header"/>
    <w:uiPriority w:val="99"/>
    <w:rsid w:val="009562B6"/>
    <w:rPr>
      <w:rFonts w:ascii="Corbel" w:eastAsia="Times New Roman" w:hAnsi="Corbel" w:cs="Times New Roman"/>
      <w:color w:val="3D4B67"/>
      <w:sz w:val="18"/>
      <w:szCs w:val="20"/>
      <w:lang w:eastAsia="en-AU"/>
    </w:rPr>
  </w:style>
  <w:style w:type="paragraph" w:customStyle="1" w:styleId="HeaderOdd">
    <w:name w:val="Header Odd"/>
    <w:basedOn w:val="Header"/>
    <w:rsid w:val="009562B6"/>
    <w:pPr>
      <w:jc w:val="right"/>
    </w:pPr>
  </w:style>
  <w:style w:type="character" w:styleId="CommentReference">
    <w:name w:val="annotation reference"/>
    <w:basedOn w:val="DefaultParagraphFont"/>
    <w:uiPriority w:val="99"/>
    <w:semiHidden/>
    <w:rsid w:val="009562B6"/>
    <w:rPr>
      <w:rFonts w:cs="Times New Roman"/>
      <w:sz w:val="16"/>
    </w:rPr>
  </w:style>
  <w:style w:type="paragraph" w:styleId="CommentText">
    <w:name w:val="annotation text"/>
    <w:basedOn w:val="Normal"/>
    <w:link w:val="CommentTextChar"/>
    <w:uiPriority w:val="99"/>
    <w:semiHidden/>
    <w:rsid w:val="009562B6"/>
  </w:style>
  <w:style w:type="character" w:customStyle="1" w:styleId="CommentTextChar">
    <w:name w:val="Comment Text Char"/>
    <w:basedOn w:val="DefaultParagraphFont"/>
    <w:link w:val="CommentText"/>
    <w:uiPriority w:val="99"/>
    <w:semiHidden/>
    <w:rsid w:val="009562B6"/>
    <w:rPr>
      <w:rFonts w:ascii="Corbel" w:eastAsia="Times New Roman" w:hAnsi="Corbel" w:cs="Times New Roman"/>
      <w:color w:val="000000"/>
      <w:sz w:val="23"/>
      <w:szCs w:val="20"/>
      <w:lang w:eastAsia="en-AU"/>
    </w:rPr>
  </w:style>
  <w:style w:type="paragraph" w:customStyle="1" w:styleId="Normalnumbered">
    <w:name w:val="Normal numbered"/>
    <w:basedOn w:val="Normal"/>
    <w:link w:val="NormalnumberedChar"/>
    <w:rsid w:val="009562B6"/>
  </w:style>
  <w:style w:type="paragraph" w:customStyle="1" w:styleId="Signed">
    <w:name w:val="Signed"/>
    <w:basedOn w:val="Normal"/>
    <w:rsid w:val="009562B6"/>
    <w:pPr>
      <w:spacing w:after="120" w:line="240" w:lineRule="auto"/>
    </w:pPr>
    <w:rPr>
      <w:rFonts w:ascii="Book Antiqua" w:hAnsi="Book Antiqua"/>
      <w:bCs/>
      <w:i/>
      <w:sz w:val="22"/>
    </w:rPr>
  </w:style>
  <w:style w:type="paragraph" w:customStyle="1" w:styleId="Position">
    <w:name w:val="Position"/>
    <w:basedOn w:val="Normal"/>
    <w:rsid w:val="009562B6"/>
    <w:pPr>
      <w:spacing w:after="120"/>
    </w:pPr>
    <w:rPr>
      <w:bCs/>
      <w:sz w:val="20"/>
    </w:rPr>
  </w:style>
  <w:style w:type="character" w:customStyle="1" w:styleId="SignedBold">
    <w:name w:val="SignedBold"/>
    <w:rsid w:val="009562B6"/>
    <w:rPr>
      <w:b/>
      <w:i/>
    </w:rPr>
  </w:style>
  <w:style w:type="paragraph" w:customStyle="1" w:styleId="LineForSignature">
    <w:name w:val="LineForSignature"/>
    <w:basedOn w:val="Normal"/>
    <w:rsid w:val="009562B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9562B6"/>
    <w:pPr>
      <w:numPr>
        <w:ilvl w:val="1"/>
        <w:numId w:val="1"/>
      </w:numPr>
    </w:pPr>
  </w:style>
  <w:style w:type="character" w:customStyle="1" w:styleId="NormalnumberedChar">
    <w:name w:val="Normal numbered Char"/>
    <w:link w:val="Normalnumbered"/>
    <w:locked/>
    <w:rsid w:val="009562B6"/>
    <w:rPr>
      <w:rFonts w:ascii="Corbel" w:eastAsia="Times New Roman" w:hAnsi="Corbel" w:cs="Times New Roman"/>
      <w:color w:val="000000"/>
      <w:sz w:val="23"/>
      <w:szCs w:val="20"/>
      <w:lang w:eastAsia="en-AU"/>
    </w:rPr>
  </w:style>
  <w:style w:type="character" w:customStyle="1" w:styleId="ScheduleNumberedParaChar">
    <w:name w:val="ScheduleNumberedPara Char"/>
    <w:link w:val="ScheduleNumberedPara"/>
    <w:locked/>
    <w:rsid w:val="009562B6"/>
    <w:rPr>
      <w:rFonts w:ascii="Corbel" w:eastAsia="Times New Roman" w:hAnsi="Corbel" w:cs="Times New Roman"/>
      <w:color w:val="000000"/>
      <w:sz w:val="23"/>
      <w:szCs w:val="20"/>
      <w:lang w:eastAsia="en-AU"/>
    </w:rPr>
  </w:style>
  <w:style w:type="paragraph" w:styleId="BalloonText">
    <w:name w:val="Balloon Text"/>
    <w:basedOn w:val="Normal"/>
    <w:link w:val="BalloonTextChar"/>
    <w:uiPriority w:val="99"/>
    <w:semiHidden/>
    <w:unhideWhenUsed/>
    <w:rsid w:val="00956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2B6"/>
    <w:rPr>
      <w:rFonts w:ascii="Tahoma" w:eastAsia="Times New Roman" w:hAnsi="Tahoma" w:cs="Tahoma"/>
      <w:color w:val="000000"/>
      <w:sz w:val="16"/>
      <w:szCs w:val="16"/>
      <w:lang w:eastAsia="en-AU"/>
    </w:rPr>
  </w:style>
  <w:style w:type="paragraph" w:styleId="CommentSubject">
    <w:name w:val="annotation subject"/>
    <w:basedOn w:val="CommentText"/>
    <w:next w:val="CommentText"/>
    <w:link w:val="CommentSubjectChar"/>
    <w:uiPriority w:val="99"/>
    <w:semiHidden/>
    <w:unhideWhenUsed/>
    <w:rsid w:val="00287B70"/>
    <w:pPr>
      <w:spacing w:line="240" w:lineRule="auto"/>
    </w:pPr>
    <w:rPr>
      <w:b/>
      <w:bCs/>
      <w:sz w:val="20"/>
    </w:rPr>
  </w:style>
  <w:style w:type="character" w:customStyle="1" w:styleId="CommentSubjectChar">
    <w:name w:val="Comment Subject Char"/>
    <w:basedOn w:val="CommentTextChar"/>
    <w:link w:val="CommentSubject"/>
    <w:uiPriority w:val="99"/>
    <w:semiHidden/>
    <w:rsid w:val="00287B70"/>
    <w:rPr>
      <w:rFonts w:ascii="Corbel" w:eastAsia="Times New Roman" w:hAnsi="Corbel" w:cs="Times New Roman"/>
      <w:b/>
      <w:bCs/>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70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28353" ma:contentTypeDescription=" " ma:contentTypeScope="" ma:versionID="6914f116d580093ba4210dbf4a5d8fe6">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2020FG-64-73824</_dlc_DocId>
    <_dlc_DocIdUrl xmlns="0f563589-9cf9-4143-b1eb-fb0534803d38">
      <Url>http://tweb/sites/fg/csrd/_layouts/15/DocIdRedir.aspx?ID=2020FG-64-73824</Url>
      <Description>2020FG-64-73824</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22B03701-6A5A-4373-BA42-796A914B5624}">
  <ds:schemaRefs>
    <ds:schemaRef ds:uri="http://schemas.microsoft.com/sharepoint/v3/contenttype/forms"/>
  </ds:schemaRefs>
</ds:datastoreItem>
</file>

<file path=customXml/itemProps2.xml><?xml version="1.0" encoding="utf-8"?>
<ds:datastoreItem xmlns:ds="http://schemas.openxmlformats.org/officeDocument/2006/customXml" ds:itemID="{E4046497-10DA-4B5A-8A26-DC6C08AA8458}"/>
</file>

<file path=customXml/itemProps3.xml><?xml version="1.0" encoding="utf-8"?>
<ds:datastoreItem xmlns:ds="http://schemas.openxmlformats.org/officeDocument/2006/customXml" ds:itemID="{F9E4C80B-F008-4580-BDC7-438424ED11D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0C44BDD-5CF9-409F-96B6-60347E0FF254"/>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F593821-64F5-4CFA-B970-E6C3904595D2}">
  <ds:schemaRefs>
    <ds:schemaRef ds:uri="http://schemas.openxmlformats.org/officeDocument/2006/bibliography"/>
  </ds:schemaRefs>
</ds:datastoreItem>
</file>

<file path=customXml/itemProps5.xml><?xml version="1.0" encoding="utf-8"?>
<ds:datastoreItem xmlns:ds="http://schemas.openxmlformats.org/officeDocument/2006/customXml" ds:itemID="{BD03CCE4-166B-4943-AA12-0B6BCEB48C2A}"/>
</file>

<file path=customXml/itemProps6.xml><?xml version="1.0" encoding="utf-8"?>
<ds:datastoreItem xmlns:ds="http://schemas.openxmlformats.org/officeDocument/2006/customXml" ds:itemID="{98ADA3B7-1EFD-480F-8B75-C9E957E906E7}"/>
</file>

<file path=customXml/itemProps7.xml><?xml version="1.0" encoding="utf-8"?>
<ds:datastoreItem xmlns:ds="http://schemas.openxmlformats.org/officeDocument/2006/customXml" ds:itemID="{F227D3D8-62E7-4E62-9A96-57F0FBA50D90}"/>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WEEDING, Lauren</dc:creator>
  <cp:lastModifiedBy>FITZHENRY, Laura</cp:lastModifiedBy>
  <cp:revision>2</cp:revision>
  <cp:lastPrinted>2017-10-19T05:45:00Z</cp:lastPrinted>
  <dcterms:created xsi:type="dcterms:W3CDTF">2019-05-16T01:02:00Z</dcterms:created>
  <dcterms:modified xsi:type="dcterms:W3CDTF">2019-05-16T01:02:00Z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TSYRecordClass">
    <vt:lpwstr>2;#TSY RA-8748 - Retain as national archives|243f2231-dbfc-4282-b24a-c9b768286bd0</vt:lpwstr>
  </property>
  <property fmtid="{D5CDD505-2E9C-101B-9397-08002B2CF9AE}" pid="4" name="_dlc_DocIdItemGuid">
    <vt:lpwstr>a83e04bf-5297-4887-8ec9-046b51e784a8</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{a83e04bf-5297-4887-8ec9-046b51e784a8}</vt:lpwstr>
  </property>
  <property fmtid="{D5CDD505-2E9C-101B-9397-08002B2CF9AE}" pid="9" name="RecordPoint_ActiveItemWebId">
    <vt:lpwstr>{a4589788-615f-4b8b-8296-7f9f6dfbab44}</vt:lpwstr>
  </property>
  <property fmtid="{D5CDD505-2E9C-101B-9397-08002B2CF9AE}" pid="10" name="RecordPoint_RecordNumberSubmitted">
    <vt:lpwstr/>
  </property>
  <property fmtid="{D5CDD505-2E9C-101B-9397-08002B2CF9AE}" pid="11" name="RecordPoint_SubmissionCompleted">
    <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NewReviewCycle">
    <vt:lpwstr/>
  </property>
</Properties>
</file>