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E84E3E" w:rsidP="00E84E3E" w14:paraId="210D7C08" w14:textId="35E9C204">
      <w:pPr>
        <w:pStyle w:val="Title"/>
        <w:ind w:left="-142"/>
        <w:jc w:val="right"/>
      </w:pPr>
      <w:bookmarkStart w:id="0" w:name="_GoBack"/>
      <w:bookmarkEnd w:id="0"/>
      <w:r w:rsidRPr="00216E26">
        <w:rPr>
          <w:rFonts w:cs="Corbel"/>
          <w:color w:val="800000"/>
          <w:sz w:val="36"/>
          <w:szCs w:val="36"/>
        </w:rPr>
        <w:t xml:space="preserve">Schedule </w:t>
      </w:r>
      <w:r w:rsidR="00CD170E">
        <w:rPr>
          <w:rFonts w:cs="Corbel"/>
          <w:color w:val="800000"/>
          <w:sz w:val="36"/>
          <w:szCs w:val="36"/>
        </w:rPr>
        <w:t>1A</w:t>
      </w:r>
    </w:p>
    <w:p w:rsidR="00E84E3E" w:rsidRPr="00CE7333" w:rsidP="008E0665" w14:paraId="210D7C09" w14:textId="77777777">
      <w:pPr>
        <w:pStyle w:val="Title"/>
        <w:spacing w:before="240"/>
        <w:rPr>
          <w:rFonts w:ascii="Consolas" w:hAnsi="Consolas" w:cs="Consolas"/>
          <w:sz w:val="40"/>
          <w:szCs w:val="40"/>
        </w:rPr>
      </w:pPr>
      <w:r>
        <w:rPr>
          <w:rFonts w:ascii="Consolas" w:hAnsi="Consolas" w:cs="Consolas"/>
          <w:sz w:val="56"/>
          <w:szCs w:val="56"/>
        </w:rPr>
        <w:t>NSW Local Water Utility</w:t>
      </w:r>
      <w:r w:rsidR="00310787">
        <w:rPr>
          <w:rFonts w:ascii="Consolas" w:hAnsi="Consolas" w:cs="Consolas"/>
          <w:sz w:val="56"/>
          <w:szCs w:val="56"/>
        </w:rPr>
        <w:t xml:space="preserve"> Efficiency </w:t>
      </w:r>
      <w:r w:rsidR="005155E9">
        <w:rPr>
          <w:rFonts w:ascii="Consolas" w:hAnsi="Consolas" w:cs="Consolas"/>
          <w:sz w:val="56"/>
          <w:szCs w:val="56"/>
        </w:rPr>
        <w:t xml:space="preserve">Measures </w:t>
      </w:r>
      <w:r w:rsidR="00310787">
        <w:rPr>
          <w:rFonts w:ascii="Consolas" w:hAnsi="Consolas" w:cs="Consolas"/>
          <w:sz w:val="56"/>
          <w:szCs w:val="56"/>
        </w:rPr>
        <w:t>Project</w:t>
      </w:r>
      <w:r w:rsidRPr="00DD3A82" w:rsidR="00DD3A82">
        <w:rPr>
          <w:rFonts w:ascii="Consolas" w:hAnsi="Consolas" w:cs="Consolas"/>
          <w:sz w:val="56"/>
          <w:szCs w:val="56"/>
        </w:rPr>
        <w:t xml:space="preserve"> </w:t>
      </w:r>
      <w:r w:rsidR="005155E9">
        <w:rPr>
          <w:rFonts w:ascii="Consolas" w:hAnsi="Consolas" w:cs="Consolas"/>
          <w:sz w:val="56"/>
          <w:szCs w:val="56"/>
        </w:rPr>
        <w:t>-Feasibility Study</w:t>
      </w:r>
    </w:p>
    <w:p w:rsidR="00220B47" w:rsidRPr="00220B47" w:rsidP="0022253E" w14:paraId="210D7C0A" w14:textId="77777777">
      <w:pPr>
        <w:pStyle w:val="Subtitle"/>
        <w:spacing w:before="240" w:after="480"/>
      </w:pPr>
      <w:r>
        <w:t xml:space="preserve">Project </w:t>
      </w:r>
      <w:r w:rsidR="007955B1">
        <w:t>SCHEDULE</w:t>
      </w:r>
      <w:r w:rsidRPr="00DD3A82" w:rsidR="00DD3A82">
        <w:t xml:space="preserve"> FOR </w:t>
      </w:r>
      <w:r w:rsidR="00E14D6F">
        <w:t>New south wales</w:t>
      </w:r>
      <w:r w:rsidR="00310787">
        <w:t>-LED EFFICIENCY PROJECTS</w:t>
      </w:r>
    </w:p>
    <w:p w:rsidR="004F23B2" w:rsidRPr="004F23B2" w:rsidP="00AF323A" w14:paraId="210D7C0B" w14:textId="597EA2A5">
      <w:pPr>
        <w:pStyle w:val="Normalnumbered"/>
        <w:numPr>
          <w:ilvl w:val="0"/>
          <w:numId w:val="1"/>
        </w:numPr>
        <w:tabs>
          <w:tab w:val="num" w:pos="284"/>
          <w:tab w:val="clear" w:pos="567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B82557">
        <w:rPr>
          <w:rFonts w:ascii="Corbel" w:hAnsi="Corbel"/>
        </w:rPr>
        <w:t>This</w:t>
      </w:r>
      <w:r>
        <w:rPr>
          <w:rFonts w:ascii="Corbel" w:hAnsi="Corbel"/>
        </w:rPr>
        <w:t xml:space="preserve"> </w:t>
      </w:r>
      <w:r w:rsidRPr="00B82557">
        <w:rPr>
          <w:rFonts w:ascii="Corbel" w:hAnsi="Corbel"/>
        </w:rPr>
        <w:t xml:space="preserve">schedule </w:t>
      </w:r>
      <w:r w:rsidR="002E785E">
        <w:rPr>
          <w:rFonts w:ascii="Corbel" w:hAnsi="Corbel"/>
        </w:rPr>
        <w:t xml:space="preserve">has been developed </w:t>
      </w:r>
      <w:r w:rsidR="0033724B">
        <w:rPr>
          <w:rFonts w:ascii="Corbel" w:hAnsi="Corbel"/>
        </w:rPr>
        <w:t xml:space="preserve">for delivery of a </w:t>
      </w:r>
      <w:r w:rsidR="00A844A6">
        <w:rPr>
          <w:rFonts w:ascii="Corbel" w:hAnsi="Corbel"/>
        </w:rPr>
        <w:t>f</w:t>
      </w:r>
      <w:r w:rsidR="0033724B">
        <w:rPr>
          <w:rFonts w:ascii="Corbel" w:hAnsi="Corbel"/>
        </w:rPr>
        <w:t xml:space="preserve">easibility </w:t>
      </w:r>
      <w:r w:rsidR="00A844A6">
        <w:rPr>
          <w:rFonts w:ascii="Corbel" w:hAnsi="Corbel"/>
        </w:rPr>
        <w:t>s</w:t>
      </w:r>
      <w:r w:rsidR="0033724B">
        <w:rPr>
          <w:rFonts w:ascii="Corbel" w:hAnsi="Corbel"/>
        </w:rPr>
        <w:t xml:space="preserve">tudy </w:t>
      </w:r>
      <w:r w:rsidR="00396D84">
        <w:rPr>
          <w:rFonts w:ascii="Corbel" w:hAnsi="Corbel"/>
        </w:rPr>
        <w:t xml:space="preserve">consistent </w:t>
      </w:r>
      <w:r w:rsidR="005E0B77">
        <w:rPr>
          <w:rFonts w:ascii="Corbel" w:hAnsi="Corbel"/>
        </w:rPr>
        <w:t>with Table</w:t>
      </w:r>
      <w:r w:rsidR="0033724B">
        <w:rPr>
          <w:rFonts w:ascii="Corbel" w:hAnsi="Corbel"/>
        </w:rPr>
        <w:t xml:space="preserve"> 1. </w:t>
      </w:r>
      <w:r w:rsidR="002E785E">
        <w:rPr>
          <w:rFonts w:ascii="Corbel" w:hAnsi="Corbel"/>
        </w:rPr>
        <w:t xml:space="preserve">of </w:t>
      </w:r>
      <w:r w:rsidRPr="00B82557">
        <w:rPr>
          <w:rFonts w:ascii="Corbel" w:hAnsi="Corbel"/>
        </w:rPr>
        <w:t xml:space="preserve">the Project Agreement </w:t>
      </w:r>
      <w:r w:rsidR="00310787">
        <w:rPr>
          <w:rFonts w:ascii="Corbel" w:hAnsi="Corbel"/>
        </w:rPr>
        <w:t>for Murray- Darling Basin Water Infrastructure –</w:t>
      </w:r>
      <w:r w:rsidR="0033724B">
        <w:rPr>
          <w:rFonts w:ascii="Corbel" w:hAnsi="Corbel"/>
        </w:rPr>
        <w:t xml:space="preserve">New South Wales –led Efficiency </w:t>
      </w:r>
      <w:r w:rsidR="00310787">
        <w:rPr>
          <w:rFonts w:ascii="Corbel" w:hAnsi="Corbel"/>
        </w:rPr>
        <w:t>Projects</w:t>
      </w:r>
    </w:p>
    <w:p w:rsidR="0023611C" w:rsidP="007955B1" w14:paraId="210D7C0C" w14:textId="77777777">
      <w:pPr>
        <w:pStyle w:val="Normalnumbered"/>
        <w:numPr>
          <w:ilvl w:val="0"/>
          <w:numId w:val="1"/>
        </w:numPr>
        <w:tabs>
          <w:tab w:val="num" w:pos="284"/>
          <w:tab w:val="clear" w:pos="567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The </w:t>
      </w:r>
      <w:r w:rsidR="004F4D1B">
        <w:rPr>
          <w:rFonts w:ascii="Corbel" w:hAnsi="Corbel"/>
        </w:rPr>
        <w:t xml:space="preserve">NSW Local Water Utility </w:t>
      </w:r>
      <w:r w:rsidR="00361F6A">
        <w:rPr>
          <w:rFonts w:ascii="Corbel" w:hAnsi="Corbel"/>
        </w:rPr>
        <w:t xml:space="preserve">Efficiency </w:t>
      </w:r>
      <w:r w:rsidR="001E4E45">
        <w:rPr>
          <w:rFonts w:ascii="Corbel" w:hAnsi="Corbel"/>
        </w:rPr>
        <w:t xml:space="preserve">Measures </w:t>
      </w:r>
      <w:r w:rsidR="00A57F88">
        <w:rPr>
          <w:rFonts w:ascii="Corbel" w:hAnsi="Corbel"/>
        </w:rPr>
        <w:t>Project will</w:t>
      </w:r>
      <w:r w:rsidR="00B630A0">
        <w:rPr>
          <w:rFonts w:ascii="Corbel" w:hAnsi="Corbel"/>
        </w:rPr>
        <w:t xml:space="preserve"> provide </w:t>
      </w:r>
      <w:r w:rsidR="007955B1">
        <w:rPr>
          <w:rFonts w:ascii="Corbel" w:hAnsi="Corbel"/>
        </w:rPr>
        <w:t xml:space="preserve">a feasibility study </w:t>
      </w:r>
      <w:r w:rsidR="004B7DCB">
        <w:rPr>
          <w:rFonts w:ascii="Corbel" w:hAnsi="Corbel"/>
        </w:rPr>
        <w:t>which will</w:t>
      </w:r>
      <w:r w:rsidR="007955B1">
        <w:rPr>
          <w:rFonts w:ascii="Corbel" w:hAnsi="Corbel"/>
        </w:rPr>
        <w:t xml:space="preserve"> determine </w:t>
      </w:r>
      <w:r w:rsidR="004B7DCB">
        <w:rPr>
          <w:rFonts w:ascii="Corbel" w:hAnsi="Corbel"/>
        </w:rPr>
        <w:t xml:space="preserve">options for recovery of </w:t>
      </w:r>
      <w:r w:rsidR="007955B1">
        <w:rPr>
          <w:rFonts w:ascii="Corbel" w:hAnsi="Corbel"/>
        </w:rPr>
        <w:t xml:space="preserve">an estimated </w:t>
      </w:r>
      <w:r w:rsidR="004F4D1B">
        <w:rPr>
          <w:rFonts w:ascii="Corbel" w:hAnsi="Corbel"/>
        </w:rPr>
        <w:t>9</w:t>
      </w:r>
      <w:r w:rsidR="007955B1">
        <w:rPr>
          <w:rFonts w:ascii="Corbel" w:hAnsi="Corbel"/>
        </w:rPr>
        <w:t xml:space="preserve"> </w:t>
      </w:r>
      <w:r w:rsidR="004B7DCB">
        <w:rPr>
          <w:rFonts w:ascii="Corbel" w:hAnsi="Corbel"/>
        </w:rPr>
        <w:t>G</w:t>
      </w:r>
      <w:r w:rsidR="007955B1">
        <w:rPr>
          <w:rFonts w:ascii="Corbel" w:hAnsi="Corbel"/>
        </w:rPr>
        <w:t xml:space="preserve">L </w:t>
      </w:r>
      <w:r w:rsidR="00B630A0">
        <w:rPr>
          <w:rFonts w:ascii="Corbel" w:hAnsi="Corbel"/>
        </w:rPr>
        <w:t xml:space="preserve">of </w:t>
      </w:r>
      <w:r w:rsidR="00B42DB2">
        <w:rPr>
          <w:rFonts w:ascii="Corbel" w:hAnsi="Corbel"/>
        </w:rPr>
        <w:t xml:space="preserve">efficiency measures </w:t>
      </w:r>
      <w:r w:rsidR="00B630A0">
        <w:rPr>
          <w:rFonts w:ascii="Corbel" w:hAnsi="Corbel"/>
        </w:rPr>
        <w:t xml:space="preserve">water </w:t>
      </w:r>
      <w:r w:rsidR="004B7DCB">
        <w:rPr>
          <w:rFonts w:ascii="Corbel" w:hAnsi="Corbel"/>
        </w:rPr>
        <w:t>under the Murray Darling Basin Water Infrastructure Program</w:t>
      </w:r>
      <w:r w:rsidR="002F2B9B">
        <w:rPr>
          <w:rFonts w:ascii="Corbel" w:hAnsi="Corbel"/>
        </w:rPr>
        <w:t xml:space="preserve">. </w:t>
      </w:r>
    </w:p>
    <w:p w:rsidR="00286452" w:rsidP="00B73830" w14:paraId="210D7C0D" w14:textId="77777777">
      <w:pPr>
        <w:pStyle w:val="Normalnumbered"/>
        <w:numPr>
          <w:ilvl w:val="0"/>
          <w:numId w:val="1"/>
        </w:numPr>
        <w:tabs>
          <w:tab w:val="num" w:pos="284"/>
          <w:tab w:val="clear" w:pos="567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>The NSW Department of Industry</w:t>
      </w:r>
      <w:r w:rsidR="004F4D1B">
        <w:rPr>
          <w:rFonts w:ascii="Corbel" w:hAnsi="Corbel"/>
        </w:rPr>
        <w:t>-Water</w:t>
      </w:r>
      <w:r w:rsidR="00B42DB2">
        <w:rPr>
          <w:rFonts w:ascii="Corbel" w:hAnsi="Corbel"/>
        </w:rPr>
        <w:t xml:space="preserve"> will commission a consultancy to study how </w:t>
      </w:r>
      <w:r w:rsidR="004F4D1B">
        <w:rPr>
          <w:rFonts w:ascii="Corbel" w:hAnsi="Corbel"/>
        </w:rPr>
        <w:t xml:space="preserve">Local Water Utilities (LWU) could benefit from infrastructure projects to improve water metering technology, leak detection, repair and pressure management which </w:t>
      </w:r>
      <w:r w:rsidR="002A0027">
        <w:rPr>
          <w:rFonts w:ascii="Corbel" w:hAnsi="Corbel"/>
        </w:rPr>
        <w:t xml:space="preserve">in turn </w:t>
      </w:r>
      <w:r w:rsidR="004F4D1B">
        <w:rPr>
          <w:rFonts w:ascii="Corbel" w:hAnsi="Corbel"/>
        </w:rPr>
        <w:t xml:space="preserve">could contribute </w:t>
      </w:r>
      <w:r w:rsidR="00A57F88">
        <w:rPr>
          <w:rFonts w:ascii="Corbel" w:hAnsi="Corbel"/>
        </w:rPr>
        <w:t>to Commonwealth</w:t>
      </w:r>
      <w:r w:rsidR="004F4D1B">
        <w:rPr>
          <w:rFonts w:ascii="Corbel" w:hAnsi="Corbel"/>
        </w:rPr>
        <w:t xml:space="preserve"> water recovery for efficiency measures.</w:t>
      </w:r>
      <w:r>
        <w:rPr>
          <w:rFonts w:ascii="Corbel" w:hAnsi="Corbel"/>
        </w:rPr>
        <w:t xml:space="preserve"> </w:t>
      </w:r>
    </w:p>
    <w:p w:rsidR="000C6DF5" w:rsidP="00382BEB" w14:paraId="642DBBA0" w14:textId="77777777">
      <w:pPr>
        <w:pStyle w:val="Normalnumbered"/>
        <w:numPr>
          <w:ilvl w:val="0"/>
          <w:numId w:val="1"/>
        </w:numPr>
        <w:tabs>
          <w:tab w:val="num" w:pos="284"/>
          <w:tab w:val="clear" w:pos="567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>These reports will provide the basis for decision making by NSW and the Commonwealth, on whether to proceed with development of a full business case for the identified options.</w:t>
      </w:r>
    </w:p>
    <w:p w:rsidR="000C6DF5" w:rsidP="00382BEB" w14:paraId="77A2226C" w14:textId="77777777">
      <w:pPr>
        <w:pStyle w:val="Normalnumbered"/>
        <w:numPr>
          <w:ilvl w:val="0"/>
          <w:numId w:val="1"/>
        </w:numPr>
        <w:tabs>
          <w:tab w:val="num" w:pos="284"/>
          <w:tab w:val="clear" w:pos="567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If the parties decide to proceed with business case development, a new project sub- schedule will be added to the Agreement which details the development and consequent implementation activities and milestones. </w:t>
      </w:r>
    </w:p>
    <w:p w:rsidR="00C8290F" w:rsidRPr="004F23B2" w:rsidP="00C8290F" w14:paraId="210D7C13" w14:textId="18CB81E3">
      <w:pPr>
        <w:pStyle w:val="Normalnumbered"/>
        <w:numPr>
          <w:ilvl w:val="0"/>
          <w:numId w:val="1"/>
        </w:numPr>
        <w:tabs>
          <w:tab w:val="num" w:pos="284"/>
          <w:tab w:val="clear" w:pos="567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C8290F">
        <w:rPr>
          <w:rFonts w:ascii="Corbel" w:hAnsi="Corbel"/>
        </w:rPr>
        <w:t xml:space="preserve">The </w:t>
      </w:r>
      <w:r w:rsidR="00615147">
        <w:rPr>
          <w:rFonts w:ascii="Corbel" w:hAnsi="Corbel"/>
        </w:rPr>
        <w:t xml:space="preserve">final </w:t>
      </w:r>
      <w:r w:rsidR="000C6DF5">
        <w:rPr>
          <w:rFonts w:ascii="Corbel" w:hAnsi="Corbel"/>
        </w:rPr>
        <w:t>p</w:t>
      </w:r>
      <w:r w:rsidR="00615147">
        <w:rPr>
          <w:rFonts w:ascii="Corbel" w:hAnsi="Corbel"/>
        </w:rPr>
        <w:t>roject</w:t>
      </w:r>
      <w:r w:rsidR="00D645D9">
        <w:rPr>
          <w:rFonts w:ascii="Corbel" w:hAnsi="Corbel"/>
        </w:rPr>
        <w:t xml:space="preserve"> </w:t>
      </w:r>
      <w:r w:rsidR="000C6DF5">
        <w:rPr>
          <w:rFonts w:ascii="Corbel" w:hAnsi="Corbel"/>
        </w:rPr>
        <w:t>f</w:t>
      </w:r>
      <w:r w:rsidRPr="00C8290F" w:rsidR="000C6DF5">
        <w:rPr>
          <w:rFonts w:ascii="Corbel" w:hAnsi="Corbel"/>
        </w:rPr>
        <w:t xml:space="preserve">easibility </w:t>
      </w:r>
      <w:r w:rsidR="000C6DF5">
        <w:rPr>
          <w:rFonts w:ascii="Corbel" w:hAnsi="Corbel"/>
        </w:rPr>
        <w:t>s</w:t>
      </w:r>
      <w:r w:rsidR="00615147">
        <w:rPr>
          <w:rFonts w:ascii="Corbel" w:hAnsi="Corbel"/>
        </w:rPr>
        <w:t xml:space="preserve">tudy </w:t>
      </w:r>
      <w:r w:rsidRPr="00C8290F" w:rsidR="004D3E4B">
        <w:rPr>
          <w:rFonts w:ascii="Corbel" w:hAnsi="Corbel"/>
        </w:rPr>
        <w:t>will b</w:t>
      </w:r>
      <w:r w:rsidRPr="00C8290F">
        <w:rPr>
          <w:rFonts w:ascii="Corbel" w:hAnsi="Corbel"/>
        </w:rPr>
        <w:t xml:space="preserve">e completed </w:t>
      </w:r>
      <w:r w:rsidRPr="00C8290F" w:rsidR="00DF7C83">
        <w:rPr>
          <w:rFonts w:ascii="Corbel" w:hAnsi="Corbel"/>
        </w:rPr>
        <w:t>by</w:t>
      </w:r>
      <w:r w:rsidRPr="00C8290F" w:rsidR="004D3E4B">
        <w:rPr>
          <w:rFonts w:ascii="Corbel" w:hAnsi="Corbel"/>
        </w:rPr>
        <w:t xml:space="preserve"> </w:t>
      </w:r>
      <w:r w:rsidR="00A0578E">
        <w:rPr>
          <w:rFonts w:ascii="Corbel" w:hAnsi="Corbel"/>
        </w:rPr>
        <w:t>October</w:t>
      </w:r>
      <w:r w:rsidR="006A1086">
        <w:rPr>
          <w:rFonts w:ascii="Corbel" w:hAnsi="Corbel"/>
        </w:rPr>
        <w:t xml:space="preserve"> </w:t>
      </w:r>
      <w:r w:rsidRPr="006A1086" w:rsidR="00990A5C">
        <w:rPr>
          <w:rFonts w:ascii="Corbel" w:hAnsi="Corbel"/>
        </w:rPr>
        <w:t>2020</w:t>
      </w:r>
      <w:r w:rsidRPr="00C8290F" w:rsidR="006F4405">
        <w:rPr>
          <w:rFonts w:ascii="Corbel" w:hAnsi="Corbel"/>
        </w:rPr>
        <w:t xml:space="preserve"> and will address the </w:t>
      </w:r>
      <w:r w:rsidRPr="00C8290F">
        <w:rPr>
          <w:rFonts w:ascii="Corbel" w:hAnsi="Corbel"/>
        </w:rPr>
        <w:t xml:space="preserve">information requirements and </w:t>
      </w:r>
      <w:r w:rsidRPr="00C8290F" w:rsidR="006F4405">
        <w:rPr>
          <w:rFonts w:ascii="Corbel" w:hAnsi="Corbel"/>
        </w:rPr>
        <w:t xml:space="preserve">criteria </w:t>
      </w:r>
      <w:r w:rsidRPr="00C8290F">
        <w:rPr>
          <w:rFonts w:ascii="Corbel" w:hAnsi="Corbel"/>
        </w:rPr>
        <w:t xml:space="preserve">in clause 23 of </w:t>
      </w:r>
      <w:r>
        <w:rPr>
          <w:rFonts w:ascii="Corbel" w:hAnsi="Corbel"/>
        </w:rPr>
        <w:t xml:space="preserve">the </w:t>
      </w:r>
      <w:r w:rsidRPr="00B82557">
        <w:rPr>
          <w:rFonts w:ascii="Corbel" w:hAnsi="Corbel"/>
        </w:rPr>
        <w:t xml:space="preserve">Project Agreement </w:t>
      </w:r>
      <w:r>
        <w:rPr>
          <w:rFonts w:ascii="Corbel" w:hAnsi="Corbel"/>
        </w:rPr>
        <w:t xml:space="preserve">for Murray- Darling Basin Water Infrastructure – </w:t>
      </w:r>
      <w:r w:rsidR="002335E3">
        <w:rPr>
          <w:rFonts w:ascii="Corbel" w:hAnsi="Corbel"/>
        </w:rPr>
        <w:t>New South Wales</w:t>
      </w:r>
      <w:r w:rsidR="00A844A6">
        <w:rPr>
          <w:rFonts w:ascii="Corbel" w:hAnsi="Corbel"/>
        </w:rPr>
        <w:t>-</w:t>
      </w:r>
      <w:r w:rsidR="002335E3">
        <w:rPr>
          <w:rFonts w:ascii="Corbel" w:hAnsi="Corbel"/>
        </w:rPr>
        <w:t xml:space="preserve"> </w:t>
      </w:r>
      <w:r w:rsidR="00A844A6">
        <w:rPr>
          <w:rFonts w:ascii="Corbel" w:hAnsi="Corbel"/>
        </w:rPr>
        <w:t xml:space="preserve">led </w:t>
      </w:r>
      <w:r w:rsidR="002335E3">
        <w:rPr>
          <w:rFonts w:ascii="Corbel" w:hAnsi="Corbel"/>
        </w:rPr>
        <w:t xml:space="preserve">Efficiency </w:t>
      </w:r>
      <w:r>
        <w:rPr>
          <w:rFonts w:ascii="Corbel" w:hAnsi="Corbel"/>
        </w:rPr>
        <w:t>Projects.</w:t>
      </w:r>
    </w:p>
    <w:p w:rsidR="00C16DD8" w:rsidRPr="00C8290F" w:rsidP="00D54DE3" w14:paraId="210D7C14" w14:textId="77777777">
      <w:pPr>
        <w:pStyle w:val="Normalnumbered"/>
        <w:numPr>
          <w:ilvl w:val="0"/>
          <w:numId w:val="1"/>
        </w:numPr>
        <w:tabs>
          <w:tab w:val="num" w:pos="284"/>
          <w:tab w:val="clear" w:pos="567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C8290F">
        <w:rPr>
          <w:rFonts w:ascii="Corbel" w:hAnsi="Corbel"/>
        </w:rPr>
        <w:t xml:space="preserve">The Project Feasibility </w:t>
      </w:r>
      <w:r w:rsidR="001A64AE">
        <w:rPr>
          <w:rFonts w:ascii="Corbel" w:hAnsi="Corbel"/>
        </w:rPr>
        <w:t xml:space="preserve">milestone </w:t>
      </w:r>
      <w:r w:rsidRPr="00C8290F">
        <w:rPr>
          <w:rFonts w:ascii="Corbel" w:hAnsi="Corbel"/>
        </w:rPr>
        <w:t>report</w:t>
      </w:r>
      <w:r w:rsidRPr="00C8290F" w:rsidR="006F4405">
        <w:rPr>
          <w:rFonts w:ascii="Corbel" w:hAnsi="Corbel"/>
        </w:rPr>
        <w:t>s are in three stages and</w:t>
      </w:r>
      <w:r w:rsidRPr="00C8290F">
        <w:rPr>
          <w:rFonts w:ascii="Corbel" w:hAnsi="Corbel"/>
        </w:rPr>
        <w:t xml:space="preserve"> will:</w:t>
      </w:r>
    </w:p>
    <w:p w:rsidR="00C16DD8" w:rsidRPr="00703574" w:rsidP="00EF5BC3" w14:paraId="210D7C15" w14:textId="74629571">
      <w:pPr>
        <w:pStyle w:val="Normalnumbered"/>
        <w:numPr>
          <w:ilvl w:val="0"/>
          <w:numId w:val="8"/>
        </w:numPr>
        <w:spacing w:after="240" w:line="260" w:lineRule="exact"/>
        <w:ind w:left="1134" w:hanging="437"/>
        <w:jc w:val="both"/>
        <w:rPr>
          <w:rFonts w:ascii="Corbel" w:hAnsi="Corbel"/>
        </w:rPr>
      </w:pPr>
      <w:r>
        <w:rPr>
          <w:rFonts w:ascii="Corbel" w:hAnsi="Corbel"/>
        </w:rPr>
        <w:t>Stage 1 -</w:t>
      </w:r>
      <w:r w:rsidRPr="00703574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identify the required project effort through a desktop study of </w:t>
      </w:r>
      <w:r w:rsidR="00D67560">
        <w:rPr>
          <w:rFonts w:ascii="Corbel" w:hAnsi="Corbel"/>
        </w:rPr>
        <w:t>approximately</w:t>
      </w:r>
      <w:r>
        <w:rPr>
          <w:rFonts w:ascii="Corbel" w:hAnsi="Corbel"/>
        </w:rPr>
        <w:t xml:space="preserve"> 70 Local Water Utilities</w:t>
      </w:r>
      <w:r w:rsidR="000C6DF5">
        <w:rPr>
          <w:rFonts w:ascii="Corbel" w:hAnsi="Corbel"/>
        </w:rPr>
        <w:t xml:space="preserve">’ water systems, usage, </w:t>
      </w:r>
      <w:r w:rsidR="00087FD5">
        <w:rPr>
          <w:rFonts w:ascii="Corbel" w:hAnsi="Corbel"/>
        </w:rPr>
        <w:t>and entitlement</w:t>
      </w:r>
      <w:r w:rsidR="000C6DF5">
        <w:rPr>
          <w:rFonts w:ascii="Corbel" w:hAnsi="Corbel"/>
        </w:rPr>
        <w:t xml:space="preserve"> portfolio and water savings opportunities.</w:t>
      </w:r>
    </w:p>
    <w:p w:rsidR="00376533" w:rsidRPr="00703574" w:rsidP="00EF5BC3" w14:paraId="210D7C16" w14:textId="632157A7">
      <w:pPr>
        <w:pStyle w:val="Normalnumbered"/>
        <w:numPr>
          <w:ilvl w:val="0"/>
          <w:numId w:val="8"/>
        </w:numPr>
        <w:spacing w:after="240" w:line="260" w:lineRule="exact"/>
        <w:ind w:left="1134" w:hanging="437"/>
        <w:jc w:val="both"/>
        <w:rPr>
          <w:rFonts w:ascii="Corbel" w:hAnsi="Corbel"/>
        </w:rPr>
      </w:pPr>
      <w:r>
        <w:rPr>
          <w:rFonts w:ascii="Corbel" w:hAnsi="Corbel"/>
        </w:rPr>
        <w:t>Stage 2 - identify options and preliminary feasibility including cost estimates, risks, legislative and administrative arrangements and potential water savings</w:t>
      </w:r>
      <w:r w:rsidR="00DD1422">
        <w:rPr>
          <w:rFonts w:ascii="Corbel" w:hAnsi="Corbel"/>
        </w:rPr>
        <w:t>.</w:t>
      </w:r>
    </w:p>
    <w:p w:rsidR="00DD1422" w:rsidP="00A21C97" w14:paraId="39BE4BB7" w14:textId="77777777">
      <w:pPr>
        <w:pStyle w:val="Normalnumbered"/>
        <w:numPr>
          <w:ilvl w:val="0"/>
          <w:numId w:val="8"/>
        </w:numPr>
        <w:spacing w:after="240" w:line="260" w:lineRule="exact"/>
        <w:ind w:left="1134" w:hanging="437"/>
        <w:jc w:val="both"/>
        <w:rPr>
          <w:rFonts w:ascii="Corbel" w:hAnsi="Corbel"/>
        </w:rPr>
      </w:pPr>
      <w:r w:rsidRPr="00502F8B">
        <w:rPr>
          <w:rFonts w:ascii="Corbel" w:hAnsi="Corbel"/>
        </w:rPr>
        <w:t xml:space="preserve">Stage 3 – engage </w:t>
      </w:r>
      <w:r w:rsidRPr="00502F8B" w:rsidR="00AB4F7E">
        <w:rPr>
          <w:rFonts w:ascii="Corbel" w:hAnsi="Corbel"/>
        </w:rPr>
        <w:t xml:space="preserve">and </w:t>
      </w:r>
      <w:r w:rsidRPr="00502F8B" w:rsidR="00087FD5">
        <w:rPr>
          <w:rFonts w:ascii="Corbel" w:hAnsi="Corbel"/>
        </w:rPr>
        <w:t>negotiate acceptance of</w:t>
      </w:r>
      <w:r w:rsidRPr="00502F8B" w:rsidR="00AB4F7E">
        <w:rPr>
          <w:rFonts w:ascii="Corbel" w:hAnsi="Corbel"/>
        </w:rPr>
        <w:t xml:space="preserve"> the proposals </w:t>
      </w:r>
      <w:r w:rsidRPr="00DD1422" w:rsidR="00AB4F7E">
        <w:rPr>
          <w:rFonts w:ascii="Corbel" w:hAnsi="Corbel"/>
        </w:rPr>
        <w:t xml:space="preserve">with potential LWU participants for the NSW Local Water Utility </w:t>
      </w:r>
      <w:r w:rsidRPr="00DD1422" w:rsidR="00087FD5">
        <w:rPr>
          <w:rFonts w:ascii="Corbel" w:hAnsi="Corbel"/>
        </w:rPr>
        <w:t>Efficiency</w:t>
      </w:r>
      <w:r w:rsidRPr="00DD1422" w:rsidR="00AB4F7E">
        <w:rPr>
          <w:rFonts w:ascii="Corbel" w:hAnsi="Corbel"/>
        </w:rPr>
        <w:t xml:space="preserve"> Measures Project.</w:t>
      </w:r>
      <w:r w:rsidRPr="00DD1422" w:rsidR="00AB4F7E">
        <w:rPr>
          <w:rFonts w:ascii="Corbel" w:hAnsi="Corbel"/>
        </w:rPr>
        <w:t xml:space="preserve"> </w:t>
      </w:r>
    </w:p>
    <w:p w:rsidR="00502F8B" w:rsidP="00502F8B" w14:paraId="309007A0" w14:textId="546B7489">
      <w:pPr>
        <w:pStyle w:val="Normalnumbered"/>
        <w:numPr>
          <w:ilvl w:val="0"/>
          <w:numId w:val="1"/>
        </w:numPr>
        <w:spacing w:after="240" w:line="260" w:lineRule="exact"/>
        <w:jc w:val="both"/>
        <w:rPr>
          <w:rFonts w:ascii="Corbel" w:hAnsi="Corbel"/>
        </w:rPr>
      </w:pPr>
      <w:r>
        <w:rPr>
          <w:rFonts w:ascii="Corbel" w:hAnsi="Corbel"/>
        </w:rPr>
        <w:t xml:space="preserve">In accordance with </w:t>
      </w:r>
      <w:r w:rsidRPr="00AB4F7E">
        <w:rPr>
          <w:rFonts w:ascii="Corbel" w:hAnsi="Corbel"/>
        </w:rPr>
        <w:t xml:space="preserve">clause </w:t>
      </w:r>
      <w:r w:rsidRPr="008D6D23">
        <w:rPr>
          <w:rFonts w:ascii="Corbel" w:hAnsi="Corbel"/>
        </w:rPr>
        <w:t>19</w:t>
      </w:r>
      <w:r w:rsidRPr="00AB4F7E">
        <w:rPr>
          <w:rFonts w:ascii="Corbel" w:hAnsi="Corbel"/>
        </w:rPr>
        <w:t xml:space="preserve"> of</w:t>
      </w:r>
      <w:r w:rsidRPr="009B1652">
        <w:rPr>
          <w:rFonts w:ascii="Corbel" w:hAnsi="Corbel"/>
        </w:rPr>
        <w:t xml:space="preserve"> the Agreement, milestones for </w:t>
      </w:r>
      <w:r>
        <w:rPr>
          <w:rFonts w:ascii="Corbel" w:hAnsi="Corbel"/>
        </w:rPr>
        <w:t>projects</w:t>
      </w:r>
      <w:r w:rsidRPr="009B1652">
        <w:rPr>
          <w:rFonts w:ascii="Corbel" w:hAnsi="Corbel"/>
        </w:rPr>
        <w:t>, their relationship to outputs, expected completion dates, relevant reporting dates and expected payments</w:t>
      </w:r>
      <w:r>
        <w:rPr>
          <w:rFonts w:ascii="Corbel" w:hAnsi="Corbel"/>
        </w:rPr>
        <w:t xml:space="preserve"> are set out in Table 1.</w:t>
      </w:r>
    </w:p>
    <w:p w:rsidR="00502F8B" w:rsidP="00DD1422" w14:paraId="07D01C59" w14:textId="77777777">
      <w:pPr>
        <w:pStyle w:val="Normalnumbered"/>
        <w:tabs>
          <w:tab w:val="clear" w:pos="567"/>
        </w:tabs>
        <w:spacing w:after="240" w:line="260" w:lineRule="exact"/>
        <w:jc w:val="both"/>
        <w:rPr>
          <w:rFonts w:ascii="Corbel" w:hAnsi="Corbel"/>
        </w:rPr>
      </w:pPr>
    </w:p>
    <w:p w:rsidR="00645ECA" w:rsidRPr="00DD1422" w:rsidP="00502F8B" w14:paraId="210D7C19" w14:textId="39E6D94F">
      <w:pPr>
        <w:pStyle w:val="Normalnumbered"/>
        <w:numPr>
          <w:ilvl w:val="0"/>
          <w:numId w:val="1"/>
        </w:numPr>
        <w:tabs>
          <w:tab w:val="num" w:pos="284"/>
          <w:tab w:val="clear" w:pos="567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502F8B">
        <w:rPr>
          <w:rFonts w:ascii="Corbel" w:hAnsi="Corbel"/>
        </w:rPr>
        <w:t xml:space="preserve">The Commonwealth will provide an estimated total financial contribution to this project of </w:t>
      </w:r>
      <w:r w:rsidRPr="00DD1422">
        <w:rPr>
          <w:rFonts w:ascii="Corbel" w:hAnsi="Corbel"/>
        </w:rPr>
        <w:t>$</w:t>
      </w:r>
      <w:r w:rsidRPr="00DD1422" w:rsidR="00AB4F7E">
        <w:rPr>
          <w:rFonts w:ascii="Corbel" w:hAnsi="Corbel"/>
        </w:rPr>
        <w:t>500</w:t>
      </w:r>
      <w:r w:rsidRPr="00DD1422" w:rsidR="00C34651">
        <w:rPr>
          <w:rFonts w:ascii="Corbel" w:hAnsi="Corbel"/>
        </w:rPr>
        <w:t>,000</w:t>
      </w:r>
      <w:r w:rsidRPr="00DD1422">
        <w:rPr>
          <w:rFonts w:ascii="Corbel" w:hAnsi="Corbel"/>
        </w:rPr>
        <w:t xml:space="preserve"> in respect of this Agreement as shown in Table 1.  All payments are GST exclusive.</w:t>
      </w:r>
    </w:p>
    <w:p w:rsidR="00D26F62" w:rsidP="00D26F62" w14:paraId="210D7C1A" w14:textId="77777777">
      <w:pPr>
        <w:pStyle w:val="Normalnumbered"/>
        <w:tabs>
          <w:tab w:val="clear" w:pos="567"/>
        </w:tabs>
        <w:spacing w:after="240" w:line="260" w:lineRule="exact"/>
        <w:jc w:val="both"/>
        <w:rPr>
          <w:rFonts w:ascii="Corbel" w:hAnsi="Corbel"/>
        </w:rPr>
      </w:pPr>
    </w:p>
    <w:p w:rsidR="00B73830" w:rsidP="00B73830" w14:paraId="210D7C1B" w14:textId="77777777">
      <w:pPr>
        <w:pStyle w:val="Normalnumbered"/>
        <w:tabs>
          <w:tab w:val="clear" w:pos="567"/>
        </w:tabs>
        <w:spacing w:after="240" w:line="260" w:lineRule="exact"/>
        <w:ind w:firstLine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Table </w:t>
      </w:r>
      <w:r w:rsidR="009B1652">
        <w:rPr>
          <w:rFonts w:ascii="Corbel" w:hAnsi="Corbel"/>
          <w:b/>
        </w:rPr>
        <w:t>1</w:t>
      </w:r>
      <w:r>
        <w:rPr>
          <w:rFonts w:ascii="Corbel" w:hAnsi="Corbel"/>
          <w:b/>
        </w:rPr>
        <w:t>: Milestones</w:t>
      </w:r>
      <w:r w:rsidR="00DA6E52">
        <w:rPr>
          <w:rFonts w:ascii="Corbel" w:hAnsi="Corbel"/>
          <w:b/>
        </w:rPr>
        <w:t>, reporting and payment summary</w:t>
      </w:r>
    </w:p>
    <w:tbl>
      <w:tblPr>
        <w:tblW w:w="10031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  <w:tblLook w:val="04A0"/>
      </w:tblPr>
      <w:tblGrid>
        <w:gridCol w:w="2235"/>
        <w:gridCol w:w="5103"/>
        <w:gridCol w:w="1275"/>
        <w:gridCol w:w="1418"/>
      </w:tblGrid>
      <w:tr w14:paraId="210D7C20" w14:textId="77777777" w:rsidTr="00461D05">
        <w:tblPrEx>
          <w:tblW w:w="10031" w:type="dxa"/>
          <w:tblInd w:w="0" w:type="dxa"/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  <w:tblLook w:val="04A0"/>
        </w:tblPrEx>
        <w:trPr>
          <w:trHeight w:val="212"/>
        </w:trPr>
        <w:tc>
          <w:tcPr>
            <w:tcW w:w="2235" w:type="dxa"/>
            <w:tcBorders>
              <w:bottom w:val="single" w:sz="18" w:space="0" w:color="4F81BD"/>
            </w:tcBorders>
          </w:tcPr>
          <w:p w:rsidR="00DA6E52" w:rsidRPr="00F95A99" w:rsidP="00461D05" w14:paraId="210D7C1C" w14:textId="77777777">
            <w:pPr>
              <w:pStyle w:val="Heading2"/>
              <w:keepNext/>
              <w:keepLines/>
              <w:spacing w:before="0" w:after="0" w:line="240" w:lineRule="auto"/>
              <w:outlineLvl w:val="1"/>
              <w:rPr>
                <w:rStyle w:val="DefaultParagraphFont"/>
                <w:rFonts w:ascii="Corbel" w:eastAsia="Times New Roman" w:hAnsi="Corbel" w:cs="Times New Roman"/>
                <w:b/>
                <w:bCs w:val="0"/>
                <w:color w:val="auto"/>
                <w:sz w:val="20"/>
                <w:szCs w:val="20"/>
                <w:lang w:val="en-AU" w:eastAsia="en-AU" w:bidi="ar-SA"/>
              </w:rPr>
            </w:pPr>
            <w:r w:rsidRPr="00F95A99">
              <w:rPr>
                <w:rFonts w:ascii="Corbel" w:eastAsia="Times New Roman" w:hAnsi="Corbel" w:cs="Times New Roman"/>
                <w:b/>
                <w:bCs w:val="0"/>
                <w:color w:val="auto"/>
                <w:sz w:val="20"/>
                <w:szCs w:val="20"/>
                <w:lang w:val="en-AU" w:eastAsia="en-AU" w:bidi="ar-SA"/>
              </w:rPr>
              <w:t>Outputs</w:t>
            </w:r>
          </w:p>
        </w:tc>
        <w:tc>
          <w:tcPr>
            <w:tcW w:w="5103" w:type="dxa"/>
            <w:tcBorders>
              <w:bottom w:val="single" w:sz="18" w:space="0" w:color="4F81BD"/>
            </w:tcBorders>
          </w:tcPr>
          <w:p w:rsidR="00DA6E52" w:rsidRPr="00F95A99" w:rsidP="00461D05" w14:paraId="210D7C1D" w14:textId="77777777">
            <w:pPr>
              <w:pStyle w:val="Heading2"/>
              <w:keepNext/>
              <w:keepLines/>
              <w:spacing w:before="0" w:after="0" w:line="240" w:lineRule="auto"/>
              <w:outlineLvl w:val="1"/>
              <w:rPr>
                <w:rStyle w:val="DefaultParagraphFont"/>
                <w:rFonts w:ascii="Corbel" w:eastAsia="Times New Roman" w:hAnsi="Corbel" w:cs="Times New Roman"/>
                <w:b/>
                <w:bCs w:val="0"/>
                <w:color w:val="auto"/>
                <w:sz w:val="20"/>
                <w:szCs w:val="20"/>
                <w:lang w:val="en-AU" w:eastAsia="en-AU" w:bidi="ar-SA"/>
              </w:rPr>
            </w:pPr>
            <w:r w:rsidRPr="00F95A99">
              <w:rPr>
                <w:rFonts w:ascii="Corbel" w:eastAsia="Times New Roman" w:hAnsi="Corbel" w:cs="Times New Roman"/>
                <w:b/>
                <w:bCs w:val="0"/>
                <w:color w:val="auto"/>
                <w:sz w:val="20"/>
                <w:szCs w:val="20"/>
                <w:lang w:val="en-AU" w:eastAsia="en-AU" w:bidi="ar-SA"/>
              </w:rPr>
              <w:t>Milestones</w:t>
            </w:r>
          </w:p>
        </w:tc>
        <w:tc>
          <w:tcPr>
            <w:tcW w:w="1275" w:type="dxa"/>
            <w:tcBorders>
              <w:bottom w:val="single" w:sz="18" w:space="0" w:color="4F81BD"/>
            </w:tcBorders>
          </w:tcPr>
          <w:p w:rsidR="00DA6E52" w:rsidRPr="00F95A99" w:rsidP="00461D05" w14:paraId="210D7C1E" w14:textId="77777777">
            <w:pPr>
              <w:pStyle w:val="Heading2"/>
              <w:keepNext/>
              <w:keepLines/>
              <w:spacing w:before="0" w:after="0" w:line="240" w:lineRule="auto"/>
              <w:outlineLvl w:val="1"/>
              <w:rPr>
                <w:rStyle w:val="DefaultParagraphFont"/>
                <w:rFonts w:ascii="Corbel" w:eastAsia="Times New Roman" w:hAnsi="Corbel" w:cs="Times New Roman"/>
                <w:b/>
                <w:bCs w:val="0"/>
                <w:color w:val="auto"/>
                <w:sz w:val="20"/>
                <w:szCs w:val="20"/>
                <w:lang w:val="en-AU" w:eastAsia="en-AU" w:bidi="ar-SA"/>
              </w:rPr>
            </w:pPr>
            <w:r w:rsidRPr="00F95A99">
              <w:rPr>
                <w:rFonts w:ascii="Corbel" w:eastAsia="Times New Roman" w:hAnsi="Corbel" w:cs="Times New Roman"/>
                <w:b/>
                <w:bCs w:val="0"/>
                <w:color w:val="auto"/>
                <w:sz w:val="20"/>
                <w:szCs w:val="20"/>
                <w:lang w:val="en-AU" w:eastAsia="en-AU" w:bidi="ar-SA"/>
              </w:rPr>
              <w:t xml:space="preserve">Report due </w:t>
            </w:r>
          </w:p>
        </w:tc>
        <w:tc>
          <w:tcPr>
            <w:tcW w:w="1418" w:type="dxa"/>
            <w:tcBorders>
              <w:bottom w:val="single" w:sz="18" w:space="0" w:color="4F81BD"/>
            </w:tcBorders>
          </w:tcPr>
          <w:p w:rsidR="00DA6E52" w:rsidRPr="00F95A99" w:rsidP="00461D05" w14:paraId="210D7C1F" w14:textId="77777777">
            <w:pPr>
              <w:pStyle w:val="Heading2"/>
              <w:keepNext/>
              <w:keepLines/>
              <w:spacing w:before="0" w:after="0" w:line="240" w:lineRule="auto"/>
              <w:outlineLvl w:val="1"/>
              <w:rPr>
                <w:rStyle w:val="DefaultParagraphFont"/>
                <w:rFonts w:ascii="Corbel" w:eastAsia="Times New Roman" w:hAnsi="Corbel" w:cs="Times New Roman"/>
                <w:b/>
                <w:bCs w:val="0"/>
                <w:color w:val="auto"/>
                <w:sz w:val="20"/>
                <w:szCs w:val="20"/>
                <w:lang w:val="en-AU" w:eastAsia="en-AU" w:bidi="ar-SA"/>
              </w:rPr>
            </w:pPr>
            <w:r w:rsidRPr="00F95A99">
              <w:rPr>
                <w:rFonts w:ascii="Corbel" w:eastAsia="Times New Roman" w:hAnsi="Corbel" w:cs="Times New Roman"/>
                <w:b/>
                <w:bCs w:val="0"/>
                <w:color w:val="auto"/>
                <w:sz w:val="20"/>
                <w:szCs w:val="20"/>
                <w:lang w:val="en-AU" w:eastAsia="en-AU" w:bidi="ar-SA"/>
              </w:rPr>
              <w:t>Payment</w:t>
            </w:r>
          </w:p>
        </w:tc>
      </w:tr>
      <w:tr w14:paraId="210D7C25" w14:textId="77777777" w:rsidTr="00BB601D">
        <w:tblPrEx>
          <w:tblW w:w="10031" w:type="dxa"/>
          <w:tblInd w:w="0" w:type="dxa"/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  <w:tblLook w:val="04A0"/>
        </w:tblPrEx>
        <w:tc>
          <w:tcPr>
            <w:tcW w:w="2235" w:type="dxa"/>
          </w:tcPr>
          <w:p w:rsidR="00533299" w:rsidRPr="00F95A99" w:rsidP="003C6C98" w14:paraId="210D7C21" w14:textId="77777777">
            <w:pPr>
              <w:spacing w:after="0" w:line="240" w:lineRule="auto"/>
              <w:rPr>
                <w:rStyle w:val="DefaultParagraphFont"/>
                <w:rFonts w:ascii="Corbel" w:eastAsia="Times New Roman" w:hAnsi="Corbel" w:cs="Times New Roman"/>
                <w:b/>
                <w:sz w:val="20"/>
                <w:szCs w:val="20"/>
                <w:lang w:val="en-AU" w:eastAsia="en-AU" w:bidi="ar-SA"/>
              </w:rPr>
            </w:pPr>
            <w:r w:rsidRPr="003C6C98">
              <w:rPr>
                <w:rFonts w:ascii="Corbel" w:eastAsia="Times New Roman" w:hAnsi="Corbel" w:cs="Times New Roman"/>
                <w:b/>
                <w:sz w:val="20"/>
                <w:szCs w:val="20"/>
                <w:lang w:val="en-AU" w:eastAsia="en-AU" w:bidi="ar-SA"/>
              </w:rPr>
              <w:t xml:space="preserve">Feasibility Study </w:t>
            </w:r>
          </w:p>
        </w:tc>
        <w:tc>
          <w:tcPr>
            <w:tcW w:w="5103" w:type="dxa"/>
          </w:tcPr>
          <w:p w:rsidR="0023611C" w:rsidRPr="00D26F62" w:rsidP="00D26F62" w14:paraId="210D7C22" w14:textId="77777777">
            <w:pPr>
              <w:spacing w:after="0" w:line="240" w:lineRule="auto"/>
              <w:rPr>
                <w:rStyle w:val="DefaultParagraphFont"/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</w:pPr>
            <w:r w:rsidRPr="00D26F62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>Project commencement</w:t>
            </w:r>
            <w:r w:rsidRPr="00D26F62" w:rsidR="008E5857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 xml:space="preserve"> </w:t>
            </w:r>
            <w:r w:rsidR="006B390A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 xml:space="preserve">on signature </w:t>
            </w:r>
            <w:r w:rsidR="0033724B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 xml:space="preserve">of </w:t>
            </w:r>
            <w:r w:rsidR="00361F6A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 xml:space="preserve">the </w:t>
            </w:r>
            <w:r w:rsidR="0033724B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 xml:space="preserve">Agreement </w:t>
            </w:r>
            <w:r w:rsidR="006B390A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 xml:space="preserve">by </w:t>
            </w:r>
            <w:r w:rsidR="0033724B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 xml:space="preserve">the </w:t>
            </w:r>
            <w:r w:rsidR="006B390A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>NSW and Commonwealth Minister</w:t>
            </w:r>
            <w:r w:rsidR="0033724B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>s</w:t>
            </w:r>
          </w:p>
        </w:tc>
        <w:tc>
          <w:tcPr>
            <w:tcW w:w="1275" w:type="dxa"/>
          </w:tcPr>
          <w:p w:rsidR="00533299" w:rsidRPr="00F95A99" w:rsidP="003C6C98" w14:paraId="210D7C23" w14:textId="5882066E">
            <w:pPr>
              <w:pStyle w:val="Heading2"/>
              <w:keepNext/>
              <w:keepLines/>
              <w:spacing w:before="200" w:after="200" w:line="240" w:lineRule="auto"/>
              <w:outlineLvl w:val="1"/>
              <w:rPr>
                <w:rStyle w:val="DefaultParagraphFont"/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</w:pPr>
            <w:r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N/A</w:t>
            </w:r>
          </w:p>
        </w:tc>
        <w:tc>
          <w:tcPr>
            <w:tcW w:w="1418" w:type="dxa"/>
          </w:tcPr>
          <w:p w:rsidR="00533299" w:rsidRPr="00F95A99" w:rsidP="00D80514" w14:paraId="210D7C24" w14:textId="15B7F514">
            <w:pPr>
              <w:pStyle w:val="Heading2"/>
              <w:keepNext/>
              <w:keepLines/>
              <w:spacing w:before="200" w:after="200" w:line="240" w:lineRule="auto"/>
              <w:outlineLvl w:val="1"/>
              <w:rPr>
                <w:rStyle w:val="DefaultParagraphFont"/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</w:pPr>
            <w:r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$0</w:t>
            </w:r>
          </w:p>
        </w:tc>
      </w:tr>
      <w:tr w14:paraId="210D7C2A" w14:textId="77777777" w:rsidTr="00BB601D">
        <w:tblPrEx>
          <w:tblW w:w="10031" w:type="dxa"/>
          <w:tblInd w:w="0" w:type="dxa"/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  <w:tblLook w:val="04A0"/>
        </w:tblPrEx>
        <w:tc>
          <w:tcPr>
            <w:tcW w:w="2235" w:type="dxa"/>
          </w:tcPr>
          <w:p w:rsidR="00533299" w:rsidRPr="00F95A99" w:rsidP="00C95C76" w14:paraId="210D7C26" w14:textId="77777777">
            <w:pPr>
              <w:spacing w:after="0" w:line="240" w:lineRule="auto"/>
              <w:rPr>
                <w:rStyle w:val="DefaultParagraphFont"/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</w:pPr>
          </w:p>
        </w:tc>
        <w:tc>
          <w:tcPr>
            <w:tcW w:w="5103" w:type="dxa"/>
          </w:tcPr>
          <w:p w:rsidR="00A12528" w:rsidRPr="00D26F62" w:rsidP="008654DE" w14:paraId="210D7C27" w14:textId="77777777">
            <w:pPr>
              <w:spacing w:after="0" w:line="240" w:lineRule="auto"/>
              <w:rPr>
                <w:rStyle w:val="DefaultParagraphFont"/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 xml:space="preserve">Stage 1 – desktop study </w:t>
            </w:r>
            <w:r w:rsidR="008654DE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 xml:space="preserve">scoping 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>report</w:t>
            </w:r>
            <w:r w:rsidR="008654DE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 xml:space="preserve"> </w:t>
            </w:r>
          </w:p>
        </w:tc>
        <w:tc>
          <w:tcPr>
            <w:tcW w:w="1275" w:type="dxa"/>
          </w:tcPr>
          <w:p w:rsidR="00533299" w:rsidRPr="00F95A99" w:rsidP="003C6C98" w14:paraId="210D7C28" w14:textId="7BCB0E77">
            <w:pPr>
              <w:pStyle w:val="Heading2"/>
              <w:keepNext/>
              <w:keepLines/>
              <w:spacing w:before="200" w:after="200" w:line="240" w:lineRule="auto"/>
              <w:outlineLvl w:val="1"/>
              <w:rPr>
                <w:rStyle w:val="DefaultParagraphFont"/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</w:pPr>
            <w:r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10</w:t>
            </w:r>
            <w:r w:rsidR="003C6C98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/</w:t>
            </w:r>
            <w:r w:rsidRPr="00F95A99" w:rsidR="00470046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201</w:t>
            </w:r>
            <w:r w:rsidR="003C6C98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9</w:t>
            </w:r>
          </w:p>
        </w:tc>
        <w:tc>
          <w:tcPr>
            <w:tcW w:w="1418" w:type="dxa"/>
          </w:tcPr>
          <w:p w:rsidR="00533299" w:rsidRPr="00F95A99" w:rsidP="00E14D6F" w14:paraId="210D7C29" w14:textId="77777777">
            <w:pPr>
              <w:pStyle w:val="Heading2"/>
              <w:keepNext/>
              <w:keepLines/>
              <w:spacing w:before="200" w:after="200" w:line="240" w:lineRule="auto"/>
              <w:outlineLvl w:val="1"/>
              <w:rPr>
                <w:rStyle w:val="DefaultParagraphFont"/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</w:pPr>
            <w:r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$</w:t>
            </w:r>
            <w:r w:rsidR="00D80514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10</w:t>
            </w:r>
            <w:r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0</w:t>
            </w:r>
            <w:r w:rsidR="00D80514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,000</w:t>
            </w:r>
          </w:p>
        </w:tc>
      </w:tr>
      <w:tr w14:paraId="210D7C2F" w14:textId="77777777" w:rsidTr="00BB601D">
        <w:tblPrEx>
          <w:tblW w:w="10031" w:type="dxa"/>
          <w:tblInd w:w="0" w:type="dxa"/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  <w:tblLook w:val="04A0"/>
        </w:tblPrEx>
        <w:tc>
          <w:tcPr>
            <w:tcW w:w="2235" w:type="dxa"/>
          </w:tcPr>
          <w:p w:rsidR="0023611C" w:rsidRPr="00BC40E7" w:rsidP="0023611C" w14:paraId="210D7C2B" w14:textId="77777777">
            <w:pPr>
              <w:spacing w:after="0" w:line="240" w:lineRule="auto"/>
              <w:rPr>
                <w:rStyle w:val="DefaultParagraphFont"/>
                <w:rFonts w:ascii="Corbel" w:eastAsia="Times New Roman" w:hAnsi="Corbel" w:cs="Times New Roman"/>
                <w:b/>
                <w:sz w:val="20"/>
                <w:szCs w:val="20"/>
                <w:lang w:val="en-AU" w:eastAsia="en-AU" w:bidi="ar-SA"/>
              </w:rPr>
            </w:pPr>
          </w:p>
        </w:tc>
        <w:tc>
          <w:tcPr>
            <w:tcW w:w="5103" w:type="dxa"/>
          </w:tcPr>
          <w:p w:rsidR="0023611C" w:rsidRPr="00D26F62" w:rsidP="008654DE" w14:paraId="210D7C2C" w14:textId="77777777">
            <w:pPr>
              <w:spacing w:after="0" w:line="240" w:lineRule="auto"/>
              <w:rPr>
                <w:rStyle w:val="DefaultParagraphFont"/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>Stage 2- options</w:t>
            </w:r>
            <w:r w:rsidR="008654DE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 xml:space="preserve"> </w:t>
            </w:r>
            <w:r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 xml:space="preserve">and technical feasibility </w:t>
            </w:r>
            <w:r w:rsidR="005915E5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>report</w:t>
            </w:r>
          </w:p>
        </w:tc>
        <w:tc>
          <w:tcPr>
            <w:tcW w:w="1275" w:type="dxa"/>
          </w:tcPr>
          <w:p w:rsidR="0023611C" w:rsidRPr="00F95A99" w:rsidP="00BC40E7" w14:paraId="210D7C2D" w14:textId="3E3382C9">
            <w:pPr>
              <w:pStyle w:val="Heading2"/>
              <w:keepNext/>
              <w:keepLines/>
              <w:spacing w:before="200" w:after="200" w:line="240" w:lineRule="auto"/>
              <w:outlineLvl w:val="1"/>
              <w:rPr>
                <w:rStyle w:val="DefaultParagraphFont"/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</w:pPr>
            <w:r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06</w:t>
            </w:r>
            <w:r w:rsidRPr="00F95A99" w:rsidR="00470046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/20</w:t>
            </w:r>
            <w:r w:rsidR="00770C68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20</w:t>
            </w:r>
          </w:p>
        </w:tc>
        <w:tc>
          <w:tcPr>
            <w:tcW w:w="1418" w:type="dxa"/>
          </w:tcPr>
          <w:p w:rsidR="00BC40E7" w:rsidRPr="00BC40E7" w:rsidP="00831FA2" w14:paraId="210D7C2E" w14:textId="0BB5339B">
            <w:pPr>
              <w:pStyle w:val="Heading2"/>
              <w:keepNext/>
              <w:keepLines/>
              <w:spacing w:before="200" w:after="200" w:line="240" w:lineRule="auto"/>
              <w:outlineLvl w:val="1"/>
              <w:rPr>
                <w:rStyle w:val="DefaultParagraphFont"/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</w:pPr>
            <w:r w:rsidRPr="000A0FE9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$</w:t>
            </w:r>
            <w:r w:rsidR="00831FA2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150</w:t>
            </w:r>
            <w:r w:rsidR="008654DE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,00</w:t>
            </w:r>
            <w:r w:rsidR="00E14D6F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0</w:t>
            </w:r>
          </w:p>
        </w:tc>
      </w:tr>
      <w:tr w14:paraId="210D7C35" w14:textId="77777777" w:rsidTr="00BB601D">
        <w:tblPrEx>
          <w:tblW w:w="10031" w:type="dxa"/>
          <w:tblInd w:w="0" w:type="dxa"/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  <w:tblLook w:val="04A0"/>
        </w:tblPrEx>
        <w:tc>
          <w:tcPr>
            <w:tcW w:w="2235" w:type="dxa"/>
          </w:tcPr>
          <w:p w:rsidR="00BC40E7" w:rsidRPr="00BC40E7" w:rsidP="0023611C" w14:paraId="210D7C30" w14:textId="77777777">
            <w:pPr>
              <w:spacing w:after="0" w:line="240" w:lineRule="auto"/>
              <w:rPr>
                <w:rStyle w:val="DefaultParagraphFont"/>
                <w:rFonts w:ascii="Corbel" w:eastAsia="Times New Roman" w:hAnsi="Corbel" w:cs="Times New Roman"/>
                <w:b/>
                <w:sz w:val="20"/>
                <w:szCs w:val="20"/>
                <w:lang w:val="en-AU" w:eastAsia="en-AU" w:bidi="ar-SA"/>
              </w:rPr>
            </w:pPr>
          </w:p>
        </w:tc>
        <w:tc>
          <w:tcPr>
            <w:tcW w:w="5103" w:type="dxa"/>
          </w:tcPr>
          <w:p w:rsidR="00BC40E7" w:rsidP="00D26F62" w14:paraId="210D7C31" w14:textId="77777777">
            <w:pPr>
              <w:spacing w:after="0" w:line="240" w:lineRule="auto"/>
              <w:rPr>
                <w:rStyle w:val="DefaultParagraphFont"/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>Stage 3 – stakeholder eng</w:t>
            </w:r>
            <w:r w:rsidR="008654DE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>agement and option selection</w:t>
            </w:r>
            <w:r w:rsidR="006F4405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>,</w:t>
            </w:r>
            <w:r w:rsidR="005915E5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 xml:space="preserve"> </w:t>
            </w:r>
            <w:r w:rsidR="00361F6A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 xml:space="preserve">and the final feasibility </w:t>
            </w:r>
            <w:r w:rsidR="005915E5">
              <w:rPr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  <w:t>report</w:t>
            </w:r>
          </w:p>
          <w:p w:rsidR="005915E5" w:rsidP="00D26F62" w14:paraId="210D7C32" w14:textId="77777777">
            <w:pPr>
              <w:spacing w:after="0" w:line="240" w:lineRule="auto"/>
              <w:rPr>
                <w:rStyle w:val="DefaultParagraphFont"/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</w:pPr>
          </w:p>
        </w:tc>
        <w:tc>
          <w:tcPr>
            <w:tcW w:w="1275" w:type="dxa"/>
          </w:tcPr>
          <w:p w:rsidR="00BC40E7" w:rsidP="00BC40E7" w14:paraId="210D7C33" w14:textId="085E2667">
            <w:pPr>
              <w:pStyle w:val="Heading2"/>
              <w:keepNext/>
              <w:keepLines/>
              <w:spacing w:before="200" w:after="200" w:line="240" w:lineRule="auto"/>
              <w:outlineLvl w:val="1"/>
              <w:rPr>
                <w:rStyle w:val="DefaultParagraphFont"/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</w:pPr>
            <w:r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10</w:t>
            </w:r>
            <w:r w:rsidR="00470046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/20</w:t>
            </w:r>
            <w:r w:rsidR="00C34651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20</w:t>
            </w:r>
          </w:p>
        </w:tc>
        <w:tc>
          <w:tcPr>
            <w:tcW w:w="1418" w:type="dxa"/>
          </w:tcPr>
          <w:p w:rsidR="00BC40E7" w:rsidRPr="000A0FE9" w:rsidP="00D80514" w14:paraId="210D7C34" w14:textId="77777777">
            <w:pPr>
              <w:pStyle w:val="Heading2"/>
              <w:keepNext/>
              <w:keepLines/>
              <w:spacing w:before="200" w:after="200" w:line="240" w:lineRule="auto"/>
              <w:outlineLvl w:val="1"/>
              <w:rPr>
                <w:rStyle w:val="DefaultParagraphFont"/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</w:pPr>
            <w:r w:rsidRPr="000A0FE9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$</w:t>
            </w:r>
            <w:r w:rsidR="00D80514"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250</w:t>
            </w:r>
            <w:r>
              <w:rPr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  <w:t>,000</w:t>
            </w:r>
          </w:p>
        </w:tc>
      </w:tr>
      <w:tr w14:paraId="210D7C3C" w14:textId="77777777" w:rsidTr="00BB601D">
        <w:tblPrEx>
          <w:tblW w:w="10031" w:type="dxa"/>
          <w:tblInd w:w="0" w:type="dxa"/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  <w:tblLook w:val="04A0"/>
        </w:tblPrEx>
        <w:tc>
          <w:tcPr>
            <w:tcW w:w="2235" w:type="dxa"/>
          </w:tcPr>
          <w:p w:rsidR="00D26F62" w:rsidRPr="00F95A99" w:rsidP="0023611C" w14:paraId="210D7C36" w14:textId="77777777">
            <w:pPr>
              <w:spacing w:after="0" w:line="240" w:lineRule="auto"/>
              <w:rPr>
                <w:rStyle w:val="DefaultParagraphFont"/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</w:pPr>
          </w:p>
        </w:tc>
        <w:tc>
          <w:tcPr>
            <w:tcW w:w="5103" w:type="dxa"/>
          </w:tcPr>
          <w:p w:rsidR="00D26F62" w:rsidP="00D26F62" w14:paraId="210D7C37" w14:textId="77777777">
            <w:pPr>
              <w:pStyle w:val="ListParagraph"/>
              <w:spacing w:after="0" w:line="240" w:lineRule="auto"/>
              <w:ind w:left="720"/>
              <w:contextualSpacing/>
              <w:rPr>
                <w:rStyle w:val="DefaultParagraphFont"/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</w:pPr>
          </w:p>
          <w:p w:rsidR="00D26F62" w:rsidP="00D26F62" w14:paraId="210D7C38" w14:textId="77777777">
            <w:pPr>
              <w:pStyle w:val="ListParagraph"/>
              <w:spacing w:after="0" w:line="240" w:lineRule="auto"/>
              <w:ind w:left="720"/>
              <w:contextualSpacing/>
              <w:rPr>
                <w:rStyle w:val="DefaultParagraphFont"/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</w:pPr>
          </w:p>
          <w:p w:rsidR="00D26F62" w:rsidP="00D26F62" w14:paraId="210D7C39" w14:textId="77777777">
            <w:pPr>
              <w:pStyle w:val="ListParagraph"/>
              <w:spacing w:after="0" w:line="240" w:lineRule="auto"/>
              <w:ind w:left="720"/>
              <w:contextualSpacing/>
              <w:rPr>
                <w:rStyle w:val="DefaultParagraphFont"/>
                <w:rFonts w:ascii="Corbel" w:eastAsia="Times New Roman" w:hAnsi="Corbel" w:cs="Times New Roman"/>
                <w:sz w:val="20"/>
                <w:szCs w:val="20"/>
                <w:lang w:val="en-AU" w:eastAsia="en-AU" w:bidi="ar-SA"/>
              </w:rPr>
            </w:pPr>
          </w:p>
        </w:tc>
        <w:tc>
          <w:tcPr>
            <w:tcW w:w="1275" w:type="dxa"/>
          </w:tcPr>
          <w:p w:rsidR="00D26F62" w:rsidP="003C6C98" w14:paraId="210D7C3A" w14:textId="77777777">
            <w:pPr>
              <w:pStyle w:val="Heading2"/>
              <w:keepNext/>
              <w:keepLines/>
              <w:spacing w:before="200" w:after="200" w:line="240" w:lineRule="auto"/>
              <w:outlineLvl w:val="1"/>
              <w:rPr>
                <w:rStyle w:val="DefaultParagraphFont"/>
                <w:rFonts w:ascii="Corbel" w:eastAsia="Times New Roman" w:hAnsi="Corbel" w:cs="Times New Roman"/>
                <w:b w:val="0"/>
                <w:bCs w:val="0"/>
                <w:color w:val="auto"/>
                <w:sz w:val="20"/>
                <w:szCs w:val="20"/>
                <w:lang w:val="en-AU" w:eastAsia="en-AU" w:bidi="ar-SA"/>
              </w:rPr>
            </w:pPr>
            <w:r>
              <w:rPr>
                <w:rFonts w:ascii="Corbel" w:eastAsia="Times New Roman" w:hAnsi="Corbel" w:cs="Times New Roman"/>
                <w:b/>
                <w:bCs/>
                <w:color w:val="4F81BD"/>
                <w:sz w:val="20"/>
                <w:szCs w:val="20"/>
                <w:lang w:val="en-AU" w:eastAsia="en-AU" w:bidi="ar-SA"/>
              </w:rPr>
              <w:t>TOTAL</w:t>
            </w:r>
          </w:p>
        </w:tc>
        <w:tc>
          <w:tcPr>
            <w:tcW w:w="1418" w:type="dxa"/>
          </w:tcPr>
          <w:p w:rsidR="00D26F62" w:rsidRPr="00D26F62" w:rsidP="00831FA2" w14:paraId="210D7C3B" w14:textId="7844B2CD">
            <w:pPr>
              <w:pStyle w:val="Heading2"/>
              <w:keepNext/>
              <w:keepLines/>
              <w:spacing w:before="200" w:after="200" w:line="240" w:lineRule="auto"/>
              <w:outlineLvl w:val="1"/>
              <w:rPr>
                <w:rStyle w:val="DefaultParagraphFont"/>
                <w:rFonts w:ascii="Corbel" w:eastAsia="Times New Roman" w:hAnsi="Corbel" w:cs="Times New Roman"/>
                <w:b/>
                <w:bCs w:val="0"/>
                <w:color w:val="auto"/>
                <w:sz w:val="20"/>
                <w:szCs w:val="20"/>
                <w:lang w:val="en-AU" w:eastAsia="en-AU" w:bidi="ar-SA"/>
              </w:rPr>
            </w:pPr>
            <w:r w:rsidRPr="00D26F62">
              <w:rPr>
                <w:rFonts w:ascii="Corbel" w:eastAsia="Times New Roman" w:hAnsi="Corbel" w:cs="Times New Roman"/>
                <w:b/>
                <w:bCs w:val="0"/>
                <w:color w:val="auto"/>
                <w:sz w:val="20"/>
                <w:szCs w:val="20"/>
                <w:lang w:val="en-AU" w:eastAsia="en-AU" w:bidi="ar-SA"/>
              </w:rPr>
              <w:t>$</w:t>
            </w:r>
            <w:r w:rsidR="00831FA2">
              <w:rPr>
                <w:rFonts w:ascii="Corbel" w:eastAsia="Times New Roman" w:hAnsi="Corbel" w:cs="Times New Roman"/>
                <w:b/>
                <w:bCs w:val="0"/>
                <w:color w:val="auto"/>
                <w:sz w:val="20"/>
                <w:szCs w:val="20"/>
                <w:lang w:val="en-AU" w:eastAsia="en-AU" w:bidi="ar-SA"/>
              </w:rPr>
              <w:t>500</w:t>
            </w:r>
            <w:r w:rsidR="008654DE">
              <w:rPr>
                <w:rFonts w:ascii="Corbel" w:eastAsia="Times New Roman" w:hAnsi="Corbel" w:cs="Times New Roman"/>
                <w:b/>
                <w:bCs w:val="0"/>
                <w:color w:val="auto"/>
                <w:sz w:val="20"/>
                <w:szCs w:val="20"/>
                <w:lang w:val="en-AU" w:eastAsia="en-AU" w:bidi="ar-SA"/>
              </w:rPr>
              <w:t>,00</w:t>
            </w:r>
            <w:r w:rsidR="00E14D6F">
              <w:rPr>
                <w:rFonts w:ascii="Corbel" w:eastAsia="Times New Roman" w:hAnsi="Corbel" w:cs="Times New Roman"/>
                <w:b/>
                <w:bCs w:val="0"/>
                <w:color w:val="auto"/>
                <w:sz w:val="20"/>
                <w:szCs w:val="20"/>
                <w:lang w:val="en-AU" w:eastAsia="en-AU" w:bidi="ar-SA"/>
              </w:rPr>
              <w:t>0</w:t>
            </w:r>
          </w:p>
        </w:tc>
      </w:tr>
    </w:tbl>
    <w:p w:rsidR="0023611C" w14:paraId="210D7C3D" w14:textId="77777777"/>
    <w:p w:rsidR="00396D84" w:rsidP="002D327C" w14:paraId="210D7C3E" w14:textId="77777777">
      <w:pPr>
        <w:pStyle w:val="Normalnumbered"/>
        <w:numPr>
          <w:ilvl w:val="0"/>
          <w:numId w:val="1"/>
        </w:numPr>
        <w:tabs>
          <w:tab w:val="num" w:pos="284"/>
          <w:tab w:val="clear" w:pos="567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>New South Wales</w:t>
      </w:r>
      <w:r w:rsidR="002D327C">
        <w:rPr>
          <w:rFonts w:ascii="Corbel" w:hAnsi="Corbel"/>
        </w:rPr>
        <w:t xml:space="preserve"> will be responsible for ensuring that </w:t>
      </w:r>
      <w:r w:rsidR="00EF2FD6">
        <w:rPr>
          <w:rFonts w:ascii="Corbel" w:hAnsi="Corbel"/>
        </w:rPr>
        <w:t xml:space="preserve">completion of </w:t>
      </w:r>
      <w:r w:rsidR="002D327C">
        <w:rPr>
          <w:rFonts w:ascii="Corbel" w:hAnsi="Corbel"/>
        </w:rPr>
        <w:t xml:space="preserve">the Feasibility Study and </w:t>
      </w:r>
      <w:r w:rsidR="007753F7">
        <w:rPr>
          <w:rFonts w:ascii="Corbel" w:hAnsi="Corbel"/>
        </w:rPr>
        <w:t>the viable options</w:t>
      </w:r>
      <w:r w:rsidR="002D327C">
        <w:rPr>
          <w:rFonts w:ascii="Corbel" w:hAnsi="Corbel"/>
        </w:rPr>
        <w:t xml:space="preserve"> proposal provides relevant information as the basis for decision making in accordance with clause </w:t>
      </w:r>
      <w:r w:rsidR="007753F7">
        <w:rPr>
          <w:rFonts w:ascii="Corbel" w:hAnsi="Corbel"/>
        </w:rPr>
        <w:t xml:space="preserve">23 </w:t>
      </w:r>
      <w:r w:rsidR="002D327C">
        <w:rPr>
          <w:rFonts w:ascii="Corbel" w:hAnsi="Corbel"/>
        </w:rPr>
        <w:t xml:space="preserve">of </w:t>
      </w:r>
      <w:r w:rsidR="007753F7">
        <w:rPr>
          <w:rFonts w:ascii="Corbel" w:hAnsi="Corbel"/>
        </w:rPr>
        <w:t>the Agreement</w:t>
      </w:r>
      <w:r w:rsidR="002D327C">
        <w:rPr>
          <w:rFonts w:ascii="Corbel" w:hAnsi="Corbel"/>
        </w:rPr>
        <w:t>.</w:t>
      </w:r>
      <w:r w:rsidR="00EF2FD6">
        <w:rPr>
          <w:rFonts w:ascii="Corbel" w:hAnsi="Corbel"/>
        </w:rPr>
        <w:t xml:space="preserve"> This will include costings for the development of the business case and </w:t>
      </w:r>
      <w:r w:rsidR="00235F63">
        <w:rPr>
          <w:rFonts w:ascii="Corbel" w:hAnsi="Corbel"/>
        </w:rPr>
        <w:t xml:space="preserve">preliminary </w:t>
      </w:r>
      <w:r w:rsidR="00EF2FD6">
        <w:rPr>
          <w:rFonts w:ascii="Corbel" w:hAnsi="Corbel"/>
        </w:rPr>
        <w:t>cost</w:t>
      </w:r>
      <w:r w:rsidR="007753F7">
        <w:rPr>
          <w:rFonts w:ascii="Corbel" w:hAnsi="Corbel"/>
        </w:rPr>
        <w:t xml:space="preserve"> estimates</w:t>
      </w:r>
      <w:r w:rsidR="00EF2FD6">
        <w:rPr>
          <w:rFonts w:ascii="Corbel" w:hAnsi="Corbel"/>
        </w:rPr>
        <w:t xml:space="preserve"> for implementation of project</w:t>
      </w:r>
      <w:r w:rsidR="007753F7">
        <w:rPr>
          <w:rFonts w:ascii="Corbel" w:hAnsi="Corbel"/>
        </w:rPr>
        <w:t>s</w:t>
      </w:r>
      <w:r w:rsidR="00EF2FD6">
        <w:rPr>
          <w:rFonts w:ascii="Corbel" w:hAnsi="Corbel"/>
        </w:rPr>
        <w:t>.</w:t>
      </w:r>
    </w:p>
    <w:p w:rsidR="00235F63" w:rsidP="002D327C" w14:paraId="210D7C3F" w14:textId="77777777">
      <w:pPr>
        <w:pStyle w:val="Normalnumbered"/>
        <w:numPr>
          <w:ilvl w:val="0"/>
          <w:numId w:val="1"/>
        </w:numPr>
        <w:tabs>
          <w:tab w:val="num" w:pos="284"/>
          <w:tab w:val="clear" w:pos="567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>T</w:t>
      </w:r>
      <w:r>
        <w:rPr>
          <w:rFonts w:ascii="Corbel" w:hAnsi="Corbel"/>
        </w:rPr>
        <w:t>he Commonwealth agrees,</w:t>
      </w:r>
      <w:r>
        <w:rPr>
          <w:rFonts w:ascii="Corbel" w:hAnsi="Corbel"/>
        </w:rPr>
        <w:t xml:space="preserve"> </w:t>
      </w:r>
      <w:r>
        <w:rPr>
          <w:rFonts w:ascii="Corbel" w:hAnsi="Corbel"/>
        </w:rPr>
        <w:t>in line with clause 41 of the Project Agreement</w:t>
      </w:r>
      <w:r>
        <w:rPr>
          <w:rFonts w:ascii="Corbel" w:hAnsi="Corbel"/>
        </w:rPr>
        <w:t>,</w:t>
      </w:r>
      <w:r>
        <w:rPr>
          <w:rFonts w:ascii="Corbel" w:hAnsi="Corbel"/>
        </w:rPr>
        <w:t xml:space="preserve"> that costs associated with LWU proposals will be assigned pro-rata using the following formula:</w:t>
      </w:r>
    </w:p>
    <w:p w:rsidR="00235F63" w:rsidP="00401025" w14:paraId="210D7C40" w14:textId="77777777">
      <w:pPr>
        <w:pStyle w:val="Normalnumbered"/>
        <w:tabs>
          <w:tab w:val="clear" w:pos="567"/>
        </w:tabs>
        <w:spacing w:after="240" w:line="260" w:lineRule="exact"/>
        <w:ind w:hanging="141"/>
        <w:jc w:val="both"/>
        <w:rPr>
          <w:rFonts w:ascii="Corbel" w:hAnsi="Corbel"/>
        </w:rPr>
      </w:pPr>
      <w:r>
        <w:rPr>
          <w:rFonts w:ascii="Corbel" w:hAnsi="Corbel"/>
        </w:rPr>
        <w:t xml:space="preserve">(approximately) </w:t>
      </w:r>
      <w:r w:rsidR="000B5CE0">
        <w:rPr>
          <w:rFonts w:ascii="Corbel" w:hAnsi="Corbel"/>
        </w:rPr>
        <w:t xml:space="preserve">70 x Local Water Utilities </w:t>
      </w:r>
      <w:r w:rsidR="00EE0247">
        <w:rPr>
          <w:rFonts w:ascii="Corbel" w:hAnsi="Corbel"/>
        </w:rPr>
        <w:t xml:space="preserve">(or sub-projects) </w:t>
      </w:r>
    </w:p>
    <w:p w:rsidR="00235F63" w:rsidP="00401025" w14:paraId="210D7C41" w14:textId="7E8C484C">
      <w:pPr>
        <w:pStyle w:val="Normalnumbered"/>
        <w:tabs>
          <w:tab w:val="clear" w:pos="567"/>
        </w:tabs>
        <w:spacing w:after="240" w:line="260" w:lineRule="exact"/>
        <w:ind w:hanging="141"/>
        <w:jc w:val="both"/>
        <w:rPr>
          <w:rFonts w:ascii="Corbel" w:hAnsi="Corbel"/>
        </w:rPr>
      </w:pPr>
      <w:r>
        <w:rPr>
          <w:rFonts w:ascii="Corbel" w:hAnsi="Corbel"/>
        </w:rPr>
        <w:t xml:space="preserve">will be </w:t>
      </w:r>
      <w:r w:rsidR="000B5CE0">
        <w:rPr>
          <w:rFonts w:ascii="Corbel" w:hAnsi="Corbel"/>
        </w:rPr>
        <w:t xml:space="preserve">divided by the total of </w:t>
      </w:r>
      <w:r>
        <w:rPr>
          <w:rFonts w:ascii="Corbel" w:hAnsi="Corbel"/>
        </w:rPr>
        <w:t xml:space="preserve">the </w:t>
      </w:r>
      <w:r w:rsidR="000B5CE0">
        <w:rPr>
          <w:rFonts w:ascii="Corbel" w:hAnsi="Corbel"/>
        </w:rPr>
        <w:t xml:space="preserve">available funding </w:t>
      </w:r>
      <w:r>
        <w:rPr>
          <w:rFonts w:ascii="Corbel" w:hAnsi="Corbel"/>
        </w:rPr>
        <w:t>$</w:t>
      </w:r>
      <w:r w:rsidR="00831FA2">
        <w:rPr>
          <w:rFonts w:ascii="Corbel" w:hAnsi="Corbel"/>
        </w:rPr>
        <w:t>50</w:t>
      </w:r>
      <w:r>
        <w:rPr>
          <w:rFonts w:ascii="Corbel" w:hAnsi="Corbel"/>
        </w:rPr>
        <w:t xml:space="preserve">0,000 </w:t>
      </w:r>
    </w:p>
    <w:p w:rsidR="000B5CE0" w:rsidP="00235F63" w14:paraId="210D7C42" w14:textId="252F1125">
      <w:pPr>
        <w:pStyle w:val="Normalnumbered"/>
        <w:tabs>
          <w:tab w:val="clear" w:pos="567"/>
        </w:tabs>
        <w:spacing w:after="240" w:line="260" w:lineRule="exact"/>
        <w:ind w:hanging="141"/>
        <w:jc w:val="both"/>
        <w:rPr>
          <w:rFonts w:ascii="Corbel" w:hAnsi="Corbel"/>
        </w:rPr>
      </w:pPr>
      <w:r>
        <w:rPr>
          <w:rFonts w:ascii="Corbel" w:hAnsi="Corbel"/>
        </w:rPr>
        <w:t xml:space="preserve">to provide </w:t>
      </w:r>
      <w:r>
        <w:rPr>
          <w:rFonts w:ascii="Corbel" w:hAnsi="Corbel"/>
        </w:rPr>
        <w:t>$</w:t>
      </w:r>
      <w:r w:rsidR="00831FA2">
        <w:rPr>
          <w:rFonts w:ascii="Corbel" w:hAnsi="Corbel"/>
        </w:rPr>
        <w:t>50</w:t>
      </w:r>
      <w:r>
        <w:rPr>
          <w:rFonts w:ascii="Corbel" w:hAnsi="Corbel"/>
        </w:rPr>
        <w:t xml:space="preserve">0,000 / 70 = </w:t>
      </w:r>
      <w:r w:rsidR="00EE0247">
        <w:rPr>
          <w:rFonts w:ascii="Corbel" w:hAnsi="Corbel"/>
        </w:rPr>
        <w:t>$</w:t>
      </w:r>
      <w:r w:rsidR="00831FA2">
        <w:rPr>
          <w:rFonts w:ascii="Corbel" w:hAnsi="Corbel"/>
        </w:rPr>
        <w:t>7</w:t>
      </w:r>
      <w:r w:rsidR="00EE0247">
        <w:rPr>
          <w:rFonts w:ascii="Corbel" w:hAnsi="Corbel"/>
        </w:rPr>
        <w:t>,</w:t>
      </w:r>
      <w:r w:rsidR="00831FA2">
        <w:rPr>
          <w:rFonts w:ascii="Corbel" w:hAnsi="Corbel"/>
        </w:rPr>
        <w:t>143</w:t>
      </w:r>
      <w:r w:rsidR="00EE0247">
        <w:rPr>
          <w:rFonts w:ascii="Corbel" w:hAnsi="Corbel"/>
        </w:rPr>
        <w:t xml:space="preserve"> per sub-project.</w:t>
      </w:r>
    </w:p>
    <w:p w:rsidR="006B390A" w:rsidP="00401025" w14:paraId="210D7C43" w14:textId="77777777">
      <w:pPr>
        <w:pStyle w:val="Normalnumbered"/>
        <w:tabs>
          <w:tab w:val="clear" w:pos="567"/>
        </w:tabs>
        <w:spacing w:after="240" w:line="260" w:lineRule="exact"/>
        <w:ind w:left="284" w:firstLine="0"/>
        <w:jc w:val="both"/>
        <w:rPr>
          <w:rFonts w:ascii="Corbel" w:hAnsi="Corbel"/>
        </w:rPr>
      </w:pPr>
    </w:p>
    <w:p w:rsidR="00EF2FD6" w:rsidP="00EF2FD6" w14:paraId="210D7C44" w14:textId="77777777">
      <w:pPr>
        <w:pStyle w:val="Normalnumbered"/>
        <w:tabs>
          <w:tab w:val="clear" w:pos="567"/>
        </w:tabs>
        <w:spacing w:after="240" w:line="260" w:lineRule="exact"/>
        <w:ind w:left="284" w:firstLine="0"/>
        <w:jc w:val="both"/>
        <w:rPr>
          <w:rFonts w:ascii="Corbel" w:hAnsi="Corbel"/>
        </w:rPr>
      </w:pPr>
    </w:p>
    <w:p w:rsidR="00396D84" w14:paraId="210D7C45" w14:textId="77777777">
      <w:pPr>
        <w:spacing w:after="160" w:line="259" w:lineRule="auto"/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AB7E4A" w:rsidRPr="00220B47" w:rsidP="009F3539" w14:paraId="210D7C46" w14:textId="77777777">
      <w:pPr>
        <w:spacing w:after="160" w:line="259" w:lineRule="auto"/>
        <w:rPr>
          <w:rFonts w:ascii="Consolas" w:hAnsi="Consolas" w:cs="Arial"/>
          <w:caps/>
          <w:color w:val="3D4B67"/>
          <w:kern w:val="32"/>
          <w:sz w:val="32"/>
          <w:szCs w:val="36"/>
        </w:rPr>
      </w:pPr>
      <w:r w:rsidRPr="00220B47">
        <w:rPr>
          <w:rFonts w:ascii="Consolas" w:hAnsi="Consolas" w:cs="Arial"/>
          <w:caps/>
          <w:color w:val="3D4B67"/>
          <w:kern w:val="32"/>
          <w:sz w:val="32"/>
          <w:szCs w:val="36"/>
        </w:rPr>
        <w:t>Sign off</w:t>
      </w:r>
    </w:p>
    <w:p w:rsidR="00AB7E4A" w:rsidP="00AB7E4A" w14:paraId="210D7C47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 w:rsidRPr="00AC328D">
        <w:rPr>
          <w:rFonts w:ascii="Corbel" w:hAnsi="Corbel" w:cs="Calibri"/>
          <w:szCs w:val="23"/>
          <w:lang w:val="en-GB"/>
        </w:rPr>
        <w:t>The Parties have confirmed their commitment to this Schedule as follows:</w:t>
      </w:r>
    </w:p>
    <w:p w:rsidR="00D56365" w:rsidP="00AB7E4A" w14:paraId="210D7C48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Signed </w:t>
      </w:r>
      <w:r>
        <w:rPr>
          <w:rFonts w:ascii="Corbel" w:hAnsi="Corbel" w:cs="Calibri"/>
          <w:i/>
          <w:szCs w:val="23"/>
          <w:lang w:val="en-GB"/>
        </w:rPr>
        <w:t>for and on behalf of the Commonwealth of Australia by</w:t>
      </w:r>
    </w:p>
    <w:p w:rsidR="00D56365" w:rsidRPr="00D56365" w:rsidP="00D56365" w14:paraId="210D7C49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P="00D56365" w14:paraId="210D7C4A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P="00D56365" w14:paraId="210D7C4B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P="00D56365" w14:paraId="210D7C4C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__________________________________________</w:t>
      </w:r>
    </w:p>
    <w:p w:rsidR="00D56365" w:rsidP="00AB7E4A" w14:paraId="210D7C4D" w14:textId="77777777">
      <w:pPr>
        <w:spacing w:after="240" w:line="260" w:lineRule="exact"/>
        <w:jc w:val="both"/>
        <w:rPr>
          <w:rFonts w:ascii="Corbel" w:hAnsi="Corbel" w:cs="Calibri"/>
          <w:b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The Honourable </w:t>
      </w:r>
      <w:r w:rsidR="005155E9">
        <w:rPr>
          <w:rFonts w:ascii="Corbel" w:hAnsi="Corbel" w:cs="Calibri"/>
          <w:b/>
          <w:szCs w:val="23"/>
          <w:lang w:val="en-GB"/>
        </w:rPr>
        <w:t>David Littleproud</w:t>
      </w:r>
      <w:r>
        <w:rPr>
          <w:rFonts w:ascii="Corbel" w:hAnsi="Corbel" w:cs="Calibri"/>
          <w:b/>
          <w:szCs w:val="23"/>
          <w:lang w:val="en-GB"/>
        </w:rPr>
        <w:t xml:space="preserve"> MP</w:t>
      </w:r>
    </w:p>
    <w:p w:rsidR="00D56365" w:rsidP="00AB7E4A" w14:paraId="210D7C4E" w14:textId="4689B31C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Minister for Water Resources</w:t>
      </w:r>
    </w:p>
    <w:p w:rsidR="00D56365" w:rsidP="00AB7E4A" w14:paraId="210D7C4F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Date:</w:t>
      </w:r>
    </w:p>
    <w:p w:rsidR="00D56365" w:rsidP="00AB7E4A" w14:paraId="210D7C50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P="00AB7E4A" w14:paraId="210D7C51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Pr="00401025" w:rsidP="00401025" w14:paraId="210D7C52" w14:textId="77777777">
      <w:pPr>
        <w:spacing w:after="240" w:line="260" w:lineRule="exact"/>
        <w:jc w:val="both"/>
        <w:rPr>
          <w:rFonts w:ascii="Corbel" w:hAnsi="Corbel" w:cs="Calibri"/>
          <w:i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>Signed</w:t>
      </w:r>
      <w:r w:rsidRPr="00401025">
        <w:rPr>
          <w:rFonts w:ascii="Corbel" w:hAnsi="Corbel" w:cs="Calibri"/>
          <w:szCs w:val="23"/>
          <w:lang w:val="en-GB"/>
        </w:rPr>
        <w:t xml:space="preserve"> </w:t>
      </w:r>
      <w:r w:rsidRPr="00401025">
        <w:rPr>
          <w:rFonts w:ascii="Corbel" w:hAnsi="Corbel" w:cs="Calibri"/>
          <w:i/>
          <w:szCs w:val="23"/>
          <w:lang w:val="en-GB"/>
        </w:rPr>
        <w:t xml:space="preserve">for and on behalf of the State of </w:t>
      </w:r>
      <w:r w:rsidRPr="00401025" w:rsidR="00F74773">
        <w:rPr>
          <w:rFonts w:ascii="Corbel" w:hAnsi="Corbel" w:cs="Calibri"/>
          <w:i/>
          <w:szCs w:val="23"/>
          <w:lang w:val="en-GB"/>
        </w:rPr>
        <w:t>New South Wales</w:t>
      </w:r>
      <w:r w:rsidRPr="00401025">
        <w:rPr>
          <w:rFonts w:ascii="Corbel" w:hAnsi="Corbel" w:cs="Calibri"/>
          <w:i/>
          <w:szCs w:val="23"/>
          <w:lang w:val="en-GB"/>
        </w:rPr>
        <w:t xml:space="preserve"> by</w:t>
      </w:r>
      <w:r w:rsidRPr="00401025" w:rsidR="00401025">
        <w:rPr>
          <w:rFonts w:ascii="Corbel" w:hAnsi="Corbel" w:cs="Calibri"/>
          <w:i/>
          <w:szCs w:val="23"/>
          <w:lang w:val="en-GB"/>
        </w:rPr>
        <w:t xml:space="preserve">                 </w:t>
      </w:r>
    </w:p>
    <w:p w:rsidR="00D56365" w:rsidRPr="00D56365" w:rsidP="00AB7E4A" w14:paraId="210D7C53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P="00AB7E4A" w14:paraId="210D7C54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P="00AB7E4A" w14:paraId="210D7C55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P="00D56365" w14:paraId="210D7C56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__________________________________________</w:t>
      </w:r>
    </w:p>
    <w:p w:rsidR="00D56365" w:rsidP="00D56365" w14:paraId="210D7C57" w14:textId="77777777">
      <w:pPr>
        <w:spacing w:after="240" w:line="260" w:lineRule="exact"/>
        <w:jc w:val="both"/>
        <w:rPr>
          <w:rFonts w:ascii="Corbel" w:hAnsi="Corbel" w:cs="Calibri"/>
          <w:b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The Honourable </w:t>
      </w:r>
      <w:r w:rsidR="00F74773">
        <w:rPr>
          <w:rFonts w:ascii="Corbel" w:hAnsi="Corbel" w:cs="Calibri"/>
          <w:b/>
          <w:szCs w:val="23"/>
          <w:lang w:val="en-GB"/>
        </w:rPr>
        <w:t>Melinda Pavey</w:t>
      </w:r>
      <w:r w:rsidR="00A12528">
        <w:rPr>
          <w:rFonts w:ascii="Corbel" w:hAnsi="Corbel" w:cs="Calibri"/>
          <w:b/>
          <w:szCs w:val="23"/>
          <w:lang w:val="en-GB"/>
        </w:rPr>
        <w:t xml:space="preserve"> MP</w:t>
      </w:r>
    </w:p>
    <w:p w:rsidR="00D56365" w:rsidP="00D56365" w14:paraId="210D7C58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 xml:space="preserve">Minister for </w:t>
      </w:r>
      <w:r w:rsidRPr="00401025" w:rsidR="00A12528">
        <w:rPr>
          <w:rFonts w:ascii="Corbel" w:hAnsi="Corbel" w:cs="Calibri"/>
          <w:szCs w:val="23"/>
          <w:lang w:val="en-GB"/>
        </w:rPr>
        <w:t>Water</w:t>
      </w:r>
      <w:r w:rsidR="00401025">
        <w:rPr>
          <w:rFonts w:ascii="Corbel" w:hAnsi="Corbel" w:cs="Calibri"/>
          <w:szCs w:val="23"/>
          <w:lang w:val="en-GB"/>
        </w:rPr>
        <w:t>, Property and Housing</w:t>
      </w:r>
    </w:p>
    <w:p w:rsidR="00D56365" w:rsidRPr="00AC328D" w:rsidP="00AB7E4A" w14:paraId="210D7C59" w14:textId="77777777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Date:</w:t>
      </w:r>
    </w:p>
    <w:sectPr w:rsidSect="000A7B77">
      <w:headerReference w:type="default" r:id="rId8"/>
      <w:footerReference w:type="default" r:id="rId9"/>
      <w:headerReference w:type="first" r:id="rId10"/>
      <w:pgSz w:w="11907" w:h="16839" w:code="9"/>
      <w:pgMar w:top="1134" w:right="1134" w:bottom="1134" w:left="1134" w:header="624" w:footer="624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5A99" w:rsidP="00376533" w14:paraId="210D7C60" w14:textId="77777777">
    <w:pPr>
      <w:pStyle w:val="FooterOdd"/>
      <w:keepNext/>
      <w:tabs>
        <w:tab w:val="num" w:pos="567"/>
      </w:tabs>
      <w:rPr>
        <w:rStyle w:val="FooterChar"/>
      </w:rPr>
    </w:pPr>
    <w:r>
      <w:t xml:space="preserve">Page </w:t>
    </w:r>
    <w:r w:rsidR="00EE363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E363C">
      <w:rPr>
        <w:rStyle w:val="PageNumber"/>
      </w:rPr>
      <w:fldChar w:fldCharType="separate"/>
    </w:r>
    <w:r w:rsidR="00580F1C">
      <w:rPr>
        <w:rStyle w:val="PageNumber"/>
        <w:noProof/>
      </w:rPr>
      <w:t>2</w:t>
    </w:r>
    <w:r w:rsidR="00EE363C"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5A99" w:rsidP="00376533" w14:paraId="210D7C5F" w14:textId="5CB970A8">
    <w:pPr>
      <w:pStyle w:val="HeaderOdd"/>
      <w:tabs>
        <w:tab w:val="num" w:pos="1134"/>
      </w:tabs>
    </w:pPr>
    <w:r>
      <w:rPr>
        <w:color w:val="800000"/>
      </w:rPr>
      <w:t xml:space="preserve">Schedule </w:t>
    </w:r>
    <w:r w:rsidR="00C34651">
      <w:rPr>
        <w:color w:val="800000"/>
      </w:rPr>
      <w:t>1a</w:t>
    </w:r>
    <w:r>
      <w:rPr>
        <w:color w:val="800000"/>
      </w:rPr>
      <w:t xml:space="preserve"> to the </w:t>
    </w:r>
    <w:r w:rsidR="00C34651">
      <w:rPr>
        <w:color w:val="800000"/>
      </w:rPr>
      <w:t xml:space="preserve">NSW </w:t>
    </w:r>
    <w:r>
      <w:rPr>
        <w:color w:val="800000"/>
      </w:rPr>
      <w:t xml:space="preserve">Project Agreement for </w:t>
    </w:r>
    <w:r w:rsidR="005155E9">
      <w:rPr>
        <w:color w:val="800000"/>
      </w:rPr>
      <w:t xml:space="preserve">the </w:t>
    </w:r>
    <w:r w:rsidR="00C34651">
      <w:rPr>
        <w:color w:val="800000"/>
      </w:rPr>
      <w:t>MDB Local Water Utilities</w:t>
    </w:r>
    <w:r w:rsidR="00F670FF">
      <w:rPr>
        <w:color w:val="800000"/>
      </w:rPr>
      <w:t xml:space="preserve"> </w:t>
    </w:r>
    <w:r w:rsidR="005155E9">
      <w:rPr>
        <w:color w:val="800000"/>
      </w:rPr>
      <w:t>Efficiency Measures Project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95A99" w:rsidRPr="00456180" w:rsidP="00456180" w14:paraId="210D7C61" w14:textId="0450E5F8">
    <w:pPr>
      <w:pStyle w:val="Header"/>
      <w:ind w:firstLine="2880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2814E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3A20B8"/>
    <w:multiLevelType w:val="hybridMultilevel"/>
    <w:tmpl w:val="DC88C78E"/>
    <w:lvl w:ilvl="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39671D"/>
    <w:multiLevelType w:val="hybridMultilevel"/>
    <w:tmpl w:val="1FA421E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201775"/>
    <w:multiLevelType w:val="hybridMultilevel"/>
    <w:tmpl w:val="345E43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84FFE"/>
    <w:multiLevelType w:val="hybridMultilevel"/>
    <w:tmpl w:val="FD7C1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0214D"/>
    <w:multiLevelType w:val="hybridMultilevel"/>
    <w:tmpl w:val="84702D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9224A7"/>
    <w:multiLevelType w:val="hybridMultilevel"/>
    <w:tmpl w:val="8D92C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00E5A"/>
    <w:multiLevelType w:val="hybridMultilevel"/>
    <w:tmpl w:val="7B0AC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54AAC"/>
    <w:multiLevelType w:val="hybridMultilevel"/>
    <w:tmpl w:val="0A2811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3E"/>
    <w:rsid w:val="00007D90"/>
    <w:rsid w:val="00025172"/>
    <w:rsid w:val="00056731"/>
    <w:rsid w:val="00057506"/>
    <w:rsid w:val="000647A4"/>
    <w:rsid w:val="00067E1D"/>
    <w:rsid w:val="0007137B"/>
    <w:rsid w:val="000716A0"/>
    <w:rsid w:val="00087FD5"/>
    <w:rsid w:val="000A0FE9"/>
    <w:rsid w:val="000A6E9D"/>
    <w:rsid w:val="000A7B77"/>
    <w:rsid w:val="000B1C66"/>
    <w:rsid w:val="000B25FD"/>
    <w:rsid w:val="000B5CE0"/>
    <w:rsid w:val="000C6DF5"/>
    <w:rsid w:val="000D2B5D"/>
    <w:rsid w:val="000E033B"/>
    <w:rsid w:val="00107144"/>
    <w:rsid w:val="00110560"/>
    <w:rsid w:val="001337BF"/>
    <w:rsid w:val="00135494"/>
    <w:rsid w:val="00152EDE"/>
    <w:rsid w:val="00163989"/>
    <w:rsid w:val="0017126A"/>
    <w:rsid w:val="001852CC"/>
    <w:rsid w:val="00194E3A"/>
    <w:rsid w:val="001A64AE"/>
    <w:rsid w:val="001B6473"/>
    <w:rsid w:val="001B6E59"/>
    <w:rsid w:val="001C3726"/>
    <w:rsid w:val="001E4E45"/>
    <w:rsid w:val="001E5BB4"/>
    <w:rsid w:val="001E7060"/>
    <w:rsid w:val="002048A8"/>
    <w:rsid w:val="00216E26"/>
    <w:rsid w:val="00220B47"/>
    <w:rsid w:val="0022253E"/>
    <w:rsid w:val="002335E3"/>
    <w:rsid w:val="00235F63"/>
    <w:rsid w:val="0023611C"/>
    <w:rsid w:val="00243A57"/>
    <w:rsid w:val="002672F4"/>
    <w:rsid w:val="00270D73"/>
    <w:rsid w:val="00286452"/>
    <w:rsid w:val="002A0027"/>
    <w:rsid w:val="002B1662"/>
    <w:rsid w:val="002B67A0"/>
    <w:rsid w:val="002C762D"/>
    <w:rsid w:val="002D160B"/>
    <w:rsid w:val="002D22C4"/>
    <w:rsid w:val="002D327C"/>
    <w:rsid w:val="002E785E"/>
    <w:rsid w:val="002F02DF"/>
    <w:rsid w:val="002F2B9B"/>
    <w:rsid w:val="00310787"/>
    <w:rsid w:val="00330321"/>
    <w:rsid w:val="0033083D"/>
    <w:rsid w:val="0033724B"/>
    <w:rsid w:val="00346F6A"/>
    <w:rsid w:val="00360863"/>
    <w:rsid w:val="00361F6A"/>
    <w:rsid w:val="00365605"/>
    <w:rsid w:val="0037100D"/>
    <w:rsid w:val="0037405A"/>
    <w:rsid w:val="00376533"/>
    <w:rsid w:val="00376F42"/>
    <w:rsid w:val="00382BEB"/>
    <w:rsid w:val="003952FE"/>
    <w:rsid w:val="00396D84"/>
    <w:rsid w:val="0039785F"/>
    <w:rsid w:val="00397CC5"/>
    <w:rsid w:val="003A42C0"/>
    <w:rsid w:val="003B121E"/>
    <w:rsid w:val="003C23E6"/>
    <w:rsid w:val="003C2A2C"/>
    <w:rsid w:val="003C5DBE"/>
    <w:rsid w:val="003C6C98"/>
    <w:rsid w:val="003D64E1"/>
    <w:rsid w:val="003E186F"/>
    <w:rsid w:val="003F1FCC"/>
    <w:rsid w:val="00401025"/>
    <w:rsid w:val="0041106D"/>
    <w:rsid w:val="0043466F"/>
    <w:rsid w:val="0044065C"/>
    <w:rsid w:val="00441078"/>
    <w:rsid w:val="00441BCD"/>
    <w:rsid w:val="00444B9C"/>
    <w:rsid w:val="00446552"/>
    <w:rsid w:val="00456180"/>
    <w:rsid w:val="00456409"/>
    <w:rsid w:val="00461D05"/>
    <w:rsid w:val="00470046"/>
    <w:rsid w:val="004B7DCB"/>
    <w:rsid w:val="004D3E4B"/>
    <w:rsid w:val="004D406A"/>
    <w:rsid w:val="004E08A3"/>
    <w:rsid w:val="004E5BF1"/>
    <w:rsid w:val="004F23B2"/>
    <w:rsid w:val="004F4D1B"/>
    <w:rsid w:val="00500510"/>
    <w:rsid w:val="005029CA"/>
    <w:rsid w:val="00502F8B"/>
    <w:rsid w:val="00507B02"/>
    <w:rsid w:val="005155E9"/>
    <w:rsid w:val="00533299"/>
    <w:rsid w:val="00534E49"/>
    <w:rsid w:val="00542183"/>
    <w:rsid w:val="00571AE8"/>
    <w:rsid w:val="00580F1C"/>
    <w:rsid w:val="00585BDA"/>
    <w:rsid w:val="0059096F"/>
    <w:rsid w:val="005915E5"/>
    <w:rsid w:val="005A5592"/>
    <w:rsid w:val="005C48FE"/>
    <w:rsid w:val="005E0B77"/>
    <w:rsid w:val="005E254B"/>
    <w:rsid w:val="005E65EB"/>
    <w:rsid w:val="006024F9"/>
    <w:rsid w:val="0061114C"/>
    <w:rsid w:val="00615147"/>
    <w:rsid w:val="006158E0"/>
    <w:rsid w:val="00627D09"/>
    <w:rsid w:val="00635F24"/>
    <w:rsid w:val="00645CBD"/>
    <w:rsid w:val="00645ECA"/>
    <w:rsid w:val="00672500"/>
    <w:rsid w:val="006725D8"/>
    <w:rsid w:val="0067401B"/>
    <w:rsid w:val="00677C7A"/>
    <w:rsid w:val="006815FD"/>
    <w:rsid w:val="006961F5"/>
    <w:rsid w:val="006A1086"/>
    <w:rsid w:val="006B316C"/>
    <w:rsid w:val="006B390A"/>
    <w:rsid w:val="006D65DE"/>
    <w:rsid w:val="006F04A3"/>
    <w:rsid w:val="006F4405"/>
    <w:rsid w:val="006F603F"/>
    <w:rsid w:val="00703574"/>
    <w:rsid w:val="0071368E"/>
    <w:rsid w:val="00720FFE"/>
    <w:rsid w:val="0072735E"/>
    <w:rsid w:val="00736D96"/>
    <w:rsid w:val="00747A6C"/>
    <w:rsid w:val="00750F16"/>
    <w:rsid w:val="00751B11"/>
    <w:rsid w:val="007554A6"/>
    <w:rsid w:val="00755A83"/>
    <w:rsid w:val="007626DF"/>
    <w:rsid w:val="00770C68"/>
    <w:rsid w:val="007753F7"/>
    <w:rsid w:val="0078417B"/>
    <w:rsid w:val="0079364C"/>
    <w:rsid w:val="007955B1"/>
    <w:rsid w:val="007C1014"/>
    <w:rsid w:val="007D7130"/>
    <w:rsid w:val="007F053B"/>
    <w:rsid w:val="008124F5"/>
    <w:rsid w:val="00812B2D"/>
    <w:rsid w:val="008161C7"/>
    <w:rsid w:val="00824466"/>
    <w:rsid w:val="00825043"/>
    <w:rsid w:val="00831FA2"/>
    <w:rsid w:val="00851DA7"/>
    <w:rsid w:val="0085262D"/>
    <w:rsid w:val="008538A1"/>
    <w:rsid w:val="008654DE"/>
    <w:rsid w:val="008A4297"/>
    <w:rsid w:val="008A7F52"/>
    <w:rsid w:val="008C39E7"/>
    <w:rsid w:val="008C7939"/>
    <w:rsid w:val="008D6D23"/>
    <w:rsid w:val="008E0665"/>
    <w:rsid w:val="008E5857"/>
    <w:rsid w:val="008E5DCA"/>
    <w:rsid w:val="008E7885"/>
    <w:rsid w:val="00917D6C"/>
    <w:rsid w:val="009533D7"/>
    <w:rsid w:val="009535CE"/>
    <w:rsid w:val="00971BC3"/>
    <w:rsid w:val="00990A5C"/>
    <w:rsid w:val="009931D7"/>
    <w:rsid w:val="009B1652"/>
    <w:rsid w:val="009C5C8E"/>
    <w:rsid w:val="009D2800"/>
    <w:rsid w:val="009E5AA2"/>
    <w:rsid w:val="009F0AA5"/>
    <w:rsid w:val="009F3539"/>
    <w:rsid w:val="00A02068"/>
    <w:rsid w:val="00A0578E"/>
    <w:rsid w:val="00A116E3"/>
    <w:rsid w:val="00A12528"/>
    <w:rsid w:val="00A21C97"/>
    <w:rsid w:val="00A30667"/>
    <w:rsid w:val="00A327A3"/>
    <w:rsid w:val="00A57F88"/>
    <w:rsid w:val="00A61F49"/>
    <w:rsid w:val="00A661C4"/>
    <w:rsid w:val="00A844A6"/>
    <w:rsid w:val="00A95E42"/>
    <w:rsid w:val="00AA6352"/>
    <w:rsid w:val="00AB4F7E"/>
    <w:rsid w:val="00AB6688"/>
    <w:rsid w:val="00AB7E4A"/>
    <w:rsid w:val="00AC328D"/>
    <w:rsid w:val="00AE2010"/>
    <w:rsid w:val="00AE7A3F"/>
    <w:rsid w:val="00AF323A"/>
    <w:rsid w:val="00B03CFA"/>
    <w:rsid w:val="00B07BE4"/>
    <w:rsid w:val="00B07E2D"/>
    <w:rsid w:val="00B157B6"/>
    <w:rsid w:val="00B1603A"/>
    <w:rsid w:val="00B42DB2"/>
    <w:rsid w:val="00B50900"/>
    <w:rsid w:val="00B53837"/>
    <w:rsid w:val="00B630A0"/>
    <w:rsid w:val="00B73830"/>
    <w:rsid w:val="00B7495B"/>
    <w:rsid w:val="00B80FAE"/>
    <w:rsid w:val="00B82557"/>
    <w:rsid w:val="00B83484"/>
    <w:rsid w:val="00B937DA"/>
    <w:rsid w:val="00B94EF6"/>
    <w:rsid w:val="00B95B7B"/>
    <w:rsid w:val="00BB601D"/>
    <w:rsid w:val="00BB74FA"/>
    <w:rsid w:val="00BC2158"/>
    <w:rsid w:val="00BC40E7"/>
    <w:rsid w:val="00BD4A4A"/>
    <w:rsid w:val="00C00BBC"/>
    <w:rsid w:val="00C01E02"/>
    <w:rsid w:val="00C027DF"/>
    <w:rsid w:val="00C045C2"/>
    <w:rsid w:val="00C06D48"/>
    <w:rsid w:val="00C16DD8"/>
    <w:rsid w:val="00C27846"/>
    <w:rsid w:val="00C308D0"/>
    <w:rsid w:val="00C34651"/>
    <w:rsid w:val="00C4230B"/>
    <w:rsid w:val="00C52683"/>
    <w:rsid w:val="00C774C9"/>
    <w:rsid w:val="00C80200"/>
    <w:rsid w:val="00C824CD"/>
    <w:rsid w:val="00C8290F"/>
    <w:rsid w:val="00C82B74"/>
    <w:rsid w:val="00C86F92"/>
    <w:rsid w:val="00C92294"/>
    <w:rsid w:val="00C95C76"/>
    <w:rsid w:val="00C96BEF"/>
    <w:rsid w:val="00CA48F4"/>
    <w:rsid w:val="00CC506F"/>
    <w:rsid w:val="00CC680B"/>
    <w:rsid w:val="00CC6C12"/>
    <w:rsid w:val="00CD170E"/>
    <w:rsid w:val="00CE7333"/>
    <w:rsid w:val="00D05B80"/>
    <w:rsid w:val="00D26F62"/>
    <w:rsid w:val="00D3184D"/>
    <w:rsid w:val="00D54DE3"/>
    <w:rsid w:val="00D56365"/>
    <w:rsid w:val="00D6064F"/>
    <w:rsid w:val="00D645D9"/>
    <w:rsid w:val="00D67560"/>
    <w:rsid w:val="00D71C0D"/>
    <w:rsid w:val="00D80514"/>
    <w:rsid w:val="00D92111"/>
    <w:rsid w:val="00DA6E52"/>
    <w:rsid w:val="00DC141F"/>
    <w:rsid w:val="00DD1422"/>
    <w:rsid w:val="00DD3A82"/>
    <w:rsid w:val="00DE0ECB"/>
    <w:rsid w:val="00DF7C83"/>
    <w:rsid w:val="00E00769"/>
    <w:rsid w:val="00E049D8"/>
    <w:rsid w:val="00E14D6F"/>
    <w:rsid w:val="00E225EB"/>
    <w:rsid w:val="00E22DAA"/>
    <w:rsid w:val="00E25B02"/>
    <w:rsid w:val="00E351A4"/>
    <w:rsid w:val="00E460CF"/>
    <w:rsid w:val="00E47886"/>
    <w:rsid w:val="00E524F3"/>
    <w:rsid w:val="00E574CE"/>
    <w:rsid w:val="00E763C7"/>
    <w:rsid w:val="00E84E3E"/>
    <w:rsid w:val="00EB00B0"/>
    <w:rsid w:val="00EC52FD"/>
    <w:rsid w:val="00EC7242"/>
    <w:rsid w:val="00ED1CDB"/>
    <w:rsid w:val="00EE0247"/>
    <w:rsid w:val="00EE363C"/>
    <w:rsid w:val="00EE59DF"/>
    <w:rsid w:val="00EE75C5"/>
    <w:rsid w:val="00EF147F"/>
    <w:rsid w:val="00EF2FD6"/>
    <w:rsid w:val="00EF5BC3"/>
    <w:rsid w:val="00F14587"/>
    <w:rsid w:val="00F25676"/>
    <w:rsid w:val="00F4310E"/>
    <w:rsid w:val="00F670FF"/>
    <w:rsid w:val="00F7420B"/>
    <w:rsid w:val="00F74773"/>
    <w:rsid w:val="00F761BE"/>
    <w:rsid w:val="00F81C54"/>
    <w:rsid w:val="00F87F10"/>
    <w:rsid w:val="00F95A99"/>
    <w:rsid w:val="00FC25E6"/>
    <w:rsid w:val="00FF111C"/>
    <w:rsid w:val="00FF49B0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73BDBED-4062-4AB5-82CE-8F9E3C1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E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E3E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E3E"/>
    <w:rPr>
      <w:rFonts w:ascii="Cambria" w:eastAsia="Times New Roman" w:hAnsi="Cambria" w:cs="Times New Roman"/>
      <w:b/>
      <w:bCs/>
      <w:color w:val="365F91"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E84E3E"/>
    <w:rPr>
      <w:rFonts w:ascii="Cambria" w:eastAsia="Times New Roman" w:hAnsi="Cambria" w:cs="Times New Roman"/>
      <w:b/>
      <w:bCs/>
      <w:color w:val="4F81BD"/>
      <w:sz w:val="26"/>
      <w:szCs w:val="20"/>
      <w:lang w:eastAsia="en-AU"/>
    </w:rPr>
  </w:style>
  <w:style w:type="character" w:styleId="CommentReference">
    <w:name w:val="annotation reference"/>
    <w:uiPriority w:val="99"/>
    <w:semiHidden/>
    <w:rsid w:val="00E84E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84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E3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E84E3E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4E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E84E3E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4E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SingleParagraph">
    <w:name w:val="Single Paragraph"/>
    <w:basedOn w:val="Normal"/>
    <w:rsid w:val="00E84E3E"/>
  </w:style>
  <w:style w:type="paragraph" w:styleId="Subtitle">
    <w:name w:val="Subtitle"/>
    <w:basedOn w:val="Normal"/>
    <w:link w:val="SubtitleChar"/>
    <w:uiPriority w:val="99"/>
    <w:qFormat/>
    <w:rsid w:val="00E84E3E"/>
    <w:pPr>
      <w:spacing w:after="600"/>
    </w:pPr>
    <w:rPr>
      <w:rFonts w:ascii="Consolas" w:hAnsi="Consolas"/>
      <w:b/>
      <w:bCs/>
      <w:caps/>
      <w:color w:val="C7823E"/>
      <w:spacing w:val="50"/>
      <w:sz w:val="22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rsid w:val="00E84E3E"/>
    <w:rPr>
      <w:rFonts w:ascii="Consolas" w:eastAsia="Times New Roman" w:hAnsi="Consolas" w:cs="Times New Roman"/>
      <w:b/>
      <w:bCs/>
      <w:caps/>
      <w:color w:val="C7823E"/>
      <w:spacing w:val="50"/>
      <w:szCs w:val="20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E84E3E"/>
    <w:rPr>
      <w:rFonts w:ascii="Corbel" w:hAnsi="Corbel"/>
      <w:color w:val="3D4B67"/>
      <w:sz w:val="4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84E3E"/>
    <w:rPr>
      <w:rFonts w:ascii="Corbel" w:eastAsia="Times New Roman" w:hAnsi="Corbel" w:cs="Times New Roman"/>
      <w:color w:val="3D4B67"/>
      <w:sz w:val="48"/>
      <w:szCs w:val="20"/>
      <w:lang w:eastAsia="ja-JP"/>
    </w:rPr>
  </w:style>
  <w:style w:type="paragraph" w:customStyle="1" w:styleId="FooterOdd">
    <w:name w:val="Footer Odd"/>
    <w:basedOn w:val="Footer"/>
    <w:rsid w:val="00E84E3E"/>
    <w:pPr>
      <w:tabs>
        <w:tab w:val="clear" w:pos="4513"/>
        <w:tab w:val="clear" w:pos="9026"/>
      </w:tabs>
      <w:jc w:val="right"/>
    </w:pPr>
    <w:rPr>
      <w:rFonts w:ascii="Corbel" w:hAnsi="Corbel" w:cs="Corbel"/>
      <w:color w:val="3D4B67"/>
      <w:sz w:val="18"/>
      <w:szCs w:val="18"/>
    </w:rPr>
  </w:style>
  <w:style w:type="paragraph" w:customStyle="1" w:styleId="HeaderOdd">
    <w:name w:val="Header Odd"/>
    <w:basedOn w:val="Header"/>
    <w:rsid w:val="00E84E3E"/>
    <w:pPr>
      <w:keepNext/>
      <w:tabs>
        <w:tab w:val="clear" w:pos="4513"/>
        <w:tab w:val="clear" w:pos="9026"/>
      </w:tabs>
      <w:jc w:val="right"/>
    </w:pPr>
    <w:rPr>
      <w:rFonts w:ascii="Corbel" w:hAnsi="Corbel" w:cs="Corbel"/>
      <w:color w:val="3D4B67"/>
      <w:sz w:val="18"/>
      <w:szCs w:val="18"/>
    </w:rPr>
  </w:style>
  <w:style w:type="paragraph" w:customStyle="1" w:styleId="Normalnumbered">
    <w:name w:val="Normal numbered"/>
    <w:basedOn w:val="Normal"/>
    <w:link w:val="NormalnumberedChar"/>
    <w:rsid w:val="00E84E3E"/>
    <w:pPr>
      <w:tabs>
        <w:tab w:val="num" w:pos="567"/>
      </w:tabs>
      <w:ind w:left="567" w:hanging="567"/>
    </w:pPr>
  </w:style>
  <w:style w:type="paragraph" w:customStyle="1" w:styleId="Signed">
    <w:name w:val="Signed"/>
    <w:basedOn w:val="Normal"/>
    <w:uiPriority w:val="99"/>
    <w:rsid w:val="00E84E3E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styleId="PageNumber">
    <w:name w:val="page number"/>
    <w:uiPriority w:val="99"/>
    <w:rsid w:val="00E84E3E"/>
    <w:rPr>
      <w:rFonts w:cs="Times New Roman"/>
    </w:rPr>
  </w:style>
  <w:style w:type="paragraph" w:customStyle="1" w:styleId="Position">
    <w:name w:val="Position"/>
    <w:basedOn w:val="Normal"/>
    <w:rsid w:val="00E84E3E"/>
    <w:pPr>
      <w:spacing w:after="120"/>
    </w:pPr>
    <w:rPr>
      <w:sz w:val="20"/>
      <w:szCs w:val="20"/>
    </w:rPr>
  </w:style>
  <w:style w:type="character" w:customStyle="1" w:styleId="SignedBold">
    <w:name w:val="SignedBold"/>
    <w:uiPriority w:val="99"/>
    <w:rsid w:val="00E84E3E"/>
    <w:rPr>
      <w:rFonts w:cs="Times New Roman"/>
      <w:b/>
      <w:bCs/>
      <w:i/>
      <w:iCs/>
    </w:rPr>
  </w:style>
  <w:style w:type="paragraph" w:customStyle="1" w:styleId="LineForSignature">
    <w:name w:val="LineForSignature"/>
    <w:basedOn w:val="Normal"/>
    <w:rsid w:val="00E84E3E"/>
    <w:pPr>
      <w:tabs>
        <w:tab w:val="left" w:leader="underscore" w:pos="3686"/>
      </w:tabs>
      <w:spacing w:before="360" w:after="60"/>
    </w:pPr>
    <w:rPr>
      <w:rFonts w:ascii="Book Antiqua" w:hAnsi="Book Antiqua" w:cs="Book Antiqua"/>
      <w:color w:val="C0C0C0"/>
      <w:lang w:val="en-GB"/>
    </w:rPr>
  </w:style>
  <w:style w:type="character" w:customStyle="1" w:styleId="Bold">
    <w:name w:val="Bold"/>
    <w:rsid w:val="00E84E3E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3E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E8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851DA7"/>
    <w:pPr>
      <w:tabs>
        <w:tab w:val="num" w:pos="283"/>
        <w:tab w:val="num" w:pos="566"/>
      </w:tabs>
      <w:spacing w:after="240" w:line="260" w:lineRule="exact"/>
      <w:ind w:left="566" w:hanging="283"/>
      <w:jc w:val="both"/>
    </w:pPr>
    <w:rPr>
      <w:rFonts w:ascii="Corbel" w:hAnsi="Corbel"/>
      <w:color w:val="000000"/>
      <w:sz w:val="23"/>
      <w:szCs w:val="20"/>
    </w:rPr>
  </w:style>
  <w:style w:type="character" w:customStyle="1" w:styleId="NormalnumberedChar">
    <w:name w:val="Normal numbered Char"/>
    <w:link w:val="Normalnumbered"/>
    <w:locked/>
    <w:rsid w:val="00851DA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ulletChar">
    <w:name w:val="Bullet Char"/>
    <w:link w:val="Bullet"/>
    <w:locked/>
    <w:rsid w:val="00851DA7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C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1368E"/>
    <w:pPr>
      <w:ind w:left="720"/>
      <w:contextualSpacing/>
    </w:pPr>
  </w:style>
  <w:style w:type="paragraph" w:styleId="Revision">
    <w:name w:val="Revision"/>
    <w:hidden/>
    <w:uiPriority w:val="99"/>
    <w:semiHidden/>
    <w:rsid w:val="00EF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customXml" Target="../customXml/item4.xml"/><Relationship Id="rId2" Type="http://schemas.openxmlformats.org/officeDocument/2006/relationships/webSettings" Target="webSettings.xml"/><Relationship Id="rId16" Type="http://schemas.openxmlformats.org/officeDocument/2006/relationships/customXml" Target="../customXml/item7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15" Type="http://schemas.openxmlformats.org/officeDocument/2006/relationships/customXml" Target="../customXml/item6.xml"/><Relationship Id="rId10" Type="http://schemas.openxmlformats.org/officeDocument/2006/relationships/header" Target="header2.xml"/><Relationship Id="rId4" Type="http://schemas.openxmlformats.org/officeDocument/2006/relationships/customXml" Target="../customXml/item1.xml"/><Relationship Id="rId9" Type="http://schemas.openxmlformats.org/officeDocument/2006/relationships/footer" Target="footer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28512" ma:contentTypeDescription=" " ma:contentTypeScope="" ma:versionID="1d18409a7428ca96d78b1460b1363914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2020FG-64-74006</_dlc_DocId>
    <_dlc_DocIdUrl xmlns="0f563589-9cf9-4143-b1eb-fb0534803d38">
      <Url>http://tweb/sites/fg/csrd/_layouts/15/DocIdRedir.aspx?ID=2020FG-64-74006</Url>
      <Description>2020FG-64-74006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CCCD1C4F-DF4E-4B8F-A719-0B950344744B}"/>
</file>

<file path=customXml/itemProps2.xml><?xml version="1.0" encoding="utf-8"?>
<ds:datastoreItem xmlns:ds="http://schemas.openxmlformats.org/officeDocument/2006/customXml" ds:itemID="{EF5C5482-48AD-4174-AFB1-C0B41A74C3F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BC2089-21EC-49AF-A560-7D363BDD8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5132DA-B1BE-44E9-98FA-D5D98954DB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130130-AA5D-4FFA-BFCD-5E14E9A0A83B}"/>
</file>

<file path=customXml/itemProps6.xml><?xml version="1.0" encoding="utf-8"?>
<ds:datastoreItem xmlns:ds="http://schemas.openxmlformats.org/officeDocument/2006/customXml" ds:itemID="{AA4F31C3-EE94-4ECA-80E3-F1463B607F5A}"/>
</file>

<file path=customXml/itemProps7.xml><?xml version="1.0" encoding="utf-8"?>
<ds:datastoreItem xmlns:ds="http://schemas.openxmlformats.org/officeDocument/2006/customXml" ds:itemID="{8F67379F-FA44-4AB3-A7E1-F75D4569DF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2019-09-09T05:40:14Z</dcterms:created>
  <dcterms:modified xsi:type="dcterms:W3CDTF">2019-09-09T05:40:14Z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22e3e29c-770c-48ba-a84c-cfe843ac3881</vt:lpwstr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{4435c73b-6585-4bc2-a76a-5d21b1a02e06}</vt:lpwstr>
  </property>
  <property fmtid="{D5CDD505-2E9C-101B-9397-08002B2CF9AE}" pid="7" name="RecordPoint_ActiveItemUniqueId">
    <vt:lpwstr>{22e3e29c-770c-48ba-a84c-cfe843ac3881}</vt:lpwstr>
  </property>
  <property fmtid="{D5CDD505-2E9C-101B-9397-08002B2CF9AE}" pid="8" name="RecordPoint_ActiveItemWebId">
    <vt:lpwstr>{a4589788-615f-4b8b-8296-7f9f6dfbab44}</vt:lpwstr>
  </property>
  <property fmtid="{D5CDD505-2E9C-101B-9397-08002B2CF9AE}" pid="9" name="RecordPoint_ActiveItemSiteId">
    <vt:lpwstr>{a3a280d1-e8f1-4ce7-94f0-aaa2322da0dd}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R0002261709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2020-05-06T22:25:27.5620984+10:00</vt:lpwstr>
  </property>
</Properties>
</file>