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1E33A7DA" w14:textId="77777777">
        <w:tc>
          <w:tcPr>
            <w:tcW w:w="5000" w:type="pct"/>
            <w:gridSpan w:val="2"/>
          </w:tcPr>
          <w:p w14:paraId="60E0769F" w14:textId="0F209F87" w:rsidR="00814667" w:rsidRDefault="00814667" w:rsidP="00316DEC">
            <w:pPr>
              <w:pStyle w:val="CoverTitleMain"/>
            </w:pPr>
            <w:bookmarkStart w:id="0" w:name="_GoBack"/>
            <w:bookmarkEnd w:id="0"/>
            <w:r>
              <w:t>Nat</w:t>
            </w:r>
            <w:r w:rsidR="007A6E20">
              <w:t xml:space="preserve">ional partnership </w:t>
            </w:r>
            <w:r w:rsidR="00316DEC">
              <w:t xml:space="preserve">For the </w:t>
            </w:r>
            <w:r w:rsidR="00E71435">
              <w:t>National Water infrastructure development fund – capital component</w:t>
            </w:r>
          </w:p>
        </w:tc>
      </w:tr>
      <w:tr w:rsidR="00814667" w14:paraId="558F620D" w14:textId="77777777">
        <w:tc>
          <w:tcPr>
            <w:tcW w:w="767" w:type="pct"/>
          </w:tcPr>
          <w:p w14:paraId="3EBB13DD" w14:textId="77777777" w:rsidR="00814667" w:rsidRDefault="00814667">
            <w:pPr>
              <w:pStyle w:val="SingleParagraph"/>
              <w:tabs>
                <w:tab w:val="num" w:pos="1134"/>
              </w:tabs>
              <w:spacing w:after="240"/>
              <w:ind w:left="1134" w:hanging="567"/>
            </w:pPr>
          </w:p>
        </w:tc>
        <w:tc>
          <w:tcPr>
            <w:tcW w:w="4233" w:type="pct"/>
          </w:tcPr>
          <w:p w14:paraId="29F5CB92" w14:textId="77777777" w:rsidR="00814667" w:rsidRDefault="00814667">
            <w:pPr>
              <w:pStyle w:val="SingleParagraph"/>
              <w:tabs>
                <w:tab w:val="num" w:pos="1134"/>
              </w:tabs>
              <w:spacing w:after="240"/>
              <w:ind w:left="1134" w:hanging="567"/>
            </w:pPr>
          </w:p>
        </w:tc>
      </w:tr>
      <w:tr w:rsidR="00814667" w14:paraId="00D9C498" w14:textId="77777777">
        <w:tc>
          <w:tcPr>
            <w:tcW w:w="767" w:type="pct"/>
          </w:tcPr>
          <w:p w14:paraId="78B16788" w14:textId="77777777" w:rsidR="00814667" w:rsidRDefault="00814667">
            <w:pPr>
              <w:pStyle w:val="SingleParagraph"/>
              <w:tabs>
                <w:tab w:val="num" w:pos="1134"/>
              </w:tabs>
              <w:spacing w:after="240"/>
              <w:ind w:left="1134" w:hanging="567"/>
            </w:pPr>
          </w:p>
        </w:tc>
        <w:tc>
          <w:tcPr>
            <w:tcW w:w="4233" w:type="pct"/>
          </w:tcPr>
          <w:p w14:paraId="48DDD24E" w14:textId="77777777" w:rsidR="00814667" w:rsidRPr="001E74D0" w:rsidRDefault="00814667">
            <w:pPr>
              <w:pStyle w:val="SingleParagraph"/>
              <w:tabs>
                <w:tab w:val="num" w:pos="1134"/>
              </w:tabs>
              <w:spacing w:after="240"/>
              <w:ind w:left="1134" w:hanging="567"/>
            </w:pPr>
          </w:p>
        </w:tc>
      </w:tr>
      <w:tr w:rsidR="00814667" w14:paraId="67DE53F2" w14:textId="77777777">
        <w:tc>
          <w:tcPr>
            <w:tcW w:w="5000" w:type="pct"/>
            <w:gridSpan w:val="2"/>
          </w:tcPr>
          <w:p w14:paraId="3D57AEEB" w14:textId="77777777" w:rsidR="00814667" w:rsidRDefault="00814667">
            <w:pPr>
              <w:pStyle w:val="AgreementHeading"/>
              <w:tabs>
                <w:tab w:val="clear" w:pos="1134"/>
              </w:tabs>
            </w:pPr>
            <w:r>
              <w:t>An agreement between</w:t>
            </w:r>
          </w:p>
        </w:tc>
      </w:tr>
      <w:tr w:rsidR="00814667" w14:paraId="4C9E1F89" w14:textId="77777777">
        <w:tc>
          <w:tcPr>
            <w:tcW w:w="767" w:type="pct"/>
          </w:tcPr>
          <w:p w14:paraId="574769C4" w14:textId="77777777" w:rsidR="00814667" w:rsidRPr="001E74D0" w:rsidRDefault="00814667">
            <w:pPr>
              <w:pStyle w:val="AgreementHeading"/>
              <w:tabs>
                <w:tab w:val="clear" w:pos="1134"/>
              </w:tabs>
              <w:ind w:left="522"/>
            </w:pPr>
          </w:p>
        </w:tc>
        <w:tc>
          <w:tcPr>
            <w:tcW w:w="4233" w:type="pct"/>
          </w:tcPr>
          <w:p w14:paraId="69B171E5" w14:textId="77777777" w:rsidR="00814667" w:rsidRDefault="00814667">
            <w:pPr>
              <w:pStyle w:val="AgreementParties"/>
            </w:pPr>
            <w:r>
              <w:t xml:space="preserve">the </w:t>
            </w:r>
            <w:r>
              <w:rPr>
                <w:rStyle w:val="Bold"/>
              </w:rPr>
              <w:t xml:space="preserve">Commonwealth of </w:t>
            </w:r>
            <w:smartTag w:uri="urn:schemas-microsoft-com:office:smarttags" w:element="country-region">
              <w:smartTag w:uri="urn:schemas-microsoft-com:office:smarttags" w:element="place">
                <w:r>
                  <w:rPr>
                    <w:rStyle w:val="Bold"/>
                  </w:rPr>
                  <w:t>Australia</w:t>
                </w:r>
              </w:smartTag>
            </w:smartTag>
            <w:r>
              <w:t xml:space="preserve"> and</w:t>
            </w:r>
          </w:p>
          <w:p w14:paraId="576B5B65" w14:textId="77777777" w:rsidR="00814667" w:rsidRPr="001E74D0" w:rsidRDefault="00814667">
            <w:pPr>
              <w:pStyle w:val="AgreementParties"/>
            </w:pPr>
            <w:r>
              <w:t xml:space="preserve">the </w:t>
            </w:r>
            <w:r>
              <w:rPr>
                <w:rStyle w:val="Bold"/>
              </w:rPr>
              <w:t>States and Territories</w:t>
            </w:r>
            <w:r>
              <w:t>, being:</w:t>
            </w:r>
          </w:p>
        </w:tc>
      </w:tr>
      <w:tr w:rsidR="00814667" w14:paraId="3CCAB26A" w14:textId="77777777">
        <w:tc>
          <w:tcPr>
            <w:tcW w:w="767" w:type="pct"/>
          </w:tcPr>
          <w:p w14:paraId="692CAF8C" w14:textId="77777777" w:rsidR="00814667" w:rsidRDefault="00814667">
            <w:pPr>
              <w:pStyle w:val="SingleParagraph"/>
              <w:tabs>
                <w:tab w:val="num" w:pos="1134"/>
              </w:tabs>
              <w:spacing w:after="240"/>
              <w:ind w:left="1134" w:hanging="567"/>
            </w:pPr>
          </w:p>
        </w:tc>
        <w:tc>
          <w:tcPr>
            <w:tcW w:w="4233" w:type="pct"/>
            <w:tcBorders>
              <w:left w:val="nil"/>
            </w:tcBorders>
          </w:tcPr>
          <w:p w14:paraId="72577376" w14:textId="77777777" w:rsidR="00814667" w:rsidRDefault="00814667" w:rsidP="00E14134">
            <w:pPr>
              <w:pStyle w:val="StatesList"/>
              <w:numPr>
                <w:ilvl w:val="0"/>
                <w:numId w:val="7"/>
              </w:numPr>
            </w:pPr>
            <w:r>
              <w:t>New South Wales</w:t>
            </w:r>
          </w:p>
          <w:p w14:paraId="1FF55B66" w14:textId="77777777" w:rsidR="00814667" w:rsidRDefault="00814667" w:rsidP="00E14134">
            <w:pPr>
              <w:pStyle w:val="StatesList"/>
              <w:numPr>
                <w:ilvl w:val="0"/>
                <w:numId w:val="7"/>
              </w:numPr>
            </w:pPr>
            <w:r>
              <w:t>Victoria</w:t>
            </w:r>
          </w:p>
          <w:p w14:paraId="22C01054" w14:textId="77777777" w:rsidR="00814667" w:rsidRDefault="00814667" w:rsidP="00E14134">
            <w:pPr>
              <w:pStyle w:val="StatesList"/>
              <w:numPr>
                <w:ilvl w:val="0"/>
                <w:numId w:val="7"/>
              </w:numPr>
            </w:pPr>
            <w:r>
              <w:t>Queensland</w:t>
            </w:r>
          </w:p>
          <w:p w14:paraId="3D3F29CD" w14:textId="77777777" w:rsidR="00814667" w:rsidRDefault="00814667" w:rsidP="00E14134">
            <w:pPr>
              <w:pStyle w:val="StatesList"/>
              <w:numPr>
                <w:ilvl w:val="0"/>
                <w:numId w:val="7"/>
              </w:numPr>
            </w:pPr>
            <w:r>
              <w:t>Western Australia</w:t>
            </w:r>
          </w:p>
          <w:p w14:paraId="3B337BA8" w14:textId="77777777" w:rsidR="00814667" w:rsidRDefault="00814667" w:rsidP="00E14134">
            <w:pPr>
              <w:pStyle w:val="StatesList"/>
              <w:numPr>
                <w:ilvl w:val="0"/>
                <w:numId w:val="7"/>
              </w:numPr>
            </w:pPr>
            <w:r>
              <w:t>South Australia</w:t>
            </w:r>
          </w:p>
          <w:p w14:paraId="411BC23C" w14:textId="77777777" w:rsidR="00814667" w:rsidRDefault="00814667" w:rsidP="00E14134">
            <w:pPr>
              <w:pStyle w:val="StatesList"/>
              <w:numPr>
                <w:ilvl w:val="0"/>
                <w:numId w:val="7"/>
              </w:numPr>
            </w:pPr>
            <w:r>
              <w:t>Tasmania</w:t>
            </w:r>
          </w:p>
          <w:p w14:paraId="60F74858" w14:textId="77777777" w:rsidR="00814667" w:rsidRDefault="006B2D1B" w:rsidP="00E14134">
            <w:pPr>
              <w:pStyle w:val="StatesList"/>
              <w:numPr>
                <w:ilvl w:val="0"/>
                <w:numId w:val="7"/>
              </w:numPr>
            </w:pPr>
            <w:r>
              <w:t>t</w:t>
            </w:r>
            <w:r w:rsidR="00814667">
              <w:t>he Australian Capital Territory</w:t>
            </w:r>
          </w:p>
          <w:p w14:paraId="099F3BED" w14:textId="77777777" w:rsidR="00EB7EDA" w:rsidRPr="004B2762" w:rsidRDefault="006B2D1B" w:rsidP="00E14134">
            <w:pPr>
              <w:pStyle w:val="StatesList"/>
              <w:numPr>
                <w:ilvl w:val="0"/>
                <w:numId w:val="7"/>
              </w:numPr>
            </w:pPr>
            <w:r>
              <w:t>the Northern Territor</w:t>
            </w:r>
            <w:r w:rsidR="004B2762">
              <w:t>y</w:t>
            </w:r>
          </w:p>
        </w:tc>
      </w:tr>
      <w:tr w:rsidR="00814667" w14:paraId="640E3804" w14:textId="77777777">
        <w:tc>
          <w:tcPr>
            <w:tcW w:w="5000" w:type="pct"/>
            <w:gridSpan w:val="2"/>
          </w:tcPr>
          <w:p w14:paraId="472B52A4" w14:textId="77777777" w:rsidR="00814667" w:rsidRDefault="00814667">
            <w:pPr>
              <w:pStyle w:val="SingleParagraph"/>
              <w:tabs>
                <w:tab w:val="num" w:pos="1134"/>
              </w:tabs>
              <w:spacing w:after="240"/>
              <w:ind w:left="1134" w:hanging="567"/>
            </w:pPr>
          </w:p>
        </w:tc>
      </w:tr>
      <w:tr w:rsidR="00814667" w14:paraId="45F05E03" w14:textId="77777777">
        <w:tc>
          <w:tcPr>
            <w:tcW w:w="5000" w:type="pct"/>
            <w:gridSpan w:val="2"/>
          </w:tcPr>
          <w:p w14:paraId="1087D483" w14:textId="7A2C4AE9" w:rsidR="00814667" w:rsidRDefault="00C7093C" w:rsidP="0041165E">
            <w:pPr>
              <w:pStyle w:val="Abstract"/>
            </w:pPr>
            <w:r>
              <w:t xml:space="preserve">This Agreement will </w:t>
            </w:r>
            <w:r w:rsidR="00845BCC">
              <w:t>contribute to</w:t>
            </w:r>
            <w:r w:rsidR="004B2762">
              <w:t xml:space="preserve"> </w:t>
            </w:r>
            <w:bookmarkStart w:id="1" w:name="OLE_LINK3"/>
            <w:bookmarkStart w:id="2" w:name="OLE_LINK4"/>
            <w:r w:rsidR="00327CD0">
              <w:t xml:space="preserve">long-term </w:t>
            </w:r>
            <w:r w:rsidR="00BE7E11">
              <w:t xml:space="preserve">regional </w:t>
            </w:r>
            <w:r w:rsidR="00CA4B1E">
              <w:t xml:space="preserve">economic </w:t>
            </w:r>
            <w:r w:rsidR="00BE7E11">
              <w:t xml:space="preserve">growth </w:t>
            </w:r>
            <w:r w:rsidR="00CA4B1E">
              <w:t>and development</w:t>
            </w:r>
            <w:r w:rsidR="007F5718">
              <w:t xml:space="preserve"> by providing secure and affordable water through the </w:t>
            </w:r>
            <w:r w:rsidR="004B2762">
              <w:t xml:space="preserve">construction of </w:t>
            </w:r>
            <w:bookmarkEnd w:id="1"/>
            <w:bookmarkEnd w:id="2"/>
            <w:r w:rsidR="004B2762">
              <w:t>economically viable water infrastructure</w:t>
            </w:r>
            <w:r>
              <w:t>.</w:t>
            </w:r>
          </w:p>
        </w:tc>
      </w:tr>
    </w:tbl>
    <w:p w14:paraId="31536A50" w14:textId="3A7FD613" w:rsidR="00814667" w:rsidRDefault="007A6E20">
      <w:pPr>
        <w:pStyle w:val="Title"/>
        <w:pageBreakBefore/>
      </w:pPr>
      <w:r>
        <w:lastRenderedPageBreak/>
        <w:t>National Partnership</w:t>
      </w:r>
      <w:r>
        <w:br/>
      </w:r>
      <w:r w:rsidR="00316DEC">
        <w:t xml:space="preserve">for the </w:t>
      </w:r>
      <w:r w:rsidR="004D7F93">
        <w:t>National Water Infrastructure Development Fund – Capital Component</w:t>
      </w:r>
    </w:p>
    <w:p w14:paraId="68225501" w14:textId="77777777" w:rsidR="003D26BA" w:rsidRPr="003D26BA" w:rsidRDefault="00F1611B" w:rsidP="003D26BA">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14:paraId="0823EE52" w14:textId="77777777" w:rsidR="00C960AA" w:rsidRDefault="00C960AA" w:rsidP="00E1413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This National Partnership (the Agreement) is created subject to the provisions of the Intergovernmental Agreement on Federal Financial Relations </w:t>
      </w:r>
      <w:r w:rsidR="00E31BCF">
        <w:rPr>
          <w:color w:val="auto"/>
        </w:rPr>
        <w:t xml:space="preserve">(IGA FFR) </w:t>
      </w:r>
      <w:r w:rsidRPr="00336F12">
        <w:rPr>
          <w:color w:val="auto"/>
        </w:rPr>
        <w:t xml:space="preserve">and should be read in conjunction with that Agreement and </w:t>
      </w:r>
      <w:r w:rsidR="001C346E" w:rsidRPr="00336F12">
        <w:rPr>
          <w:color w:val="auto"/>
        </w:rPr>
        <w:t>its</w:t>
      </w:r>
      <w:r w:rsidRPr="00336F12">
        <w:rPr>
          <w:color w:val="auto"/>
        </w:rPr>
        <w:t xml:space="preserve"> </w:t>
      </w:r>
      <w:r w:rsidR="001C346E" w:rsidRPr="00336F12">
        <w:rPr>
          <w:color w:val="auto"/>
        </w:rPr>
        <w:t>S</w:t>
      </w:r>
      <w:r w:rsidRPr="00336F12">
        <w:rPr>
          <w:color w:val="auto"/>
        </w:rPr>
        <w:t>chedules</w:t>
      </w:r>
      <w:r w:rsidR="001C346E" w:rsidRPr="00336F12">
        <w:rPr>
          <w:color w:val="auto"/>
        </w:rPr>
        <w:t xml:space="preserve">, which provide information in relation to </w:t>
      </w:r>
      <w:r w:rsidRPr="00336F12">
        <w:rPr>
          <w:color w:val="auto"/>
        </w:rPr>
        <w:t>performance reporting and payment arrangements</w:t>
      </w:r>
      <w:r w:rsidR="001C346E" w:rsidRPr="00336F12">
        <w:rPr>
          <w:color w:val="auto"/>
        </w:rPr>
        <w:t xml:space="preserve"> under the IGA</w:t>
      </w:r>
      <w:r w:rsidR="00E31BCF">
        <w:rPr>
          <w:color w:val="auto"/>
        </w:rPr>
        <w:t xml:space="preserve"> FFR</w:t>
      </w:r>
      <w:r w:rsidRPr="00336F12">
        <w:rPr>
          <w:color w:val="auto"/>
        </w:rPr>
        <w:t>.</w:t>
      </w:r>
    </w:p>
    <w:p w14:paraId="657A62EE"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FE4A16">
        <w:rPr>
          <w:rFonts w:cs="Arial"/>
          <w:b/>
          <w:bCs/>
          <w:iCs/>
          <w:color w:val="3D4B67"/>
          <w:sz w:val="29"/>
          <w:szCs w:val="28"/>
        </w:rPr>
        <w:t>Purpose</w:t>
      </w:r>
    </w:p>
    <w:p w14:paraId="23322592" w14:textId="67F95BF5" w:rsidR="00E7195E" w:rsidRPr="00336F12" w:rsidRDefault="00E7195E" w:rsidP="00E1413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In entering this Agreement, the Commonwealth </w:t>
      </w:r>
      <w:r w:rsidR="00715018" w:rsidRPr="00336F12">
        <w:rPr>
          <w:color w:val="auto"/>
        </w:rPr>
        <w:t>and the States and Territories (</w:t>
      </w:r>
      <w:r w:rsidRPr="00336F12">
        <w:rPr>
          <w:color w:val="auto"/>
        </w:rPr>
        <w:t>the States) recognise that they have a mutual in</w:t>
      </w:r>
      <w:r w:rsidR="0038779E">
        <w:rPr>
          <w:color w:val="auto"/>
        </w:rPr>
        <w:t>terest in improving outcomes</w:t>
      </w:r>
      <w:r w:rsidR="00177EB7">
        <w:rPr>
          <w:color w:val="auto"/>
        </w:rPr>
        <w:t xml:space="preserve"> through national water infrastructure development</w:t>
      </w:r>
      <w:r w:rsidR="0038779E">
        <w:rPr>
          <w:color w:val="auto"/>
        </w:rPr>
        <w:t xml:space="preserve"> </w:t>
      </w:r>
      <w:r w:rsidRPr="00336F12">
        <w:rPr>
          <w:color w:val="auto"/>
        </w:rPr>
        <w:t xml:space="preserve">and need to work together to achieve </w:t>
      </w:r>
      <w:r w:rsidR="008A42FD">
        <w:rPr>
          <w:color w:val="auto"/>
        </w:rPr>
        <w:t>those outcomes.</w:t>
      </w:r>
    </w:p>
    <w:p w14:paraId="55D81519" w14:textId="468FFF86" w:rsidR="007D20FF" w:rsidRDefault="00852ED8" w:rsidP="00756F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This Agreement will contribute to</w:t>
      </w:r>
      <w:r w:rsidR="00756F44" w:rsidRPr="00756F44">
        <w:t xml:space="preserve"> </w:t>
      </w:r>
      <w:r w:rsidR="00756F44" w:rsidRPr="00756F44">
        <w:rPr>
          <w:color w:val="auto"/>
        </w:rPr>
        <w:t>long-term regional economic growth and development by providing secure and affordable water through the construction of economically viable water infrastructure.</w:t>
      </w:r>
    </w:p>
    <w:p w14:paraId="5DAE4FB9"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03355EC7" w14:textId="59A8C056" w:rsidR="00FE4A16" w:rsidRPr="007E2950" w:rsidRDefault="00FE4A16" w:rsidP="00E1413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7E2950">
        <w:t xml:space="preserve">The States will report </w:t>
      </w:r>
      <w:r w:rsidR="007E2950" w:rsidRPr="007E2950">
        <w:t>six monthly against agreed milestones during the operation of this Agreement</w:t>
      </w:r>
      <w:r w:rsidR="00F1611B" w:rsidRPr="007E2950">
        <w:t>, as set out in Part 4 – Performance Monitoring and Reporting</w:t>
      </w:r>
      <w:r w:rsidR="00177EB7">
        <w:t xml:space="preserve"> and the bilateral Schedules to this Agreement</w:t>
      </w:r>
      <w:r w:rsidRPr="007E2950">
        <w:t>.</w:t>
      </w:r>
    </w:p>
    <w:p w14:paraId="3181A15B"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Pr>
          <w:rFonts w:cs="Arial"/>
          <w:b/>
          <w:bCs/>
          <w:iCs/>
          <w:color w:val="3D4B67"/>
          <w:sz w:val="29"/>
          <w:szCs w:val="28"/>
        </w:rPr>
        <w:t xml:space="preserve">Financial </w:t>
      </w:r>
      <w:r w:rsidR="003D26BA">
        <w:rPr>
          <w:rFonts w:cs="Arial"/>
          <w:b/>
          <w:bCs/>
          <w:iCs/>
          <w:color w:val="3D4B67"/>
          <w:sz w:val="29"/>
          <w:szCs w:val="28"/>
        </w:rPr>
        <w:t>Arrangements</w:t>
      </w:r>
      <w:r>
        <w:rPr>
          <w:rFonts w:cs="Arial"/>
          <w:b/>
          <w:bCs/>
          <w:iCs/>
          <w:color w:val="3D4B67"/>
          <w:sz w:val="29"/>
          <w:szCs w:val="28"/>
        </w:rPr>
        <w:t xml:space="preserve"> </w:t>
      </w:r>
    </w:p>
    <w:p w14:paraId="5517E837" w14:textId="0BFF7944" w:rsidR="00FE4A16" w:rsidRPr="00793A2E" w:rsidRDefault="00FE4A16" w:rsidP="00E1413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7179FE">
        <w:t xml:space="preserve">The Commonwealth will provide </w:t>
      </w:r>
      <w:r>
        <w:t>a</w:t>
      </w:r>
      <w:r w:rsidR="004B27C1">
        <w:t>n estimated</w:t>
      </w:r>
      <w:r>
        <w:t xml:space="preserve"> total </w:t>
      </w:r>
      <w:r w:rsidRPr="007179FE">
        <w:t>financial contribution</w:t>
      </w:r>
      <w:r w:rsidR="00A23CBA">
        <w:t xml:space="preserve"> </w:t>
      </w:r>
      <w:r w:rsidR="006278CF">
        <w:t xml:space="preserve">to the States </w:t>
      </w:r>
      <w:r w:rsidR="0039385F">
        <w:t xml:space="preserve">of </w:t>
      </w:r>
      <w:r>
        <w:t>$</w:t>
      </w:r>
      <w:r w:rsidR="0039385F">
        <w:t>4</w:t>
      </w:r>
      <w:r w:rsidR="003877C9">
        <w:t>4</w:t>
      </w:r>
      <w:r w:rsidR="0039385F">
        <w:t>0 </w:t>
      </w:r>
      <w:r w:rsidR="0038779E">
        <w:t>million</w:t>
      </w:r>
      <w:r w:rsidR="00337C78">
        <w:t xml:space="preserve"> (GST exclusive)</w:t>
      </w:r>
      <w:r>
        <w:t xml:space="preserve"> in respect of this Agreement</w:t>
      </w:r>
      <w:r w:rsidR="001775DC">
        <w:t>,</w:t>
      </w:r>
      <w:r>
        <w:t xml:space="preserve"> as set out </w:t>
      </w:r>
      <w:r w:rsidRPr="007179FE">
        <w:t xml:space="preserve">in </w:t>
      </w:r>
      <w:r>
        <w:t>Part 5 – Financial Arrangements</w:t>
      </w:r>
      <w:r w:rsidRPr="007179FE">
        <w:t>.</w:t>
      </w:r>
    </w:p>
    <w:p w14:paraId="113473C1" w14:textId="77777777" w:rsidR="003D26BA" w:rsidRPr="00FE4A16" w:rsidRDefault="003D26BA" w:rsidP="003D26BA">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p>
    <w:p w14:paraId="24496A90" w14:textId="77777777" w:rsidR="00814667" w:rsidRDefault="00814667">
      <w:pPr>
        <w:pStyle w:val="Heading1"/>
      </w:pPr>
      <w:r>
        <w:t>Part 1 — Formalities</w:t>
      </w:r>
    </w:p>
    <w:p w14:paraId="2F89D9AD" w14:textId="77777777" w:rsidR="00814667" w:rsidRDefault="00814667">
      <w:pPr>
        <w:pStyle w:val="Heading2"/>
      </w:pPr>
      <w:r>
        <w:t>Parties to this Agreement</w:t>
      </w:r>
    </w:p>
    <w:p w14:paraId="567080A3" w14:textId="77777777" w:rsidR="007B4B03" w:rsidRPr="007B4B03" w:rsidRDefault="00E7195E" w:rsidP="00E14134">
      <w:pPr>
        <w:pStyle w:val="Normalnumbered"/>
        <w:numPr>
          <w:ilvl w:val="0"/>
          <w:numId w:val="10"/>
        </w:numPr>
        <w:jc w:val="left"/>
      </w:pPr>
      <w:r w:rsidRPr="003012DA">
        <w:t>This Agreement is between the Commonwealth of Australia (the Commonwealth) and the States and Territories (the States)</w:t>
      </w:r>
      <w:r w:rsidR="0038779E">
        <w:t>.</w:t>
      </w:r>
    </w:p>
    <w:p w14:paraId="3503CF4C" w14:textId="77777777" w:rsidR="00814667" w:rsidRDefault="00814667">
      <w:pPr>
        <w:pStyle w:val="Heading2"/>
      </w:pPr>
      <w:r>
        <w:lastRenderedPageBreak/>
        <w:t>Term of the Agreement</w:t>
      </w:r>
    </w:p>
    <w:p w14:paraId="6E346788" w14:textId="0D2567D9" w:rsidR="00FE4A16" w:rsidRDefault="001D6C45" w:rsidP="00E14134">
      <w:pPr>
        <w:pStyle w:val="Normalnumbered"/>
        <w:numPr>
          <w:ilvl w:val="0"/>
          <w:numId w:val="10"/>
        </w:numPr>
      </w:pPr>
      <w:r w:rsidRPr="003012DA">
        <w:t xml:space="preserve">This </w:t>
      </w:r>
      <w:r>
        <w:t xml:space="preserve">Agreement will commence as soon as the Commonwealth and one other Party sign </w:t>
      </w:r>
      <w:r w:rsidR="00490352">
        <w:t xml:space="preserve">it </w:t>
      </w:r>
      <w:r>
        <w:t>and will expire on</w:t>
      </w:r>
      <w:r w:rsidR="00BE7E11">
        <w:t xml:space="preserve"> 30 June</w:t>
      </w:r>
      <w:r w:rsidR="0038779E">
        <w:t xml:space="preserve"> 2025</w:t>
      </w:r>
      <w:r>
        <w:t>, or on completion of project</w:t>
      </w:r>
      <w:r w:rsidR="00327CD0">
        <w:t>s</w:t>
      </w:r>
      <w:r>
        <w:t>, including final performance reporting and processing of final payments against project milestones. The Agreement may be terminated earlier or extended as agreed in writing by the Parties.</w:t>
      </w:r>
      <w:r w:rsidR="00FE4A16" w:rsidRPr="00FE4A16">
        <w:t xml:space="preserve"> </w:t>
      </w:r>
    </w:p>
    <w:p w14:paraId="6B74ACD6" w14:textId="77777777" w:rsidR="00814667" w:rsidRDefault="00814667" w:rsidP="00E968F6">
      <w:pPr>
        <w:pStyle w:val="Heading1"/>
        <w:spacing w:before="100"/>
      </w:pPr>
      <w:r>
        <w:t>part 2 — objectives, outcomes and outputs</w:t>
      </w:r>
    </w:p>
    <w:p w14:paraId="76178540" w14:textId="77777777" w:rsidR="00F46237" w:rsidRPr="001A7A15" w:rsidRDefault="00F46237" w:rsidP="00F46237">
      <w:pPr>
        <w:pStyle w:val="Heading2"/>
      </w:pPr>
      <w:r>
        <w:t>Objectives</w:t>
      </w:r>
    </w:p>
    <w:p w14:paraId="7F5FDDA9" w14:textId="1B892823" w:rsidR="00304DEE" w:rsidRPr="00CE6BB7" w:rsidRDefault="00DF3206" w:rsidP="00E14134">
      <w:pPr>
        <w:pStyle w:val="Normalnumbered"/>
        <w:numPr>
          <w:ilvl w:val="0"/>
          <w:numId w:val="10"/>
        </w:numPr>
      </w:pPr>
      <w:r>
        <w:t>The objective of this Agreement is to support</w:t>
      </w:r>
      <w:r w:rsidR="00272D65">
        <w:t xml:space="preserve"> long-term regional economic growth and development </w:t>
      </w:r>
      <w:r w:rsidR="003E7596">
        <w:t xml:space="preserve">by providing </w:t>
      </w:r>
      <w:r w:rsidR="00272D65">
        <w:t>secure and affordable water</w:t>
      </w:r>
      <w:r w:rsidR="003E7596">
        <w:t xml:space="preserve"> through the construction of economically viable water infrastructure</w:t>
      </w:r>
      <w:r w:rsidR="00C647E0">
        <w:t xml:space="preserve"> </w:t>
      </w:r>
      <w:r w:rsidR="003877C9">
        <w:t xml:space="preserve">that will be managed in accordance with </w:t>
      </w:r>
      <w:r w:rsidR="00C647E0">
        <w:t>the principles of the National Water Initiative</w:t>
      </w:r>
      <w:r w:rsidR="009B6D53">
        <w:t xml:space="preserve"> and</w:t>
      </w:r>
      <w:r w:rsidR="003E7596">
        <w:t xml:space="preserve"> relevant policies of the Commonwealth and the States</w:t>
      </w:r>
      <w:r w:rsidR="00304DEE">
        <w:t>.</w:t>
      </w:r>
    </w:p>
    <w:p w14:paraId="1BC78E83" w14:textId="77D584AD" w:rsidR="00814667" w:rsidRDefault="00814667">
      <w:pPr>
        <w:pStyle w:val="Heading2"/>
      </w:pPr>
      <w:r>
        <w:t>Outcome</w:t>
      </w:r>
    </w:p>
    <w:p w14:paraId="1F55A20C" w14:textId="2AA7CFFC" w:rsidR="003877C9" w:rsidRDefault="007A7A4E" w:rsidP="0071756D">
      <w:pPr>
        <w:pStyle w:val="Normalnumbered"/>
        <w:numPr>
          <w:ilvl w:val="0"/>
          <w:numId w:val="10"/>
        </w:numPr>
      </w:pPr>
      <w:r w:rsidRPr="001A7A15">
        <w:t>Th</w:t>
      </w:r>
      <w:r>
        <w:t>is</w:t>
      </w:r>
      <w:r w:rsidRPr="001A7A15">
        <w:t xml:space="preserve"> Agreement will </w:t>
      </w:r>
      <w:r>
        <w:t>facilitate achie</w:t>
      </w:r>
      <w:r w:rsidR="003B2A47">
        <w:t>vement of</w:t>
      </w:r>
      <w:r w:rsidR="0071756D">
        <w:t xml:space="preserve"> </w:t>
      </w:r>
      <w:r w:rsidR="006E47AA">
        <w:t xml:space="preserve">improved </w:t>
      </w:r>
      <w:r w:rsidR="003877C9">
        <w:t>access to secure and affordable water for regional communities.</w:t>
      </w:r>
    </w:p>
    <w:p w14:paraId="50ADFF9B" w14:textId="77777777" w:rsidR="00814667" w:rsidRDefault="00814667">
      <w:pPr>
        <w:pStyle w:val="Heading2"/>
      </w:pPr>
      <w:r>
        <w:t>Outputs</w:t>
      </w:r>
    </w:p>
    <w:p w14:paraId="3E33C921" w14:textId="54C7EA6D" w:rsidR="003B2A47" w:rsidRDefault="003B2A47" w:rsidP="00E14134">
      <w:pPr>
        <w:pStyle w:val="AlphaParagraph"/>
        <w:numPr>
          <w:ilvl w:val="0"/>
          <w:numId w:val="10"/>
        </w:numPr>
        <w:tabs>
          <w:tab w:val="clear" w:pos="1134"/>
        </w:tabs>
      </w:pPr>
      <w:r w:rsidRPr="0085738D">
        <w:t>The objectives and outcomes of th</w:t>
      </w:r>
      <w:r>
        <w:t>is Agr</w:t>
      </w:r>
      <w:r w:rsidR="00067314">
        <w:t xml:space="preserve">eement will be achieved </w:t>
      </w:r>
      <w:r w:rsidR="00DF3206">
        <w:t xml:space="preserve">by </w:t>
      </w:r>
      <w:r w:rsidR="00272D65">
        <w:t>construct</w:t>
      </w:r>
      <w:r w:rsidR="00DF3206">
        <w:t>ing</w:t>
      </w:r>
      <w:r w:rsidR="00067314">
        <w:t xml:space="preserve"> new or augmented w</w:t>
      </w:r>
      <w:r w:rsidR="00EF7461">
        <w:t>ater infrastructure</w:t>
      </w:r>
      <w:r w:rsidR="00F237ED">
        <w:t xml:space="preserve"> such as dams, </w:t>
      </w:r>
      <w:r w:rsidR="009C20D2">
        <w:t>weirs</w:t>
      </w:r>
      <w:r w:rsidR="00F237ED">
        <w:t xml:space="preserve"> and pipelines or</w:t>
      </w:r>
      <w:r w:rsidR="00DF3206">
        <w:t xml:space="preserve"> other projects</w:t>
      </w:r>
      <w:r w:rsidR="00D02E58">
        <w:t xml:space="preserve"> as</w:t>
      </w:r>
      <w:r w:rsidR="00F237ED">
        <w:t xml:space="preserve"> </w:t>
      </w:r>
      <w:r w:rsidR="00DF3206">
        <w:t>agreed</w:t>
      </w:r>
      <w:r w:rsidR="00D02E58">
        <w:t xml:space="preserve"> in the </w:t>
      </w:r>
      <w:r w:rsidR="00DF3206">
        <w:t xml:space="preserve">bilateral </w:t>
      </w:r>
      <w:r w:rsidR="00D02E58">
        <w:t>Schedules to this Agreement.</w:t>
      </w:r>
      <w:r w:rsidR="00EF7461">
        <w:t xml:space="preserve"> </w:t>
      </w:r>
    </w:p>
    <w:p w14:paraId="6F6F24BA" w14:textId="77777777" w:rsidR="00814667" w:rsidRDefault="00814667">
      <w:pPr>
        <w:pStyle w:val="Heading1"/>
      </w:pPr>
      <w:r>
        <w:t>Part 3 — roles and responsibilities of each party</w:t>
      </w:r>
    </w:p>
    <w:p w14:paraId="15E0F02E" w14:textId="77777777" w:rsidR="00814667" w:rsidRDefault="00AB79E9" w:rsidP="00E14134">
      <w:pPr>
        <w:pStyle w:val="Normalnumbered"/>
        <w:numPr>
          <w:ilvl w:val="0"/>
          <w:numId w:val="10"/>
        </w:numPr>
        <w:jc w:val="left"/>
      </w:pPr>
      <w:r>
        <w:t xml:space="preserve">To realise the objectives and commitments in this Agreement, each Party has specific roles and responsibilities, as outlined </w:t>
      </w:r>
      <w:r w:rsidRPr="00ED6043">
        <w:t>below</w:t>
      </w:r>
      <w:r>
        <w:t>.</w:t>
      </w:r>
    </w:p>
    <w:p w14:paraId="716ACAE2" w14:textId="77777777" w:rsidR="00814667" w:rsidRDefault="00814667">
      <w:pPr>
        <w:pStyle w:val="Heading2"/>
      </w:pPr>
      <w:r w:rsidRPr="00814590">
        <w:t>Role of the Commonwealth</w:t>
      </w:r>
    </w:p>
    <w:p w14:paraId="28F62675" w14:textId="77777777" w:rsidR="00814590" w:rsidRPr="00336F12" w:rsidRDefault="00814590" w:rsidP="00E14134">
      <w:pPr>
        <w:pStyle w:val="Normalnumbered"/>
        <w:numPr>
          <w:ilvl w:val="0"/>
          <w:numId w:val="10"/>
        </w:numPr>
        <w:jc w:val="left"/>
        <w:rPr>
          <w:color w:val="auto"/>
        </w:rPr>
      </w:pPr>
      <w:r w:rsidRPr="00336F12">
        <w:rPr>
          <w:color w:val="auto"/>
        </w:rPr>
        <w:t xml:space="preserve">The Commonwealth agrees to be </w:t>
      </w:r>
      <w:r w:rsidR="00A10974">
        <w:rPr>
          <w:color w:val="auto"/>
        </w:rPr>
        <w:t>responsible</w:t>
      </w:r>
      <w:r w:rsidR="00AF3346" w:rsidRPr="00336F12">
        <w:rPr>
          <w:color w:val="auto"/>
        </w:rPr>
        <w:t xml:space="preserve"> </w:t>
      </w:r>
      <w:r w:rsidRPr="00336F12">
        <w:rPr>
          <w:color w:val="auto"/>
        </w:rPr>
        <w:t>for:</w:t>
      </w:r>
    </w:p>
    <w:p w14:paraId="062E0EC7" w14:textId="402EF804" w:rsidR="00951BAD" w:rsidRPr="009F379A" w:rsidRDefault="00951BAD" w:rsidP="00E14134">
      <w:pPr>
        <w:pStyle w:val="AlphaParagraph"/>
        <w:numPr>
          <w:ilvl w:val="0"/>
          <w:numId w:val="20"/>
        </w:numPr>
        <w:ind w:left="1134"/>
        <w:rPr>
          <w:color w:val="auto"/>
        </w:rPr>
      </w:pPr>
      <w:r w:rsidRPr="00336F12">
        <w:rPr>
          <w:color w:val="auto"/>
        </w:rPr>
        <w:t>assessing and determining which projects are to be funded under this Agreement, in consultation with the States;</w:t>
      </w:r>
    </w:p>
    <w:p w14:paraId="20AE9F6D" w14:textId="499FFA04" w:rsidR="000B6DA9" w:rsidRPr="009F379A" w:rsidRDefault="00AD670F" w:rsidP="00E14134">
      <w:pPr>
        <w:pStyle w:val="AlphaParagraph"/>
        <w:numPr>
          <w:ilvl w:val="0"/>
          <w:numId w:val="15"/>
        </w:numPr>
        <w:ind w:left="1134"/>
      </w:pPr>
      <w:r w:rsidRPr="002A4720">
        <w:t xml:space="preserve">providing </w:t>
      </w:r>
      <w:r w:rsidR="00D802FC" w:rsidRPr="002A4720">
        <w:t>a financial contribution</w:t>
      </w:r>
      <w:r w:rsidRPr="002A4720">
        <w:t xml:space="preserve"> to the States to support the </w:t>
      </w:r>
      <w:r w:rsidR="001B7933" w:rsidRPr="002A4720">
        <w:t>implementation</w:t>
      </w:r>
      <w:r w:rsidR="00DE4A6C" w:rsidRPr="002A4720">
        <w:t xml:space="preserve"> of</w:t>
      </w:r>
      <w:r w:rsidR="00327CD0" w:rsidRPr="002A4720">
        <w:t xml:space="preserve"> this Agreement;</w:t>
      </w:r>
    </w:p>
    <w:p w14:paraId="18382AF4" w14:textId="7C636003" w:rsidR="00C05CC6" w:rsidRPr="009F379A" w:rsidRDefault="00AD670F" w:rsidP="00E14134">
      <w:pPr>
        <w:pStyle w:val="AlphaParagraph"/>
        <w:numPr>
          <w:ilvl w:val="0"/>
          <w:numId w:val="15"/>
        </w:numPr>
        <w:ind w:left="1134"/>
      </w:pPr>
      <w:r w:rsidRPr="006B4DF0">
        <w:t>monitoring and assessing the performance in the delivery of</w:t>
      </w:r>
      <w:r w:rsidR="00E24AA8">
        <w:t xml:space="preserve"> projects</w:t>
      </w:r>
      <w:r w:rsidRPr="00C05CC6">
        <w:rPr>
          <w:i/>
        </w:rPr>
        <w:t xml:space="preserve"> </w:t>
      </w:r>
      <w:r w:rsidR="00F26F9C">
        <w:t xml:space="preserve">funded </w:t>
      </w:r>
      <w:r w:rsidRPr="00896477">
        <w:t>under this Agreement</w:t>
      </w:r>
      <w:r w:rsidR="00896477">
        <w:t xml:space="preserve"> to ensure that outputs are delivered and outcomes are achieved within the agreed timeframe</w:t>
      </w:r>
      <w:r w:rsidR="00814590" w:rsidRPr="00896477">
        <w:t>;</w:t>
      </w:r>
    </w:p>
    <w:p w14:paraId="027A4064" w14:textId="2935C4B4" w:rsidR="00DD1898" w:rsidRPr="009F379A" w:rsidRDefault="00DD1898" w:rsidP="00E14134">
      <w:pPr>
        <w:pStyle w:val="AlphaParagraph"/>
        <w:numPr>
          <w:ilvl w:val="0"/>
          <w:numId w:val="15"/>
        </w:numPr>
        <w:ind w:left="1134"/>
        <w:rPr>
          <w:color w:val="auto"/>
        </w:rPr>
      </w:pPr>
      <w:r w:rsidRPr="00A53189">
        <w:rPr>
          <w:color w:val="auto"/>
          <w:szCs w:val="23"/>
        </w:rPr>
        <w:t xml:space="preserve">in accordance with the </w:t>
      </w:r>
      <w:r w:rsidR="00B40E38" w:rsidRPr="00B40E38">
        <w:rPr>
          <w:i/>
          <w:color w:val="auto"/>
          <w:szCs w:val="23"/>
        </w:rPr>
        <w:t>Fair Work (Building Industry) Act 2012</w:t>
      </w:r>
      <w:r w:rsidRPr="00A53189">
        <w:rPr>
          <w:color w:val="auto"/>
        </w:rPr>
        <w:t xml:space="preserve">, </w:t>
      </w:r>
      <w:r w:rsidRPr="00A53189">
        <w:rPr>
          <w:color w:val="auto"/>
          <w:szCs w:val="23"/>
        </w:rPr>
        <w:t xml:space="preserve">ensuring that </w:t>
      </w:r>
      <w:r w:rsidRPr="00A53189">
        <w:rPr>
          <w:color w:val="auto"/>
        </w:rPr>
        <w:t xml:space="preserve">financial contributions to a building project or projects as defined under the </w:t>
      </w:r>
      <w:r w:rsidR="00B40E38" w:rsidRPr="00B40E38">
        <w:rPr>
          <w:color w:val="auto"/>
          <w:szCs w:val="23"/>
        </w:rPr>
        <w:t>Fair Work (Building Industry – Accreditation Scheme) Regulations 2005</w:t>
      </w:r>
      <w:r w:rsidRPr="00A53189">
        <w:rPr>
          <w:color w:val="auto"/>
        </w:rPr>
        <w:t xml:space="preserve">, are only made where a builder or builders accredited under the Australian Government Building and Construction </w:t>
      </w:r>
      <w:r w:rsidR="00BB6CE4">
        <w:rPr>
          <w:color w:val="auto"/>
        </w:rPr>
        <w:t xml:space="preserve">WHS </w:t>
      </w:r>
      <w:r w:rsidRPr="00A53189">
        <w:rPr>
          <w:color w:val="auto"/>
        </w:rPr>
        <w:t xml:space="preserve">Accreditation </w:t>
      </w:r>
      <w:r w:rsidR="0051602E">
        <w:rPr>
          <w:color w:val="auto"/>
        </w:rPr>
        <w:t>Scheme is contracted</w:t>
      </w:r>
      <w:r w:rsidR="007201FF">
        <w:rPr>
          <w:color w:val="auto"/>
        </w:rPr>
        <w:t>;</w:t>
      </w:r>
    </w:p>
    <w:p w14:paraId="6D50943F" w14:textId="1B6BE5D6" w:rsidR="001D08C2" w:rsidRPr="001D08C2" w:rsidRDefault="00DD1898" w:rsidP="00E14134">
      <w:pPr>
        <w:pStyle w:val="AlphaParagraph"/>
        <w:numPr>
          <w:ilvl w:val="0"/>
          <w:numId w:val="15"/>
        </w:numPr>
        <w:tabs>
          <w:tab w:val="clear" w:pos="567"/>
        </w:tabs>
        <w:ind w:left="1134"/>
      </w:pPr>
      <w:r w:rsidRPr="00E24AA8">
        <w:rPr>
          <w:color w:val="auto"/>
        </w:rPr>
        <w:t xml:space="preserve">ensuring that compliance with the </w:t>
      </w:r>
      <w:r w:rsidR="00025539" w:rsidRPr="00E24AA8">
        <w:rPr>
          <w:color w:val="auto"/>
        </w:rPr>
        <w:t>Building</w:t>
      </w:r>
      <w:r w:rsidRPr="00E24AA8">
        <w:rPr>
          <w:color w:val="auto"/>
        </w:rPr>
        <w:t xml:space="preserve"> Code </w:t>
      </w:r>
      <w:r w:rsidR="00EE757F">
        <w:rPr>
          <w:color w:val="auto"/>
        </w:rPr>
        <w:t>2016</w:t>
      </w:r>
      <w:r w:rsidRPr="00E24AA8">
        <w:rPr>
          <w:color w:val="auto"/>
        </w:rPr>
        <w:t xml:space="preserve"> is a condition of Australian Government funding</w:t>
      </w:r>
      <w:r w:rsidR="00C8477E">
        <w:rPr>
          <w:color w:val="auto"/>
        </w:rPr>
        <w:t>; and</w:t>
      </w:r>
    </w:p>
    <w:p w14:paraId="2704FBA5" w14:textId="0CC9A165" w:rsidR="00516741" w:rsidRPr="00751725" w:rsidRDefault="00C8477E" w:rsidP="00C8477E">
      <w:pPr>
        <w:pStyle w:val="AlphaParagraph"/>
        <w:numPr>
          <w:ilvl w:val="0"/>
          <w:numId w:val="15"/>
        </w:numPr>
        <w:tabs>
          <w:tab w:val="clear" w:pos="567"/>
        </w:tabs>
        <w:ind w:left="1134"/>
      </w:pPr>
      <w:r>
        <w:rPr>
          <w:color w:val="auto"/>
        </w:rPr>
        <w:t>conducting a review of this Agreement in accordance with clause 27</w:t>
      </w:r>
      <w:r w:rsidRPr="00E24AA8">
        <w:rPr>
          <w:i/>
        </w:rPr>
        <w:t>.</w:t>
      </w:r>
    </w:p>
    <w:p w14:paraId="0536AF15" w14:textId="0EC7EB49" w:rsidR="00814667" w:rsidRPr="00751725" w:rsidRDefault="00814667">
      <w:pPr>
        <w:pStyle w:val="Heading2"/>
      </w:pPr>
      <w:r w:rsidRPr="00751725">
        <w:lastRenderedPageBreak/>
        <w:t xml:space="preserve">Role of the States </w:t>
      </w:r>
    </w:p>
    <w:p w14:paraId="1DE75D59" w14:textId="77777777" w:rsidR="00814590" w:rsidRPr="00751725" w:rsidRDefault="00814590" w:rsidP="00E14134">
      <w:pPr>
        <w:pStyle w:val="Normalnumbered"/>
        <w:numPr>
          <w:ilvl w:val="0"/>
          <w:numId w:val="10"/>
        </w:numPr>
        <w:jc w:val="left"/>
      </w:pPr>
      <w:r w:rsidRPr="00751725">
        <w:t xml:space="preserve">The States agree to be </w:t>
      </w:r>
      <w:r w:rsidR="00AF3346">
        <w:t>responsible</w:t>
      </w:r>
      <w:r w:rsidR="00AF3346" w:rsidRPr="00751725">
        <w:t xml:space="preserve"> </w:t>
      </w:r>
      <w:r w:rsidRPr="00751725">
        <w:t>for:</w:t>
      </w:r>
    </w:p>
    <w:p w14:paraId="6048B53C" w14:textId="269A0459" w:rsidR="0019399D" w:rsidRDefault="006B4DF0" w:rsidP="0019399D">
      <w:pPr>
        <w:pStyle w:val="AlphaParagraph"/>
        <w:numPr>
          <w:ilvl w:val="0"/>
          <w:numId w:val="21"/>
        </w:numPr>
        <w:tabs>
          <w:tab w:val="left" w:pos="1134"/>
        </w:tabs>
        <w:ind w:left="1134"/>
      </w:pPr>
      <w:r w:rsidRPr="00751725">
        <w:t xml:space="preserve">providing </w:t>
      </w:r>
      <w:r w:rsidRPr="002A4720">
        <w:t>a</w:t>
      </w:r>
      <w:r w:rsidR="00EF72D4" w:rsidRPr="002A4720">
        <w:t xml:space="preserve"> </w:t>
      </w:r>
      <w:r w:rsidR="00D85ABE">
        <w:t xml:space="preserve">financial </w:t>
      </w:r>
      <w:r w:rsidRPr="002A4720">
        <w:t xml:space="preserve">contribution </w:t>
      </w:r>
      <w:r w:rsidR="00C8477E">
        <w:t xml:space="preserve">that at least matches the Commonwealth contribution </w:t>
      </w:r>
      <w:r w:rsidRPr="002A4720">
        <w:t>to</w:t>
      </w:r>
      <w:r w:rsidRPr="00751725">
        <w:t xml:space="preserve"> support the </w:t>
      </w:r>
      <w:r w:rsidR="00DF3206">
        <w:t>completion</w:t>
      </w:r>
      <w:r w:rsidR="00DF3206" w:rsidRPr="00751725">
        <w:t xml:space="preserve"> </w:t>
      </w:r>
      <w:r w:rsidRPr="00751725">
        <w:t xml:space="preserve">of </w:t>
      </w:r>
      <w:r w:rsidR="00A23CBA">
        <w:t xml:space="preserve">projects funded under </w:t>
      </w:r>
      <w:r w:rsidRPr="00751725">
        <w:t>this Agreement</w:t>
      </w:r>
      <w:r w:rsidR="00C8477E">
        <w:t xml:space="preserve"> in accordance with clause 2</w:t>
      </w:r>
      <w:r w:rsidR="006767CC">
        <w:t>0</w:t>
      </w:r>
      <w:r w:rsidR="00C8477E">
        <w:t xml:space="preserve"> of this Agreement</w:t>
      </w:r>
      <w:r w:rsidRPr="00751725">
        <w:t>;</w:t>
      </w:r>
    </w:p>
    <w:p w14:paraId="1AA3FBBF" w14:textId="32E31F30" w:rsidR="0019399D" w:rsidRDefault="00881C48" w:rsidP="0019399D">
      <w:pPr>
        <w:pStyle w:val="AlphaParagraph"/>
        <w:numPr>
          <w:ilvl w:val="0"/>
          <w:numId w:val="21"/>
        </w:numPr>
        <w:tabs>
          <w:tab w:val="left" w:pos="1134"/>
        </w:tabs>
        <w:ind w:left="1134"/>
      </w:pPr>
      <w:r>
        <w:t>p</w:t>
      </w:r>
      <w:r w:rsidR="0019399D">
        <w:t xml:space="preserve">roviding the Commonwealth with project plans for projects funded under this Agreement; </w:t>
      </w:r>
    </w:p>
    <w:p w14:paraId="1FFD9340" w14:textId="77777777" w:rsidR="0019399D" w:rsidRDefault="0019399D" w:rsidP="00BD77A9">
      <w:pPr>
        <w:pStyle w:val="AlphaParagraph"/>
        <w:numPr>
          <w:ilvl w:val="2"/>
          <w:numId w:val="15"/>
        </w:numPr>
        <w:tabs>
          <w:tab w:val="clear" w:pos="567"/>
          <w:tab w:val="clear" w:pos="1134"/>
          <w:tab w:val="left" w:pos="1701"/>
        </w:tabs>
        <w:ind w:hanging="425"/>
      </w:pPr>
      <w:r>
        <w:t>Project plans will include details on scope, project schedule, budget, project stakeholders, governance arrangements, communication plan, high level design plans and a risk management plan. The States will determine how to meet this requirement and may use existing documentation as relevant to the project.</w:t>
      </w:r>
    </w:p>
    <w:p w14:paraId="5E06AEF4" w14:textId="0ABE6D0D" w:rsidR="0019399D" w:rsidRDefault="0019399D" w:rsidP="00BD77A9">
      <w:pPr>
        <w:pStyle w:val="AlphaParagraph"/>
        <w:numPr>
          <w:ilvl w:val="2"/>
          <w:numId w:val="15"/>
        </w:numPr>
        <w:tabs>
          <w:tab w:val="clear" w:pos="567"/>
          <w:tab w:val="clear" w:pos="1134"/>
          <w:tab w:val="left" w:pos="1701"/>
        </w:tabs>
        <w:ind w:hanging="425"/>
      </w:pPr>
      <w:r>
        <w:t>Project plans will be flexible documents that may be varied to accommodate changed circumstances. Any variations to project plans that impact on milestones and payments under this Agreement will be subject to arrangements set out in clause</w:t>
      </w:r>
      <w:r w:rsidR="008945F0">
        <w:t>s</w:t>
      </w:r>
      <w:r>
        <w:t xml:space="preserve"> </w:t>
      </w:r>
      <w:r w:rsidR="008945F0">
        <w:t>29 and 30</w:t>
      </w:r>
      <w:r>
        <w:t xml:space="preserve"> of this Agreement. </w:t>
      </w:r>
    </w:p>
    <w:p w14:paraId="25DCB220" w14:textId="1FE266AD" w:rsidR="008754CB" w:rsidRPr="00A105BF" w:rsidRDefault="008754CB" w:rsidP="00E14134">
      <w:pPr>
        <w:pStyle w:val="AlphaParagraph"/>
        <w:numPr>
          <w:ilvl w:val="0"/>
          <w:numId w:val="15"/>
        </w:numPr>
        <w:tabs>
          <w:tab w:val="left" w:pos="1134"/>
        </w:tabs>
        <w:ind w:left="1134"/>
      </w:pPr>
      <w:bookmarkStart w:id="3" w:name="OLE_LINK1"/>
      <w:bookmarkStart w:id="4" w:name="OLE_LINK2"/>
      <w:r>
        <w:t xml:space="preserve">all aspects of </w:t>
      </w:r>
      <w:r w:rsidR="00D85ABE">
        <w:t xml:space="preserve">the </w:t>
      </w:r>
      <w:r>
        <w:t xml:space="preserve">delivery </w:t>
      </w:r>
      <w:r w:rsidR="00D85ABE">
        <w:t>of</w:t>
      </w:r>
      <w:r>
        <w:t xml:space="preserve"> water infrastructure projects as set out in the Agreement and the </w:t>
      </w:r>
      <w:r w:rsidR="000B6DA9">
        <w:t>respective S</w:t>
      </w:r>
      <w:r>
        <w:t>chedules to the Agreement;</w:t>
      </w:r>
    </w:p>
    <w:p w14:paraId="1EAA414E" w14:textId="73497917" w:rsidR="008754CB" w:rsidRPr="00A105BF" w:rsidRDefault="008754CB" w:rsidP="007655E4">
      <w:pPr>
        <w:pStyle w:val="AlphaParagraph"/>
        <w:numPr>
          <w:ilvl w:val="2"/>
          <w:numId w:val="15"/>
        </w:numPr>
        <w:tabs>
          <w:tab w:val="clear" w:pos="567"/>
          <w:tab w:val="clear" w:pos="1134"/>
          <w:tab w:val="left" w:pos="1701"/>
        </w:tabs>
        <w:ind w:hanging="425"/>
      </w:pPr>
      <w:r>
        <w:t>this may include on-forwarding Commonwealth funding contributions to, and coordinating with</w:t>
      </w:r>
      <w:r w:rsidR="00C8477E">
        <w:t xml:space="preserve"> third parties including local governments and other</w:t>
      </w:r>
      <w:r>
        <w:t xml:space="preserve"> non-government organisations for the purpose of meeting the requirements of the Agreement.</w:t>
      </w:r>
    </w:p>
    <w:p w14:paraId="04981259" w14:textId="77777777" w:rsidR="00E24AA8" w:rsidRPr="000B6DA9" w:rsidRDefault="00D802FC" w:rsidP="00E14134">
      <w:pPr>
        <w:pStyle w:val="AlphaParagraph"/>
        <w:numPr>
          <w:ilvl w:val="0"/>
          <w:numId w:val="15"/>
        </w:numPr>
        <w:tabs>
          <w:tab w:val="left" w:pos="567"/>
          <w:tab w:val="left" w:pos="1134"/>
        </w:tabs>
        <w:spacing w:after="246"/>
        <w:ind w:left="1134"/>
        <w:rPr>
          <w:color w:val="auto"/>
        </w:rPr>
      </w:pPr>
      <w:r w:rsidRPr="006B4DF0">
        <w:t xml:space="preserve">reporting on the delivery of </w:t>
      </w:r>
      <w:r w:rsidR="00333506">
        <w:t>outcomes and outputs</w:t>
      </w:r>
      <w:r w:rsidR="00333506" w:rsidRPr="006B4DF0">
        <w:t xml:space="preserve"> </w:t>
      </w:r>
      <w:r w:rsidRPr="006B4DF0">
        <w:t xml:space="preserve">as set out in Part 4 – Performance </w:t>
      </w:r>
      <w:r w:rsidR="00755B01">
        <w:t>Monitoring</w:t>
      </w:r>
      <w:r w:rsidRPr="006B4DF0">
        <w:t xml:space="preserve"> and Reporting;</w:t>
      </w:r>
      <w:bookmarkEnd w:id="3"/>
      <w:bookmarkEnd w:id="4"/>
    </w:p>
    <w:p w14:paraId="59049EF9" w14:textId="244992B1" w:rsidR="00DD1898" w:rsidRPr="00E24AA8" w:rsidRDefault="00DD1898" w:rsidP="00E14134">
      <w:pPr>
        <w:pStyle w:val="AlphaParagraph"/>
        <w:numPr>
          <w:ilvl w:val="0"/>
          <w:numId w:val="15"/>
        </w:numPr>
        <w:tabs>
          <w:tab w:val="left" w:pos="567"/>
          <w:tab w:val="left" w:pos="1134"/>
        </w:tabs>
        <w:spacing w:after="246"/>
        <w:ind w:left="1134"/>
        <w:rPr>
          <w:color w:val="auto"/>
        </w:rPr>
      </w:pPr>
      <w:r w:rsidRPr="00E24AA8">
        <w:rPr>
          <w:color w:val="auto"/>
        </w:rPr>
        <w:t xml:space="preserve">ensuring that only a builder or builders accredited under the Australian Government Building and Construction </w:t>
      </w:r>
      <w:r w:rsidR="00BB6CE4" w:rsidRPr="00E24AA8">
        <w:rPr>
          <w:color w:val="auto"/>
        </w:rPr>
        <w:t>WHS</w:t>
      </w:r>
      <w:r w:rsidRPr="00E24AA8">
        <w:rPr>
          <w:color w:val="auto"/>
        </w:rPr>
        <w:t xml:space="preserve"> Accreditation Scheme is contracted, and providing the necessary assurances to the Commonwealth;</w:t>
      </w:r>
    </w:p>
    <w:p w14:paraId="032E4FD2" w14:textId="2C473E08" w:rsidR="001D08C2" w:rsidRDefault="00DD1898" w:rsidP="00E14134">
      <w:pPr>
        <w:pStyle w:val="AlphaParagraph"/>
        <w:numPr>
          <w:ilvl w:val="0"/>
          <w:numId w:val="15"/>
        </w:numPr>
        <w:tabs>
          <w:tab w:val="left" w:pos="1134"/>
        </w:tabs>
        <w:ind w:left="1134"/>
        <w:rPr>
          <w:color w:val="auto"/>
        </w:rPr>
      </w:pPr>
      <w:r w:rsidRPr="00A53189">
        <w:rPr>
          <w:color w:val="auto"/>
        </w:rPr>
        <w:t xml:space="preserve">ensuring that compliance with the </w:t>
      </w:r>
      <w:r w:rsidR="00025539">
        <w:rPr>
          <w:color w:val="auto"/>
        </w:rPr>
        <w:t>Building</w:t>
      </w:r>
      <w:r w:rsidRPr="00A53189">
        <w:rPr>
          <w:color w:val="auto"/>
        </w:rPr>
        <w:t xml:space="preserve"> Code </w:t>
      </w:r>
      <w:r w:rsidR="00025539">
        <w:rPr>
          <w:color w:val="auto"/>
        </w:rPr>
        <w:t>201</w:t>
      </w:r>
      <w:r w:rsidR="00EE757F">
        <w:rPr>
          <w:color w:val="auto"/>
        </w:rPr>
        <w:t>6</w:t>
      </w:r>
      <w:r w:rsidRPr="00A53189">
        <w:rPr>
          <w:color w:val="auto"/>
        </w:rPr>
        <w:t xml:space="preserve"> is made a condition of tender for all contractors and subcontractors who tender for the work, and providing the necessary </w:t>
      </w:r>
      <w:r w:rsidR="007655E4">
        <w:rPr>
          <w:color w:val="auto"/>
        </w:rPr>
        <w:t>assurances to the Commonwealth</w:t>
      </w:r>
      <w:r w:rsidR="00C8477E">
        <w:rPr>
          <w:color w:val="auto"/>
        </w:rPr>
        <w:t>; and</w:t>
      </w:r>
    </w:p>
    <w:p w14:paraId="21538A9B" w14:textId="40869C1F" w:rsidR="00DD1898" w:rsidRPr="00D2405C" w:rsidRDefault="00C8477E" w:rsidP="00D2405C">
      <w:pPr>
        <w:pStyle w:val="AlphaParagraph"/>
        <w:numPr>
          <w:ilvl w:val="0"/>
          <w:numId w:val="15"/>
        </w:numPr>
        <w:tabs>
          <w:tab w:val="left" w:pos="1134"/>
        </w:tabs>
        <w:ind w:left="1134"/>
        <w:rPr>
          <w:color w:val="auto"/>
        </w:rPr>
      </w:pPr>
      <w:r>
        <w:rPr>
          <w:color w:val="auto"/>
        </w:rPr>
        <w:t>contributing to the review of this Agreement to be conducted by the Commonwealth in accordance with clause 27.</w:t>
      </w:r>
    </w:p>
    <w:p w14:paraId="1CF90F1D" w14:textId="77777777" w:rsidR="00AB79E9" w:rsidRDefault="00AB79E9" w:rsidP="00AB79E9">
      <w:pPr>
        <w:pStyle w:val="Heading2"/>
      </w:pPr>
      <w:r w:rsidRPr="00DB4DA8">
        <w:t>Shared roles and responsibilities</w:t>
      </w:r>
    </w:p>
    <w:p w14:paraId="19C584DC" w14:textId="77777777" w:rsidR="00091DF8" w:rsidRDefault="00287DCC" w:rsidP="00E14134">
      <w:pPr>
        <w:pStyle w:val="Normalnumbered"/>
        <w:keepNext/>
        <w:numPr>
          <w:ilvl w:val="0"/>
          <w:numId w:val="10"/>
        </w:numPr>
      </w:pPr>
      <w:r w:rsidRPr="0093296C">
        <w:t>T</w:t>
      </w:r>
      <w:r w:rsidR="00AB79E9" w:rsidRPr="0093296C">
        <w:t>he Commonwealth</w:t>
      </w:r>
      <w:r w:rsidRPr="0093296C">
        <w:t xml:space="preserve"> and the </w:t>
      </w:r>
      <w:r w:rsidR="00AB79E9" w:rsidRPr="0093296C">
        <w:t>States</w:t>
      </w:r>
      <w:r w:rsidRPr="0093296C">
        <w:t xml:space="preserve"> </w:t>
      </w:r>
      <w:r w:rsidR="00F1611B">
        <w:t>a</w:t>
      </w:r>
      <w:r w:rsidR="007E5117">
        <w:t>gree to be</w:t>
      </w:r>
      <w:r w:rsidR="00F1611B">
        <w:t xml:space="preserve"> jointly </w:t>
      </w:r>
      <w:r w:rsidR="00AF3346">
        <w:t>responsible</w:t>
      </w:r>
      <w:r w:rsidR="00F1611B">
        <w:t xml:space="preserve"> for: </w:t>
      </w:r>
    </w:p>
    <w:p w14:paraId="49869DAD" w14:textId="220657EA" w:rsidR="00AB79E9" w:rsidRPr="0093296C" w:rsidRDefault="00AB79E9" w:rsidP="00E14134">
      <w:pPr>
        <w:pStyle w:val="AlphaParagraph"/>
        <w:numPr>
          <w:ilvl w:val="0"/>
          <w:numId w:val="22"/>
        </w:numPr>
        <w:ind w:left="1134"/>
      </w:pPr>
      <w:r w:rsidRPr="0093296C">
        <w:t xml:space="preserve">participating in consultations as appropriate regarding </w:t>
      </w:r>
      <w:r w:rsidR="00814590" w:rsidRPr="0093296C">
        <w:t xml:space="preserve">the </w:t>
      </w:r>
      <w:r w:rsidRPr="0093296C">
        <w:t>implementation of this</w:t>
      </w:r>
      <w:r w:rsidR="00814590" w:rsidRPr="0093296C">
        <w:t xml:space="preserve"> </w:t>
      </w:r>
      <w:r w:rsidRPr="0093296C">
        <w:t>Agreement;</w:t>
      </w:r>
      <w:r w:rsidR="00C8477E">
        <w:t xml:space="preserve"> and</w:t>
      </w:r>
    </w:p>
    <w:p w14:paraId="76FC7E79" w14:textId="372A87F9" w:rsidR="00AB79E9" w:rsidRDefault="00C8477E" w:rsidP="00AB1B5D">
      <w:pPr>
        <w:pStyle w:val="AlphaParagraph"/>
        <w:numPr>
          <w:ilvl w:val="0"/>
          <w:numId w:val="15"/>
        </w:numPr>
        <w:ind w:left="1134"/>
      </w:pPr>
      <w:r>
        <w:t xml:space="preserve">developing and agreeing </w:t>
      </w:r>
      <w:r w:rsidR="00287DCC">
        <w:t xml:space="preserve">new or revised </w:t>
      </w:r>
      <w:r w:rsidR="001A1422">
        <w:t>S</w:t>
      </w:r>
      <w:r w:rsidR="00287DCC">
        <w:t>chedules</w:t>
      </w:r>
      <w:r w:rsidR="001A1422">
        <w:t xml:space="preserve"> </w:t>
      </w:r>
      <w:r w:rsidR="00287DCC">
        <w:t>to this</w:t>
      </w:r>
      <w:r w:rsidR="003F4C7D">
        <w:t xml:space="preserve"> </w:t>
      </w:r>
      <w:r w:rsidR="00814590">
        <w:t>A</w:t>
      </w:r>
      <w:r w:rsidR="00287DCC">
        <w:t>greement</w:t>
      </w:r>
      <w:r w:rsidR="00703194">
        <w:t>.</w:t>
      </w:r>
    </w:p>
    <w:p w14:paraId="4F8CD3EE" w14:textId="38353FAE" w:rsidR="00091DF8" w:rsidRPr="00336F12" w:rsidRDefault="00091DF8" w:rsidP="00E14134">
      <w:pPr>
        <w:pStyle w:val="Normalnumbered"/>
        <w:numPr>
          <w:ilvl w:val="0"/>
          <w:numId w:val="10"/>
        </w:numPr>
        <w:rPr>
          <w:color w:val="auto"/>
        </w:rPr>
      </w:pPr>
      <w:r w:rsidRPr="00336F12">
        <w:rPr>
          <w:color w:val="auto"/>
        </w:rPr>
        <w:t>The Parties will meet the requirements of Schedule E, Clause 26 of the I</w:t>
      </w:r>
      <w:r w:rsidR="00DA552B">
        <w:rPr>
          <w:color w:val="auto"/>
        </w:rPr>
        <w:t>GA FFR</w:t>
      </w:r>
      <w:r w:rsidRPr="00336F12">
        <w:rPr>
          <w:color w:val="auto"/>
        </w:rPr>
        <w:t>, by ensuring that prior agreement is reached on the nature and content of any events, announcements, promotional material or publicity relating to activities under a</w:t>
      </w:r>
      <w:r w:rsidR="00D348BD">
        <w:rPr>
          <w:color w:val="auto"/>
        </w:rPr>
        <w:t xml:space="preserve"> Schedule</w:t>
      </w:r>
      <w:r w:rsidRPr="00336F12">
        <w:rPr>
          <w:color w:val="auto"/>
        </w:rPr>
        <w:t>, and that the roles of both Parties will be acknowledged and recognised appropriately.</w:t>
      </w:r>
    </w:p>
    <w:p w14:paraId="3B0F81BF" w14:textId="77777777" w:rsidR="00814667" w:rsidRPr="00814590" w:rsidRDefault="00814667">
      <w:pPr>
        <w:pStyle w:val="Heading1"/>
      </w:pPr>
      <w:r w:rsidRPr="00814590">
        <w:lastRenderedPageBreak/>
        <w:t xml:space="preserve">Part 4 — Performance </w:t>
      </w:r>
      <w:r w:rsidR="00ED0175">
        <w:t>monitoring</w:t>
      </w:r>
      <w:r w:rsidR="00ED0175" w:rsidRPr="00814590">
        <w:t xml:space="preserve"> </w:t>
      </w:r>
      <w:r w:rsidRPr="00814590">
        <w:t>and reporting</w:t>
      </w:r>
    </w:p>
    <w:p w14:paraId="0C8A8D75" w14:textId="7CC7AC9A" w:rsidR="00814667" w:rsidRDefault="00D348BD" w:rsidP="00FB1767">
      <w:pPr>
        <w:pStyle w:val="Normalnumbered"/>
        <w:numPr>
          <w:ilvl w:val="0"/>
          <w:numId w:val="10"/>
        </w:numPr>
        <w:jc w:val="left"/>
      </w:pPr>
      <w:r>
        <w:t xml:space="preserve">The milestones of each projects, their relationship to the output of the Agreement, expected completion dates, relevant reporting dates and expected payments, are set out in bilateral Schedules to this Agreement. The Commonwealth will make payments subject to performance reports demonstrating that the relevant milestone has been met. </w:t>
      </w:r>
    </w:p>
    <w:p w14:paraId="6918A245" w14:textId="7D0F4406" w:rsidR="00F3245D" w:rsidRDefault="00F3245D" w:rsidP="00F3245D">
      <w:pPr>
        <w:pStyle w:val="Heading2"/>
      </w:pPr>
      <w:r>
        <w:t>Reporting arrangements</w:t>
      </w:r>
    </w:p>
    <w:p w14:paraId="62AAF67C" w14:textId="5C5A84C4" w:rsidR="00FC38A6" w:rsidRPr="00415BDC" w:rsidRDefault="00F237ED" w:rsidP="00415BDC">
      <w:pPr>
        <w:pStyle w:val="ListParagraph"/>
        <w:numPr>
          <w:ilvl w:val="0"/>
          <w:numId w:val="10"/>
        </w:numPr>
        <w:spacing w:after="240"/>
        <w:rPr>
          <w:rFonts w:ascii="Corbel" w:hAnsi="Corbel"/>
          <w:color w:val="000000"/>
          <w:sz w:val="23"/>
          <w:szCs w:val="20"/>
        </w:rPr>
      </w:pPr>
      <w:r w:rsidRPr="00415BDC">
        <w:rPr>
          <w:rFonts w:ascii="Corbel" w:hAnsi="Corbel"/>
          <w:color w:val="000000"/>
          <w:sz w:val="23"/>
          <w:szCs w:val="20"/>
        </w:rPr>
        <w:t>The States will report the minimum required, that is six-monthly</w:t>
      </w:r>
      <w:r w:rsidR="00EE167C">
        <w:rPr>
          <w:rFonts w:ascii="Corbel" w:hAnsi="Corbel"/>
          <w:color w:val="000000"/>
          <w:sz w:val="23"/>
          <w:szCs w:val="20"/>
        </w:rPr>
        <w:t xml:space="preserve"> </w:t>
      </w:r>
      <w:r w:rsidR="005A57EA" w:rsidRPr="00415BDC">
        <w:rPr>
          <w:rFonts w:ascii="Corbel" w:hAnsi="Corbel"/>
          <w:color w:val="000000"/>
          <w:sz w:val="23"/>
          <w:szCs w:val="20"/>
        </w:rPr>
        <w:t xml:space="preserve">to demonstrate that Commonwealth funding has been matched and milestones have been met </w:t>
      </w:r>
      <w:r w:rsidR="00D91B9D" w:rsidRPr="00415BDC">
        <w:rPr>
          <w:rFonts w:ascii="Corbel" w:hAnsi="Corbel"/>
          <w:color w:val="000000"/>
          <w:sz w:val="23"/>
          <w:szCs w:val="20"/>
        </w:rPr>
        <w:t>in</w:t>
      </w:r>
      <w:r w:rsidR="00C8477E">
        <w:rPr>
          <w:rFonts w:ascii="Corbel" w:hAnsi="Corbel"/>
          <w:color w:val="000000"/>
          <w:sz w:val="23"/>
          <w:szCs w:val="20"/>
        </w:rPr>
        <w:t xml:space="preserve"> accordance with the</w:t>
      </w:r>
      <w:r w:rsidR="00D91B9D" w:rsidRPr="00415BDC">
        <w:rPr>
          <w:rFonts w:ascii="Corbel" w:hAnsi="Corbel"/>
          <w:color w:val="000000"/>
          <w:sz w:val="23"/>
          <w:szCs w:val="20"/>
        </w:rPr>
        <w:t xml:space="preserve"> </w:t>
      </w:r>
      <w:r w:rsidR="00206093" w:rsidRPr="00415BDC">
        <w:rPr>
          <w:rFonts w:ascii="Corbel" w:hAnsi="Corbel"/>
          <w:color w:val="000000"/>
          <w:sz w:val="23"/>
          <w:szCs w:val="20"/>
        </w:rPr>
        <w:t xml:space="preserve">bilateral </w:t>
      </w:r>
      <w:r w:rsidR="00990615" w:rsidRPr="00415BDC">
        <w:rPr>
          <w:rFonts w:ascii="Corbel" w:hAnsi="Corbel"/>
          <w:color w:val="000000"/>
          <w:sz w:val="23"/>
          <w:szCs w:val="20"/>
        </w:rPr>
        <w:t>S</w:t>
      </w:r>
      <w:r w:rsidR="00206093" w:rsidRPr="00415BDC">
        <w:rPr>
          <w:rFonts w:ascii="Corbel" w:hAnsi="Corbel"/>
          <w:color w:val="000000"/>
          <w:sz w:val="23"/>
          <w:szCs w:val="20"/>
        </w:rPr>
        <w:t>chedules</w:t>
      </w:r>
      <w:r w:rsidR="00D91B9D" w:rsidRPr="00415BDC">
        <w:rPr>
          <w:rFonts w:ascii="Corbel" w:hAnsi="Corbel"/>
          <w:color w:val="000000"/>
          <w:sz w:val="23"/>
          <w:szCs w:val="20"/>
        </w:rPr>
        <w:t xml:space="preserve"> to this Agreement</w:t>
      </w:r>
      <w:r w:rsidR="00206093" w:rsidRPr="00415BDC">
        <w:rPr>
          <w:rFonts w:ascii="Corbel" w:hAnsi="Corbel"/>
          <w:color w:val="000000"/>
          <w:sz w:val="23"/>
          <w:szCs w:val="20"/>
        </w:rPr>
        <w:t>.</w:t>
      </w:r>
    </w:p>
    <w:p w14:paraId="2F9BEA7C" w14:textId="10834F1F" w:rsidR="00F26F9C" w:rsidRDefault="00723C59" w:rsidP="00F26F9C">
      <w:pPr>
        <w:pStyle w:val="Normalnumbered"/>
        <w:numPr>
          <w:ilvl w:val="0"/>
          <w:numId w:val="10"/>
        </w:numPr>
        <w:jc w:val="left"/>
      </w:pPr>
      <w:r>
        <w:t>The States will also prepare</w:t>
      </w:r>
      <w:r w:rsidR="00D348BD">
        <w:t xml:space="preserve"> a</w:t>
      </w:r>
      <w:r>
        <w:t xml:space="preserve"> final project report</w:t>
      </w:r>
      <w:r w:rsidR="00D348BD">
        <w:t xml:space="preserve"> </w:t>
      </w:r>
      <w:r>
        <w:t>within 90 days of practical completion of the final element of</w:t>
      </w:r>
      <w:r w:rsidR="00C8477E">
        <w:t xml:space="preserve"> each</w:t>
      </w:r>
      <w:r>
        <w:t xml:space="preserve"> project. The final project report will be</w:t>
      </w:r>
      <w:r w:rsidR="00C8477E">
        <w:t xml:space="preserve"> a</w:t>
      </w:r>
      <w:r>
        <w:t xml:space="preserve"> stand-alone document that can be used for public information dissemination purposes. The final project report will:</w:t>
      </w:r>
    </w:p>
    <w:p w14:paraId="53BEE131" w14:textId="5B37773F" w:rsidR="00FC38A6" w:rsidRDefault="006767CC" w:rsidP="00647C2A">
      <w:pPr>
        <w:pStyle w:val="AlphaParagraph"/>
        <w:numPr>
          <w:ilvl w:val="0"/>
          <w:numId w:val="32"/>
        </w:numPr>
      </w:pPr>
      <w:r>
        <w:t>e</w:t>
      </w:r>
      <w:r w:rsidR="00647C2A">
        <w:t>valuate</w:t>
      </w:r>
      <w:r w:rsidR="00C8477E">
        <w:t xml:space="preserve"> each</w:t>
      </w:r>
      <w:r w:rsidR="00647C2A">
        <w:t xml:space="preserve"> project from the responsible Party’s perspective, including assessing the extent to which the objective and outcomes have been achieved as outlined in the Agreement and/or Schedules, and explaining w</w:t>
      </w:r>
      <w:r w:rsidR="000C1E21">
        <w:t>hy any aspect was not achieved;</w:t>
      </w:r>
    </w:p>
    <w:p w14:paraId="36BFB00F" w14:textId="3CC60EE5" w:rsidR="00647C2A" w:rsidRDefault="00C90978" w:rsidP="00AB1B5D">
      <w:pPr>
        <w:pStyle w:val="AlphaParagraph"/>
        <w:numPr>
          <w:ilvl w:val="0"/>
          <w:numId w:val="32"/>
        </w:numPr>
      </w:pPr>
      <w:r>
        <w:t>include a statement</w:t>
      </w:r>
      <w:r w:rsidR="00AB1B5D">
        <w:t xml:space="preserve"> of final State funding contributions to the project which may include contributions from third parties including local governments and other non-government organisations</w:t>
      </w:r>
      <w:r w:rsidR="00FC38A6">
        <w:t xml:space="preserve">; </w:t>
      </w:r>
      <w:r w:rsidR="00647C2A">
        <w:t>and</w:t>
      </w:r>
    </w:p>
    <w:p w14:paraId="72D20F81" w14:textId="56289AB3" w:rsidR="00647C2A" w:rsidRDefault="00647C2A" w:rsidP="00647C2A">
      <w:pPr>
        <w:pStyle w:val="AlphaParagraph"/>
        <w:numPr>
          <w:ilvl w:val="0"/>
          <w:numId w:val="32"/>
        </w:numPr>
      </w:pPr>
      <w:r>
        <w:t>include a discussion of any other matters relating to the project, limited to the minimum necessary for the effective assessment of performance and as agreed between the Commonwealth and the State(s), at least 60</w:t>
      </w:r>
      <w:r w:rsidR="005A57EA">
        <w:t xml:space="preserve"> </w:t>
      </w:r>
      <w:r>
        <w:t>days before it is due.</w:t>
      </w:r>
    </w:p>
    <w:p w14:paraId="60C255FE" w14:textId="77777777" w:rsidR="00814667" w:rsidRDefault="00814667">
      <w:pPr>
        <w:pStyle w:val="Heading1"/>
      </w:pPr>
      <w:r w:rsidRPr="00751725">
        <w:t>Part 5 — financial arrangements</w:t>
      </w:r>
    </w:p>
    <w:p w14:paraId="1A69DF0C" w14:textId="77777777" w:rsidR="00C738BD" w:rsidRPr="005350F1" w:rsidRDefault="00C738BD" w:rsidP="00C738BD">
      <w:pPr>
        <w:pStyle w:val="Heading2"/>
      </w:pPr>
      <w:r w:rsidRPr="005350F1">
        <w:t>Financial contributions</w:t>
      </w:r>
    </w:p>
    <w:p w14:paraId="3C64BCDD" w14:textId="77777777" w:rsidR="006C57D7" w:rsidRDefault="00CC39B1" w:rsidP="006C57D7">
      <w:pPr>
        <w:pStyle w:val="Normalnumbered"/>
        <w:numPr>
          <w:ilvl w:val="0"/>
          <w:numId w:val="10"/>
        </w:numPr>
        <w:jc w:val="left"/>
      </w:pPr>
      <w:r w:rsidRPr="000E48C3">
        <w:t xml:space="preserve">The Commonwealth will </w:t>
      </w:r>
      <w:r w:rsidR="002B7E1B">
        <w:t>provide</w:t>
      </w:r>
      <w:r w:rsidRPr="000E48C3">
        <w:t xml:space="preserve"> a</w:t>
      </w:r>
      <w:r w:rsidR="0062217C">
        <w:t>n estimated</w:t>
      </w:r>
      <w:r w:rsidR="00FA64FD">
        <w:t xml:space="preserve"> total</w:t>
      </w:r>
      <w:r w:rsidRPr="000E48C3">
        <w:t xml:space="preserve"> financial contribution to </w:t>
      </w:r>
      <w:r w:rsidR="002B7E1B">
        <w:t>the States</w:t>
      </w:r>
      <w:r w:rsidR="00D57346">
        <w:t xml:space="preserve"> </w:t>
      </w:r>
      <w:r w:rsidR="00E579FF">
        <w:t xml:space="preserve">of </w:t>
      </w:r>
      <w:r w:rsidR="00A06395">
        <w:t xml:space="preserve">up to </w:t>
      </w:r>
      <w:r w:rsidR="00E579FF" w:rsidRPr="00CD526B">
        <w:t>$</w:t>
      </w:r>
      <w:r w:rsidR="00327CD0">
        <w:t>4</w:t>
      </w:r>
      <w:r w:rsidR="00A062E8">
        <w:t>4</w:t>
      </w:r>
      <w:r w:rsidR="00327CD0">
        <w:t>0 </w:t>
      </w:r>
      <w:r w:rsidR="003009BC">
        <w:t>million</w:t>
      </w:r>
      <w:r w:rsidR="002B7E1B">
        <w:t xml:space="preserve"> </w:t>
      </w:r>
      <w:r w:rsidR="00CB1789">
        <w:t>in respect</w:t>
      </w:r>
      <w:r w:rsidR="00FA64FD">
        <w:t xml:space="preserve"> of this </w:t>
      </w:r>
      <w:r w:rsidR="0094129D">
        <w:t>A</w:t>
      </w:r>
      <w:r w:rsidR="00FA64FD">
        <w:t xml:space="preserve">greement. </w:t>
      </w:r>
      <w:r w:rsidR="000447B9" w:rsidRPr="002A4720">
        <w:t>All</w:t>
      </w:r>
      <w:r w:rsidR="000447B9">
        <w:t xml:space="preserve"> payments are exclusive of GST.</w:t>
      </w:r>
    </w:p>
    <w:p w14:paraId="177FD847" w14:textId="056D523C" w:rsidR="00A4370E" w:rsidRDefault="005C784D" w:rsidP="00177889">
      <w:pPr>
        <w:pStyle w:val="Normalnumbered"/>
        <w:numPr>
          <w:ilvl w:val="0"/>
          <w:numId w:val="10"/>
        </w:numPr>
        <w:jc w:val="left"/>
      </w:pPr>
      <w:r>
        <w:t xml:space="preserve">States will </w:t>
      </w:r>
      <w:r w:rsidR="00CE669C">
        <w:t xml:space="preserve">at least </w:t>
      </w:r>
      <w:r>
        <w:t xml:space="preserve">match the Commonwealth contribution for each project and this funding will contribute to the outputs of this Agreement. </w:t>
      </w:r>
      <w:r w:rsidR="00AB1B5D">
        <w:t>State funding contributions may include contributions from third parties including local governments and other non-government organisations</w:t>
      </w:r>
      <w:r w:rsidR="00F8368C">
        <w:t>.</w:t>
      </w:r>
      <w:r w:rsidR="00B12DDB">
        <w:t xml:space="preserve"> </w:t>
      </w:r>
      <w:r w:rsidR="00881C48">
        <w:t>Commonwealth and State</w:t>
      </w:r>
      <w:r>
        <w:t xml:space="preserve"> funding </w:t>
      </w:r>
      <w:r w:rsidR="00881C48">
        <w:t xml:space="preserve">contributions </w:t>
      </w:r>
      <w:r>
        <w:t xml:space="preserve">will be </w:t>
      </w:r>
      <w:r w:rsidR="00881C48">
        <w:t>set out</w:t>
      </w:r>
      <w:r>
        <w:t xml:space="preserve"> in</w:t>
      </w:r>
      <w:r w:rsidR="00D348BD">
        <w:t xml:space="preserve"> bilateral</w:t>
      </w:r>
      <w:r>
        <w:t xml:space="preserve"> </w:t>
      </w:r>
      <w:r w:rsidRPr="00D348BD">
        <w:t>Schedules</w:t>
      </w:r>
      <w:r w:rsidR="00D348BD">
        <w:t xml:space="preserve"> to this Agreement</w:t>
      </w:r>
      <w:r w:rsidR="00A4370E">
        <w:t>.</w:t>
      </w:r>
    </w:p>
    <w:p w14:paraId="07A9E769" w14:textId="7377ABD6" w:rsidR="00767E6C" w:rsidRDefault="008B43E5" w:rsidP="00AB1B5D">
      <w:pPr>
        <w:pStyle w:val="Normalnumbered"/>
        <w:numPr>
          <w:ilvl w:val="0"/>
          <w:numId w:val="10"/>
        </w:numPr>
        <w:jc w:val="left"/>
      </w:pPr>
      <w:r w:rsidRPr="002A4720">
        <w:t xml:space="preserve">If States do not </w:t>
      </w:r>
      <w:r w:rsidR="00CE669C">
        <w:t xml:space="preserve">at least </w:t>
      </w:r>
      <w:r w:rsidRPr="002A4720">
        <w:t xml:space="preserve">match the </w:t>
      </w:r>
      <w:r w:rsidR="005A57EA">
        <w:t xml:space="preserve">Commonwealth’s full financial contribution </w:t>
      </w:r>
      <w:r>
        <w:t>for a project funded under this Agreement, the Commonwealth may reduce its funding</w:t>
      </w:r>
      <w:r w:rsidR="00AB1B5D">
        <w:t xml:space="preserve"> for that project</w:t>
      </w:r>
      <w:r>
        <w:t xml:space="preserve"> to match the </w:t>
      </w:r>
      <w:r w:rsidR="00A23CBA">
        <w:t xml:space="preserve">States’ </w:t>
      </w:r>
      <w:r>
        <w:t xml:space="preserve">contribution or withhold payments until </w:t>
      </w:r>
      <w:r w:rsidR="00881C48">
        <w:t xml:space="preserve">matching </w:t>
      </w:r>
      <w:r>
        <w:t>requirements are met</w:t>
      </w:r>
      <w:r w:rsidR="00AB1B5D">
        <w:t>. This includes reducing the Commonwealth funding to match State funding where a project’s final cost is less than the agreed estimated cost.</w:t>
      </w:r>
    </w:p>
    <w:p w14:paraId="3E3AF9E5" w14:textId="411F931C" w:rsidR="00AB1B5D" w:rsidRDefault="00AB1B5D" w:rsidP="00AB1B5D">
      <w:pPr>
        <w:pStyle w:val="Normalnumbered"/>
        <w:numPr>
          <w:ilvl w:val="0"/>
          <w:numId w:val="10"/>
        </w:numPr>
        <w:jc w:val="left"/>
      </w:pPr>
      <w:r w:rsidRPr="00767E6C">
        <w:t xml:space="preserve">States bear all risk should </w:t>
      </w:r>
      <w:r w:rsidR="00CE669C">
        <w:t xml:space="preserve">a </w:t>
      </w:r>
      <w:r>
        <w:t xml:space="preserve">project </w:t>
      </w:r>
      <w:r w:rsidRPr="00767E6C">
        <w:t>costs exceed the agreed estimated costs.</w:t>
      </w:r>
    </w:p>
    <w:p w14:paraId="331F311B" w14:textId="77777777" w:rsidR="00F1611B" w:rsidRPr="00896647" w:rsidRDefault="00A207A2" w:rsidP="00E14134">
      <w:pPr>
        <w:pStyle w:val="Normalnumbered"/>
        <w:numPr>
          <w:ilvl w:val="0"/>
          <w:numId w:val="10"/>
        </w:numPr>
        <w:rPr>
          <w:color w:val="auto"/>
        </w:rPr>
      </w:pPr>
      <w:r>
        <w:t>Where a performance report demonstrates that</w:t>
      </w:r>
      <w:r w:rsidR="00F1611B" w:rsidRPr="00491A9F">
        <w:t xml:space="preserve"> a milestone is met in advance of the due date, the Commonwealth may make the associated payment earlier than scheduled provided it falls within the same financial year as the original milestone date.</w:t>
      </w:r>
    </w:p>
    <w:p w14:paraId="4EAB9487" w14:textId="4D2D2731" w:rsidR="00C233E9" w:rsidRPr="00336F12" w:rsidRDefault="00C233E9" w:rsidP="00E14134">
      <w:pPr>
        <w:pStyle w:val="Normalnumbered"/>
        <w:keepNext/>
        <w:keepLines/>
        <w:numPr>
          <w:ilvl w:val="0"/>
          <w:numId w:val="10"/>
        </w:numPr>
        <w:jc w:val="left"/>
        <w:rPr>
          <w:color w:val="auto"/>
        </w:rPr>
      </w:pPr>
      <w:r w:rsidRPr="00336F12">
        <w:rPr>
          <w:color w:val="auto"/>
        </w:rPr>
        <w:lastRenderedPageBreak/>
        <w:t>The Commonwealth’s and the States’ estimated financial contribution</w:t>
      </w:r>
      <w:r w:rsidR="0062217C">
        <w:rPr>
          <w:color w:val="auto"/>
        </w:rPr>
        <w:t>s</w:t>
      </w:r>
      <w:r w:rsidRPr="00336F12">
        <w:rPr>
          <w:color w:val="auto"/>
        </w:rPr>
        <w:t xml:space="preserve"> to the operation of this Agreement, including through National Partnership payments to the States paid in accordance with </w:t>
      </w:r>
      <w:r w:rsidRPr="00336F12">
        <w:rPr>
          <w:i/>
          <w:color w:val="auto"/>
        </w:rPr>
        <w:t>Schedule D — Payment Arrangements</w:t>
      </w:r>
      <w:r w:rsidRPr="00336F12">
        <w:rPr>
          <w:color w:val="auto"/>
        </w:rPr>
        <w:t xml:space="preserve"> of the I</w:t>
      </w:r>
      <w:r w:rsidR="00E31BCF">
        <w:rPr>
          <w:color w:val="auto"/>
        </w:rPr>
        <w:t>GA FFR</w:t>
      </w:r>
      <w:r w:rsidRPr="00336F12">
        <w:rPr>
          <w:color w:val="auto"/>
        </w:rPr>
        <w:t>, are shown in Table 1.</w:t>
      </w:r>
    </w:p>
    <w:p w14:paraId="276DCFF8" w14:textId="54CF8711" w:rsidR="00FB4200" w:rsidRDefault="00FB4200" w:rsidP="003009BC">
      <w:pPr>
        <w:pStyle w:val="Heading2"/>
      </w:pPr>
      <w:r>
        <w:t xml:space="preserve">Table 1: </w:t>
      </w:r>
      <w:r w:rsidRPr="00E426E0">
        <w:t>Estimated</w:t>
      </w:r>
      <w:r>
        <w:t xml:space="preserve"> financial contributions</w:t>
      </w:r>
      <w:r w:rsidR="009C166A">
        <w:t xml:space="preserve"> </w:t>
      </w:r>
    </w:p>
    <w:p w14:paraId="3AD0172A" w14:textId="77777777" w:rsidR="003009BC" w:rsidRDefault="003009BC" w:rsidP="003009BC">
      <w:pPr>
        <w:pStyle w:val="ChartandTableFootnoteAlpha"/>
        <w:numPr>
          <w:ilvl w:val="0"/>
          <w:numId w:val="0"/>
        </w:numPr>
        <w:ind w:left="283" w:hanging="283"/>
      </w:pPr>
    </w:p>
    <w:tbl>
      <w:tblPr>
        <w:tblW w:w="10150" w:type="dxa"/>
        <w:tblInd w:w="-176" w:type="dxa"/>
        <w:tblLook w:val="01E0" w:firstRow="1" w:lastRow="1" w:firstColumn="1" w:lastColumn="1" w:noHBand="0" w:noVBand="0"/>
      </w:tblPr>
      <w:tblGrid>
        <w:gridCol w:w="2518"/>
        <w:gridCol w:w="848"/>
        <w:gridCol w:w="848"/>
        <w:gridCol w:w="848"/>
        <w:gridCol w:w="848"/>
        <w:gridCol w:w="848"/>
        <w:gridCol w:w="848"/>
        <w:gridCol w:w="848"/>
        <w:gridCol w:w="848"/>
        <w:gridCol w:w="848"/>
      </w:tblGrid>
      <w:tr w:rsidR="003009BC" w14:paraId="0D6CE260" w14:textId="77777777" w:rsidTr="003009BC">
        <w:trPr>
          <w:cantSplit/>
        </w:trPr>
        <w:tc>
          <w:tcPr>
            <w:tcW w:w="2518" w:type="dxa"/>
            <w:tcBorders>
              <w:top w:val="single" w:sz="4" w:space="0" w:color="000080"/>
            </w:tcBorders>
          </w:tcPr>
          <w:p w14:paraId="5C157754" w14:textId="77777777" w:rsidR="003009BC" w:rsidRPr="00C2711B" w:rsidRDefault="003009BC" w:rsidP="003009BC">
            <w:pPr>
              <w:keepNext/>
              <w:keepLines/>
              <w:spacing w:before="40" w:after="40"/>
              <w:jc w:val="left"/>
              <w:rPr>
                <w:b/>
              </w:rPr>
            </w:pPr>
            <w:r w:rsidRPr="00C2711B">
              <w:rPr>
                <w:b/>
              </w:rPr>
              <w:t>($ million)</w:t>
            </w:r>
          </w:p>
        </w:tc>
        <w:tc>
          <w:tcPr>
            <w:tcW w:w="848" w:type="dxa"/>
            <w:tcBorders>
              <w:top w:val="single" w:sz="4" w:space="0" w:color="000080"/>
              <w:bottom w:val="single" w:sz="4" w:space="0" w:color="000080"/>
            </w:tcBorders>
          </w:tcPr>
          <w:p w14:paraId="3E8FBFE3" w14:textId="77777777" w:rsidR="003009BC" w:rsidRDefault="003009BC" w:rsidP="003009BC">
            <w:pPr>
              <w:keepNext/>
              <w:keepLines/>
              <w:spacing w:before="40" w:after="40"/>
              <w:jc w:val="right"/>
            </w:pPr>
            <w:r>
              <w:t>2017-18</w:t>
            </w:r>
          </w:p>
        </w:tc>
        <w:tc>
          <w:tcPr>
            <w:tcW w:w="848" w:type="dxa"/>
            <w:tcBorders>
              <w:top w:val="single" w:sz="4" w:space="0" w:color="000080"/>
              <w:bottom w:val="single" w:sz="4" w:space="0" w:color="000080"/>
            </w:tcBorders>
          </w:tcPr>
          <w:p w14:paraId="2BC1304C" w14:textId="77777777" w:rsidR="003009BC" w:rsidRDefault="003009BC" w:rsidP="003009BC">
            <w:pPr>
              <w:keepNext/>
              <w:keepLines/>
              <w:spacing w:before="40" w:after="40"/>
              <w:jc w:val="right"/>
            </w:pPr>
            <w:r>
              <w:t>2018-19</w:t>
            </w:r>
          </w:p>
        </w:tc>
        <w:tc>
          <w:tcPr>
            <w:tcW w:w="848" w:type="dxa"/>
            <w:tcBorders>
              <w:top w:val="single" w:sz="4" w:space="0" w:color="000080"/>
              <w:bottom w:val="single" w:sz="4" w:space="0" w:color="000080"/>
            </w:tcBorders>
          </w:tcPr>
          <w:p w14:paraId="2D669C5E" w14:textId="77777777" w:rsidR="003009BC" w:rsidRDefault="003009BC" w:rsidP="003009BC">
            <w:pPr>
              <w:keepNext/>
              <w:keepLines/>
              <w:spacing w:before="40" w:after="40"/>
              <w:jc w:val="right"/>
            </w:pPr>
            <w:r>
              <w:t>2019-20</w:t>
            </w:r>
          </w:p>
        </w:tc>
        <w:tc>
          <w:tcPr>
            <w:tcW w:w="848" w:type="dxa"/>
            <w:tcBorders>
              <w:top w:val="single" w:sz="4" w:space="0" w:color="000080"/>
              <w:bottom w:val="single" w:sz="4" w:space="0" w:color="000080"/>
            </w:tcBorders>
          </w:tcPr>
          <w:p w14:paraId="548983EF" w14:textId="77777777" w:rsidR="003009BC" w:rsidRDefault="003009BC" w:rsidP="003009BC">
            <w:pPr>
              <w:keepNext/>
              <w:keepLines/>
              <w:spacing w:before="40" w:after="40"/>
              <w:jc w:val="right"/>
            </w:pPr>
            <w:r>
              <w:t>2020-21</w:t>
            </w:r>
          </w:p>
        </w:tc>
        <w:tc>
          <w:tcPr>
            <w:tcW w:w="848" w:type="dxa"/>
            <w:tcBorders>
              <w:top w:val="single" w:sz="4" w:space="0" w:color="000080"/>
              <w:bottom w:val="single" w:sz="4" w:space="0" w:color="000080"/>
            </w:tcBorders>
          </w:tcPr>
          <w:p w14:paraId="3A975419" w14:textId="77777777" w:rsidR="003009BC" w:rsidRDefault="003009BC" w:rsidP="003009BC">
            <w:pPr>
              <w:keepNext/>
              <w:keepLines/>
              <w:spacing w:before="40" w:after="40"/>
              <w:jc w:val="right"/>
            </w:pPr>
            <w:r>
              <w:t>2021-22</w:t>
            </w:r>
          </w:p>
        </w:tc>
        <w:tc>
          <w:tcPr>
            <w:tcW w:w="848" w:type="dxa"/>
            <w:tcBorders>
              <w:top w:val="single" w:sz="4" w:space="0" w:color="000080"/>
              <w:bottom w:val="single" w:sz="4" w:space="0" w:color="000080"/>
            </w:tcBorders>
          </w:tcPr>
          <w:p w14:paraId="5A82089D" w14:textId="77777777" w:rsidR="003009BC" w:rsidRDefault="003009BC" w:rsidP="003009BC">
            <w:pPr>
              <w:keepNext/>
              <w:keepLines/>
              <w:spacing w:before="40" w:after="40"/>
              <w:jc w:val="right"/>
            </w:pPr>
            <w:r>
              <w:t>2022-23</w:t>
            </w:r>
          </w:p>
        </w:tc>
        <w:tc>
          <w:tcPr>
            <w:tcW w:w="848" w:type="dxa"/>
            <w:tcBorders>
              <w:top w:val="single" w:sz="4" w:space="0" w:color="000080"/>
              <w:bottom w:val="single" w:sz="4" w:space="0" w:color="000080"/>
            </w:tcBorders>
          </w:tcPr>
          <w:p w14:paraId="49915E74" w14:textId="77777777" w:rsidR="003009BC" w:rsidRDefault="003009BC" w:rsidP="003009BC">
            <w:pPr>
              <w:keepNext/>
              <w:keepLines/>
              <w:spacing w:before="40" w:after="40"/>
              <w:jc w:val="right"/>
            </w:pPr>
            <w:r>
              <w:t>2023-24</w:t>
            </w:r>
          </w:p>
        </w:tc>
        <w:tc>
          <w:tcPr>
            <w:tcW w:w="848" w:type="dxa"/>
            <w:tcBorders>
              <w:top w:val="single" w:sz="4" w:space="0" w:color="000080"/>
              <w:bottom w:val="single" w:sz="4" w:space="0" w:color="000080"/>
            </w:tcBorders>
          </w:tcPr>
          <w:p w14:paraId="68E165CC" w14:textId="77777777" w:rsidR="003009BC" w:rsidRDefault="003009BC" w:rsidP="003009BC">
            <w:pPr>
              <w:keepNext/>
              <w:keepLines/>
              <w:spacing w:before="40" w:after="40"/>
              <w:jc w:val="right"/>
            </w:pPr>
            <w:r>
              <w:t>2024-25</w:t>
            </w:r>
          </w:p>
        </w:tc>
        <w:tc>
          <w:tcPr>
            <w:tcW w:w="848" w:type="dxa"/>
            <w:tcBorders>
              <w:top w:val="single" w:sz="4" w:space="0" w:color="000080"/>
              <w:bottom w:val="single" w:sz="4" w:space="0" w:color="000080"/>
            </w:tcBorders>
          </w:tcPr>
          <w:p w14:paraId="2A0B4543" w14:textId="77777777" w:rsidR="003009BC" w:rsidRDefault="003009BC" w:rsidP="003009BC">
            <w:pPr>
              <w:keepNext/>
              <w:keepLines/>
              <w:spacing w:before="40" w:after="40"/>
              <w:jc w:val="right"/>
            </w:pPr>
            <w:r>
              <w:t>Total</w:t>
            </w:r>
          </w:p>
        </w:tc>
      </w:tr>
      <w:tr w:rsidR="003009BC" w:rsidRPr="005B4C1B" w14:paraId="2E84FF2A" w14:textId="77777777" w:rsidTr="003009BC">
        <w:trPr>
          <w:cantSplit/>
        </w:trPr>
        <w:tc>
          <w:tcPr>
            <w:tcW w:w="2518" w:type="dxa"/>
          </w:tcPr>
          <w:p w14:paraId="253537D8" w14:textId="77777777" w:rsidR="003009BC" w:rsidRPr="005B4C1B" w:rsidRDefault="003009BC" w:rsidP="003009BC">
            <w:pPr>
              <w:keepNext/>
              <w:keepLines/>
              <w:spacing w:before="60" w:after="60"/>
              <w:jc w:val="left"/>
              <w:rPr>
                <w:b/>
              </w:rPr>
            </w:pPr>
            <w:r w:rsidRPr="005B4C1B">
              <w:rPr>
                <w:b/>
              </w:rPr>
              <w:t>Estimated total budget</w:t>
            </w:r>
          </w:p>
        </w:tc>
        <w:tc>
          <w:tcPr>
            <w:tcW w:w="848" w:type="dxa"/>
            <w:tcBorders>
              <w:top w:val="single" w:sz="4" w:space="0" w:color="000080"/>
            </w:tcBorders>
          </w:tcPr>
          <w:p w14:paraId="05AC3170" w14:textId="7AB28945" w:rsidR="003009BC" w:rsidRPr="005B4C1B" w:rsidRDefault="00F86145" w:rsidP="003009BC">
            <w:pPr>
              <w:keepNext/>
              <w:keepLines/>
              <w:spacing w:before="40" w:after="40"/>
              <w:jc w:val="right"/>
              <w:rPr>
                <w:b/>
              </w:rPr>
            </w:pPr>
            <w:r>
              <w:rPr>
                <w:b/>
              </w:rPr>
              <w:t>4</w:t>
            </w:r>
            <w:r w:rsidR="003009BC">
              <w:rPr>
                <w:b/>
              </w:rPr>
              <w:t>0.0</w:t>
            </w:r>
          </w:p>
        </w:tc>
        <w:tc>
          <w:tcPr>
            <w:tcW w:w="848" w:type="dxa"/>
            <w:tcBorders>
              <w:top w:val="single" w:sz="4" w:space="0" w:color="000080"/>
            </w:tcBorders>
          </w:tcPr>
          <w:p w14:paraId="39F1529B" w14:textId="1879D613" w:rsidR="003009BC" w:rsidRPr="005B4C1B" w:rsidRDefault="00A062E8" w:rsidP="003009BC">
            <w:pPr>
              <w:keepNext/>
              <w:keepLines/>
              <w:spacing w:before="40" w:after="40"/>
              <w:jc w:val="right"/>
              <w:rPr>
                <w:b/>
              </w:rPr>
            </w:pPr>
            <w:r>
              <w:rPr>
                <w:b/>
              </w:rPr>
              <w:t>8</w:t>
            </w:r>
            <w:r w:rsidR="003009BC">
              <w:rPr>
                <w:b/>
              </w:rPr>
              <w:t>0.0</w:t>
            </w:r>
          </w:p>
        </w:tc>
        <w:tc>
          <w:tcPr>
            <w:tcW w:w="848" w:type="dxa"/>
            <w:tcBorders>
              <w:top w:val="single" w:sz="4" w:space="0" w:color="000080"/>
            </w:tcBorders>
          </w:tcPr>
          <w:p w14:paraId="79FAD1A2" w14:textId="5C1AD38A" w:rsidR="003009BC" w:rsidRPr="005B4C1B" w:rsidRDefault="00F86145" w:rsidP="003009BC">
            <w:pPr>
              <w:keepNext/>
              <w:keepLines/>
              <w:spacing w:before="40" w:after="40"/>
              <w:jc w:val="right"/>
              <w:rPr>
                <w:b/>
              </w:rPr>
            </w:pPr>
            <w:r>
              <w:rPr>
                <w:b/>
              </w:rPr>
              <w:t>16</w:t>
            </w:r>
            <w:r w:rsidR="003009BC">
              <w:rPr>
                <w:b/>
              </w:rPr>
              <w:t>0.0</w:t>
            </w:r>
          </w:p>
        </w:tc>
        <w:tc>
          <w:tcPr>
            <w:tcW w:w="848" w:type="dxa"/>
            <w:tcBorders>
              <w:top w:val="single" w:sz="4" w:space="0" w:color="000080"/>
            </w:tcBorders>
          </w:tcPr>
          <w:p w14:paraId="26491F13" w14:textId="7BF33B9E" w:rsidR="003009BC" w:rsidRPr="005B4C1B" w:rsidRDefault="00F86145" w:rsidP="003009BC">
            <w:pPr>
              <w:keepNext/>
              <w:keepLines/>
              <w:spacing w:before="40" w:after="40"/>
              <w:jc w:val="right"/>
              <w:rPr>
                <w:b/>
              </w:rPr>
            </w:pPr>
            <w:r>
              <w:rPr>
                <w:b/>
              </w:rPr>
              <w:t>16</w:t>
            </w:r>
            <w:r w:rsidR="003009BC">
              <w:rPr>
                <w:b/>
              </w:rPr>
              <w:t>0.0</w:t>
            </w:r>
          </w:p>
        </w:tc>
        <w:tc>
          <w:tcPr>
            <w:tcW w:w="848" w:type="dxa"/>
            <w:tcBorders>
              <w:top w:val="single" w:sz="4" w:space="0" w:color="000080"/>
            </w:tcBorders>
          </w:tcPr>
          <w:p w14:paraId="5E39F30B" w14:textId="52093923" w:rsidR="003009BC" w:rsidRDefault="00F86145" w:rsidP="003009BC">
            <w:pPr>
              <w:keepNext/>
              <w:keepLines/>
              <w:spacing w:before="40" w:after="40"/>
              <w:jc w:val="right"/>
              <w:rPr>
                <w:b/>
              </w:rPr>
            </w:pPr>
            <w:r>
              <w:rPr>
                <w:b/>
              </w:rPr>
              <w:t>16</w:t>
            </w:r>
            <w:r w:rsidR="003009BC">
              <w:rPr>
                <w:b/>
              </w:rPr>
              <w:t>0.0</w:t>
            </w:r>
          </w:p>
        </w:tc>
        <w:tc>
          <w:tcPr>
            <w:tcW w:w="848" w:type="dxa"/>
            <w:tcBorders>
              <w:top w:val="single" w:sz="4" w:space="0" w:color="000080"/>
            </w:tcBorders>
          </w:tcPr>
          <w:p w14:paraId="702DD059" w14:textId="01A94ACD" w:rsidR="003009BC" w:rsidRDefault="00F86145" w:rsidP="003009BC">
            <w:pPr>
              <w:keepNext/>
              <w:keepLines/>
              <w:spacing w:before="40" w:after="40"/>
              <w:jc w:val="right"/>
              <w:rPr>
                <w:b/>
              </w:rPr>
            </w:pPr>
            <w:r>
              <w:rPr>
                <w:b/>
              </w:rPr>
              <w:t>16</w:t>
            </w:r>
            <w:r w:rsidR="003009BC">
              <w:rPr>
                <w:b/>
              </w:rPr>
              <w:t>0.0</w:t>
            </w:r>
          </w:p>
        </w:tc>
        <w:tc>
          <w:tcPr>
            <w:tcW w:w="848" w:type="dxa"/>
            <w:tcBorders>
              <w:top w:val="single" w:sz="4" w:space="0" w:color="000080"/>
            </w:tcBorders>
          </w:tcPr>
          <w:p w14:paraId="289EE0FE" w14:textId="6BCDB04B" w:rsidR="003009BC" w:rsidRDefault="00F86145" w:rsidP="003009BC">
            <w:pPr>
              <w:keepNext/>
              <w:keepLines/>
              <w:spacing w:before="40" w:after="40"/>
              <w:jc w:val="right"/>
              <w:rPr>
                <w:b/>
              </w:rPr>
            </w:pPr>
            <w:r>
              <w:rPr>
                <w:b/>
              </w:rPr>
              <w:t>8</w:t>
            </w:r>
            <w:r w:rsidR="003009BC">
              <w:rPr>
                <w:b/>
              </w:rPr>
              <w:t>0.0</w:t>
            </w:r>
          </w:p>
        </w:tc>
        <w:tc>
          <w:tcPr>
            <w:tcW w:w="848" w:type="dxa"/>
            <w:tcBorders>
              <w:top w:val="single" w:sz="4" w:space="0" w:color="000080"/>
            </w:tcBorders>
          </w:tcPr>
          <w:p w14:paraId="722A3115" w14:textId="5813AD02" w:rsidR="003009BC" w:rsidRDefault="00F86145" w:rsidP="003009BC">
            <w:pPr>
              <w:keepNext/>
              <w:keepLines/>
              <w:spacing w:before="40" w:after="40"/>
              <w:jc w:val="right"/>
              <w:rPr>
                <w:b/>
              </w:rPr>
            </w:pPr>
            <w:r>
              <w:rPr>
                <w:b/>
              </w:rPr>
              <w:t>4</w:t>
            </w:r>
            <w:r w:rsidR="003009BC">
              <w:rPr>
                <w:b/>
              </w:rPr>
              <w:t>0.0</w:t>
            </w:r>
          </w:p>
        </w:tc>
        <w:tc>
          <w:tcPr>
            <w:tcW w:w="848" w:type="dxa"/>
            <w:tcBorders>
              <w:top w:val="single" w:sz="4" w:space="0" w:color="000080"/>
            </w:tcBorders>
          </w:tcPr>
          <w:p w14:paraId="57A9F767" w14:textId="35C46272" w:rsidR="003009BC" w:rsidRPr="005B4C1B" w:rsidRDefault="00A062E8" w:rsidP="00A062E8">
            <w:pPr>
              <w:keepNext/>
              <w:keepLines/>
              <w:spacing w:before="40" w:after="40"/>
              <w:jc w:val="right"/>
              <w:rPr>
                <w:b/>
              </w:rPr>
            </w:pPr>
            <w:r>
              <w:rPr>
                <w:b/>
              </w:rPr>
              <w:t>88</w:t>
            </w:r>
            <w:r w:rsidR="003009BC">
              <w:rPr>
                <w:b/>
              </w:rPr>
              <w:t>0</w:t>
            </w:r>
            <w:r w:rsidR="003009BC" w:rsidRPr="005B4C1B">
              <w:rPr>
                <w:b/>
              </w:rPr>
              <w:t>.0</w:t>
            </w:r>
          </w:p>
        </w:tc>
      </w:tr>
      <w:tr w:rsidR="003009BC" w:rsidRPr="005B4C1B" w14:paraId="4D13E727" w14:textId="77777777" w:rsidTr="003009BC">
        <w:trPr>
          <w:cantSplit/>
        </w:trPr>
        <w:tc>
          <w:tcPr>
            <w:tcW w:w="2518" w:type="dxa"/>
          </w:tcPr>
          <w:p w14:paraId="3F3DB271" w14:textId="77777777" w:rsidR="003009BC" w:rsidRPr="004A673A" w:rsidRDefault="003009BC" w:rsidP="003009BC">
            <w:pPr>
              <w:keepNext/>
              <w:keepLines/>
              <w:spacing w:before="60" w:after="60"/>
              <w:jc w:val="left"/>
            </w:pPr>
            <w:r>
              <w:t>Less estimated National Partnership payments</w:t>
            </w:r>
            <w:r w:rsidRPr="00E924A5">
              <w:rPr>
                <w:vertAlign w:val="superscript"/>
              </w:rPr>
              <w:t>(a)</w:t>
            </w:r>
          </w:p>
        </w:tc>
        <w:tc>
          <w:tcPr>
            <w:tcW w:w="848" w:type="dxa"/>
            <w:tcBorders>
              <w:bottom w:val="single" w:sz="4" w:space="0" w:color="1F497D" w:themeColor="text2"/>
            </w:tcBorders>
          </w:tcPr>
          <w:p w14:paraId="3CF37E21" w14:textId="77777777" w:rsidR="003009BC" w:rsidRPr="00B26AA0" w:rsidRDefault="003009BC" w:rsidP="003009BC">
            <w:pPr>
              <w:keepNext/>
              <w:keepLines/>
              <w:spacing w:before="40" w:after="40"/>
              <w:jc w:val="right"/>
            </w:pPr>
            <w:r w:rsidRPr="00B26AA0">
              <w:t>20.0</w:t>
            </w:r>
          </w:p>
        </w:tc>
        <w:tc>
          <w:tcPr>
            <w:tcW w:w="848" w:type="dxa"/>
            <w:tcBorders>
              <w:bottom w:val="single" w:sz="4" w:space="0" w:color="1F497D" w:themeColor="text2"/>
            </w:tcBorders>
          </w:tcPr>
          <w:p w14:paraId="643A9319" w14:textId="14BC6704" w:rsidR="003009BC" w:rsidRPr="00B26AA0" w:rsidRDefault="00A062E8" w:rsidP="003009BC">
            <w:pPr>
              <w:keepNext/>
              <w:keepLines/>
              <w:spacing w:before="40" w:after="40"/>
              <w:jc w:val="right"/>
            </w:pPr>
            <w:r>
              <w:t>4</w:t>
            </w:r>
            <w:r w:rsidR="003009BC" w:rsidRPr="00B26AA0">
              <w:t>0.0</w:t>
            </w:r>
          </w:p>
        </w:tc>
        <w:tc>
          <w:tcPr>
            <w:tcW w:w="848" w:type="dxa"/>
            <w:tcBorders>
              <w:bottom w:val="single" w:sz="4" w:space="0" w:color="1F497D" w:themeColor="text2"/>
            </w:tcBorders>
          </w:tcPr>
          <w:p w14:paraId="362A217D" w14:textId="77777777" w:rsidR="003009BC" w:rsidRPr="00B26AA0" w:rsidRDefault="003009BC" w:rsidP="003009BC">
            <w:pPr>
              <w:keepNext/>
              <w:keepLines/>
              <w:spacing w:before="40" w:after="40"/>
              <w:jc w:val="right"/>
            </w:pPr>
            <w:r w:rsidRPr="00B26AA0">
              <w:t>80.0</w:t>
            </w:r>
          </w:p>
        </w:tc>
        <w:tc>
          <w:tcPr>
            <w:tcW w:w="848" w:type="dxa"/>
            <w:tcBorders>
              <w:bottom w:val="single" w:sz="4" w:space="0" w:color="1F497D" w:themeColor="text2"/>
            </w:tcBorders>
          </w:tcPr>
          <w:p w14:paraId="09539879" w14:textId="77777777" w:rsidR="003009BC" w:rsidRPr="00B26AA0" w:rsidRDefault="003009BC" w:rsidP="003009BC">
            <w:pPr>
              <w:keepNext/>
              <w:keepLines/>
              <w:spacing w:before="40" w:after="40"/>
              <w:jc w:val="right"/>
            </w:pPr>
            <w:r w:rsidRPr="00B26AA0">
              <w:t>80.0</w:t>
            </w:r>
          </w:p>
        </w:tc>
        <w:tc>
          <w:tcPr>
            <w:tcW w:w="848" w:type="dxa"/>
            <w:tcBorders>
              <w:bottom w:val="single" w:sz="4" w:space="0" w:color="1F497D" w:themeColor="text2"/>
            </w:tcBorders>
          </w:tcPr>
          <w:p w14:paraId="670D0830" w14:textId="77777777" w:rsidR="003009BC" w:rsidRPr="00B26AA0" w:rsidRDefault="003009BC" w:rsidP="003009BC">
            <w:pPr>
              <w:keepNext/>
              <w:keepLines/>
              <w:spacing w:before="40" w:after="40"/>
              <w:jc w:val="right"/>
            </w:pPr>
            <w:r w:rsidRPr="00B26AA0">
              <w:t>80.0</w:t>
            </w:r>
          </w:p>
        </w:tc>
        <w:tc>
          <w:tcPr>
            <w:tcW w:w="848" w:type="dxa"/>
            <w:tcBorders>
              <w:bottom w:val="single" w:sz="4" w:space="0" w:color="1F497D" w:themeColor="text2"/>
            </w:tcBorders>
          </w:tcPr>
          <w:p w14:paraId="79FFF60C" w14:textId="77777777" w:rsidR="003009BC" w:rsidRPr="00B26AA0" w:rsidRDefault="003009BC" w:rsidP="003009BC">
            <w:pPr>
              <w:keepNext/>
              <w:keepLines/>
              <w:spacing w:before="40" w:after="40"/>
              <w:jc w:val="right"/>
            </w:pPr>
            <w:r w:rsidRPr="00B26AA0">
              <w:t>80.0</w:t>
            </w:r>
          </w:p>
        </w:tc>
        <w:tc>
          <w:tcPr>
            <w:tcW w:w="848" w:type="dxa"/>
            <w:tcBorders>
              <w:bottom w:val="single" w:sz="4" w:space="0" w:color="1F497D" w:themeColor="text2"/>
            </w:tcBorders>
          </w:tcPr>
          <w:p w14:paraId="6B8F17AD" w14:textId="77777777" w:rsidR="003009BC" w:rsidRPr="00B26AA0" w:rsidRDefault="003009BC" w:rsidP="003009BC">
            <w:pPr>
              <w:keepNext/>
              <w:keepLines/>
              <w:spacing w:before="40" w:after="40"/>
              <w:jc w:val="right"/>
            </w:pPr>
            <w:r>
              <w:t>4</w:t>
            </w:r>
            <w:r w:rsidRPr="00B26AA0">
              <w:t>0.0</w:t>
            </w:r>
          </w:p>
        </w:tc>
        <w:tc>
          <w:tcPr>
            <w:tcW w:w="848" w:type="dxa"/>
            <w:tcBorders>
              <w:bottom w:val="single" w:sz="4" w:space="0" w:color="1F497D" w:themeColor="text2"/>
            </w:tcBorders>
          </w:tcPr>
          <w:p w14:paraId="6B8C48A6" w14:textId="77777777" w:rsidR="003009BC" w:rsidRPr="00B26AA0" w:rsidRDefault="003009BC" w:rsidP="003009BC">
            <w:pPr>
              <w:keepNext/>
              <w:keepLines/>
              <w:spacing w:before="40" w:after="40"/>
              <w:jc w:val="right"/>
            </w:pPr>
            <w:r>
              <w:t>2</w:t>
            </w:r>
            <w:r w:rsidRPr="00B26AA0">
              <w:t>0.0</w:t>
            </w:r>
          </w:p>
        </w:tc>
        <w:tc>
          <w:tcPr>
            <w:tcW w:w="848" w:type="dxa"/>
            <w:tcBorders>
              <w:bottom w:val="single" w:sz="4" w:space="0" w:color="1F497D" w:themeColor="text2"/>
            </w:tcBorders>
          </w:tcPr>
          <w:p w14:paraId="7FCBEB6E" w14:textId="1AC177D8" w:rsidR="003009BC" w:rsidRPr="005B4C1B" w:rsidRDefault="00A062E8" w:rsidP="003009BC">
            <w:pPr>
              <w:keepNext/>
              <w:keepLines/>
              <w:spacing w:before="40" w:after="40"/>
              <w:jc w:val="right"/>
            </w:pPr>
            <w:r>
              <w:t>44</w:t>
            </w:r>
            <w:r w:rsidR="003009BC">
              <w:t>0</w:t>
            </w:r>
            <w:r w:rsidR="003009BC" w:rsidRPr="005B4C1B">
              <w:t>.0</w:t>
            </w:r>
          </w:p>
        </w:tc>
      </w:tr>
      <w:tr w:rsidR="003009BC" w14:paraId="318AB625" w14:textId="77777777" w:rsidTr="003009BC">
        <w:trPr>
          <w:cantSplit/>
        </w:trPr>
        <w:tc>
          <w:tcPr>
            <w:tcW w:w="2518" w:type="dxa"/>
            <w:tcBorders>
              <w:bottom w:val="single" w:sz="4" w:space="0" w:color="1F497D" w:themeColor="text2"/>
            </w:tcBorders>
          </w:tcPr>
          <w:p w14:paraId="0F979751" w14:textId="3BFF5E27" w:rsidR="003009BC" w:rsidRPr="006146F2" w:rsidRDefault="003009BC" w:rsidP="003009BC">
            <w:pPr>
              <w:keepNext/>
              <w:keepLines/>
              <w:spacing w:before="40" w:after="40"/>
              <w:jc w:val="left"/>
            </w:pPr>
            <w:r w:rsidRPr="00C44F46">
              <w:t>Balance of non-Commonwealth contributions</w:t>
            </w:r>
            <w:r w:rsidR="006F3DF5" w:rsidRPr="006F3DF5">
              <w:rPr>
                <w:vertAlign w:val="superscript"/>
              </w:rPr>
              <w:t>(b)</w:t>
            </w:r>
          </w:p>
        </w:tc>
        <w:tc>
          <w:tcPr>
            <w:tcW w:w="848" w:type="dxa"/>
            <w:tcBorders>
              <w:top w:val="single" w:sz="4" w:space="0" w:color="1F497D" w:themeColor="text2"/>
              <w:bottom w:val="single" w:sz="4" w:space="0" w:color="1C1C80"/>
            </w:tcBorders>
          </w:tcPr>
          <w:p w14:paraId="4594B13A" w14:textId="77777777" w:rsidR="003009BC" w:rsidRDefault="003009BC" w:rsidP="003009BC">
            <w:pPr>
              <w:keepNext/>
              <w:keepLines/>
              <w:spacing w:before="40" w:after="40"/>
              <w:jc w:val="right"/>
            </w:pPr>
            <w:r>
              <w:t>20.0</w:t>
            </w:r>
          </w:p>
        </w:tc>
        <w:tc>
          <w:tcPr>
            <w:tcW w:w="848" w:type="dxa"/>
            <w:tcBorders>
              <w:top w:val="single" w:sz="4" w:space="0" w:color="1F497D" w:themeColor="text2"/>
              <w:bottom w:val="single" w:sz="4" w:space="0" w:color="1C1C80"/>
            </w:tcBorders>
          </w:tcPr>
          <w:p w14:paraId="745FDDC0" w14:textId="201A0496" w:rsidR="003009BC" w:rsidRDefault="00A062E8" w:rsidP="003009BC">
            <w:pPr>
              <w:keepNext/>
              <w:keepLines/>
              <w:spacing w:before="40" w:after="40"/>
              <w:jc w:val="right"/>
            </w:pPr>
            <w:r>
              <w:t>4</w:t>
            </w:r>
            <w:r w:rsidR="003009BC">
              <w:t>0.0</w:t>
            </w:r>
          </w:p>
        </w:tc>
        <w:tc>
          <w:tcPr>
            <w:tcW w:w="848" w:type="dxa"/>
            <w:tcBorders>
              <w:top w:val="single" w:sz="4" w:space="0" w:color="1F497D" w:themeColor="text2"/>
              <w:bottom w:val="single" w:sz="4" w:space="0" w:color="1C1C80"/>
            </w:tcBorders>
          </w:tcPr>
          <w:p w14:paraId="1CCB0D3B" w14:textId="77777777" w:rsidR="003009BC" w:rsidRDefault="003009BC" w:rsidP="003009BC">
            <w:pPr>
              <w:keepNext/>
              <w:keepLines/>
              <w:spacing w:before="40" w:after="40"/>
              <w:jc w:val="right"/>
            </w:pPr>
            <w:r>
              <w:t>80.0</w:t>
            </w:r>
          </w:p>
        </w:tc>
        <w:tc>
          <w:tcPr>
            <w:tcW w:w="848" w:type="dxa"/>
            <w:tcBorders>
              <w:top w:val="single" w:sz="4" w:space="0" w:color="1F497D" w:themeColor="text2"/>
              <w:bottom w:val="single" w:sz="4" w:space="0" w:color="1C1C80"/>
            </w:tcBorders>
          </w:tcPr>
          <w:p w14:paraId="34C75B4A" w14:textId="77777777" w:rsidR="003009BC" w:rsidRDefault="003009BC" w:rsidP="003009BC">
            <w:pPr>
              <w:keepNext/>
              <w:keepLines/>
              <w:spacing w:before="40" w:after="40"/>
              <w:jc w:val="right"/>
            </w:pPr>
            <w:r>
              <w:t>80.0</w:t>
            </w:r>
          </w:p>
        </w:tc>
        <w:tc>
          <w:tcPr>
            <w:tcW w:w="848" w:type="dxa"/>
            <w:tcBorders>
              <w:top w:val="single" w:sz="4" w:space="0" w:color="1F497D" w:themeColor="text2"/>
              <w:bottom w:val="single" w:sz="4" w:space="0" w:color="1C1C80"/>
            </w:tcBorders>
          </w:tcPr>
          <w:p w14:paraId="5F05EAF7" w14:textId="77777777" w:rsidR="003009BC" w:rsidRDefault="003009BC" w:rsidP="003009BC">
            <w:pPr>
              <w:keepNext/>
              <w:keepLines/>
              <w:spacing w:before="40" w:after="40"/>
              <w:jc w:val="right"/>
            </w:pPr>
            <w:r>
              <w:t>80</w:t>
            </w:r>
            <w:r w:rsidRPr="007C6951">
              <w:t>.0</w:t>
            </w:r>
          </w:p>
        </w:tc>
        <w:tc>
          <w:tcPr>
            <w:tcW w:w="848" w:type="dxa"/>
            <w:tcBorders>
              <w:top w:val="single" w:sz="4" w:space="0" w:color="1F497D" w:themeColor="text2"/>
              <w:bottom w:val="single" w:sz="4" w:space="0" w:color="1C1C80"/>
            </w:tcBorders>
          </w:tcPr>
          <w:p w14:paraId="0113F1B5" w14:textId="77777777" w:rsidR="003009BC" w:rsidRDefault="003009BC" w:rsidP="003009BC">
            <w:pPr>
              <w:keepNext/>
              <w:keepLines/>
              <w:spacing w:before="40" w:after="40"/>
              <w:jc w:val="right"/>
            </w:pPr>
            <w:r>
              <w:t>80</w:t>
            </w:r>
            <w:r w:rsidRPr="007C6951">
              <w:t>.0</w:t>
            </w:r>
          </w:p>
        </w:tc>
        <w:tc>
          <w:tcPr>
            <w:tcW w:w="848" w:type="dxa"/>
            <w:tcBorders>
              <w:top w:val="single" w:sz="4" w:space="0" w:color="1F497D" w:themeColor="text2"/>
              <w:bottom w:val="single" w:sz="4" w:space="0" w:color="1C1C80"/>
            </w:tcBorders>
          </w:tcPr>
          <w:p w14:paraId="752C5669" w14:textId="77777777" w:rsidR="003009BC" w:rsidRDefault="003009BC" w:rsidP="003009BC">
            <w:pPr>
              <w:keepNext/>
              <w:keepLines/>
              <w:spacing w:before="40" w:after="40"/>
              <w:jc w:val="right"/>
            </w:pPr>
            <w:r>
              <w:t>40</w:t>
            </w:r>
            <w:r w:rsidRPr="007C6951">
              <w:t>.0</w:t>
            </w:r>
          </w:p>
        </w:tc>
        <w:tc>
          <w:tcPr>
            <w:tcW w:w="848" w:type="dxa"/>
            <w:tcBorders>
              <w:top w:val="single" w:sz="4" w:space="0" w:color="1F497D" w:themeColor="text2"/>
              <w:bottom w:val="single" w:sz="4" w:space="0" w:color="1C1C80"/>
            </w:tcBorders>
          </w:tcPr>
          <w:p w14:paraId="40FBFA0C" w14:textId="77777777" w:rsidR="003009BC" w:rsidRDefault="003009BC" w:rsidP="003009BC">
            <w:pPr>
              <w:keepNext/>
              <w:keepLines/>
              <w:spacing w:before="40" w:after="40"/>
              <w:jc w:val="right"/>
            </w:pPr>
            <w:r>
              <w:t>2</w:t>
            </w:r>
            <w:r w:rsidRPr="007C6951">
              <w:t>0.0</w:t>
            </w:r>
          </w:p>
        </w:tc>
        <w:tc>
          <w:tcPr>
            <w:tcW w:w="848" w:type="dxa"/>
            <w:tcBorders>
              <w:top w:val="single" w:sz="4" w:space="0" w:color="1F497D" w:themeColor="text2"/>
              <w:bottom w:val="single" w:sz="4" w:space="0" w:color="1C1C80"/>
            </w:tcBorders>
          </w:tcPr>
          <w:p w14:paraId="1DB48623" w14:textId="6B3EE586" w:rsidR="003009BC" w:rsidRDefault="00A062E8" w:rsidP="003009BC">
            <w:pPr>
              <w:keepNext/>
              <w:keepLines/>
              <w:spacing w:before="40" w:after="40"/>
              <w:jc w:val="right"/>
            </w:pPr>
            <w:r>
              <w:t>44</w:t>
            </w:r>
            <w:r w:rsidR="003009BC">
              <w:t>0.0</w:t>
            </w:r>
          </w:p>
        </w:tc>
      </w:tr>
    </w:tbl>
    <w:p w14:paraId="317A8395" w14:textId="1C0A0FB5" w:rsidR="00FB4200" w:rsidRDefault="003009BC" w:rsidP="003009BC">
      <w:pPr>
        <w:pStyle w:val="ChartandTableFootnoteAlpha"/>
        <w:numPr>
          <w:ilvl w:val="0"/>
          <w:numId w:val="0"/>
        </w:numPr>
      </w:pPr>
      <w:r>
        <w:rPr>
          <w:b/>
          <w:vertAlign w:val="superscript"/>
        </w:rPr>
        <w:t xml:space="preserve">(a) </w:t>
      </w:r>
      <w:r w:rsidRPr="00C7764F">
        <w:t xml:space="preserve">Estimated National Partnership </w:t>
      </w:r>
      <w:r>
        <w:t>p</w:t>
      </w:r>
      <w:r w:rsidRPr="00C7764F">
        <w:t xml:space="preserve">ayments to each State </w:t>
      </w:r>
      <w:r w:rsidR="006F3DF5">
        <w:t>will be</w:t>
      </w:r>
      <w:r w:rsidRPr="00C7764F">
        <w:t xml:space="preserve"> set out in the </w:t>
      </w:r>
      <w:r w:rsidR="006F3DF5">
        <w:t>S</w:t>
      </w:r>
      <w:r w:rsidRPr="00C7764F">
        <w:t>chedules to this Agreement.</w:t>
      </w:r>
    </w:p>
    <w:p w14:paraId="19EF8395" w14:textId="41B9AF9D" w:rsidR="00E8717F" w:rsidRDefault="006F3DF5" w:rsidP="00E8717F">
      <w:pPr>
        <w:pStyle w:val="ChartandTableFootnoteAlpha"/>
        <w:numPr>
          <w:ilvl w:val="0"/>
          <w:numId w:val="0"/>
        </w:numPr>
      </w:pPr>
      <w:r w:rsidRPr="006F3DF5">
        <w:rPr>
          <w:b/>
          <w:vertAlign w:val="superscript"/>
        </w:rPr>
        <w:t>(b</w:t>
      </w:r>
      <w:r>
        <w:rPr>
          <w:b/>
          <w:vertAlign w:val="superscript"/>
        </w:rPr>
        <w:t>)</w:t>
      </w:r>
      <w:r>
        <w:t xml:space="preserve"> </w:t>
      </w:r>
      <w:r w:rsidR="00CE669C">
        <w:t xml:space="preserve">Estimated non-Commonwealth contributions may include State funding contributions and contributions from third parties including local governments and other non-government organisations.  </w:t>
      </w:r>
      <w:r>
        <w:t xml:space="preserve">Estimated non-Commonwealth </w:t>
      </w:r>
      <w:r w:rsidRPr="002A4720">
        <w:t>contributions from each State will be</w:t>
      </w:r>
      <w:r>
        <w:t xml:space="preserve"> set out in Schedules to this Agreement</w:t>
      </w:r>
      <w:r w:rsidR="00E8717F">
        <w:t>.</w:t>
      </w:r>
    </w:p>
    <w:p w14:paraId="6787D332" w14:textId="77777777" w:rsidR="00564F72" w:rsidRPr="00E8717F" w:rsidRDefault="00564F72" w:rsidP="00E8717F">
      <w:pPr>
        <w:pStyle w:val="ChartandTableFootnoteAlpha"/>
        <w:numPr>
          <w:ilvl w:val="0"/>
          <w:numId w:val="0"/>
        </w:numPr>
        <w:rPr>
          <w:rFonts w:ascii="Corbel" w:hAnsi="Corbel"/>
          <w:sz w:val="23"/>
          <w:szCs w:val="23"/>
        </w:rPr>
      </w:pPr>
    </w:p>
    <w:p w14:paraId="32EDD727" w14:textId="02710C60" w:rsidR="00F86145" w:rsidRPr="00F86145" w:rsidRDefault="00F86145" w:rsidP="00F86145">
      <w:pPr>
        <w:pStyle w:val="Heading2"/>
      </w:pPr>
      <w:r w:rsidRPr="00F86145">
        <w:t xml:space="preserve">Project </w:t>
      </w:r>
      <w:r w:rsidR="008945F0">
        <w:t xml:space="preserve">additions and </w:t>
      </w:r>
      <w:r w:rsidRPr="00F86145">
        <w:t>cance</w:t>
      </w:r>
      <w:r>
        <w:t>l</w:t>
      </w:r>
      <w:r w:rsidRPr="00F86145">
        <w:t>l</w:t>
      </w:r>
      <w:r>
        <w:t>at</w:t>
      </w:r>
      <w:r w:rsidRPr="00F86145">
        <w:t>ions</w:t>
      </w:r>
    </w:p>
    <w:p w14:paraId="6B43473E" w14:textId="263A3B8F" w:rsidR="008945F0" w:rsidRDefault="00EA2A70" w:rsidP="008945F0">
      <w:pPr>
        <w:pStyle w:val="Normalnumbered"/>
        <w:numPr>
          <w:ilvl w:val="0"/>
          <w:numId w:val="10"/>
        </w:numPr>
        <w:rPr>
          <w:color w:val="auto"/>
        </w:rPr>
      </w:pPr>
      <w:r>
        <w:t xml:space="preserve">The Parties recognise there may be a need to </w:t>
      </w:r>
      <w:r w:rsidR="008945F0">
        <w:t xml:space="preserve">add or </w:t>
      </w:r>
      <w:r>
        <w:t xml:space="preserve">cancel a project </w:t>
      </w:r>
      <w:r w:rsidR="006F3DF5">
        <w:t>funded under this Agreement</w:t>
      </w:r>
      <w:r w:rsidR="008945F0">
        <w:t>.</w:t>
      </w:r>
      <w:r w:rsidR="006F3DF5">
        <w:t xml:space="preserve"> </w:t>
      </w:r>
      <w:r w:rsidR="00A00AA7">
        <w:t>Where this occurs:</w:t>
      </w:r>
    </w:p>
    <w:p w14:paraId="4CC962C3" w14:textId="5D5B51F4" w:rsidR="00A00AA7" w:rsidRDefault="008945F0" w:rsidP="00A2346F">
      <w:pPr>
        <w:pStyle w:val="AlphaParagraph"/>
        <w:numPr>
          <w:ilvl w:val="0"/>
          <w:numId w:val="29"/>
        </w:numPr>
        <w:tabs>
          <w:tab w:val="clear" w:pos="567"/>
          <w:tab w:val="clear" w:pos="1134"/>
        </w:tabs>
        <w:spacing w:before="120" w:line="240" w:lineRule="auto"/>
        <w:jc w:val="left"/>
      </w:pPr>
      <w:r>
        <w:t xml:space="preserve">the </w:t>
      </w:r>
      <w:r w:rsidR="00402BC8">
        <w:t>P</w:t>
      </w:r>
      <w:r>
        <w:t xml:space="preserve">arty </w:t>
      </w:r>
      <w:r w:rsidR="00A00AA7">
        <w:t xml:space="preserve">proposing the change </w:t>
      </w:r>
      <w:r>
        <w:t xml:space="preserve">will notify the other </w:t>
      </w:r>
      <w:r w:rsidR="00402BC8">
        <w:t>P</w:t>
      </w:r>
      <w:r>
        <w:t>art</w:t>
      </w:r>
      <w:r w:rsidR="00402BC8">
        <w:t>y</w:t>
      </w:r>
      <w:r>
        <w:t xml:space="preserve"> in writing</w:t>
      </w:r>
      <w:r w:rsidR="00A00AA7">
        <w:t>;</w:t>
      </w:r>
      <w:r w:rsidR="00D2250C">
        <w:t xml:space="preserve"> </w:t>
      </w:r>
    </w:p>
    <w:p w14:paraId="3916E961" w14:textId="6B99AE59" w:rsidR="00D2250C" w:rsidRDefault="00402BC8" w:rsidP="00A2346F">
      <w:pPr>
        <w:pStyle w:val="AlphaParagraph"/>
        <w:numPr>
          <w:ilvl w:val="0"/>
          <w:numId w:val="29"/>
        </w:numPr>
        <w:tabs>
          <w:tab w:val="clear" w:pos="567"/>
          <w:tab w:val="clear" w:pos="1134"/>
        </w:tabs>
        <w:spacing w:before="120" w:line="240" w:lineRule="auto"/>
        <w:jc w:val="left"/>
      </w:pPr>
      <w:r>
        <w:t>the relevant P</w:t>
      </w:r>
      <w:r w:rsidR="00A00AA7">
        <w:t xml:space="preserve">arties will consider </w:t>
      </w:r>
      <w:r>
        <w:t>the proposed change including any funding implications</w:t>
      </w:r>
      <w:r w:rsidR="00D2250C">
        <w:t>; and</w:t>
      </w:r>
    </w:p>
    <w:p w14:paraId="205905A1" w14:textId="2D79D095" w:rsidR="00756B27" w:rsidRPr="002A5ACC" w:rsidRDefault="00324DF3" w:rsidP="002A5ACC">
      <w:pPr>
        <w:pStyle w:val="AlphaParagraph"/>
        <w:numPr>
          <w:ilvl w:val="0"/>
          <w:numId w:val="29"/>
        </w:numPr>
        <w:tabs>
          <w:tab w:val="clear" w:pos="567"/>
          <w:tab w:val="clear" w:pos="1134"/>
        </w:tabs>
        <w:spacing w:before="120" w:line="240" w:lineRule="auto"/>
        <w:jc w:val="left"/>
      </w:pPr>
      <w:r>
        <w:t xml:space="preserve">subject to the outcome of those considerations, </w:t>
      </w:r>
      <w:r w:rsidR="00D2250C">
        <w:t xml:space="preserve">changes </w:t>
      </w:r>
      <w:r w:rsidR="00BD77A9">
        <w:t xml:space="preserve">will </w:t>
      </w:r>
      <w:r w:rsidR="00D2250C">
        <w:t>be implemented by</w:t>
      </w:r>
      <w:r w:rsidR="00A00AA7">
        <w:t xml:space="preserve"> </w:t>
      </w:r>
      <w:r w:rsidR="00BD77A9">
        <w:t xml:space="preserve">varying </w:t>
      </w:r>
      <w:r w:rsidR="00A00AA7">
        <w:t xml:space="preserve">the relevant </w:t>
      </w:r>
      <w:r>
        <w:t>S</w:t>
      </w:r>
      <w:r w:rsidR="00A00AA7">
        <w:t>chedule</w:t>
      </w:r>
      <w:r w:rsidR="008945F0">
        <w:t xml:space="preserve"> in accordance with clause</w:t>
      </w:r>
      <w:r w:rsidR="00FF31FD">
        <w:t xml:space="preserve"> </w:t>
      </w:r>
      <w:r w:rsidR="001777F5">
        <w:t>30</w:t>
      </w:r>
      <w:r w:rsidR="008945F0">
        <w:t xml:space="preserve"> of this Agreement.</w:t>
      </w:r>
    </w:p>
    <w:p w14:paraId="25AB4CD2" w14:textId="77777777" w:rsidR="00814667" w:rsidRDefault="00814667" w:rsidP="007E02F1">
      <w:pPr>
        <w:pStyle w:val="Heading1"/>
        <w:spacing w:before="180"/>
      </w:pPr>
      <w:r>
        <w:t>Part 6 — governance arrangements</w:t>
      </w:r>
    </w:p>
    <w:p w14:paraId="37AED1F5" w14:textId="77777777" w:rsidR="000A7553" w:rsidRDefault="000A7553" w:rsidP="000A7553">
      <w:pPr>
        <w:pStyle w:val="Heading2"/>
      </w:pPr>
      <w:r w:rsidRPr="006F096A">
        <w:t>Enforceability of the Agreement</w:t>
      </w:r>
    </w:p>
    <w:p w14:paraId="48B96A49" w14:textId="77777777" w:rsidR="000A7553" w:rsidRPr="00C40EBC" w:rsidRDefault="004E6528" w:rsidP="00E14134">
      <w:pPr>
        <w:pStyle w:val="Normalnumbered"/>
        <w:numPr>
          <w:ilvl w:val="0"/>
          <w:numId w:val="10"/>
        </w:numPr>
        <w:spacing w:line="240" w:lineRule="auto"/>
        <w:jc w:val="left"/>
      </w:pPr>
      <w:r>
        <w:rPr>
          <w:szCs w:val="23"/>
        </w:rPr>
        <w:t>T</w:t>
      </w:r>
      <w:r w:rsidR="000A7553">
        <w:rPr>
          <w:szCs w:val="23"/>
        </w:rPr>
        <w:t xml:space="preserve">he Parties do not intend any of the provisions of this Agreement to be legally enforceable. However, </w:t>
      </w:r>
      <w:r w:rsidR="007219B9">
        <w:rPr>
          <w:szCs w:val="23"/>
        </w:rPr>
        <w:t xml:space="preserve">this </w:t>
      </w:r>
      <w:r w:rsidR="000A7553">
        <w:rPr>
          <w:szCs w:val="23"/>
        </w:rPr>
        <w:t>does not lessen the Parties’ commitment to this Agreement.</w:t>
      </w:r>
    </w:p>
    <w:p w14:paraId="0C2F5AE6" w14:textId="77777777" w:rsidR="00E51D1B" w:rsidRPr="00415AF1" w:rsidRDefault="00E51D1B" w:rsidP="007F2F8F">
      <w:pPr>
        <w:pStyle w:val="Heading2"/>
      </w:pPr>
      <w:r>
        <w:t>Review of the Agreement</w:t>
      </w:r>
    </w:p>
    <w:p w14:paraId="0FBEDE02" w14:textId="77777777" w:rsidR="00D36590" w:rsidRDefault="00D36590" w:rsidP="00E14134">
      <w:pPr>
        <w:pStyle w:val="Normalnumbered"/>
        <w:numPr>
          <w:ilvl w:val="0"/>
          <w:numId w:val="10"/>
        </w:numPr>
        <w:spacing w:line="240" w:lineRule="auto"/>
        <w:jc w:val="left"/>
        <w:rPr>
          <w:color w:val="auto"/>
        </w:rPr>
      </w:pPr>
      <w:r>
        <w:rPr>
          <w:color w:val="auto"/>
        </w:rPr>
        <w:t xml:space="preserve">In accordance with clause E23 of the </w:t>
      </w:r>
      <w:r w:rsidR="00ED1452">
        <w:rPr>
          <w:color w:val="auto"/>
        </w:rPr>
        <w:t>IGA FFR</w:t>
      </w:r>
      <w:r>
        <w:rPr>
          <w:color w:val="auto"/>
        </w:rPr>
        <w:t xml:space="preserve">, this Agreement is time limited. </w:t>
      </w:r>
      <w:r>
        <w:t xml:space="preserve">To assess the degree to </w:t>
      </w:r>
      <w:r w:rsidRPr="00D36590">
        <w:rPr>
          <w:szCs w:val="23"/>
        </w:rPr>
        <w:t>which</w:t>
      </w:r>
      <w:r>
        <w:t xml:space="preserve"> the agreed objectives and outcomes and/or outputs have been achieved, and inform decisions regarding the appropriate treatment following its expiry, a review of the Agreement will be scheduled to be completed approximately 12 months prior to its expiry.</w:t>
      </w:r>
    </w:p>
    <w:p w14:paraId="227B2716" w14:textId="69901457" w:rsidR="00CE75DB" w:rsidRPr="00CE75DB" w:rsidRDefault="00CE75DB" w:rsidP="00CE75DB">
      <w:pPr>
        <w:pStyle w:val="Normalnumbered"/>
        <w:numPr>
          <w:ilvl w:val="0"/>
          <w:numId w:val="10"/>
        </w:numPr>
        <w:spacing w:line="240" w:lineRule="auto"/>
        <w:jc w:val="left"/>
        <w:rPr>
          <w:color w:val="auto"/>
        </w:rPr>
      </w:pPr>
      <w:r w:rsidRPr="00D36590">
        <w:rPr>
          <w:color w:val="auto"/>
        </w:rPr>
        <w:t>This Agreement is intended to provide Commonwealth funding on a one off basis to</w:t>
      </w:r>
      <w:r>
        <w:rPr>
          <w:color w:val="auto"/>
        </w:rPr>
        <w:t xml:space="preserve">ward </w:t>
      </w:r>
      <w:r w:rsidR="009C20D2">
        <w:rPr>
          <w:color w:val="auto"/>
        </w:rPr>
        <w:t>t</w:t>
      </w:r>
      <w:r>
        <w:t xml:space="preserve">he successful construction of new or augmented water infrastructure </w:t>
      </w:r>
      <w:r w:rsidRPr="00D36590">
        <w:rPr>
          <w:color w:val="auto"/>
        </w:rPr>
        <w:t>a</w:t>
      </w:r>
      <w:r>
        <w:rPr>
          <w:color w:val="auto"/>
        </w:rPr>
        <w:t xml:space="preserve">s specified in </w:t>
      </w:r>
      <w:r w:rsidRPr="00D36590">
        <w:rPr>
          <w:color w:val="auto"/>
        </w:rPr>
        <w:t xml:space="preserve">clause </w:t>
      </w:r>
      <w:r>
        <w:rPr>
          <w:color w:val="auto"/>
        </w:rPr>
        <w:t>10</w:t>
      </w:r>
      <w:r w:rsidRPr="00D36590">
        <w:rPr>
          <w:color w:val="auto"/>
        </w:rPr>
        <w:t xml:space="preserve">.  It is not anticipated that the Commonwealth will provide any further funding for these </w:t>
      </w:r>
      <w:r w:rsidRPr="00D36590">
        <w:rPr>
          <w:szCs w:val="23"/>
        </w:rPr>
        <w:t>activities</w:t>
      </w:r>
      <w:r w:rsidRPr="00D36590">
        <w:rPr>
          <w:color w:val="auto"/>
        </w:rPr>
        <w:t xml:space="preserve"> beyond the expiry of the Agreement.  Whether any further funding is provided by the States is a matter for them to consider when framing their budgets</w:t>
      </w:r>
      <w:r>
        <w:rPr>
          <w:color w:val="auto"/>
        </w:rPr>
        <w:t>,</w:t>
      </w:r>
      <w:r w:rsidRPr="00D36590">
        <w:t xml:space="preserve"> </w:t>
      </w:r>
      <w:r>
        <w:t xml:space="preserve">as States are responsible for related activities. </w:t>
      </w:r>
    </w:p>
    <w:p w14:paraId="7A0DDF64" w14:textId="77777777" w:rsidR="00E51D1B" w:rsidRDefault="00E51D1B" w:rsidP="00E51D1B">
      <w:pPr>
        <w:pStyle w:val="Heading2"/>
      </w:pPr>
      <w:r>
        <w:lastRenderedPageBreak/>
        <w:t>Variation of the Agreement</w:t>
      </w:r>
    </w:p>
    <w:p w14:paraId="013FEA08" w14:textId="77777777" w:rsidR="00E51D1B" w:rsidRDefault="00E51D1B" w:rsidP="00E14134">
      <w:pPr>
        <w:pStyle w:val="Normalnumbered"/>
        <w:numPr>
          <w:ilvl w:val="0"/>
          <w:numId w:val="10"/>
        </w:numPr>
        <w:jc w:val="left"/>
      </w:pPr>
      <w:r>
        <w:t>The Agreement may be amended at any time by agreement in writing by all the Parties.</w:t>
      </w:r>
    </w:p>
    <w:p w14:paraId="6205BEDD" w14:textId="5106F9B2" w:rsidR="009C20D2" w:rsidRDefault="009C20D2" w:rsidP="009C20D2">
      <w:pPr>
        <w:pStyle w:val="Normalnumbered"/>
        <w:numPr>
          <w:ilvl w:val="0"/>
          <w:numId w:val="10"/>
        </w:numPr>
        <w:jc w:val="left"/>
      </w:pPr>
      <w:r>
        <w:t>Bilateral</w:t>
      </w:r>
      <w:r w:rsidR="00D348BD">
        <w:t xml:space="preserve"> S</w:t>
      </w:r>
      <w:r>
        <w:t>chedules to this Agreement that have no impact on other Parties may be amended at any time by agreement in writing by the Commonwealth and relevant State minister.</w:t>
      </w:r>
    </w:p>
    <w:p w14:paraId="291E2A59" w14:textId="14893FF3" w:rsidR="009F379A" w:rsidRDefault="00CE669C" w:rsidP="00F16073">
      <w:pPr>
        <w:pStyle w:val="Normalnumbered"/>
        <w:numPr>
          <w:ilvl w:val="0"/>
          <w:numId w:val="10"/>
        </w:numPr>
        <w:jc w:val="left"/>
      </w:pPr>
      <w:r w:rsidDel="009F379A">
        <w:t>A Party to the Agreement may terminate their participation in the Agreement at any time by notifying all the other Parties in writing.</w:t>
      </w:r>
    </w:p>
    <w:p w14:paraId="3E42E009" w14:textId="77777777" w:rsidR="002665E5" w:rsidRDefault="002665E5" w:rsidP="002665E5">
      <w:pPr>
        <w:pStyle w:val="Heading2"/>
      </w:pPr>
      <w:r>
        <w:t>Delegations</w:t>
      </w:r>
    </w:p>
    <w:p w14:paraId="26999A91" w14:textId="756177B7" w:rsidR="002665E5" w:rsidRDefault="002665E5" w:rsidP="00E14134">
      <w:pPr>
        <w:pStyle w:val="Normalnumbered"/>
        <w:numPr>
          <w:ilvl w:val="0"/>
          <w:numId w:val="10"/>
        </w:numPr>
        <w:jc w:val="left"/>
      </w:pPr>
      <w:r>
        <w:t xml:space="preserve">The relevant Commonwealth Minister with portfolio responsibility for </w:t>
      </w:r>
      <w:r w:rsidR="005F7807">
        <w:t xml:space="preserve"> this Agreement</w:t>
      </w:r>
      <w:r w:rsidR="003009BC">
        <w:t xml:space="preserve"> </w:t>
      </w:r>
      <w:r>
        <w:t xml:space="preserve">is authorised to agree and amend Schedules, to this Agreement and to </w:t>
      </w:r>
      <w:r w:rsidRPr="00901CF5">
        <w:t xml:space="preserve">certify that </w:t>
      </w:r>
      <w:r>
        <w:t xml:space="preserve">performance benchmarks specified under this Agreement have been achieved, so that payments may be made. </w:t>
      </w:r>
    </w:p>
    <w:p w14:paraId="6DCB6E03" w14:textId="373AABBB" w:rsidR="002665E5" w:rsidRDefault="002665E5" w:rsidP="00E14134">
      <w:pPr>
        <w:pStyle w:val="Normalnumbered"/>
        <w:numPr>
          <w:ilvl w:val="0"/>
          <w:numId w:val="10"/>
        </w:numPr>
        <w:jc w:val="left"/>
      </w:pPr>
      <w:r>
        <w:t>Respective State and Territory Ministers with portfolio responsibility for</w:t>
      </w:r>
      <w:r w:rsidR="003009BC">
        <w:t xml:space="preserve"> </w:t>
      </w:r>
      <w:r w:rsidR="005F7807">
        <w:t>this Agreement</w:t>
      </w:r>
      <w:r w:rsidR="005F7807" w:rsidRPr="00816464">
        <w:t xml:space="preserve"> </w:t>
      </w:r>
      <w:r w:rsidRPr="00816464">
        <w:t xml:space="preserve">are authorised to agree </w:t>
      </w:r>
      <w:r w:rsidR="006C7FA2">
        <w:t>and</w:t>
      </w:r>
      <w:r>
        <w:t xml:space="preserve"> amend </w:t>
      </w:r>
      <w:r w:rsidRPr="000E19C0">
        <w:t>Schedules to this Agreement</w:t>
      </w:r>
      <w:r w:rsidRPr="00816464">
        <w:t>.</w:t>
      </w:r>
    </w:p>
    <w:p w14:paraId="304851EA" w14:textId="162D5D39" w:rsidR="002665E5" w:rsidRDefault="002665E5" w:rsidP="00E14134">
      <w:pPr>
        <w:pStyle w:val="Normalnumbered"/>
        <w:numPr>
          <w:ilvl w:val="0"/>
          <w:numId w:val="10"/>
        </w:numPr>
        <w:jc w:val="left"/>
      </w:pPr>
      <w:r>
        <w:t xml:space="preserve">The Commonwealth Minister may delegate the assessment of performance </w:t>
      </w:r>
      <w:r w:rsidR="0059519F">
        <w:t>against</w:t>
      </w:r>
      <w:r>
        <w:t xml:space="preserve"> milestones and the authorisation of related project payments to senior Commonwealth officials, having regard to the financial and policy risks a</w:t>
      </w:r>
      <w:r w:rsidR="0059519F">
        <w:t>ssociated with those payments.</w:t>
      </w:r>
    </w:p>
    <w:p w14:paraId="617B5C57" w14:textId="77777777" w:rsidR="002665E5" w:rsidRDefault="002665E5" w:rsidP="002665E5">
      <w:pPr>
        <w:pStyle w:val="Heading2"/>
      </w:pPr>
      <w:r>
        <w:t>Dispute resolution</w:t>
      </w:r>
    </w:p>
    <w:p w14:paraId="549269BE" w14:textId="77777777" w:rsidR="002665E5" w:rsidRDefault="002665E5" w:rsidP="00E14134">
      <w:pPr>
        <w:pStyle w:val="Normalnumbered"/>
        <w:numPr>
          <w:ilvl w:val="0"/>
          <w:numId w:val="10"/>
        </w:numPr>
        <w:jc w:val="left"/>
      </w:pPr>
      <w:r>
        <w:t>Any Party may give notice to other Parties of a dispute under this Agreement.</w:t>
      </w:r>
    </w:p>
    <w:p w14:paraId="0FEF8CB2" w14:textId="77777777" w:rsidR="002665E5" w:rsidRDefault="002665E5" w:rsidP="00E14134">
      <w:pPr>
        <w:pStyle w:val="Normalnumbered"/>
        <w:numPr>
          <w:ilvl w:val="0"/>
          <w:numId w:val="10"/>
        </w:numPr>
        <w:jc w:val="left"/>
      </w:pPr>
      <w:r>
        <w:t>Officials of relevant Parties will attempt to resolve any dispute in the first instance.</w:t>
      </w:r>
    </w:p>
    <w:p w14:paraId="73F54700" w14:textId="77777777" w:rsidR="002665E5" w:rsidRDefault="002665E5" w:rsidP="00E14134">
      <w:pPr>
        <w:pStyle w:val="Normalnumbered"/>
        <w:numPr>
          <w:ilvl w:val="0"/>
          <w:numId w:val="10"/>
        </w:numPr>
        <w:jc w:val="left"/>
      </w:pPr>
      <w:r>
        <w:t>If a dispute cannot be resolved by officials, it may be escalated to the relevant Ministers.</w:t>
      </w:r>
    </w:p>
    <w:p w14:paraId="66C45F86" w14:textId="77777777" w:rsidR="0059519F" w:rsidRDefault="0059519F">
      <w:pPr>
        <w:spacing w:after="0" w:line="240" w:lineRule="auto"/>
        <w:jc w:val="left"/>
        <w:rPr>
          <w:rFonts w:ascii="Consolas" w:hAnsi="Consolas" w:cs="Arial"/>
          <w:bCs/>
          <w:caps/>
          <w:color w:val="3D4B67"/>
          <w:kern w:val="32"/>
          <w:sz w:val="32"/>
          <w:szCs w:val="36"/>
        </w:rPr>
      </w:pPr>
      <w:r>
        <w:br w:type="page"/>
      </w:r>
    </w:p>
    <w:p w14:paraId="7785535C" w14:textId="77777777" w:rsidR="002665E5" w:rsidRPr="002665E5" w:rsidRDefault="002665E5" w:rsidP="002665E5">
      <w:pPr>
        <w:pStyle w:val="AlphaParagraph"/>
        <w:tabs>
          <w:tab w:val="clear" w:pos="0"/>
        </w:tabs>
        <w:ind w:left="0" w:firstLine="0"/>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14:paraId="684AF199" w14:textId="77777777" w:rsidTr="00B40E38">
        <w:trPr>
          <w:cantSplit/>
          <w:jc w:val="center"/>
        </w:trPr>
        <w:tc>
          <w:tcPr>
            <w:tcW w:w="4536" w:type="dxa"/>
          </w:tcPr>
          <w:p w14:paraId="50DBD593"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1C9D4AA3" w14:textId="77777777" w:rsidR="002665E5" w:rsidRPr="00A50751" w:rsidRDefault="002665E5" w:rsidP="00B40E38">
            <w:pPr>
              <w:pStyle w:val="LineForSignature"/>
            </w:pPr>
            <w:r>
              <w:tab/>
            </w:r>
          </w:p>
          <w:p w14:paraId="594507B6" w14:textId="768A986C" w:rsidR="002665E5" w:rsidRDefault="002665E5" w:rsidP="00B40E38">
            <w:pPr>
              <w:pStyle w:val="SingleParagraph"/>
              <w:rPr>
                <w:rStyle w:val="Bold"/>
              </w:rPr>
            </w:pPr>
            <w:r>
              <w:rPr>
                <w:rStyle w:val="Bold"/>
              </w:rPr>
              <w:t xml:space="preserve">The Honourable </w:t>
            </w:r>
            <w:r w:rsidR="002D6EE1">
              <w:rPr>
                <w:rStyle w:val="Bold"/>
              </w:rPr>
              <w:t>Malcolm Turnbull</w:t>
            </w:r>
            <w:r>
              <w:rPr>
                <w:rStyle w:val="Bold"/>
              </w:rPr>
              <w:t xml:space="preserve"> MP</w:t>
            </w:r>
          </w:p>
          <w:p w14:paraId="4845A94F" w14:textId="77777777" w:rsidR="002665E5" w:rsidRDefault="002665E5" w:rsidP="00B40E38">
            <w:pPr>
              <w:pStyle w:val="Position"/>
              <w:rPr>
                <w:lang w:val="en-GB"/>
              </w:rPr>
            </w:pPr>
            <w:r w:rsidRPr="001F6FE8">
              <w:rPr>
                <w:lang w:val="en-GB"/>
              </w:rPr>
              <w:t>Prime Minister of the Commonwealth of Australia</w:t>
            </w:r>
          </w:p>
          <w:p w14:paraId="337D0D86" w14:textId="77777777" w:rsidR="002665E5" w:rsidRDefault="002665E5" w:rsidP="00B40E3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5F7C8EA4" w14:textId="77777777" w:rsidR="002665E5" w:rsidRPr="00A50751" w:rsidRDefault="002665E5" w:rsidP="00B40E38">
            <w:pPr>
              <w:rPr>
                <w:rFonts w:ascii="Book Antiqua" w:hAnsi="Book Antiqua"/>
                <w:lang w:val="en-GB"/>
              </w:rPr>
            </w:pPr>
          </w:p>
        </w:tc>
        <w:tc>
          <w:tcPr>
            <w:tcW w:w="4536" w:type="dxa"/>
          </w:tcPr>
          <w:p w14:paraId="487915ED" w14:textId="77777777" w:rsidR="002665E5" w:rsidRPr="00A50751" w:rsidRDefault="002665E5" w:rsidP="00B40E38">
            <w:pPr>
              <w:rPr>
                <w:rFonts w:ascii="Book Antiqua" w:hAnsi="Book Antiqua"/>
                <w:lang w:val="en-GB"/>
              </w:rPr>
            </w:pPr>
          </w:p>
        </w:tc>
      </w:tr>
      <w:tr w:rsidR="002665E5" w:rsidRPr="00A50751" w14:paraId="2C4B40F5" w14:textId="77777777" w:rsidTr="00B40E38">
        <w:trPr>
          <w:cantSplit/>
          <w:jc w:val="center"/>
        </w:trPr>
        <w:tc>
          <w:tcPr>
            <w:tcW w:w="4536" w:type="dxa"/>
          </w:tcPr>
          <w:p w14:paraId="1E2365E2"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4F0846C6" w14:textId="77777777" w:rsidR="002665E5" w:rsidRPr="00A50751" w:rsidRDefault="002665E5" w:rsidP="00B40E38">
            <w:pPr>
              <w:pStyle w:val="SingleParagraph"/>
              <w:rPr>
                <w:rFonts w:ascii="Book Antiqua" w:hAnsi="Book Antiqua"/>
                <w:lang w:val="en-GB"/>
              </w:rPr>
            </w:pPr>
          </w:p>
        </w:tc>
        <w:tc>
          <w:tcPr>
            <w:tcW w:w="4536" w:type="dxa"/>
          </w:tcPr>
          <w:p w14:paraId="0B8FF233" w14:textId="77777777" w:rsidR="002665E5" w:rsidRPr="00A50751" w:rsidRDefault="002665E5" w:rsidP="00B40E38">
            <w:pPr>
              <w:pStyle w:val="SingleParagraph"/>
              <w:rPr>
                <w:rFonts w:ascii="Book Antiqua" w:hAnsi="Book Antiqua"/>
                <w:lang w:val="en-GB"/>
              </w:rPr>
            </w:pPr>
          </w:p>
        </w:tc>
      </w:tr>
      <w:tr w:rsidR="002665E5" w:rsidRPr="00A50751" w14:paraId="0A8803B9" w14:textId="77777777" w:rsidTr="00B40E38">
        <w:trPr>
          <w:cantSplit/>
          <w:jc w:val="center"/>
        </w:trPr>
        <w:tc>
          <w:tcPr>
            <w:tcW w:w="4536" w:type="dxa"/>
          </w:tcPr>
          <w:p w14:paraId="5E07B3D8"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688B5230" w14:textId="77777777" w:rsidR="002665E5" w:rsidRPr="00A50751" w:rsidRDefault="002665E5" w:rsidP="00B40E38">
            <w:pPr>
              <w:pStyle w:val="LineForSignature"/>
            </w:pPr>
            <w:r w:rsidRPr="00A50751">
              <w:tab/>
            </w:r>
          </w:p>
          <w:p w14:paraId="43DCEAC8" w14:textId="1980A4FF" w:rsidR="002665E5" w:rsidRDefault="002665E5" w:rsidP="00B40E38">
            <w:pPr>
              <w:pStyle w:val="SingleParagraph"/>
              <w:rPr>
                <w:rStyle w:val="Bold"/>
              </w:rPr>
            </w:pPr>
            <w:r>
              <w:rPr>
                <w:rStyle w:val="Bold"/>
              </w:rPr>
              <w:t xml:space="preserve">The </w:t>
            </w:r>
            <w:r w:rsidRPr="008567A8">
              <w:rPr>
                <w:rStyle w:val="Bold"/>
              </w:rPr>
              <w:t xml:space="preserve">Honourable </w:t>
            </w:r>
            <w:hyperlink r:id="rId8" w:tooltip="Gladys Berejiklian" w:history="1">
              <w:r w:rsidR="008567A8" w:rsidRPr="008567A8">
                <w:rPr>
                  <w:rStyle w:val="Bold"/>
                </w:rPr>
                <w:t xml:space="preserve">Gladys </w:t>
              </w:r>
              <w:proofErr w:type="spellStart"/>
              <w:r w:rsidR="008567A8" w:rsidRPr="008567A8">
                <w:rPr>
                  <w:rStyle w:val="Bold"/>
                </w:rPr>
                <w:t>Berejiklian</w:t>
              </w:r>
              <w:proofErr w:type="spellEnd"/>
            </w:hyperlink>
            <w:r w:rsidRPr="008567A8">
              <w:rPr>
                <w:rStyle w:val="Bold"/>
              </w:rPr>
              <w:t xml:space="preserve"> MP</w:t>
            </w:r>
          </w:p>
          <w:p w14:paraId="0D27D15A" w14:textId="77777777" w:rsidR="002665E5" w:rsidRPr="00A50751" w:rsidRDefault="002665E5" w:rsidP="00B40E38">
            <w:pPr>
              <w:pStyle w:val="Position"/>
              <w:rPr>
                <w:rFonts w:ascii="Book Antiqua" w:hAnsi="Book Antiqua"/>
                <w:bCs w:val="0"/>
                <w:lang w:val="en-GB"/>
              </w:rPr>
            </w:pPr>
            <w:r w:rsidRPr="001F6FE8">
              <w:rPr>
                <w:bCs w:val="0"/>
                <w:lang w:val="en-GB"/>
              </w:rPr>
              <w:t xml:space="preserve">Premier of the State of </w:t>
            </w:r>
            <w:smartTag w:uri="urn:schemas-microsoft-com:office:smarttags" w:element="State">
              <w:smartTag w:uri="urn:schemas-microsoft-com:office:smarttags" w:element="place">
                <w:r w:rsidRPr="001F6FE8">
                  <w:rPr>
                    <w:bCs w:val="0"/>
                    <w:lang w:val="en-GB"/>
                  </w:rPr>
                  <w:t xml:space="preserve">New </w:t>
                </w:r>
                <w:r>
                  <w:rPr>
                    <w:lang w:val="en-GB"/>
                  </w:rPr>
                  <w:t>South</w:t>
                </w:r>
                <w:r w:rsidRPr="001F6FE8">
                  <w:rPr>
                    <w:bCs w:val="0"/>
                    <w:lang w:val="en-GB"/>
                  </w:rPr>
                  <w:t xml:space="preserve"> Wales</w:t>
                </w:r>
              </w:smartTag>
            </w:smartTag>
          </w:p>
          <w:p w14:paraId="4B97233D"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002FC82F" w14:textId="77777777" w:rsidR="002665E5" w:rsidRPr="00A50751" w:rsidRDefault="002665E5" w:rsidP="00B40E38">
            <w:pPr>
              <w:rPr>
                <w:rFonts w:ascii="Book Antiqua" w:hAnsi="Book Antiqua"/>
                <w:lang w:val="en-GB"/>
              </w:rPr>
            </w:pPr>
          </w:p>
        </w:tc>
        <w:tc>
          <w:tcPr>
            <w:tcW w:w="4536" w:type="dxa"/>
          </w:tcPr>
          <w:p w14:paraId="441F7191"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Victoria</w:t>
                </w:r>
              </w:smartTag>
            </w:smartTag>
            <w:r w:rsidRPr="004A0AE7">
              <w:t xml:space="preserve"> by</w:t>
            </w:r>
          </w:p>
          <w:p w14:paraId="05548DE4" w14:textId="77777777" w:rsidR="002665E5" w:rsidRPr="00A50751" w:rsidRDefault="002665E5" w:rsidP="00B40E38">
            <w:pPr>
              <w:pStyle w:val="LineForSignature"/>
            </w:pPr>
            <w:r w:rsidRPr="00A50751">
              <w:tab/>
            </w:r>
          </w:p>
          <w:p w14:paraId="17D406E6" w14:textId="77777777" w:rsidR="002665E5" w:rsidRDefault="002665E5" w:rsidP="00B40E38">
            <w:pPr>
              <w:pStyle w:val="SingleParagraph"/>
              <w:rPr>
                <w:rStyle w:val="Bold"/>
              </w:rPr>
            </w:pPr>
            <w:r>
              <w:rPr>
                <w:rStyle w:val="Bold"/>
              </w:rPr>
              <w:t xml:space="preserve">The Honourable </w:t>
            </w:r>
            <w:r w:rsidR="0046371B">
              <w:rPr>
                <w:rStyle w:val="Bold"/>
              </w:rPr>
              <w:t>Daniel Andrews</w:t>
            </w:r>
            <w:r w:rsidR="005A53F6">
              <w:rPr>
                <w:rStyle w:val="Bold"/>
              </w:rPr>
              <w:t xml:space="preserve"> MLA</w:t>
            </w:r>
          </w:p>
          <w:p w14:paraId="3C195955"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State">
              <w:smartTag w:uri="urn:schemas-microsoft-com:office:smarttags" w:element="place">
                <w:r w:rsidRPr="00B00778">
                  <w:rPr>
                    <w:bCs w:val="0"/>
                    <w:lang w:val="en-GB"/>
                  </w:rPr>
                  <w:t>Victoria</w:t>
                </w:r>
              </w:smartTag>
            </w:smartTag>
          </w:p>
          <w:p w14:paraId="3384D910"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301E3AA5" w14:textId="77777777" w:rsidTr="00B40E38">
        <w:trPr>
          <w:cantSplit/>
          <w:jc w:val="center"/>
        </w:trPr>
        <w:tc>
          <w:tcPr>
            <w:tcW w:w="4536" w:type="dxa"/>
          </w:tcPr>
          <w:p w14:paraId="1F037992"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635B93B4" w14:textId="77777777" w:rsidR="002665E5" w:rsidRPr="00A50751" w:rsidRDefault="002665E5" w:rsidP="00B40E38">
            <w:pPr>
              <w:pStyle w:val="SingleParagraph"/>
              <w:rPr>
                <w:rFonts w:ascii="Book Antiqua" w:hAnsi="Book Antiqua"/>
                <w:lang w:val="en-GB"/>
              </w:rPr>
            </w:pPr>
          </w:p>
        </w:tc>
        <w:tc>
          <w:tcPr>
            <w:tcW w:w="4536" w:type="dxa"/>
          </w:tcPr>
          <w:p w14:paraId="4B3E4D09" w14:textId="77777777" w:rsidR="002665E5" w:rsidRPr="00A50751" w:rsidRDefault="002665E5" w:rsidP="00B40E38">
            <w:pPr>
              <w:pStyle w:val="SingleParagraph"/>
              <w:rPr>
                <w:rFonts w:ascii="Book Antiqua" w:hAnsi="Book Antiqua"/>
                <w:lang w:val="en-GB"/>
              </w:rPr>
            </w:pPr>
          </w:p>
        </w:tc>
      </w:tr>
      <w:tr w:rsidR="002665E5" w:rsidRPr="00A50751" w14:paraId="17036241" w14:textId="77777777" w:rsidTr="00B40E38">
        <w:trPr>
          <w:cantSplit/>
          <w:jc w:val="center"/>
        </w:trPr>
        <w:tc>
          <w:tcPr>
            <w:tcW w:w="4536" w:type="dxa"/>
          </w:tcPr>
          <w:p w14:paraId="12BCA6C2"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6A5619A5" w14:textId="77777777" w:rsidR="002665E5" w:rsidRPr="00A50751" w:rsidRDefault="002665E5" w:rsidP="00B40E38">
            <w:pPr>
              <w:pStyle w:val="LineForSignature"/>
            </w:pPr>
            <w:r w:rsidRPr="00A50751">
              <w:tab/>
            </w:r>
          </w:p>
          <w:p w14:paraId="0422BF7D" w14:textId="77777777" w:rsidR="002665E5" w:rsidRDefault="002665E5" w:rsidP="00B40E38">
            <w:pPr>
              <w:pStyle w:val="SingleParagraph"/>
              <w:rPr>
                <w:b/>
              </w:rPr>
            </w:pPr>
            <w:r>
              <w:rPr>
                <w:b/>
              </w:rPr>
              <w:t xml:space="preserve">The Honourable </w:t>
            </w:r>
            <w:proofErr w:type="spellStart"/>
            <w:r w:rsidR="004A5DF7" w:rsidRPr="004A5DF7">
              <w:rPr>
                <w:b/>
              </w:rPr>
              <w:t>Annastacia</w:t>
            </w:r>
            <w:proofErr w:type="spellEnd"/>
            <w:r w:rsidR="004A5DF7" w:rsidRPr="004A5DF7">
              <w:rPr>
                <w:b/>
              </w:rPr>
              <w:t xml:space="preserve"> </w:t>
            </w:r>
            <w:proofErr w:type="spellStart"/>
            <w:r w:rsidR="004A5DF7" w:rsidRPr="004A5DF7">
              <w:rPr>
                <w:b/>
              </w:rPr>
              <w:t>Palaszczuk</w:t>
            </w:r>
            <w:proofErr w:type="spellEnd"/>
            <w:r w:rsidR="004A5DF7" w:rsidRPr="004A5DF7">
              <w:rPr>
                <w:b/>
              </w:rPr>
              <w:t xml:space="preserve"> </w:t>
            </w:r>
            <w:r>
              <w:rPr>
                <w:b/>
              </w:rPr>
              <w:t xml:space="preserve"> MP</w:t>
            </w:r>
          </w:p>
          <w:p w14:paraId="4418CB24"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State">
              <w:smartTag w:uri="urn:schemas-microsoft-com:office:smarttags" w:element="place">
                <w:r>
                  <w:rPr>
                    <w:lang w:val="en-GB"/>
                  </w:rPr>
                  <w:t>Queensland</w:t>
                </w:r>
              </w:smartTag>
            </w:smartTag>
          </w:p>
          <w:p w14:paraId="06360EC8"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62E1B4F1" w14:textId="77777777" w:rsidR="002665E5" w:rsidRPr="00A50751" w:rsidRDefault="002665E5" w:rsidP="00B40E38">
            <w:pPr>
              <w:rPr>
                <w:rFonts w:ascii="Book Antiqua" w:hAnsi="Book Antiqua"/>
                <w:lang w:val="en-GB"/>
              </w:rPr>
            </w:pPr>
          </w:p>
        </w:tc>
        <w:tc>
          <w:tcPr>
            <w:tcW w:w="4536" w:type="dxa"/>
          </w:tcPr>
          <w:p w14:paraId="07E77ACA"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14:paraId="565E46D0" w14:textId="77777777" w:rsidR="002665E5" w:rsidRPr="00A50751" w:rsidRDefault="002665E5" w:rsidP="00B40E38">
            <w:pPr>
              <w:pStyle w:val="LineForSignature"/>
            </w:pPr>
            <w:r w:rsidRPr="00A50751">
              <w:tab/>
            </w:r>
          </w:p>
          <w:p w14:paraId="79CF7293" w14:textId="77777777" w:rsidR="002665E5" w:rsidRDefault="002665E5" w:rsidP="00B40E38">
            <w:pPr>
              <w:pStyle w:val="SingleParagraph"/>
              <w:rPr>
                <w:rStyle w:val="Bold"/>
              </w:rPr>
            </w:pPr>
            <w:r>
              <w:rPr>
                <w:rStyle w:val="Bold"/>
              </w:rPr>
              <w:t>The Honourable Colin Barnett MLA</w:t>
            </w:r>
          </w:p>
          <w:p w14:paraId="266B6984" w14:textId="77777777" w:rsidR="002665E5" w:rsidRPr="00A50751" w:rsidRDefault="002665E5" w:rsidP="00B40E38">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State">
              <w:smartTag w:uri="urn:schemas-microsoft-com:office:smarttags" w:element="place">
                <w:r w:rsidRPr="007452AE">
                  <w:rPr>
                    <w:bCs w:val="0"/>
                    <w:spacing w:val="-4"/>
                    <w:lang w:val="en-GB"/>
                  </w:rPr>
                  <w:t>Western Australia</w:t>
                </w:r>
              </w:smartTag>
            </w:smartTag>
          </w:p>
          <w:p w14:paraId="01BBA707"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5C3F1EFC" w14:textId="77777777" w:rsidTr="00B40E38">
        <w:trPr>
          <w:cantSplit/>
          <w:jc w:val="center"/>
        </w:trPr>
        <w:tc>
          <w:tcPr>
            <w:tcW w:w="4536" w:type="dxa"/>
          </w:tcPr>
          <w:p w14:paraId="77DD1F9E"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7912F698" w14:textId="77777777" w:rsidR="002665E5" w:rsidRPr="00A50751" w:rsidRDefault="002665E5" w:rsidP="00B40E38">
            <w:pPr>
              <w:pStyle w:val="SingleParagraph"/>
              <w:rPr>
                <w:rFonts w:ascii="Book Antiqua" w:hAnsi="Book Antiqua"/>
                <w:lang w:val="en-GB"/>
              </w:rPr>
            </w:pPr>
          </w:p>
        </w:tc>
        <w:tc>
          <w:tcPr>
            <w:tcW w:w="4536" w:type="dxa"/>
          </w:tcPr>
          <w:p w14:paraId="678B0B58" w14:textId="77777777" w:rsidR="002665E5" w:rsidRPr="00A50751" w:rsidRDefault="002665E5" w:rsidP="00B40E38">
            <w:pPr>
              <w:pStyle w:val="SingleParagraph"/>
              <w:rPr>
                <w:rFonts w:ascii="Book Antiqua" w:hAnsi="Book Antiqua"/>
                <w:lang w:val="en-GB"/>
              </w:rPr>
            </w:pPr>
          </w:p>
        </w:tc>
      </w:tr>
      <w:tr w:rsidR="002665E5" w:rsidRPr="00A50751" w14:paraId="707D3096" w14:textId="77777777" w:rsidTr="00B40E38">
        <w:trPr>
          <w:cantSplit/>
          <w:trHeight w:val="143"/>
          <w:jc w:val="center"/>
        </w:trPr>
        <w:tc>
          <w:tcPr>
            <w:tcW w:w="4536" w:type="dxa"/>
          </w:tcPr>
          <w:p w14:paraId="7C949896"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6BAEBA09" w14:textId="77777777" w:rsidR="002665E5" w:rsidRPr="00A50751" w:rsidRDefault="002665E5" w:rsidP="00B40E38">
            <w:pPr>
              <w:pStyle w:val="LineForSignature"/>
            </w:pPr>
            <w:r w:rsidRPr="00A50751">
              <w:tab/>
            </w:r>
          </w:p>
          <w:p w14:paraId="2923DBBD" w14:textId="77777777" w:rsidR="002665E5" w:rsidRDefault="002665E5" w:rsidP="00B40E38">
            <w:pPr>
              <w:pStyle w:val="SingleParagraph"/>
              <w:rPr>
                <w:rStyle w:val="Bold"/>
              </w:rPr>
            </w:pPr>
            <w:r>
              <w:rPr>
                <w:rStyle w:val="Bold"/>
              </w:rPr>
              <w:t xml:space="preserve">The Honourable Jay </w:t>
            </w:r>
            <w:proofErr w:type="spellStart"/>
            <w:r>
              <w:rPr>
                <w:rStyle w:val="Bold"/>
              </w:rPr>
              <w:t>Weatherill</w:t>
            </w:r>
            <w:proofErr w:type="spellEnd"/>
            <w:r>
              <w:rPr>
                <w:rStyle w:val="Bold"/>
              </w:rPr>
              <w:t xml:space="preserve"> MP</w:t>
            </w:r>
          </w:p>
          <w:p w14:paraId="5FB1ADDC"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State">
              <w:smartTag w:uri="urn:schemas-microsoft-com:office:smarttags" w:element="place">
                <w:r>
                  <w:rPr>
                    <w:lang w:val="en-GB"/>
                  </w:rPr>
                  <w:t>South</w:t>
                </w:r>
                <w:r w:rsidRPr="00B00778">
                  <w:rPr>
                    <w:bCs w:val="0"/>
                    <w:lang w:val="en-GB"/>
                  </w:rPr>
                  <w:t xml:space="preserve"> Australia</w:t>
                </w:r>
              </w:smartTag>
            </w:smartTag>
          </w:p>
          <w:p w14:paraId="3E67C6B6"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2E3EFC46" w14:textId="77777777" w:rsidR="002665E5" w:rsidRPr="00A50751" w:rsidRDefault="002665E5" w:rsidP="00B40E38">
            <w:pPr>
              <w:rPr>
                <w:rFonts w:ascii="Book Antiqua" w:hAnsi="Book Antiqua"/>
                <w:lang w:val="en-GB"/>
              </w:rPr>
            </w:pPr>
          </w:p>
        </w:tc>
        <w:tc>
          <w:tcPr>
            <w:tcW w:w="4536" w:type="dxa"/>
          </w:tcPr>
          <w:p w14:paraId="4160E032"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Tasmania</w:t>
                </w:r>
              </w:smartTag>
            </w:smartTag>
            <w:r w:rsidRPr="004A0AE7">
              <w:t xml:space="preserve"> by</w:t>
            </w:r>
          </w:p>
          <w:p w14:paraId="3C85C50B" w14:textId="77777777" w:rsidR="002665E5" w:rsidRPr="00A50751" w:rsidRDefault="002665E5" w:rsidP="00B40E38">
            <w:pPr>
              <w:pStyle w:val="LineForSignature"/>
            </w:pPr>
            <w:r w:rsidRPr="00A50751">
              <w:tab/>
            </w:r>
          </w:p>
          <w:p w14:paraId="72E4F988" w14:textId="77777777" w:rsidR="002665E5" w:rsidRDefault="002665E5" w:rsidP="00B40E38">
            <w:pPr>
              <w:pStyle w:val="SingleParagraph"/>
              <w:rPr>
                <w:rStyle w:val="Bold"/>
              </w:rPr>
            </w:pPr>
            <w:r>
              <w:rPr>
                <w:rStyle w:val="Bold"/>
              </w:rPr>
              <w:t xml:space="preserve">The Honourable </w:t>
            </w:r>
            <w:r w:rsidR="00FE4A16">
              <w:rPr>
                <w:rStyle w:val="Bold"/>
              </w:rPr>
              <w:t xml:space="preserve">Will </w:t>
            </w:r>
            <w:proofErr w:type="spellStart"/>
            <w:r w:rsidR="00FE4A16">
              <w:rPr>
                <w:rStyle w:val="Bold"/>
              </w:rPr>
              <w:t>Hodgman</w:t>
            </w:r>
            <w:proofErr w:type="spellEnd"/>
            <w:r>
              <w:rPr>
                <w:rStyle w:val="Bold"/>
              </w:rPr>
              <w:t xml:space="preserve"> MP</w:t>
            </w:r>
          </w:p>
          <w:p w14:paraId="5545BBA2" w14:textId="77777777" w:rsidR="002665E5" w:rsidRPr="00A50751" w:rsidRDefault="002665E5" w:rsidP="00B40E38">
            <w:pPr>
              <w:pStyle w:val="Position"/>
              <w:rPr>
                <w:rFonts w:ascii="Book Antiqua" w:hAnsi="Book Antiqua"/>
                <w:bCs w:val="0"/>
                <w:lang w:val="en-GB"/>
              </w:rPr>
            </w:pPr>
            <w:r w:rsidRPr="00B12190">
              <w:rPr>
                <w:bCs w:val="0"/>
                <w:lang w:val="en-GB"/>
              </w:rPr>
              <w:t xml:space="preserve">Premier of the State of </w:t>
            </w:r>
            <w:smartTag w:uri="urn:schemas-microsoft-com:office:smarttags" w:element="State">
              <w:smartTag w:uri="urn:schemas-microsoft-com:office:smarttags" w:element="place">
                <w:r w:rsidRPr="00B12190">
                  <w:rPr>
                    <w:bCs w:val="0"/>
                    <w:lang w:val="en-GB"/>
                  </w:rPr>
                  <w:t>Tasmania</w:t>
                </w:r>
              </w:smartTag>
            </w:smartTag>
          </w:p>
          <w:p w14:paraId="6F3C1EF9"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3526D314" w14:textId="77777777" w:rsidTr="00B40E38">
        <w:trPr>
          <w:cantSplit/>
          <w:jc w:val="center"/>
        </w:trPr>
        <w:tc>
          <w:tcPr>
            <w:tcW w:w="4536" w:type="dxa"/>
          </w:tcPr>
          <w:p w14:paraId="0DBDEDB2"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4A547B3D" w14:textId="77777777" w:rsidR="002665E5" w:rsidRPr="00A50751" w:rsidRDefault="002665E5" w:rsidP="00B40E38">
            <w:pPr>
              <w:pStyle w:val="SingleParagraph"/>
              <w:rPr>
                <w:rFonts w:ascii="Book Antiqua" w:hAnsi="Book Antiqua"/>
                <w:lang w:val="en-GB"/>
              </w:rPr>
            </w:pPr>
          </w:p>
        </w:tc>
        <w:tc>
          <w:tcPr>
            <w:tcW w:w="4536" w:type="dxa"/>
          </w:tcPr>
          <w:p w14:paraId="2608A821" w14:textId="77777777" w:rsidR="002665E5" w:rsidRPr="00A50751" w:rsidRDefault="002665E5" w:rsidP="00B40E38">
            <w:pPr>
              <w:pStyle w:val="SingleParagraph"/>
              <w:rPr>
                <w:rFonts w:ascii="Book Antiqua" w:hAnsi="Book Antiqua"/>
                <w:lang w:val="en-GB"/>
              </w:rPr>
            </w:pPr>
          </w:p>
        </w:tc>
      </w:tr>
      <w:tr w:rsidR="002665E5" w:rsidRPr="00A50751" w14:paraId="6BC7045D" w14:textId="77777777" w:rsidTr="00B40E38">
        <w:trPr>
          <w:cantSplit/>
          <w:jc w:val="center"/>
        </w:trPr>
        <w:tc>
          <w:tcPr>
            <w:tcW w:w="4536" w:type="dxa"/>
          </w:tcPr>
          <w:p w14:paraId="2D7C7EFB"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State">
              <w:smartTag w:uri="urn:schemas-microsoft-com:office:smarttags" w:element="place">
                <w:r w:rsidRPr="004A0AE7">
                  <w:t>Australian Capital Territory</w:t>
                </w:r>
              </w:smartTag>
            </w:smartTag>
            <w:r w:rsidRPr="004A0AE7">
              <w:t xml:space="preserve"> by</w:t>
            </w:r>
          </w:p>
          <w:p w14:paraId="1C203F6C" w14:textId="77777777" w:rsidR="002665E5" w:rsidRPr="00A50751" w:rsidRDefault="002665E5" w:rsidP="00B40E38">
            <w:pPr>
              <w:pStyle w:val="LineForSignature"/>
            </w:pPr>
            <w:r w:rsidRPr="00A50751">
              <w:tab/>
            </w:r>
          </w:p>
          <w:p w14:paraId="1C2DDCB7" w14:textId="77777777" w:rsidR="002665E5" w:rsidRDefault="00A3209E" w:rsidP="00B40E38">
            <w:pPr>
              <w:pStyle w:val="SingleParagraph"/>
              <w:rPr>
                <w:rStyle w:val="Bold"/>
              </w:rPr>
            </w:pPr>
            <w:r>
              <w:rPr>
                <w:rStyle w:val="Bold"/>
              </w:rPr>
              <w:t>Andrew Barr</w:t>
            </w:r>
            <w:r w:rsidR="002665E5">
              <w:rPr>
                <w:rStyle w:val="Bold"/>
              </w:rPr>
              <w:t xml:space="preserve"> MLA</w:t>
            </w:r>
          </w:p>
          <w:p w14:paraId="26792116" w14:textId="77777777" w:rsidR="002665E5" w:rsidRPr="00A50751" w:rsidRDefault="002665E5" w:rsidP="00B40E38">
            <w:pPr>
              <w:pStyle w:val="Position"/>
              <w:rPr>
                <w:rFonts w:ascii="Book Antiqua" w:hAnsi="Book Antiqua"/>
                <w:bCs w:val="0"/>
                <w:lang w:val="en-GB"/>
              </w:rPr>
            </w:pPr>
            <w:r w:rsidRPr="00B12190">
              <w:rPr>
                <w:lang w:val="en-GB"/>
              </w:rPr>
              <w:t xml:space="preserve">Chief Minister of the </w:t>
            </w:r>
            <w:smartTag w:uri="urn:schemas-microsoft-com:office:smarttags" w:element="State">
              <w:smartTag w:uri="urn:schemas-microsoft-com:office:smarttags" w:element="place">
                <w:r w:rsidRPr="00B12190">
                  <w:rPr>
                    <w:lang w:val="en-GB"/>
                  </w:rPr>
                  <w:t>Australian Capital Territory</w:t>
                </w:r>
              </w:smartTag>
            </w:smartTag>
          </w:p>
          <w:p w14:paraId="0FF72336"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170E7668" w14:textId="77777777" w:rsidR="002665E5" w:rsidRPr="00A50751" w:rsidRDefault="002665E5" w:rsidP="00B40E38">
            <w:pPr>
              <w:rPr>
                <w:rFonts w:ascii="Book Antiqua" w:hAnsi="Book Antiqua"/>
                <w:lang w:val="en-GB"/>
              </w:rPr>
            </w:pPr>
          </w:p>
        </w:tc>
        <w:tc>
          <w:tcPr>
            <w:tcW w:w="4536" w:type="dxa"/>
          </w:tcPr>
          <w:p w14:paraId="20E13891"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State">
              <w:smartTag w:uri="urn:schemas-microsoft-com:office:smarttags" w:element="place">
                <w:r w:rsidRPr="004A0AE7">
                  <w:t>Northern Territory</w:t>
                </w:r>
              </w:smartTag>
            </w:smartTag>
            <w:r w:rsidRPr="004A0AE7">
              <w:t xml:space="preserve"> by</w:t>
            </w:r>
          </w:p>
          <w:p w14:paraId="7B43E2C5" w14:textId="77777777" w:rsidR="002665E5" w:rsidRPr="00A50751" w:rsidRDefault="002665E5" w:rsidP="00B40E38">
            <w:pPr>
              <w:pStyle w:val="LineForSignature"/>
            </w:pPr>
            <w:r w:rsidRPr="00A50751">
              <w:tab/>
            </w:r>
          </w:p>
          <w:p w14:paraId="765FA66F" w14:textId="0BE3A2E7" w:rsidR="002665E5" w:rsidRDefault="005C2111" w:rsidP="005C2111">
            <w:pPr>
              <w:pStyle w:val="SingleParagraph"/>
              <w:rPr>
                <w:rStyle w:val="Bold"/>
              </w:rPr>
            </w:pPr>
            <w:r>
              <w:rPr>
                <w:rStyle w:val="Bold"/>
              </w:rPr>
              <w:t xml:space="preserve">The Honourable </w:t>
            </w:r>
            <w:r w:rsidR="0059519F">
              <w:rPr>
                <w:rStyle w:val="Bold"/>
              </w:rPr>
              <w:t>Michael Gunner</w:t>
            </w:r>
            <w:r w:rsidR="002665E5">
              <w:rPr>
                <w:rStyle w:val="Bold"/>
              </w:rPr>
              <w:t xml:space="preserve"> MLA</w:t>
            </w:r>
          </w:p>
          <w:p w14:paraId="4E80EEBA" w14:textId="77777777" w:rsidR="002665E5" w:rsidRPr="00A50751" w:rsidRDefault="002665E5" w:rsidP="00B40E38">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country-region">
              <w:smartTag w:uri="urn:schemas-microsoft-com:office:smarttags" w:element="place">
                <w:r w:rsidRPr="00B12190">
                  <w:rPr>
                    <w:bCs w:val="0"/>
                    <w:lang w:val="en-GB"/>
                  </w:rPr>
                  <w:t>Australia</w:t>
                </w:r>
              </w:smartTag>
            </w:smartTag>
          </w:p>
          <w:p w14:paraId="43533FE5"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bl>
    <w:p w14:paraId="08A63642" w14:textId="60632295" w:rsidR="00F6397A" w:rsidRDefault="00F6397A" w:rsidP="00553E95">
      <w:pPr>
        <w:pStyle w:val="Heading9"/>
        <w:numPr>
          <w:ilvl w:val="0"/>
          <w:numId w:val="0"/>
        </w:numPr>
        <w:jc w:val="both"/>
        <w:rPr>
          <w:b/>
          <w:bCs/>
          <w:spacing w:val="10"/>
          <w:sz w:val="24"/>
          <w:szCs w:val="24"/>
        </w:rPr>
      </w:pPr>
    </w:p>
    <w:sectPr w:rsidR="00F6397A" w:rsidSect="00327CD0">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6AF02" w14:textId="77777777" w:rsidR="00AB1B5D" w:rsidRDefault="00AB1B5D">
      <w:r>
        <w:separator/>
      </w:r>
    </w:p>
  </w:endnote>
  <w:endnote w:type="continuationSeparator" w:id="0">
    <w:p w14:paraId="1C3561E2" w14:textId="77777777" w:rsidR="00AB1B5D" w:rsidRDefault="00AB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18EE" w14:textId="77777777" w:rsidR="00AB1B5D" w:rsidRDefault="00AB1B5D">
    <w:pPr>
      <w:pStyle w:val="FooterEven"/>
    </w:pPr>
    <w:r>
      <w:t>Page D-2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73B3" w14:textId="77777777" w:rsidR="00D51BA5" w:rsidRDefault="00D51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0F7D" w14:textId="05F4AE2D" w:rsidR="00AB1B5D" w:rsidRDefault="00AB1B5D" w:rsidP="00751725">
    <w:pPr>
      <w:pStyle w:val="FooterEven"/>
      <w:jc w:val="right"/>
    </w:pPr>
    <w:r>
      <w:t>PageA-1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7464" w14:textId="77777777" w:rsidR="00AB1B5D" w:rsidRDefault="00AB1B5D">
      <w:r>
        <w:separator/>
      </w:r>
    </w:p>
  </w:footnote>
  <w:footnote w:type="continuationSeparator" w:id="0">
    <w:p w14:paraId="29A76331" w14:textId="77777777" w:rsidR="00AB1B5D" w:rsidRDefault="00AB1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B695" w14:textId="77777777" w:rsidR="00D51BA5" w:rsidRDefault="00D5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4B44" w14:textId="77777777" w:rsidR="00D51BA5" w:rsidRDefault="00D51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9603" w14:textId="77777777" w:rsidR="00D51BA5" w:rsidRDefault="00D5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1D770C1B"/>
    <w:multiLevelType w:val="hybridMultilevel"/>
    <w:tmpl w:val="55B8D942"/>
    <w:lvl w:ilvl="0" w:tplc="A6302258">
      <w:start w:val="1"/>
      <w:numFmt w:val="decimal"/>
      <w:lvlText w:val="A%1"/>
      <w:lvlJc w:val="left"/>
      <w:pPr>
        <w:tabs>
          <w:tab w:val="num" w:pos="567"/>
        </w:tabs>
        <w:ind w:left="567" w:hanging="567"/>
      </w:pPr>
      <w:rPr>
        <w:rFonts w:cs="Times New Roman" w:hint="default"/>
        <w:b w:val="0"/>
        <w:sz w:val="23"/>
        <w:szCs w:val="23"/>
      </w:rPr>
    </w:lvl>
    <w:lvl w:ilvl="1" w:tplc="660EB736">
      <w:start w:val="1"/>
      <w:numFmt w:val="lowerLetter"/>
      <w:lvlText w:val="(%2)"/>
      <w:lvlJc w:val="left"/>
      <w:pPr>
        <w:tabs>
          <w:tab w:val="num" w:pos="1440"/>
        </w:tabs>
        <w:ind w:left="1440" w:hanging="360"/>
      </w:pPr>
      <w:rPr>
        <w:rFonts w:hint="default"/>
        <w:b w:val="0"/>
        <w:sz w:val="23"/>
        <w:szCs w:val="23"/>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7">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nsid w:val="23BA5832"/>
    <w:multiLevelType w:val="hybridMultilevel"/>
    <w:tmpl w:val="BEAEBC14"/>
    <w:lvl w:ilvl="0" w:tplc="C6C89530">
      <w:start w:val="1"/>
      <w:numFmt w:val="decimal"/>
      <w:lvlText w:val="%1."/>
      <w:lvlJc w:val="left"/>
      <w:pPr>
        <w:tabs>
          <w:tab w:val="num" w:pos="567"/>
        </w:tabs>
        <w:ind w:left="567" w:hanging="567"/>
      </w:pPr>
      <w:rPr>
        <w:rFonts w:cs="Times New Roman" w:hint="default"/>
        <w:b w:val="0"/>
        <w:sz w:val="23"/>
        <w:szCs w:val="23"/>
      </w:rPr>
    </w:lvl>
    <w:lvl w:ilvl="1" w:tplc="0C090001">
      <w:start w:val="1"/>
      <w:numFmt w:val="bullet"/>
      <w:lvlText w:val=""/>
      <w:lvlJc w:val="left"/>
      <w:pPr>
        <w:tabs>
          <w:tab w:val="num" w:pos="1440"/>
        </w:tabs>
        <w:ind w:left="1440" w:hanging="360"/>
      </w:pPr>
      <w:rPr>
        <w:rFonts w:ascii="Symbol" w:hAnsi="Symbol" w:hint="default"/>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9">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nsid w:val="25E16DF8"/>
    <w:multiLevelType w:val="multilevel"/>
    <w:tmpl w:val="D6CE34E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4">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5">
    <w:nsid w:val="34611EB3"/>
    <w:multiLevelType w:val="multilevel"/>
    <w:tmpl w:val="D6CE34E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7">
    <w:nsid w:val="3CA540B0"/>
    <w:multiLevelType w:val="multilevel"/>
    <w:tmpl w:val="D6CE34E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nsid w:val="3D7E55C5"/>
    <w:multiLevelType w:val="multilevel"/>
    <w:tmpl w:val="D6CE34E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9">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nsid w:val="46EC1E09"/>
    <w:multiLevelType w:val="multilevel"/>
    <w:tmpl w:val="D6CE34E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nsid w:val="4BEC68BB"/>
    <w:multiLevelType w:val="multilevel"/>
    <w:tmpl w:val="627215E4"/>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nsid w:val="59B70749"/>
    <w:multiLevelType w:val="multilevel"/>
    <w:tmpl w:val="D6CE34E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28">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9">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0">
    <w:nsid w:val="779C76FD"/>
    <w:multiLevelType w:val="hybridMultilevel"/>
    <w:tmpl w:val="EDBAAD2A"/>
    <w:lvl w:ilvl="0" w:tplc="A6302258">
      <w:start w:val="1"/>
      <w:numFmt w:val="decimal"/>
      <w:lvlText w:val="A%1"/>
      <w:lvlJc w:val="left"/>
      <w:pPr>
        <w:tabs>
          <w:tab w:val="num" w:pos="567"/>
        </w:tabs>
        <w:ind w:left="567" w:hanging="567"/>
      </w:pPr>
      <w:rPr>
        <w:rFonts w:cs="Times New Roman" w:hint="default"/>
        <w:b w:val="0"/>
        <w:sz w:val="23"/>
        <w:szCs w:val="23"/>
      </w:rPr>
    </w:lvl>
    <w:lvl w:ilvl="1" w:tplc="0C090017">
      <w:start w:val="1"/>
      <w:numFmt w:val="lowerLetter"/>
      <w:lvlText w:val="%2)"/>
      <w:lvlJc w:val="left"/>
      <w:pPr>
        <w:tabs>
          <w:tab w:val="num" w:pos="1440"/>
        </w:tabs>
        <w:ind w:left="1440" w:hanging="360"/>
      </w:pPr>
      <w:rPr>
        <w:rFonts w:hint="default"/>
        <w:b w:val="0"/>
        <w:sz w:val="23"/>
        <w:szCs w:val="23"/>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31">
    <w:nsid w:val="78854AAC"/>
    <w:multiLevelType w:val="hybridMultilevel"/>
    <w:tmpl w:val="BEAEBC14"/>
    <w:lvl w:ilvl="0" w:tplc="C6C89530">
      <w:start w:val="1"/>
      <w:numFmt w:val="decimal"/>
      <w:lvlText w:val="%1."/>
      <w:lvlJc w:val="left"/>
      <w:pPr>
        <w:tabs>
          <w:tab w:val="num" w:pos="567"/>
        </w:tabs>
        <w:ind w:left="567" w:hanging="567"/>
      </w:pPr>
      <w:rPr>
        <w:rFonts w:cs="Times New Roman" w:hint="default"/>
        <w:b w:val="0"/>
        <w:sz w:val="23"/>
        <w:szCs w:val="23"/>
      </w:rPr>
    </w:lvl>
    <w:lvl w:ilvl="1" w:tplc="0C090001">
      <w:start w:val="1"/>
      <w:numFmt w:val="bullet"/>
      <w:lvlText w:val=""/>
      <w:lvlJc w:val="left"/>
      <w:pPr>
        <w:tabs>
          <w:tab w:val="num" w:pos="1440"/>
        </w:tabs>
        <w:ind w:left="1440" w:hanging="360"/>
      </w:pPr>
      <w:rPr>
        <w:rFonts w:ascii="Symbol" w:hAnsi="Symbol" w:hint="default"/>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9"/>
  </w:num>
  <w:num w:numId="2">
    <w:abstractNumId w:val="22"/>
  </w:num>
  <w:num w:numId="3">
    <w:abstractNumId w:val="24"/>
  </w:num>
  <w:num w:numId="4">
    <w:abstractNumId w:val="3"/>
  </w:num>
  <w:num w:numId="5">
    <w:abstractNumId w:val="26"/>
  </w:num>
  <w:num w:numId="6">
    <w:abstractNumId w:val="11"/>
  </w:num>
  <w:num w:numId="7">
    <w:abstractNumId w:val="14"/>
  </w:num>
  <w:num w:numId="8">
    <w:abstractNumId w:val="5"/>
  </w:num>
  <w:num w:numId="9">
    <w:abstractNumId w:val="12"/>
  </w:num>
  <w:num w:numId="10">
    <w:abstractNumId w:val="31"/>
  </w:num>
  <w:num w:numId="11">
    <w:abstractNumId w:val="1"/>
  </w:num>
  <w:num w:numId="12">
    <w:abstractNumId w:val="23"/>
  </w:num>
  <w:num w:numId="13">
    <w:abstractNumId w:val="28"/>
  </w:num>
  <w:num w:numId="14">
    <w:abstractNumId w:val="19"/>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7"/>
  </w:num>
  <w:num w:numId="19">
    <w:abstractNumId w:val="1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4"/>
  </w:num>
  <w:num w:numId="28">
    <w:abstractNumId w:val="15"/>
  </w:num>
  <w:num w:numId="29">
    <w:abstractNumId w:val="17"/>
  </w:num>
  <w:num w:numId="30">
    <w:abstractNumId w:val="8"/>
  </w:num>
  <w:num w:numId="31">
    <w:abstractNumId w:val="30"/>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07e78f3-5fff-4a51-9292-35278f7a0fba"/>
  </w:docVars>
  <w:rsids>
    <w:rsidRoot w:val="00814667"/>
    <w:rsid w:val="000028B1"/>
    <w:rsid w:val="000033EE"/>
    <w:rsid w:val="00005A5D"/>
    <w:rsid w:val="000064E1"/>
    <w:rsid w:val="000076D9"/>
    <w:rsid w:val="000105AD"/>
    <w:rsid w:val="00012EF4"/>
    <w:rsid w:val="00013D4E"/>
    <w:rsid w:val="00017E7B"/>
    <w:rsid w:val="00021708"/>
    <w:rsid w:val="0002491E"/>
    <w:rsid w:val="00025539"/>
    <w:rsid w:val="0003074A"/>
    <w:rsid w:val="000373D8"/>
    <w:rsid w:val="000447B9"/>
    <w:rsid w:val="00047F6E"/>
    <w:rsid w:val="00051895"/>
    <w:rsid w:val="0005536D"/>
    <w:rsid w:val="0006140E"/>
    <w:rsid w:val="0006451A"/>
    <w:rsid w:val="00064A10"/>
    <w:rsid w:val="00065EE6"/>
    <w:rsid w:val="00067314"/>
    <w:rsid w:val="0007004C"/>
    <w:rsid w:val="0007028A"/>
    <w:rsid w:val="00071908"/>
    <w:rsid w:val="000724F6"/>
    <w:rsid w:val="00073A8D"/>
    <w:rsid w:val="00074611"/>
    <w:rsid w:val="000768EA"/>
    <w:rsid w:val="00077F4D"/>
    <w:rsid w:val="00080983"/>
    <w:rsid w:val="00085966"/>
    <w:rsid w:val="000869CA"/>
    <w:rsid w:val="00091DF8"/>
    <w:rsid w:val="00093DD8"/>
    <w:rsid w:val="000A05AC"/>
    <w:rsid w:val="000A0C9E"/>
    <w:rsid w:val="000A2C32"/>
    <w:rsid w:val="000A5191"/>
    <w:rsid w:val="000A5250"/>
    <w:rsid w:val="000A72D2"/>
    <w:rsid w:val="000A7553"/>
    <w:rsid w:val="000B6DA9"/>
    <w:rsid w:val="000C1E21"/>
    <w:rsid w:val="000C2956"/>
    <w:rsid w:val="000C714F"/>
    <w:rsid w:val="000C7F8B"/>
    <w:rsid w:val="000D19D8"/>
    <w:rsid w:val="000D1C37"/>
    <w:rsid w:val="000D3CD9"/>
    <w:rsid w:val="000D4377"/>
    <w:rsid w:val="000D4679"/>
    <w:rsid w:val="000E0898"/>
    <w:rsid w:val="000E19C0"/>
    <w:rsid w:val="000E3C70"/>
    <w:rsid w:val="000E48C3"/>
    <w:rsid w:val="000F0880"/>
    <w:rsid w:val="000F3508"/>
    <w:rsid w:val="000F69F1"/>
    <w:rsid w:val="000F6CF6"/>
    <w:rsid w:val="0010390D"/>
    <w:rsid w:val="00103FD6"/>
    <w:rsid w:val="001049DA"/>
    <w:rsid w:val="0010573C"/>
    <w:rsid w:val="001058C9"/>
    <w:rsid w:val="001065EE"/>
    <w:rsid w:val="00107B21"/>
    <w:rsid w:val="00107FF7"/>
    <w:rsid w:val="00110F5D"/>
    <w:rsid w:val="00112617"/>
    <w:rsid w:val="00112657"/>
    <w:rsid w:val="00113ADB"/>
    <w:rsid w:val="00114AA5"/>
    <w:rsid w:val="001165C0"/>
    <w:rsid w:val="00116D32"/>
    <w:rsid w:val="001174C9"/>
    <w:rsid w:val="00122DBA"/>
    <w:rsid w:val="0013156A"/>
    <w:rsid w:val="00132587"/>
    <w:rsid w:val="001337AA"/>
    <w:rsid w:val="00134962"/>
    <w:rsid w:val="001354D9"/>
    <w:rsid w:val="0013597D"/>
    <w:rsid w:val="0013646D"/>
    <w:rsid w:val="001404A9"/>
    <w:rsid w:val="00140F43"/>
    <w:rsid w:val="00141912"/>
    <w:rsid w:val="00143DCA"/>
    <w:rsid w:val="00145D5C"/>
    <w:rsid w:val="0015073F"/>
    <w:rsid w:val="00150CEF"/>
    <w:rsid w:val="00153DA0"/>
    <w:rsid w:val="00153DE8"/>
    <w:rsid w:val="00160506"/>
    <w:rsid w:val="001623DE"/>
    <w:rsid w:val="00162E9B"/>
    <w:rsid w:val="00163C3F"/>
    <w:rsid w:val="00166312"/>
    <w:rsid w:val="00166581"/>
    <w:rsid w:val="00166BAE"/>
    <w:rsid w:val="00167BB8"/>
    <w:rsid w:val="00173F81"/>
    <w:rsid w:val="00174C2A"/>
    <w:rsid w:val="00175FB9"/>
    <w:rsid w:val="001775DC"/>
    <w:rsid w:val="001777F5"/>
    <w:rsid w:val="00177889"/>
    <w:rsid w:val="00177EB7"/>
    <w:rsid w:val="001804EC"/>
    <w:rsid w:val="00181240"/>
    <w:rsid w:val="00183EAB"/>
    <w:rsid w:val="00185CC1"/>
    <w:rsid w:val="00187B0E"/>
    <w:rsid w:val="00187BEB"/>
    <w:rsid w:val="00191CFE"/>
    <w:rsid w:val="001931E8"/>
    <w:rsid w:val="0019399D"/>
    <w:rsid w:val="00194232"/>
    <w:rsid w:val="0019788A"/>
    <w:rsid w:val="001A0FD0"/>
    <w:rsid w:val="001A1422"/>
    <w:rsid w:val="001A3527"/>
    <w:rsid w:val="001A3A9A"/>
    <w:rsid w:val="001A4093"/>
    <w:rsid w:val="001A668D"/>
    <w:rsid w:val="001A7A15"/>
    <w:rsid w:val="001B19A0"/>
    <w:rsid w:val="001B1CA3"/>
    <w:rsid w:val="001B7933"/>
    <w:rsid w:val="001C346E"/>
    <w:rsid w:val="001C3717"/>
    <w:rsid w:val="001C5CC5"/>
    <w:rsid w:val="001D08C2"/>
    <w:rsid w:val="001D230F"/>
    <w:rsid w:val="001D3663"/>
    <w:rsid w:val="001D4852"/>
    <w:rsid w:val="001D612E"/>
    <w:rsid w:val="001D6C45"/>
    <w:rsid w:val="001E20EC"/>
    <w:rsid w:val="001E2591"/>
    <w:rsid w:val="001E3077"/>
    <w:rsid w:val="001E4055"/>
    <w:rsid w:val="001E6031"/>
    <w:rsid w:val="001E7173"/>
    <w:rsid w:val="001E74D0"/>
    <w:rsid w:val="001F4549"/>
    <w:rsid w:val="001F6F39"/>
    <w:rsid w:val="001F6FE8"/>
    <w:rsid w:val="00203681"/>
    <w:rsid w:val="00203BD2"/>
    <w:rsid w:val="00205E18"/>
    <w:rsid w:val="00206093"/>
    <w:rsid w:val="0020683B"/>
    <w:rsid w:val="002077C7"/>
    <w:rsid w:val="002106A6"/>
    <w:rsid w:val="00213DAF"/>
    <w:rsid w:val="0022003B"/>
    <w:rsid w:val="002204CF"/>
    <w:rsid w:val="00221308"/>
    <w:rsid w:val="0022141E"/>
    <w:rsid w:val="00222C97"/>
    <w:rsid w:val="00226D19"/>
    <w:rsid w:val="0023212B"/>
    <w:rsid w:val="00232C43"/>
    <w:rsid w:val="00233703"/>
    <w:rsid w:val="00240716"/>
    <w:rsid w:val="00247D45"/>
    <w:rsid w:val="002522D6"/>
    <w:rsid w:val="00254106"/>
    <w:rsid w:val="00254AF8"/>
    <w:rsid w:val="002555AF"/>
    <w:rsid w:val="002561CF"/>
    <w:rsid w:val="0025763A"/>
    <w:rsid w:val="00262E18"/>
    <w:rsid w:val="0026455E"/>
    <w:rsid w:val="002665E5"/>
    <w:rsid w:val="0027078E"/>
    <w:rsid w:val="00272C83"/>
    <w:rsid w:val="00272D65"/>
    <w:rsid w:val="0027427C"/>
    <w:rsid w:val="00277646"/>
    <w:rsid w:val="00282C25"/>
    <w:rsid w:val="00283C73"/>
    <w:rsid w:val="002847F2"/>
    <w:rsid w:val="00285003"/>
    <w:rsid w:val="00285D2A"/>
    <w:rsid w:val="00286CDF"/>
    <w:rsid w:val="00287DCC"/>
    <w:rsid w:val="00291CF1"/>
    <w:rsid w:val="002A143D"/>
    <w:rsid w:val="002A155F"/>
    <w:rsid w:val="002A4720"/>
    <w:rsid w:val="002A493A"/>
    <w:rsid w:val="002A49B0"/>
    <w:rsid w:val="002A530A"/>
    <w:rsid w:val="002A5ACC"/>
    <w:rsid w:val="002A69B0"/>
    <w:rsid w:val="002B7922"/>
    <w:rsid w:val="002B7E1B"/>
    <w:rsid w:val="002C04DA"/>
    <w:rsid w:val="002C2529"/>
    <w:rsid w:val="002C4242"/>
    <w:rsid w:val="002C62B3"/>
    <w:rsid w:val="002C7620"/>
    <w:rsid w:val="002D0EF4"/>
    <w:rsid w:val="002D1A33"/>
    <w:rsid w:val="002D1A59"/>
    <w:rsid w:val="002D1D66"/>
    <w:rsid w:val="002D6EE1"/>
    <w:rsid w:val="002D7115"/>
    <w:rsid w:val="002D7CF9"/>
    <w:rsid w:val="002E0B39"/>
    <w:rsid w:val="002E2593"/>
    <w:rsid w:val="002E2B50"/>
    <w:rsid w:val="002E4B66"/>
    <w:rsid w:val="002F576E"/>
    <w:rsid w:val="002F5C6C"/>
    <w:rsid w:val="002F7CCE"/>
    <w:rsid w:val="002F7E40"/>
    <w:rsid w:val="003009BC"/>
    <w:rsid w:val="00300EEC"/>
    <w:rsid w:val="003012DA"/>
    <w:rsid w:val="00301A73"/>
    <w:rsid w:val="00304DEE"/>
    <w:rsid w:val="003056FE"/>
    <w:rsid w:val="00307C5C"/>
    <w:rsid w:val="003105F2"/>
    <w:rsid w:val="00313480"/>
    <w:rsid w:val="003155BD"/>
    <w:rsid w:val="00315E33"/>
    <w:rsid w:val="00316DEC"/>
    <w:rsid w:val="0032082B"/>
    <w:rsid w:val="00321E0A"/>
    <w:rsid w:val="00322732"/>
    <w:rsid w:val="00324DF3"/>
    <w:rsid w:val="00325F86"/>
    <w:rsid w:val="00326883"/>
    <w:rsid w:val="00327CD0"/>
    <w:rsid w:val="00327E9A"/>
    <w:rsid w:val="00331553"/>
    <w:rsid w:val="00332E5D"/>
    <w:rsid w:val="00333506"/>
    <w:rsid w:val="00333EE4"/>
    <w:rsid w:val="00335E2C"/>
    <w:rsid w:val="00336371"/>
    <w:rsid w:val="00336F12"/>
    <w:rsid w:val="00337C78"/>
    <w:rsid w:val="003410AA"/>
    <w:rsid w:val="00345BBF"/>
    <w:rsid w:val="00346ABE"/>
    <w:rsid w:val="003517EC"/>
    <w:rsid w:val="00352A6B"/>
    <w:rsid w:val="00352EC1"/>
    <w:rsid w:val="00364CF3"/>
    <w:rsid w:val="00365A66"/>
    <w:rsid w:val="00367EAB"/>
    <w:rsid w:val="00372573"/>
    <w:rsid w:val="003772BE"/>
    <w:rsid w:val="00377AB2"/>
    <w:rsid w:val="003814B3"/>
    <w:rsid w:val="0038779E"/>
    <w:rsid w:val="003877C9"/>
    <w:rsid w:val="00391D29"/>
    <w:rsid w:val="0039201F"/>
    <w:rsid w:val="0039283B"/>
    <w:rsid w:val="003929D5"/>
    <w:rsid w:val="0039385F"/>
    <w:rsid w:val="00396EA4"/>
    <w:rsid w:val="003A22B3"/>
    <w:rsid w:val="003A2644"/>
    <w:rsid w:val="003A3363"/>
    <w:rsid w:val="003A3905"/>
    <w:rsid w:val="003A3CC1"/>
    <w:rsid w:val="003A6635"/>
    <w:rsid w:val="003A6B0E"/>
    <w:rsid w:val="003B073D"/>
    <w:rsid w:val="003B2A47"/>
    <w:rsid w:val="003B5562"/>
    <w:rsid w:val="003B737F"/>
    <w:rsid w:val="003C044E"/>
    <w:rsid w:val="003C179F"/>
    <w:rsid w:val="003C2450"/>
    <w:rsid w:val="003C4AF6"/>
    <w:rsid w:val="003D1BEF"/>
    <w:rsid w:val="003D26BA"/>
    <w:rsid w:val="003D2853"/>
    <w:rsid w:val="003D448E"/>
    <w:rsid w:val="003D5044"/>
    <w:rsid w:val="003E4C17"/>
    <w:rsid w:val="003E5D96"/>
    <w:rsid w:val="003E6BA0"/>
    <w:rsid w:val="003E73DB"/>
    <w:rsid w:val="003E7596"/>
    <w:rsid w:val="003E7F07"/>
    <w:rsid w:val="003F4C7D"/>
    <w:rsid w:val="003F59E6"/>
    <w:rsid w:val="00402BC8"/>
    <w:rsid w:val="004040EB"/>
    <w:rsid w:val="0040426D"/>
    <w:rsid w:val="004043B6"/>
    <w:rsid w:val="00404A4A"/>
    <w:rsid w:val="00404E81"/>
    <w:rsid w:val="0041165E"/>
    <w:rsid w:val="004120B1"/>
    <w:rsid w:val="004124D3"/>
    <w:rsid w:val="00413285"/>
    <w:rsid w:val="0041421D"/>
    <w:rsid w:val="00414A5C"/>
    <w:rsid w:val="004156B4"/>
    <w:rsid w:val="00415AF1"/>
    <w:rsid w:val="00415BDC"/>
    <w:rsid w:val="0041697F"/>
    <w:rsid w:val="00421F66"/>
    <w:rsid w:val="0042213A"/>
    <w:rsid w:val="004223AA"/>
    <w:rsid w:val="00423104"/>
    <w:rsid w:val="004267D3"/>
    <w:rsid w:val="00433656"/>
    <w:rsid w:val="00433C6B"/>
    <w:rsid w:val="00433E65"/>
    <w:rsid w:val="004374B2"/>
    <w:rsid w:val="00440A90"/>
    <w:rsid w:val="00442AB8"/>
    <w:rsid w:val="004436EA"/>
    <w:rsid w:val="00450B39"/>
    <w:rsid w:val="00454498"/>
    <w:rsid w:val="0045540C"/>
    <w:rsid w:val="00456C59"/>
    <w:rsid w:val="0045774A"/>
    <w:rsid w:val="0046371B"/>
    <w:rsid w:val="00466FC6"/>
    <w:rsid w:val="00470CC9"/>
    <w:rsid w:val="00472C5A"/>
    <w:rsid w:val="0048061A"/>
    <w:rsid w:val="004829C1"/>
    <w:rsid w:val="00483C3E"/>
    <w:rsid w:val="0048535D"/>
    <w:rsid w:val="004876F1"/>
    <w:rsid w:val="00487FE4"/>
    <w:rsid w:val="00490198"/>
    <w:rsid w:val="00490352"/>
    <w:rsid w:val="00490E28"/>
    <w:rsid w:val="00491A9F"/>
    <w:rsid w:val="00494435"/>
    <w:rsid w:val="0049645A"/>
    <w:rsid w:val="00496930"/>
    <w:rsid w:val="00497362"/>
    <w:rsid w:val="00497E2A"/>
    <w:rsid w:val="004A0AE7"/>
    <w:rsid w:val="004A5DF7"/>
    <w:rsid w:val="004A6062"/>
    <w:rsid w:val="004A770F"/>
    <w:rsid w:val="004B1F38"/>
    <w:rsid w:val="004B2762"/>
    <w:rsid w:val="004B27C1"/>
    <w:rsid w:val="004C1697"/>
    <w:rsid w:val="004C1A03"/>
    <w:rsid w:val="004C5EFB"/>
    <w:rsid w:val="004C665A"/>
    <w:rsid w:val="004C78E3"/>
    <w:rsid w:val="004D0765"/>
    <w:rsid w:val="004D11ED"/>
    <w:rsid w:val="004D310E"/>
    <w:rsid w:val="004D34C8"/>
    <w:rsid w:val="004D37D8"/>
    <w:rsid w:val="004D4B81"/>
    <w:rsid w:val="004D7F93"/>
    <w:rsid w:val="004E2BF1"/>
    <w:rsid w:val="004E4581"/>
    <w:rsid w:val="004E6528"/>
    <w:rsid w:val="004F0471"/>
    <w:rsid w:val="004F1A05"/>
    <w:rsid w:val="004F6683"/>
    <w:rsid w:val="004F6B2B"/>
    <w:rsid w:val="005005DF"/>
    <w:rsid w:val="00500B17"/>
    <w:rsid w:val="00505045"/>
    <w:rsid w:val="00511501"/>
    <w:rsid w:val="00514505"/>
    <w:rsid w:val="0051602E"/>
    <w:rsid w:val="0051640E"/>
    <w:rsid w:val="00516741"/>
    <w:rsid w:val="0051697E"/>
    <w:rsid w:val="005175A3"/>
    <w:rsid w:val="00525719"/>
    <w:rsid w:val="00526868"/>
    <w:rsid w:val="00527ABC"/>
    <w:rsid w:val="0053094D"/>
    <w:rsid w:val="005350F1"/>
    <w:rsid w:val="0054193D"/>
    <w:rsid w:val="005427B7"/>
    <w:rsid w:val="005429A2"/>
    <w:rsid w:val="00542D59"/>
    <w:rsid w:val="005462A5"/>
    <w:rsid w:val="00552455"/>
    <w:rsid w:val="00553E95"/>
    <w:rsid w:val="0055503F"/>
    <w:rsid w:val="00560D16"/>
    <w:rsid w:val="00561768"/>
    <w:rsid w:val="005624A6"/>
    <w:rsid w:val="00564F72"/>
    <w:rsid w:val="00566234"/>
    <w:rsid w:val="00567371"/>
    <w:rsid w:val="0057262B"/>
    <w:rsid w:val="0057555E"/>
    <w:rsid w:val="00577721"/>
    <w:rsid w:val="00577A65"/>
    <w:rsid w:val="00581A66"/>
    <w:rsid w:val="0058297B"/>
    <w:rsid w:val="00582A03"/>
    <w:rsid w:val="00583BD6"/>
    <w:rsid w:val="0059519F"/>
    <w:rsid w:val="00596E88"/>
    <w:rsid w:val="005A0969"/>
    <w:rsid w:val="005A09B1"/>
    <w:rsid w:val="005A4B86"/>
    <w:rsid w:val="005A5107"/>
    <w:rsid w:val="005A53F6"/>
    <w:rsid w:val="005A57EA"/>
    <w:rsid w:val="005B30C5"/>
    <w:rsid w:val="005B344F"/>
    <w:rsid w:val="005B7AAE"/>
    <w:rsid w:val="005C038B"/>
    <w:rsid w:val="005C0619"/>
    <w:rsid w:val="005C09FD"/>
    <w:rsid w:val="005C2111"/>
    <w:rsid w:val="005C2684"/>
    <w:rsid w:val="005C2DDC"/>
    <w:rsid w:val="005C3548"/>
    <w:rsid w:val="005C5620"/>
    <w:rsid w:val="005C5979"/>
    <w:rsid w:val="005C784D"/>
    <w:rsid w:val="005C7AFF"/>
    <w:rsid w:val="005D22F7"/>
    <w:rsid w:val="005D41F9"/>
    <w:rsid w:val="005D4A4E"/>
    <w:rsid w:val="005E1297"/>
    <w:rsid w:val="005E724B"/>
    <w:rsid w:val="005F2101"/>
    <w:rsid w:val="005F730B"/>
    <w:rsid w:val="005F7807"/>
    <w:rsid w:val="005F7CC6"/>
    <w:rsid w:val="00600353"/>
    <w:rsid w:val="006005FE"/>
    <w:rsid w:val="00602D6E"/>
    <w:rsid w:val="00602EF7"/>
    <w:rsid w:val="00604563"/>
    <w:rsid w:val="00607B03"/>
    <w:rsid w:val="0061059D"/>
    <w:rsid w:val="00610D93"/>
    <w:rsid w:val="00614393"/>
    <w:rsid w:val="00614A4D"/>
    <w:rsid w:val="0062217C"/>
    <w:rsid w:val="00622557"/>
    <w:rsid w:val="00623567"/>
    <w:rsid w:val="006256E3"/>
    <w:rsid w:val="00625F2E"/>
    <w:rsid w:val="00626919"/>
    <w:rsid w:val="00626AE5"/>
    <w:rsid w:val="006278CF"/>
    <w:rsid w:val="006412B5"/>
    <w:rsid w:val="00641932"/>
    <w:rsid w:val="0064477C"/>
    <w:rsid w:val="00647C2A"/>
    <w:rsid w:val="00650903"/>
    <w:rsid w:val="00651441"/>
    <w:rsid w:val="00656743"/>
    <w:rsid w:val="00664688"/>
    <w:rsid w:val="0066776D"/>
    <w:rsid w:val="006679C0"/>
    <w:rsid w:val="00671CA8"/>
    <w:rsid w:val="006723BE"/>
    <w:rsid w:val="0067253E"/>
    <w:rsid w:val="00673AB2"/>
    <w:rsid w:val="006767CC"/>
    <w:rsid w:val="006804DF"/>
    <w:rsid w:val="006807D3"/>
    <w:rsid w:val="00680ED5"/>
    <w:rsid w:val="0068149E"/>
    <w:rsid w:val="00681608"/>
    <w:rsid w:val="00681956"/>
    <w:rsid w:val="00682893"/>
    <w:rsid w:val="00682E56"/>
    <w:rsid w:val="00682FBA"/>
    <w:rsid w:val="00683370"/>
    <w:rsid w:val="00684E54"/>
    <w:rsid w:val="006907DD"/>
    <w:rsid w:val="006911BE"/>
    <w:rsid w:val="0069148C"/>
    <w:rsid w:val="00691C2E"/>
    <w:rsid w:val="006923C8"/>
    <w:rsid w:val="0069372F"/>
    <w:rsid w:val="00696AB4"/>
    <w:rsid w:val="006976BF"/>
    <w:rsid w:val="006A05D7"/>
    <w:rsid w:val="006A4628"/>
    <w:rsid w:val="006A55F2"/>
    <w:rsid w:val="006B0A80"/>
    <w:rsid w:val="006B2D1B"/>
    <w:rsid w:val="006B3544"/>
    <w:rsid w:val="006B4213"/>
    <w:rsid w:val="006B4DF0"/>
    <w:rsid w:val="006B573F"/>
    <w:rsid w:val="006B5A90"/>
    <w:rsid w:val="006B7444"/>
    <w:rsid w:val="006B7D6A"/>
    <w:rsid w:val="006C1013"/>
    <w:rsid w:val="006C228B"/>
    <w:rsid w:val="006C2931"/>
    <w:rsid w:val="006C4142"/>
    <w:rsid w:val="006C57D7"/>
    <w:rsid w:val="006C7FA2"/>
    <w:rsid w:val="006D2D33"/>
    <w:rsid w:val="006D466E"/>
    <w:rsid w:val="006D4B70"/>
    <w:rsid w:val="006D6848"/>
    <w:rsid w:val="006E3B48"/>
    <w:rsid w:val="006E3E81"/>
    <w:rsid w:val="006E47AA"/>
    <w:rsid w:val="006E53C0"/>
    <w:rsid w:val="006E6184"/>
    <w:rsid w:val="006E64B4"/>
    <w:rsid w:val="006F03AA"/>
    <w:rsid w:val="006F096A"/>
    <w:rsid w:val="006F3095"/>
    <w:rsid w:val="006F3DF5"/>
    <w:rsid w:val="006F5455"/>
    <w:rsid w:val="006F5CB6"/>
    <w:rsid w:val="0070242A"/>
    <w:rsid w:val="00703194"/>
    <w:rsid w:val="0070472E"/>
    <w:rsid w:val="00706D54"/>
    <w:rsid w:val="0070737C"/>
    <w:rsid w:val="00711229"/>
    <w:rsid w:val="00715018"/>
    <w:rsid w:val="007150FD"/>
    <w:rsid w:val="00715D38"/>
    <w:rsid w:val="0071756D"/>
    <w:rsid w:val="007179FE"/>
    <w:rsid w:val="00717F25"/>
    <w:rsid w:val="007201B1"/>
    <w:rsid w:val="007201FF"/>
    <w:rsid w:val="007219B9"/>
    <w:rsid w:val="00721B2C"/>
    <w:rsid w:val="00723C59"/>
    <w:rsid w:val="00724E14"/>
    <w:rsid w:val="00725AD5"/>
    <w:rsid w:val="00726271"/>
    <w:rsid w:val="00726EB4"/>
    <w:rsid w:val="00726FF5"/>
    <w:rsid w:val="00731945"/>
    <w:rsid w:val="0073698D"/>
    <w:rsid w:val="00736C0B"/>
    <w:rsid w:val="007401F5"/>
    <w:rsid w:val="007452AE"/>
    <w:rsid w:val="00746531"/>
    <w:rsid w:val="007503CD"/>
    <w:rsid w:val="00751725"/>
    <w:rsid w:val="007529DB"/>
    <w:rsid w:val="0075316F"/>
    <w:rsid w:val="0075450A"/>
    <w:rsid w:val="00755B01"/>
    <w:rsid w:val="00756B27"/>
    <w:rsid w:val="00756F44"/>
    <w:rsid w:val="00757E7E"/>
    <w:rsid w:val="0076017E"/>
    <w:rsid w:val="00760DB6"/>
    <w:rsid w:val="00762558"/>
    <w:rsid w:val="007655E4"/>
    <w:rsid w:val="007661AE"/>
    <w:rsid w:val="00766A51"/>
    <w:rsid w:val="00767E6C"/>
    <w:rsid w:val="00772F1C"/>
    <w:rsid w:val="00774288"/>
    <w:rsid w:val="0077573F"/>
    <w:rsid w:val="00775C1A"/>
    <w:rsid w:val="00777610"/>
    <w:rsid w:val="0077788E"/>
    <w:rsid w:val="007778F4"/>
    <w:rsid w:val="007819C7"/>
    <w:rsid w:val="00787E75"/>
    <w:rsid w:val="00791CE0"/>
    <w:rsid w:val="00793420"/>
    <w:rsid w:val="00793A2E"/>
    <w:rsid w:val="007972D1"/>
    <w:rsid w:val="007A250A"/>
    <w:rsid w:val="007A2731"/>
    <w:rsid w:val="007A3157"/>
    <w:rsid w:val="007A6E20"/>
    <w:rsid w:val="007A7A4E"/>
    <w:rsid w:val="007B080D"/>
    <w:rsid w:val="007B0AB2"/>
    <w:rsid w:val="007B10ED"/>
    <w:rsid w:val="007B3BFC"/>
    <w:rsid w:val="007B4B03"/>
    <w:rsid w:val="007B4FC0"/>
    <w:rsid w:val="007B5197"/>
    <w:rsid w:val="007C1433"/>
    <w:rsid w:val="007C1F63"/>
    <w:rsid w:val="007D20FF"/>
    <w:rsid w:val="007D615D"/>
    <w:rsid w:val="007E02F1"/>
    <w:rsid w:val="007E2950"/>
    <w:rsid w:val="007E5117"/>
    <w:rsid w:val="007F201E"/>
    <w:rsid w:val="007F2F8F"/>
    <w:rsid w:val="007F4538"/>
    <w:rsid w:val="007F5245"/>
    <w:rsid w:val="007F5718"/>
    <w:rsid w:val="00800FEB"/>
    <w:rsid w:val="00804357"/>
    <w:rsid w:val="00807AD8"/>
    <w:rsid w:val="00813CFF"/>
    <w:rsid w:val="00813FC2"/>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7090"/>
    <w:rsid w:val="00837A93"/>
    <w:rsid w:val="00840B25"/>
    <w:rsid w:val="00844F11"/>
    <w:rsid w:val="00845BCC"/>
    <w:rsid w:val="00851465"/>
    <w:rsid w:val="00852ED8"/>
    <w:rsid w:val="0085533A"/>
    <w:rsid w:val="00855543"/>
    <w:rsid w:val="008567A8"/>
    <w:rsid w:val="00856F5F"/>
    <w:rsid w:val="0085738D"/>
    <w:rsid w:val="008605A8"/>
    <w:rsid w:val="00861144"/>
    <w:rsid w:val="00862395"/>
    <w:rsid w:val="00863DC0"/>
    <w:rsid w:val="00865F9E"/>
    <w:rsid w:val="0086782C"/>
    <w:rsid w:val="008708D6"/>
    <w:rsid w:val="00870FA9"/>
    <w:rsid w:val="00872093"/>
    <w:rsid w:val="0087255F"/>
    <w:rsid w:val="008754CB"/>
    <w:rsid w:val="008760D0"/>
    <w:rsid w:val="00876D3A"/>
    <w:rsid w:val="00880573"/>
    <w:rsid w:val="00881317"/>
    <w:rsid w:val="00881C48"/>
    <w:rsid w:val="008827E0"/>
    <w:rsid w:val="008843EE"/>
    <w:rsid w:val="0089255A"/>
    <w:rsid w:val="008945F0"/>
    <w:rsid w:val="00896477"/>
    <w:rsid w:val="00896647"/>
    <w:rsid w:val="00896F5A"/>
    <w:rsid w:val="008A3C37"/>
    <w:rsid w:val="008A42FD"/>
    <w:rsid w:val="008A47F8"/>
    <w:rsid w:val="008A5B8A"/>
    <w:rsid w:val="008A6E23"/>
    <w:rsid w:val="008A715A"/>
    <w:rsid w:val="008B1840"/>
    <w:rsid w:val="008B1C10"/>
    <w:rsid w:val="008B43E5"/>
    <w:rsid w:val="008B44F6"/>
    <w:rsid w:val="008B65C9"/>
    <w:rsid w:val="008B73A2"/>
    <w:rsid w:val="008C41F1"/>
    <w:rsid w:val="008C6A7B"/>
    <w:rsid w:val="008C7F5B"/>
    <w:rsid w:val="008D079A"/>
    <w:rsid w:val="008D5B52"/>
    <w:rsid w:val="008E168F"/>
    <w:rsid w:val="008E1C97"/>
    <w:rsid w:val="008E2D69"/>
    <w:rsid w:val="008E48FC"/>
    <w:rsid w:val="008F2350"/>
    <w:rsid w:val="008F2AD6"/>
    <w:rsid w:val="008F4BA8"/>
    <w:rsid w:val="008F5C07"/>
    <w:rsid w:val="008F696D"/>
    <w:rsid w:val="00901CF5"/>
    <w:rsid w:val="00902097"/>
    <w:rsid w:val="00903AF7"/>
    <w:rsid w:val="009065E7"/>
    <w:rsid w:val="00910EA9"/>
    <w:rsid w:val="00913276"/>
    <w:rsid w:val="00913611"/>
    <w:rsid w:val="0091441A"/>
    <w:rsid w:val="00915797"/>
    <w:rsid w:val="009217F1"/>
    <w:rsid w:val="009221DF"/>
    <w:rsid w:val="009224FD"/>
    <w:rsid w:val="0092530A"/>
    <w:rsid w:val="00926CA7"/>
    <w:rsid w:val="00930026"/>
    <w:rsid w:val="0093296C"/>
    <w:rsid w:val="00935450"/>
    <w:rsid w:val="00935CC7"/>
    <w:rsid w:val="0094002F"/>
    <w:rsid w:val="0094014A"/>
    <w:rsid w:val="0094129D"/>
    <w:rsid w:val="009419E8"/>
    <w:rsid w:val="00941D34"/>
    <w:rsid w:val="0094444B"/>
    <w:rsid w:val="00946A91"/>
    <w:rsid w:val="00951BAD"/>
    <w:rsid w:val="00955B16"/>
    <w:rsid w:val="00956C81"/>
    <w:rsid w:val="00956F4A"/>
    <w:rsid w:val="00957C1F"/>
    <w:rsid w:val="009601A6"/>
    <w:rsid w:val="00960EBA"/>
    <w:rsid w:val="00963FC8"/>
    <w:rsid w:val="00967E4D"/>
    <w:rsid w:val="009704A5"/>
    <w:rsid w:val="0097198A"/>
    <w:rsid w:val="00981799"/>
    <w:rsid w:val="00983DC2"/>
    <w:rsid w:val="00983DF0"/>
    <w:rsid w:val="00990615"/>
    <w:rsid w:val="0099279C"/>
    <w:rsid w:val="00994C10"/>
    <w:rsid w:val="009A0446"/>
    <w:rsid w:val="009A062C"/>
    <w:rsid w:val="009A48AF"/>
    <w:rsid w:val="009A522D"/>
    <w:rsid w:val="009A5A8D"/>
    <w:rsid w:val="009B3BCE"/>
    <w:rsid w:val="009B3F77"/>
    <w:rsid w:val="009B5132"/>
    <w:rsid w:val="009B6D53"/>
    <w:rsid w:val="009B76E5"/>
    <w:rsid w:val="009C166A"/>
    <w:rsid w:val="009C16B7"/>
    <w:rsid w:val="009C20D2"/>
    <w:rsid w:val="009C6FFB"/>
    <w:rsid w:val="009C7EF5"/>
    <w:rsid w:val="009D2CF4"/>
    <w:rsid w:val="009D2FAC"/>
    <w:rsid w:val="009D62CF"/>
    <w:rsid w:val="009E096C"/>
    <w:rsid w:val="009E1311"/>
    <w:rsid w:val="009E151E"/>
    <w:rsid w:val="009E5DB6"/>
    <w:rsid w:val="009E6E99"/>
    <w:rsid w:val="009E733B"/>
    <w:rsid w:val="009E7462"/>
    <w:rsid w:val="009F379A"/>
    <w:rsid w:val="009F7F52"/>
    <w:rsid w:val="00A00AA7"/>
    <w:rsid w:val="00A00BA5"/>
    <w:rsid w:val="00A0202C"/>
    <w:rsid w:val="00A0227E"/>
    <w:rsid w:val="00A04C30"/>
    <w:rsid w:val="00A062E8"/>
    <w:rsid w:val="00A06395"/>
    <w:rsid w:val="00A105BF"/>
    <w:rsid w:val="00A10974"/>
    <w:rsid w:val="00A143E7"/>
    <w:rsid w:val="00A14966"/>
    <w:rsid w:val="00A14A73"/>
    <w:rsid w:val="00A15685"/>
    <w:rsid w:val="00A17CCB"/>
    <w:rsid w:val="00A207A2"/>
    <w:rsid w:val="00A2219B"/>
    <w:rsid w:val="00A2346F"/>
    <w:rsid w:val="00A23CBA"/>
    <w:rsid w:val="00A2422A"/>
    <w:rsid w:val="00A24361"/>
    <w:rsid w:val="00A303A1"/>
    <w:rsid w:val="00A3209E"/>
    <w:rsid w:val="00A3212A"/>
    <w:rsid w:val="00A322FB"/>
    <w:rsid w:val="00A32D2E"/>
    <w:rsid w:val="00A4030E"/>
    <w:rsid w:val="00A4077B"/>
    <w:rsid w:val="00A42386"/>
    <w:rsid w:val="00A42D76"/>
    <w:rsid w:val="00A42DA9"/>
    <w:rsid w:val="00A4370E"/>
    <w:rsid w:val="00A43CE9"/>
    <w:rsid w:val="00A44699"/>
    <w:rsid w:val="00A45054"/>
    <w:rsid w:val="00A453B3"/>
    <w:rsid w:val="00A469B9"/>
    <w:rsid w:val="00A50751"/>
    <w:rsid w:val="00A50E72"/>
    <w:rsid w:val="00A53189"/>
    <w:rsid w:val="00A54051"/>
    <w:rsid w:val="00A54BE7"/>
    <w:rsid w:val="00A55B5A"/>
    <w:rsid w:val="00A564EB"/>
    <w:rsid w:val="00A620C4"/>
    <w:rsid w:val="00A631F9"/>
    <w:rsid w:val="00A64E39"/>
    <w:rsid w:val="00A6500A"/>
    <w:rsid w:val="00A65D6E"/>
    <w:rsid w:val="00A671D3"/>
    <w:rsid w:val="00A705E3"/>
    <w:rsid w:val="00A71016"/>
    <w:rsid w:val="00A728D0"/>
    <w:rsid w:val="00A739F1"/>
    <w:rsid w:val="00A81EC4"/>
    <w:rsid w:val="00A8295A"/>
    <w:rsid w:val="00A838FA"/>
    <w:rsid w:val="00A8478F"/>
    <w:rsid w:val="00A858C4"/>
    <w:rsid w:val="00A91FE4"/>
    <w:rsid w:val="00A92F0B"/>
    <w:rsid w:val="00A974CA"/>
    <w:rsid w:val="00A97C02"/>
    <w:rsid w:val="00AA0CA6"/>
    <w:rsid w:val="00AA2A0D"/>
    <w:rsid w:val="00AA2CD5"/>
    <w:rsid w:val="00AA4D55"/>
    <w:rsid w:val="00AA4F6C"/>
    <w:rsid w:val="00AB16AE"/>
    <w:rsid w:val="00AB1B5D"/>
    <w:rsid w:val="00AB2011"/>
    <w:rsid w:val="00AB4440"/>
    <w:rsid w:val="00AB4499"/>
    <w:rsid w:val="00AB5A64"/>
    <w:rsid w:val="00AB79E9"/>
    <w:rsid w:val="00AC0655"/>
    <w:rsid w:val="00AC23B6"/>
    <w:rsid w:val="00AC276B"/>
    <w:rsid w:val="00AC6B83"/>
    <w:rsid w:val="00AC6FC7"/>
    <w:rsid w:val="00AD04F4"/>
    <w:rsid w:val="00AD0CE6"/>
    <w:rsid w:val="00AD42CE"/>
    <w:rsid w:val="00AD670F"/>
    <w:rsid w:val="00AE0BC0"/>
    <w:rsid w:val="00AE1E54"/>
    <w:rsid w:val="00AE478A"/>
    <w:rsid w:val="00AE75C4"/>
    <w:rsid w:val="00AF0D99"/>
    <w:rsid w:val="00AF3346"/>
    <w:rsid w:val="00AF3412"/>
    <w:rsid w:val="00B00778"/>
    <w:rsid w:val="00B009FE"/>
    <w:rsid w:val="00B012ED"/>
    <w:rsid w:val="00B050C0"/>
    <w:rsid w:val="00B05642"/>
    <w:rsid w:val="00B06097"/>
    <w:rsid w:val="00B10514"/>
    <w:rsid w:val="00B10CAE"/>
    <w:rsid w:val="00B12190"/>
    <w:rsid w:val="00B121BE"/>
    <w:rsid w:val="00B12DDB"/>
    <w:rsid w:val="00B13ADF"/>
    <w:rsid w:val="00B14635"/>
    <w:rsid w:val="00B171BB"/>
    <w:rsid w:val="00B204CB"/>
    <w:rsid w:val="00B2247A"/>
    <w:rsid w:val="00B3165C"/>
    <w:rsid w:val="00B36551"/>
    <w:rsid w:val="00B3669E"/>
    <w:rsid w:val="00B37EEF"/>
    <w:rsid w:val="00B40E38"/>
    <w:rsid w:val="00B44371"/>
    <w:rsid w:val="00B45E52"/>
    <w:rsid w:val="00B51ACE"/>
    <w:rsid w:val="00B55061"/>
    <w:rsid w:val="00B623D7"/>
    <w:rsid w:val="00B6622D"/>
    <w:rsid w:val="00B66623"/>
    <w:rsid w:val="00B66E7A"/>
    <w:rsid w:val="00B70780"/>
    <w:rsid w:val="00B72927"/>
    <w:rsid w:val="00B80BD7"/>
    <w:rsid w:val="00B8209C"/>
    <w:rsid w:val="00B84275"/>
    <w:rsid w:val="00B9206A"/>
    <w:rsid w:val="00B96C09"/>
    <w:rsid w:val="00BA1CFA"/>
    <w:rsid w:val="00BA1D21"/>
    <w:rsid w:val="00BA7603"/>
    <w:rsid w:val="00BB1D7B"/>
    <w:rsid w:val="00BB1F4F"/>
    <w:rsid w:val="00BB6CE4"/>
    <w:rsid w:val="00BB7C82"/>
    <w:rsid w:val="00BC2E80"/>
    <w:rsid w:val="00BC4BF4"/>
    <w:rsid w:val="00BC6E09"/>
    <w:rsid w:val="00BC7ECB"/>
    <w:rsid w:val="00BD77A9"/>
    <w:rsid w:val="00BE042D"/>
    <w:rsid w:val="00BE4802"/>
    <w:rsid w:val="00BE7212"/>
    <w:rsid w:val="00BE7E11"/>
    <w:rsid w:val="00BF0671"/>
    <w:rsid w:val="00BF331F"/>
    <w:rsid w:val="00BF5036"/>
    <w:rsid w:val="00BF6BCF"/>
    <w:rsid w:val="00C011BF"/>
    <w:rsid w:val="00C024B8"/>
    <w:rsid w:val="00C046A4"/>
    <w:rsid w:val="00C05CC6"/>
    <w:rsid w:val="00C064C1"/>
    <w:rsid w:val="00C068C7"/>
    <w:rsid w:val="00C073C2"/>
    <w:rsid w:val="00C160F4"/>
    <w:rsid w:val="00C16FB5"/>
    <w:rsid w:val="00C2120D"/>
    <w:rsid w:val="00C233E9"/>
    <w:rsid w:val="00C25018"/>
    <w:rsid w:val="00C255D1"/>
    <w:rsid w:val="00C259AB"/>
    <w:rsid w:val="00C26A3D"/>
    <w:rsid w:val="00C303B4"/>
    <w:rsid w:val="00C30733"/>
    <w:rsid w:val="00C40EBC"/>
    <w:rsid w:val="00C41FE1"/>
    <w:rsid w:val="00C4202E"/>
    <w:rsid w:val="00C42ACA"/>
    <w:rsid w:val="00C42BA5"/>
    <w:rsid w:val="00C4349A"/>
    <w:rsid w:val="00C47261"/>
    <w:rsid w:val="00C47C61"/>
    <w:rsid w:val="00C51308"/>
    <w:rsid w:val="00C52865"/>
    <w:rsid w:val="00C539F8"/>
    <w:rsid w:val="00C53A47"/>
    <w:rsid w:val="00C559E0"/>
    <w:rsid w:val="00C57BB9"/>
    <w:rsid w:val="00C61699"/>
    <w:rsid w:val="00C62B02"/>
    <w:rsid w:val="00C635A5"/>
    <w:rsid w:val="00C647E0"/>
    <w:rsid w:val="00C64908"/>
    <w:rsid w:val="00C67500"/>
    <w:rsid w:val="00C705B5"/>
    <w:rsid w:val="00C7093C"/>
    <w:rsid w:val="00C72F2D"/>
    <w:rsid w:val="00C73658"/>
    <w:rsid w:val="00C738BD"/>
    <w:rsid w:val="00C75D40"/>
    <w:rsid w:val="00C80204"/>
    <w:rsid w:val="00C83627"/>
    <w:rsid w:val="00C8477E"/>
    <w:rsid w:val="00C8634F"/>
    <w:rsid w:val="00C876D9"/>
    <w:rsid w:val="00C90978"/>
    <w:rsid w:val="00C90B71"/>
    <w:rsid w:val="00C929DB"/>
    <w:rsid w:val="00C92AFE"/>
    <w:rsid w:val="00C9336D"/>
    <w:rsid w:val="00C9405D"/>
    <w:rsid w:val="00C95D81"/>
    <w:rsid w:val="00C960AA"/>
    <w:rsid w:val="00CA121E"/>
    <w:rsid w:val="00CA4672"/>
    <w:rsid w:val="00CA4B1E"/>
    <w:rsid w:val="00CA501D"/>
    <w:rsid w:val="00CA55C4"/>
    <w:rsid w:val="00CB063C"/>
    <w:rsid w:val="00CB1789"/>
    <w:rsid w:val="00CB1CB2"/>
    <w:rsid w:val="00CB2557"/>
    <w:rsid w:val="00CB477A"/>
    <w:rsid w:val="00CB76EE"/>
    <w:rsid w:val="00CC39B1"/>
    <w:rsid w:val="00CC789E"/>
    <w:rsid w:val="00CD526B"/>
    <w:rsid w:val="00CD5B93"/>
    <w:rsid w:val="00CD769B"/>
    <w:rsid w:val="00CE669C"/>
    <w:rsid w:val="00CE6BB7"/>
    <w:rsid w:val="00CE75DB"/>
    <w:rsid w:val="00CF0826"/>
    <w:rsid w:val="00CF0D8A"/>
    <w:rsid w:val="00CF1839"/>
    <w:rsid w:val="00CF267F"/>
    <w:rsid w:val="00CF2D02"/>
    <w:rsid w:val="00CF3BD3"/>
    <w:rsid w:val="00CF776B"/>
    <w:rsid w:val="00CF7DA0"/>
    <w:rsid w:val="00D02E58"/>
    <w:rsid w:val="00D04614"/>
    <w:rsid w:val="00D04635"/>
    <w:rsid w:val="00D05B31"/>
    <w:rsid w:val="00D13F30"/>
    <w:rsid w:val="00D17144"/>
    <w:rsid w:val="00D171EC"/>
    <w:rsid w:val="00D1723F"/>
    <w:rsid w:val="00D2250C"/>
    <w:rsid w:val="00D2405C"/>
    <w:rsid w:val="00D26B64"/>
    <w:rsid w:val="00D27E00"/>
    <w:rsid w:val="00D30AA4"/>
    <w:rsid w:val="00D348BD"/>
    <w:rsid w:val="00D35894"/>
    <w:rsid w:val="00D35ECB"/>
    <w:rsid w:val="00D36590"/>
    <w:rsid w:val="00D3674A"/>
    <w:rsid w:val="00D4085D"/>
    <w:rsid w:val="00D4151F"/>
    <w:rsid w:val="00D4437A"/>
    <w:rsid w:val="00D51210"/>
    <w:rsid w:val="00D51BA5"/>
    <w:rsid w:val="00D522D3"/>
    <w:rsid w:val="00D52914"/>
    <w:rsid w:val="00D55F5C"/>
    <w:rsid w:val="00D57190"/>
    <w:rsid w:val="00D57346"/>
    <w:rsid w:val="00D61911"/>
    <w:rsid w:val="00D61A8B"/>
    <w:rsid w:val="00D63E84"/>
    <w:rsid w:val="00D677F9"/>
    <w:rsid w:val="00D71E4E"/>
    <w:rsid w:val="00D7319F"/>
    <w:rsid w:val="00D73591"/>
    <w:rsid w:val="00D802FC"/>
    <w:rsid w:val="00D84D4C"/>
    <w:rsid w:val="00D8532B"/>
    <w:rsid w:val="00D85ABE"/>
    <w:rsid w:val="00D91B9D"/>
    <w:rsid w:val="00D9339B"/>
    <w:rsid w:val="00D9402A"/>
    <w:rsid w:val="00D973A5"/>
    <w:rsid w:val="00DA126A"/>
    <w:rsid w:val="00DA1D33"/>
    <w:rsid w:val="00DA3AA7"/>
    <w:rsid w:val="00DA552B"/>
    <w:rsid w:val="00DB1640"/>
    <w:rsid w:val="00DB4DA8"/>
    <w:rsid w:val="00DC50E5"/>
    <w:rsid w:val="00DC5109"/>
    <w:rsid w:val="00DD093B"/>
    <w:rsid w:val="00DD0D43"/>
    <w:rsid w:val="00DD1898"/>
    <w:rsid w:val="00DD57CD"/>
    <w:rsid w:val="00DE4A6C"/>
    <w:rsid w:val="00DE5673"/>
    <w:rsid w:val="00DE5A0C"/>
    <w:rsid w:val="00DE64C1"/>
    <w:rsid w:val="00DF2704"/>
    <w:rsid w:val="00DF3206"/>
    <w:rsid w:val="00DF60E8"/>
    <w:rsid w:val="00DF6A07"/>
    <w:rsid w:val="00E0263C"/>
    <w:rsid w:val="00E11ACC"/>
    <w:rsid w:val="00E13217"/>
    <w:rsid w:val="00E14134"/>
    <w:rsid w:val="00E2118C"/>
    <w:rsid w:val="00E21E55"/>
    <w:rsid w:val="00E220BC"/>
    <w:rsid w:val="00E23352"/>
    <w:rsid w:val="00E24621"/>
    <w:rsid w:val="00E24AA8"/>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47DB1"/>
    <w:rsid w:val="00E506BB"/>
    <w:rsid w:val="00E50963"/>
    <w:rsid w:val="00E51D1B"/>
    <w:rsid w:val="00E53208"/>
    <w:rsid w:val="00E55D2D"/>
    <w:rsid w:val="00E56C3D"/>
    <w:rsid w:val="00E579FF"/>
    <w:rsid w:val="00E60780"/>
    <w:rsid w:val="00E61847"/>
    <w:rsid w:val="00E71435"/>
    <w:rsid w:val="00E7195E"/>
    <w:rsid w:val="00E72F4A"/>
    <w:rsid w:val="00E73341"/>
    <w:rsid w:val="00E73FDA"/>
    <w:rsid w:val="00E752FD"/>
    <w:rsid w:val="00E82115"/>
    <w:rsid w:val="00E83448"/>
    <w:rsid w:val="00E836E7"/>
    <w:rsid w:val="00E8717F"/>
    <w:rsid w:val="00E92C8A"/>
    <w:rsid w:val="00E9334B"/>
    <w:rsid w:val="00E9346D"/>
    <w:rsid w:val="00E9414A"/>
    <w:rsid w:val="00E968F6"/>
    <w:rsid w:val="00EA2A70"/>
    <w:rsid w:val="00EA2C68"/>
    <w:rsid w:val="00EA594C"/>
    <w:rsid w:val="00EB605F"/>
    <w:rsid w:val="00EB7EDA"/>
    <w:rsid w:val="00EC1046"/>
    <w:rsid w:val="00EC10EB"/>
    <w:rsid w:val="00EC5206"/>
    <w:rsid w:val="00EC5449"/>
    <w:rsid w:val="00EC5596"/>
    <w:rsid w:val="00EC56AD"/>
    <w:rsid w:val="00EC5976"/>
    <w:rsid w:val="00EC5A73"/>
    <w:rsid w:val="00ED0175"/>
    <w:rsid w:val="00ED0AC8"/>
    <w:rsid w:val="00ED1452"/>
    <w:rsid w:val="00ED249A"/>
    <w:rsid w:val="00ED4036"/>
    <w:rsid w:val="00ED6043"/>
    <w:rsid w:val="00EE167C"/>
    <w:rsid w:val="00EE176E"/>
    <w:rsid w:val="00EE2D31"/>
    <w:rsid w:val="00EE4B91"/>
    <w:rsid w:val="00EE554B"/>
    <w:rsid w:val="00EE57AC"/>
    <w:rsid w:val="00EE757F"/>
    <w:rsid w:val="00EF04E8"/>
    <w:rsid w:val="00EF2400"/>
    <w:rsid w:val="00EF2703"/>
    <w:rsid w:val="00EF56A7"/>
    <w:rsid w:val="00EF5F43"/>
    <w:rsid w:val="00EF72D4"/>
    <w:rsid w:val="00EF7461"/>
    <w:rsid w:val="00F01EDC"/>
    <w:rsid w:val="00F11A23"/>
    <w:rsid w:val="00F12ACD"/>
    <w:rsid w:val="00F16073"/>
    <w:rsid w:val="00F1611B"/>
    <w:rsid w:val="00F16589"/>
    <w:rsid w:val="00F173BE"/>
    <w:rsid w:val="00F2068C"/>
    <w:rsid w:val="00F21B9D"/>
    <w:rsid w:val="00F2290B"/>
    <w:rsid w:val="00F237ED"/>
    <w:rsid w:val="00F26F9C"/>
    <w:rsid w:val="00F3245D"/>
    <w:rsid w:val="00F35317"/>
    <w:rsid w:val="00F35C0D"/>
    <w:rsid w:val="00F4377A"/>
    <w:rsid w:val="00F46237"/>
    <w:rsid w:val="00F47765"/>
    <w:rsid w:val="00F538AE"/>
    <w:rsid w:val="00F5512D"/>
    <w:rsid w:val="00F56568"/>
    <w:rsid w:val="00F634B4"/>
    <w:rsid w:val="00F6397A"/>
    <w:rsid w:val="00F6403E"/>
    <w:rsid w:val="00F65E00"/>
    <w:rsid w:val="00F73DEB"/>
    <w:rsid w:val="00F74B41"/>
    <w:rsid w:val="00F76C87"/>
    <w:rsid w:val="00F775CF"/>
    <w:rsid w:val="00F80353"/>
    <w:rsid w:val="00F81FC3"/>
    <w:rsid w:val="00F82D80"/>
    <w:rsid w:val="00F8368C"/>
    <w:rsid w:val="00F83D17"/>
    <w:rsid w:val="00F86145"/>
    <w:rsid w:val="00F87F60"/>
    <w:rsid w:val="00F9015E"/>
    <w:rsid w:val="00F9063F"/>
    <w:rsid w:val="00F90838"/>
    <w:rsid w:val="00F90DCF"/>
    <w:rsid w:val="00F953D3"/>
    <w:rsid w:val="00F95D26"/>
    <w:rsid w:val="00F979C5"/>
    <w:rsid w:val="00FA0CBF"/>
    <w:rsid w:val="00FA0E45"/>
    <w:rsid w:val="00FA1227"/>
    <w:rsid w:val="00FA529E"/>
    <w:rsid w:val="00FA64FD"/>
    <w:rsid w:val="00FB1767"/>
    <w:rsid w:val="00FB2DD9"/>
    <w:rsid w:val="00FB4200"/>
    <w:rsid w:val="00FB5750"/>
    <w:rsid w:val="00FB6A2E"/>
    <w:rsid w:val="00FC3143"/>
    <w:rsid w:val="00FC38A6"/>
    <w:rsid w:val="00FC3CCF"/>
    <w:rsid w:val="00FC4CAD"/>
    <w:rsid w:val="00FD16D1"/>
    <w:rsid w:val="00FD4437"/>
    <w:rsid w:val="00FE3088"/>
    <w:rsid w:val="00FE3214"/>
    <w:rsid w:val="00FE4A16"/>
    <w:rsid w:val="00FE5F6F"/>
    <w:rsid w:val="00FF2C8B"/>
    <w:rsid w:val="00FF31FD"/>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244074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7"/>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8"/>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9"/>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9"/>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9"/>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9"/>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9"/>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9"/>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9"/>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9"/>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9"/>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NFP GP Bulleted List,List Paragraph1,Recommendation,List Paragraph11"/>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locked/>
    <w:rsid w:val="00300EEC"/>
    <w:rPr>
      <w:sz w:val="24"/>
      <w:szCs w:val="24"/>
    </w:rPr>
  </w:style>
  <w:style w:type="paragraph" w:styleId="Revision">
    <w:name w:val="Revision"/>
    <w:hidden/>
    <w:uiPriority w:val="99"/>
    <w:semiHidden/>
    <w:rsid w:val="00C9336D"/>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7"/>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8"/>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9"/>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9"/>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9"/>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9"/>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9"/>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9"/>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9"/>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9"/>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9"/>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NFP GP Bulleted List,List Paragraph1,Recommendation,List Paragraph11"/>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locked/>
    <w:rsid w:val="00300EEC"/>
    <w:rPr>
      <w:sz w:val="24"/>
      <w:szCs w:val="24"/>
    </w:rPr>
  </w:style>
  <w:style w:type="paragraph" w:styleId="Revision">
    <w:name w:val="Revision"/>
    <w:hidden/>
    <w:uiPriority w:val="99"/>
    <w:semiHidden/>
    <w:rsid w:val="00C9336D"/>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919">
      <w:marLeft w:val="0"/>
      <w:marRight w:val="0"/>
      <w:marTop w:val="0"/>
      <w:marBottom w:val="0"/>
      <w:divBdr>
        <w:top w:val="none" w:sz="0" w:space="0" w:color="auto"/>
        <w:left w:val="none" w:sz="0" w:space="0" w:color="auto"/>
        <w:bottom w:val="none" w:sz="0" w:space="0" w:color="auto"/>
        <w:right w:val="none" w:sz="0" w:space="0" w:color="auto"/>
      </w:divBdr>
    </w:div>
    <w:div w:id="10491920">
      <w:marLeft w:val="0"/>
      <w:marRight w:val="0"/>
      <w:marTop w:val="0"/>
      <w:marBottom w:val="0"/>
      <w:divBdr>
        <w:top w:val="none" w:sz="0" w:space="0" w:color="auto"/>
        <w:left w:val="none" w:sz="0" w:space="0" w:color="auto"/>
        <w:bottom w:val="none" w:sz="0" w:space="0" w:color="auto"/>
        <w:right w:val="none" w:sz="0" w:space="0" w:color="auto"/>
      </w:divBdr>
    </w:div>
    <w:div w:id="10491921">
      <w:marLeft w:val="0"/>
      <w:marRight w:val="0"/>
      <w:marTop w:val="0"/>
      <w:marBottom w:val="0"/>
      <w:divBdr>
        <w:top w:val="none" w:sz="0" w:space="0" w:color="auto"/>
        <w:left w:val="none" w:sz="0" w:space="0" w:color="auto"/>
        <w:bottom w:val="none" w:sz="0" w:space="0" w:color="auto"/>
        <w:right w:val="none" w:sz="0" w:space="0" w:color="auto"/>
      </w:divBdr>
    </w:div>
    <w:div w:id="10491922">
      <w:marLeft w:val="0"/>
      <w:marRight w:val="0"/>
      <w:marTop w:val="0"/>
      <w:marBottom w:val="0"/>
      <w:divBdr>
        <w:top w:val="none" w:sz="0" w:space="0" w:color="auto"/>
        <w:left w:val="none" w:sz="0" w:space="0" w:color="auto"/>
        <w:bottom w:val="none" w:sz="0" w:space="0" w:color="auto"/>
        <w:right w:val="none" w:sz="0" w:space="0" w:color="auto"/>
      </w:divBdr>
    </w:div>
    <w:div w:id="10491923">
      <w:marLeft w:val="0"/>
      <w:marRight w:val="0"/>
      <w:marTop w:val="0"/>
      <w:marBottom w:val="0"/>
      <w:divBdr>
        <w:top w:val="none" w:sz="0" w:space="0" w:color="auto"/>
        <w:left w:val="none" w:sz="0" w:space="0" w:color="auto"/>
        <w:bottom w:val="none" w:sz="0" w:space="0" w:color="auto"/>
        <w:right w:val="none" w:sz="0" w:space="0" w:color="auto"/>
      </w:divBdr>
    </w:div>
    <w:div w:id="10491924">
      <w:marLeft w:val="0"/>
      <w:marRight w:val="0"/>
      <w:marTop w:val="0"/>
      <w:marBottom w:val="0"/>
      <w:divBdr>
        <w:top w:val="none" w:sz="0" w:space="0" w:color="auto"/>
        <w:left w:val="none" w:sz="0" w:space="0" w:color="auto"/>
        <w:bottom w:val="none" w:sz="0" w:space="0" w:color="auto"/>
        <w:right w:val="none" w:sz="0" w:space="0" w:color="auto"/>
      </w:divBdr>
    </w:div>
    <w:div w:id="10491925">
      <w:marLeft w:val="0"/>
      <w:marRight w:val="0"/>
      <w:marTop w:val="0"/>
      <w:marBottom w:val="0"/>
      <w:divBdr>
        <w:top w:val="none" w:sz="0" w:space="0" w:color="auto"/>
        <w:left w:val="none" w:sz="0" w:space="0" w:color="auto"/>
        <w:bottom w:val="none" w:sz="0" w:space="0" w:color="auto"/>
        <w:right w:val="none" w:sz="0" w:space="0" w:color="auto"/>
      </w:divBdr>
    </w:div>
    <w:div w:id="10491926">
      <w:marLeft w:val="0"/>
      <w:marRight w:val="0"/>
      <w:marTop w:val="0"/>
      <w:marBottom w:val="0"/>
      <w:divBdr>
        <w:top w:val="none" w:sz="0" w:space="0" w:color="auto"/>
        <w:left w:val="none" w:sz="0" w:space="0" w:color="auto"/>
        <w:bottom w:val="none" w:sz="0" w:space="0" w:color="auto"/>
        <w:right w:val="none" w:sz="0" w:space="0" w:color="auto"/>
      </w:divBdr>
    </w:div>
    <w:div w:id="10491927">
      <w:marLeft w:val="0"/>
      <w:marRight w:val="0"/>
      <w:marTop w:val="0"/>
      <w:marBottom w:val="0"/>
      <w:divBdr>
        <w:top w:val="none" w:sz="0" w:space="0" w:color="auto"/>
        <w:left w:val="none" w:sz="0" w:space="0" w:color="auto"/>
        <w:bottom w:val="none" w:sz="0" w:space="0" w:color="auto"/>
        <w:right w:val="none" w:sz="0" w:space="0" w:color="auto"/>
      </w:divBdr>
    </w:div>
    <w:div w:id="10491928">
      <w:marLeft w:val="0"/>
      <w:marRight w:val="0"/>
      <w:marTop w:val="0"/>
      <w:marBottom w:val="0"/>
      <w:divBdr>
        <w:top w:val="none" w:sz="0" w:space="0" w:color="auto"/>
        <w:left w:val="none" w:sz="0" w:space="0" w:color="auto"/>
        <w:bottom w:val="none" w:sz="0" w:space="0" w:color="auto"/>
        <w:right w:val="none" w:sz="0" w:space="0" w:color="auto"/>
      </w:divBdr>
    </w:div>
    <w:div w:id="10491929">
      <w:marLeft w:val="0"/>
      <w:marRight w:val="0"/>
      <w:marTop w:val="0"/>
      <w:marBottom w:val="0"/>
      <w:divBdr>
        <w:top w:val="none" w:sz="0" w:space="0" w:color="auto"/>
        <w:left w:val="none" w:sz="0" w:space="0" w:color="auto"/>
        <w:bottom w:val="none" w:sz="0" w:space="0" w:color="auto"/>
        <w:right w:val="none" w:sz="0" w:space="0" w:color="auto"/>
      </w:divBdr>
    </w:div>
    <w:div w:id="10491930">
      <w:marLeft w:val="0"/>
      <w:marRight w:val="0"/>
      <w:marTop w:val="0"/>
      <w:marBottom w:val="0"/>
      <w:divBdr>
        <w:top w:val="none" w:sz="0" w:space="0" w:color="auto"/>
        <w:left w:val="none" w:sz="0" w:space="0" w:color="auto"/>
        <w:bottom w:val="none" w:sz="0" w:space="0" w:color="auto"/>
        <w:right w:val="none" w:sz="0" w:space="0" w:color="auto"/>
      </w:divBdr>
    </w:div>
    <w:div w:id="6851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adys_Berejiklian"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49" ma:contentTypeDescription=" " ma:contentTypeScope="" ma:versionID="55e1696c57e414f346c4151edc7cd57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2020FG-64-73880</_dlc_DocId>
    <TaxCatchAll xmlns="0f563589-9cf9-4143-b1eb-fb0534803d38">
      <Value>2</Value>
    </TaxCatchAll>
    <_dlc_DocIdUrl xmlns="0f563589-9cf9-4143-b1eb-fb0534803d38">
      <Url>http://tweb/sites/fg/csrd/_layouts/15/DocIdRedir.aspx?ID=2020FG-64-73880</Url>
      <Description>2020FG-64-73880</Description>
    </_dlc_DocIdUrl>
    <IconOverlay xmlns="http://schemas.microsoft.com/sharepoint/v4" xsi:nil="true"/>
  </documentManagement>
</p:properties>
</file>

<file path=customXml/itemProps1.xml><?xml version="1.0" encoding="utf-8"?>
<ds:datastoreItem xmlns:ds="http://schemas.openxmlformats.org/officeDocument/2006/customXml" ds:itemID="{DE49E398-E608-4493-9619-B107358C3C21}"/>
</file>

<file path=customXml/itemProps2.xml><?xml version="1.0" encoding="utf-8"?>
<ds:datastoreItem xmlns:ds="http://schemas.openxmlformats.org/officeDocument/2006/customXml" ds:itemID="{9925F0DF-88B6-4EAA-826B-0E735198EE3F}"/>
</file>

<file path=customXml/itemProps3.xml><?xml version="1.0" encoding="utf-8"?>
<ds:datastoreItem xmlns:ds="http://schemas.openxmlformats.org/officeDocument/2006/customXml" ds:itemID="{46E8B41E-F70C-4AC0-AE15-2F6C3576D907}"/>
</file>

<file path=customXml/itemProps4.xml><?xml version="1.0" encoding="utf-8"?>
<ds:datastoreItem xmlns:ds="http://schemas.openxmlformats.org/officeDocument/2006/customXml" ds:itemID="{A8E1FD62-3E5D-4E7C-8AD4-1035D57E5531}"/>
</file>

<file path=customXml/itemProps5.xml><?xml version="1.0" encoding="utf-8"?>
<ds:datastoreItem xmlns:ds="http://schemas.openxmlformats.org/officeDocument/2006/customXml" ds:itemID="{064AA096-05E0-47C5-89F3-AB0134060D71}"/>
</file>

<file path=customXml/itemProps6.xml><?xml version="1.0" encoding="utf-8"?>
<ds:datastoreItem xmlns:ds="http://schemas.openxmlformats.org/officeDocument/2006/customXml" ds:itemID="{797A7B0A-5602-4AA0-8D97-D17F6F7DA2D6}"/>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for the National Water Infrastructure Development Fund - Capital Component</dc:title>
  <dc:subject/>
  <dc:creator/>
  <cp:keywords/>
  <cp:lastModifiedBy/>
  <cp:revision>1</cp:revision>
  <dcterms:created xsi:type="dcterms:W3CDTF">2017-06-13T04:20:00Z</dcterms:created>
  <dcterms:modified xsi:type="dcterms:W3CDTF">2017-06-13T04:20:00Z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3c036a8d-ada8-4222-ac23-6f1088225e31</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{3c036a8d-ada8-4222-ac23-6f1088225e31}</vt:lpwstr>
  </property>
  <property fmtid="{D5CDD505-2E9C-101B-9397-08002B2CF9AE}" pid="9" name="RecordPoint_ActiveItemWebId">
    <vt:lpwstr>{a4589788-615f-4b8b-8296-7f9f6dfbab44}</vt:lpwstr>
  </property>
  <property fmtid="{D5CDD505-2E9C-101B-9397-08002B2CF9AE}" pid="10" name="RecordPoint_RecordNumberSubmitted">
    <vt:lpwstr>R0002260062</vt:lpwstr>
  </property>
  <property fmtid="{D5CDD505-2E9C-101B-9397-08002B2CF9AE}" pid="11" name="RecordPoint_SubmissionCompleted">
    <vt:lpwstr>2020-05-04T08:38:24.7058584+10:00</vt:lpwstr>
  </property>
</Properties>
</file>