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21B5C12A" w14:textId="77777777">
        <w:tc>
          <w:tcPr>
            <w:tcW w:w="5000" w:type="pct"/>
            <w:gridSpan w:val="2"/>
          </w:tcPr>
          <w:p w14:paraId="24DBDCE3" w14:textId="66C841D8" w:rsidR="00814667" w:rsidRDefault="00BA4284" w:rsidP="004A0EBD">
            <w:pPr>
              <w:pStyle w:val="CoverTitleMain"/>
            </w:pPr>
            <w:r>
              <w:t>Project AGreement</w:t>
            </w:r>
            <w:r w:rsidR="00292587">
              <w:t xml:space="preserve"> FOR </w:t>
            </w:r>
            <w:r w:rsidR="002B7ED6">
              <w:t xml:space="preserve">prepared communities </w:t>
            </w:r>
          </w:p>
        </w:tc>
      </w:tr>
      <w:tr w:rsidR="00814667" w14:paraId="58B2E663" w14:textId="77777777">
        <w:tc>
          <w:tcPr>
            <w:tcW w:w="767" w:type="pct"/>
          </w:tcPr>
          <w:p w14:paraId="54C033C9" w14:textId="77777777" w:rsidR="00814667" w:rsidRDefault="00814667">
            <w:pPr>
              <w:pStyle w:val="SingleParagraph"/>
              <w:tabs>
                <w:tab w:val="num" w:pos="1134"/>
              </w:tabs>
              <w:spacing w:after="240"/>
              <w:ind w:left="1134" w:hanging="567"/>
            </w:pPr>
          </w:p>
        </w:tc>
        <w:tc>
          <w:tcPr>
            <w:tcW w:w="4233" w:type="pct"/>
          </w:tcPr>
          <w:p w14:paraId="6C8F8374" w14:textId="77777777" w:rsidR="00814667" w:rsidRDefault="00814667">
            <w:pPr>
              <w:pStyle w:val="SingleParagraph"/>
              <w:tabs>
                <w:tab w:val="num" w:pos="1134"/>
              </w:tabs>
              <w:spacing w:after="240"/>
              <w:ind w:left="1134" w:hanging="567"/>
            </w:pPr>
          </w:p>
        </w:tc>
      </w:tr>
      <w:tr w:rsidR="00814667" w14:paraId="22226ACD" w14:textId="77777777">
        <w:tc>
          <w:tcPr>
            <w:tcW w:w="767" w:type="pct"/>
          </w:tcPr>
          <w:p w14:paraId="623D3782" w14:textId="77777777" w:rsidR="00814667" w:rsidRDefault="00814667">
            <w:pPr>
              <w:pStyle w:val="SingleParagraph"/>
              <w:tabs>
                <w:tab w:val="num" w:pos="1134"/>
              </w:tabs>
              <w:spacing w:after="240"/>
              <w:ind w:left="1134" w:hanging="567"/>
            </w:pPr>
          </w:p>
        </w:tc>
        <w:tc>
          <w:tcPr>
            <w:tcW w:w="4233" w:type="pct"/>
          </w:tcPr>
          <w:p w14:paraId="6187645F" w14:textId="77777777" w:rsidR="00814667" w:rsidRPr="001E74D0" w:rsidRDefault="00814667">
            <w:pPr>
              <w:pStyle w:val="SingleParagraph"/>
              <w:tabs>
                <w:tab w:val="num" w:pos="1134"/>
              </w:tabs>
              <w:spacing w:after="240"/>
              <w:ind w:left="1134" w:hanging="567"/>
            </w:pPr>
          </w:p>
        </w:tc>
      </w:tr>
      <w:tr w:rsidR="00814667" w14:paraId="3C2AFAE2" w14:textId="77777777">
        <w:tc>
          <w:tcPr>
            <w:tcW w:w="5000" w:type="pct"/>
            <w:gridSpan w:val="2"/>
          </w:tcPr>
          <w:p w14:paraId="1D680F98" w14:textId="77777777" w:rsidR="00814667" w:rsidRDefault="00814667">
            <w:pPr>
              <w:pStyle w:val="AgreementHeading"/>
              <w:tabs>
                <w:tab w:val="clear" w:pos="1134"/>
              </w:tabs>
            </w:pPr>
            <w:r>
              <w:t>An agreement between</w:t>
            </w:r>
            <w:r w:rsidR="00697494">
              <w:t>:</w:t>
            </w:r>
          </w:p>
        </w:tc>
      </w:tr>
      <w:tr w:rsidR="00814667" w14:paraId="52D70BF6" w14:textId="77777777">
        <w:tc>
          <w:tcPr>
            <w:tcW w:w="767" w:type="pct"/>
          </w:tcPr>
          <w:p w14:paraId="57E78093" w14:textId="77777777" w:rsidR="00814667" w:rsidRPr="001E74D0" w:rsidRDefault="00814667">
            <w:pPr>
              <w:pStyle w:val="AgreementHeading"/>
              <w:tabs>
                <w:tab w:val="clear" w:pos="1134"/>
              </w:tabs>
              <w:ind w:left="522"/>
            </w:pPr>
          </w:p>
        </w:tc>
        <w:tc>
          <w:tcPr>
            <w:tcW w:w="4233" w:type="pct"/>
          </w:tcPr>
          <w:p w14:paraId="673C6463"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12E413C4" w14:textId="77777777" w:rsidR="00814667" w:rsidRPr="001E74D0" w:rsidRDefault="00814667" w:rsidP="00697494">
            <w:pPr>
              <w:pStyle w:val="AgreementParties"/>
            </w:pPr>
            <w:r>
              <w:t xml:space="preserve">the </w:t>
            </w:r>
            <w:r>
              <w:rPr>
                <w:rStyle w:val="Bold"/>
              </w:rPr>
              <w:t>States and Territorie</w:t>
            </w:r>
            <w:r w:rsidR="00697494">
              <w:rPr>
                <w:rStyle w:val="Bold"/>
              </w:rPr>
              <w:t xml:space="preserve">s </w:t>
            </w:r>
            <w:r w:rsidR="00697494" w:rsidRPr="00DE36EB">
              <w:rPr>
                <w:rStyle w:val="Bold"/>
              </w:rPr>
              <w:t>of</w:t>
            </w:r>
          </w:p>
        </w:tc>
      </w:tr>
      <w:tr w:rsidR="00814667" w14:paraId="331F77FA" w14:textId="77777777">
        <w:tc>
          <w:tcPr>
            <w:tcW w:w="767" w:type="pct"/>
          </w:tcPr>
          <w:p w14:paraId="1EF2BA54" w14:textId="77777777" w:rsidR="00814667" w:rsidRDefault="00814667">
            <w:pPr>
              <w:pStyle w:val="SingleParagraph"/>
              <w:tabs>
                <w:tab w:val="num" w:pos="1134"/>
              </w:tabs>
              <w:spacing w:after="240"/>
              <w:ind w:left="1134" w:hanging="567"/>
            </w:pPr>
          </w:p>
        </w:tc>
        <w:tc>
          <w:tcPr>
            <w:tcW w:w="4233" w:type="pct"/>
            <w:tcBorders>
              <w:left w:val="nil"/>
            </w:tcBorders>
          </w:tcPr>
          <w:p w14:paraId="60E2F9D0" w14:textId="77777777" w:rsidR="00814667" w:rsidRDefault="00814667" w:rsidP="00905AF4">
            <w:pPr>
              <w:pStyle w:val="StatesList"/>
              <w:numPr>
                <w:ilvl w:val="0"/>
                <w:numId w:val="7"/>
              </w:numPr>
            </w:pPr>
            <w:r>
              <w:t>New South Wales</w:t>
            </w:r>
            <w:r w:rsidR="00697494">
              <w:t>,</w:t>
            </w:r>
          </w:p>
          <w:p w14:paraId="7E967D78" w14:textId="77777777" w:rsidR="00814667" w:rsidRDefault="00814667" w:rsidP="00905AF4">
            <w:pPr>
              <w:pStyle w:val="StatesList"/>
              <w:numPr>
                <w:ilvl w:val="0"/>
                <w:numId w:val="7"/>
              </w:numPr>
            </w:pPr>
            <w:r>
              <w:t>Victoria</w:t>
            </w:r>
            <w:r w:rsidR="00697494">
              <w:t>,</w:t>
            </w:r>
          </w:p>
          <w:p w14:paraId="6E586DC9" w14:textId="77777777" w:rsidR="00814667" w:rsidRDefault="00814667" w:rsidP="00905AF4">
            <w:pPr>
              <w:pStyle w:val="StatesList"/>
              <w:numPr>
                <w:ilvl w:val="0"/>
                <w:numId w:val="7"/>
              </w:numPr>
            </w:pPr>
            <w:r>
              <w:t>Queensland</w:t>
            </w:r>
            <w:r w:rsidR="00697494">
              <w:t>,</w:t>
            </w:r>
          </w:p>
          <w:p w14:paraId="5178A856" w14:textId="77777777" w:rsidR="00814667" w:rsidRDefault="00814667" w:rsidP="00905AF4">
            <w:pPr>
              <w:pStyle w:val="StatesList"/>
              <w:numPr>
                <w:ilvl w:val="0"/>
                <w:numId w:val="7"/>
              </w:numPr>
            </w:pPr>
            <w:r>
              <w:t>Western Australia</w:t>
            </w:r>
            <w:r w:rsidR="00697494">
              <w:t>,</w:t>
            </w:r>
          </w:p>
          <w:p w14:paraId="1CDECFE0" w14:textId="77777777" w:rsidR="00814667" w:rsidRDefault="00814667" w:rsidP="00905AF4">
            <w:pPr>
              <w:pStyle w:val="StatesList"/>
              <w:numPr>
                <w:ilvl w:val="0"/>
                <w:numId w:val="7"/>
              </w:numPr>
            </w:pPr>
            <w:r>
              <w:t>South Australia</w:t>
            </w:r>
            <w:r w:rsidR="00697494">
              <w:t>,</w:t>
            </w:r>
          </w:p>
          <w:p w14:paraId="2AD975AE" w14:textId="3C3D69F3" w:rsidR="00814667" w:rsidRDefault="00814667" w:rsidP="00905AF4">
            <w:pPr>
              <w:pStyle w:val="StatesList"/>
              <w:numPr>
                <w:ilvl w:val="0"/>
                <w:numId w:val="7"/>
              </w:numPr>
            </w:pPr>
            <w:r>
              <w:t>Tasmania</w:t>
            </w:r>
            <w:r w:rsidR="00697494">
              <w:t>,</w:t>
            </w:r>
          </w:p>
          <w:p w14:paraId="73845B9D" w14:textId="77777777" w:rsidR="00814667" w:rsidRDefault="004B6083" w:rsidP="00905AF4">
            <w:pPr>
              <w:pStyle w:val="StatesList"/>
              <w:numPr>
                <w:ilvl w:val="0"/>
                <w:numId w:val="7"/>
              </w:numPr>
            </w:pPr>
            <w:r>
              <w:t xml:space="preserve">the </w:t>
            </w:r>
            <w:r w:rsidR="00814667">
              <w:t>Australian Capital Territory</w:t>
            </w:r>
            <w:r w:rsidR="00697494">
              <w:t xml:space="preserve">, </w:t>
            </w:r>
            <w:r w:rsidR="00726DB5">
              <w:t>and</w:t>
            </w:r>
          </w:p>
          <w:p w14:paraId="37BB9A36" w14:textId="77777777" w:rsidR="00814667" w:rsidRDefault="004B6083" w:rsidP="00905AF4">
            <w:pPr>
              <w:pStyle w:val="StatesList"/>
              <w:numPr>
                <w:ilvl w:val="0"/>
                <w:numId w:val="7"/>
              </w:numPr>
            </w:pPr>
            <w:r>
              <w:t>t</w:t>
            </w:r>
            <w:r w:rsidR="00814667">
              <w:t>he Northern Territory</w:t>
            </w:r>
            <w:r w:rsidR="00726DB5">
              <w:t>.</w:t>
            </w:r>
            <w:r w:rsidR="00814667">
              <w:t xml:space="preserve"> </w:t>
            </w:r>
          </w:p>
          <w:p w14:paraId="3317CCFB" w14:textId="417DFCBB" w:rsidR="00EB7EDA" w:rsidRPr="002B7ED6" w:rsidRDefault="00EB7EDA" w:rsidP="00F630EF"/>
        </w:tc>
      </w:tr>
      <w:tr w:rsidR="00814667" w14:paraId="1759180F" w14:textId="77777777">
        <w:tc>
          <w:tcPr>
            <w:tcW w:w="5000" w:type="pct"/>
            <w:gridSpan w:val="2"/>
          </w:tcPr>
          <w:p w14:paraId="054735C9" w14:textId="77777777" w:rsidR="00814667" w:rsidRDefault="00814667">
            <w:pPr>
              <w:pStyle w:val="SingleParagraph"/>
              <w:tabs>
                <w:tab w:val="num" w:pos="1134"/>
              </w:tabs>
              <w:spacing w:after="240"/>
              <w:ind w:left="1134" w:hanging="567"/>
            </w:pPr>
          </w:p>
          <w:p w14:paraId="2AF4C0A0" w14:textId="77777777" w:rsidR="002B7ED6" w:rsidRDefault="002B7ED6">
            <w:pPr>
              <w:pStyle w:val="SingleParagraph"/>
              <w:tabs>
                <w:tab w:val="num" w:pos="1134"/>
              </w:tabs>
              <w:spacing w:after="240"/>
              <w:ind w:left="1134" w:hanging="567"/>
            </w:pPr>
          </w:p>
          <w:p w14:paraId="1419FAA3" w14:textId="77777777" w:rsidR="002B7ED6" w:rsidRDefault="002B7ED6">
            <w:pPr>
              <w:pStyle w:val="SingleParagraph"/>
              <w:tabs>
                <w:tab w:val="num" w:pos="1134"/>
              </w:tabs>
              <w:spacing w:after="240"/>
              <w:ind w:left="1134" w:hanging="567"/>
            </w:pPr>
          </w:p>
          <w:p w14:paraId="594A6D89" w14:textId="4AA73D8D" w:rsidR="002B7ED6" w:rsidRDefault="002B7ED6" w:rsidP="002B7ED6">
            <w:pPr>
              <w:pStyle w:val="SingleParagraph"/>
              <w:tabs>
                <w:tab w:val="num" w:pos="1134"/>
              </w:tabs>
              <w:spacing w:after="240"/>
            </w:pPr>
          </w:p>
        </w:tc>
      </w:tr>
      <w:tr w:rsidR="00814667" w14:paraId="2C330C64" w14:textId="77777777">
        <w:tc>
          <w:tcPr>
            <w:tcW w:w="5000" w:type="pct"/>
            <w:gridSpan w:val="2"/>
          </w:tcPr>
          <w:p w14:paraId="4FFCB185" w14:textId="3B7F48DA" w:rsidR="00356151" w:rsidRDefault="00771FFF" w:rsidP="00E64536">
            <w:pPr>
              <w:pStyle w:val="Abstract"/>
            </w:pPr>
            <w:r>
              <w:t xml:space="preserve">The output of </w:t>
            </w:r>
            <w:r w:rsidR="004A0EBD">
              <w:t>this project</w:t>
            </w:r>
            <w:r>
              <w:t xml:space="preserve"> will </w:t>
            </w:r>
            <w:bookmarkStart w:id="0" w:name="OLE_LINK3"/>
            <w:bookmarkStart w:id="1" w:name="OLE_LINK4"/>
            <w:r w:rsidR="001303A3">
              <w:t xml:space="preserve">be </w:t>
            </w:r>
            <w:r w:rsidR="00FF73FE">
              <w:t>the</w:t>
            </w:r>
            <w:r w:rsidR="00EE0708">
              <w:t xml:space="preserve"> delivery of</w:t>
            </w:r>
            <w:r w:rsidR="002B7ED6">
              <w:t xml:space="preserve"> high priority </w:t>
            </w:r>
            <w:r w:rsidR="00AA7CAD">
              <w:t xml:space="preserve">state and territory </w:t>
            </w:r>
            <w:r w:rsidR="002B7ED6">
              <w:t>initiatives to improve community preparedness</w:t>
            </w:r>
            <w:r w:rsidR="008241F9">
              <w:t xml:space="preserve"> for,</w:t>
            </w:r>
            <w:r w:rsidR="002B7ED6">
              <w:t xml:space="preserve"> and resilience to</w:t>
            </w:r>
            <w:r w:rsidR="008241F9">
              <w:t>,</w:t>
            </w:r>
            <w:r w:rsidR="002B7ED6">
              <w:t xml:space="preserve"> </w:t>
            </w:r>
            <w:r w:rsidR="00AA7CAD">
              <w:t>disasters</w:t>
            </w:r>
            <w:r w:rsidR="002B7ED6">
              <w:t>.</w:t>
            </w:r>
            <w:bookmarkEnd w:id="0"/>
            <w:bookmarkEnd w:id="1"/>
          </w:p>
          <w:p w14:paraId="6CFA615D" w14:textId="0BA95B41" w:rsidR="00814667" w:rsidRPr="00356151" w:rsidRDefault="00356151" w:rsidP="00903ECC">
            <w:pPr>
              <w:tabs>
                <w:tab w:val="left" w:pos="8130"/>
              </w:tabs>
            </w:pPr>
            <w:r>
              <w:tab/>
            </w:r>
          </w:p>
        </w:tc>
      </w:tr>
    </w:tbl>
    <w:p w14:paraId="3D6F2056" w14:textId="781DAF0C"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2B7ED6">
        <w:t xml:space="preserve">Prepared Communities </w:t>
      </w:r>
    </w:p>
    <w:p w14:paraId="0F96E800" w14:textId="77777777" w:rsidR="002B7ED6" w:rsidRPr="002B7ED6" w:rsidRDefault="002B7ED6" w:rsidP="002B7ED6">
      <w:pPr>
        <w:jc w:val="left"/>
        <w:rPr>
          <w:i/>
        </w:rPr>
      </w:pPr>
    </w:p>
    <w:p w14:paraId="35093E42" w14:textId="6786EE17" w:rsidR="004B2EF6" w:rsidRPr="004B2EF6" w:rsidRDefault="00FA794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3EA636DA" w14:textId="77777777" w:rsidR="00C960AA" w:rsidRPr="0096732C" w:rsidRDefault="00C960AA" w:rsidP="00905AF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099330FA"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08DCFAB0" w14:textId="3989A1BC" w:rsidR="004A0EBD" w:rsidRDefault="00852ED8" w:rsidP="004F5B27">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t>
      </w:r>
      <w:r w:rsidRPr="00FF73FE">
        <w:t xml:space="preserve">will </w:t>
      </w:r>
      <w:r w:rsidR="006146F2" w:rsidRPr="00FF73FE">
        <w:t xml:space="preserve">support the delivery of </w:t>
      </w:r>
      <w:r w:rsidR="00244BFD" w:rsidRPr="00FF73FE">
        <w:t>high</w:t>
      </w:r>
      <w:r w:rsidR="00244BFD">
        <w:t xml:space="preserve"> priority</w:t>
      </w:r>
      <w:r w:rsidR="00AA7CAD">
        <w:t xml:space="preserve"> state and territory</w:t>
      </w:r>
      <w:r w:rsidR="00244BFD">
        <w:t xml:space="preserve"> initiatives</w:t>
      </w:r>
      <w:r w:rsidR="00334861">
        <w:t xml:space="preserve"> </w:t>
      </w:r>
      <w:r w:rsidR="00244BFD">
        <w:t>to improve community preparedness</w:t>
      </w:r>
      <w:r w:rsidR="00B12CE7">
        <w:t xml:space="preserve"> for,</w:t>
      </w:r>
      <w:r w:rsidR="00244BFD">
        <w:t xml:space="preserve"> and resilience to</w:t>
      </w:r>
      <w:r w:rsidR="00B12CE7">
        <w:t>,</w:t>
      </w:r>
      <w:r w:rsidR="00244BFD">
        <w:t xml:space="preserve"> disasters.</w:t>
      </w:r>
      <w:r w:rsidR="004A0EBD">
        <w:t xml:space="preserve"> The project </w:t>
      </w:r>
      <w:r w:rsidR="004F5B27">
        <w:t>forms part of the</w:t>
      </w:r>
      <w:r w:rsidR="004A0EBD">
        <w:t xml:space="preserve"> </w:t>
      </w:r>
      <w:r w:rsidR="004F5B27">
        <w:t xml:space="preserve">broader </w:t>
      </w:r>
      <w:r w:rsidR="004A0EBD">
        <w:t>Preparing Australia Package</w:t>
      </w:r>
      <w:r w:rsidR="00F86C91">
        <w:t xml:space="preserve"> of initiatives</w:t>
      </w:r>
      <w:r w:rsidR="004A0EBD">
        <w:t xml:space="preserve">, which targets investment in </w:t>
      </w:r>
      <w:r w:rsidR="007840DE">
        <w:t>key national emergency management and resilience activities that address urgent or critical priorities, or which are of strategic national importance</w:t>
      </w:r>
      <w:r w:rsidR="004A0EBD">
        <w:t xml:space="preserve">. </w:t>
      </w:r>
    </w:p>
    <w:p w14:paraId="6B18A39A" w14:textId="77777777" w:rsidR="0096732C" w:rsidRDefault="0096732C" w:rsidP="00903ECC">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Reporting Arrangements</w:t>
      </w:r>
      <w:r>
        <w:t xml:space="preserve"> </w:t>
      </w:r>
    </w:p>
    <w:p w14:paraId="2B493891" w14:textId="4A3D2931" w:rsidR="0096732C" w:rsidRDefault="0096732C" w:rsidP="00905AF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States will report against the agreed milestones during the operation of this Agreement, as set out in Part 4 – Project Milestones, Reporting and Payments. </w:t>
      </w:r>
    </w:p>
    <w:p w14:paraId="330BE2A0" w14:textId="77777777" w:rsidR="0096732C" w:rsidRPr="0096732C" w:rsidRDefault="0096732C" w:rsidP="00903ECC">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 xml:space="preserve">Financial Arrangements </w:t>
      </w:r>
    </w:p>
    <w:p w14:paraId="6A01E6B2" w14:textId="1DC12D17" w:rsidR="0096732C" w:rsidRPr="0096732C" w:rsidRDefault="0096732C" w:rsidP="00EC2BB9">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spacing w:after="0"/>
        <w:jc w:val="left"/>
      </w:pPr>
      <w:r w:rsidRPr="007179FE">
        <w:t xml:space="preserve">The Commonwealth will provide </w:t>
      </w:r>
      <w:r>
        <w:t>a</w:t>
      </w:r>
      <w:r w:rsidR="00F234AB">
        <w:t>n estimated</w:t>
      </w:r>
      <w:r>
        <w:t xml:space="preserve"> total </w:t>
      </w:r>
      <w:r w:rsidRPr="007179FE">
        <w:t xml:space="preserve">financial contribution to the States </w:t>
      </w:r>
      <w:r>
        <w:t>of $</w:t>
      </w:r>
      <w:r w:rsidR="00244BFD">
        <w:t>5 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65FC1AF2" w14:textId="2CE9FB46" w:rsidR="0096732C" w:rsidRPr="004B1F38"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p>
    <w:p w14:paraId="13A29F6B" w14:textId="77777777" w:rsidR="00814667" w:rsidRDefault="00814667">
      <w:pPr>
        <w:pStyle w:val="Heading1"/>
      </w:pPr>
      <w:r>
        <w:t>Part 1 — Formalities</w:t>
      </w:r>
    </w:p>
    <w:p w14:paraId="52145B8F" w14:textId="77777777" w:rsidR="00804105" w:rsidRDefault="00804105" w:rsidP="00905AF4">
      <w:pPr>
        <w:pStyle w:val="Normalnumbered"/>
        <w:numPr>
          <w:ilvl w:val="0"/>
          <w:numId w:val="10"/>
        </w:numPr>
      </w:pPr>
      <w:r>
        <w:t>This Agreement constitutes the entire agreement for this project.</w:t>
      </w:r>
    </w:p>
    <w:p w14:paraId="72094CBF" w14:textId="77777777" w:rsidR="00814667" w:rsidRDefault="00814667">
      <w:pPr>
        <w:pStyle w:val="Heading2"/>
      </w:pPr>
      <w:r>
        <w:t>Parties to this Agreement</w:t>
      </w:r>
    </w:p>
    <w:p w14:paraId="69D22662" w14:textId="6779A298" w:rsidR="007B4B03" w:rsidRPr="007B4B03" w:rsidRDefault="00E7195E" w:rsidP="00905AF4">
      <w:pPr>
        <w:pStyle w:val="Normalnumbered"/>
        <w:numPr>
          <w:ilvl w:val="0"/>
          <w:numId w:val="10"/>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593821">
        <w:t xml:space="preserve">he States and Territories (the </w:t>
      </w:r>
      <w:r w:rsidRPr="003012DA">
        <w:t>States)</w:t>
      </w:r>
      <w:r w:rsidR="00244BFD">
        <w:t>.</w:t>
      </w:r>
    </w:p>
    <w:p w14:paraId="3E176621" w14:textId="77777777" w:rsidR="00814667" w:rsidRDefault="00814667">
      <w:pPr>
        <w:pStyle w:val="Heading2"/>
      </w:pPr>
      <w:r>
        <w:t>Term of the Agreement</w:t>
      </w:r>
    </w:p>
    <w:p w14:paraId="22B5C260" w14:textId="59FBDF29" w:rsidR="00814667" w:rsidRPr="00DE36EB" w:rsidRDefault="00814667" w:rsidP="00905AF4">
      <w:pPr>
        <w:pStyle w:val="Normalnumbered"/>
        <w:numPr>
          <w:ilvl w:val="0"/>
          <w:numId w:val="10"/>
        </w:numPr>
      </w:pPr>
      <w:r w:rsidRPr="00DE36EB">
        <w:t>This Agreement will commence as soon as the Commonwealth and on</w:t>
      </w:r>
      <w:r w:rsidR="00C7093C" w:rsidRPr="00DE36EB">
        <w:t>e</w:t>
      </w:r>
      <w:r w:rsidRPr="00DE36EB">
        <w:t xml:space="preserve"> other Party</w:t>
      </w:r>
      <w:r w:rsidR="00726DB5" w:rsidRPr="00DE36EB">
        <w:t xml:space="preserve"> sign </w:t>
      </w:r>
      <w:r w:rsidR="0096732C">
        <w:t xml:space="preserve">it </w:t>
      </w:r>
      <w:r w:rsidRPr="00DE36EB">
        <w:t xml:space="preserve">and will </w:t>
      </w:r>
      <w:r w:rsidRPr="00EF54A4">
        <w:t>expire on</w:t>
      </w:r>
      <w:r w:rsidR="00244BFD" w:rsidRPr="00EF54A4">
        <w:t xml:space="preserve"> </w:t>
      </w:r>
      <w:r w:rsidR="001303A3" w:rsidRPr="00EF54A4">
        <w:t>3</w:t>
      </w:r>
      <w:r w:rsidR="00EF54A4" w:rsidRPr="00EF54A4">
        <w:t>0 June 2020</w:t>
      </w:r>
      <w:r w:rsidR="00284884" w:rsidRPr="00EF54A4">
        <w:t xml:space="preserve"> or</w:t>
      </w:r>
      <w:r w:rsidR="00284884" w:rsidRPr="00DE36EB">
        <w:t xml:space="preserve"> on</w:t>
      </w:r>
      <w:r w:rsidR="00FA2EC0" w:rsidRPr="00DE36EB">
        <w:t xml:space="preserve"> complet</w:t>
      </w:r>
      <w:r w:rsidR="00284884" w:rsidRPr="00DE36EB">
        <w:t>ion of</w:t>
      </w:r>
      <w:r w:rsidR="00903ECC">
        <w:t xml:space="preserve"> the </w:t>
      </w:r>
      <w:r w:rsidR="004F5B27">
        <w:t>project</w:t>
      </w:r>
      <w:r w:rsidR="00284884" w:rsidRPr="00DE36EB">
        <w: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31EEB42B" w14:textId="738CE121" w:rsidR="002E4B66" w:rsidRDefault="002E4B66" w:rsidP="002E4B66">
      <w:pPr>
        <w:pStyle w:val="Normalnumbered"/>
        <w:numPr>
          <w:ilvl w:val="0"/>
          <w:numId w:val="0"/>
        </w:numPr>
        <w:jc w:val="left"/>
      </w:pPr>
    </w:p>
    <w:p w14:paraId="2D82A08D" w14:textId="04FF5043" w:rsidR="00784439" w:rsidRPr="009E093C" w:rsidRDefault="00784439" w:rsidP="00903ECC">
      <w:pPr>
        <w:pStyle w:val="Heading1"/>
        <w:rPr>
          <w:sz w:val="23"/>
          <w:szCs w:val="23"/>
        </w:rPr>
      </w:pPr>
      <w:r w:rsidRPr="00784439">
        <w:lastRenderedPageBreak/>
        <w:t>P</w:t>
      </w:r>
      <w:r w:rsidR="00814667" w:rsidRPr="00784439">
        <w:t xml:space="preserve">art 2 — </w:t>
      </w:r>
      <w:r w:rsidR="00FF5029" w:rsidRPr="00784439">
        <w:t>Project</w:t>
      </w:r>
      <w:r w:rsidR="00814667" w:rsidRPr="00784439">
        <w:t xml:space="preserve"> output</w:t>
      </w:r>
      <w:r w:rsidR="00223B9A">
        <w:t>s</w:t>
      </w:r>
    </w:p>
    <w:p w14:paraId="07560D47" w14:textId="3C6A6956" w:rsidR="00814667" w:rsidRDefault="00814667">
      <w:pPr>
        <w:pStyle w:val="Heading2"/>
      </w:pPr>
      <w:r>
        <w:t>Output</w:t>
      </w:r>
      <w:r w:rsidR="006428EC">
        <w:t>s</w:t>
      </w:r>
    </w:p>
    <w:p w14:paraId="67F8CF93" w14:textId="21A31CBE" w:rsidR="0085738D" w:rsidRDefault="00814667" w:rsidP="00905AF4">
      <w:pPr>
        <w:pStyle w:val="Normalnumbered"/>
        <w:numPr>
          <w:ilvl w:val="0"/>
          <w:numId w:val="10"/>
        </w:numPr>
        <w:jc w:val="left"/>
      </w:pPr>
      <w:r w:rsidRPr="0085738D">
        <w:t>The o</w:t>
      </w:r>
      <w:r w:rsidR="00244BFD">
        <w:t>utput</w:t>
      </w:r>
      <w:r w:rsidR="006F79D3">
        <w:t xml:space="preserve"> of this Agreement will be:</w:t>
      </w:r>
    </w:p>
    <w:p w14:paraId="70F4536F" w14:textId="3FF72069" w:rsidR="00681956" w:rsidRDefault="00903ECC" w:rsidP="00905AF4">
      <w:pPr>
        <w:pStyle w:val="AlphaParagraph"/>
        <w:numPr>
          <w:ilvl w:val="0"/>
          <w:numId w:val="15"/>
        </w:numPr>
        <w:tabs>
          <w:tab w:val="clear" w:pos="567"/>
          <w:tab w:val="clear" w:pos="1418"/>
          <w:tab w:val="clear" w:pos="1701"/>
        </w:tabs>
        <w:ind w:left="1134" w:hanging="567"/>
      </w:pPr>
      <w:r>
        <w:t xml:space="preserve">delivery of </w:t>
      </w:r>
      <w:r w:rsidR="00244BFD">
        <w:t>high priority</w:t>
      </w:r>
      <w:r w:rsidR="00AA7CAD">
        <w:t xml:space="preserve"> state and territory</w:t>
      </w:r>
      <w:r w:rsidR="00244BFD">
        <w:t xml:space="preserve"> initiatives to improve community preparedness </w:t>
      </w:r>
      <w:r w:rsidR="00F86C91">
        <w:t xml:space="preserve">for, </w:t>
      </w:r>
      <w:r w:rsidR="00244BFD">
        <w:t>and resilience to</w:t>
      </w:r>
      <w:r w:rsidR="00F86C91">
        <w:t>,</w:t>
      </w:r>
      <w:r w:rsidR="00244BFD">
        <w:t xml:space="preserve"> disasters.</w:t>
      </w:r>
    </w:p>
    <w:p w14:paraId="6831B61E" w14:textId="47AD7450" w:rsidR="008F44F1" w:rsidRDefault="008F44F1">
      <w:pPr>
        <w:pStyle w:val="Heading1"/>
      </w:pPr>
      <w:r>
        <w:t xml:space="preserve">Part 3 — </w:t>
      </w:r>
      <w:r w:rsidR="00024AD3">
        <w:t>Roles and responsibilities of each party</w:t>
      </w:r>
    </w:p>
    <w:p w14:paraId="56249336" w14:textId="77777777" w:rsidR="008F44F1" w:rsidRDefault="008F44F1" w:rsidP="008F44F1">
      <w:pPr>
        <w:pStyle w:val="Heading2"/>
      </w:pPr>
      <w:r w:rsidRPr="00814590">
        <w:t>Role of the Commonwealth</w:t>
      </w:r>
    </w:p>
    <w:p w14:paraId="54305130" w14:textId="77777777" w:rsidR="008F44F1" w:rsidRDefault="008F44F1" w:rsidP="00905AF4">
      <w:pPr>
        <w:pStyle w:val="Normalnumbered"/>
        <w:numPr>
          <w:ilvl w:val="0"/>
          <w:numId w:val="10"/>
        </w:numPr>
        <w:jc w:val="left"/>
      </w:pPr>
      <w:r>
        <w:t>The Commonwealth will be responsible for:</w:t>
      </w:r>
    </w:p>
    <w:p w14:paraId="5CA77EB8" w14:textId="3174D05A" w:rsidR="008F44F1" w:rsidRPr="000614F9" w:rsidRDefault="008F44F1" w:rsidP="00905AF4">
      <w:pPr>
        <w:pStyle w:val="AlphaParagraph"/>
        <w:numPr>
          <w:ilvl w:val="0"/>
          <w:numId w:val="20"/>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this Agreement to ensure that outputs are delivered within the agreed timeframe; </w:t>
      </w:r>
      <w:r w:rsidR="00EF54A4">
        <w:t>and</w:t>
      </w:r>
    </w:p>
    <w:p w14:paraId="20B54258" w14:textId="032CB86F" w:rsidR="008F44F1" w:rsidRPr="000614F9" w:rsidRDefault="008F44F1" w:rsidP="00905AF4">
      <w:pPr>
        <w:pStyle w:val="AlphaParagraph"/>
        <w:numPr>
          <w:ilvl w:val="0"/>
          <w:numId w:val="15"/>
        </w:numPr>
        <w:tabs>
          <w:tab w:val="clear" w:pos="567"/>
          <w:tab w:val="clear" w:pos="1418"/>
          <w:tab w:val="clear" w:pos="1701"/>
        </w:tabs>
        <w:ind w:left="1134" w:hanging="567"/>
        <w:rPr>
          <w:color w:val="auto"/>
        </w:rPr>
      </w:pPr>
      <w:r w:rsidRPr="004B6083">
        <w:rPr>
          <w:color w:val="auto"/>
        </w:rPr>
        <w:t xml:space="preserve">providing a consequent financial contribution to the States to support the </w:t>
      </w:r>
      <w:r w:rsidRPr="000614F9">
        <w:t>implementation</w:t>
      </w:r>
      <w:r w:rsidR="00EF54A4">
        <w:rPr>
          <w:color w:val="auto"/>
        </w:rPr>
        <w:t xml:space="preserve"> of this Agreement. </w:t>
      </w:r>
    </w:p>
    <w:p w14:paraId="34DA6B66" w14:textId="77777777" w:rsidR="008F44F1" w:rsidRPr="00751725" w:rsidRDefault="008F44F1" w:rsidP="008F44F1">
      <w:pPr>
        <w:pStyle w:val="Heading2"/>
      </w:pPr>
      <w:r w:rsidRPr="00751725">
        <w:t xml:space="preserve">Role of the States </w:t>
      </w:r>
      <w:r>
        <w:t>and Territories</w:t>
      </w:r>
    </w:p>
    <w:p w14:paraId="3A56ECB1" w14:textId="686E3FCB" w:rsidR="008F44F1" w:rsidRPr="00751725" w:rsidRDefault="008F44F1" w:rsidP="00905AF4">
      <w:pPr>
        <w:pStyle w:val="Normalnumbered"/>
        <w:numPr>
          <w:ilvl w:val="0"/>
          <w:numId w:val="10"/>
        </w:numPr>
        <w:jc w:val="left"/>
      </w:pPr>
      <w:r w:rsidRPr="00751725">
        <w:t>The States</w:t>
      </w:r>
      <w:r w:rsidR="00545DF7">
        <w:t xml:space="preserve"> </w:t>
      </w:r>
      <w:r>
        <w:t>will be responsible for</w:t>
      </w:r>
      <w:r w:rsidR="00545DF7">
        <w:t>:</w:t>
      </w:r>
    </w:p>
    <w:p w14:paraId="5B8F0B9E" w14:textId="62CB844F" w:rsidR="008F44F1" w:rsidRDefault="008F44F1" w:rsidP="00EF54A4">
      <w:pPr>
        <w:pStyle w:val="AlphaParagraph"/>
        <w:numPr>
          <w:ilvl w:val="0"/>
          <w:numId w:val="24"/>
        </w:numPr>
        <w:tabs>
          <w:tab w:val="clear" w:pos="283"/>
          <w:tab w:val="clear" w:pos="567"/>
          <w:tab w:val="clear" w:pos="1134"/>
          <w:tab w:val="clear" w:pos="1418"/>
        </w:tabs>
        <w:ind w:hanging="567"/>
      </w:pPr>
      <w:r>
        <w:t>all aspects of delivering on the project outputs set out in this Agreement;</w:t>
      </w:r>
      <w:r w:rsidR="00EF54A4">
        <w:t xml:space="preserve"> and</w:t>
      </w:r>
    </w:p>
    <w:p w14:paraId="19BD83B1" w14:textId="6838BABF" w:rsidR="00A6719E" w:rsidRDefault="00A6719E" w:rsidP="00EF54A4">
      <w:pPr>
        <w:pStyle w:val="AlphaParagraph"/>
        <w:numPr>
          <w:ilvl w:val="0"/>
          <w:numId w:val="24"/>
        </w:numPr>
        <w:tabs>
          <w:tab w:val="clear" w:pos="283"/>
          <w:tab w:val="clear" w:pos="567"/>
          <w:tab w:val="clear" w:pos="1418"/>
        </w:tabs>
        <w:ind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EF54A4">
        <w:t xml:space="preserve">. </w:t>
      </w:r>
    </w:p>
    <w:p w14:paraId="3497B18E" w14:textId="25D8D356" w:rsidR="008F44F1" w:rsidRDefault="008F44F1" w:rsidP="004F5DCD">
      <w:pPr>
        <w:pStyle w:val="Heading2"/>
      </w:pPr>
      <w:r>
        <w:t>Shared roles</w:t>
      </w:r>
    </w:p>
    <w:p w14:paraId="3A836489" w14:textId="77777777" w:rsidR="008F44F1" w:rsidRDefault="008F44F1" w:rsidP="00905AF4">
      <w:pPr>
        <w:pStyle w:val="Normalnumbered"/>
        <w:numPr>
          <w:ilvl w:val="0"/>
          <w:numId w:val="10"/>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DB4AE57"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747CBC43" w14:textId="2DE46AA3" w:rsidR="004D1751" w:rsidRPr="00B4435E" w:rsidRDefault="00545DF7" w:rsidP="00905AF4">
      <w:pPr>
        <w:pStyle w:val="Normalnumbered"/>
        <w:numPr>
          <w:ilvl w:val="0"/>
          <w:numId w:val="10"/>
        </w:numPr>
        <w:spacing w:after="480"/>
        <w:rPr>
          <w:color w:val="auto"/>
        </w:rPr>
      </w:pPr>
      <w:r w:rsidRPr="00B4435E">
        <w:rPr>
          <w:color w:val="auto"/>
        </w:rPr>
        <w:t>T</w:t>
      </w:r>
      <w:r w:rsidR="007C4F31" w:rsidRPr="00B4435E">
        <w:rPr>
          <w:color w:val="auto"/>
        </w:rPr>
        <w:t xml:space="preserve">able </w:t>
      </w:r>
      <w:r w:rsidRPr="00B4435E">
        <w:rPr>
          <w:color w:val="auto"/>
        </w:rPr>
        <w:t xml:space="preserve">1 </w:t>
      </w:r>
      <w:r w:rsidR="007C4F31" w:rsidRPr="00B4435E">
        <w:rPr>
          <w:color w:val="auto"/>
        </w:rPr>
        <w:t xml:space="preserve">summarises the milestones for the project, their relationship to the outputs, expected completion dates, relevant reporting dates and expected payments </w:t>
      </w:r>
      <w:r w:rsidR="0077685D" w:rsidRPr="00B4435E">
        <w:rPr>
          <w:color w:val="auto"/>
        </w:rPr>
        <w:t>to be made</w:t>
      </w:r>
      <w:r w:rsidR="00ED2AC4" w:rsidRPr="00B4435E">
        <w:rPr>
          <w:color w:val="auto"/>
        </w:rPr>
        <w:t xml:space="preserve">. The Commonwealth will make payments </w:t>
      </w:r>
      <w:r w:rsidR="00ED2AC4" w:rsidRPr="003B292D">
        <w:rPr>
          <w:color w:val="auto"/>
        </w:rPr>
        <w:t xml:space="preserve">subject to </w:t>
      </w:r>
      <w:r w:rsidR="00B4435E" w:rsidRPr="003B292D">
        <w:rPr>
          <w:color w:val="auto"/>
        </w:rPr>
        <w:t xml:space="preserve">evidence </w:t>
      </w:r>
      <w:r w:rsidR="006F0C0C" w:rsidRPr="003B292D">
        <w:rPr>
          <w:color w:val="auto"/>
        </w:rPr>
        <w:t>demonstrating</w:t>
      </w:r>
      <w:r w:rsidR="006F0C0C">
        <w:rPr>
          <w:color w:val="auto"/>
        </w:rPr>
        <w:t xml:space="preserve"> </w:t>
      </w:r>
      <w:r w:rsidR="00B4435E">
        <w:rPr>
          <w:color w:val="auto"/>
        </w:rPr>
        <w:t>that</w:t>
      </w:r>
      <w:r w:rsidR="00ED2AC4" w:rsidRPr="00B4435E">
        <w:rPr>
          <w:color w:val="auto"/>
        </w:rPr>
        <w:t xml:space="preserve"> the relevant milestone has been met.</w:t>
      </w:r>
    </w:p>
    <w:p w14:paraId="26E0919C" w14:textId="77777777" w:rsidR="00F3245D" w:rsidRPr="000E2AF6" w:rsidRDefault="0095223D" w:rsidP="008E0AD6">
      <w:pPr>
        <w:pStyle w:val="Normalnumbered"/>
        <w:keepNext/>
        <w:numPr>
          <w:ilvl w:val="0"/>
          <w:numId w:val="0"/>
        </w:numPr>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394"/>
        <w:gridCol w:w="1418"/>
        <w:gridCol w:w="1438"/>
      </w:tblGrid>
      <w:tr w:rsidR="0055415C" w:rsidRPr="00C26C5B" w14:paraId="0DEDAB2D" w14:textId="77777777" w:rsidTr="00F45AA3">
        <w:trPr>
          <w:trHeight w:val="1171"/>
        </w:trPr>
        <w:tc>
          <w:tcPr>
            <w:tcW w:w="2518" w:type="dxa"/>
            <w:tcBorders>
              <w:bottom w:val="single" w:sz="18" w:space="0" w:color="4F81BD"/>
            </w:tcBorders>
          </w:tcPr>
          <w:p w14:paraId="103ED2E9" w14:textId="014816B5" w:rsidR="0055415C" w:rsidRPr="00C26C5B" w:rsidRDefault="0055415C" w:rsidP="00B4435E">
            <w:pPr>
              <w:pStyle w:val="Heading2"/>
              <w:rPr>
                <w:bCs w:val="0"/>
                <w:sz w:val="24"/>
                <w:szCs w:val="24"/>
              </w:rPr>
            </w:pPr>
            <w:r w:rsidRPr="00C26C5B">
              <w:rPr>
                <w:bCs w:val="0"/>
                <w:sz w:val="24"/>
                <w:szCs w:val="24"/>
              </w:rPr>
              <w:t>Output</w:t>
            </w:r>
          </w:p>
        </w:tc>
        <w:tc>
          <w:tcPr>
            <w:tcW w:w="4394" w:type="dxa"/>
            <w:tcBorders>
              <w:bottom w:val="single" w:sz="18" w:space="0" w:color="4F81BD"/>
            </w:tcBorders>
          </w:tcPr>
          <w:p w14:paraId="552DE1D3" w14:textId="1E33AB28" w:rsidR="0055415C" w:rsidRPr="00C26C5B" w:rsidRDefault="00B4435E" w:rsidP="00B4435E">
            <w:pPr>
              <w:pStyle w:val="Heading2"/>
              <w:rPr>
                <w:bCs w:val="0"/>
                <w:sz w:val="24"/>
                <w:szCs w:val="24"/>
              </w:rPr>
            </w:pPr>
            <w:r>
              <w:rPr>
                <w:bCs w:val="0"/>
                <w:sz w:val="24"/>
                <w:szCs w:val="24"/>
              </w:rPr>
              <w:t>M</w:t>
            </w:r>
            <w:r w:rsidR="0055415C" w:rsidRPr="00C26C5B">
              <w:rPr>
                <w:bCs w:val="0"/>
                <w:sz w:val="24"/>
                <w:szCs w:val="24"/>
              </w:rPr>
              <w:t>ilestone</w:t>
            </w:r>
          </w:p>
        </w:tc>
        <w:tc>
          <w:tcPr>
            <w:tcW w:w="1418" w:type="dxa"/>
            <w:tcBorders>
              <w:bottom w:val="single" w:sz="18" w:space="0" w:color="4F81BD"/>
            </w:tcBorders>
          </w:tcPr>
          <w:p w14:paraId="5C3D49CC"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438" w:type="dxa"/>
            <w:tcBorders>
              <w:bottom w:val="single" w:sz="18" w:space="0" w:color="4F81BD"/>
            </w:tcBorders>
          </w:tcPr>
          <w:p w14:paraId="3644F166" w14:textId="77777777" w:rsidR="0055415C" w:rsidRPr="00C26C5B" w:rsidRDefault="0055415C" w:rsidP="00F3245D">
            <w:pPr>
              <w:pStyle w:val="Heading2"/>
              <w:rPr>
                <w:bCs w:val="0"/>
                <w:sz w:val="24"/>
                <w:szCs w:val="24"/>
              </w:rPr>
            </w:pPr>
            <w:r w:rsidRPr="00C26C5B">
              <w:rPr>
                <w:bCs w:val="0"/>
                <w:sz w:val="24"/>
                <w:szCs w:val="24"/>
              </w:rPr>
              <w:t>Payment</w:t>
            </w:r>
          </w:p>
        </w:tc>
      </w:tr>
      <w:tr w:rsidR="004D1751" w:rsidRPr="00C26C5B" w14:paraId="0B9D66C7" w14:textId="77777777" w:rsidTr="00F45AA3">
        <w:tc>
          <w:tcPr>
            <w:tcW w:w="2518" w:type="dxa"/>
            <w:shd w:val="clear" w:color="auto" w:fill="auto"/>
          </w:tcPr>
          <w:p w14:paraId="3333D673" w14:textId="04241D0B" w:rsidR="00AA7CAD" w:rsidRPr="00024FBA" w:rsidRDefault="00EC2BB9" w:rsidP="004F5B27">
            <w:pPr>
              <w:pStyle w:val="Heading2"/>
              <w:rPr>
                <w:b w:val="0"/>
                <w:color w:val="auto"/>
                <w:sz w:val="23"/>
                <w:szCs w:val="23"/>
              </w:rPr>
            </w:pPr>
            <w:r>
              <w:rPr>
                <w:b w:val="0"/>
                <w:color w:val="auto"/>
                <w:sz w:val="23"/>
                <w:szCs w:val="23"/>
              </w:rPr>
              <w:t xml:space="preserve">In accordance with clause </w:t>
            </w:r>
            <w:r w:rsidR="004F5B27">
              <w:rPr>
                <w:b w:val="0"/>
                <w:color w:val="auto"/>
                <w:sz w:val="23"/>
                <w:szCs w:val="23"/>
              </w:rPr>
              <w:t>8</w:t>
            </w:r>
            <w:r>
              <w:rPr>
                <w:b w:val="0"/>
                <w:color w:val="auto"/>
                <w:sz w:val="23"/>
                <w:szCs w:val="23"/>
              </w:rPr>
              <w:t xml:space="preserve"> of th</w:t>
            </w:r>
            <w:r w:rsidR="00FD6B62">
              <w:rPr>
                <w:b w:val="0"/>
                <w:color w:val="auto"/>
                <w:sz w:val="23"/>
                <w:szCs w:val="23"/>
              </w:rPr>
              <w:t>e</w:t>
            </w:r>
            <w:r>
              <w:rPr>
                <w:b w:val="0"/>
                <w:color w:val="auto"/>
                <w:sz w:val="23"/>
                <w:szCs w:val="23"/>
              </w:rPr>
              <w:t xml:space="preserve"> Agreement</w:t>
            </w:r>
          </w:p>
        </w:tc>
        <w:tc>
          <w:tcPr>
            <w:tcW w:w="4394" w:type="dxa"/>
            <w:shd w:val="clear" w:color="auto" w:fill="auto"/>
          </w:tcPr>
          <w:p w14:paraId="66B6CB26" w14:textId="0E999CEF" w:rsidR="0011468F" w:rsidRPr="0011468F" w:rsidRDefault="0011468F" w:rsidP="00FD6B62">
            <w:pPr>
              <w:pStyle w:val="Heading2"/>
              <w:rPr>
                <w:highlight w:val="yellow"/>
              </w:rPr>
            </w:pPr>
            <w:r w:rsidRPr="00024FBA">
              <w:rPr>
                <w:b w:val="0"/>
                <w:color w:val="auto"/>
                <w:sz w:val="23"/>
                <w:szCs w:val="23"/>
              </w:rPr>
              <w:t xml:space="preserve">State strategy to implement the </w:t>
            </w:r>
            <w:r w:rsidR="00FD6B62">
              <w:rPr>
                <w:b w:val="0"/>
                <w:color w:val="auto"/>
                <w:sz w:val="23"/>
                <w:szCs w:val="23"/>
              </w:rPr>
              <w:t>project</w:t>
            </w:r>
            <w:r w:rsidR="00247CA7" w:rsidRPr="00024FBA">
              <w:rPr>
                <w:b w:val="0"/>
                <w:color w:val="auto"/>
                <w:sz w:val="23"/>
                <w:szCs w:val="23"/>
              </w:rPr>
              <w:t xml:space="preserve"> including proposed program of activities and delivery arrangements.</w:t>
            </w:r>
            <w:r w:rsidR="00247CA7" w:rsidRPr="00024FBA">
              <w:t xml:space="preserve"> </w:t>
            </w:r>
          </w:p>
        </w:tc>
        <w:tc>
          <w:tcPr>
            <w:tcW w:w="1418" w:type="dxa"/>
            <w:shd w:val="clear" w:color="auto" w:fill="auto"/>
          </w:tcPr>
          <w:p w14:paraId="0D9C54B0" w14:textId="61ED0D3C" w:rsidR="004D1751" w:rsidRPr="00C26C5B" w:rsidRDefault="004B08A0" w:rsidP="004D1751">
            <w:pPr>
              <w:pStyle w:val="Heading2"/>
              <w:rPr>
                <w:b w:val="0"/>
                <w:color w:val="auto"/>
                <w:sz w:val="23"/>
                <w:szCs w:val="23"/>
              </w:rPr>
            </w:pPr>
            <w:r>
              <w:rPr>
                <w:b w:val="0"/>
                <w:color w:val="auto"/>
                <w:sz w:val="23"/>
                <w:szCs w:val="23"/>
              </w:rPr>
              <w:t>30 April 20</w:t>
            </w:r>
            <w:r w:rsidR="000D7B89">
              <w:rPr>
                <w:b w:val="0"/>
                <w:color w:val="auto"/>
                <w:sz w:val="23"/>
                <w:szCs w:val="23"/>
              </w:rPr>
              <w:t>1</w:t>
            </w:r>
            <w:r>
              <w:rPr>
                <w:b w:val="0"/>
                <w:color w:val="auto"/>
                <w:sz w:val="23"/>
                <w:szCs w:val="23"/>
              </w:rPr>
              <w:t>9</w:t>
            </w:r>
          </w:p>
        </w:tc>
        <w:tc>
          <w:tcPr>
            <w:tcW w:w="1438" w:type="dxa"/>
            <w:shd w:val="clear" w:color="auto" w:fill="auto"/>
          </w:tcPr>
          <w:p w14:paraId="41699C49" w14:textId="57666859" w:rsidR="004F1DE7" w:rsidRPr="00B879F6" w:rsidRDefault="00F82440" w:rsidP="00F82440">
            <w:pPr>
              <w:pStyle w:val="Heading2"/>
              <w:rPr>
                <w:b w:val="0"/>
                <w:color w:val="auto"/>
                <w:sz w:val="23"/>
                <w:szCs w:val="23"/>
              </w:rPr>
            </w:pPr>
            <w:r>
              <w:rPr>
                <w:b w:val="0"/>
                <w:color w:val="auto"/>
                <w:sz w:val="23"/>
                <w:szCs w:val="23"/>
              </w:rPr>
              <w:t xml:space="preserve">100 per cent of the </w:t>
            </w:r>
            <w:r w:rsidR="006F0C0C" w:rsidRPr="00B879F6">
              <w:rPr>
                <w:b w:val="0"/>
                <w:color w:val="auto"/>
                <w:sz w:val="23"/>
                <w:szCs w:val="23"/>
              </w:rPr>
              <w:t xml:space="preserve">payment </w:t>
            </w:r>
            <w:r>
              <w:rPr>
                <w:b w:val="0"/>
                <w:color w:val="auto"/>
                <w:sz w:val="23"/>
                <w:szCs w:val="23"/>
              </w:rPr>
              <w:t xml:space="preserve">to each State, as set out in </w:t>
            </w:r>
            <w:r w:rsidR="003B292D">
              <w:rPr>
                <w:b w:val="0"/>
                <w:color w:val="auto"/>
                <w:sz w:val="23"/>
                <w:szCs w:val="23"/>
              </w:rPr>
              <w:t>Table 2 of the</w:t>
            </w:r>
            <w:r>
              <w:rPr>
                <w:b w:val="0"/>
                <w:color w:val="auto"/>
                <w:sz w:val="23"/>
                <w:szCs w:val="23"/>
              </w:rPr>
              <w:t xml:space="preserve"> </w:t>
            </w:r>
            <w:r w:rsidR="004F1DE7" w:rsidRPr="00B879F6">
              <w:rPr>
                <w:b w:val="0"/>
                <w:color w:val="auto"/>
                <w:sz w:val="23"/>
                <w:szCs w:val="23"/>
              </w:rPr>
              <w:t>Agreement</w:t>
            </w:r>
          </w:p>
        </w:tc>
      </w:tr>
    </w:tbl>
    <w:p w14:paraId="52A4C6F2" w14:textId="5A2DB022" w:rsidR="00172360" w:rsidRDefault="002E144A" w:rsidP="00EC2BB9">
      <w:pPr>
        <w:pStyle w:val="Normalnumbered"/>
        <w:numPr>
          <w:ilvl w:val="0"/>
          <w:numId w:val="10"/>
        </w:numPr>
        <w:spacing w:before="240"/>
      </w:pPr>
      <w:r>
        <w:t>If</w:t>
      </w:r>
      <w:r w:rsidR="00172360" w:rsidRPr="00804105">
        <w:t xml:space="preserve"> a milestone is met in advance of the due date, </w:t>
      </w:r>
      <w:r>
        <w:t xml:space="preserve">where </w:t>
      </w:r>
      <w:r w:rsidR="00172360" w:rsidRPr="00804105">
        <w:t xml:space="preserve">the </w:t>
      </w:r>
      <w:r w:rsidR="00172360" w:rsidRPr="003B292D">
        <w:t xml:space="preserve">relevant </w:t>
      </w:r>
      <w:r w:rsidR="006F0C0C" w:rsidRPr="003B292D">
        <w:t>evidence</w:t>
      </w:r>
      <w:r w:rsidR="00172360" w:rsidRPr="003B292D">
        <w:t xml:space="preserve"> demonstrat</w:t>
      </w:r>
      <w:r w:rsidRPr="003B292D">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16711E57" w14:textId="77777777" w:rsidR="00F3245D" w:rsidRDefault="00F3245D" w:rsidP="00F3245D">
      <w:pPr>
        <w:pStyle w:val="Heading2"/>
      </w:pPr>
      <w:r>
        <w:t>Reporting arrangements</w:t>
      </w:r>
    </w:p>
    <w:p w14:paraId="4A44BFD1" w14:textId="282FBDC5" w:rsidR="00ED2AC4" w:rsidRPr="003B292D" w:rsidRDefault="009E151E" w:rsidP="00905AF4">
      <w:pPr>
        <w:pStyle w:val="Normalnumbered"/>
        <w:numPr>
          <w:ilvl w:val="0"/>
          <w:numId w:val="10"/>
        </w:numPr>
        <w:spacing w:before="120" w:line="240" w:lineRule="auto"/>
        <w:rPr>
          <w:szCs w:val="23"/>
        </w:rPr>
      </w:pPr>
      <w:r>
        <w:t>The</w:t>
      </w:r>
      <w:r w:rsidR="00167BB8">
        <w:t xml:space="preserve"> </w:t>
      </w:r>
      <w:r w:rsidRPr="00DE36EB">
        <w:t>States</w:t>
      </w:r>
      <w:r w:rsidR="0095223D" w:rsidRPr="00DE36EB">
        <w:t xml:space="preserve"> </w:t>
      </w:r>
      <w:r>
        <w:t xml:space="preserve">will </w:t>
      </w:r>
      <w:r w:rsidR="0095223D">
        <w:t xml:space="preserve">provide performance reports in accordance with </w:t>
      </w:r>
      <w:r w:rsidR="00C2605C">
        <w:t>T</w:t>
      </w:r>
      <w:r w:rsidR="0095223D">
        <w:t xml:space="preserve">able </w:t>
      </w:r>
      <w:r w:rsidR="00C2605C">
        <w:t xml:space="preserve">1 </w:t>
      </w:r>
      <w:r>
        <w:t>during</w:t>
      </w:r>
      <w:r w:rsidR="00C42ACA">
        <w:t xml:space="preserve"> </w:t>
      </w:r>
      <w:r>
        <w:t>t</w:t>
      </w:r>
      <w:r w:rsidR="00515AF2">
        <w:t xml:space="preserve">he operation of the Agreement.  </w:t>
      </w:r>
      <w:r w:rsidR="0095223D">
        <w:t>Each performance report is to contai</w:t>
      </w:r>
      <w:r w:rsidR="00ED2AC4">
        <w:t xml:space="preserve">n a description of actual performance in </w:t>
      </w:r>
      <w:r w:rsidR="00ED2AC4" w:rsidRPr="003B292D">
        <w:t>the period to date against the project milestones.</w:t>
      </w:r>
      <w:r w:rsidR="00ED2AC4" w:rsidRPr="003B292D">
        <w:rPr>
          <w:szCs w:val="23"/>
        </w:rPr>
        <w:t xml:space="preserve"> </w:t>
      </w:r>
    </w:p>
    <w:p w14:paraId="74015FB0" w14:textId="3C0484E5" w:rsidR="00AF2C00" w:rsidRPr="003B292D" w:rsidRDefault="00AF2C00" w:rsidP="00905AF4">
      <w:pPr>
        <w:pStyle w:val="Normalnumbered"/>
        <w:numPr>
          <w:ilvl w:val="0"/>
          <w:numId w:val="10"/>
        </w:numPr>
        <w:spacing w:before="120" w:line="240" w:lineRule="auto"/>
        <w:rPr>
          <w:szCs w:val="23"/>
        </w:rPr>
      </w:pPr>
      <w:r w:rsidRPr="003B292D">
        <w:rPr>
          <w:szCs w:val="23"/>
        </w:rPr>
        <w:t xml:space="preserve">The States will provide a final performance report by 30 June 2020 outlining </w:t>
      </w:r>
      <w:r w:rsidR="003B292D" w:rsidRPr="003B292D">
        <w:rPr>
          <w:szCs w:val="23"/>
        </w:rPr>
        <w:t xml:space="preserve">the actual outputs of the </w:t>
      </w:r>
      <w:r w:rsidR="00FD6B62">
        <w:rPr>
          <w:szCs w:val="23"/>
        </w:rPr>
        <w:t>project</w:t>
      </w:r>
      <w:r w:rsidR="003B292D" w:rsidRPr="003B292D">
        <w:rPr>
          <w:szCs w:val="23"/>
        </w:rPr>
        <w:t xml:space="preserve"> including</w:t>
      </w:r>
      <w:r w:rsidRPr="003B292D">
        <w:rPr>
          <w:szCs w:val="23"/>
        </w:rPr>
        <w:t xml:space="preserve"> initiatives delivered to improve commun</w:t>
      </w:r>
      <w:r w:rsidR="003B292D" w:rsidRPr="003B292D">
        <w:rPr>
          <w:szCs w:val="23"/>
        </w:rPr>
        <w:t>ity preparedness and resilience to disasters.</w:t>
      </w:r>
    </w:p>
    <w:p w14:paraId="4A7F89AB" w14:textId="6887C571" w:rsidR="008E7527" w:rsidRDefault="008E7527" w:rsidP="009E093C">
      <w:pPr>
        <w:pStyle w:val="Heading1"/>
      </w:pPr>
      <w:r>
        <w:t>Part 5</w:t>
      </w:r>
      <w:r w:rsidRPr="00751725">
        <w:t xml:space="preserve"> — </w:t>
      </w:r>
      <w:r w:rsidR="00024AD3">
        <w:t>Financial arrangements</w:t>
      </w:r>
    </w:p>
    <w:p w14:paraId="1791DA9B" w14:textId="515C82CA" w:rsidR="008E7527" w:rsidRDefault="008E7527" w:rsidP="00905AF4">
      <w:pPr>
        <w:pStyle w:val="Normalnumbered"/>
        <w:numPr>
          <w:ilvl w:val="0"/>
          <w:numId w:val="10"/>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t xml:space="preserve">the States of </w:t>
      </w:r>
      <w:r w:rsidRPr="00CD526B">
        <w:t>$</w:t>
      </w:r>
      <w:r w:rsidR="003B68FF">
        <w:t>5 million</w:t>
      </w:r>
      <w:r>
        <w:t xml:space="preserve"> in respect of this Agreement. </w:t>
      </w:r>
      <w:r w:rsidRPr="000E48C3">
        <w:t xml:space="preserve"> </w:t>
      </w:r>
      <w:r>
        <w:t>All payments are GST exclusive.</w:t>
      </w:r>
    </w:p>
    <w:p w14:paraId="24D5F16C" w14:textId="77777777" w:rsidR="008E7527" w:rsidRDefault="005A5E7A" w:rsidP="00905AF4">
      <w:pPr>
        <w:pStyle w:val="Normalnumbered"/>
        <w:numPr>
          <w:ilvl w:val="0"/>
          <w:numId w:val="10"/>
        </w:numPr>
      </w:pPr>
      <w:r>
        <w:t>T</w:t>
      </w:r>
      <w:r w:rsidR="008E7527" w:rsidRPr="002B7E1B">
        <w:t>he Commonwealth’s funding contribution will not be reduced where the States secure funding from other activity partners</w:t>
      </w:r>
      <w:r w:rsidR="002E144A">
        <w:t>.</w:t>
      </w:r>
    </w:p>
    <w:p w14:paraId="3E9B83B7" w14:textId="5D49B9FA" w:rsidR="008E7527" w:rsidRPr="00751725" w:rsidRDefault="008E7527" w:rsidP="00905AF4">
      <w:pPr>
        <w:pStyle w:val="Normalnumbered"/>
        <w:numPr>
          <w:ilvl w:val="0"/>
          <w:numId w:val="10"/>
        </w:numPr>
      </w:pPr>
      <w:r w:rsidRPr="00751725">
        <w:t>The Commonwealth</w:t>
      </w:r>
      <w:r>
        <w:t>’s</w:t>
      </w:r>
      <w:r w:rsidRPr="00751725">
        <w:t xml:space="preserve"> and the </w:t>
      </w:r>
      <w:r>
        <w:t>S</w:t>
      </w:r>
      <w:r w:rsidRPr="00751725">
        <w:t>tates</w:t>
      </w:r>
      <w:r>
        <w:t xml:space="preserve">’ 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3B68FF">
        <w:t>Schedule D — Payment Arrangements</w:t>
      </w:r>
      <w:r>
        <w:t xml:space="preserve"> of the </w:t>
      </w:r>
      <w:r w:rsidR="00C41265">
        <w:t>IGA FFR</w:t>
      </w:r>
      <w:r w:rsidR="00C2605C">
        <w:t>, are shown in Table 2</w:t>
      </w:r>
      <w:r w:rsidRPr="00751725">
        <w:t>.</w:t>
      </w:r>
    </w:p>
    <w:p w14:paraId="1617AB5D" w14:textId="77777777" w:rsidR="003B292D" w:rsidRDefault="003B292D">
      <w:pPr>
        <w:spacing w:after="0" w:line="240" w:lineRule="auto"/>
        <w:jc w:val="left"/>
        <w:rPr>
          <w:b/>
        </w:rPr>
      </w:pPr>
      <w:r>
        <w:rPr>
          <w:b/>
        </w:rPr>
        <w:br w:type="page"/>
      </w:r>
    </w:p>
    <w:p w14:paraId="63B3545A" w14:textId="65876417" w:rsidR="00921E5F" w:rsidRPr="008360AE" w:rsidRDefault="00921E5F" w:rsidP="00921E5F">
      <w:pPr>
        <w:pStyle w:val="Normalnumbered"/>
        <w:numPr>
          <w:ilvl w:val="0"/>
          <w:numId w:val="0"/>
        </w:numPr>
        <w:rPr>
          <w:b/>
        </w:rPr>
      </w:pPr>
      <w:r w:rsidRPr="008360AE">
        <w:rPr>
          <w:b/>
        </w:rPr>
        <w:lastRenderedPageBreak/>
        <w:t xml:space="preserve">Table </w:t>
      </w:r>
      <w:r>
        <w:rPr>
          <w:b/>
        </w:rPr>
        <w:t>2</w:t>
      </w:r>
      <w:r w:rsidRPr="008360AE">
        <w:rPr>
          <w:b/>
        </w:rPr>
        <w:t>: Estimated financial contributions</w:t>
      </w:r>
    </w:p>
    <w:tbl>
      <w:tblPr>
        <w:tblW w:w="0" w:type="auto"/>
        <w:tblLook w:val="01E0" w:firstRow="1" w:lastRow="1" w:firstColumn="1" w:lastColumn="1" w:noHBand="0" w:noVBand="0"/>
      </w:tblPr>
      <w:tblGrid>
        <w:gridCol w:w="7479"/>
        <w:gridCol w:w="993"/>
        <w:gridCol w:w="1134"/>
      </w:tblGrid>
      <w:tr w:rsidR="00921E5F" w:rsidRPr="007A387F" w14:paraId="1CFC7C85" w14:textId="77777777" w:rsidTr="004B0AB5">
        <w:trPr>
          <w:cantSplit/>
        </w:trPr>
        <w:tc>
          <w:tcPr>
            <w:tcW w:w="7479" w:type="dxa"/>
            <w:tcBorders>
              <w:top w:val="single" w:sz="4" w:space="0" w:color="000080"/>
            </w:tcBorders>
          </w:tcPr>
          <w:p w14:paraId="71B7FF9F" w14:textId="77777777" w:rsidR="00921E5F" w:rsidRPr="007A387F" w:rsidRDefault="00921E5F" w:rsidP="004B0AB5">
            <w:pPr>
              <w:keepNext/>
              <w:keepLines/>
              <w:spacing w:before="40" w:after="40"/>
              <w:jc w:val="left"/>
              <w:rPr>
                <w:b/>
              </w:rPr>
            </w:pPr>
            <w:r w:rsidRPr="007A387F">
              <w:rPr>
                <w:b/>
              </w:rPr>
              <w:t>($ million)</w:t>
            </w:r>
          </w:p>
        </w:tc>
        <w:tc>
          <w:tcPr>
            <w:tcW w:w="993" w:type="dxa"/>
            <w:tcBorders>
              <w:top w:val="single" w:sz="4" w:space="0" w:color="000080"/>
              <w:bottom w:val="single" w:sz="4" w:space="0" w:color="000080"/>
            </w:tcBorders>
          </w:tcPr>
          <w:p w14:paraId="3AD66B6D" w14:textId="77777777" w:rsidR="00921E5F" w:rsidRPr="007A387F" w:rsidRDefault="00921E5F" w:rsidP="004B0AB5">
            <w:pPr>
              <w:keepNext/>
              <w:keepLines/>
              <w:spacing w:before="40" w:after="40"/>
              <w:jc w:val="right"/>
            </w:pPr>
            <w:r w:rsidRPr="007A387F">
              <w:t>2018-19</w:t>
            </w:r>
          </w:p>
        </w:tc>
        <w:tc>
          <w:tcPr>
            <w:tcW w:w="1134" w:type="dxa"/>
            <w:tcBorders>
              <w:top w:val="single" w:sz="4" w:space="0" w:color="000080"/>
              <w:bottom w:val="single" w:sz="4" w:space="0" w:color="000080"/>
            </w:tcBorders>
          </w:tcPr>
          <w:p w14:paraId="4EE40765" w14:textId="77777777" w:rsidR="00921E5F" w:rsidRPr="007A387F" w:rsidRDefault="00921E5F" w:rsidP="004B0AB5">
            <w:pPr>
              <w:keepNext/>
              <w:keepLines/>
              <w:spacing w:before="40" w:after="40"/>
              <w:jc w:val="right"/>
            </w:pPr>
            <w:r w:rsidRPr="007A387F">
              <w:t>Total</w:t>
            </w:r>
          </w:p>
        </w:tc>
      </w:tr>
      <w:tr w:rsidR="00921E5F" w:rsidRPr="007A387F" w14:paraId="0BAB0191" w14:textId="77777777" w:rsidTr="00562AF7">
        <w:trPr>
          <w:cantSplit/>
        </w:trPr>
        <w:tc>
          <w:tcPr>
            <w:tcW w:w="7479" w:type="dxa"/>
          </w:tcPr>
          <w:p w14:paraId="1D41B117" w14:textId="77777777" w:rsidR="00921E5F" w:rsidRPr="007A387F" w:rsidRDefault="00921E5F" w:rsidP="004B0AB5">
            <w:pPr>
              <w:keepNext/>
              <w:keepLines/>
              <w:spacing w:before="60" w:after="60"/>
              <w:rPr>
                <w:b/>
              </w:rPr>
            </w:pPr>
            <w:r w:rsidRPr="007A387F">
              <w:rPr>
                <w:b/>
              </w:rPr>
              <w:t>Estimated total budget</w:t>
            </w:r>
          </w:p>
        </w:tc>
        <w:tc>
          <w:tcPr>
            <w:tcW w:w="993" w:type="dxa"/>
            <w:tcBorders>
              <w:top w:val="single" w:sz="4" w:space="0" w:color="000080"/>
            </w:tcBorders>
          </w:tcPr>
          <w:p w14:paraId="7C3390B9" w14:textId="65DD8849" w:rsidR="00921E5F" w:rsidRPr="007A387F" w:rsidRDefault="00921E5F" w:rsidP="004B0AB5">
            <w:pPr>
              <w:keepNext/>
              <w:keepLines/>
              <w:spacing w:before="40" w:after="40"/>
              <w:jc w:val="right"/>
              <w:rPr>
                <w:b/>
              </w:rPr>
            </w:pPr>
            <w:r>
              <w:rPr>
                <w:b/>
              </w:rPr>
              <w:t>5.00</w:t>
            </w:r>
          </w:p>
        </w:tc>
        <w:tc>
          <w:tcPr>
            <w:tcW w:w="1134" w:type="dxa"/>
            <w:tcBorders>
              <w:top w:val="single" w:sz="4" w:space="0" w:color="000080"/>
            </w:tcBorders>
          </w:tcPr>
          <w:p w14:paraId="61441373" w14:textId="412E180A" w:rsidR="00921E5F" w:rsidRPr="007A387F" w:rsidRDefault="00921E5F" w:rsidP="004B0AB5">
            <w:pPr>
              <w:keepNext/>
              <w:keepLines/>
              <w:spacing w:before="40" w:after="40"/>
              <w:jc w:val="right"/>
              <w:rPr>
                <w:b/>
              </w:rPr>
            </w:pPr>
            <w:r>
              <w:rPr>
                <w:b/>
              </w:rPr>
              <w:t>5.00</w:t>
            </w:r>
          </w:p>
        </w:tc>
      </w:tr>
      <w:tr w:rsidR="00921E5F" w:rsidRPr="00EF54A4" w14:paraId="5AC7A40B" w14:textId="77777777" w:rsidTr="004B0AB5">
        <w:trPr>
          <w:cantSplit/>
        </w:trPr>
        <w:tc>
          <w:tcPr>
            <w:tcW w:w="7479" w:type="dxa"/>
          </w:tcPr>
          <w:p w14:paraId="3A67C289" w14:textId="77777777" w:rsidR="00921E5F" w:rsidRPr="00EF54A4" w:rsidRDefault="00921E5F" w:rsidP="004B0AB5">
            <w:pPr>
              <w:keepNext/>
              <w:keepLines/>
              <w:spacing w:before="60" w:after="60"/>
            </w:pPr>
            <w:r w:rsidRPr="00EF54A4">
              <w:t>Less estimated National Partnership Payments</w:t>
            </w:r>
          </w:p>
        </w:tc>
        <w:tc>
          <w:tcPr>
            <w:tcW w:w="993" w:type="dxa"/>
          </w:tcPr>
          <w:p w14:paraId="399ED7B7" w14:textId="3FD91936" w:rsidR="00921E5F" w:rsidRPr="00EF54A4" w:rsidRDefault="00921E5F" w:rsidP="004B0AB5">
            <w:pPr>
              <w:keepNext/>
              <w:keepLines/>
              <w:spacing w:before="40" w:after="40"/>
              <w:jc w:val="right"/>
            </w:pPr>
            <w:r w:rsidRPr="00EF54A4">
              <w:t>5.00</w:t>
            </w:r>
          </w:p>
        </w:tc>
        <w:tc>
          <w:tcPr>
            <w:tcW w:w="1134" w:type="dxa"/>
          </w:tcPr>
          <w:p w14:paraId="1DC64812" w14:textId="5A635E52" w:rsidR="00921E5F" w:rsidRPr="00EF54A4" w:rsidRDefault="00921E5F" w:rsidP="004B0AB5">
            <w:pPr>
              <w:keepNext/>
              <w:keepLines/>
              <w:spacing w:before="40" w:after="40"/>
              <w:jc w:val="right"/>
            </w:pPr>
            <w:r w:rsidRPr="00EF54A4">
              <w:t>5.00</w:t>
            </w:r>
          </w:p>
        </w:tc>
      </w:tr>
      <w:tr w:rsidR="00921E5F" w:rsidRPr="00EF54A4" w14:paraId="469A3273" w14:textId="77777777" w:rsidTr="004B0AB5">
        <w:trPr>
          <w:cantSplit/>
        </w:trPr>
        <w:tc>
          <w:tcPr>
            <w:tcW w:w="7479" w:type="dxa"/>
          </w:tcPr>
          <w:p w14:paraId="37ED1B1B" w14:textId="77777777" w:rsidR="00921E5F" w:rsidRPr="00EF54A4" w:rsidRDefault="00921E5F" w:rsidP="004B0AB5">
            <w:pPr>
              <w:keepNext/>
              <w:keepLines/>
              <w:spacing w:before="60" w:after="60"/>
              <w:ind w:left="720"/>
            </w:pPr>
            <w:r w:rsidRPr="00EF54A4">
              <w:t>New South Wales</w:t>
            </w:r>
          </w:p>
        </w:tc>
        <w:tc>
          <w:tcPr>
            <w:tcW w:w="993" w:type="dxa"/>
          </w:tcPr>
          <w:p w14:paraId="1E359DDF" w14:textId="2F7C9A0A" w:rsidR="00921E5F" w:rsidRPr="00EF54A4" w:rsidRDefault="00EF54A4" w:rsidP="004B0AB5">
            <w:pPr>
              <w:keepNext/>
              <w:keepLines/>
              <w:spacing w:before="40" w:after="40"/>
              <w:jc w:val="right"/>
            </w:pPr>
            <w:r w:rsidRPr="00EF54A4">
              <w:t>1.30</w:t>
            </w:r>
          </w:p>
        </w:tc>
        <w:tc>
          <w:tcPr>
            <w:tcW w:w="1134" w:type="dxa"/>
          </w:tcPr>
          <w:p w14:paraId="09F63D4C" w14:textId="706412BA" w:rsidR="00921E5F" w:rsidRPr="00EF54A4" w:rsidRDefault="00EF54A4" w:rsidP="004B0AB5">
            <w:pPr>
              <w:keepNext/>
              <w:keepLines/>
              <w:spacing w:before="40" w:after="40"/>
              <w:jc w:val="right"/>
            </w:pPr>
            <w:r w:rsidRPr="00EF54A4">
              <w:t>1.30</w:t>
            </w:r>
          </w:p>
        </w:tc>
      </w:tr>
      <w:tr w:rsidR="00921E5F" w:rsidRPr="00EF54A4" w14:paraId="18A394A8" w14:textId="77777777" w:rsidTr="004B0AB5">
        <w:trPr>
          <w:cantSplit/>
        </w:trPr>
        <w:tc>
          <w:tcPr>
            <w:tcW w:w="7479" w:type="dxa"/>
          </w:tcPr>
          <w:p w14:paraId="55FE2E13" w14:textId="722AE6CE" w:rsidR="00921E5F" w:rsidRPr="00EF54A4" w:rsidRDefault="00921E5F" w:rsidP="004B0AB5">
            <w:pPr>
              <w:keepNext/>
              <w:keepLines/>
              <w:spacing w:before="60" w:after="60"/>
              <w:ind w:left="720"/>
            </w:pPr>
            <w:r w:rsidRPr="00EF54A4">
              <w:t>Victoria</w:t>
            </w:r>
          </w:p>
        </w:tc>
        <w:tc>
          <w:tcPr>
            <w:tcW w:w="993" w:type="dxa"/>
          </w:tcPr>
          <w:p w14:paraId="133A78C7" w14:textId="21B26026" w:rsidR="00921E5F" w:rsidRPr="00EF54A4" w:rsidRDefault="00EF54A4" w:rsidP="004B0AB5">
            <w:pPr>
              <w:keepNext/>
              <w:keepLines/>
              <w:spacing w:before="40" w:after="40"/>
              <w:jc w:val="right"/>
            </w:pPr>
            <w:r w:rsidRPr="00EF54A4">
              <w:t>0.80</w:t>
            </w:r>
          </w:p>
        </w:tc>
        <w:tc>
          <w:tcPr>
            <w:tcW w:w="1134" w:type="dxa"/>
          </w:tcPr>
          <w:p w14:paraId="45383705" w14:textId="447F48CA" w:rsidR="00921E5F" w:rsidRPr="00EF54A4" w:rsidRDefault="00EF54A4" w:rsidP="004B0AB5">
            <w:pPr>
              <w:keepNext/>
              <w:keepLines/>
              <w:spacing w:before="40" w:after="40"/>
              <w:jc w:val="right"/>
            </w:pPr>
            <w:r w:rsidRPr="00EF54A4">
              <w:t>0.80</w:t>
            </w:r>
          </w:p>
        </w:tc>
      </w:tr>
      <w:tr w:rsidR="00921E5F" w:rsidRPr="00EF54A4" w14:paraId="1AEE391F" w14:textId="77777777" w:rsidTr="004B0AB5">
        <w:trPr>
          <w:cantSplit/>
        </w:trPr>
        <w:tc>
          <w:tcPr>
            <w:tcW w:w="7479" w:type="dxa"/>
          </w:tcPr>
          <w:p w14:paraId="54BE5AA5" w14:textId="5BC71014" w:rsidR="00921E5F" w:rsidRPr="00EF54A4" w:rsidRDefault="00921E5F" w:rsidP="004B0AB5">
            <w:pPr>
              <w:keepNext/>
              <w:keepLines/>
              <w:spacing w:before="60" w:after="60"/>
              <w:ind w:left="720"/>
            </w:pPr>
            <w:r w:rsidRPr="00EF54A4">
              <w:t>Queensland</w:t>
            </w:r>
          </w:p>
        </w:tc>
        <w:tc>
          <w:tcPr>
            <w:tcW w:w="993" w:type="dxa"/>
          </w:tcPr>
          <w:p w14:paraId="25A83C0B" w14:textId="56AD3E55" w:rsidR="00921E5F" w:rsidRPr="00EF54A4" w:rsidRDefault="00EF54A4" w:rsidP="004B0AB5">
            <w:pPr>
              <w:keepNext/>
              <w:keepLines/>
              <w:spacing w:before="40" w:after="40"/>
              <w:jc w:val="right"/>
            </w:pPr>
            <w:r w:rsidRPr="00EF54A4">
              <w:t>1.15</w:t>
            </w:r>
          </w:p>
        </w:tc>
        <w:tc>
          <w:tcPr>
            <w:tcW w:w="1134" w:type="dxa"/>
          </w:tcPr>
          <w:p w14:paraId="42142C24" w14:textId="63AB76CA" w:rsidR="00921E5F" w:rsidRPr="00EF54A4" w:rsidRDefault="00EF54A4" w:rsidP="004B0AB5">
            <w:pPr>
              <w:keepNext/>
              <w:keepLines/>
              <w:spacing w:before="40" w:after="40"/>
              <w:jc w:val="right"/>
            </w:pPr>
            <w:r w:rsidRPr="00EF54A4">
              <w:t>1.15</w:t>
            </w:r>
          </w:p>
        </w:tc>
      </w:tr>
      <w:tr w:rsidR="00921E5F" w:rsidRPr="00EF54A4" w14:paraId="1869AE47" w14:textId="77777777" w:rsidTr="004B0AB5">
        <w:trPr>
          <w:cantSplit/>
        </w:trPr>
        <w:tc>
          <w:tcPr>
            <w:tcW w:w="7479" w:type="dxa"/>
          </w:tcPr>
          <w:p w14:paraId="136C1ACD" w14:textId="511915A4" w:rsidR="00921E5F" w:rsidRPr="00EF54A4" w:rsidRDefault="00921E5F" w:rsidP="004B0AB5">
            <w:pPr>
              <w:keepNext/>
              <w:keepLines/>
              <w:spacing w:before="60" w:after="60"/>
              <w:ind w:left="720"/>
            </w:pPr>
            <w:r w:rsidRPr="00EF54A4">
              <w:t>Western Australia</w:t>
            </w:r>
          </w:p>
        </w:tc>
        <w:tc>
          <w:tcPr>
            <w:tcW w:w="993" w:type="dxa"/>
          </w:tcPr>
          <w:p w14:paraId="354CF793" w14:textId="13E98881" w:rsidR="00921E5F" w:rsidRPr="00EF54A4" w:rsidRDefault="00EF54A4" w:rsidP="004B0AB5">
            <w:pPr>
              <w:keepNext/>
              <w:keepLines/>
              <w:spacing w:before="40" w:after="40"/>
              <w:jc w:val="right"/>
            </w:pPr>
            <w:r w:rsidRPr="00EF54A4">
              <w:t>0.60</w:t>
            </w:r>
          </w:p>
        </w:tc>
        <w:tc>
          <w:tcPr>
            <w:tcW w:w="1134" w:type="dxa"/>
          </w:tcPr>
          <w:p w14:paraId="64C298B8" w14:textId="294B9662" w:rsidR="00921E5F" w:rsidRPr="00EF54A4" w:rsidRDefault="00EF54A4" w:rsidP="004B0AB5">
            <w:pPr>
              <w:keepNext/>
              <w:keepLines/>
              <w:spacing w:before="40" w:after="40"/>
              <w:jc w:val="right"/>
            </w:pPr>
            <w:r w:rsidRPr="00EF54A4">
              <w:t>0.60</w:t>
            </w:r>
          </w:p>
        </w:tc>
      </w:tr>
      <w:tr w:rsidR="00921E5F" w:rsidRPr="00EF54A4" w14:paraId="72604B72" w14:textId="77777777" w:rsidTr="004B0AB5">
        <w:trPr>
          <w:cantSplit/>
        </w:trPr>
        <w:tc>
          <w:tcPr>
            <w:tcW w:w="7479" w:type="dxa"/>
          </w:tcPr>
          <w:p w14:paraId="5FB5FBEF" w14:textId="63BD0384" w:rsidR="00921E5F" w:rsidRPr="00EF54A4" w:rsidRDefault="00921E5F" w:rsidP="004B0AB5">
            <w:pPr>
              <w:keepNext/>
              <w:keepLines/>
              <w:spacing w:before="60" w:after="60"/>
              <w:ind w:left="720"/>
            </w:pPr>
            <w:r w:rsidRPr="00EF54A4">
              <w:t>South Australia</w:t>
            </w:r>
          </w:p>
        </w:tc>
        <w:tc>
          <w:tcPr>
            <w:tcW w:w="993" w:type="dxa"/>
          </w:tcPr>
          <w:p w14:paraId="638EDDB5" w14:textId="5A6906AB" w:rsidR="00921E5F" w:rsidRPr="00EF54A4" w:rsidRDefault="00EF54A4" w:rsidP="004B0AB5">
            <w:pPr>
              <w:keepNext/>
              <w:keepLines/>
              <w:spacing w:before="40" w:after="40"/>
              <w:jc w:val="right"/>
            </w:pPr>
            <w:r w:rsidRPr="00EF54A4">
              <w:t>0.40</w:t>
            </w:r>
          </w:p>
        </w:tc>
        <w:tc>
          <w:tcPr>
            <w:tcW w:w="1134" w:type="dxa"/>
          </w:tcPr>
          <w:p w14:paraId="7ADC5971" w14:textId="78AE0293" w:rsidR="00921E5F" w:rsidRPr="00EF54A4" w:rsidRDefault="00EF54A4" w:rsidP="004B0AB5">
            <w:pPr>
              <w:keepNext/>
              <w:keepLines/>
              <w:spacing w:before="40" w:after="40"/>
              <w:jc w:val="right"/>
            </w:pPr>
            <w:r w:rsidRPr="00EF54A4">
              <w:t>0.40</w:t>
            </w:r>
          </w:p>
        </w:tc>
      </w:tr>
      <w:tr w:rsidR="00921E5F" w:rsidRPr="00EF54A4" w14:paraId="5D08C842" w14:textId="77777777" w:rsidTr="004B0AB5">
        <w:trPr>
          <w:cantSplit/>
        </w:trPr>
        <w:tc>
          <w:tcPr>
            <w:tcW w:w="7479" w:type="dxa"/>
          </w:tcPr>
          <w:p w14:paraId="62BAA5FA" w14:textId="247D7CD9" w:rsidR="00921E5F" w:rsidRPr="00EF54A4" w:rsidRDefault="00921E5F" w:rsidP="004B0AB5">
            <w:pPr>
              <w:keepNext/>
              <w:keepLines/>
              <w:spacing w:before="60" w:after="60"/>
              <w:ind w:left="720"/>
            </w:pPr>
            <w:r w:rsidRPr="00EF54A4">
              <w:t>Tasmania</w:t>
            </w:r>
          </w:p>
        </w:tc>
        <w:tc>
          <w:tcPr>
            <w:tcW w:w="993" w:type="dxa"/>
          </w:tcPr>
          <w:p w14:paraId="2D7E4C27" w14:textId="467FC6EA" w:rsidR="00921E5F" w:rsidRPr="00EF54A4" w:rsidRDefault="00EF54A4" w:rsidP="004B0AB5">
            <w:pPr>
              <w:keepNext/>
              <w:keepLines/>
              <w:spacing w:before="40" w:after="40"/>
              <w:jc w:val="right"/>
            </w:pPr>
            <w:r w:rsidRPr="00EF54A4">
              <w:t>0.25</w:t>
            </w:r>
          </w:p>
        </w:tc>
        <w:tc>
          <w:tcPr>
            <w:tcW w:w="1134" w:type="dxa"/>
          </w:tcPr>
          <w:p w14:paraId="613C2FF6" w14:textId="4D8A57C8" w:rsidR="00921E5F" w:rsidRPr="00EF54A4" w:rsidRDefault="00EF54A4" w:rsidP="004B0AB5">
            <w:pPr>
              <w:keepNext/>
              <w:keepLines/>
              <w:spacing w:before="40" w:after="40"/>
              <w:jc w:val="right"/>
            </w:pPr>
            <w:r w:rsidRPr="00EF54A4">
              <w:t>0.25</w:t>
            </w:r>
          </w:p>
        </w:tc>
      </w:tr>
      <w:tr w:rsidR="00921E5F" w:rsidRPr="00EF54A4" w14:paraId="5C9BEFEA" w14:textId="77777777" w:rsidTr="004B0AB5">
        <w:trPr>
          <w:cantSplit/>
        </w:trPr>
        <w:tc>
          <w:tcPr>
            <w:tcW w:w="7479" w:type="dxa"/>
          </w:tcPr>
          <w:p w14:paraId="5F248676" w14:textId="62CBCAA5" w:rsidR="00921E5F" w:rsidRPr="00EF54A4" w:rsidRDefault="00921E5F" w:rsidP="004B0AB5">
            <w:pPr>
              <w:keepNext/>
              <w:keepLines/>
              <w:spacing w:before="60" w:after="60"/>
              <w:ind w:left="720"/>
            </w:pPr>
            <w:r w:rsidRPr="00EF54A4">
              <w:t>Australian Capital Territory</w:t>
            </w:r>
          </w:p>
        </w:tc>
        <w:tc>
          <w:tcPr>
            <w:tcW w:w="993" w:type="dxa"/>
          </w:tcPr>
          <w:p w14:paraId="174741B9" w14:textId="421A358E" w:rsidR="00921E5F" w:rsidRPr="00EF54A4" w:rsidRDefault="00EF54A4" w:rsidP="004B0AB5">
            <w:pPr>
              <w:keepNext/>
              <w:keepLines/>
              <w:spacing w:before="40" w:after="40"/>
              <w:jc w:val="right"/>
            </w:pPr>
            <w:r w:rsidRPr="00EF54A4">
              <w:t>0.25</w:t>
            </w:r>
          </w:p>
        </w:tc>
        <w:tc>
          <w:tcPr>
            <w:tcW w:w="1134" w:type="dxa"/>
          </w:tcPr>
          <w:p w14:paraId="23B11C6B" w14:textId="7F151442" w:rsidR="00921E5F" w:rsidRPr="00EF54A4" w:rsidRDefault="00EF54A4" w:rsidP="004B0AB5">
            <w:pPr>
              <w:keepNext/>
              <w:keepLines/>
              <w:spacing w:before="40" w:after="40"/>
              <w:jc w:val="right"/>
            </w:pPr>
            <w:r w:rsidRPr="00EF54A4">
              <w:t>0.25</w:t>
            </w:r>
          </w:p>
        </w:tc>
      </w:tr>
      <w:tr w:rsidR="00921E5F" w:rsidRPr="00EF54A4" w14:paraId="3B725DA7" w14:textId="77777777" w:rsidTr="004B0AB5">
        <w:trPr>
          <w:cantSplit/>
        </w:trPr>
        <w:tc>
          <w:tcPr>
            <w:tcW w:w="7479" w:type="dxa"/>
          </w:tcPr>
          <w:p w14:paraId="248E3534" w14:textId="5CC6C87A" w:rsidR="00921E5F" w:rsidRPr="00EF54A4" w:rsidRDefault="00921E5F" w:rsidP="004B0AB5">
            <w:pPr>
              <w:keepNext/>
              <w:keepLines/>
              <w:spacing w:before="60" w:after="60"/>
              <w:ind w:left="720"/>
            </w:pPr>
            <w:r w:rsidRPr="00EF54A4">
              <w:t>Northern Territory</w:t>
            </w:r>
          </w:p>
        </w:tc>
        <w:tc>
          <w:tcPr>
            <w:tcW w:w="993" w:type="dxa"/>
            <w:tcBorders>
              <w:bottom w:val="single" w:sz="4" w:space="0" w:color="000080"/>
            </w:tcBorders>
          </w:tcPr>
          <w:p w14:paraId="7E9BD40B" w14:textId="410120E7" w:rsidR="00921E5F" w:rsidRPr="00EF54A4" w:rsidRDefault="00EF54A4" w:rsidP="004B0AB5">
            <w:pPr>
              <w:keepNext/>
              <w:keepLines/>
              <w:spacing w:before="40" w:after="40"/>
              <w:jc w:val="right"/>
            </w:pPr>
            <w:r w:rsidRPr="00EF54A4">
              <w:t>0.25</w:t>
            </w:r>
          </w:p>
        </w:tc>
        <w:tc>
          <w:tcPr>
            <w:tcW w:w="1134" w:type="dxa"/>
            <w:tcBorders>
              <w:bottom w:val="single" w:sz="4" w:space="0" w:color="000080"/>
            </w:tcBorders>
          </w:tcPr>
          <w:p w14:paraId="3B22A721" w14:textId="3DCE749A" w:rsidR="00921E5F" w:rsidRPr="00EF54A4" w:rsidRDefault="00EF54A4" w:rsidP="004B0AB5">
            <w:pPr>
              <w:keepNext/>
              <w:keepLines/>
              <w:spacing w:before="40" w:after="40"/>
              <w:jc w:val="right"/>
            </w:pPr>
            <w:r w:rsidRPr="00EF54A4">
              <w:t>0.25</w:t>
            </w:r>
          </w:p>
        </w:tc>
      </w:tr>
      <w:tr w:rsidR="00921E5F" w14:paraId="27FBF1CC" w14:textId="77777777" w:rsidTr="004B0AB5">
        <w:trPr>
          <w:cantSplit/>
        </w:trPr>
        <w:tc>
          <w:tcPr>
            <w:tcW w:w="7479" w:type="dxa"/>
            <w:tcBorders>
              <w:bottom w:val="single" w:sz="4" w:space="0" w:color="000080"/>
            </w:tcBorders>
          </w:tcPr>
          <w:p w14:paraId="2D7FA024" w14:textId="77777777" w:rsidR="00921E5F" w:rsidRPr="00EF54A4" w:rsidRDefault="00921E5F" w:rsidP="004B0AB5">
            <w:pPr>
              <w:keepNext/>
              <w:keepLines/>
              <w:spacing w:before="40" w:after="40"/>
            </w:pPr>
            <w:r w:rsidRPr="00EF54A4">
              <w:t>Balance of non-Commonwealth contributions</w:t>
            </w:r>
          </w:p>
        </w:tc>
        <w:tc>
          <w:tcPr>
            <w:tcW w:w="993" w:type="dxa"/>
            <w:tcBorders>
              <w:bottom w:val="single" w:sz="4" w:space="0" w:color="000080"/>
            </w:tcBorders>
          </w:tcPr>
          <w:p w14:paraId="142F6211" w14:textId="77777777" w:rsidR="00921E5F" w:rsidRPr="00EF54A4" w:rsidRDefault="00921E5F" w:rsidP="004B0AB5">
            <w:pPr>
              <w:keepNext/>
              <w:keepLines/>
              <w:spacing w:before="40" w:after="40"/>
              <w:jc w:val="right"/>
            </w:pPr>
            <w:r w:rsidRPr="00EF54A4">
              <w:t>0.0</w:t>
            </w:r>
          </w:p>
        </w:tc>
        <w:tc>
          <w:tcPr>
            <w:tcW w:w="1134" w:type="dxa"/>
            <w:tcBorders>
              <w:bottom w:val="single" w:sz="4" w:space="0" w:color="000080"/>
            </w:tcBorders>
          </w:tcPr>
          <w:p w14:paraId="78D1E99C" w14:textId="77777777" w:rsidR="00921E5F" w:rsidRPr="007A387F" w:rsidRDefault="00921E5F" w:rsidP="004B0AB5">
            <w:pPr>
              <w:keepNext/>
              <w:keepLines/>
              <w:spacing w:before="40" w:after="40"/>
              <w:jc w:val="right"/>
            </w:pPr>
            <w:r w:rsidRPr="00EF54A4">
              <w:t>0.0</w:t>
            </w:r>
          </w:p>
        </w:tc>
      </w:tr>
    </w:tbl>
    <w:p w14:paraId="0777D6C9" w14:textId="77777777" w:rsidR="00921E5F" w:rsidRDefault="00921E5F" w:rsidP="00921E5F">
      <w:pPr>
        <w:pStyle w:val="Normalnumbered"/>
        <w:numPr>
          <w:ilvl w:val="0"/>
          <w:numId w:val="0"/>
        </w:numPr>
      </w:pPr>
    </w:p>
    <w:p w14:paraId="27733358" w14:textId="77777777" w:rsidR="008E7527" w:rsidRDefault="008E7527" w:rsidP="00905AF4">
      <w:pPr>
        <w:pStyle w:val="Normalnumbered"/>
        <w:numPr>
          <w:ilvl w:val="0"/>
          <w:numId w:val="10"/>
        </w:numPr>
      </w:pPr>
      <w:r w:rsidRPr="00C738BD">
        <w:t xml:space="preserve">Having regard to the agreed estimated costs of projects specified in </w:t>
      </w:r>
      <w:r w:rsidR="006B43AF">
        <w:t>this</w:t>
      </w:r>
      <w:r>
        <w:t xml:space="preserve"> Agreement</w:t>
      </w:r>
      <w:r w:rsidRPr="00C738BD">
        <w:t>, a State or Territory will not be required to pay a refund to the Commonwealth if the actual cost of the project is less than the agreed</w:t>
      </w:r>
      <w:r w:rsidR="00515AF2">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098573AA" w14:textId="04861637" w:rsidR="00814667" w:rsidRDefault="003A2157">
      <w:pPr>
        <w:pStyle w:val="Heading1"/>
      </w:pPr>
      <w:bookmarkStart w:id="2" w:name="top"/>
      <w:bookmarkEnd w:id="2"/>
      <w:r>
        <w:t xml:space="preserve">Part </w:t>
      </w:r>
      <w:r w:rsidR="000B4080">
        <w:t>6</w:t>
      </w:r>
      <w:r w:rsidR="00814667">
        <w:t xml:space="preserve"> — </w:t>
      </w:r>
      <w:r w:rsidR="00024AD3">
        <w:t>Governance arrangements</w:t>
      </w:r>
    </w:p>
    <w:p w14:paraId="5FB2F92D" w14:textId="77777777" w:rsidR="00BC4728" w:rsidRDefault="00BC4728" w:rsidP="00BC4728">
      <w:pPr>
        <w:pStyle w:val="Heading2"/>
      </w:pPr>
      <w:r w:rsidRPr="006F096A">
        <w:t>Enforceability of the Agreement</w:t>
      </w:r>
    </w:p>
    <w:p w14:paraId="6A91E8C4" w14:textId="77777777" w:rsidR="00BC4728" w:rsidRPr="00C40EBC" w:rsidRDefault="00BC4728" w:rsidP="00905AF4">
      <w:pPr>
        <w:pStyle w:val="Normalnumbered"/>
        <w:numPr>
          <w:ilvl w:val="0"/>
          <w:numId w:val="10"/>
        </w:numPr>
        <w:spacing w:line="240" w:lineRule="auto"/>
      </w:pPr>
      <w:r>
        <w:rPr>
          <w:szCs w:val="23"/>
        </w:rPr>
        <w:t>The Parties do not intend any of the provisions of this Agreement to be legally enforceable. However, that does not lessen the Parties’ commitment to this Agreement.</w:t>
      </w:r>
    </w:p>
    <w:p w14:paraId="7A9B8E3A" w14:textId="77777777" w:rsidR="00814667" w:rsidRDefault="00814667">
      <w:pPr>
        <w:pStyle w:val="Heading2"/>
      </w:pPr>
      <w:r>
        <w:t>Variation of the Agreement</w:t>
      </w:r>
    </w:p>
    <w:p w14:paraId="36CFCA6B" w14:textId="1F3724F1" w:rsidR="00814667" w:rsidRPr="00DE36EB" w:rsidRDefault="00607B03" w:rsidP="00905AF4">
      <w:pPr>
        <w:pStyle w:val="Normalnumbered"/>
        <w:numPr>
          <w:ilvl w:val="0"/>
          <w:numId w:val="10"/>
        </w:numPr>
      </w:pPr>
      <w:r>
        <w:t>The A</w:t>
      </w:r>
      <w:r w:rsidR="00814667">
        <w:t xml:space="preserve">greement may be amended at any time by agreement in writing by </w:t>
      </w:r>
      <w:r w:rsidR="00814667" w:rsidRPr="00DE36EB">
        <w:t>all the Parties.</w:t>
      </w:r>
    </w:p>
    <w:p w14:paraId="5F772020" w14:textId="1F5C344B" w:rsidR="00292587" w:rsidRDefault="00C2605C" w:rsidP="00905AF4">
      <w:pPr>
        <w:pStyle w:val="Normalnumbered"/>
        <w:numPr>
          <w:ilvl w:val="0"/>
          <w:numId w:val="10"/>
        </w:numPr>
      </w:pPr>
      <w:r w:rsidRPr="00DE36EB">
        <w:t xml:space="preserve">A </w:t>
      </w:r>
      <w:r w:rsidR="00814667" w:rsidRPr="00DE36EB">
        <w:t>Party to the Agreement may terminate their part</w:t>
      </w:r>
      <w:r w:rsidR="00814667">
        <w:t xml:space="preserve">icipation in the Agreement at any time by notifying all </w:t>
      </w:r>
      <w:r>
        <w:t xml:space="preserve">Parties </w:t>
      </w:r>
      <w:r w:rsidR="00814667">
        <w:t>in writing.</w:t>
      </w:r>
    </w:p>
    <w:p w14:paraId="78185C3D" w14:textId="77777777" w:rsidR="009526E4" w:rsidRDefault="009526E4" w:rsidP="0036119D">
      <w:pPr>
        <w:pStyle w:val="Heading2"/>
      </w:pPr>
      <w:r>
        <w:t>Delegations</w:t>
      </w:r>
    </w:p>
    <w:p w14:paraId="59979096" w14:textId="77777777" w:rsidR="009526E4" w:rsidRDefault="009526E4" w:rsidP="00905AF4">
      <w:pPr>
        <w:pStyle w:val="Normalnumbered"/>
        <w:numPr>
          <w:ilvl w:val="0"/>
          <w:numId w:val="10"/>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2692B139" w14:textId="77777777" w:rsidR="0036119D" w:rsidRDefault="0036119D" w:rsidP="0036119D">
      <w:pPr>
        <w:pStyle w:val="Heading2"/>
      </w:pPr>
      <w:r>
        <w:t>Dispute resolution</w:t>
      </w:r>
    </w:p>
    <w:p w14:paraId="3E0479CE" w14:textId="683A8D59" w:rsidR="0036119D" w:rsidRPr="00DE36EB" w:rsidRDefault="0036119D" w:rsidP="00905AF4">
      <w:pPr>
        <w:pStyle w:val="Normalnumbered"/>
        <w:numPr>
          <w:ilvl w:val="0"/>
          <w:numId w:val="10"/>
        </w:numPr>
      </w:pPr>
      <w:r w:rsidRPr="00DE36EB">
        <w:t>Any</w:t>
      </w:r>
      <w:r w:rsidR="002B1C50" w:rsidRPr="00DE36EB">
        <w:t xml:space="preserve"> </w:t>
      </w:r>
      <w:r w:rsidRPr="00DE36EB">
        <w:t>Party may give notice to other Parties of a dispute under this Agreement.</w:t>
      </w:r>
    </w:p>
    <w:p w14:paraId="4CC1BC23" w14:textId="095C0F8B" w:rsidR="0036119D" w:rsidRPr="00DE36EB" w:rsidRDefault="0036119D" w:rsidP="00905AF4">
      <w:pPr>
        <w:pStyle w:val="Normalnumbered"/>
        <w:numPr>
          <w:ilvl w:val="0"/>
          <w:numId w:val="10"/>
        </w:numPr>
      </w:pPr>
      <w:r w:rsidRPr="00DE36EB">
        <w:t>Officials of relevant Parties will attempt to resolve any dispute in the first instance.</w:t>
      </w:r>
    </w:p>
    <w:p w14:paraId="3F5B5E8F" w14:textId="2D9C0803" w:rsidR="0036119D" w:rsidRDefault="0036119D" w:rsidP="00905AF4">
      <w:pPr>
        <w:pStyle w:val="Normalnumbered"/>
        <w:numPr>
          <w:ilvl w:val="0"/>
          <w:numId w:val="10"/>
        </w:numPr>
      </w:pPr>
      <w:r w:rsidRPr="00DE36EB">
        <w:t>If a dispute cannot be resolved by officials, it may be escalated to the relevant Ministers.</w:t>
      </w:r>
    </w:p>
    <w:p w14:paraId="48F87B4D" w14:textId="5231459A" w:rsidR="00320BE3" w:rsidRPr="00320BE3" w:rsidRDefault="00320BE3" w:rsidP="00320BE3">
      <w:pPr>
        <w:pStyle w:val="Heading2"/>
        <w:rPr>
          <w:b w:val="0"/>
          <w:sz w:val="23"/>
          <w:szCs w:val="23"/>
        </w:rPr>
      </w:pPr>
      <w:r>
        <w:lastRenderedPageBreak/>
        <w:t xml:space="preserve">Interpretation </w:t>
      </w:r>
    </w:p>
    <w:p w14:paraId="16F76C56" w14:textId="62CC0E78" w:rsidR="00320BE3" w:rsidRDefault="00320BE3" w:rsidP="00320BE3">
      <w:pPr>
        <w:pStyle w:val="Normalnumbered"/>
        <w:numPr>
          <w:ilvl w:val="0"/>
          <w:numId w:val="10"/>
        </w:numPr>
      </w:pPr>
      <w:r>
        <w:t>For the purposes of this Agreement, the following definitions apply:</w:t>
      </w:r>
    </w:p>
    <w:p w14:paraId="2D03EB98" w14:textId="38E0297A" w:rsidR="00320BE3" w:rsidRDefault="00320BE3" w:rsidP="00320BE3">
      <w:pPr>
        <w:pStyle w:val="AlphaParagraph"/>
        <w:numPr>
          <w:ilvl w:val="0"/>
          <w:numId w:val="19"/>
        </w:numPr>
        <w:tabs>
          <w:tab w:val="clear" w:pos="567"/>
          <w:tab w:val="clear" w:pos="1134"/>
          <w:tab w:val="num" w:pos="1200"/>
        </w:tabs>
        <w:ind w:firstLine="0"/>
      </w:pPr>
      <w:r w:rsidRPr="00320BE3">
        <w:rPr>
          <w:b/>
        </w:rPr>
        <w:t>Community</w:t>
      </w:r>
      <w:r>
        <w:t>: A social group with a commonality of association and generally defined by location, shared experience or function, and with a number of things in common such as culture, heritage, language</w:t>
      </w:r>
      <w:r w:rsidR="008E1381">
        <w:t>,</w:t>
      </w:r>
      <w:r>
        <w:t xml:space="preserve"> ethnicity, pastimes, occupation or workplace.</w:t>
      </w:r>
    </w:p>
    <w:p w14:paraId="7BC2D60C" w14:textId="551B3360" w:rsidR="00320BE3" w:rsidRDefault="00320BE3" w:rsidP="00320BE3">
      <w:pPr>
        <w:pStyle w:val="AlphaParagraph"/>
        <w:numPr>
          <w:ilvl w:val="0"/>
          <w:numId w:val="19"/>
        </w:numPr>
        <w:tabs>
          <w:tab w:val="clear" w:pos="567"/>
          <w:tab w:val="clear" w:pos="1134"/>
          <w:tab w:val="num" w:pos="1200"/>
        </w:tabs>
        <w:ind w:firstLine="0"/>
      </w:pPr>
      <w:r w:rsidRPr="000D5D06">
        <w:rPr>
          <w:b/>
        </w:rPr>
        <w:t>Disaster</w:t>
      </w:r>
      <w:r>
        <w:t xml:space="preserve">: A serious disruption </w:t>
      </w:r>
      <w:r w:rsidRPr="00320BE3">
        <w:t>of the functioning of a community or a society at any scale due to hazardous events interacting with conditions of exposure, vulnerability and capacity, leading to one or more of the following: human, material, economic and environmental losses and impacts</w:t>
      </w:r>
      <w:r>
        <w:t>.</w:t>
      </w:r>
    </w:p>
    <w:p w14:paraId="0F8EC9DD" w14:textId="60C213DF" w:rsidR="000D5D06" w:rsidRPr="000D5D06" w:rsidRDefault="000D5D06" w:rsidP="000D5D06">
      <w:pPr>
        <w:pStyle w:val="AlphaParagraph"/>
        <w:numPr>
          <w:ilvl w:val="0"/>
          <w:numId w:val="19"/>
        </w:numPr>
        <w:tabs>
          <w:tab w:val="clear" w:pos="567"/>
          <w:tab w:val="clear" w:pos="1134"/>
          <w:tab w:val="num" w:pos="1200"/>
        </w:tabs>
        <w:ind w:firstLine="0"/>
      </w:pPr>
      <w:r>
        <w:rPr>
          <w:b/>
        </w:rPr>
        <w:t>Hazardous event</w:t>
      </w:r>
      <w:r w:rsidRPr="000D5D06">
        <w:t>:</w:t>
      </w:r>
      <w:r>
        <w:t xml:space="preserve"> </w:t>
      </w:r>
      <w:r w:rsidRPr="000D5D06">
        <w:t xml:space="preserve">The manifestation of a </w:t>
      </w:r>
      <w:r>
        <w:t xml:space="preserve">natural </w:t>
      </w:r>
      <w:r w:rsidRPr="000D5D06">
        <w:t>hazard in a particular place during a particular period of time.</w:t>
      </w:r>
    </w:p>
    <w:p w14:paraId="52BE73B3" w14:textId="0F73968C" w:rsidR="000D5D06" w:rsidRDefault="000D5D06" w:rsidP="00320BE3">
      <w:pPr>
        <w:pStyle w:val="AlphaParagraph"/>
        <w:numPr>
          <w:ilvl w:val="0"/>
          <w:numId w:val="19"/>
        </w:numPr>
        <w:tabs>
          <w:tab w:val="clear" w:pos="567"/>
          <w:tab w:val="clear" w:pos="1134"/>
          <w:tab w:val="num" w:pos="1200"/>
        </w:tabs>
        <w:ind w:firstLine="0"/>
      </w:pPr>
      <w:r w:rsidRPr="003B292D">
        <w:rPr>
          <w:b/>
        </w:rPr>
        <w:t>Natural hazard</w:t>
      </w:r>
      <w:r>
        <w:t xml:space="preserve">: </w:t>
      </w:r>
      <w:r w:rsidRPr="000D5D06">
        <w:t xml:space="preserve">A </w:t>
      </w:r>
      <w:r>
        <w:t xml:space="preserve">natural </w:t>
      </w:r>
      <w:r w:rsidRPr="000D5D06">
        <w:t>process</w:t>
      </w:r>
      <w:r>
        <w:t xml:space="preserve"> or</w:t>
      </w:r>
      <w:r w:rsidRPr="000D5D06">
        <w:t xml:space="preserve"> phenomenon that may cause loss of life, injury or other health impacts, property damage, social and economic disruption or environmental degradation.</w:t>
      </w:r>
      <w:r>
        <w:t xml:space="preserve"> </w:t>
      </w:r>
      <w:bookmarkStart w:id="3" w:name="_GoBack"/>
      <w:bookmarkEnd w:id="3"/>
    </w:p>
    <w:p w14:paraId="4C49D5FA" w14:textId="63912828" w:rsidR="00320BE3" w:rsidRDefault="00320BE3" w:rsidP="00320BE3">
      <w:pPr>
        <w:pStyle w:val="AlphaParagraph"/>
        <w:numPr>
          <w:ilvl w:val="0"/>
          <w:numId w:val="19"/>
        </w:numPr>
        <w:tabs>
          <w:tab w:val="clear" w:pos="567"/>
          <w:tab w:val="clear" w:pos="1134"/>
          <w:tab w:val="num" w:pos="1200"/>
        </w:tabs>
        <w:ind w:firstLine="0"/>
      </w:pPr>
      <w:r w:rsidRPr="003B292D">
        <w:rPr>
          <w:b/>
        </w:rPr>
        <w:t>Preparedness</w:t>
      </w:r>
      <w:r>
        <w:t xml:space="preserve">: </w:t>
      </w:r>
      <w:r w:rsidR="000D5D06" w:rsidRPr="00320BE3">
        <w:t>The knowledge and capacities developed by government</w:t>
      </w:r>
      <w:r w:rsidR="000D5D06">
        <w:t>s, response and recovery organis</w:t>
      </w:r>
      <w:r w:rsidR="000D5D06" w:rsidRPr="00320BE3">
        <w:t>ations, communities and individuals to effectively anticipate, respond to and recover from the impacts of likely, imminent or current disasters</w:t>
      </w:r>
      <w:r w:rsidR="000D5D06">
        <w:t>.</w:t>
      </w:r>
    </w:p>
    <w:p w14:paraId="5F38328E" w14:textId="177C0A41" w:rsidR="00320BE3" w:rsidRDefault="00320BE3" w:rsidP="00320BE3">
      <w:pPr>
        <w:pStyle w:val="AlphaParagraph"/>
        <w:numPr>
          <w:ilvl w:val="0"/>
          <w:numId w:val="19"/>
        </w:numPr>
        <w:tabs>
          <w:tab w:val="clear" w:pos="567"/>
          <w:tab w:val="clear" w:pos="1134"/>
          <w:tab w:val="num" w:pos="1200"/>
        </w:tabs>
        <w:ind w:firstLine="0"/>
      </w:pPr>
      <w:r w:rsidRPr="003B292D">
        <w:rPr>
          <w:b/>
        </w:rPr>
        <w:t>Resilience</w:t>
      </w:r>
      <w:r>
        <w:t xml:space="preserve">: The ability of a system, community or society exposed to hazards to resist, absorb, accommodate, adapt to, transform and recover from the effects of a hazard in a timely and efficient manner, including through the preservation and restoration of its essential basic structures and functions through risk management. </w:t>
      </w:r>
    </w:p>
    <w:p w14:paraId="311872AD" w14:textId="77777777" w:rsidR="00320BE3" w:rsidRDefault="00320BE3" w:rsidP="00E64536">
      <w:pPr>
        <w:pStyle w:val="Normalnumbered"/>
        <w:numPr>
          <w:ilvl w:val="0"/>
          <w:numId w:val="0"/>
        </w:numPr>
        <w:ind w:left="360" w:hanging="360"/>
      </w:pPr>
    </w:p>
    <w:p w14:paraId="567187A4" w14:textId="77777777" w:rsidR="00E64536" w:rsidRPr="00DE36EB" w:rsidRDefault="00E64536" w:rsidP="003B292D">
      <w:pPr>
        <w:pStyle w:val="Normalnumbered"/>
        <w:numPr>
          <w:ilvl w:val="0"/>
          <w:numId w:val="0"/>
        </w:numPr>
      </w:pPr>
    </w:p>
    <w:p w14:paraId="695F6C06" w14:textId="77777777" w:rsidR="0036119D" w:rsidRDefault="0036119D" w:rsidP="000614F9">
      <w:pPr>
        <w:pStyle w:val="Normalnumbered"/>
        <w:numPr>
          <w:ilvl w:val="0"/>
          <w:numId w:val="0"/>
        </w:numPr>
        <w:jc w:val="left"/>
        <w:sectPr w:rsidR="0036119D" w:rsidSect="00CB670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titlePg/>
          <w:docGrid w:linePitch="360"/>
        </w:sectPr>
      </w:pPr>
    </w:p>
    <w:p w14:paraId="0CC00DA1"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679"/>
        <w:gridCol w:w="284"/>
        <w:gridCol w:w="4536"/>
      </w:tblGrid>
      <w:tr w:rsidR="00814667" w:rsidRPr="00A50751" w14:paraId="0C11456E" w14:textId="77777777" w:rsidTr="001738F3">
        <w:trPr>
          <w:cantSplit/>
          <w:jc w:val="center"/>
        </w:trPr>
        <w:tc>
          <w:tcPr>
            <w:tcW w:w="4679" w:type="dxa"/>
          </w:tcPr>
          <w:p w14:paraId="3ED79F19"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70FF521A" w14:textId="77777777" w:rsidR="00814667" w:rsidRPr="00A50751" w:rsidRDefault="00814667">
            <w:pPr>
              <w:pStyle w:val="LineForSignature"/>
            </w:pPr>
            <w:r>
              <w:tab/>
            </w:r>
          </w:p>
          <w:p w14:paraId="0DFDAF5A" w14:textId="0917B156" w:rsidR="00814667" w:rsidRDefault="001738F3">
            <w:pPr>
              <w:pStyle w:val="SingleParagraph"/>
              <w:rPr>
                <w:rStyle w:val="Bold"/>
              </w:rPr>
            </w:pPr>
            <w:r>
              <w:rPr>
                <w:rStyle w:val="Bold"/>
              </w:rPr>
              <w:t>Senator t</w:t>
            </w:r>
            <w:r w:rsidR="00814667">
              <w:rPr>
                <w:rStyle w:val="Bold"/>
              </w:rPr>
              <w:t xml:space="preserve">he Honourable </w:t>
            </w:r>
            <w:r>
              <w:rPr>
                <w:rStyle w:val="Bold"/>
              </w:rPr>
              <w:t>Linda Reynolds CSC</w:t>
            </w:r>
          </w:p>
          <w:p w14:paraId="583CC591" w14:textId="595EE475" w:rsidR="00814667" w:rsidRDefault="001738F3">
            <w:pPr>
              <w:pStyle w:val="Position"/>
              <w:rPr>
                <w:lang w:val="en-GB"/>
              </w:rPr>
            </w:pPr>
            <w:r>
              <w:rPr>
                <w:lang w:val="en-GB"/>
              </w:rPr>
              <w:t>Assistant Minister for Home Affairs</w:t>
            </w:r>
            <w:r w:rsidR="0099742A">
              <w:rPr>
                <w:lang w:val="en-GB"/>
              </w:rPr>
              <w:t xml:space="preserve"> </w:t>
            </w:r>
          </w:p>
          <w:p w14:paraId="2E743C85" w14:textId="71D39BDC" w:rsidR="00814667" w:rsidRDefault="001738F3">
            <w:pPr>
              <w:pStyle w:val="SingleParagraph"/>
              <w:tabs>
                <w:tab w:val="num" w:pos="1134"/>
              </w:tabs>
              <w:spacing w:after="240"/>
              <w:ind w:left="1134" w:hanging="567"/>
              <w:rPr>
                <w:b/>
                <w:lang w:val="en-GB"/>
              </w:rPr>
            </w:pPr>
            <w:r>
              <w:rPr>
                <w:lang w:val="en-GB"/>
              </w:rPr>
              <w:t xml:space="preserve">     /                 /</w:t>
            </w:r>
          </w:p>
        </w:tc>
        <w:tc>
          <w:tcPr>
            <w:tcW w:w="284" w:type="dxa"/>
            <w:tcMar>
              <w:left w:w="0" w:type="dxa"/>
              <w:right w:w="0" w:type="dxa"/>
            </w:tcMar>
          </w:tcPr>
          <w:p w14:paraId="3C4282EC" w14:textId="77777777" w:rsidR="00814667" w:rsidRPr="00A50751" w:rsidRDefault="00814667">
            <w:pPr>
              <w:rPr>
                <w:rFonts w:ascii="Book Antiqua" w:hAnsi="Book Antiqua"/>
                <w:lang w:val="en-GB"/>
              </w:rPr>
            </w:pPr>
          </w:p>
        </w:tc>
        <w:tc>
          <w:tcPr>
            <w:tcW w:w="4536" w:type="dxa"/>
          </w:tcPr>
          <w:p w14:paraId="5EA571F2" w14:textId="77777777" w:rsidR="00814667" w:rsidRPr="00A50751" w:rsidRDefault="00814667">
            <w:pPr>
              <w:rPr>
                <w:rFonts w:ascii="Book Antiqua" w:hAnsi="Book Antiqua"/>
                <w:lang w:val="en-GB"/>
              </w:rPr>
            </w:pPr>
          </w:p>
        </w:tc>
      </w:tr>
      <w:tr w:rsidR="00814667" w:rsidRPr="00A50751" w14:paraId="6AD75CA0" w14:textId="77777777" w:rsidTr="001738F3">
        <w:trPr>
          <w:cantSplit/>
          <w:jc w:val="center"/>
        </w:trPr>
        <w:tc>
          <w:tcPr>
            <w:tcW w:w="4679" w:type="dxa"/>
          </w:tcPr>
          <w:p w14:paraId="0DA151C0"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0C9DC7D" w14:textId="77777777" w:rsidR="00814667" w:rsidRPr="00A50751" w:rsidRDefault="00814667">
            <w:pPr>
              <w:pStyle w:val="SingleParagraph"/>
              <w:rPr>
                <w:rFonts w:ascii="Book Antiqua" w:hAnsi="Book Antiqua"/>
                <w:lang w:val="en-GB"/>
              </w:rPr>
            </w:pPr>
          </w:p>
        </w:tc>
        <w:tc>
          <w:tcPr>
            <w:tcW w:w="4536" w:type="dxa"/>
          </w:tcPr>
          <w:p w14:paraId="5B1C618E" w14:textId="77777777" w:rsidR="00814667" w:rsidRPr="00A50751" w:rsidRDefault="00814667">
            <w:pPr>
              <w:pStyle w:val="SingleParagraph"/>
              <w:rPr>
                <w:rFonts w:ascii="Book Antiqua" w:hAnsi="Book Antiqua"/>
                <w:lang w:val="en-GB"/>
              </w:rPr>
            </w:pPr>
          </w:p>
        </w:tc>
      </w:tr>
      <w:tr w:rsidR="00814667" w:rsidRPr="00A50751" w14:paraId="4FDFF29F" w14:textId="77777777" w:rsidTr="001738F3">
        <w:trPr>
          <w:cantSplit/>
          <w:jc w:val="center"/>
        </w:trPr>
        <w:tc>
          <w:tcPr>
            <w:tcW w:w="4679" w:type="dxa"/>
          </w:tcPr>
          <w:p w14:paraId="63095BD6" w14:textId="77777777" w:rsidR="00814667" w:rsidRPr="004A0AE7" w:rsidRDefault="00814667">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State">
              <w:smartTag w:uri="urn:schemas-microsoft-com:office:smarttags" w:element="place">
                <w:r w:rsidRPr="004A0AE7">
                  <w:t>New South Wales</w:t>
                </w:r>
              </w:smartTag>
            </w:smartTag>
            <w:r w:rsidRPr="004A0AE7">
              <w:t xml:space="preserve"> by</w:t>
            </w:r>
          </w:p>
          <w:p w14:paraId="7915085D" w14:textId="77777777" w:rsidR="00814667" w:rsidRPr="00A50751" w:rsidRDefault="00814667">
            <w:pPr>
              <w:pStyle w:val="LineForSignature"/>
            </w:pPr>
            <w:r w:rsidRPr="00A50751">
              <w:tab/>
            </w:r>
          </w:p>
          <w:p w14:paraId="36EEE001" w14:textId="3E634D1A" w:rsidR="00814667" w:rsidRDefault="00814667">
            <w:pPr>
              <w:pStyle w:val="SingleParagraph"/>
              <w:rPr>
                <w:rStyle w:val="Bold"/>
              </w:rPr>
            </w:pPr>
            <w:r>
              <w:rPr>
                <w:rStyle w:val="Bold"/>
              </w:rPr>
              <w:t xml:space="preserve">The Honourable </w:t>
            </w:r>
            <w:r w:rsidR="001738F3">
              <w:rPr>
                <w:rStyle w:val="Bold"/>
              </w:rPr>
              <w:t>Troy Grant</w:t>
            </w:r>
            <w:r w:rsidR="0099742A">
              <w:rPr>
                <w:rStyle w:val="Bold"/>
              </w:rPr>
              <w:t xml:space="preserve"> </w:t>
            </w:r>
            <w:r>
              <w:rPr>
                <w:rStyle w:val="Bold"/>
              </w:rPr>
              <w:t>MP</w:t>
            </w:r>
          </w:p>
          <w:p w14:paraId="051468E6" w14:textId="0B1F4C37" w:rsidR="00542A8C" w:rsidRDefault="00542A8C" w:rsidP="00542A8C">
            <w:pPr>
              <w:pStyle w:val="Position"/>
              <w:rPr>
                <w:lang w:val="en-GB"/>
              </w:rPr>
            </w:pPr>
            <w:r>
              <w:rPr>
                <w:lang w:val="en-GB"/>
              </w:rPr>
              <w:t xml:space="preserve">Minister for </w:t>
            </w:r>
            <w:r w:rsidR="001738F3">
              <w:rPr>
                <w:lang w:val="en-GB"/>
              </w:rPr>
              <w:t>Emergency Services</w:t>
            </w:r>
            <w:r>
              <w:rPr>
                <w:lang w:val="en-GB"/>
              </w:rPr>
              <w:t xml:space="preserve"> </w:t>
            </w:r>
          </w:p>
          <w:p w14:paraId="7B08ED8F" w14:textId="2DEE838E" w:rsidR="00814667" w:rsidRPr="00A50751" w:rsidRDefault="001738F3">
            <w:pPr>
              <w:pStyle w:val="SingleParagraph"/>
              <w:tabs>
                <w:tab w:val="num" w:pos="1134"/>
              </w:tabs>
              <w:spacing w:after="240"/>
              <w:ind w:left="1134" w:hanging="567"/>
              <w:rPr>
                <w:szCs w:val="22"/>
                <w:lang w:val="en-GB"/>
              </w:rPr>
            </w:pPr>
            <w:r>
              <w:rPr>
                <w:lang w:val="en-GB"/>
              </w:rPr>
              <w:t xml:space="preserve">     /                 /</w:t>
            </w:r>
          </w:p>
        </w:tc>
        <w:tc>
          <w:tcPr>
            <w:tcW w:w="284" w:type="dxa"/>
            <w:tcMar>
              <w:left w:w="0" w:type="dxa"/>
              <w:right w:w="0" w:type="dxa"/>
            </w:tcMar>
          </w:tcPr>
          <w:p w14:paraId="208E7505" w14:textId="77777777" w:rsidR="00814667" w:rsidRPr="00A50751" w:rsidRDefault="00814667">
            <w:pPr>
              <w:rPr>
                <w:rFonts w:ascii="Book Antiqua" w:hAnsi="Book Antiqua"/>
                <w:lang w:val="en-GB"/>
              </w:rPr>
            </w:pPr>
          </w:p>
        </w:tc>
        <w:tc>
          <w:tcPr>
            <w:tcW w:w="4536" w:type="dxa"/>
          </w:tcPr>
          <w:p w14:paraId="142C1437"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Victoria</w:t>
                </w:r>
              </w:smartTag>
            </w:smartTag>
            <w:r w:rsidRPr="004A0AE7">
              <w:t xml:space="preserve"> by</w:t>
            </w:r>
          </w:p>
          <w:p w14:paraId="7A103BD2" w14:textId="77777777" w:rsidR="00814667" w:rsidRPr="00A50751" w:rsidRDefault="00814667">
            <w:pPr>
              <w:pStyle w:val="LineForSignature"/>
            </w:pPr>
            <w:r w:rsidRPr="00A50751">
              <w:tab/>
            </w:r>
          </w:p>
          <w:p w14:paraId="5BD3F02F" w14:textId="43960175" w:rsidR="00814667" w:rsidRDefault="00814667">
            <w:pPr>
              <w:pStyle w:val="SingleParagraph"/>
              <w:rPr>
                <w:rStyle w:val="Bold"/>
              </w:rPr>
            </w:pPr>
            <w:r>
              <w:rPr>
                <w:rStyle w:val="Bold"/>
              </w:rPr>
              <w:t xml:space="preserve">The Honourable </w:t>
            </w:r>
            <w:r w:rsidR="001738F3">
              <w:rPr>
                <w:rStyle w:val="Bold"/>
              </w:rPr>
              <w:t>Lisa Neville</w:t>
            </w:r>
            <w:r w:rsidR="0099742A">
              <w:rPr>
                <w:rStyle w:val="Bold"/>
              </w:rPr>
              <w:t xml:space="preserve"> </w:t>
            </w:r>
            <w:r>
              <w:rPr>
                <w:rStyle w:val="Bold"/>
              </w:rPr>
              <w:t>MP</w:t>
            </w:r>
          </w:p>
          <w:p w14:paraId="6CB20F84" w14:textId="6796B2BA" w:rsidR="00542A8C" w:rsidRDefault="00542A8C" w:rsidP="00542A8C">
            <w:pPr>
              <w:pStyle w:val="Position"/>
              <w:rPr>
                <w:lang w:val="en-GB"/>
              </w:rPr>
            </w:pPr>
            <w:r>
              <w:rPr>
                <w:lang w:val="en-GB"/>
              </w:rPr>
              <w:t xml:space="preserve">Minister for </w:t>
            </w:r>
            <w:r w:rsidR="001738F3">
              <w:rPr>
                <w:lang w:val="en-GB"/>
              </w:rPr>
              <w:t>Police and Emergency Services</w:t>
            </w:r>
            <w:r>
              <w:rPr>
                <w:lang w:val="en-GB"/>
              </w:rPr>
              <w:t xml:space="preserve"> </w:t>
            </w:r>
          </w:p>
          <w:p w14:paraId="060A2FFF" w14:textId="7A5E227C" w:rsidR="00814667" w:rsidRPr="00A50751" w:rsidRDefault="001738F3">
            <w:pPr>
              <w:pStyle w:val="SingleParagraph"/>
              <w:tabs>
                <w:tab w:val="num" w:pos="1134"/>
              </w:tabs>
              <w:spacing w:after="240"/>
              <w:ind w:left="1134" w:hanging="567"/>
              <w:rPr>
                <w:lang w:val="en-GB"/>
              </w:rPr>
            </w:pPr>
            <w:r>
              <w:rPr>
                <w:lang w:val="en-GB"/>
              </w:rPr>
              <w:t xml:space="preserve">     /                 /</w:t>
            </w:r>
          </w:p>
        </w:tc>
      </w:tr>
      <w:tr w:rsidR="00814667" w:rsidRPr="00A50751" w14:paraId="3F32D6B7" w14:textId="77777777" w:rsidTr="001738F3">
        <w:trPr>
          <w:cantSplit/>
          <w:jc w:val="center"/>
        </w:trPr>
        <w:tc>
          <w:tcPr>
            <w:tcW w:w="4679" w:type="dxa"/>
          </w:tcPr>
          <w:p w14:paraId="5D6BA550"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5B1C8F4" w14:textId="77777777" w:rsidR="00814667" w:rsidRPr="00A50751" w:rsidRDefault="00814667">
            <w:pPr>
              <w:pStyle w:val="SingleParagraph"/>
              <w:rPr>
                <w:rFonts w:ascii="Book Antiqua" w:hAnsi="Book Antiqua"/>
                <w:lang w:val="en-GB"/>
              </w:rPr>
            </w:pPr>
          </w:p>
        </w:tc>
        <w:tc>
          <w:tcPr>
            <w:tcW w:w="4536" w:type="dxa"/>
          </w:tcPr>
          <w:p w14:paraId="1076F8C8" w14:textId="77777777" w:rsidR="00814667" w:rsidRPr="00A50751" w:rsidRDefault="00814667">
            <w:pPr>
              <w:pStyle w:val="SingleParagraph"/>
              <w:rPr>
                <w:rFonts w:ascii="Book Antiqua" w:hAnsi="Book Antiqua"/>
                <w:lang w:val="en-GB"/>
              </w:rPr>
            </w:pPr>
          </w:p>
        </w:tc>
      </w:tr>
      <w:tr w:rsidR="00814667" w:rsidRPr="00A50751" w14:paraId="20BB7970" w14:textId="77777777" w:rsidTr="001738F3">
        <w:trPr>
          <w:cantSplit/>
          <w:jc w:val="center"/>
        </w:trPr>
        <w:tc>
          <w:tcPr>
            <w:tcW w:w="4679" w:type="dxa"/>
          </w:tcPr>
          <w:p w14:paraId="1C63FDF4"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Queensland</w:t>
                </w:r>
              </w:smartTag>
            </w:smartTag>
            <w:r w:rsidRPr="004A0AE7">
              <w:t xml:space="preserve"> by</w:t>
            </w:r>
          </w:p>
          <w:p w14:paraId="43123A74" w14:textId="77777777" w:rsidR="00814667" w:rsidRPr="00A50751" w:rsidRDefault="00814667">
            <w:pPr>
              <w:pStyle w:val="LineForSignature"/>
            </w:pPr>
            <w:r w:rsidRPr="00A50751">
              <w:tab/>
            </w:r>
          </w:p>
          <w:p w14:paraId="2D59528D" w14:textId="62D64E09" w:rsidR="00814667" w:rsidRDefault="00814667">
            <w:pPr>
              <w:pStyle w:val="SingleParagraph"/>
              <w:rPr>
                <w:b/>
              </w:rPr>
            </w:pPr>
            <w:r>
              <w:rPr>
                <w:b/>
              </w:rPr>
              <w:t xml:space="preserve">The Honourable </w:t>
            </w:r>
            <w:r w:rsidR="001F70FF">
              <w:rPr>
                <w:rStyle w:val="Bold"/>
              </w:rPr>
              <w:t>Cameron Dick</w:t>
            </w:r>
            <w:r w:rsidR="0099742A">
              <w:rPr>
                <w:rStyle w:val="Bold"/>
              </w:rPr>
              <w:t xml:space="preserve"> </w:t>
            </w:r>
            <w:r>
              <w:rPr>
                <w:b/>
              </w:rPr>
              <w:t>MP</w:t>
            </w:r>
          </w:p>
          <w:p w14:paraId="56C0BFF7" w14:textId="36DAC00C" w:rsidR="00542A8C" w:rsidRDefault="00542A8C" w:rsidP="00542A8C">
            <w:pPr>
              <w:pStyle w:val="Position"/>
              <w:rPr>
                <w:lang w:val="en-GB"/>
              </w:rPr>
            </w:pPr>
            <w:r>
              <w:rPr>
                <w:lang w:val="en-GB"/>
              </w:rPr>
              <w:t xml:space="preserve">Minister for </w:t>
            </w:r>
            <w:r w:rsidR="006721A2">
              <w:rPr>
                <w:lang w:val="en-GB"/>
              </w:rPr>
              <w:t>State Development, Manufacturing, Infrastructure and Planning</w:t>
            </w:r>
            <w:r>
              <w:rPr>
                <w:lang w:val="en-GB"/>
              </w:rPr>
              <w:t xml:space="preserve"> </w:t>
            </w:r>
          </w:p>
          <w:p w14:paraId="3B915147" w14:textId="74C75567" w:rsidR="00814667" w:rsidRPr="00A50751" w:rsidRDefault="001738F3">
            <w:pPr>
              <w:pStyle w:val="SingleParagraph"/>
              <w:tabs>
                <w:tab w:val="num" w:pos="1134"/>
              </w:tabs>
              <w:spacing w:after="240"/>
              <w:ind w:left="1134" w:hanging="567"/>
              <w:rPr>
                <w:lang w:val="en-GB"/>
              </w:rPr>
            </w:pPr>
            <w:r>
              <w:rPr>
                <w:lang w:val="en-GB"/>
              </w:rPr>
              <w:t xml:space="preserve">     /                 /</w:t>
            </w:r>
          </w:p>
        </w:tc>
        <w:tc>
          <w:tcPr>
            <w:tcW w:w="284" w:type="dxa"/>
            <w:tcMar>
              <w:left w:w="0" w:type="dxa"/>
              <w:right w:w="0" w:type="dxa"/>
            </w:tcMar>
          </w:tcPr>
          <w:p w14:paraId="50E7F5DF" w14:textId="77777777" w:rsidR="00814667" w:rsidRPr="00A50751" w:rsidRDefault="00814667">
            <w:pPr>
              <w:rPr>
                <w:rFonts w:ascii="Book Antiqua" w:hAnsi="Book Antiqua"/>
                <w:lang w:val="en-GB"/>
              </w:rPr>
            </w:pPr>
          </w:p>
        </w:tc>
        <w:tc>
          <w:tcPr>
            <w:tcW w:w="4536" w:type="dxa"/>
          </w:tcPr>
          <w:p w14:paraId="6DD0471F"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Western Australia</w:t>
                </w:r>
              </w:smartTag>
            </w:smartTag>
            <w:r w:rsidRPr="004A0AE7">
              <w:t xml:space="preserve"> by</w:t>
            </w:r>
          </w:p>
          <w:p w14:paraId="6A456BAB" w14:textId="77777777" w:rsidR="00814667" w:rsidRPr="00A50751" w:rsidRDefault="00814667">
            <w:pPr>
              <w:pStyle w:val="LineForSignature"/>
            </w:pPr>
            <w:r w:rsidRPr="00A50751">
              <w:tab/>
            </w:r>
          </w:p>
          <w:p w14:paraId="04405F42" w14:textId="72F3D43C" w:rsidR="00814667" w:rsidRDefault="00814667">
            <w:pPr>
              <w:pStyle w:val="SingleParagraph"/>
              <w:rPr>
                <w:rStyle w:val="Bold"/>
              </w:rPr>
            </w:pPr>
            <w:r>
              <w:rPr>
                <w:rStyle w:val="Bold"/>
              </w:rPr>
              <w:t xml:space="preserve">The Honourable </w:t>
            </w:r>
            <w:r w:rsidR="000D106A">
              <w:rPr>
                <w:rStyle w:val="Bold"/>
              </w:rPr>
              <w:t>Francis Logan</w:t>
            </w:r>
            <w:r w:rsidR="0099742A">
              <w:rPr>
                <w:rStyle w:val="Bold"/>
              </w:rPr>
              <w:t xml:space="preserve"> </w:t>
            </w:r>
            <w:r w:rsidR="000D106A">
              <w:rPr>
                <w:rStyle w:val="Bold"/>
              </w:rPr>
              <w:t>MLA</w:t>
            </w:r>
          </w:p>
          <w:p w14:paraId="34931C2D" w14:textId="12BFA825" w:rsidR="00542A8C" w:rsidRDefault="00542A8C" w:rsidP="00542A8C">
            <w:pPr>
              <w:pStyle w:val="Position"/>
              <w:rPr>
                <w:lang w:val="en-GB"/>
              </w:rPr>
            </w:pPr>
            <w:r>
              <w:rPr>
                <w:lang w:val="en-GB"/>
              </w:rPr>
              <w:t>Minister for</w:t>
            </w:r>
            <w:r w:rsidR="000D106A">
              <w:rPr>
                <w:lang w:val="en-GB"/>
              </w:rPr>
              <w:t xml:space="preserve"> Emergency Services </w:t>
            </w:r>
          </w:p>
          <w:p w14:paraId="0AACC2D7" w14:textId="62FDECE7" w:rsidR="00814667" w:rsidRPr="00A50751" w:rsidRDefault="001738F3">
            <w:pPr>
              <w:pStyle w:val="SingleParagraph"/>
              <w:tabs>
                <w:tab w:val="num" w:pos="1134"/>
              </w:tabs>
              <w:spacing w:after="240"/>
              <w:ind w:left="1134" w:hanging="567"/>
              <w:rPr>
                <w:lang w:val="en-GB"/>
              </w:rPr>
            </w:pPr>
            <w:r>
              <w:rPr>
                <w:lang w:val="en-GB"/>
              </w:rPr>
              <w:t xml:space="preserve">     /                 /</w:t>
            </w:r>
          </w:p>
        </w:tc>
      </w:tr>
      <w:tr w:rsidR="00814667" w:rsidRPr="00A50751" w14:paraId="10D02121" w14:textId="77777777" w:rsidTr="001738F3">
        <w:trPr>
          <w:cantSplit/>
          <w:jc w:val="center"/>
        </w:trPr>
        <w:tc>
          <w:tcPr>
            <w:tcW w:w="4679" w:type="dxa"/>
          </w:tcPr>
          <w:p w14:paraId="532E9487"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3D04ECE3" w14:textId="77777777" w:rsidR="00814667" w:rsidRPr="00A50751" w:rsidRDefault="00814667">
            <w:pPr>
              <w:pStyle w:val="SingleParagraph"/>
              <w:rPr>
                <w:rFonts w:ascii="Book Antiqua" w:hAnsi="Book Antiqua"/>
                <w:lang w:val="en-GB"/>
              </w:rPr>
            </w:pPr>
          </w:p>
        </w:tc>
        <w:tc>
          <w:tcPr>
            <w:tcW w:w="4536" w:type="dxa"/>
          </w:tcPr>
          <w:p w14:paraId="0100A53F" w14:textId="77777777" w:rsidR="00814667" w:rsidRPr="00A50751" w:rsidRDefault="00814667">
            <w:pPr>
              <w:pStyle w:val="SingleParagraph"/>
              <w:rPr>
                <w:rFonts w:ascii="Book Antiqua" w:hAnsi="Book Antiqua"/>
                <w:lang w:val="en-GB"/>
              </w:rPr>
            </w:pPr>
          </w:p>
        </w:tc>
      </w:tr>
      <w:tr w:rsidR="00814667" w:rsidRPr="00A50751" w14:paraId="05549445" w14:textId="77777777" w:rsidTr="001738F3">
        <w:trPr>
          <w:cantSplit/>
          <w:trHeight w:val="143"/>
          <w:jc w:val="center"/>
        </w:trPr>
        <w:tc>
          <w:tcPr>
            <w:tcW w:w="4679" w:type="dxa"/>
          </w:tcPr>
          <w:p w14:paraId="1B93AE28"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0B8CF83C" w14:textId="77777777" w:rsidR="00814667" w:rsidRPr="00A50751" w:rsidRDefault="00814667">
            <w:pPr>
              <w:pStyle w:val="LineForSignature"/>
            </w:pPr>
            <w:r w:rsidRPr="00A50751">
              <w:tab/>
            </w:r>
          </w:p>
          <w:p w14:paraId="3A1BBA66" w14:textId="0FACC254" w:rsidR="00814667" w:rsidRDefault="00814667">
            <w:pPr>
              <w:pStyle w:val="SingleParagraph"/>
              <w:rPr>
                <w:rStyle w:val="Bold"/>
              </w:rPr>
            </w:pPr>
            <w:r>
              <w:rPr>
                <w:rStyle w:val="Bold"/>
              </w:rPr>
              <w:t xml:space="preserve">The Honourable </w:t>
            </w:r>
            <w:r w:rsidR="00384092">
              <w:rPr>
                <w:rStyle w:val="Bold"/>
              </w:rPr>
              <w:t>Corey Wingard</w:t>
            </w:r>
            <w:r w:rsidR="0099742A">
              <w:rPr>
                <w:rStyle w:val="Bold"/>
              </w:rPr>
              <w:t xml:space="preserve"> </w:t>
            </w:r>
            <w:r>
              <w:rPr>
                <w:rStyle w:val="Bold"/>
              </w:rPr>
              <w:t xml:space="preserve"> MP</w:t>
            </w:r>
          </w:p>
          <w:p w14:paraId="54CABDC6" w14:textId="3DA89DD3" w:rsidR="00542A8C" w:rsidRDefault="00542A8C" w:rsidP="00542A8C">
            <w:pPr>
              <w:pStyle w:val="Position"/>
              <w:rPr>
                <w:lang w:val="en-GB"/>
              </w:rPr>
            </w:pPr>
            <w:r>
              <w:rPr>
                <w:lang w:val="en-GB"/>
              </w:rPr>
              <w:t xml:space="preserve">Minister for </w:t>
            </w:r>
            <w:r w:rsidR="000D106A">
              <w:rPr>
                <w:lang w:val="en-GB"/>
              </w:rPr>
              <w:t>Police, Emergency Services and Correctional Services</w:t>
            </w:r>
            <w:r>
              <w:rPr>
                <w:lang w:val="en-GB"/>
              </w:rPr>
              <w:t xml:space="preserve"> </w:t>
            </w:r>
          </w:p>
          <w:p w14:paraId="00DF2781" w14:textId="14E34EC7" w:rsidR="00814667" w:rsidRPr="00A50751" w:rsidRDefault="001738F3">
            <w:pPr>
              <w:pStyle w:val="SingleParagraph"/>
              <w:tabs>
                <w:tab w:val="num" w:pos="1134"/>
              </w:tabs>
              <w:spacing w:after="240"/>
              <w:ind w:left="1134" w:hanging="567"/>
              <w:rPr>
                <w:lang w:val="en-GB"/>
              </w:rPr>
            </w:pPr>
            <w:r>
              <w:rPr>
                <w:lang w:val="en-GB"/>
              </w:rPr>
              <w:t xml:space="preserve">     /                 /</w:t>
            </w:r>
          </w:p>
        </w:tc>
        <w:tc>
          <w:tcPr>
            <w:tcW w:w="284" w:type="dxa"/>
            <w:tcMar>
              <w:left w:w="0" w:type="dxa"/>
              <w:right w:w="0" w:type="dxa"/>
            </w:tcMar>
          </w:tcPr>
          <w:p w14:paraId="0BFB39C9" w14:textId="77777777" w:rsidR="00814667" w:rsidRPr="00A50751" w:rsidRDefault="00814667">
            <w:pPr>
              <w:rPr>
                <w:rFonts w:ascii="Book Antiqua" w:hAnsi="Book Antiqua"/>
                <w:lang w:val="en-GB"/>
              </w:rPr>
            </w:pPr>
          </w:p>
        </w:tc>
        <w:tc>
          <w:tcPr>
            <w:tcW w:w="4536" w:type="dxa"/>
          </w:tcPr>
          <w:p w14:paraId="3FE49728"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Tasmania</w:t>
                </w:r>
              </w:smartTag>
            </w:smartTag>
            <w:r w:rsidRPr="004A0AE7">
              <w:t xml:space="preserve"> by</w:t>
            </w:r>
          </w:p>
          <w:p w14:paraId="3F87B548" w14:textId="77777777" w:rsidR="00814667" w:rsidRPr="00A50751" w:rsidRDefault="00814667">
            <w:pPr>
              <w:pStyle w:val="LineForSignature"/>
            </w:pPr>
            <w:r w:rsidRPr="00A50751">
              <w:tab/>
            </w:r>
          </w:p>
          <w:p w14:paraId="544261EC" w14:textId="74910D5C" w:rsidR="00814667" w:rsidRDefault="00814667">
            <w:pPr>
              <w:pStyle w:val="SingleParagraph"/>
              <w:rPr>
                <w:rStyle w:val="Bold"/>
              </w:rPr>
            </w:pPr>
            <w:r>
              <w:rPr>
                <w:rStyle w:val="Bold"/>
              </w:rPr>
              <w:t xml:space="preserve">The Honourable </w:t>
            </w:r>
            <w:r w:rsidR="000D106A">
              <w:rPr>
                <w:rStyle w:val="Bold"/>
              </w:rPr>
              <w:t>Michael Ferguson</w:t>
            </w:r>
            <w:r w:rsidR="0099742A">
              <w:rPr>
                <w:rStyle w:val="Bold"/>
              </w:rPr>
              <w:t xml:space="preserve"> </w:t>
            </w:r>
            <w:r>
              <w:rPr>
                <w:rStyle w:val="Bold"/>
              </w:rPr>
              <w:t>MP</w:t>
            </w:r>
          </w:p>
          <w:p w14:paraId="11B3819D" w14:textId="1CE4E0D1" w:rsidR="00542A8C" w:rsidRDefault="00542A8C" w:rsidP="00542A8C">
            <w:pPr>
              <w:pStyle w:val="Position"/>
              <w:rPr>
                <w:lang w:val="en-GB"/>
              </w:rPr>
            </w:pPr>
            <w:r>
              <w:rPr>
                <w:lang w:val="en-GB"/>
              </w:rPr>
              <w:t>Minister for</w:t>
            </w:r>
            <w:r w:rsidR="000D106A">
              <w:rPr>
                <w:lang w:val="en-GB"/>
              </w:rPr>
              <w:t xml:space="preserve"> Police, Fire and Emergency Management</w:t>
            </w:r>
            <w:r>
              <w:rPr>
                <w:lang w:val="en-GB"/>
              </w:rPr>
              <w:t xml:space="preserve"> </w:t>
            </w:r>
          </w:p>
          <w:p w14:paraId="2E802693" w14:textId="6699E18F" w:rsidR="00814667" w:rsidRPr="00A50751" w:rsidRDefault="001738F3">
            <w:pPr>
              <w:pStyle w:val="SingleParagraph"/>
              <w:tabs>
                <w:tab w:val="num" w:pos="1134"/>
              </w:tabs>
              <w:spacing w:after="240"/>
              <w:ind w:left="1134" w:hanging="567"/>
              <w:rPr>
                <w:lang w:val="en-GB"/>
              </w:rPr>
            </w:pPr>
            <w:r>
              <w:rPr>
                <w:lang w:val="en-GB"/>
              </w:rPr>
              <w:t xml:space="preserve">     /                 /</w:t>
            </w:r>
          </w:p>
        </w:tc>
      </w:tr>
      <w:tr w:rsidR="00814667" w:rsidRPr="00A50751" w14:paraId="118A757B" w14:textId="77777777" w:rsidTr="001738F3">
        <w:trPr>
          <w:cantSplit/>
          <w:jc w:val="center"/>
        </w:trPr>
        <w:tc>
          <w:tcPr>
            <w:tcW w:w="4679" w:type="dxa"/>
          </w:tcPr>
          <w:p w14:paraId="18C8DDC1"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6CF001EA" w14:textId="77777777" w:rsidR="00814667" w:rsidRPr="00A50751" w:rsidRDefault="00814667">
            <w:pPr>
              <w:pStyle w:val="SingleParagraph"/>
              <w:rPr>
                <w:rFonts w:ascii="Book Antiqua" w:hAnsi="Book Antiqua"/>
                <w:lang w:val="en-GB"/>
              </w:rPr>
            </w:pPr>
          </w:p>
        </w:tc>
        <w:tc>
          <w:tcPr>
            <w:tcW w:w="4536" w:type="dxa"/>
          </w:tcPr>
          <w:p w14:paraId="4E864ED1" w14:textId="77777777" w:rsidR="00814667" w:rsidRPr="00A50751" w:rsidRDefault="00814667">
            <w:pPr>
              <w:pStyle w:val="SingleParagraph"/>
              <w:rPr>
                <w:rFonts w:ascii="Book Antiqua" w:hAnsi="Book Antiqua"/>
                <w:lang w:val="en-GB"/>
              </w:rPr>
            </w:pPr>
          </w:p>
        </w:tc>
      </w:tr>
      <w:tr w:rsidR="00814667" w:rsidRPr="00A50751" w14:paraId="333CFEE2" w14:textId="77777777" w:rsidTr="001738F3">
        <w:trPr>
          <w:cantSplit/>
          <w:jc w:val="center"/>
        </w:trPr>
        <w:tc>
          <w:tcPr>
            <w:tcW w:w="4679" w:type="dxa"/>
          </w:tcPr>
          <w:p w14:paraId="07C9A317"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Australian Capital Territory by</w:t>
            </w:r>
          </w:p>
          <w:p w14:paraId="5D824DB2" w14:textId="77777777" w:rsidR="00814667" w:rsidRPr="00A50751" w:rsidRDefault="00814667">
            <w:pPr>
              <w:pStyle w:val="LineForSignature"/>
            </w:pPr>
            <w:r w:rsidRPr="00A50751">
              <w:tab/>
            </w:r>
          </w:p>
          <w:p w14:paraId="6AEB832C" w14:textId="1345876B" w:rsidR="00814667" w:rsidRDefault="00384092">
            <w:pPr>
              <w:pStyle w:val="SingleParagraph"/>
              <w:rPr>
                <w:rStyle w:val="Bold"/>
              </w:rPr>
            </w:pPr>
            <w:r>
              <w:rPr>
                <w:rStyle w:val="Bold"/>
              </w:rPr>
              <w:t>Mick Gentleman</w:t>
            </w:r>
            <w:r w:rsidR="0099742A">
              <w:rPr>
                <w:rStyle w:val="Bold"/>
              </w:rPr>
              <w:t xml:space="preserve"> </w:t>
            </w:r>
            <w:r w:rsidR="00814667">
              <w:rPr>
                <w:rStyle w:val="Bold"/>
              </w:rPr>
              <w:t>MLA</w:t>
            </w:r>
          </w:p>
          <w:p w14:paraId="68142332" w14:textId="40FFECB7" w:rsidR="00542A8C" w:rsidRDefault="00542A8C" w:rsidP="00542A8C">
            <w:pPr>
              <w:pStyle w:val="Position"/>
              <w:rPr>
                <w:lang w:val="en-GB"/>
              </w:rPr>
            </w:pPr>
            <w:r>
              <w:rPr>
                <w:lang w:val="en-GB"/>
              </w:rPr>
              <w:t xml:space="preserve">Minister for </w:t>
            </w:r>
            <w:r w:rsidR="00384092">
              <w:rPr>
                <w:lang w:val="en-GB"/>
              </w:rPr>
              <w:t>Police and Emergency Services</w:t>
            </w:r>
            <w:r>
              <w:rPr>
                <w:lang w:val="en-GB"/>
              </w:rPr>
              <w:t xml:space="preserve"> </w:t>
            </w:r>
          </w:p>
          <w:p w14:paraId="67972AE0" w14:textId="1FB548B8" w:rsidR="00814667" w:rsidRPr="00A50751" w:rsidRDefault="001738F3">
            <w:pPr>
              <w:pStyle w:val="SingleParagraph"/>
              <w:tabs>
                <w:tab w:val="num" w:pos="1134"/>
              </w:tabs>
              <w:spacing w:after="240"/>
              <w:ind w:left="1134" w:hanging="567"/>
              <w:rPr>
                <w:szCs w:val="22"/>
                <w:lang w:val="en-GB"/>
              </w:rPr>
            </w:pPr>
            <w:r>
              <w:rPr>
                <w:lang w:val="en-GB"/>
              </w:rPr>
              <w:t xml:space="preserve">     /                 /</w:t>
            </w:r>
          </w:p>
        </w:tc>
        <w:tc>
          <w:tcPr>
            <w:tcW w:w="284" w:type="dxa"/>
            <w:tcMar>
              <w:left w:w="0" w:type="dxa"/>
              <w:right w:w="0" w:type="dxa"/>
            </w:tcMar>
          </w:tcPr>
          <w:p w14:paraId="2D54BAED" w14:textId="77777777" w:rsidR="00814667" w:rsidRPr="00A50751" w:rsidRDefault="00814667">
            <w:pPr>
              <w:rPr>
                <w:rFonts w:ascii="Book Antiqua" w:hAnsi="Book Antiqua"/>
                <w:lang w:val="en-GB"/>
              </w:rPr>
            </w:pPr>
          </w:p>
        </w:tc>
        <w:tc>
          <w:tcPr>
            <w:tcW w:w="4536" w:type="dxa"/>
          </w:tcPr>
          <w:p w14:paraId="2693F0FD"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Northern Territory by</w:t>
            </w:r>
          </w:p>
          <w:p w14:paraId="1490DA0D" w14:textId="77777777" w:rsidR="00814667" w:rsidRPr="00A50751" w:rsidRDefault="00814667">
            <w:pPr>
              <w:pStyle w:val="LineForSignature"/>
            </w:pPr>
            <w:r w:rsidRPr="00A50751">
              <w:tab/>
            </w:r>
          </w:p>
          <w:p w14:paraId="1409EAC9" w14:textId="3E951DD6" w:rsidR="00814667" w:rsidRDefault="00814667">
            <w:pPr>
              <w:pStyle w:val="SingleParagraph"/>
              <w:rPr>
                <w:rStyle w:val="Bold"/>
              </w:rPr>
            </w:pPr>
            <w:r>
              <w:rPr>
                <w:rStyle w:val="Bold"/>
              </w:rPr>
              <w:t xml:space="preserve">The Honourable </w:t>
            </w:r>
            <w:r w:rsidR="00384092">
              <w:rPr>
                <w:rStyle w:val="Bold"/>
              </w:rPr>
              <w:t>Nicole Manison</w:t>
            </w:r>
            <w:r w:rsidR="0099742A">
              <w:rPr>
                <w:rStyle w:val="Bold"/>
              </w:rPr>
              <w:t xml:space="preserve"> </w:t>
            </w:r>
            <w:r>
              <w:rPr>
                <w:rStyle w:val="Bold"/>
              </w:rPr>
              <w:t>MLA</w:t>
            </w:r>
          </w:p>
          <w:p w14:paraId="5B80CE20" w14:textId="398458F5" w:rsidR="00542A8C" w:rsidRDefault="00542A8C" w:rsidP="00542A8C">
            <w:pPr>
              <w:pStyle w:val="Position"/>
              <w:rPr>
                <w:lang w:val="en-GB"/>
              </w:rPr>
            </w:pPr>
            <w:r>
              <w:rPr>
                <w:lang w:val="en-GB"/>
              </w:rPr>
              <w:t>Minister for</w:t>
            </w:r>
            <w:r w:rsidR="00384092">
              <w:rPr>
                <w:lang w:val="en-GB"/>
              </w:rPr>
              <w:t xml:space="preserve"> Police, Fire and Emergency Services</w:t>
            </w:r>
            <w:r>
              <w:rPr>
                <w:lang w:val="en-GB"/>
              </w:rPr>
              <w:t xml:space="preserve"> </w:t>
            </w:r>
          </w:p>
          <w:p w14:paraId="777088CC" w14:textId="588F3EE2" w:rsidR="00814667" w:rsidRPr="00A50751" w:rsidRDefault="001738F3">
            <w:pPr>
              <w:pStyle w:val="SingleParagraph"/>
              <w:tabs>
                <w:tab w:val="num" w:pos="1134"/>
              </w:tabs>
              <w:spacing w:after="240"/>
              <w:ind w:left="1134" w:hanging="567"/>
              <w:rPr>
                <w:lang w:val="en-GB"/>
              </w:rPr>
            </w:pPr>
            <w:r>
              <w:rPr>
                <w:lang w:val="en-GB"/>
              </w:rPr>
              <w:t xml:space="preserve">     /                 /</w:t>
            </w:r>
          </w:p>
        </w:tc>
      </w:tr>
    </w:tbl>
    <w:p w14:paraId="59D32C56" w14:textId="77777777" w:rsidR="008843EE" w:rsidRPr="000D106A" w:rsidRDefault="008843EE" w:rsidP="000D106A">
      <w:pPr>
        <w:pStyle w:val="Position"/>
        <w:rPr>
          <w:lang w:val="en-GB"/>
        </w:rPr>
      </w:pPr>
    </w:p>
    <w:sectPr w:rsidR="008843EE" w:rsidRPr="000D106A" w:rsidSect="00C606F6">
      <w:headerReference w:type="even" r:id="rId20"/>
      <w:headerReference w:type="default" r:id="rId21"/>
      <w:headerReference w:type="first" r:id="rId22"/>
      <w:footerReference w:type="first" r:id="rId23"/>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52E7" w14:textId="77777777" w:rsidR="00B71F74" w:rsidRDefault="00B71F74">
      <w:r>
        <w:separator/>
      </w:r>
    </w:p>
  </w:endnote>
  <w:endnote w:type="continuationSeparator" w:id="0">
    <w:p w14:paraId="4B0D324B" w14:textId="77777777" w:rsidR="00B71F74" w:rsidRDefault="00B7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F0D9"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759F842E"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A560" w14:textId="2E5B4321"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3C627F">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0964" w14:textId="7FFA6B28"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627F">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AEDD" w14:textId="5E1B8BBC" w:rsidR="00AB76C6" w:rsidRDefault="00AB76C6" w:rsidP="00751725">
    <w:pPr>
      <w:pStyle w:val="FooterEven"/>
      <w:jc w:val="right"/>
    </w:pPr>
    <w:r>
      <w:t xml:space="preserve">Page </w:t>
    </w:r>
    <w:r w:rsidR="00356151">
      <w:rPr>
        <w:rStyle w:val="PageNumber"/>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7E88" w14:textId="77777777" w:rsidR="00B71F74" w:rsidRDefault="00B71F74">
      <w:r>
        <w:separator/>
      </w:r>
    </w:p>
  </w:footnote>
  <w:footnote w:type="continuationSeparator" w:id="0">
    <w:p w14:paraId="4FDAB863" w14:textId="77777777" w:rsidR="00B71F74" w:rsidRDefault="00B7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167B" w14:textId="77777777"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A74A" w14:textId="6A7173BF" w:rsidR="00AB76C6" w:rsidRPr="00814590" w:rsidRDefault="00AB76C6">
    <w:pPr>
      <w:pStyle w:val="HeaderOdd"/>
      <w:tabs>
        <w:tab w:val="num" w:pos="1134"/>
      </w:tabs>
      <w:rPr>
        <w:color w:val="800000"/>
      </w:rPr>
    </w:pPr>
    <w:r>
      <w:rPr>
        <w:color w:val="800000"/>
      </w:rPr>
      <w:t xml:space="preserve">Project Agreement for </w:t>
    </w:r>
    <w:r w:rsidR="002B7ED6">
      <w:rPr>
        <w:color w:val="800000"/>
      </w:rPr>
      <w:t>Prepared Communities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9C99" w14:textId="77777777" w:rsidR="00441B90" w:rsidRDefault="00441B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E3D1C" w14:textId="77777777" w:rsidR="00441B90" w:rsidRDefault="00441B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69B7" w14:textId="77777777" w:rsidR="00441B90" w:rsidRDefault="00441B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8A81" w14:textId="6494D4D9" w:rsidR="00AB76C6" w:rsidRPr="00814590" w:rsidRDefault="00AB76C6" w:rsidP="0036474E">
    <w:pPr>
      <w:pStyle w:val="HeaderOdd"/>
      <w:tabs>
        <w:tab w:val="num" w:pos="1134"/>
      </w:tabs>
      <w:rPr>
        <w:color w:val="800000"/>
      </w:rPr>
    </w:pPr>
    <w:r>
      <w:rPr>
        <w:color w:val="800000"/>
      </w:rPr>
      <w:t xml:space="preserve">Project Agreement for </w:t>
    </w:r>
    <w:r w:rsidR="00954E56">
      <w:rPr>
        <w:color w:val="800000"/>
      </w:rPr>
      <w:t>Prepared Communities</w:t>
    </w:r>
  </w:p>
  <w:p w14:paraId="262E38F4" w14:textId="77777777" w:rsidR="00AB76C6" w:rsidRPr="00751725" w:rsidRDefault="00AB76C6"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03F64B2"/>
    <w:multiLevelType w:val="hybridMultilevel"/>
    <w:tmpl w:val="1E32A8D4"/>
    <w:lvl w:ilvl="0" w:tplc="49083D64">
      <w:start w:val="1"/>
      <w:numFmt w:val="upperLetter"/>
      <w:lvlText w:val="%1."/>
      <w:lvlJc w:val="left"/>
      <w:pPr>
        <w:ind w:left="1069" w:hanging="360"/>
      </w:pPr>
      <w:rPr>
        <w:rFonts w:asciiTheme="minorHAnsi" w:hAnsiTheme="minorHAnsi" w:cstheme="minorHAnsi" w:hint="default"/>
        <w:b/>
        <w:color w:val="auto"/>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88677A4"/>
    <w:multiLevelType w:val="hybridMultilevel"/>
    <w:tmpl w:val="23DE7ED4"/>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38C64FB"/>
    <w:multiLevelType w:val="hybridMultilevel"/>
    <w:tmpl w:val="B5589E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5951914"/>
    <w:multiLevelType w:val="hybridMultilevel"/>
    <w:tmpl w:val="88603EB4"/>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6A72CED"/>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5DC63F4B"/>
    <w:multiLevelType w:val="hybridMultilevel"/>
    <w:tmpl w:val="D81C2BDE"/>
    <w:lvl w:ilvl="0" w:tplc="A61284D8">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2"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3"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5"/>
  </w:num>
  <w:num w:numId="4">
    <w:abstractNumId w:val="17"/>
  </w:num>
  <w:num w:numId="5">
    <w:abstractNumId w:val="4"/>
  </w:num>
  <w:num w:numId="6">
    <w:abstractNumId w:val="20"/>
  </w:num>
  <w:num w:numId="7">
    <w:abstractNumId w:val="11"/>
  </w:num>
  <w:num w:numId="8">
    <w:abstractNumId w:val="5"/>
  </w:num>
  <w:num w:numId="9">
    <w:abstractNumId w:val="9"/>
  </w:num>
  <w:num w:numId="10">
    <w:abstractNumId w:val="23"/>
  </w:num>
  <w:num w:numId="11">
    <w:abstractNumId w:val="1"/>
  </w:num>
  <w:num w:numId="12">
    <w:abstractNumId w:val="16"/>
  </w:num>
  <w:num w:numId="13">
    <w:abstractNumId w:val="21"/>
  </w:num>
  <w:num w:numId="14">
    <w:abstractNumId w:val="13"/>
  </w:num>
  <w:num w:numId="15">
    <w:abstractNumId w:val="18"/>
  </w:num>
  <w:num w:numId="16">
    <w:abstractNumId w:val="22"/>
  </w:num>
  <w:num w:numId="17">
    <w:abstractNumId w:val="6"/>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2"/>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 w:numId="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24AD3"/>
    <w:rsid w:val="00024FBA"/>
    <w:rsid w:val="00030CB2"/>
    <w:rsid w:val="000343F1"/>
    <w:rsid w:val="00044700"/>
    <w:rsid w:val="0006051B"/>
    <w:rsid w:val="000614F9"/>
    <w:rsid w:val="0006451A"/>
    <w:rsid w:val="0006551D"/>
    <w:rsid w:val="00065679"/>
    <w:rsid w:val="000679AA"/>
    <w:rsid w:val="0007004C"/>
    <w:rsid w:val="000724F6"/>
    <w:rsid w:val="00074611"/>
    <w:rsid w:val="00074A62"/>
    <w:rsid w:val="00086712"/>
    <w:rsid w:val="00091DF8"/>
    <w:rsid w:val="00093CB6"/>
    <w:rsid w:val="00093DD8"/>
    <w:rsid w:val="000962E6"/>
    <w:rsid w:val="00097794"/>
    <w:rsid w:val="000A0C9E"/>
    <w:rsid w:val="000A5191"/>
    <w:rsid w:val="000B4080"/>
    <w:rsid w:val="000B7685"/>
    <w:rsid w:val="000C714F"/>
    <w:rsid w:val="000D106A"/>
    <w:rsid w:val="000D19D8"/>
    <w:rsid w:val="000D1C37"/>
    <w:rsid w:val="000D4377"/>
    <w:rsid w:val="000D5D06"/>
    <w:rsid w:val="000D7B89"/>
    <w:rsid w:val="000E075D"/>
    <w:rsid w:val="000E2AF6"/>
    <w:rsid w:val="000E36B7"/>
    <w:rsid w:val="000E3C70"/>
    <w:rsid w:val="000E48C3"/>
    <w:rsid w:val="000F0156"/>
    <w:rsid w:val="000F0880"/>
    <w:rsid w:val="000F25D5"/>
    <w:rsid w:val="000F6CF6"/>
    <w:rsid w:val="00103FD6"/>
    <w:rsid w:val="001043CE"/>
    <w:rsid w:val="001065EE"/>
    <w:rsid w:val="00110F5D"/>
    <w:rsid w:val="001134AC"/>
    <w:rsid w:val="0011468F"/>
    <w:rsid w:val="00115166"/>
    <w:rsid w:val="00115A97"/>
    <w:rsid w:val="00122DBA"/>
    <w:rsid w:val="001262B5"/>
    <w:rsid w:val="001303A3"/>
    <w:rsid w:val="00132587"/>
    <w:rsid w:val="001404A9"/>
    <w:rsid w:val="00140F43"/>
    <w:rsid w:val="00145D5C"/>
    <w:rsid w:val="00151133"/>
    <w:rsid w:val="00160506"/>
    <w:rsid w:val="0016131F"/>
    <w:rsid w:val="001629FA"/>
    <w:rsid w:val="00165CAB"/>
    <w:rsid w:val="00166312"/>
    <w:rsid w:val="00166BB7"/>
    <w:rsid w:val="00167BB8"/>
    <w:rsid w:val="00172360"/>
    <w:rsid w:val="00172E3A"/>
    <w:rsid w:val="001738F3"/>
    <w:rsid w:val="00173F81"/>
    <w:rsid w:val="00174C2A"/>
    <w:rsid w:val="00175FB9"/>
    <w:rsid w:val="00177A0A"/>
    <w:rsid w:val="00180F76"/>
    <w:rsid w:val="00183EAB"/>
    <w:rsid w:val="00185187"/>
    <w:rsid w:val="00185CC1"/>
    <w:rsid w:val="00187BEB"/>
    <w:rsid w:val="001931E8"/>
    <w:rsid w:val="00194232"/>
    <w:rsid w:val="00194587"/>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5CC5"/>
    <w:rsid w:val="001D2C27"/>
    <w:rsid w:val="001D3CAD"/>
    <w:rsid w:val="001D6E9A"/>
    <w:rsid w:val="001E20EC"/>
    <w:rsid w:val="001E4479"/>
    <w:rsid w:val="001E7173"/>
    <w:rsid w:val="001E74D0"/>
    <w:rsid w:val="001E7803"/>
    <w:rsid w:val="001F1D48"/>
    <w:rsid w:val="001F6F39"/>
    <w:rsid w:val="001F6FE8"/>
    <w:rsid w:val="001F70FF"/>
    <w:rsid w:val="0020144E"/>
    <w:rsid w:val="00205E18"/>
    <w:rsid w:val="00206773"/>
    <w:rsid w:val="002069F9"/>
    <w:rsid w:val="00212869"/>
    <w:rsid w:val="00221308"/>
    <w:rsid w:val="00222C97"/>
    <w:rsid w:val="00223B9A"/>
    <w:rsid w:val="00225761"/>
    <w:rsid w:val="00233835"/>
    <w:rsid w:val="00241EE9"/>
    <w:rsid w:val="00244500"/>
    <w:rsid w:val="00244BFD"/>
    <w:rsid w:val="00247CA7"/>
    <w:rsid w:val="00247D45"/>
    <w:rsid w:val="00252551"/>
    <w:rsid w:val="00261ABA"/>
    <w:rsid w:val="00262E18"/>
    <w:rsid w:val="0026571E"/>
    <w:rsid w:val="00270DCC"/>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B7ED6"/>
    <w:rsid w:val="002C2529"/>
    <w:rsid w:val="002C2A03"/>
    <w:rsid w:val="002C62B3"/>
    <w:rsid w:val="002C7620"/>
    <w:rsid w:val="002D122C"/>
    <w:rsid w:val="002D7CF9"/>
    <w:rsid w:val="002E144A"/>
    <w:rsid w:val="002E1731"/>
    <w:rsid w:val="002E2DE2"/>
    <w:rsid w:val="002E4B66"/>
    <w:rsid w:val="002F576E"/>
    <w:rsid w:val="002F5B29"/>
    <w:rsid w:val="002F5B54"/>
    <w:rsid w:val="002F5C6C"/>
    <w:rsid w:val="002F7E40"/>
    <w:rsid w:val="003012DA"/>
    <w:rsid w:val="00307C5C"/>
    <w:rsid w:val="00312CFE"/>
    <w:rsid w:val="00313480"/>
    <w:rsid w:val="00313C98"/>
    <w:rsid w:val="00313FD9"/>
    <w:rsid w:val="003155BD"/>
    <w:rsid w:val="003177B9"/>
    <w:rsid w:val="00320BE3"/>
    <w:rsid w:val="00321E0A"/>
    <w:rsid w:val="0033097B"/>
    <w:rsid w:val="00333506"/>
    <w:rsid w:val="00334861"/>
    <w:rsid w:val="00340987"/>
    <w:rsid w:val="003410AA"/>
    <w:rsid w:val="0034465F"/>
    <w:rsid w:val="00347A59"/>
    <w:rsid w:val="00352A6B"/>
    <w:rsid w:val="00352EC1"/>
    <w:rsid w:val="00356151"/>
    <w:rsid w:val="00361054"/>
    <w:rsid w:val="0036119D"/>
    <w:rsid w:val="003637A0"/>
    <w:rsid w:val="0036474E"/>
    <w:rsid w:val="00364CF3"/>
    <w:rsid w:val="00365CAA"/>
    <w:rsid w:val="00367173"/>
    <w:rsid w:val="00367EAB"/>
    <w:rsid w:val="00372573"/>
    <w:rsid w:val="00373631"/>
    <w:rsid w:val="00377AB2"/>
    <w:rsid w:val="0038406E"/>
    <w:rsid w:val="00384092"/>
    <w:rsid w:val="003877C3"/>
    <w:rsid w:val="0039283B"/>
    <w:rsid w:val="00396EA4"/>
    <w:rsid w:val="003A2157"/>
    <w:rsid w:val="003A3363"/>
    <w:rsid w:val="003A3905"/>
    <w:rsid w:val="003A3CC1"/>
    <w:rsid w:val="003A6635"/>
    <w:rsid w:val="003A6B0E"/>
    <w:rsid w:val="003A78C6"/>
    <w:rsid w:val="003B292D"/>
    <w:rsid w:val="003B5562"/>
    <w:rsid w:val="003B6363"/>
    <w:rsid w:val="003B68FF"/>
    <w:rsid w:val="003B737F"/>
    <w:rsid w:val="003C0CF7"/>
    <w:rsid w:val="003C2E5D"/>
    <w:rsid w:val="003C59E0"/>
    <w:rsid w:val="003C627F"/>
    <w:rsid w:val="003C6F2A"/>
    <w:rsid w:val="003D743C"/>
    <w:rsid w:val="003E2CE7"/>
    <w:rsid w:val="003E33BA"/>
    <w:rsid w:val="003E3509"/>
    <w:rsid w:val="003E6BA0"/>
    <w:rsid w:val="003E73DB"/>
    <w:rsid w:val="003F0ADC"/>
    <w:rsid w:val="003F59E6"/>
    <w:rsid w:val="003F5BE6"/>
    <w:rsid w:val="003F6C00"/>
    <w:rsid w:val="004120B1"/>
    <w:rsid w:val="00413E74"/>
    <w:rsid w:val="0041421D"/>
    <w:rsid w:val="0041490D"/>
    <w:rsid w:val="00414A5C"/>
    <w:rsid w:val="004156B4"/>
    <w:rsid w:val="00415EA8"/>
    <w:rsid w:val="0041697F"/>
    <w:rsid w:val="00420235"/>
    <w:rsid w:val="004223AA"/>
    <w:rsid w:val="00423104"/>
    <w:rsid w:val="004267D3"/>
    <w:rsid w:val="00427E2A"/>
    <w:rsid w:val="00433E65"/>
    <w:rsid w:val="004374B2"/>
    <w:rsid w:val="00441B90"/>
    <w:rsid w:val="00442AB8"/>
    <w:rsid w:val="004436EA"/>
    <w:rsid w:val="0044456C"/>
    <w:rsid w:val="00445CEA"/>
    <w:rsid w:val="00447D8B"/>
    <w:rsid w:val="00450B39"/>
    <w:rsid w:val="00453BC6"/>
    <w:rsid w:val="00454498"/>
    <w:rsid w:val="00456C59"/>
    <w:rsid w:val="00477931"/>
    <w:rsid w:val="004863D9"/>
    <w:rsid w:val="00490198"/>
    <w:rsid w:val="00490E28"/>
    <w:rsid w:val="00490F90"/>
    <w:rsid w:val="00497362"/>
    <w:rsid w:val="00497C77"/>
    <w:rsid w:val="004A0AE7"/>
    <w:rsid w:val="004A0EBD"/>
    <w:rsid w:val="004A523F"/>
    <w:rsid w:val="004A6062"/>
    <w:rsid w:val="004A673A"/>
    <w:rsid w:val="004A770F"/>
    <w:rsid w:val="004B0813"/>
    <w:rsid w:val="004B08A0"/>
    <w:rsid w:val="004B136A"/>
    <w:rsid w:val="004B1F38"/>
    <w:rsid w:val="004B21C5"/>
    <w:rsid w:val="004B2EF6"/>
    <w:rsid w:val="004B34A6"/>
    <w:rsid w:val="004B3685"/>
    <w:rsid w:val="004B5612"/>
    <w:rsid w:val="004B5AA7"/>
    <w:rsid w:val="004B6083"/>
    <w:rsid w:val="004B6927"/>
    <w:rsid w:val="004B7E5C"/>
    <w:rsid w:val="004C3CC4"/>
    <w:rsid w:val="004C4D5E"/>
    <w:rsid w:val="004D11ED"/>
    <w:rsid w:val="004D1751"/>
    <w:rsid w:val="004D310E"/>
    <w:rsid w:val="004D37D8"/>
    <w:rsid w:val="004D4B81"/>
    <w:rsid w:val="004F1DE7"/>
    <w:rsid w:val="004F5B27"/>
    <w:rsid w:val="004F5DCD"/>
    <w:rsid w:val="004F6B2B"/>
    <w:rsid w:val="005005DF"/>
    <w:rsid w:val="00505045"/>
    <w:rsid w:val="00510B96"/>
    <w:rsid w:val="00511501"/>
    <w:rsid w:val="00511B5B"/>
    <w:rsid w:val="00515AF2"/>
    <w:rsid w:val="0051640E"/>
    <w:rsid w:val="00516741"/>
    <w:rsid w:val="0051684E"/>
    <w:rsid w:val="00527ABC"/>
    <w:rsid w:val="005418E6"/>
    <w:rsid w:val="0054193D"/>
    <w:rsid w:val="00542A8C"/>
    <w:rsid w:val="00542D59"/>
    <w:rsid w:val="00543637"/>
    <w:rsid w:val="00545DF7"/>
    <w:rsid w:val="00546CA2"/>
    <w:rsid w:val="00547FAF"/>
    <w:rsid w:val="005539F5"/>
    <w:rsid w:val="0055415C"/>
    <w:rsid w:val="00554AAC"/>
    <w:rsid w:val="0055503F"/>
    <w:rsid w:val="005572D7"/>
    <w:rsid w:val="00562AF7"/>
    <w:rsid w:val="00563797"/>
    <w:rsid w:val="005651B5"/>
    <w:rsid w:val="00566234"/>
    <w:rsid w:val="0057262B"/>
    <w:rsid w:val="005815B3"/>
    <w:rsid w:val="00582A03"/>
    <w:rsid w:val="00587E37"/>
    <w:rsid w:val="00593821"/>
    <w:rsid w:val="00596E88"/>
    <w:rsid w:val="00597CBD"/>
    <w:rsid w:val="005A0969"/>
    <w:rsid w:val="005A5E7A"/>
    <w:rsid w:val="005B0DEF"/>
    <w:rsid w:val="005B2A03"/>
    <w:rsid w:val="005B4C1B"/>
    <w:rsid w:val="005C2684"/>
    <w:rsid w:val="005C2DDC"/>
    <w:rsid w:val="005C5620"/>
    <w:rsid w:val="005C578C"/>
    <w:rsid w:val="005D1F0F"/>
    <w:rsid w:val="005D29DB"/>
    <w:rsid w:val="005D41F9"/>
    <w:rsid w:val="005E4143"/>
    <w:rsid w:val="005E724B"/>
    <w:rsid w:val="00601F7C"/>
    <w:rsid w:val="00602A48"/>
    <w:rsid w:val="00602EF7"/>
    <w:rsid w:val="00606F11"/>
    <w:rsid w:val="00607B03"/>
    <w:rsid w:val="0061059D"/>
    <w:rsid w:val="0061326F"/>
    <w:rsid w:val="00614393"/>
    <w:rsid w:val="006146F2"/>
    <w:rsid w:val="00614C00"/>
    <w:rsid w:val="00623567"/>
    <w:rsid w:val="006412B5"/>
    <w:rsid w:val="00641932"/>
    <w:rsid w:val="006427F9"/>
    <w:rsid w:val="006428EC"/>
    <w:rsid w:val="00644083"/>
    <w:rsid w:val="0064429B"/>
    <w:rsid w:val="0064477C"/>
    <w:rsid w:val="00650903"/>
    <w:rsid w:val="006650A8"/>
    <w:rsid w:val="006679C0"/>
    <w:rsid w:val="006721A2"/>
    <w:rsid w:val="00676226"/>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7A92"/>
    <w:rsid w:val="006E3B48"/>
    <w:rsid w:val="006E6184"/>
    <w:rsid w:val="006E631B"/>
    <w:rsid w:val="006F096A"/>
    <w:rsid w:val="006F0C0C"/>
    <w:rsid w:val="006F22E3"/>
    <w:rsid w:val="006F3095"/>
    <w:rsid w:val="006F5455"/>
    <w:rsid w:val="006F5CB6"/>
    <w:rsid w:val="006F79D3"/>
    <w:rsid w:val="00703194"/>
    <w:rsid w:val="00706E50"/>
    <w:rsid w:val="0070737C"/>
    <w:rsid w:val="00711229"/>
    <w:rsid w:val="00715018"/>
    <w:rsid w:val="007179FE"/>
    <w:rsid w:val="00717F25"/>
    <w:rsid w:val="007201B1"/>
    <w:rsid w:val="007201D7"/>
    <w:rsid w:val="00722BD7"/>
    <w:rsid w:val="00724E14"/>
    <w:rsid w:val="00725AD5"/>
    <w:rsid w:val="00726DB5"/>
    <w:rsid w:val="00726EB4"/>
    <w:rsid w:val="00731945"/>
    <w:rsid w:val="007363DE"/>
    <w:rsid w:val="0073698D"/>
    <w:rsid w:val="00736C0B"/>
    <w:rsid w:val="00744D93"/>
    <w:rsid w:val="00746531"/>
    <w:rsid w:val="00750F59"/>
    <w:rsid w:val="00751725"/>
    <w:rsid w:val="00752028"/>
    <w:rsid w:val="0075450A"/>
    <w:rsid w:val="0075717D"/>
    <w:rsid w:val="0076017E"/>
    <w:rsid w:val="00760DB6"/>
    <w:rsid w:val="0076361C"/>
    <w:rsid w:val="007661AE"/>
    <w:rsid w:val="00766A51"/>
    <w:rsid w:val="00771FFF"/>
    <w:rsid w:val="00772818"/>
    <w:rsid w:val="0077685D"/>
    <w:rsid w:val="0077788E"/>
    <w:rsid w:val="007840DE"/>
    <w:rsid w:val="00784439"/>
    <w:rsid w:val="007878CC"/>
    <w:rsid w:val="00787E75"/>
    <w:rsid w:val="00797257"/>
    <w:rsid w:val="007A3157"/>
    <w:rsid w:val="007A6E20"/>
    <w:rsid w:val="007B10ED"/>
    <w:rsid w:val="007B2B2E"/>
    <w:rsid w:val="007B3BFC"/>
    <w:rsid w:val="007B4B03"/>
    <w:rsid w:val="007C4F31"/>
    <w:rsid w:val="007E0FB1"/>
    <w:rsid w:val="007E5257"/>
    <w:rsid w:val="007E5391"/>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41F9"/>
    <w:rsid w:val="00825FF5"/>
    <w:rsid w:val="008262F1"/>
    <w:rsid w:val="008311FA"/>
    <w:rsid w:val="008317EF"/>
    <w:rsid w:val="0084598B"/>
    <w:rsid w:val="00845BCC"/>
    <w:rsid w:val="00850F40"/>
    <w:rsid w:val="00851465"/>
    <w:rsid w:val="008514B8"/>
    <w:rsid w:val="00852ED8"/>
    <w:rsid w:val="0085330A"/>
    <w:rsid w:val="008550CA"/>
    <w:rsid w:val="008552D8"/>
    <w:rsid w:val="0085533A"/>
    <w:rsid w:val="00855543"/>
    <w:rsid w:val="0085738D"/>
    <w:rsid w:val="0086226E"/>
    <w:rsid w:val="00862395"/>
    <w:rsid w:val="00864DD3"/>
    <w:rsid w:val="008674D8"/>
    <w:rsid w:val="008708D6"/>
    <w:rsid w:val="00874608"/>
    <w:rsid w:val="008760D0"/>
    <w:rsid w:val="00881317"/>
    <w:rsid w:val="008843EE"/>
    <w:rsid w:val="00892CA4"/>
    <w:rsid w:val="00896477"/>
    <w:rsid w:val="00896BD6"/>
    <w:rsid w:val="00896F5A"/>
    <w:rsid w:val="008A3C37"/>
    <w:rsid w:val="008B1840"/>
    <w:rsid w:val="008B5713"/>
    <w:rsid w:val="008B70D3"/>
    <w:rsid w:val="008B73A2"/>
    <w:rsid w:val="008B7FE2"/>
    <w:rsid w:val="008C0BBA"/>
    <w:rsid w:val="008C2450"/>
    <w:rsid w:val="008C7817"/>
    <w:rsid w:val="008C7F5B"/>
    <w:rsid w:val="008D079A"/>
    <w:rsid w:val="008D2F40"/>
    <w:rsid w:val="008D5B52"/>
    <w:rsid w:val="008E0AD6"/>
    <w:rsid w:val="008E1381"/>
    <w:rsid w:val="008E4209"/>
    <w:rsid w:val="008E48FC"/>
    <w:rsid w:val="008E55BD"/>
    <w:rsid w:val="008E7527"/>
    <w:rsid w:val="008F1819"/>
    <w:rsid w:val="008F2AD6"/>
    <w:rsid w:val="008F44F1"/>
    <w:rsid w:val="008F4BA8"/>
    <w:rsid w:val="008F5C07"/>
    <w:rsid w:val="008F696D"/>
    <w:rsid w:val="008F7777"/>
    <w:rsid w:val="00901CF5"/>
    <w:rsid w:val="00901F53"/>
    <w:rsid w:val="00903ECC"/>
    <w:rsid w:val="00905AF4"/>
    <w:rsid w:val="00906431"/>
    <w:rsid w:val="009115AF"/>
    <w:rsid w:val="00913276"/>
    <w:rsid w:val="00921E5F"/>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54E56"/>
    <w:rsid w:val="009644B8"/>
    <w:rsid w:val="00965F4E"/>
    <w:rsid w:val="00966277"/>
    <w:rsid w:val="0096732C"/>
    <w:rsid w:val="009703B6"/>
    <w:rsid w:val="00971A4C"/>
    <w:rsid w:val="00975EB5"/>
    <w:rsid w:val="00983979"/>
    <w:rsid w:val="00983DC2"/>
    <w:rsid w:val="00983DF0"/>
    <w:rsid w:val="00992668"/>
    <w:rsid w:val="0099742A"/>
    <w:rsid w:val="009A0446"/>
    <w:rsid w:val="009A062C"/>
    <w:rsid w:val="009A48AF"/>
    <w:rsid w:val="009A522D"/>
    <w:rsid w:val="009B0C68"/>
    <w:rsid w:val="009B326D"/>
    <w:rsid w:val="009B3F77"/>
    <w:rsid w:val="009B48F6"/>
    <w:rsid w:val="009B5132"/>
    <w:rsid w:val="009C166A"/>
    <w:rsid w:val="009C16FA"/>
    <w:rsid w:val="009C2059"/>
    <w:rsid w:val="009C6FFB"/>
    <w:rsid w:val="009C7EF5"/>
    <w:rsid w:val="009D0C93"/>
    <w:rsid w:val="009D2FAC"/>
    <w:rsid w:val="009E093C"/>
    <w:rsid w:val="009E1311"/>
    <w:rsid w:val="009E151E"/>
    <w:rsid w:val="009E3ACF"/>
    <w:rsid w:val="009E5DB6"/>
    <w:rsid w:val="009F123B"/>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A7CAD"/>
    <w:rsid w:val="00AB16AE"/>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F0C8D"/>
    <w:rsid w:val="00AF2C00"/>
    <w:rsid w:val="00AF6BD5"/>
    <w:rsid w:val="00B00778"/>
    <w:rsid w:val="00B04E8C"/>
    <w:rsid w:val="00B050C0"/>
    <w:rsid w:val="00B05642"/>
    <w:rsid w:val="00B06097"/>
    <w:rsid w:val="00B10045"/>
    <w:rsid w:val="00B100DF"/>
    <w:rsid w:val="00B10CAE"/>
    <w:rsid w:val="00B112DC"/>
    <w:rsid w:val="00B11FFE"/>
    <w:rsid w:val="00B12190"/>
    <w:rsid w:val="00B1294B"/>
    <w:rsid w:val="00B12CE7"/>
    <w:rsid w:val="00B137C3"/>
    <w:rsid w:val="00B171BB"/>
    <w:rsid w:val="00B2247A"/>
    <w:rsid w:val="00B2604B"/>
    <w:rsid w:val="00B36551"/>
    <w:rsid w:val="00B36E9E"/>
    <w:rsid w:val="00B40E38"/>
    <w:rsid w:val="00B4435E"/>
    <w:rsid w:val="00B45C9E"/>
    <w:rsid w:val="00B51ACE"/>
    <w:rsid w:val="00B619AA"/>
    <w:rsid w:val="00B623D7"/>
    <w:rsid w:val="00B66E7A"/>
    <w:rsid w:val="00B71F74"/>
    <w:rsid w:val="00B8096A"/>
    <w:rsid w:val="00B879F6"/>
    <w:rsid w:val="00B91564"/>
    <w:rsid w:val="00B9206A"/>
    <w:rsid w:val="00B9279E"/>
    <w:rsid w:val="00BA1CFA"/>
    <w:rsid w:val="00BA4284"/>
    <w:rsid w:val="00BC1029"/>
    <w:rsid w:val="00BC2720"/>
    <w:rsid w:val="00BC4728"/>
    <w:rsid w:val="00BC4BF4"/>
    <w:rsid w:val="00BC60B3"/>
    <w:rsid w:val="00BD2253"/>
    <w:rsid w:val="00BD7496"/>
    <w:rsid w:val="00BE042D"/>
    <w:rsid w:val="00BE4802"/>
    <w:rsid w:val="00BE7212"/>
    <w:rsid w:val="00BF0D7C"/>
    <w:rsid w:val="00BF1BFF"/>
    <w:rsid w:val="00BF331F"/>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433CC"/>
    <w:rsid w:val="00C4659A"/>
    <w:rsid w:val="00C465A3"/>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92F94"/>
    <w:rsid w:val="00C95D81"/>
    <w:rsid w:val="00C960AA"/>
    <w:rsid w:val="00CA121E"/>
    <w:rsid w:val="00CA501D"/>
    <w:rsid w:val="00CA55C4"/>
    <w:rsid w:val="00CB165B"/>
    <w:rsid w:val="00CB1789"/>
    <w:rsid w:val="00CB1CB2"/>
    <w:rsid w:val="00CB2557"/>
    <w:rsid w:val="00CB44C4"/>
    <w:rsid w:val="00CB47FE"/>
    <w:rsid w:val="00CB4D35"/>
    <w:rsid w:val="00CB6703"/>
    <w:rsid w:val="00CC163E"/>
    <w:rsid w:val="00CC39B1"/>
    <w:rsid w:val="00CC3D90"/>
    <w:rsid w:val="00CD526B"/>
    <w:rsid w:val="00CD5B93"/>
    <w:rsid w:val="00CD7039"/>
    <w:rsid w:val="00CE3B32"/>
    <w:rsid w:val="00CE4A24"/>
    <w:rsid w:val="00CE613B"/>
    <w:rsid w:val="00CE63F2"/>
    <w:rsid w:val="00CE7403"/>
    <w:rsid w:val="00CF0826"/>
    <w:rsid w:val="00CF0D8A"/>
    <w:rsid w:val="00CF267F"/>
    <w:rsid w:val="00CF3849"/>
    <w:rsid w:val="00CF7DA0"/>
    <w:rsid w:val="00D0312C"/>
    <w:rsid w:val="00D04614"/>
    <w:rsid w:val="00D1115F"/>
    <w:rsid w:val="00D1723F"/>
    <w:rsid w:val="00D23A0D"/>
    <w:rsid w:val="00D26B64"/>
    <w:rsid w:val="00D30AA4"/>
    <w:rsid w:val="00D30CE5"/>
    <w:rsid w:val="00D3674A"/>
    <w:rsid w:val="00D40383"/>
    <w:rsid w:val="00D4085D"/>
    <w:rsid w:val="00D428F4"/>
    <w:rsid w:val="00D434F3"/>
    <w:rsid w:val="00D46E83"/>
    <w:rsid w:val="00D51386"/>
    <w:rsid w:val="00D52914"/>
    <w:rsid w:val="00D54039"/>
    <w:rsid w:val="00D5485B"/>
    <w:rsid w:val="00D57346"/>
    <w:rsid w:val="00D61911"/>
    <w:rsid w:val="00D62258"/>
    <w:rsid w:val="00D625A7"/>
    <w:rsid w:val="00D677F9"/>
    <w:rsid w:val="00D702F1"/>
    <w:rsid w:val="00D729FA"/>
    <w:rsid w:val="00D7336A"/>
    <w:rsid w:val="00D73591"/>
    <w:rsid w:val="00D802FC"/>
    <w:rsid w:val="00D824F1"/>
    <w:rsid w:val="00D8532B"/>
    <w:rsid w:val="00D85463"/>
    <w:rsid w:val="00D973A5"/>
    <w:rsid w:val="00DA205D"/>
    <w:rsid w:val="00DA2E1F"/>
    <w:rsid w:val="00DA7233"/>
    <w:rsid w:val="00DA75C9"/>
    <w:rsid w:val="00DC4D62"/>
    <w:rsid w:val="00DC50E5"/>
    <w:rsid w:val="00DC76C7"/>
    <w:rsid w:val="00DE311A"/>
    <w:rsid w:val="00DE36EB"/>
    <w:rsid w:val="00DE4A6C"/>
    <w:rsid w:val="00DE64C1"/>
    <w:rsid w:val="00DF5BAB"/>
    <w:rsid w:val="00E10555"/>
    <w:rsid w:val="00E11087"/>
    <w:rsid w:val="00E16E0A"/>
    <w:rsid w:val="00E2036D"/>
    <w:rsid w:val="00E204BB"/>
    <w:rsid w:val="00E220BC"/>
    <w:rsid w:val="00E31096"/>
    <w:rsid w:val="00E33938"/>
    <w:rsid w:val="00E33F03"/>
    <w:rsid w:val="00E354D8"/>
    <w:rsid w:val="00E3658A"/>
    <w:rsid w:val="00E3706A"/>
    <w:rsid w:val="00E3738B"/>
    <w:rsid w:val="00E37446"/>
    <w:rsid w:val="00E37730"/>
    <w:rsid w:val="00E4099E"/>
    <w:rsid w:val="00E456AA"/>
    <w:rsid w:val="00E47502"/>
    <w:rsid w:val="00E5201F"/>
    <w:rsid w:val="00E579FF"/>
    <w:rsid w:val="00E64536"/>
    <w:rsid w:val="00E6698B"/>
    <w:rsid w:val="00E7195E"/>
    <w:rsid w:val="00E72F4A"/>
    <w:rsid w:val="00E745C0"/>
    <w:rsid w:val="00E7467D"/>
    <w:rsid w:val="00E82115"/>
    <w:rsid w:val="00E832FF"/>
    <w:rsid w:val="00E83448"/>
    <w:rsid w:val="00E838D3"/>
    <w:rsid w:val="00E90BF8"/>
    <w:rsid w:val="00E92C8A"/>
    <w:rsid w:val="00E9346D"/>
    <w:rsid w:val="00EA21BF"/>
    <w:rsid w:val="00EA594C"/>
    <w:rsid w:val="00EA7075"/>
    <w:rsid w:val="00EA7329"/>
    <w:rsid w:val="00EA7A1C"/>
    <w:rsid w:val="00EB5170"/>
    <w:rsid w:val="00EB7EDA"/>
    <w:rsid w:val="00EC2270"/>
    <w:rsid w:val="00EC2BB9"/>
    <w:rsid w:val="00EC3E78"/>
    <w:rsid w:val="00EC5206"/>
    <w:rsid w:val="00EC5D22"/>
    <w:rsid w:val="00ED0175"/>
    <w:rsid w:val="00ED0AC8"/>
    <w:rsid w:val="00ED2AC4"/>
    <w:rsid w:val="00ED4036"/>
    <w:rsid w:val="00EE041B"/>
    <w:rsid w:val="00EE0708"/>
    <w:rsid w:val="00EE5633"/>
    <w:rsid w:val="00EE57AC"/>
    <w:rsid w:val="00EE74C4"/>
    <w:rsid w:val="00EE7D29"/>
    <w:rsid w:val="00EF33DE"/>
    <w:rsid w:val="00EF54A4"/>
    <w:rsid w:val="00EF6486"/>
    <w:rsid w:val="00EF72D4"/>
    <w:rsid w:val="00F11A23"/>
    <w:rsid w:val="00F11DDE"/>
    <w:rsid w:val="00F120E6"/>
    <w:rsid w:val="00F12ACD"/>
    <w:rsid w:val="00F16589"/>
    <w:rsid w:val="00F2068C"/>
    <w:rsid w:val="00F234AB"/>
    <w:rsid w:val="00F24478"/>
    <w:rsid w:val="00F31DE0"/>
    <w:rsid w:val="00F3245D"/>
    <w:rsid w:val="00F34E70"/>
    <w:rsid w:val="00F4377A"/>
    <w:rsid w:val="00F45AA3"/>
    <w:rsid w:val="00F46237"/>
    <w:rsid w:val="00F47765"/>
    <w:rsid w:val="00F501C6"/>
    <w:rsid w:val="00F630DB"/>
    <w:rsid w:val="00F630EF"/>
    <w:rsid w:val="00F6403E"/>
    <w:rsid w:val="00F65469"/>
    <w:rsid w:val="00F71346"/>
    <w:rsid w:val="00F715F2"/>
    <w:rsid w:val="00F730C7"/>
    <w:rsid w:val="00F76C87"/>
    <w:rsid w:val="00F82440"/>
    <w:rsid w:val="00F8367E"/>
    <w:rsid w:val="00F8684A"/>
    <w:rsid w:val="00F86C91"/>
    <w:rsid w:val="00F94C3D"/>
    <w:rsid w:val="00F95D26"/>
    <w:rsid w:val="00F979C5"/>
    <w:rsid w:val="00FA0CBF"/>
    <w:rsid w:val="00FA0E45"/>
    <w:rsid w:val="00FA2EC0"/>
    <w:rsid w:val="00FA4E87"/>
    <w:rsid w:val="00FA64FD"/>
    <w:rsid w:val="00FA7945"/>
    <w:rsid w:val="00FB4200"/>
    <w:rsid w:val="00FB5750"/>
    <w:rsid w:val="00FB6A2E"/>
    <w:rsid w:val="00FC055C"/>
    <w:rsid w:val="00FD4437"/>
    <w:rsid w:val="00FD6B62"/>
    <w:rsid w:val="00FE2583"/>
    <w:rsid w:val="00FE26A5"/>
    <w:rsid w:val="00FE347C"/>
    <w:rsid w:val="00FE4A16"/>
    <w:rsid w:val="00FE5BED"/>
    <w:rsid w:val="00FF5029"/>
    <w:rsid w:val="00FF678A"/>
    <w:rsid w:val="00FF7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6CA8704A"/>
  <w14:defaultImageDpi w14:val="0"/>
  <w15:docId w15:val="{48578034-D585-4515-92BE-A5943AB8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rmalWeb">
    <w:name w:val="Normal (Web)"/>
    <w:basedOn w:val="Normal"/>
    <w:rsid w:val="004D1751"/>
    <w:pPr>
      <w:spacing w:before="100" w:beforeAutospacing="1" w:after="100" w:afterAutospacing="1" w:line="240" w:lineRule="auto"/>
      <w:jc w:val="left"/>
    </w:pPr>
    <w:rPr>
      <w:rFonts w:ascii="Verdana" w:hAnsi="Verdana"/>
      <w:color w:val="auto"/>
      <w:sz w:val="24"/>
      <w:szCs w:val="24"/>
    </w:rPr>
  </w:style>
  <w:style w:type="character" w:styleId="Strong">
    <w:name w:val="Strong"/>
    <w:basedOn w:val="DefaultParagraphFont"/>
    <w:uiPriority w:val="22"/>
    <w:qFormat/>
    <w:rsid w:val="00E64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0260">
      <w:marLeft w:val="0"/>
      <w:marRight w:val="0"/>
      <w:marTop w:val="0"/>
      <w:marBottom w:val="0"/>
      <w:divBdr>
        <w:top w:val="none" w:sz="0" w:space="0" w:color="auto"/>
        <w:left w:val="none" w:sz="0" w:space="0" w:color="auto"/>
        <w:bottom w:val="none" w:sz="0" w:space="0" w:color="auto"/>
        <w:right w:val="none" w:sz="0" w:space="0" w:color="auto"/>
      </w:divBdr>
    </w:div>
    <w:div w:id="144050261">
      <w:marLeft w:val="0"/>
      <w:marRight w:val="0"/>
      <w:marTop w:val="0"/>
      <w:marBottom w:val="0"/>
      <w:divBdr>
        <w:top w:val="none" w:sz="0" w:space="0" w:color="auto"/>
        <w:left w:val="none" w:sz="0" w:space="0" w:color="auto"/>
        <w:bottom w:val="none" w:sz="0" w:space="0" w:color="auto"/>
        <w:right w:val="none" w:sz="0" w:space="0" w:color="auto"/>
      </w:divBdr>
    </w:div>
    <w:div w:id="144050262">
      <w:marLeft w:val="0"/>
      <w:marRight w:val="0"/>
      <w:marTop w:val="0"/>
      <w:marBottom w:val="0"/>
      <w:divBdr>
        <w:top w:val="none" w:sz="0" w:space="0" w:color="auto"/>
        <w:left w:val="none" w:sz="0" w:space="0" w:color="auto"/>
        <w:bottom w:val="none" w:sz="0" w:space="0" w:color="auto"/>
        <w:right w:val="none" w:sz="0" w:space="0" w:color="auto"/>
      </w:divBdr>
    </w:div>
    <w:div w:id="927812799">
      <w:bodyDiv w:val="1"/>
      <w:marLeft w:val="0"/>
      <w:marRight w:val="0"/>
      <w:marTop w:val="0"/>
      <w:marBottom w:val="0"/>
      <w:divBdr>
        <w:top w:val="none" w:sz="0" w:space="0" w:color="auto"/>
        <w:left w:val="none" w:sz="0" w:space="0" w:color="auto"/>
        <w:bottom w:val="none" w:sz="0" w:space="0" w:color="auto"/>
        <w:right w:val="none" w:sz="0" w:space="0" w:color="auto"/>
      </w:divBdr>
    </w:div>
    <w:div w:id="10887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892" ma:contentTypeDescription=" " ma:contentTypeScope="" ma:versionID="da5e6db8eb2ef6ca725db12f9f5dec3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2020FG-64-74060</_dlc_DocId>
    <_dlc_DocIdUrl xmlns="0f563589-9cf9-4143-b1eb-fb0534803d38">
      <Url>http://tweb/sites/fg/csrd/_layouts/15/DocIdRedir.aspx?ID=2020FG-64-74060</Url>
      <Description>2020FG-64-74060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8531-E232-4184-9E35-0D877699384F}"/>
</file>

<file path=customXml/itemProps2.xml><?xml version="1.0" encoding="utf-8"?>
<ds:datastoreItem xmlns:ds="http://schemas.openxmlformats.org/officeDocument/2006/customXml" ds:itemID="{CD80931A-8988-4AF2-A27D-5EFAB90D2E75}">
  <ds:schemaRefs>
    <ds:schemaRef ds:uri="office.server.policy"/>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5.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6.xml><?xml version="1.0" encoding="utf-8"?>
<ds:datastoreItem xmlns:ds="http://schemas.openxmlformats.org/officeDocument/2006/customXml" ds:itemID="{BC1AB595-AB35-4E9E-A7CD-40AFD3EE0C7D}">
  <ds:schemaRef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7.xml><?xml version="1.0" encoding="utf-8"?>
<ds:datastoreItem xmlns:ds="http://schemas.openxmlformats.org/officeDocument/2006/customXml" ds:itemID="{16CFC40B-F083-4E7C-898C-4C051786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Template>
  <TotalTime>3</TotalTime>
  <Pages>7</Pages>
  <Words>1600</Words>
  <Characters>8903</Characters>
  <Application>Microsoft Office Word</Application>
  <DocSecurity>0</DocSecurity>
  <Lines>296</Lines>
  <Paragraphs>187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Veronica O'BRIEN</cp:lastModifiedBy>
  <cp:revision>4</cp:revision>
  <cp:lastPrinted>2015-08-13T02:13:00Z</cp:lastPrinted>
  <dcterms:created xsi:type="dcterms:W3CDTF">2019-01-16T07:08:00Z</dcterms:created>
  <dcterms:modified xsi:type="dcterms:W3CDTF">2019-01-16T07:10:00Z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a668fb2b-fdb0-4ce6-af4a-2f6d54442b35</vt:lpwstr>
  </property>
  <property fmtid="{D5CDD505-2E9C-101B-9397-08002B2CF9AE}" pid="5" name="_NewReviewCycle">
    <vt:lpwstr/>
  </property>
  <property fmtid="{D5CDD505-2E9C-101B-9397-08002B2CF9AE}" pid="6" name="RecordPoint_WorkflowType">
    <vt:lpwstr>ActiveSubmitStub</vt:lpwstr>
  </property>
  <property fmtid="{D5CDD505-2E9C-101B-9397-08002B2CF9AE}" pid="7" name="RecordPoint_ActiveItemSiteId">
    <vt:lpwstr>{a3a280d1-e8f1-4ce7-94f0-aaa2322da0dd}</vt:lpwstr>
  </property>
  <property fmtid="{D5CDD505-2E9C-101B-9397-08002B2CF9AE}" pid="8" name="RecordPoint_ActiveItemListId">
    <vt:lpwstr>{4435c73b-6585-4bc2-a76a-5d21b1a02e06}</vt:lpwstr>
  </property>
  <property fmtid="{D5CDD505-2E9C-101B-9397-08002B2CF9AE}" pid="9" name="RecordPoint_ActiveItemUniqueId">
    <vt:lpwstr>{a668fb2b-fdb0-4ce6-af4a-2f6d54442b35}</vt:lpwstr>
  </property>
  <property fmtid="{D5CDD505-2E9C-101B-9397-08002B2CF9AE}" pid="10" name="RecordPoint_ActiveItemWebId">
    <vt:lpwstr>{a4589788-615f-4b8b-8296-7f9f6dfbab44}</vt:lpwstr>
  </property>
  <property fmtid="{D5CDD505-2E9C-101B-9397-08002B2CF9AE}" pid="11" name="RecordPoint_RecordNumberSubmitted">
    <vt:lpwstr>R0002261787</vt:lpwstr>
  </property>
  <property fmtid="{D5CDD505-2E9C-101B-9397-08002B2CF9AE}" pid="12" name="RecordPoint_SubmissionCompleted">
    <vt:lpwstr>2020-05-06T23:45:08.8355155+10:00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