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512"/>
        <w:gridCol w:w="8342"/>
      </w:tblGrid>
      <w:tr w:rsidR="00814667" w14:paraId="7B84B683" w14:textId="77777777">
        <w:tc>
          <w:tcPr>
            <w:tcW w:w="5000" w:type="pct"/>
            <w:gridSpan w:val="2"/>
          </w:tcPr>
          <w:p w14:paraId="1AB3B71E" w14:textId="22295408" w:rsidR="00814667" w:rsidRDefault="00BA4284" w:rsidP="00BB0BCF">
            <w:pPr>
              <w:pStyle w:val="CoverTitleMain"/>
            </w:pPr>
            <w:r>
              <w:t>Project AGreement</w:t>
            </w:r>
            <w:r w:rsidR="00292587">
              <w:t xml:space="preserve"> FOR </w:t>
            </w:r>
            <w:r w:rsidR="007B683E">
              <w:t xml:space="preserve">the </w:t>
            </w:r>
            <w:r w:rsidR="00F03710">
              <w:t>preparing australia package</w:t>
            </w:r>
          </w:p>
        </w:tc>
      </w:tr>
      <w:tr w:rsidR="00814667" w14:paraId="5FB5D736" w14:textId="77777777">
        <w:tc>
          <w:tcPr>
            <w:tcW w:w="767" w:type="pct"/>
          </w:tcPr>
          <w:p w14:paraId="2D5ABDC5" w14:textId="77777777" w:rsidR="00814667" w:rsidRDefault="00814667">
            <w:pPr>
              <w:pStyle w:val="SingleParagraph"/>
              <w:tabs>
                <w:tab w:val="num" w:pos="1134"/>
              </w:tabs>
              <w:spacing w:after="240"/>
              <w:ind w:left="1134" w:hanging="567"/>
            </w:pPr>
          </w:p>
        </w:tc>
        <w:tc>
          <w:tcPr>
            <w:tcW w:w="4233" w:type="pct"/>
          </w:tcPr>
          <w:p w14:paraId="0D2F03EA" w14:textId="77777777" w:rsidR="00814667" w:rsidRDefault="00814667">
            <w:pPr>
              <w:pStyle w:val="SingleParagraph"/>
              <w:tabs>
                <w:tab w:val="num" w:pos="1134"/>
              </w:tabs>
              <w:spacing w:after="240"/>
              <w:ind w:left="1134" w:hanging="567"/>
            </w:pPr>
          </w:p>
        </w:tc>
      </w:tr>
      <w:tr w:rsidR="00814667" w14:paraId="43698977" w14:textId="77777777">
        <w:tc>
          <w:tcPr>
            <w:tcW w:w="767" w:type="pct"/>
          </w:tcPr>
          <w:p w14:paraId="5E0E1D17" w14:textId="77777777" w:rsidR="00814667" w:rsidRDefault="00814667">
            <w:pPr>
              <w:pStyle w:val="SingleParagraph"/>
              <w:tabs>
                <w:tab w:val="num" w:pos="1134"/>
              </w:tabs>
              <w:spacing w:after="240"/>
              <w:ind w:left="1134" w:hanging="567"/>
            </w:pPr>
          </w:p>
        </w:tc>
        <w:tc>
          <w:tcPr>
            <w:tcW w:w="4233" w:type="pct"/>
          </w:tcPr>
          <w:p w14:paraId="5E7ED977" w14:textId="77777777" w:rsidR="00814667" w:rsidRPr="001E74D0" w:rsidRDefault="00814667">
            <w:pPr>
              <w:pStyle w:val="SingleParagraph"/>
              <w:tabs>
                <w:tab w:val="num" w:pos="1134"/>
              </w:tabs>
              <w:spacing w:after="240"/>
              <w:ind w:left="1134" w:hanging="567"/>
            </w:pPr>
          </w:p>
        </w:tc>
      </w:tr>
      <w:tr w:rsidR="00814667" w14:paraId="116A5123" w14:textId="77777777">
        <w:tc>
          <w:tcPr>
            <w:tcW w:w="5000" w:type="pct"/>
            <w:gridSpan w:val="2"/>
          </w:tcPr>
          <w:p w14:paraId="42CB6EE6" w14:textId="77777777" w:rsidR="00814667" w:rsidRDefault="00814667">
            <w:pPr>
              <w:pStyle w:val="AgreementHeading"/>
              <w:tabs>
                <w:tab w:val="clear" w:pos="1134"/>
              </w:tabs>
            </w:pPr>
            <w:r>
              <w:t>An agreement between</w:t>
            </w:r>
            <w:r w:rsidR="00697494">
              <w:t>:</w:t>
            </w:r>
          </w:p>
        </w:tc>
      </w:tr>
      <w:tr w:rsidR="00814667" w14:paraId="0F9F9921" w14:textId="77777777">
        <w:tc>
          <w:tcPr>
            <w:tcW w:w="767" w:type="pct"/>
          </w:tcPr>
          <w:p w14:paraId="36B76E8D" w14:textId="77777777" w:rsidR="00814667" w:rsidRPr="001E74D0" w:rsidRDefault="00814667">
            <w:pPr>
              <w:pStyle w:val="AgreementHeading"/>
              <w:tabs>
                <w:tab w:val="clear" w:pos="1134"/>
              </w:tabs>
              <w:ind w:left="522"/>
            </w:pPr>
          </w:p>
        </w:tc>
        <w:tc>
          <w:tcPr>
            <w:tcW w:w="4233" w:type="pct"/>
          </w:tcPr>
          <w:p w14:paraId="3618F1F6"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760742EE" w14:textId="77777777" w:rsidR="00814667" w:rsidRPr="001E74D0" w:rsidRDefault="00814667" w:rsidP="005E00A2">
            <w:pPr>
              <w:pStyle w:val="AgreementParties"/>
            </w:pPr>
            <w:r>
              <w:t xml:space="preserve">the </w:t>
            </w:r>
            <w:r>
              <w:rPr>
                <w:rStyle w:val="Bold"/>
              </w:rPr>
              <w:t xml:space="preserve">States </w:t>
            </w:r>
            <w:r w:rsidR="00697494" w:rsidRPr="005E00A2">
              <w:rPr>
                <w:rStyle w:val="Bold"/>
                <w:b w:val="0"/>
              </w:rPr>
              <w:t>of</w:t>
            </w:r>
          </w:p>
        </w:tc>
      </w:tr>
      <w:tr w:rsidR="00814667" w14:paraId="7DB4E4DC" w14:textId="77777777">
        <w:tc>
          <w:tcPr>
            <w:tcW w:w="767" w:type="pct"/>
          </w:tcPr>
          <w:p w14:paraId="78C2336B" w14:textId="77777777" w:rsidR="00814667" w:rsidRDefault="00814667">
            <w:pPr>
              <w:pStyle w:val="SingleParagraph"/>
              <w:tabs>
                <w:tab w:val="num" w:pos="1134"/>
              </w:tabs>
              <w:spacing w:after="240"/>
              <w:ind w:left="1134" w:hanging="567"/>
            </w:pPr>
          </w:p>
        </w:tc>
        <w:tc>
          <w:tcPr>
            <w:tcW w:w="4233" w:type="pct"/>
            <w:tcBorders>
              <w:left w:val="nil"/>
            </w:tcBorders>
          </w:tcPr>
          <w:p w14:paraId="4D3B850F" w14:textId="77777777" w:rsidR="00814667" w:rsidRDefault="00814667" w:rsidP="006C3986">
            <w:pPr>
              <w:pStyle w:val="StatesList"/>
              <w:numPr>
                <w:ilvl w:val="0"/>
                <w:numId w:val="7"/>
              </w:numPr>
            </w:pPr>
            <w:r>
              <w:t>New South Wales</w:t>
            </w:r>
            <w:r w:rsidR="00B224C2">
              <w:t xml:space="preserve">, and </w:t>
            </w:r>
          </w:p>
          <w:p w14:paraId="7F6C6D95" w14:textId="77777777" w:rsidR="00EB7EDA" w:rsidRPr="00B224C2" w:rsidRDefault="00814667" w:rsidP="006C3986">
            <w:pPr>
              <w:pStyle w:val="StatesList"/>
              <w:numPr>
                <w:ilvl w:val="0"/>
                <w:numId w:val="7"/>
              </w:numPr>
              <w:tabs>
                <w:tab w:val="clear" w:pos="1134"/>
              </w:tabs>
            </w:pPr>
            <w:r>
              <w:t>Victoria</w:t>
            </w:r>
            <w:r w:rsidR="00726DB5">
              <w:t>.</w:t>
            </w:r>
            <w:r>
              <w:t xml:space="preserve"> </w:t>
            </w:r>
          </w:p>
        </w:tc>
      </w:tr>
      <w:tr w:rsidR="00814667" w14:paraId="2A76A7C9" w14:textId="77777777">
        <w:tc>
          <w:tcPr>
            <w:tcW w:w="5000" w:type="pct"/>
            <w:gridSpan w:val="2"/>
          </w:tcPr>
          <w:p w14:paraId="150C565A" w14:textId="77777777" w:rsidR="00814667" w:rsidRDefault="00814667">
            <w:pPr>
              <w:pStyle w:val="SingleParagraph"/>
              <w:tabs>
                <w:tab w:val="num" w:pos="1134"/>
              </w:tabs>
              <w:spacing w:after="240"/>
              <w:ind w:left="1134" w:hanging="567"/>
            </w:pPr>
          </w:p>
          <w:p w14:paraId="1559779D" w14:textId="77777777" w:rsidR="00B40DB5" w:rsidRDefault="00B40DB5">
            <w:pPr>
              <w:pStyle w:val="SingleParagraph"/>
              <w:tabs>
                <w:tab w:val="num" w:pos="1134"/>
              </w:tabs>
              <w:spacing w:after="240"/>
              <w:ind w:left="1134" w:hanging="567"/>
            </w:pPr>
          </w:p>
          <w:p w14:paraId="7E4C31F2" w14:textId="77777777" w:rsidR="00B40DB5" w:rsidRDefault="00B40DB5">
            <w:pPr>
              <w:pStyle w:val="SingleParagraph"/>
              <w:tabs>
                <w:tab w:val="num" w:pos="1134"/>
              </w:tabs>
              <w:spacing w:after="240"/>
              <w:ind w:left="1134" w:hanging="567"/>
            </w:pPr>
          </w:p>
          <w:p w14:paraId="46FCE767" w14:textId="77777777" w:rsidR="00B40DB5" w:rsidRDefault="00B40DB5">
            <w:pPr>
              <w:pStyle w:val="SingleParagraph"/>
              <w:tabs>
                <w:tab w:val="num" w:pos="1134"/>
              </w:tabs>
              <w:spacing w:after="240"/>
              <w:ind w:left="1134" w:hanging="567"/>
            </w:pPr>
          </w:p>
          <w:p w14:paraId="6F46287E" w14:textId="77777777" w:rsidR="00B40DB5" w:rsidRDefault="00B40DB5">
            <w:pPr>
              <w:pStyle w:val="SingleParagraph"/>
              <w:tabs>
                <w:tab w:val="num" w:pos="1134"/>
              </w:tabs>
              <w:spacing w:after="240"/>
              <w:ind w:left="1134" w:hanging="567"/>
            </w:pPr>
          </w:p>
          <w:p w14:paraId="718C4DF3" w14:textId="77777777" w:rsidR="00B40DB5" w:rsidRDefault="00B40DB5">
            <w:pPr>
              <w:pStyle w:val="SingleParagraph"/>
              <w:tabs>
                <w:tab w:val="num" w:pos="1134"/>
              </w:tabs>
              <w:spacing w:after="240"/>
              <w:ind w:left="1134" w:hanging="567"/>
            </w:pPr>
          </w:p>
          <w:p w14:paraId="2E975DF0" w14:textId="77777777" w:rsidR="00B40DB5" w:rsidRDefault="00B40DB5">
            <w:pPr>
              <w:pStyle w:val="SingleParagraph"/>
              <w:tabs>
                <w:tab w:val="num" w:pos="1134"/>
              </w:tabs>
              <w:spacing w:after="240"/>
              <w:ind w:left="1134" w:hanging="567"/>
            </w:pPr>
          </w:p>
          <w:p w14:paraId="7FFB80FF" w14:textId="77777777" w:rsidR="00B40DB5" w:rsidRDefault="00B40DB5">
            <w:pPr>
              <w:pStyle w:val="SingleParagraph"/>
              <w:tabs>
                <w:tab w:val="num" w:pos="1134"/>
              </w:tabs>
              <w:spacing w:after="240"/>
              <w:ind w:left="1134" w:hanging="567"/>
            </w:pPr>
          </w:p>
          <w:p w14:paraId="6E90BB68" w14:textId="0F03D0A1" w:rsidR="00B40DB5" w:rsidRDefault="00B40DB5">
            <w:pPr>
              <w:pStyle w:val="SingleParagraph"/>
              <w:tabs>
                <w:tab w:val="num" w:pos="1134"/>
              </w:tabs>
              <w:spacing w:after="240"/>
              <w:ind w:left="1134" w:hanging="567"/>
            </w:pPr>
          </w:p>
          <w:p w14:paraId="1FBCD651" w14:textId="77777777" w:rsidR="00B40DB5" w:rsidRDefault="00B40DB5">
            <w:pPr>
              <w:pStyle w:val="SingleParagraph"/>
              <w:tabs>
                <w:tab w:val="num" w:pos="1134"/>
              </w:tabs>
              <w:spacing w:after="240"/>
              <w:ind w:left="1134" w:hanging="567"/>
            </w:pPr>
          </w:p>
        </w:tc>
      </w:tr>
      <w:tr w:rsidR="00814667" w14:paraId="20F87946" w14:textId="77777777">
        <w:tc>
          <w:tcPr>
            <w:tcW w:w="5000" w:type="pct"/>
            <w:gridSpan w:val="2"/>
          </w:tcPr>
          <w:p w14:paraId="457496FE" w14:textId="1C352376" w:rsidR="004D6E78" w:rsidRPr="004D6E78" w:rsidRDefault="009B345E" w:rsidP="004D6E78">
            <w:pPr>
              <w:pStyle w:val="Abstract"/>
              <w:jc w:val="left"/>
            </w:pPr>
            <w:r w:rsidRPr="004D6E78">
              <w:t xml:space="preserve">The output of this project will be </w:t>
            </w:r>
            <w:r w:rsidR="00AF65EF">
              <w:t xml:space="preserve">investment in critical emergency management </w:t>
            </w:r>
            <w:r w:rsidR="003765C6">
              <w:t>capabilities under</w:t>
            </w:r>
            <w:r w:rsidR="00F15AE2" w:rsidRPr="004D6E78">
              <w:t xml:space="preserve"> the Preparing Australia Package to enhance Australia’s natural disaster preparedness</w:t>
            </w:r>
            <w:r w:rsidR="00DA1D06">
              <w:t xml:space="preserve"> and community resilience</w:t>
            </w:r>
            <w:r w:rsidR="00AF65EF">
              <w:t>.</w:t>
            </w:r>
            <w:bookmarkStart w:id="0" w:name="OLE_LINK3"/>
            <w:bookmarkStart w:id="1" w:name="OLE_LINK4"/>
          </w:p>
          <w:bookmarkEnd w:id="0"/>
          <w:bookmarkEnd w:id="1"/>
          <w:p w14:paraId="284B3A08" w14:textId="77777777" w:rsidR="00B3427F" w:rsidRPr="00B3427F" w:rsidRDefault="00B3427F" w:rsidP="00B3427F"/>
          <w:p w14:paraId="28CE15A1" w14:textId="4E1C21D8" w:rsidR="00814667" w:rsidRPr="00B3427F" w:rsidRDefault="00814667" w:rsidP="00B3427F"/>
        </w:tc>
      </w:tr>
    </w:tbl>
    <w:p w14:paraId="77514021" w14:textId="4BCC8438" w:rsidR="00814667" w:rsidRDefault="00FF5029">
      <w:pPr>
        <w:pStyle w:val="Title"/>
        <w:pageBreakBefore/>
      </w:pPr>
      <w:r>
        <w:lastRenderedPageBreak/>
        <w:t xml:space="preserve">Project </w:t>
      </w:r>
      <w:r w:rsidR="00D7336A">
        <w:t>Agreement</w:t>
      </w:r>
      <w:r>
        <w:t xml:space="preserve"> for</w:t>
      </w:r>
      <w:r w:rsidR="00C7093C">
        <w:t xml:space="preserve"> </w:t>
      </w:r>
      <w:r w:rsidR="00DA1D06">
        <w:t xml:space="preserve">the </w:t>
      </w:r>
      <w:r w:rsidR="005E00A2">
        <w:br/>
        <w:t>Preparing Australia P</w:t>
      </w:r>
      <w:r w:rsidR="005E00A2" w:rsidRPr="005E00A2">
        <w:t>ac</w:t>
      </w:r>
      <w:bookmarkStart w:id="2" w:name="_GoBack"/>
      <w:bookmarkEnd w:id="2"/>
      <w:r w:rsidR="005E00A2" w:rsidRPr="005E00A2">
        <w:t>kage</w:t>
      </w:r>
    </w:p>
    <w:p w14:paraId="031619B1" w14:textId="77777777" w:rsidR="00596E88" w:rsidRPr="006F79D3" w:rsidRDefault="00596E88" w:rsidP="002A143D">
      <w:pPr>
        <w:jc w:val="left"/>
        <w:rPr>
          <w:i/>
        </w:rPr>
      </w:pPr>
    </w:p>
    <w:p w14:paraId="30EDE01A"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0BB2341" w14:textId="77777777" w:rsidR="00C960AA" w:rsidRPr="0072643B" w:rsidRDefault="00C960AA" w:rsidP="006C398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72643B">
        <w:rPr>
          <w:color w:val="auto"/>
        </w:rPr>
        <w:t>performance reporting and payment arrangements</w:t>
      </w:r>
      <w:r w:rsidR="001C346E" w:rsidRPr="0072643B">
        <w:rPr>
          <w:color w:val="auto"/>
        </w:rPr>
        <w:t xml:space="preserve"> under the </w:t>
      </w:r>
      <w:r w:rsidR="008148E2" w:rsidRPr="0072643B">
        <w:rPr>
          <w:color w:val="auto"/>
        </w:rPr>
        <w:t>I</w:t>
      </w:r>
      <w:r w:rsidR="00C2605C" w:rsidRPr="0072643B">
        <w:rPr>
          <w:color w:val="auto"/>
        </w:rPr>
        <w:t>GA FFR</w:t>
      </w:r>
      <w:r w:rsidRPr="0072643B">
        <w:rPr>
          <w:color w:val="auto"/>
        </w:rPr>
        <w:t>.</w:t>
      </w:r>
    </w:p>
    <w:p w14:paraId="16443056" w14:textId="77777777" w:rsidR="0096732C" w:rsidRPr="0072643B"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rPr>
          <w:color w:val="auto"/>
        </w:rPr>
      </w:pPr>
      <w:r w:rsidRPr="0072643B">
        <w:t>Purpose</w:t>
      </w:r>
    </w:p>
    <w:p w14:paraId="197DAB3B" w14:textId="40497104" w:rsidR="0004076C" w:rsidRPr="0072643B" w:rsidRDefault="00140D4C" w:rsidP="006C398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72643B">
        <w:rPr>
          <w:color w:val="auto"/>
        </w:rPr>
        <w:t xml:space="preserve">The Preparing Australia Package (the Package) </w:t>
      </w:r>
      <w:r w:rsidR="00C97AAB" w:rsidRPr="0072643B">
        <w:rPr>
          <w:color w:val="auto"/>
        </w:rPr>
        <w:t>will</w:t>
      </w:r>
      <w:r w:rsidR="00D62695" w:rsidRPr="0072643B">
        <w:rPr>
          <w:rFonts w:ascii="Calibri" w:hAnsi="Calibri" w:cs="Tahoma"/>
          <w:color w:val="auto"/>
        </w:rPr>
        <w:t xml:space="preserve"> target investments in new and existing critical emergency management capabilities</w:t>
      </w:r>
      <w:r w:rsidR="0004076C" w:rsidRPr="0072643B">
        <w:rPr>
          <w:rFonts w:ascii="Calibri" w:hAnsi="Calibri" w:cs="Tahoma"/>
          <w:color w:val="auto"/>
        </w:rPr>
        <w:t xml:space="preserve"> to enhance Australia’s natural disaster preparedness and community resilience.</w:t>
      </w:r>
    </w:p>
    <w:p w14:paraId="287F131C" w14:textId="6D53781B" w:rsidR="00D504F9" w:rsidRPr="0072643B" w:rsidRDefault="00852ED8" w:rsidP="006C398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72643B">
        <w:rPr>
          <w:color w:val="auto"/>
        </w:rPr>
        <w:t xml:space="preserve">This Agreement will </w:t>
      </w:r>
      <w:r w:rsidR="006146F2" w:rsidRPr="0072643B">
        <w:rPr>
          <w:color w:val="auto"/>
        </w:rPr>
        <w:t>support</w:t>
      </w:r>
      <w:r w:rsidR="001045C1" w:rsidRPr="0072643B">
        <w:rPr>
          <w:color w:val="auto"/>
        </w:rPr>
        <w:t xml:space="preserve"> the </w:t>
      </w:r>
      <w:r w:rsidR="00140D4C" w:rsidRPr="0072643B">
        <w:rPr>
          <w:color w:val="auto"/>
        </w:rPr>
        <w:t xml:space="preserve">delivery of </w:t>
      </w:r>
      <w:r w:rsidR="00722E0E" w:rsidRPr="0072643B">
        <w:rPr>
          <w:color w:val="auto"/>
        </w:rPr>
        <w:t xml:space="preserve">three </w:t>
      </w:r>
      <w:r w:rsidR="00650A4F" w:rsidRPr="0072643B">
        <w:rPr>
          <w:color w:val="auto"/>
        </w:rPr>
        <w:t>of these</w:t>
      </w:r>
      <w:r w:rsidR="00722E0E" w:rsidRPr="0072643B">
        <w:rPr>
          <w:color w:val="auto"/>
        </w:rPr>
        <w:t xml:space="preserve"> </w:t>
      </w:r>
      <w:r w:rsidR="003765C6" w:rsidRPr="0072643B">
        <w:rPr>
          <w:color w:val="auto"/>
        </w:rPr>
        <w:t>capabilities</w:t>
      </w:r>
      <w:r w:rsidR="001C611F" w:rsidRPr="0072643B">
        <w:rPr>
          <w:rFonts w:ascii="Calibri" w:hAnsi="Calibri" w:cs="Tahoma"/>
          <w:color w:val="auto"/>
        </w:rPr>
        <w:t>:</w:t>
      </w:r>
    </w:p>
    <w:p w14:paraId="2B9BB7E2" w14:textId="6466AF63" w:rsidR="00D504F9" w:rsidRPr="0072643B" w:rsidRDefault="00D504F9" w:rsidP="004D6E7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contextualSpacing/>
        <w:jc w:val="left"/>
        <w:rPr>
          <w:color w:val="auto"/>
        </w:rPr>
      </w:pPr>
      <w:r w:rsidRPr="0072643B">
        <w:rPr>
          <w:color w:val="auto"/>
        </w:rPr>
        <w:t xml:space="preserve">             </w:t>
      </w:r>
      <w:r w:rsidRPr="0072643B">
        <w:rPr>
          <w:color w:val="auto"/>
        </w:rPr>
        <w:sym w:font="Wingdings" w:char="F09F"/>
      </w:r>
      <w:r w:rsidRPr="0072643B">
        <w:rPr>
          <w:color w:val="auto"/>
        </w:rPr>
        <w:t xml:space="preserve"> implementation of the next generation National Fire Danger Rating System,</w:t>
      </w:r>
    </w:p>
    <w:p w14:paraId="2CEF5C1F" w14:textId="2CB605C7" w:rsidR="00D504F9" w:rsidRPr="0072643B" w:rsidRDefault="00D504F9" w:rsidP="004D6E7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contextualSpacing/>
        <w:jc w:val="left"/>
        <w:rPr>
          <w:color w:val="auto"/>
        </w:rPr>
      </w:pPr>
      <w:r w:rsidRPr="0072643B">
        <w:rPr>
          <w:color w:val="auto"/>
        </w:rPr>
        <w:t xml:space="preserve">             </w:t>
      </w:r>
      <w:r w:rsidRPr="0072643B">
        <w:rPr>
          <w:color w:val="auto"/>
        </w:rPr>
        <w:sym w:font="Wingdings" w:char="F09F"/>
      </w:r>
      <w:r w:rsidRPr="0072643B">
        <w:rPr>
          <w:color w:val="auto"/>
        </w:rPr>
        <w:t xml:space="preserve"> expanded trial and establishment of a </w:t>
      </w:r>
      <w:r w:rsidR="00886BDA" w:rsidRPr="0072643B">
        <w:rPr>
          <w:color w:val="auto"/>
        </w:rPr>
        <w:t>national project</w:t>
      </w:r>
      <w:r w:rsidR="00135868" w:rsidRPr="0072643B">
        <w:rPr>
          <w:color w:val="auto"/>
        </w:rPr>
        <w:t xml:space="preserve"> management </w:t>
      </w:r>
      <w:r w:rsidRPr="0072643B">
        <w:rPr>
          <w:color w:val="auto"/>
        </w:rPr>
        <w:t xml:space="preserve">office for Public Safety </w:t>
      </w:r>
      <w:r w:rsidR="00135868" w:rsidRPr="0072643B">
        <w:rPr>
          <w:color w:val="auto"/>
        </w:rPr>
        <w:br/>
        <w:t xml:space="preserve">                </w:t>
      </w:r>
      <w:r w:rsidRPr="0072643B">
        <w:rPr>
          <w:color w:val="auto"/>
        </w:rPr>
        <w:t>Mobile</w:t>
      </w:r>
      <w:r w:rsidR="00135868" w:rsidRPr="0072643B">
        <w:rPr>
          <w:color w:val="auto"/>
        </w:rPr>
        <w:t xml:space="preserve"> </w:t>
      </w:r>
      <w:r w:rsidRPr="0072643B">
        <w:rPr>
          <w:color w:val="auto"/>
        </w:rPr>
        <w:t>Broadband, and</w:t>
      </w:r>
    </w:p>
    <w:p w14:paraId="1DC6370B" w14:textId="3B15AE3A" w:rsidR="00D504F9" w:rsidRPr="0072643B" w:rsidRDefault="00D504F9" w:rsidP="00886BD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jc w:val="left"/>
        <w:rPr>
          <w:color w:val="auto"/>
        </w:rPr>
      </w:pPr>
      <w:r w:rsidRPr="0072643B">
        <w:rPr>
          <w:color w:val="auto"/>
        </w:rPr>
        <w:t xml:space="preserve">             </w:t>
      </w:r>
      <w:r w:rsidRPr="0072643B">
        <w:rPr>
          <w:color w:val="auto"/>
        </w:rPr>
        <w:sym w:font="Wingdings" w:char="F09F"/>
      </w:r>
      <w:r w:rsidRPr="0072643B">
        <w:rPr>
          <w:color w:val="auto"/>
        </w:rPr>
        <w:t xml:space="preserve"> extension </w:t>
      </w:r>
      <w:r w:rsidR="001D4DD1" w:rsidRPr="0072643B">
        <w:rPr>
          <w:color w:val="auto"/>
        </w:rPr>
        <w:t>and capital upgrades to</w:t>
      </w:r>
      <w:r w:rsidRPr="0072643B">
        <w:rPr>
          <w:color w:val="auto"/>
        </w:rPr>
        <w:t xml:space="preserve"> Emergency Alert.</w:t>
      </w:r>
    </w:p>
    <w:p w14:paraId="3122DDD6" w14:textId="77777777" w:rsidR="0096732C" w:rsidRPr="0072643B"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2643B">
        <w:rPr>
          <w:rFonts w:cs="Arial"/>
          <w:b/>
          <w:bCs/>
          <w:iCs/>
          <w:color w:val="3D4B67"/>
          <w:sz w:val="29"/>
          <w:szCs w:val="28"/>
        </w:rPr>
        <w:t>Reporting Arrangements</w:t>
      </w:r>
      <w:r w:rsidRPr="0072643B">
        <w:t xml:space="preserve"> </w:t>
      </w:r>
    </w:p>
    <w:p w14:paraId="21A520A7" w14:textId="4846175F" w:rsidR="0096732C" w:rsidRPr="0072643B" w:rsidRDefault="0096732C" w:rsidP="006C398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2643B">
        <w:t xml:space="preserve">The States will report against the agreed milestones during the operation of this Agreement, as set out in Part 4 – Project Milestones, Reporting and Payments. </w:t>
      </w:r>
    </w:p>
    <w:p w14:paraId="56E26C33"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475DCFF2" w14:textId="6B6878D2" w:rsidR="0096732C" w:rsidRPr="00053402" w:rsidRDefault="0096732C" w:rsidP="006C398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053402">
        <w:t>The Commonwealth will provide a</w:t>
      </w:r>
      <w:r w:rsidR="00F234AB" w:rsidRPr="00053402">
        <w:t>n estimated</w:t>
      </w:r>
      <w:r w:rsidRPr="00053402">
        <w:t xml:space="preserve"> total financial contribution to the States of </w:t>
      </w:r>
      <w:r w:rsidR="007C64A0" w:rsidRPr="00053402">
        <w:t>$9.35 million</w:t>
      </w:r>
      <w:r w:rsidR="00F234AB" w:rsidRPr="00053402">
        <w:t>, exclusive of GST</w:t>
      </w:r>
      <w:r w:rsidR="00EF33DE" w:rsidRPr="00053402">
        <w:t xml:space="preserve"> </w:t>
      </w:r>
      <w:r w:rsidRPr="00053402">
        <w:t>in respect of this Agreement</w:t>
      </w:r>
      <w:r w:rsidR="00FC055C" w:rsidRPr="00053402">
        <w:t>,</w:t>
      </w:r>
      <w:r w:rsidRPr="00053402">
        <w:t xml:space="preserve"> as set out in Part 5 – Financial Arrangements.</w:t>
      </w:r>
      <w:r w:rsidR="00D504F9" w:rsidRPr="00053402">
        <w:t xml:space="preserve"> </w:t>
      </w:r>
    </w:p>
    <w:p w14:paraId="74FF5492" w14:textId="1AEB1ECF"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025C6732" w14:textId="77777777" w:rsidR="00814667" w:rsidRDefault="00814667">
      <w:pPr>
        <w:pStyle w:val="Heading1"/>
      </w:pPr>
      <w:r>
        <w:t>Part 1 — Formalities</w:t>
      </w:r>
    </w:p>
    <w:p w14:paraId="2DEF89E9" w14:textId="55B1B596" w:rsidR="00804105" w:rsidRDefault="00804105" w:rsidP="006C3986">
      <w:pPr>
        <w:pStyle w:val="Normalnumbered"/>
        <w:numPr>
          <w:ilvl w:val="0"/>
          <w:numId w:val="10"/>
        </w:numPr>
      </w:pPr>
      <w:r>
        <w:t xml:space="preserve">This Agreement </w:t>
      </w:r>
      <w:r w:rsidR="00684C01">
        <w:t xml:space="preserve">and its bilateral Schedules </w:t>
      </w:r>
      <w:r>
        <w:t>constitute the entire agreement for this project.</w:t>
      </w:r>
    </w:p>
    <w:p w14:paraId="598A7195" w14:textId="77777777" w:rsidR="00814667" w:rsidRDefault="00814667">
      <w:pPr>
        <w:pStyle w:val="Heading2"/>
      </w:pPr>
      <w:r>
        <w:t>Parties to this Agreement</w:t>
      </w:r>
    </w:p>
    <w:p w14:paraId="2F344BFA" w14:textId="77777777" w:rsidR="007B4B03" w:rsidRPr="007B4B03" w:rsidRDefault="00E7195E" w:rsidP="006C3986">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w:t>
      </w:r>
      <w:r w:rsidR="00065730">
        <w:t>of New South Wales and Victoria</w:t>
      </w:r>
      <w:r w:rsidRPr="003012DA">
        <w:t xml:space="preserve">. </w:t>
      </w:r>
    </w:p>
    <w:p w14:paraId="0453906A" w14:textId="77777777" w:rsidR="00814667" w:rsidRDefault="00814667">
      <w:pPr>
        <w:pStyle w:val="Heading2"/>
      </w:pPr>
      <w:r>
        <w:t>Term of the Agreement</w:t>
      </w:r>
    </w:p>
    <w:p w14:paraId="14D7D6C7" w14:textId="0032C61D" w:rsidR="00814667" w:rsidRDefault="00814667" w:rsidP="006C3986">
      <w:pPr>
        <w:pStyle w:val="Normalnumbered"/>
        <w:numPr>
          <w:ilvl w:val="0"/>
          <w:numId w:val="10"/>
        </w:numPr>
      </w:pPr>
      <w:r w:rsidRPr="00DE36EB">
        <w:t>This Agreement will commence as soon as the Commonwealth and on</w:t>
      </w:r>
      <w:r w:rsidR="00C7093C" w:rsidRPr="00DE36EB">
        <w:t>e</w:t>
      </w:r>
      <w:r w:rsidRPr="00DE36EB">
        <w:t xml:space="preserve"> other Party</w:t>
      </w:r>
      <w:r w:rsidR="00726DB5" w:rsidRPr="00DE36EB">
        <w:t xml:space="preserve"> sign</w:t>
      </w:r>
      <w:r w:rsidRPr="00DE36EB">
        <w:t xml:space="preserve"> </w:t>
      </w:r>
      <w:r w:rsidR="0096732C">
        <w:t xml:space="preserve">it </w:t>
      </w:r>
      <w:r w:rsidRPr="00DE36EB">
        <w:t>and will expire on</w:t>
      </w:r>
      <w:r w:rsidR="0051061D">
        <w:t xml:space="preserve"> 30 June 2019 </w:t>
      </w:r>
      <w:r w:rsidR="00284884" w:rsidRPr="00DE36EB">
        <w:t>or on</w:t>
      </w:r>
      <w:r w:rsidR="00FA2EC0" w:rsidRPr="00DE36EB">
        <w:t xml:space="preserve"> complet</w:t>
      </w:r>
      <w:r w:rsidR="0072643B">
        <w:t>ion</w:t>
      </w:r>
      <w:r w:rsidR="00FC1414">
        <w:t xml:space="preserve"> of the project, including</w:t>
      </w:r>
      <w:r w:rsidR="005B0F74">
        <w:t xml:space="preserve"> </w:t>
      </w:r>
      <w:r w:rsidR="00284884" w:rsidRPr="00DE36EB">
        <w:t xml:space="preserve">processing of final </w:t>
      </w:r>
      <w:r w:rsidR="00284884" w:rsidRPr="00DE36EB">
        <w:lastRenderedPageBreak/>
        <w:t>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37574079" w14:textId="77777777" w:rsidR="00784439" w:rsidRPr="00D0016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w:t>
      </w:r>
      <w:r w:rsidR="00814667" w:rsidRPr="00D0016C">
        <w:rPr>
          <w:rFonts w:ascii="Consolas" w:hAnsi="Consolas"/>
          <w:b w:val="0"/>
          <w:iCs w:val="0"/>
          <w:caps/>
          <w:kern w:val="32"/>
          <w:sz w:val="32"/>
          <w:szCs w:val="36"/>
        </w:rPr>
        <w:t>outputs</w:t>
      </w:r>
      <w:r w:rsidRPr="00D0016C">
        <w:t xml:space="preserve"> </w:t>
      </w:r>
    </w:p>
    <w:p w14:paraId="295133EE" w14:textId="77777777" w:rsidR="00814667" w:rsidRDefault="00814667">
      <w:pPr>
        <w:pStyle w:val="Heading2"/>
      </w:pPr>
      <w:r>
        <w:t>Outputs</w:t>
      </w:r>
    </w:p>
    <w:p w14:paraId="2B42005D" w14:textId="2F50BE64" w:rsidR="0085738D" w:rsidRDefault="00814667" w:rsidP="006C3986">
      <w:pPr>
        <w:pStyle w:val="Normalnumbered"/>
        <w:numPr>
          <w:ilvl w:val="0"/>
          <w:numId w:val="10"/>
        </w:numPr>
        <w:jc w:val="left"/>
      </w:pPr>
      <w:r w:rsidRPr="0085738D">
        <w:t>The o</w:t>
      </w:r>
      <w:r w:rsidR="000E0C05">
        <w:t>utputs</w:t>
      </w:r>
      <w:r w:rsidR="006F79D3">
        <w:t xml:space="preserve"> of this Agreement </w:t>
      </w:r>
      <w:r w:rsidR="009E15AD">
        <w:t>are</w:t>
      </w:r>
      <w:r w:rsidR="006F79D3">
        <w:t>:</w:t>
      </w:r>
    </w:p>
    <w:p w14:paraId="1E14AD87" w14:textId="7C23B129" w:rsidR="00D0016C" w:rsidRPr="000A3FA9" w:rsidRDefault="009B5E18" w:rsidP="006C3986">
      <w:pPr>
        <w:pStyle w:val="AlphaParagraph"/>
        <w:numPr>
          <w:ilvl w:val="0"/>
          <w:numId w:val="19"/>
        </w:numPr>
        <w:tabs>
          <w:tab w:val="clear" w:pos="567"/>
          <w:tab w:val="clear" w:pos="1418"/>
          <w:tab w:val="clear" w:pos="1701"/>
        </w:tabs>
        <w:ind w:left="1134" w:hanging="567"/>
      </w:pPr>
      <w:r>
        <w:t>New South Wales</w:t>
      </w:r>
      <w:r w:rsidR="00C07417">
        <w:t xml:space="preserve">, on </w:t>
      </w:r>
      <w:r w:rsidR="00C07417" w:rsidRPr="000A3FA9">
        <w:t>behalf of all states</w:t>
      </w:r>
      <w:r w:rsidR="0028532A" w:rsidRPr="000A3FA9">
        <w:t xml:space="preserve"> and territories</w:t>
      </w:r>
      <w:r w:rsidR="00D0016C" w:rsidRPr="000A3FA9">
        <w:t>:</w:t>
      </w:r>
    </w:p>
    <w:p w14:paraId="1A51E14C" w14:textId="294FB62C" w:rsidR="0084774C" w:rsidRPr="000A3FA9" w:rsidRDefault="006C3986" w:rsidP="006C3986">
      <w:pPr>
        <w:pStyle w:val="AlphaParagraph"/>
        <w:numPr>
          <w:ilvl w:val="2"/>
          <w:numId w:val="21"/>
        </w:numPr>
        <w:tabs>
          <w:tab w:val="clear" w:pos="283"/>
          <w:tab w:val="clear" w:pos="567"/>
          <w:tab w:val="clear" w:pos="1134"/>
          <w:tab w:val="clear" w:pos="1418"/>
        </w:tabs>
      </w:pPr>
      <w:r w:rsidRPr="000A3FA9">
        <w:t>commenc</w:t>
      </w:r>
      <w:r w:rsidR="009E15AD" w:rsidRPr="000A3FA9">
        <w:t>ing</w:t>
      </w:r>
      <w:r w:rsidRPr="000A3FA9">
        <w:t xml:space="preserve"> implementation of the</w:t>
      </w:r>
      <w:r w:rsidR="0028532A" w:rsidRPr="000A3FA9">
        <w:t xml:space="preserve"> 3-</w:t>
      </w:r>
      <w:r w:rsidR="0063105E" w:rsidRPr="000A3FA9">
        <w:t>year program (p</w:t>
      </w:r>
      <w:r w:rsidR="00CA1087" w:rsidRPr="000A3FA9">
        <w:t>hase 3) for the</w:t>
      </w:r>
      <w:r w:rsidRPr="000A3FA9">
        <w:t xml:space="preserve"> next generation National Fire Danger Rating System</w:t>
      </w:r>
      <w:r w:rsidR="00C07417" w:rsidRPr="000A3FA9">
        <w:t>, and</w:t>
      </w:r>
    </w:p>
    <w:p w14:paraId="523CDE80" w14:textId="2DB87B4F" w:rsidR="00D0016C" w:rsidRPr="000A3FA9" w:rsidRDefault="00E8160C" w:rsidP="006C3986">
      <w:pPr>
        <w:pStyle w:val="AlphaParagraph"/>
        <w:numPr>
          <w:ilvl w:val="2"/>
          <w:numId w:val="21"/>
        </w:numPr>
        <w:tabs>
          <w:tab w:val="clear" w:pos="283"/>
          <w:tab w:val="clear" w:pos="567"/>
          <w:tab w:val="clear" w:pos="1134"/>
          <w:tab w:val="clear" w:pos="1418"/>
        </w:tabs>
      </w:pPr>
      <w:r w:rsidRPr="000A3FA9">
        <w:t>expand</w:t>
      </w:r>
      <w:r w:rsidR="009E15AD" w:rsidRPr="000A3FA9">
        <w:t>ing</w:t>
      </w:r>
      <w:r w:rsidRPr="000A3FA9">
        <w:t xml:space="preserve"> the</w:t>
      </w:r>
      <w:r w:rsidR="00D0016C" w:rsidRPr="000A3FA9">
        <w:t xml:space="preserve"> trial of </w:t>
      </w:r>
      <w:r w:rsidR="009B5E18" w:rsidRPr="000A3FA9">
        <w:t>Public Safety Mobile Broadband</w:t>
      </w:r>
      <w:r w:rsidR="00D0016C" w:rsidRPr="000A3FA9">
        <w:t xml:space="preserve"> to </w:t>
      </w:r>
      <w:r w:rsidR="00EF47D8" w:rsidRPr="000A3FA9">
        <w:t>additional locations</w:t>
      </w:r>
      <w:r w:rsidR="009B5E18" w:rsidRPr="000A3FA9">
        <w:t xml:space="preserve">, and </w:t>
      </w:r>
      <w:r w:rsidR="00D0016C" w:rsidRPr="000A3FA9">
        <w:t>establish</w:t>
      </w:r>
      <w:r w:rsidR="009E15AD" w:rsidRPr="000A3FA9">
        <w:t>ing</w:t>
      </w:r>
      <w:r w:rsidR="00D0016C" w:rsidRPr="000A3FA9">
        <w:t xml:space="preserve"> a national project </w:t>
      </w:r>
      <w:r w:rsidR="00135868" w:rsidRPr="000A3FA9">
        <w:t xml:space="preserve">management </w:t>
      </w:r>
      <w:r w:rsidR="00D0016C" w:rsidRPr="000A3FA9">
        <w:t xml:space="preserve">office in the NSW Telco Authority to implement </w:t>
      </w:r>
      <w:r w:rsidR="00620B92" w:rsidRPr="000A3FA9">
        <w:t>this capability; and</w:t>
      </w:r>
    </w:p>
    <w:p w14:paraId="0430AFB1" w14:textId="20B419D0" w:rsidR="00681956" w:rsidRDefault="006C3986" w:rsidP="007B79D4">
      <w:pPr>
        <w:pStyle w:val="AlphaParagraph"/>
        <w:numPr>
          <w:ilvl w:val="0"/>
          <w:numId w:val="19"/>
        </w:numPr>
        <w:tabs>
          <w:tab w:val="clear" w:pos="567"/>
          <w:tab w:val="clear" w:pos="1418"/>
          <w:tab w:val="clear" w:pos="1701"/>
        </w:tabs>
        <w:ind w:left="1134" w:hanging="567"/>
      </w:pPr>
      <w:r w:rsidRPr="000A3FA9">
        <w:t>Victoria</w:t>
      </w:r>
      <w:r w:rsidR="00C07417" w:rsidRPr="000A3FA9">
        <w:t>, on behalf of all states</w:t>
      </w:r>
      <w:r w:rsidR="0028532A" w:rsidRPr="000A3FA9">
        <w:t xml:space="preserve"> and territories</w:t>
      </w:r>
      <w:r w:rsidR="00C07417" w:rsidRPr="000A3FA9">
        <w:t xml:space="preserve">, </w:t>
      </w:r>
      <w:r w:rsidR="00905420" w:rsidRPr="000A3FA9">
        <w:t>exten</w:t>
      </w:r>
      <w:r w:rsidR="009E15AD" w:rsidRPr="000A3FA9">
        <w:t>ding</w:t>
      </w:r>
      <w:r w:rsidR="00905420" w:rsidRPr="000A3FA9">
        <w:t xml:space="preserve"> </w:t>
      </w:r>
      <w:r w:rsidR="009E15AD" w:rsidRPr="000A3FA9">
        <w:t>the</w:t>
      </w:r>
      <w:r w:rsidR="009E15AD">
        <w:t xml:space="preserve"> contract</w:t>
      </w:r>
      <w:r w:rsidR="0072643B">
        <w:t>s</w:t>
      </w:r>
      <w:r w:rsidR="009E15AD">
        <w:t xml:space="preserve"> for </w:t>
      </w:r>
      <w:r w:rsidR="00905420">
        <w:t xml:space="preserve">and </w:t>
      </w:r>
      <w:r w:rsidR="009E15AD">
        <w:t xml:space="preserve">undertaking </w:t>
      </w:r>
      <w:r w:rsidR="00905420">
        <w:t xml:space="preserve">capital upgrades to </w:t>
      </w:r>
      <w:r w:rsidR="000F7700">
        <w:t>ensure the</w:t>
      </w:r>
      <w:r w:rsidR="00AA3792">
        <w:t xml:space="preserve"> </w:t>
      </w:r>
      <w:r w:rsidR="00883C9D">
        <w:t xml:space="preserve">continued </w:t>
      </w:r>
      <w:r w:rsidR="000F7700">
        <w:t xml:space="preserve">operation of </w:t>
      </w:r>
      <w:r w:rsidR="00905420">
        <w:t xml:space="preserve">Emergency Alert </w:t>
      </w:r>
      <w:r w:rsidR="00752DA8">
        <w:t>(</w:t>
      </w:r>
      <w:r w:rsidR="00752DA8" w:rsidRPr="0072643B">
        <w:rPr>
          <w:rFonts w:cstheme="minorHAnsi"/>
          <w:color w:val="auto"/>
          <w:szCs w:val="23"/>
        </w:rPr>
        <w:t>Australia’s national telephony-based warning system</w:t>
      </w:r>
      <w:r w:rsidR="00752DA8">
        <w:t xml:space="preserve">) </w:t>
      </w:r>
      <w:r w:rsidR="00905420">
        <w:t>until June 2020</w:t>
      </w:r>
      <w:r w:rsidR="00C24BEF">
        <w:t>.</w:t>
      </w:r>
    </w:p>
    <w:p w14:paraId="5AD0CEF3" w14:textId="77777777" w:rsidR="008F44F1" w:rsidRDefault="008F44F1">
      <w:pPr>
        <w:pStyle w:val="Heading1"/>
      </w:pPr>
      <w:r>
        <w:t>Part 3 — roles and responsibilities of each party</w:t>
      </w:r>
    </w:p>
    <w:p w14:paraId="17A01C38" w14:textId="77777777" w:rsidR="008F44F1" w:rsidRDefault="008F44F1" w:rsidP="008F44F1">
      <w:pPr>
        <w:pStyle w:val="Heading2"/>
      </w:pPr>
      <w:r w:rsidRPr="00814590">
        <w:t>Role of the Commonwealth</w:t>
      </w:r>
    </w:p>
    <w:p w14:paraId="74673EF2" w14:textId="77777777" w:rsidR="008F44F1" w:rsidRDefault="008F44F1" w:rsidP="006C3986">
      <w:pPr>
        <w:pStyle w:val="Normalnumbered"/>
        <w:numPr>
          <w:ilvl w:val="0"/>
          <w:numId w:val="10"/>
        </w:numPr>
        <w:jc w:val="left"/>
      </w:pPr>
      <w:r>
        <w:t>The Commonwealth will be responsible for:</w:t>
      </w:r>
    </w:p>
    <w:p w14:paraId="37E6C95E" w14:textId="43B71443" w:rsidR="008F44F1" w:rsidRPr="009B5E18" w:rsidRDefault="008F44F1" w:rsidP="006C3986">
      <w:pPr>
        <w:pStyle w:val="AlphaParagraph"/>
        <w:numPr>
          <w:ilvl w:val="0"/>
          <w:numId w:val="20"/>
        </w:numPr>
        <w:tabs>
          <w:tab w:val="clear" w:pos="567"/>
          <w:tab w:val="clear" w:pos="1418"/>
          <w:tab w:val="clear" w:pos="1701"/>
        </w:tabs>
        <w:ind w:left="1134" w:hanging="567"/>
      </w:pPr>
      <w:r w:rsidRPr="00492942">
        <w:rPr>
          <w:color w:val="auto"/>
        </w:rPr>
        <w:t>monitoring</w:t>
      </w:r>
      <w:r w:rsidRPr="00492942">
        <w:t xml:space="preserve"> and assessing achievement against milestones in the </w:t>
      </w:r>
      <w:r w:rsidR="00254C79">
        <w:t>implementation of</w:t>
      </w:r>
      <w:r w:rsidRPr="009B5E18">
        <w:t xml:space="preserve"> this Agreement to ensure that outputs are delivered within the agreed timeframe</w:t>
      </w:r>
      <w:r w:rsidR="00254C79">
        <w:t>s</w:t>
      </w:r>
      <w:r w:rsidRPr="009B5E18">
        <w:t xml:space="preserve">; </w:t>
      </w:r>
      <w:r w:rsidR="009B5E18">
        <w:t>and</w:t>
      </w:r>
    </w:p>
    <w:p w14:paraId="2BC7F3F1" w14:textId="6F088652" w:rsidR="008F44F1" w:rsidRDefault="008F44F1" w:rsidP="006C3986">
      <w:pPr>
        <w:pStyle w:val="AlphaParagraph"/>
        <w:numPr>
          <w:ilvl w:val="0"/>
          <w:numId w:val="15"/>
        </w:numPr>
        <w:tabs>
          <w:tab w:val="clear" w:pos="567"/>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009B5E18">
        <w:rPr>
          <w:color w:val="auto"/>
        </w:rPr>
        <w:t xml:space="preserve"> of this Agreement.</w:t>
      </w:r>
    </w:p>
    <w:p w14:paraId="60AD32A3" w14:textId="706ABBCF" w:rsidR="005A1422" w:rsidRPr="00751725" w:rsidRDefault="005A1422" w:rsidP="005A1422">
      <w:pPr>
        <w:pStyle w:val="Heading2"/>
      </w:pPr>
      <w:r w:rsidRPr="00751725">
        <w:t xml:space="preserve">Role of </w:t>
      </w:r>
      <w:r>
        <w:t>the States</w:t>
      </w:r>
    </w:p>
    <w:p w14:paraId="6F7C9218" w14:textId="339ED536" w:rsidR="005A1422" w:rsidRPr="00751725" w:rsidRDefault="005A1422" w:rsidP="005A1422">
      <w:pPr>
        <w:pStyle w:val="Normalnumbered"/>
        <w:numPr>
          <w:ilvl w:val="0"/>
          <w:numId w:val="10"/>
        </w:numPr>
        <w:jc w:val="left"/>
      </w:pPr>
      <w:r>
        <w:t>The States</w:t>
      </w:r>
      <w:r w:rsidRPr="00751725">
        <w:t xml:space="preserve"> </w:t>
      </w:r>
      <w:r>
        <w:t>will be responsible for:</w:t>
      </w:r>
    </w:p>
    <w:p w14:paraId="18FD9EBA" w14:textId="07B550F6" w:rsidR="005A1422" w:rsidRPr="0072643B" w:rsidRDefault="005A1422" w:rsidP="005A1422">
      <w:pPr>
        <w:pStyle w:val="AlphaParagraph"/>
        <w:numPr>
          <w:ilvl w:val="0"/>
          <w:numId w:val="26"/>
        </w:numPr>
        <w:tabs>
          <w:tab w:val="clear" w:pos="283"/>
          <w:tab w:val="clear" w:pos="567"/>
          <w:tab w:val="clear" w:pos="1134"/>
          <w:tab w:val="clear" w:pos="1418"/>
        </w:tabs>
        <w:ind w:hanging="567"/>
      </w:pPr>
      <w:r w:rsidRPr="0072643B">
        <w:t>all aspects of delivering on the project outputs set out in Part 2 – Project Outputs; and</w:t>
      </w:r>
    </w:p>
    <w:p w14:paraId="54BF10B9" w14:textId="547EB29F" w:rsidR="005A1422" w:rsidRPr="0072643B" w:rsidRDefault="005A1422" w:rsidP="005A1422">
      <w:pPr>
        <w:pStyle w:val="AlphaParagraph"/>
        <w:numPr>
          <w:ilvl w:val="0"/>
          <w:numId w:val="26"/>
        </w:numPr>
        <w:tabs>
          <w:tab w:val="clear" w:pos="283"/>
          <w:tab w:val="clear" w:pos="567"/>
          <w:tab w:val="clear" w:pos="1418"/>
        </w:tabs>
        <w:ind w:hanging="567"/>
      </w:pPr>
      <w:r w:rsidRPr="0072643B">
        <w:t>reporting on the delivery of outputs as set out in Part 4 – Project Milestones, Reporting and Payments.</w:t>
      </w:r>
    </w:p>
    <w:p w14:paraId="60552BCE" w14:textId="77777777" w:rsidR="008F44F1" w:rsidRDefault="008F44F1" w:rsidP="004F5DCD">
      <w:pPr>
        <w:pStyle w:val="Heading2"/>
      </w:pPr>
      <w:r>
        <w:t>Shared roles</w:t>
      </w:r>
    </w:p>
    <w:p w14:paraId="06A3ADB7" w14:textId="45073AE6" w:rsidR="000D18B7" w:rsidRDefault="000D18B7" w:rsidP="005A1422">
      <w:pPr>
        <w:pStyle w:val="Normalnumbered"/>
        <w:numPr>
          <w:ilvl w:val="0"/>
          <w:numId w:val="10"/>
        </w:numPr>
        <w:jc w:val="left"/>
      </w:pPr>
      <w:r>
        <w:t>The Commonwealth and the States will be responsible for:</w:t>
      </w:r>
    </w:p>
    <w:p w14:paraId="2AB4BB31" w14:textId="5ECB33F3" w:rsidR="000D18B7" w:rsidRPr="0072643B" w:rsidRDefault="000D18B7" w:rsidP="005A1422">
      <w:pPr>
        <w:pStyle w:val="AlphaParagraph"/>
        <w:numPr>
          <w:ilvl w:val="0"/>
          <w:numId w:val="29"/>
        </w:numPr>
        <w:tabs>
          <w:tab w:val="clear" w:pos="283"/>
          <w:tab w:val="clear" w:pos="567"/>
          <w:tab w:val="clear" w:pos="1134"/>
          <w:tab w:val="clear" w:pos="1418"/>
        </w:tabs>
        <w:ind w:hanging="567"/>
      </w:pPr>
      <w:r w:rsidRPr="0072643B">
        <w:t xml:space="preserve">developing and agreeing bilateral schedules to this Agreement </w:t>
      </w:r>
      <w:r w:rsidR="006150A5" w:rsidRPr="0072643B">
        <w:t xml:space="preserve">which </w:t>
      </w:r>
      <w:r w:rsidR="005156CD" w:rsidRPr="0072643B">
        <w:t>set out</w:t>
      </w:r>
      <w:r w:rsidR="006150A5" w:rsidRPr="0072643B">
        <w:t xml:space="preserve"> milestones, reporting and payment arrangements in accordance with </w:t>
      </w:r>
      <w:r w:rsidR="005A1422" w:rsidRPr="0072643B">
        <w:t xml:space="preserve"> </w:t>
      </w:r>
      <w:r w:rsidR="006150A5" w:rsidRPr="0072643B">
        <w:t>Part 4 – Project Milestones, Reporting and Payments</w:t>
      </w:r>
      <w:r w:rsidRPr="0072643B">
        <w:t>;</w:t>
      </w:r>
    </w:p>
    <w:p w14:paraId="28A9C313" w14:textId="4FDCF05F" w:rsidR="006150A5" w:rsidRPr="00E8160C" w:rsidRDefault="006150A5" w:rsidP="000D18B7">
      <w:pPr>
        <w:pStyle w:val="AlphaParagraph"/>
        <w:numPr>
          <w:ilvl w:val="0"/>
          <w:numId w:val="28"/>
        </w:numPr>
        <w:tabs>
          <w:tab w:val="clear" w:pos="283"/>
          <w:tab w:val="clear" w:pos="567"/>
          <w:tab w:val="clear" w:pos="1134"/>
          <w:tab w:val="clear" w:pos="1418"/>
        </w:tabs>
        <w:ind w:hanging="567"/>
      </w:pPr>
      <w:r>
        <w:t xml:space="preserve">meeting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r w:rsidR="005A1422">
        <w:t>.</w:t>
      </w:r>
    </w:p>
    <w:p w14:paraId="0FAE7CC2" w14:textId="77777777" w:rsidR="00814667" w:rsidRPr="0072643B" w:rsidRDefault="00814667">
      <w:pPr>
        <w:pStyle w:val="Heading1"/>
      </w:pPr>
      <w:r w:rsidRPr="0072643B">
        <w:lastRenderedPageBreak/>
        <w:t xml:space="preserve">Part 4 — </w:t>
      </w:r>
      <w:r w:rsidR="0095223D" w:rsidRPr="0072643B">
        <w:t xml:space="preserve">Project </w:t>
      </w:r>
      <w:r w:rsidR="00F8684A" w:rsidRPr="0072643B">
        <w:t>milestones</w:t>
      </w:r>
      <w:r w:rsidR="0095223D" w:rsidRPr="0072643B">
        <w:t xml:space="preserve">, </w:t>
      </w:r>
      <w:r w:rsidRPr="0072643B">
        <w:t>reporting</w:t>
      </w:r>
      <w:r w:rsidR="00B8096A" w:rsidRPr="0072643B">
        <w:t xml:space="preserve"> and Payment</w:t>
      </w:r>
      <w:r w:rsidR="0095223D" w:rsidRPr="0072643B">
        <w:t>s</w:t>
      </w:r>
    </w:p>
    <w:p w14:paraId="33F4C571" w14:textId="0EDC2786" w:rsidR="004B6083" w:rsidRPr="0072643B" w:rsidRDefault="006150A5" w:rsidP="006C3986">
      <w:pPr>
        <w:pStyle w:val="Normalnumbered"/>
        <w:numPr>
          <w:ilvl w:val="0"/>
          <w:numId w:val="10"/>
        </w:numPr>
      </w:pPr>
      <w:r w:rsidRPr="0072643B">
        <w:t>P</w:t>
      </w:r>
      <w:r w:rsidR="00A641FF" w:rsidRPr="0072643B">
        <w:t xml:space="preserve">roject </w:t>
      </w:r>
      <w:r w:rsidR="007C4F31" w:rsidRPr="0072643B">
        <w:t>m</w:t>
      </w:r>
      <w:r w:rsidR="00A641FF" w:rsidRPr="0072643B">
        <w:t>ilestones</w:t>
      </w:r>
      <w:r w:rsidR="007C4F31" w:rsidRPr="0072643B">
        <w:t xml:space="preserve">, their relationship to outputs, expected completion dates, relevant reporting dates and expected payments </w:t>
      </w:r>
      <w:r w:rsidR="0077685D" w:rsidRPr="0072643B">
        <w:t>to be made</w:t>
      </w:r>
      <w:r w:rsidRPr="0072643B">
        <w:t xml:space="preserve"> are set out in </w:t>
      </w:r>
      <w:r w:rsidR="000E0C05" w:rsidRPr="0072643B">
        <w:t xml:space="preserve">the </w:t>
      </w:r>
      <w:r w:rsidRPr="0072643B">
        <w:t>bilateral schedules to this Agreement</w:t>
      </w:r>
      <w:r w:rsidR="00ED2AC4" w:rsidRPr="0072643B">
        <w:t>. The</w:t>
      </w:r>
      <w:r w:rsidR="00A641FF" w:rsidRPr="0072643B">
        <w:t> </w:t>
      </w:r>
      <w:r w:rsidR="00ED2AC4" w:rsidRPr="0072643B">
        <w:t xml:space="preserve">Commonwealth will make payments subject to </w:t>
      </w:r>
      <w:r w:rsidR="002012BB" w:rsidRPr="0072643B">
        <w:t xml:space="preserve">evidence that </w:t>
      </w:r>
      <w:r w:rsidR="00ED2AC4" w:rsidRPr="0072643B">
        <w:t xml:space="preserve">the relevant </w:t>
      </w:r>
      <w:r w:rsidR="00ED2AC4" w:rsidRPr="0072643B">
        <w:rPr>
          <w:szCs w:val="23"/>
        </w:rPr>
        <w:t>milestone</w:t>
      </w:r>
      <w:r w:rsidRPr="0072643B">
        <w:rPr>
          <w:szCs w:val="23"/>
        </w:rPr>
        <w:t>s</w:t>
      </w:r>
      <w:r w:rsidR="00ED2AC4" w:rsidRPr="0072643B">
        <w:rPr>
          <w:szCs w:val="23"/>
        </w:rPr>
        <w:t xml:space="preserve"> </w:t>
      </w:r>
      <w:r w:rsidRPr="0072643B">
        <w:t>have</w:t>
      </w:r>
      <w:r w:rsidR="00ED2AC4" w:rsidRPr="0072643B">
        <w:t xml:space="preserve"> been met.</w:t>
      </w:r>
    </w:p>
    <w:p w14:paraId="0C75EF37" w14:textId="532E6D8A" w:rsidR="00172360" w:rsidRPr="0072643B" w:rsidRDefault="002E144A" w:rsidP="006C3986">
      <w:pPr>
        <w:pStyle w:val="Normalnumbered"/>
        <w:numPr>
          <w:ilvl w:val="0"/>
          <w:numId w:val="10"/>
        </w:numPr>
      </w:pPr>
      <w:r w:rsidRPr="0072643B">
        <w:t>If</w:t>
      </w:r>
      <w:r w:rsidR="00172360" w:rsidRPr="0072643B">
        <w:t xml:space="preserve"> a milestone is met in advance of the due date, </w:t>
      </w:r>
      <w:r w:rsidRPr="0072643B">
        <w:t xml:space="preserve">where </w:t>
      </w:r>
      <w:r w:rsidR="00172360" w:rsidRPr="0072643B">
        <w:t xml:space="preserve">the relevant </w:t>
      </w:r>
      <w:r w:rsidR="002012BB" w:rsidRPr="0072643B">
        <w:t>evidence</w:t>
      </w:r>
      <w:r w:rsidR="00172360" w:rsidRPr="0072643B">
        <w:t xml:space="preserve"> demonstrat</w:t>
      </w:r>
      <w:r w:rsidRPr="0072643B">
        <w:t>es</w:t>
      </w:r>
      <w:r w:rsidR="00172360" w:rsidRPr="0072643B">
        <w:t xml:space="preserve"> </w:t>
      </w:r>
      <w:r w:rsidR="00413E74" w:rsidRPr="0072643B">
        <w:t xml:space="preserve">that </w:t>
      </w:r>
      <w:r w:rsidR="00172360" w:rsidRPr="0072643B">
        <w:t xml:space="preserve">the milestone has been met, the Commonwealth may make the associated payment earlier than scheduled provided it falls within the same financial year as the original milestone date. </w:t>
      </w:r>
    </w:p>
    <w:p w14:paraId="2366DB63" w14:textId="77777777" w:rsidR="00F3245D" w:rsidRPr="0072643B" w:rsidRDefault="00F3245D" w:rsidP="00F3245D">
      <w:pPr>
        <w:pStyle w:val="Heading2"/>
      </w:pPr>
      <w:r w:rsidRPr="0072643B">
        <w:t>Reporting arrangements</w:t>
      </w:r>
    </w:p>
    <w:p w14:paraId="3BFB269A" w14:textId="15594529" w:rsidR="00ED2AC4" w:rsidRPr="0072643B" w:rsidRDefault="008066E2" w:rsidP="006C3986">
      <w:pPr>
        <w:pStyle w:val="Normalnumbered"/>
        <w:numPr>
          <w:ilvl w:val="0"/>
          <w:numId w:val="10"/>
        </w:numPr>
        <w:spacing w:before="120" w:line="240" w:lineRule="auto"/>
        <w:rPr>
          <w:szCs w:val="23"/>
        </w:rPr>
      </w:pPr>
      <w:r w:rsidRPr="0072643B">
        <w:t>The States</w:t>
      </w:r>
      <w:r w:rsidR="000749A5" w:rsidRPr="0072643B">
        <w:t xml:space="preserve"> </w:t>
      </w:r>
      <w:r w:rsidR="009E151E" w:rsidRPr="0072643B">
        <w:t xml:space="preserve">will </w:t>
      </w:r>
      <w:r w:rsidR="0095223D" w:rsidRPr="0072643B">
        <w:t xml:space="preserve">provide performance reports in accordance with </w:t>
      </w:r>
      <w:r w:rsidR="007B79D4" w:rsidRPr="0072643B">
        <w:t>the bilateral schedules</w:t>
      </w:r>
      <w:r w:rsidR="00C2605C" w:rsidRPr="0072643B">
        <w:t xml:space="preserve"> </w:t>
      </w:r>
      <w:r w:rsidR="009E151E" w:rsidRPr="0072643B">
        <w:t>during</w:t>
      </w:r>
      <w:r w:rsidR="00C42ACA" w:rsidRPr="0072643B">
        <w:t xml:space="preserve"> </w:t>
      </w:r>
      <w:r w:rsidR="009E151E" w:rsidRPr="0072643B">
        <w:t>t</w:t>
      </w:r>
      <w:r w:rsidR="00515AF2" w:rsidRPr="0072643B">
        <w:t>he operation of</w:t>
      </w:r>
      <w:r w:rsidR="00D84ADB" w:rsidRPr="0072643B">
        <w:t xml:space="preserve"> this</w:t>
      </w:r>
      <w:r w:rsidR="00515AF2" w:rsidRPr="0072643B">
        <w:t xml:space="preserve"> Agreement. </w:t>
      </w:r>
      <w:r w:rsidR="0095223D" w:rsidRPr="0072643B">
        <w:t>Each performance report is to contai</w:t>
      </w:r>
      <w:r w:rsidR="00ED2AC4" w:rsidRPr="0072643B">
        <w:t>n a description of actual performance in the period to date against the project milestones.</w:t>
      </w:r>
      <w:r w:rsidR="00ED2AC4" w:rsidRPr="0072643B">
        <w:rPr>
          <w:szCs w:val="23"/>
        </w:rPr>
        <w:t xml:space="preserve"> </w:t>
      </w:r>
    </w:p>
    <w:p w14:paraId="2D04C048" w14:textId="77777777" w:rsidR="008E7527" w:rsidRDefault="008E7527" w:rsidP="009E093C">
      <w:pPr>
        <w:pStyle w:val="Heading1"/>
      </w:pPr>
      <w:r>
        <w:t>Part 5</w:t>
      </w:r>
      <w:r w:rsidRPr="00751725">
        <w:t xml:space="preserve"> — financial arrangements</w:t>
      </w:r>
    </w:p>
    <w:p w14:paraId="2A5157EF" w14:textId="1BE65FE8" w:rsidR="008E7527" w:rsidRDefault="008E7527" w:rsidP="006C3986">
      <w:pPr>
        <w:pStyle w:val="Normalnumbered"/>
        <w:numPr>
          <w:ilvl w:val="0"/>
          <w:numId w:val="1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822D89">
        <w:t xml:space="preserve">the States of </w:t>
      </w:r>
      <w:r w:rsidRPr="00CD526B">
        <w:t>$</w:t>
      </w:r>
      <w:r w:rsidR="00822D89">
        <w:t>9.35m</w:t>
      </w:r>
      <w:r>
        <w:t xml:space="preserve"> in respect of this Agreement.</w:t>
      </w:r>
      <w:r w:rsidRPr="000E48C3">
        <w:t xml:space="preserve"> </w:t>
      </w:r>
      <w:r>
        <w:t>All payments are GST exclusive.</w:t>
      </w:r>
    </w:p>
    <w:p w14:paraId="0DA73422" w14:textId="77777777" w:rsidR="008E7527" w:rsidRDefault="005A5E7A" w:rsidP="006C3986">
      <w:pPr>
        <w:pStyle w:val="Normalnumbered"/>
        <w:numPr>
          <w:ilvl w:val="0"/>
          <w:numId w:val="10"/>
        </w:numPr>
      </w:pPr>
      <w:r>
        <w:t>T</w:t>
      </w:r>
      <w:r w:rsidR="008E7527" w:rsidRPr="002B7E1B">
        <w:t>he Commonwealth’s funding contribution will not be reduced where the States secure funding from other activity partners</w:t>
      </w:r>
      <w:r w:rsidR="002E144A">
        <w:t>.</w:t>
      </w:r>
    </w:p>
    <w:p w14:paraId="6287BAB1" w14:textId="5717B812" w:rsidR="008E7527" w:rsidRPr="00751725" w:rsidRDefault="008E7527" w:rsidP="006C3986">
      <w:pPr>
        <w:pStyle w:val="Normalnumbered"/>
        <w:keepNext/>
        <w:keepLines/>
        <w:numPr>
          <w:ilvl w:val="0"/>
          <w:numId w:val="10"/>
        </w:numPr>
      </w:pPr>
      <w:r w:rsidRPr="00751725">
        <w:t>The Commonwealth</w:t>
      </w:r>
      <w:r>
        <w:t>’s</w:t>
      </w:r>
      <w:r w:rsidRPr="00751725">
        <w:t xml:space="preserve"> and the </w:t>
      </w:r>
      <w:r>
        <w:t>S</w:t>
      </w:r>
      <w:r w:rsidRPr="00751725">
        <w:t>tates</w:t>
      </w:r>
      <w:r>
        <w:t>’</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3765C6">
        <w:t>1</w:t>
      </w:r>
      <w:r w:rsidRPr="00751725">
        <w:t>.</w:t>
      </w:r>
    </w:p>
    <w:p w14:paraId="0C11F6F0" w14:textId="1DCAF0E2" w:rsidR="008E7527" w:rsidRPr="008360AE" w:rsidRDefault="00E204BB" w:rsidP="00E204BB">
      <w:pPr>
        <w:pStyle w:val="Normalnumbered"/>
        <w:numPr>
          <w:ilvl w:val="0"/>
          <w:numId w:val="0"/>
        </w:numPr>
        <w:rPr>
          <w:b/>
        </w:rPr>
      </w:pPr>
      <w:r w:rsidRPr="008360AE">
        <w:rPr>
          <w:b/>
        </w:rPr>
        <w:t xml:space="preserve">Table </w:t>
      </w:r>
      <w:r w:rsidR="003765C6">
        <w:rPr>
          <w:b/>
        </w:rPr>
        <w:t>1</w:t>
      </w:r>
      <w:r w:rsidR="008E7527" w:rsidRPr="008360AE">
        <w:rPr>
          <w:b/>
        </w:rPr>
        <w:t>: Estimated financial contributions</w:t>
      </w:r>
    </w:p>
    <w:tbl>
      <w:tblPr>
        <w:tblW w:w="0" w:type="auto"/>
        <w:tblLook w:val="01E0" w:firstRow="1" w:lastRow="1" w:firstColumn="1" w:lastColumn="1" w:noHBand="0" w:noVBand="0"/>
      </w:tblPr>
      <w:tblGrid>
        <w:gridCol w:w="7479"/>
        <w:gridCol w:w="993"/>
        <w:gridCol w:w="1134"/>
      </w:tblGrid>
      <w:tr w:rsidR="008360AE" w:rsidRPr="007A387F" w14:paraId="121D51B5" w14:textId="77777777" w:rsidTr="008360AE">
        <w:trPr>
          <w:cantSplit/>
        </w:trPr>
        <w:tc>
          <w:tcPr>
            <w:tcW w:w="7479" w:type="dxa"/>
            <w:tcBorders>
              <w:top w:val="single" w:sz="4" w:space="0" w:color="000080"/>
            </w:tcBorders>
          </w:tcPr>
          <w:p w14:paraId="283B187A" w14:textId="77777777" w:rsidR="008360AE" w:rsidRPr="007A387F" w:rsidRDefault="008360AE" w:rsidP="00AB71A5">
            <w:pPr>
              <w:keepNext/>
              <w:keepLines/>
              <w:spacing w:before="40" w:after="40"/>
              <w:jc w:val="left"/>
              <w:rPr>
                <w:b/>
              </w:rPr>
            </w:pPr>
            <w:r w:rsidRPr="007A387F">
              <w:rPr>
                <w:b/>
              </w:rPr>
              <w:t>($ million)</w:t>
            </w:r>
          </w:p>
        </w:tc>
        <w:tc>
          <w:tcPr>
            <w:tcW w:w="993" w:type="dxa"/>
            <w:tcBorders>
              <w:top w:val="single" w:sz="4" w:space="0" w:color="000080"/>
              <w:bottom w:val="single" w:sz="4" w:space="0" w:color="000080"/>
            </w:tcBorders>
          </w:tcPr>
          <w:p w14:paraId="7E26B823" w14:textId="77777777" w:rsidR="008360AE" w:rsidRPr="007A387F" w:rsidRDefault="008360AE" w:rsidP="00AB71A5">
            <w:pPr>
              <w:keepNext/>
              <w:keepLines/>
              <w:spacing w:before="40" w:after="40"/>
              <w:jc w:val="right"/>
            </w:pPr>
            <w:r w:rsidRPr="007A387F">
              <w:t>2018-19</w:t>
            </w:r>
          </w:p>
        </w:tc>
        <w:tc>
          <w:tcPr>
            <w:tcW w:w="1134" w:type="dxa"/>
            <w:tcBorders>
              <w:top w:val="single" w:sz="4" w:space="0" w:color="000080"/>
              <w:bottom w:val="single" w:sz="4" w:space="0" w:color="000080"/>
            </w:tcBorders>
          </w:tcPr>
          <w:p w14:paraId="2E732348" w14:textId="77777777" w:rsidR="008360AE" w:rsidRPr="007A387F" w:rsidRDefault="008360AE" w:rsidP="00AB71A5">
            <w:pPr>
              <w:keepNext/>
              <w:keepLines/>
              <w:spacing w:before="40" w:after="40"/>
              <w:jc w:val="right"/>
            </w:pPr>
            <w:r w:rsidRPr="007A387F">
              <w:t>Total</w:t>
            </w:r>
          </w:p>
        </w:tc>
      </w:tr>
      <w:tr w:rsidR="008360AE" w:rsidRPr="007A387F" w14:paraId="4B5FE020" w14:textId="77777777" w:rsidTr="007A387F">
        <w:trPr>
          <w:cantSplit/>
        </w:trPr>
        <w:tc>
          <w:tcPr>
            <w:tcW w:w="7479" w:type="dxa"/>
          </w:tcPr>
          <w:p w14:paraId="09D44A59" w14:textId="77777777" w:rsidR="008360AE" w:rsidRPr="007A387F" w:rsidRDefault="008360AE" w:rsidP="00AB71A5">
            <w:pPr>
              <w:keepNext/>
              <w:keepLines/>
              <w:spacing w:before="60" w:after="60"/>
              <w:rPr>
                <w:b/>
              </w:rPr>
            </w:pPr>
            <w:r w:rsidRPr="007A387F">
              <w:rPr>
                <w:b/>
              </w:rPr>
              <w:t>Estimated total budget</w:t>
            </w:r>
          </w:p>
        </w:tc>
        <w:tc>
          <w:tcPr>
            <w:tcW w:w="993" w:type="dxa"/>
            <w:tcBorders>
              <w:top w:val="single" w:sz="4" w:space="0" w:color="000080"/>
            </w:tcBorders>
          </w:tcPr>
          <w:p w14:paraId="3034F7A6" w14:textId="66B86D88" w:rsidR="008360AE" w:rsidRPr="007A387F" w:rsidRDefault="009061ED" w:rsidP="00620B92">
            <w:pPr>
              <w:keepNext/>
              <w:keepLines/>
              <w:spacing w:before="40" w:after="40"/>
              <w:jc w:val="right"/>
              <w:rPr>
                <w:b/>
              </w:rPr>
            </w:pPr>
            <w:r>
              <w:rPr>
                <w:b/>
              </w:rPr>
              <w:t>9.35</w:t>
            </w:r>
          </w:p>
        </w:tc>
        <w:tc>
          <w:tcPr>
            <w:tcW w:w="1134" w:type="dxa"/>
            <w:tcBorders>
              <w:top w:val="single" w:sz="4" w:space="0" w:color="000080"/>
            </w:tcBorders>
          </w:tcPr>
          <w:p w14:paraId="7B0D616F" w14:textId="42B267D8" w:rsidR="008360AE" w:rsidRPr="007A387F" w:rsidRDefault="009061ED" w:rsidP="00620B92">
            <w:pPr>
              <w:keepNext/>
              <w:keepLines/>
              <w:spacing w:before="40" w:after="40"/>
              <w:jc w:val="right"/>
              <w:rPr>
                <w:b/>
              </w:rPr>
            </w:pPr>
            <w:r>
              <w:rPr>
                <w:b/>
              </w:rPr>
              <w:t>9.35</w:t>
            </w:r>
          </w:p>
        </w:tc>
      </w:tr>
      <w:tr w:rsidR="008360AE" w:rsidRPr="007A387F" w14:paraId="513C2811" w14:textId="77777777" w:rsidTr="007A387F">
        <w:trPr>
          <w:cantSplit/>
        </w:trPr>
        <w:tc>
          <w:tcPr>
            <w:tcW w:w="7479" w:type="dxa"/>
          </w:tcPr>
          <w:p w14:paraId="38260EC2" w14:textId="77777777" w:rsidR="008360AE" w:rsidRPr="007A387F" w:rsidRDefault="008360AE" w:rsidP="00AB71A5">
            <w:pPr>
              <w:keepNext/>
              <w:keepLines/>
              <w:spacing w:before="60" w:after="60"/>
            </w:pPr>
            <w:r w:rsidRPr="007A387F">
              <w:t>Less estimated National Partnership Payments</w:t>
            </w:r>
          </w:p>
        </w:tc>
        <w:tc>
          <w:tcPr>
            <w:tcW w:w="993" w:type="dxa"/>
          </w:tcPr>
          <w:p w14:paraId="2710E7DE" w14:textId="77777777" w:rsidR="008360AE" w:rsidRPr="007A387F" w:rsidRDefault="008360AE" w:rsidP="00AB71A5">
            <w:pPr>
              <w:keepNext/>
              <w:keepLines/>
              <w:spacing w:before="40" w:after="40"/>
              <w:jc w:val="right"/>
            </w:pPr>
            <w:r w:rsidRPr="007A387F">
              <w:t>9.35</w:t>
            </w:r>
          </w:p>
        </w:tc>
        <w:tc>
          <w:tcPr>
            <w:tcW w:w="1134" w:type="dxa"/>
          </w:tcPr>
          <w:p w14:paraId="4E9BFCC0" w14:textId="36C4474A" w:rsidR="007A387F" w:rsidRPr="007A387F" w:rsidRDefault="008360AE" w:rsidP="007A387F">
            <w:pPr>
              <w:keepNext/>
              <w:keepLines/>
              <w:spacing w:before="40" w:after="40"/>
              <w:jc w:val="right"/>
            </w:pPr>
            <w:r w:rsidRPr="007A387F">
              <w:t>9.35</w:t>
            </w:r>
          </w:p>
        </w:tc>
      </w:tr>
      <w:tr w:rsidR="007A387F" w:rsidRPr="007A387F" w14:paraId="0743E43C" w14:textId="77777777" w:rsidTr="007A387F">
        <w:trPr>
          <w:cantSplit/>
        </w:trPr>
        <w:tc>
          <w:tcPr>
            <w:tcW w:w="7479" w:type="dxa"/>
          </w:tcPr>
          <w:p w14:paraId="6B97BA0F" w14:textId="21AD1CB0" w:rsidR="007A387F" w:rsidRPr="007A387F" w:rsidRDefault="007A387F" w:rsidP="007A387F">
            <w:pPr>
              <w:keepNext/>
              <w:keepLines/>
              <w:spacing w:before="60" w:after="60"/>
              <w:ind w:left="720"/>
            </w:pPr>
            <w:r w:rsidRPr="007A387F">
              <w:t>New South Wales</w:t>
            </w:r>
          </w:p>
        </w:tc>
        <w:tc>
          <w:tcPr>
            <w:tcW w:w="993" w:type="dxa"/>
          </w:tcPr>
          <w:p w14:paraId="36C9BB79" w14:textId="40D44D4F" w:rsidR="007A387F" w:rsidRPr="007A387F" w:rsidRDefault="007A387F" w:rsidP="00AB71A5">
            <w:pPr>
              <w:keepNext/>
              <w:keepLines/>
              <w:spacing w:before="40" w:after="40"/>
              <w:jc w:val="right"/>
            </w:pPr>
            <w:r w:rsidRPr="007A387F">
              <w:t>7.35</w:t>
            </w:r>
          </w:p>
        </w:tc>
        <w:tc>
          <w:tcPr>
            <w:tcW w:w="1134" w:type="dxa"/>
          </w:tcPr>
          <w:p w14:paraId="7429EBB1" w14:textId="2BE21224" w:rsidR="007A387F" w:rsidRPr="007A387F" w:rsidRDefault="007A387F" w:rsidP="007A387F">
            <w:pPr>
              <w:keepNext/>
              <w:keepLines/>
              <w:spacing w:before="40" w:after="40"/>
              <w:jc w:val="right"/>
            </w:pPr>
            <w:r w:rsidRPr="007A387F">
              <w:t>7.35</w:t>
            </w:r>
          </w:p>
        </w:tc>
      </w:tr>
      <w:tr w:rsidR="007A387F" w:rsidRPr="007A387F" w14:paraId="1D3D72EC" w14:textId="77777777" w:rsidTr="007A387F">
        <w:trPr>
          <w:cantSplit/>
        </w:trPr>
        <w:tc>
          <w:tcPr>
            <w:tcW w:w="7479" w:type="dxa"/>
          </w:tcPr>
          <w:p w14:paraId="48000406" w14:textId="3BB45B57" w:rsidR="007A387F" w:rsidRPr="007A387F" w:rsidRDefault="007A387F" w:rsidP="007A387F">
            <w:pPr>
              <w:keepNext/>
              <w:keepLines/>
              <w:spacing w:before="60" w:after="60"/>
              <w:ind w:left="720"/>
            </w:pPr>
            <w:r w:rsidRPr="007A387F">
              <w:t>Victoria</w:t>
            </w:r>
          </w:p>
        </w:tc>
        <w:tc>
          <w:tcPr>
            <w:tcW w:w="993" w:type="dxa"/>
            <w:tcBorders>
              <w:bottom w:val="single" w:sz="4" w:space="0" w:color="000080"/>
            </w:tcBorders>
          </w:tcPr>
          <w:p w14:paraId="43A72B07" w14:textId="12042678" w:rsidR="007A387F" w:rsidRPr="007A387F" w:rsidRDefault="007A387F" w:rsidP="00AB71A5">
            <w:pPr>
              <w:keepNext/>
              <w:keepLines/>
              <w:spacing w:before="40" w:after="40"/>
              <w:jc w:val="right"/>
            </w:pPr>
            <w:r w:rsidRPr="007A387F">
              <w:t>2.0</w:t>
            </w:r>
          </w:p>
        </w:tc>
        <w:tc>
          <w:tcPr>
            <w:tcW w:w="1134" w:type="dxa"/>
            <w:tcBorders>
              <w:bottom w:val="single" w:sz="4" w:space="0" w:color="000080"/>
            </w:tcBorders>
          </w:tcPr>
          <w:p w14:paraId="7F2A8501" w14:textId="41B53C3D" w:rsidR="007A387F" w:rsidRPr="007A387F" w:rsidRDefault="007A387F" w:rsidP="007A387F">
            <w:pPr>
              <w:keepNext/>
              <w:keepLines/>
              <w:spacing w:before="40" w:after="40"/>
              <w:jc w:val="right"/>
            </w:pPr>
            <w:r w:rsidRPr="007A387F">
              <w:t>2.0</w:t>
            </w:r>
          </w:p>
        </w:tc>
      </w:tr>
      <w:tr w:rsidR="008360AE" w14:paraId="56D61BA2" w14:textId="77777777" w:rsidTr="008360AE">
        <w:trPr>
          <w:cantSplit/>
        </w:trPr>
        <w:tc>
          <w:tcPr>
            <w:tcW w:w="7479" w:type="dxa"/>
            <w:tcBorders>
              <w:bottom w:val="single" w:sz="4" w:space="0" w:color="000080"/>
            </w:tcBorders>
          </w:tcPr>
          <w:p w14:paraId="0BD9F79C" w14:textId="77777777" w:rsidR="008360AE" w:rsidRPr="007A387F" w:rsidRDefault="008360AE" w:rsidP="00AB71A5">
            <w:pPr>
              <w:keepNext/>
              <w:keepLines/>
              <w:spacing w:before="40" w:after="40"/>
            </w:pPr>
            <w:r w:rsidRPr="007A387F">
              <w:t>Balance of non-Commonwealth contributions</w:t>
            </w:r>
          </w:p>
        </w:tc>
        <w:tc>
          <w:tcPr>
            <w:tcW w:w="993" w:type="dxa"/>
            <w:tcBorders>
              <w:bottom w:val="single" w:sz="4" w:space="0" w:color="000080"/>
            </w:tcBorders>
          </w:tcPr>
          <w:p w14:paraId="43FCD092" w14:textId="520A020F" w:rsidR="008360AE" w:rsidRPr="007A387F" w:rsidRDefault="009061ED" w:rsidP="00620B92">
            <w:pPr>
              <w:keepNext/>
              <w:keepLines/>
              <w:spacing w:before="40" w:after="40"/>
              <w:jc w:val="right"/>
            </w:pPr>
            <w:r>
              <w:t>0.0</w:t>
            </w:r>
          </w:p>
        </w:tc>
        <w:tc>
          <w:tcPr>
            <w:tcW w:w="1134" w:type="dxa"/>
            <w:tcBorders>
              <w:bottom w:val="single" w:sz="4" w:space="0" w:color="000080"/>
            </w:tcBorders>
          </w:tcPr>
          <w:p w14:paraId="54DA5405" w14:textId="45F59B0E" w:rsidR="008360AE" w:rsidRPr="007A387F" w:rsidRDefault="009061ED" w:rsidP="00620B92">
            <w:pPr>
              <w:keepNext/>
              <w:keepLines/>
              <w:spacing w:before="40" w:after="40"/>
              <w:jc w:val="right"/>
            </w:pPr>
            <w:r>
              <w:t>0.0</w:t>
            </w:r>
          </w:p>
        </w:tc>
      </w:tr>
    </w:tbl>
    <w:p w14:paraId="6EEEEB31" w14:textId="77777777" w:rsidR="00CE7403" w:rsidRDefault="00CE7403" w:rsidP="00804105">
      <w:pPr>
        <w:pStyle w:val="Normalnumbered"/>
        <w:numPr>
          <w:ilvl w:val="0"/>
          <w:numId w:val="0"/>
        </w:numPr>
      </w:pPr>
    </w:p>
    <w:p w14:paraId="5EC1B2BB" w14:textId="610C4137" w:rsidR="008E7527" w:rsidRDefault="008E7527" w:rsidP="006C3986">
      <w:pPr>
        <w:pStyle w:val="Normalnumbered"/>
        <w:numPr>
          <w:ilvl w:val="0"/>
          <w:numId w:val="10"/>
        </w:numPr>
      </w:pPr>
      <w:r w:rsidRPr="00C738BD">
        <w:t xml:space="preserve">Having regard to the agreed estimated costs of projects specified in </w:t>
      </w:r>
      <w:r w:rsidR="006B43AF">
        <w:t>this</w:t>
      </w:r>
      <w:r>
        <w:t xml:space="preserve"> Agreement</w:t>
      </w:r>
      <w:r w:rsidRPr="00C738BD">
        <w:t>, a State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47F29A8E" w14:textId="77777777" w:rsidR="00814667" w:rsidRDefault="003A2157">
      <w:pPr>
        <w:pStyle w:val="Heading1"/>
      </w:pPr>
      <w:bookmarkStart w:id="3" w:name="top"/>
      <w:bookmarkEnd w:id="3"/>
      <w:r>
        <w:lastRenderedPageBreak/>
        <w:t xml:space="preserve">Part </w:t>
      </w:r>
      <w:r w:rsidR="000B4080">
        <w:t>6</w:t>
      </w:r>
      <w:r w:rsidR="00814667">
        <w:t xml:space="preserve"> — governance arrangements</w:t>
      </w:r>
    </w:p>
    <w:p w14:paraId="412025A2" w14:textId="77777777" w:rsidR="00BC4728" w:rsidRDefault="00BC4728" w:rsidP="00BC4728">
      <w:pPr>
        <w:pStyle w:val="Heading2"/>
      </w:pPr>
      <w:r w:rsidRPr="006F096A">
        <w:t>Enforceability of the Agreement</w:t>
      </w:r>
    </w:p>
    <w:p w14:paraId="09508ED9" w14:textId="77777777" w:rsidR="00BC4728" w:rsidRPr="00C40EBC" w:rsidRDefault="00BC4728" w:rsidP="006C3986">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7284C9E2" w14:textId="77777777" w:rsidR="00814667" w:rsidRDefault="00814667">
      <w:pPr>
        <w:pStyle w:val="Heading2"/>
      </w:pPr>
      <w:r>
        <w:t>Variation of the Agreement</w:t>
      </w:r>
    </w:p>
    <w:p w14:paraId="6B41E600" w14:textId="77777777" w:rsidR="00814667" w:rsidRPr="00A16D26" w:rsidRDefault="00607B03" w:rsidP="006C3986">
      <w:pPr>
        <w:pStyle w:val="Normalnumbered"/>
        <w:numPr>
          <w:ilvl w:val="0"/>
          <w:numId w:val="10"/>
        </w:numPr>
      </w:pPr>
      <w:r w:rsidRPr="00A16D26">
        <w:t>The A</w:t>
      </w:r>
      <w:r w:rsidR="00814667" w:rsidRPr="00A16D26">
        <w:t>greement may be amended at any time by agreement in writing by all</w:t>
      </w:r>
      <w:r w:rsidR="002B1C50" w:rsidRPr="00A16D26">
        <w:t xml:space="preserve"> </w:t>
      </w:r>
      <w:r w:rsidR="00814667" w:rsidRPr="00A16D26">
        <w:t>the Parties.</w:t>
      </w:r>
    </w:p>
    <w:p w14:paraId="507C5F20" w14:textId="77777777" w:rsidR="00292587" w:rsidRPr="00053402" w:rsidRDefault="00292587" w:rsidP="006C3986">
      <w:pPr>
        <w:pStyle w:val="Normalnumbered"/>
        <w:numPr>
          <w:ilvl w:val="0"/>
          <w:numId w:val="10"/>
        </w:numPr>
      </w:pPr>
      <w:r w:rsidRPr="00053402">
        <w:t>Bilateral schedules to this Agreement that have no impact on other Parties may be amended at any time by agreement in writing by the relevant Commonwealth and State portfolio ministers.</w:t>
      </w:r>
    </w:p>
    <w:p w14:paraId="4E5A2D2F" w14:textId="77777777" w:rsidR="00292587" w:rsidRPr="00A16D26" w:rsidRDefault="00C2605C" w:rsidP="006C3986">
      <w:pPr>
        <w:pStyle w:val="Normalnumbered"/>
        <w:numPr>
          <w:ilvl w:val="0"/>
          <w:numId w:val="10"/>
        </w:numPr>
      </w:pPr>
      <w:r w:rsidRPr="00A16D26">
        <w:t xml:space="preserve">A </w:t>
      </w:r>
      <w:r w:rsidR="00814667" w:rsidRPr="00A16D26">
        <w:t xml:space="preserve">Party to the Agreement may terminate their participation in the Agreement at any time by notifying all </w:t>
      </w:r>
      <w:r w:rsidRPr="00A16D26">
        <w:t>Parties</w:t>
      </w:r>
      <w:r w:rsidRPr="00A16D26">
        <w:rPr>
          <w:i/>
        </w:rPr>
        <w:t xml:space="preserve"> </w:t>
      </w:r>
      <w:r w:rsidR="00814667" w:rsidRPr="00A16D26">
        <w:t>in writing.</w:t>
      </w:r>
    </w:p>
    <w:p w14:paraId="748446C0" w14:textId="77777777" w:rsidR="009526E4" w:rsidRDefault="009526E4" w:rsidP="0036119D">
      <w:pPr>
        <w:pStyle w:val="Heading2"/>
      </w:pPr>
      <w:r>
        <w:t>Delegations</w:t>
      </w:r>
    </w:p>
    <w:p w14:paraId="119B3C6C" w14:textId="77777777" w:rsidR="009526E4" w:rsidRDefault="009526E4" w:rsidP="006C3986">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B69BAB4" w14:textId="77777777" w:rsidR="0036119D" w:rsidRPr="00A16D26" w:rsidRDefault="0036119D" w:rsidP="0036119D">
      <w:pPr>
        <w:pStyle w:val="Heading2"/>
      </w:pPr>
      <w:r w:rsidRPr="00A16D26">
        <w:t>Dispute resolution</w:t>
      </w:r>
    </w:p>
    <w:p w14:paraId="722C3918" w14:textId="77777777" w:rsidR="0036119D" w:rsidRPr="00A16D26" w:rsidRDefault="0036119D" w:rsidP="006C3986">
      <w:pPr>
        <w:pStyle w:val="Normalnumbered"/>
        <w:numPr>
          <w:ilvl w:val="0"/>
          <w:numId w:val="10"/>
        </w:numPr>
      </w:pPr>
      <w:r w:rsidRPr="00A16D26">
        <w:t>Any Party may give notice to other Parties</w:t>
      </w:r>
      <w:r w:rsidR="00684EC1" w:rsidRPr="00A16D26">
        <w:t xml:space="preserve"> </w:t>
      </w:r>
      <w:r w:rsidRPr="00A16D26">
        <w:t>of a dispute under this Agreement.</w:t>
      </w:r>
    </w:p>
    <w:p w14:paraId="25974648" w14:textId="77777777" w:rsidR="0036119D" w:rsidRPr="00A16D26" w:rsidRDefault="0036119D" w:rsidP="006C3986">
      <w:pPr>
        <w:pStyle w:val="Normalnumbered"/>
        <w:numPr>
          <w:ilvl w:val="0"/>
          <w:numId w:val="10"/>
        </w:numPr>
      </w:pPr>
      <w:r w:rsidRPr="00A16D26">
        <w:t>Officials of relevant Parties will attempt to resolve any dispute in the first instance.</w:t>
      </w:r>
    </w:p>
    <w:p w14:paraId="376FF5AC" w14:textId="4E7732D9" w:rsidR="0036119D" w:rsidRDefault="0036119D" w:rsidP="006C3986">
      <w:pPr>
        <w:pStyle w:val="Normalnumbered"/>
        <w:numPr>
          <w:ilvl w:val="0"/>
          <w:numId w:val="10"/>
        </w:numPr>
      </w:pPr>
      <w:r w:rsidRPr="00A16D26">
        <w:t>If a dispute cannot be resolved by officials, it may be escalated to the relevant Ministers.</w:t>
      </w:r>
    </w:p>
    <w:p w14:paraId="5D30A631" w14:textId="77777777" w:rsidR="0036119D" w:rsidRPr="00FB6A2E" w:rsidRDefault="0036119D" w:rsidP="00A16D26">
      <w:pPr>
        <w:pStyle w:val="AlphaParagraph"/>
        <w:tabs>
          <w:tab w:val="clear" w:pos="0"/>
          <w:tab w:val="clear" w:pos="283"/>
          <w:tab w:val="clear" w:pos="567"/>
          <w:tab w:val="clear" w:pos="1134"/>
          <w:tab w:val="clear" w:pos="1418"/>
          <w:tab w:val="clear" w:pos="1701"/>
          <w:tab w:val="num" w:pos="1200"/>
        </w:tabs>
        <w:ind w:left="0" w:firstLine="0"/>
      </w:pPr>
    </w:p>
    <w:p w14:paraId="2E64966B"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63EB60EF" w14:textId="51DA8573"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w:t>
      </w:r>
      <w:r w:rsidR="00D84ADB">
        <w:rPr>
          <w:lang w:val="en-GB"/>
        </w:rPr>
        <w:t>irmed their commitment to this A</w:t>
      </w:r>
      <w:r w:rsidRPr="00A50751">
        <w:rPr>
          <w:lang w:val="en-GB"/>
        </w:rPr>
        <w:t>greement as follows:</w:t>
      </w:r>
    </w:p>
    <w:tbl>
      <w:tblPr>
        <w:tblW w:w="0" w:type="auto"/>
        <w:jc w:val="center"/>
        <w:tblLayout w:type="fixed"/>
        <w:tblLook w:val="01E0" w:firstRow="1" w:lastRow="1" w:firstColumn="1" w:lastColumn="1" w:noHBand="0" w:noVBand="0"/>
      </w:tblPr>
      <w:tblGrid>
        <w:gridCol w:w="4679"/>
        <w:gridCol w:w="284"/>
        <w:gridCol w:w="4536"/>
      </w:tblGrid>
      <w:tr w:rsidR="00814667" w:rsidRPr="00A50751" w14:paraId="45E7E293" w14:textId="77777777" w:rsidTr="00650A4F">
        <w:trPr>
          <w:cantSplit/>
          <w:jc w:val="center"/>
        </w:trPr>
        <w:tc>
          <w:tcPr>
            <w:tcW w:w="4679" w:type="dxa"/>
          </w:tcPr>
          <w:p w14:paraId="57F29766"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10A71773" w14:textId="77777777" w:rsidR="00814667" w:rsidRPr="00A50751" w:rsidRDefault="00814667">
            <w:pPr>
              <w:pStyle w:val="LineForSignature"/>
            </w:pPr>
            <w:r>
              <w:tab/>
            </w:r>
          </w:p>
          <w:p w14:paraId="753B3FC3" w14:textId="64BE67C6" w:rsidR="00814667" w:rsidRDefault="00650A4F">
            <w:pPr>
              <w:pStyle w:val="SingleParagraph"/>
              <w:rPr>
                <w:rStyle w:val="Bold"/>
              </w:rPr>
            </w:pPr>
            <w:r>
              <w:rPr>
                <w:rStyle w:val="Bold"/>
              </w:rPr>
              <w:t>Senator the Honourable</w:t>
            </w:r>
            <w:r w:rsidR="00814667">
              <w:rPr>
                <w:rStyle w:val="Bold"/>
              </w:rPr>
              <w:t xml:space="preserve"> </w:t>
            </w:r>
            <w:r>
              <w:rPr>
                <w:rStyle w:val="Bold"/>
              </w:rPr>
              <w:t>Linda Reynolds CSC</w:t>
            </w:r>
          </w:p>
          <w:p w14:paraId="7D0A0363" w14:textId="6E7959D7" w:rsidR="00814667" w:rsidRDefault="00650A4F">
            <w:pPr>
              <w:pStyle w:val="Position"/>
              <w:rPr>
                <w:lang w:val="en-GB"/>
              </w:rPr>
            </w:pPr>
            <w:r>
              <w:rPr>
                <w:lang w:val="en-GB"/>
              </w:rPr>
              <w:t xml:space="preserve">Assistant </w:t>
            </w:r>
            <w:r w:rsidR="0099742A">
              <w:rPr>
                <w:lang w:val="en-GB"/>
              </w:rPr>
              <w:t>Minister for</w:t>
            </w:r>
            <w:r>
              <w:rPr>
                <w:lang w:val="en-GB"/>
              </w:rPr>
              <w:t xml:space="preserve"> Home Affairs</w:t>
            </w:r>
            <w:r w:rsidR="0099742A">
              <w:rPr>
                <w:lang w:val="en-GB"/>
              </w:rPr>
              <w:t xml:space="preserve"> </w:t>
            </w:r>
          </w:p>
          <w:p w14:paraId="0430EE5F" w14:textId="284127B5" w:rsidR="00814667" w:rsidRDefault="00650A4F" w:rsidP="009061ED">
            <w:pPr>
              <w:pStyle w:val="SingleParagraph"/>
              <w:tabs>
                <w:tab w:val="num" w:pos="1134"/>
              </w:tabs>
              <w:spacing w:after="240"/>
              <w:ind w:left="1134" w:hanging="567"/>
              <w:rPr>
                <w:b/>
                <w:lang w:val="en-GB"/>
              </w:rPr>
            </w:pPr>
            <w:r>
              <w:rPr>
                <w:lang w:val="en-GB"/>
              </w:rPr>
              <w:t xml:space="preserve">     /                 / </w:t>
            </w:r>
          </w:p>
        </w:tc>
        <w:tc>
          <w:tcPr>
            <w:tcW w:w="284" w:type="dxa"/>
            <w:tcMar>
              <w:left w:w="0" w:type="dxa"/>
              <w:right w:w="0" w:type="dxa"/>
            </w:tcMar>
          </w:tcPr>
          <w:p w14:paraId="64355A4C" w14:textId="77777777" w:rsidR="00814667" w:rsidRPr="00A50751" w:rsidRDefault="00814667">
            <w:pPr>
              <w:rPr>
                <w:rFonts w:ascii="Book Antiqua" w:hAnsi="Book Antiqua"/>
                <w:lang w:val="en-GB"/>
              </w:rPr>
            </w:pPr>
          </w:p>
        </w:tc>
        <w:tc>
          <w:tcPr>
            <w:tcW w:w="4536" w:type="dxa"/>
          </w:tcPr>
          <w:p w14:paraId="6DD600C1" w14:textId="77777777" w:rsidR="00814667" w:rsidRPr="00A50751" w:rsidRDefault="00814667">
            <w:pPr>
              <w:rPr>
                <w:rFonts w:ascii="Book Antiqua" w:hAnsi="Book Antiqua"/>
                <w:lang w:val="en-GB"/>
              </w:rPr>
            </w:pPr>
          </w:p>
        </w:tc>
      </w:tr>
      <w:tr w:rsidR="00814667" w:rsidRPr="00A50751" w14:paraId="72FFC60F" w14:textId="77777777" w:rsidTr="00650A4F">
        <w:trPr>
          <w:cantSplit/>
          <w:jc w:val="center"/>
        </w:trPr>
        <w:tc>
          <w:tcPr>
            <w:tcW w:w="4679" w:type="dxa"/>
          </w:tcPr>
          <w:p w14:paraId="6BEC01FC"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814FF8E" w14:textId="77777777" w:rsidR="00814667" w:rsidRPr="00A50751" w:rsidRDefault="00814667">
            <w:pPr>
              <w:pStyle w:val="SingleParagraph"/>
              <w:rPr>
                <w:rFonts w:ascii="Book Antiqua" w:hAnsi="Book Antiqua"/>
                <w:lang w:val="en-GB"/>
              </w:rPr>
            </w:pPr>
          </w:p>
        </w:tc>
        <w:tc>
          <w:tcPr>
            <w:tcW w:w="4536" w:type="dxa"/>
          </w:tcPr>
          <w:p w14:paraId="389CD0B7" w14:textId="77777777" w:rsidR="00814667" w:rsidRPr="00A50751" w:rsidRDefault="00814667">
            <w:pPr>
              <w:pStyle w:val="SingleParagraph"/>
              <w:rPr>
                <w:rFonts w:ascii="Book Antiqua" w:hAnsi="Book Antiqua"/>
                <w:lang w:val="en-GB"/>
              </w:rPr>
            </w:pPr>
          </w:p>
        </w:tc>
      </w:tr>
      <w:tr w:rsidR="00814667" w:rsidRPr="00A50751" w14:paraId="2540F256" w14:textId="77777777" w:rsidTr="00650A4F">
        <w:trPr>
          <w:cantSplit/>
          <w:jc w:val="center"/>
        </w:trPr>
        <w:tc>
          <w:tcPr>
            <w:tcW w:w="4679" w:type="dxa"/>
          </w:tcPr>
          <w:p w14:paraId="595E1586" w14:textId="77777777" w:rsidR="00814667" w:rsidRPr="004A0AE7" w:rsidRDefault="00814667">
            <w:pPr>
              <w:pStyle w:val="Signed"/>
            </w:pPr>
            <w:r>
              <w:rPr>
                <w:rStyle w:val="SignedBold"/>
              </w:rPr>
              <w:t>Signed</w:t>
            </w:r>
            <w:r w:rsidRPr="004A0AE7">
              <w:t xml:space="preserve"> for and on behalf of the</w:t>
            </w:r>
            <w:r>
              <w:t xml:space="preserve"> </w:t>
            </w:r>
            <w:r w:rsidRPr="004A0AE7">
              <w:br/>
              <w:t>State of New South Wales by</w:t>
            </w:r>
          </w:p>
          <w:p w14:paraId="096C9B10" w14:textId="77777777" w:rsidR="00814667" w:rsidRPr="00A50751" w:rsidRDefault="00814667">
            <w:pPr>
              <w:pStyle w:val="LineForSignature"/>
            </w:pPr>
            <w:r w:rsidRPr="00A50751">
              <w:tab/>
            </w:r>
          </w:p>
          <w:p w14:paraId="26855F13" w14:textId="412585C9" w:rsidR="00814667" w:rsidRDefault="00814667">
            <w:pPr>
              <w:pStyle w:val="SingleParagraph"/>
              <w:rPr>
                <w:rStyle w:val="Bold"/>
              </w:rPr>
            </w:pPr>
            <w:r>
              <w:rPr>
                <w:rStyle w:val="Bold"/>
              </w:rPr>
              <w:t>The Honourable</w:t>
            </w:r>
            <w:r w:rsidR="00AB2F01">
              <w:rPr>
                <w:rStyle w:val="Bold"/>
              </w:rPr>
              <w:t xml:space="preserve"> Troy Grant</w:t>
            </w:r>
            <w:r w:rsidR="0099742A">
              <w:rPr>
                <w:rStyle w:val="Bold"/>
              </w:rPr>
              <w:t xml:space="preserve"> </w:t>
            </w:r>
            <w:r>
              <w:rPr>
                <w:rStyle w:val="Bold"/>
              </w:rPr>
              <w:t>MP</w:t>
            </w:r>
          </w:p>
          <w:p w14:paraId="659D2076" w14:textId="41513CBC" w:rsidR="00542A8C" w:rsidRDefault="00542A8C" w:rsidP="00542A8C">
            <w:pPr>
              <w:pStyle w:val="Position"/>
              <w:rPr>
                <w:lang w:val="en-GB"/>
              </w:rPr>
            </w:pPr>
            <w:r>
              <w:rPr>
                <w:lang w:val="en-GB"/>
              </w:rPr>
              <w:t xml:space="preserve">Minister for </w:t>
            </w:r>
            <w:r w:rsidR="00AB2F01">
              <w:rPr>
                <w:lang w:val="en-GB"/>
              </w:rPr>
              <w:t>Emergency Services</w:t>
            </w:r>
            <w:r>
              <w:rPr>
                <w:lang w:val="en-GB"/>
              </w:rPr>
              <w:t xml:space="preserve"> </w:t>
            </w:r>
          </w:p>
          <w:p w14:paraId="57F3306C" w14:textId="531E0057" w:rsidR="00814667" w:rsidRPr="00A50751" w:rsidRDefault="00AB2F01" w:rsidP="009061ED">
            <w:pPr>
              <w:pStyle w:val="SingleParagraph"/>
              <w:tabs>
                <w:tab w:val="num" w:pos="1134"/>
              </w:tabs>
              <w:spacing w:after="240"/>
              <w:ind w:left="1134" w:hanging="567"/>
              <w:rPr>
                <w:szCs w:val="22"/>
                <w:lang w:val="en-GB"/>
              </w:rPr>
            </w:pPr>
            <w:r>
              <w:rPr>
                <w:lang w:val="en-GB"/>
              </w:rPr>
              <w:t xml:space="preserve">     /                 / </w:t>
            </w:r>
          </w:p>
        </w:tc>
        <w:tc>
          <w:tcPr>
            <w:tcW w:w="284" w:type="dxa"/>
            <w:tcMar>
              <w:left w:w="0" w:type="dxa"/>
              <w:right w:w="0" w:type="dxa"/>
            </w:tcMar>
          </w:tcPr>
          <w:p w14:paraId="27958C1B" w14:textId="77777777" w:rsidR="00814667" w:rsidRPr="00A50751" w:rsidRDefault="00814667">
            <w:pPr>
              <w:rPr>
                <w:rFonts w:ascii="Book Antiqua" w:hAnsi="Book Antiqua"/>
                <w:lang w:val="en-GB"/>
              </w:rPr>
            </w:pPr>
          </w:p>
        </w:tc>
        <w:tc>
          <w:tcPr>
            <w:tcW w:w="4536" w:type="dxa"/>
          </w:tcPr>
          <w:p w14:paraId="2F2CBEBA" w14:textId="77777777" w:rsidR="00814667" w:rsidRPr="004A0AE7" w:rsidRDefault="00814667">
            <w:pPr>
              <w:pStyle w:val="Signed"/>
            </w:pPr>
            <w:r>
              <w:rPr>
                <w:rStyle w:val="SignedBold"/>
              </w:rPr>
              <w:t>Signed</w:t>
            </w:r>
            <w:r w:rsidRPr="004A0AE7">
              <w:t xml:space="preserve"> for and on behalf of the</w:t>
            </w:r>
            <w:r w:rsidRPr="004A0AE7">
              <w:br/>
              <w:t>State of Victoria by</w:t>
            </w:r>
          </w:p>
          <w:p w14:paraId="629DB405" w14:textId="77777777" w:rsidR="00814667" w:rsidRPr="00A50751" w:rsidRDefault="00814667">
            <w:pPr>
              <w:pStyle w:val="LineForSignature"/>
            </w:pPr>
            <w:r w:rsidRPr="00A50751">
              <w:tab/>
            </w:r>
          </w:p>
          <w:p w14:paraId="57100479" w14:textId="1C819CF9" w:rsidR="00814667" w:rsidRPr="00ED0114" w:rsidRDefault="00814667">
            <w:pPr>
              <w:pStyle w:val="SingleParagraph"/>
              <w:rPr>
                <w:rStyle w:val="Bold"/>
              </w:rPr>
            </w:pPr>
            <w:r w:rsidRPr="00ED0114">
              <w:rPr>
                <w:rStyle w:val="Bold"/>
              </w:rPr>
              <w:t xml:space="preserve">The Honourable </w:t>
            </w:r>
            <w:r w:rsidR="00ED0114">
              <w:rPr>
                <w:rStyle w:val="Bold"/>
              </w:rPr>
              <w:t>Lisa Neville</w:t>
            </w:r>
            <w:r w:rsidR="0099742A" w:rsidRPr="00ED0114">
              <w:rPr>
                <w:rStyle w:val="Bold"/>
              </w:rPr>
              <w:t xml:space="preserve"> </w:t>
            </w:r>
            <w:r w:rsidRPr="00ED0114">
              <w:rPr>
                <w:rStyle w:val="Bold"/>
              </w:rPr>
              <w:t>MP</w:t>
            </w:r>
          </w:p>
          <w:p w14:paraId="1C887BF0" w14:textId="1C385974" w:rsidR="00542A8C" w:rsidRDefault="00542A8C" w:rsidP="00542A8C">
            <w:pPr>
              <w:pStyle w:val="Position"/>
              <w:rPr>
                <w:lang w:val="en-GB"/>
              </w:rPr>
            </w:pPr>
            <w:r w:rsidRPr="00ED0114">
              <w:rPr>
                <w:lang w:val="en-GB"/>
              </w:rPr>
              <w:t xml:space="preserve">Minister for </w:t>
            </w:r>
            <w:r w:rsidR="00ED0114">
              <w:rPr>
                <w:lang w:val="en-GB"/>
              </w:rPr>
              <w:t xml:space="preserve">Police and </w:t>
            </w:r>
            <w:r w:rsidR="00AB2F01" w:rsidRPr="00ED0114">
              <w:rPr>
                <w:lang w:val="en-GB"/>
              </w:rPr>
              <w:t>Emergency Services</w:t>
            </w:r>
            <w:r w:rsidR="009061ED" w:rsidRPr="00ED0114">
              <w:rPr>
                <w:lang w:val="en-GB"/>
              </w:rPr>
              <w:t xml:space="preserve"> </w:t>
            </w:r>
          </w:p>
          <w:p w14:paraId="3B0761D5" w14:textId="0221B460" w:rsidR="00814667" w:rsidRPr="00A50751" w:rsidRDefault="00AB2F01" w:rsidP="009061ED">
            <w:pPr>
              <w:pStyle w:val="SingleParagraph"/>
              <w:tabs>
                <w:tab w:val="num" w:pos="1134"/>
              </w:tabs>
              <w:spacing w:after="240"/>
              <w:ind w:left="1134" w:hanging="567"/>
              <w:rPr>
                <w:lang w:val="en-GB"/>
              </w:rPr>
            </w:pPr>
            <w:r>
              <w:rPr>
                <w:lang w:val="en-GB"/>
              </w:rPr>
              <w:t xml:space="preserve">     /                 / </w:t>
            </w:r>
          </w:p>
        </w:tc>
      </w:tr>
    </w:tbl>
    <w:p w14:paraId="4B9848FC" w14:textId="77777777" w:rsidR="007B683E" w:rsidRDefault="007B683E" w:rsidP="0020144E"/>
    <w:p w14:paraId="649E5F3A" w14:textId="77777777" w:rsidR="007B683E" w:rsidRDefault="007B683E">
      <w:pPr>
        <w:spacing w:after="0" w:line="240" w:lineRule="auto"/>
        <w:jc w:val="left"/>
      </w:pPr>
      <w:r>
        <w:br w:type="page"/>
      </w:r>
    </w:p>
    <w:p w14:paraId="52FE9FA8" w14:textId="77777777" w:rsidR="007B683E" w:rsidRDefault="007B683E" w:rsidP="007B683E">
      <w:pPr>
        <w:pStyle w:val="Heading9"/>
      </w:pPr>
    </w:p>
    <w:p w14:paraId="0D3FCFDE" w14:textId="77777777" w:rsidR="007B683E" w:rsidRPr="00482F65" w:rsidRDefault="007B683E" w:rsidP="007B683E">
      <w:pPr>
        <w:pStyle w:val="Title"/>
      </w:pPr>
      <w:r w:rsidRPr="00482F65">
        <w:t>New South Wales</w:t>
      </w:r>
    </w:p>
    <w:p w14:paraId="64163756" w14:textId="2DFDF0E7" w:rsidR="007B683E" w:rsidRDefault="007B683E" w:rsidP="007B683E">
      <w:pPr>
        <w:pStyle w:val="Subtitle"/>
        <w:ind w:right="-113"/>
      </w:pPr>
      <w:r>
        <w:t>Project</w:t>
      </w:r>
      <w:r w:rsidRPr="00482F65">
        <w:t xml:space="preserve"> Agreement </w:t>
      </w:r>
      <w:r>
        <w:t>for the</w:t>
      </w:r>
      <w:r w:rsidRPr="00482F65">
        <w:t xml:space="preserve"> </w:t>
      </w:r>
      <w:r w:rsidR="00053402">
        <w:t>preparing australia package</w:t>
      </w:r>
    </w:p>
    <w:p w14:paraId="595ADC08" w14:textId="77777777" w:rsidR="00350C81" w:rsidRDefault="00350C81" w:rsidP="00350C81">
      <w:pPr>
        <w:pStyle w:val="Heading1"/>
      </w:pPr>
      <w:r>
        <w:t>Part 1 — Formalities</w:t>
      </w:r>
    </w:p>
    <w:p w14:paraId="2F8E232F" w14:textId="0465391B" w:rsidR="00B91C1D" w:rsidRDefault="00B91C1D" w:rsidP="003F7F8F">
      <w:pPr>
        <w:pStyle w:val="ScheduleNumberedPara"/>
        <w:numPr>
          <w:ilvl w:val="0"/>
          <w:numId w:val="23"/>
        </w:numPr>
        <w:spacing w:before="120" w:after="120"/>
      </w:pPr>
      <w:r w:rsidRPr="00B82A54">
        <w:t xml:space="preserve">This </w:t>
      </w:r>
      <w:r w:rsidR="00B2738E" w:rsidRPr="00B82A54">
        <w:t xml:space="preserve">Schedule has been developed in </w:t>
      </w:r>
      <w:r w:rsidR="009F7F3D">
        <w:t>accordance</w:t>
      </w:r>
      <w:r w:rsidR="00B2738E" w:rsidRPr="00B82A54">
        <w:t xml:space="preserve"> with </w:t>
      </w:r>
      <w:r w:rsidR="009F7F3D">
        <w:t xml:space="preserve">clause 12(a) of </w:t>
      </w:r>
      <w:r w:rsidR="00B2738E" w:rsidRPr="00B82A54">
        <w:t>the Project Agreement for the Preparing Au</w:t>
      </w:r>
      <w:r w:rsidR="00B82A54">
        <w:t>stralia Package</w:t>
      </w:r>
      <w:r w:rsidR="00997840">
        <w:t xml:space="preserve"> and should be read in conjunction with that Agreement</w:t>
      </w:r>
      <w:r w:rsidR="00B82A54">
        <w:t xml:space="preserve">. </w:t>
      </w:r>
    </w:p>
    <w:p w14:paraId="2F5E1CA4" w14:textId="6AE04274" w:rsidR="008E5B7A" w:rsidRPr="0072643B" w:rsidRDefault="008E5B7A" w:rsidP="003F7F8F">
      <w:pPr>
        <w:pStyle w:val="ScheduleNumberedPara"/>
        <w:numPr>
          <w:ilvl w:val="0"/>
          <w:numId w:val="23"/>
        </w:numPr>
        <w:spacing w:before="120" w:after="120"/>
      </w:pPr>
      <w:r>
        <w:t>This Schedule will commence as soon as it is agreed between the Commonwealth and New</w:t>
      </w:r>
      <w:r w:rsidR="003956CF">
        <w:t> </w:t>
      </w:r>
      <w:r>
        <w:t>South</w:t>
      </w:r>
      <w:r w:rsidR="003956CF">
        <w:t> </w:t>
      </w:r>
      <w:r>
        <w:t>Wales</w:t>
      </w:r>
      <w:r w:rsidR="003956CF">
        <w:t> </w:t>
      </w:r>
      <w:r>
        <w:t xml:space="preserve">(NSW) and expires on 30 June 2019 or on completion of the project, </w:t>
      </w:r>
      <w:r w:rsidRPr="0072643B">
        <w:t>including processing of final payments against milestones.</w:t>
      </w:r>
    </w:p>
    <w:p w14:paraId="27F467C6" w14:textId="2B0AA44B" w:rsidR="00350C81" w:rsidRPr="0072643B" w:rsidRDefault="00350C81" w:rsidP="00350C81">
      <w:pPr>
        <w:pStyle w:val="Heading1"/>
      </w:pPr>
      <w:r>
        <w:lastRenderedPageBreak/>
        <w:t xml:space="preserve">Part 2 — PROJECT </w:t>
      </w:r>
      <w:r w:rsidRPr="0072643B">
        <w:t>MILESTONES, REPORTING AND PAYMENTS</w:t>
      </w:r>
    </w:p>
    <w:p w14:paraId="4E4FD735" w14:textId="29EF2970" w:rsidR="00D67D8D" w:rsidRPr="0072643B" w:rsidRDefault="00D67D8D" w:rsidP="003F7F8F">
      <w:pPr>
        <w:pStyle w:val="Normalnumbered"/>
        <w:keepNext/>
        <w:numPr>
          <w:ilvl w:val="0"/>
          <w:numId w:val="0"/>
        </w:numPr>
        <w:spacing w:before="120" w:after="120"/>
      </w:pPr>
      <w:r w:rsidRPr="0072643B">
        <w:rPr>
          <w:b/>
        </w:rPr>
        <w:t>Table 1</w:t>
      </w:r>
      <w:r w:rsidRPr="0072643B">
        <w:t xml:space="preserve">: </w:t>
      </w:r>
      <w:r w:rsidRPr="0072643B">
        <w:rPr>
          <w:b/>
        </w:rPr>
        <w:t xml:space="preserve">Projects </w:t>
      </w:r>
    </w:p>
    <w:tbl>
      <w:tblPr>
        <w:tblW w:w="978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81"/>
      </w:tblGrid>
      <w:tr w:rsidR="00335FC9" w:rsidRPr="00C26C5B" w14:paraId="21AE102B" w14:textId="77777777" w:rsidTr="00194239">
        <w:tc>
          <w:tcPr>
            <w:tcW w:w="9781" w:type="dxa"/>
            <w:shd w:val="clear" w:color="auto" w:fill="D9D9D9" w:themeFill="background1" w:themeFillShade="D9"/>
          </w:tcPr>
          <w:p w14:paraId="5A524857" w14:textId="56E090DE" w:rsidR="00335FC9" w:rsidRPr="00C76B83" w:rsidRDefault="00335FC9" w:rsidP="00335FC9">
            <w:pPr>
              <w:pStyle w:val="Heading2"/>
              <w:spacing w:before="120"/>
              <w:rPr>
                <w:b w:val="0"/>
                <w:color w:val="auto"/>
                <w:sz w:val="23"/>
                <w:szCs w:val="23"/>
              </w:rPr>
            </w:pPr>
            <w:r>
              <w:rPr>
                <w:b w:val="0"/>
                <w:sz w:val="23"/>
                <w:szCs w:val="23"/>
              </w:rPr>
              <w:t xml:space="preserve">Commenced implementation of the next generation </w:t>
            </w:r>
            <w:r w:rsidRPr="003042CC">
              <w:rPr>
                <w:sz w:val="23"/>
                <w:szCs w:val="23"/>
              </w:rPr>
              <w:t>National Fire Danger Rating System</w:t>
            </w:r>
          </w:p>
        </w:tc>
      </w:tr>
      <w:tr w:rsidR="00D67D8D" w:rsidRPr="00C26C5B" w14:paraId="0E42419B" w14:textId="77777777" w:rsidTr="00194239">
        <w:tc>
          <w:tcPr>
            <w:tcW w:w="9781" w:type="dxa"/>
          </w:tcPr>
          <w:p w14:paraId="5CD6724C" w14:textId="77777777" w:rsidR="00A3665F" w:rsidRDefault="00A3665F" w:rsidP="00A3665F">
            <w:pPr>
              <w:keepNext/>
              <w:keepLines/>
              <w:spacing w:before="120" w:after="120"/>
              <w:rPr>
                <w:rFonts w:cs="Arial"/>
              </w:rPr>
            </w:pPr>
            <w:r w:rsidRPr="00DC71CF">
              <w:rPr>
                <w:rFonts w:cs="Arial"/>
              </w:rPr>
              <w:t xml:space="preserve">Australia’s existing National Fire Danger Rating System (NFDRS) is based on 1960s science that no longer adequately services current needs. The NSW Rural Fire Service, on behalf of all jurisdictions </w:t>
            </w:r>
            <w:r>
              <w:rPr>
                <w:rFonts w:cs="Arial"/>
              </w:rPr>
              <w:t xml:space="preserve">and </w:t>
            </w:r>
            <w:r w:rsidRPr="00DC71CF">
              <w:rPr>
                <w:rFonts w:cs="Arial"/>
              </w:rPr>
              <w:t xml:space="preserve">in partnership with the Bureau of Meteorology, is leading the phased development of a new NFDRS underpinned by an improved understanding of fire behaviour and its relationship with the landscape. </w:t>
            </w:r>
          </w:p>
          <w:p w14:paraId="7DA88BAF" w14:textId="0B5DADC7" w:rsidR="00592292" w:rsidRDefault="00A3665F" w:rsidP="00A3665F">
            <w:pPr>
              <w:keepNext/>
              <w:keepLines/>
              <w:spacing w:before="120" w:after="120"/>
              <w:rPr>
                <w:rFonts w:cs="Arial"/>
              </w:rPr>
            </w:pPr>
            <w:r w:rsidRPr="00DC71CF">
              <w:rPr>
                <w:rFonts w:cs="Arial"/>
              </w:rPr>
              <w:t xml:space="preserve">This </w:t>
            </w:r>
            <w:r w:rsidR="00914D9E">
              <w:rPr>
                <w:rFonts w:cs="Arial"/>
              </w:rPr>
              <w:t>new NFDRS</w:t>
            </w:r>
            <w:r w:rsidRPr="00DC71CF">
              <w:rPr>
                <w:rFonts w:cs="Arial"/>
              </w:rPr>
              <w:t xml:space="preserve"> will deliver nationally consistent fire danger indicators based on up-to-date scient</w:t>
            </w:r>
            <w:r w:rsidR="0060044B">
              <w:rPr>
                <w:rFonts w:cs="Arial"/>
              </w:rPr>
              <w:t xml:space="preserve">ific data and methodologies. </w:t>
            </w:r>
            <w:r w:rsidRPr="00DC71CF">
              <w:rPr>
                <w:rFonts w:cs="Arial"/>
              </w:rPr>
              <w:t>The new system will draw on more data such as diverse vegetation types, national fuel load, weather conditions, and the latest developments in fire behaviour science. The next generation NFDRS will strengthen the ability of fire and emergency services to better understand, forecast and communicate fire weather, and its potential impact on the commu</w:t>
            </w:r>
            <w:r w:rsidR="00592292">
              <w:rPr>
                <w:rFonts w:cs="Arial"/>
              </w:rPr>
              <w:t xml:space="preserve">nity at a more granular level. </w:t>
            </w:r>
            <w:r w:rsidR="00914D9E">
              <w:rPr>
                <w:rFonts w:cs="Arial"/>
              </w:rPr>
              <w:t>Phases 1 and 2 are complete</w:t>
            </w:r>
            <w:r w:rsidR="00BA73D9">
              <w:rPr>
                <w:rFonts w:cs="Arial"/>
              </w:rPr>
              <w:t xml:space="preserve"> with a </w:t>
            </w:r>
            <w:r w:rsidR="00290945">
              <w:rPr>
                <w:rFonts w:cs="Arial"/>
              </w:rPr>
              <w:t>wor</w:t>
            </w:r>
            <w:r w:rsidR="00592292">
              <w:rPr>
                <w:rFonts w:cs="Arial"/>
              </w:rPr>
              <w:t>king prototype</w:t>
            </w:r>
            <w:r w:rsidR="00BA73D9">
              <w:rPr>
                <w:rFonts w:cs="Arial"/>
              </w:rPr>
              <w:t xml:space="preserve"> developed to demonstrate</w:t>
            </w:r>
            <w:r w:rsidR="00290945">
              <w:rPr>
                <w:rFonts w:cs="Arial"/>
              </w:rPr>
              <w:t xml:space="preserve"> </w:t>
            </w:r>
            <w:r w:rsidR="00592292">
              <w:rPr>
                <w:rFonts w:cs="Arial"/>
              </w:rPr>
              <w:t>the viability</w:t>
            </w:r>
            <w:r w:rsidR="00290945">
              <w:rPr>
                <w:rFonts w:cs="Arial"/>
              </w:rPr>
              <w:t xml:space="preserve"> and value</w:t>
            </w:r>
            <w:r w:rsidR="00592292">
              <w:rPr>
                <w:rFonts w:cs="Arial"/>
              </w:rPr>
              <w:t xml:space="preserve"> of the new </w:t>
            </w:r>
            <w:r w:rsidR="00FD4EDA">
              <w:rPr>
                <w:rFonts w:cs="Arial"/>
              </w:rPr>
              <w:t>system</w:t>
            </w:r>
            <w:r w:rsidR="00592292">
              <w:rPr>
                <w:rFonts w:cs="Arial"/>
              </w:rPr>
              <w:t xml:space="preserve">.  </w:t>
            </w:r>
          </w:p>
          <w:p w14:paraId="2D50C27F" w14:textId="454624A3" w:rsidR="00ED7F49" w:rsidRPr="00FB5BE9" w:rsidRDefault="00914D9E" w:rsidP="0028532A">
            <w:pPr>
              <w:keepNext/>
              <w:keepLines/>
              <w:spacing w:before="120" w:after="120"/>
              <w:rPr>
                <w:rFonts w:cstheme="minorHAnsi"/>
                <w:color w:val="auto"/>
                <w:szCs w:val="23"/>
              </w:rPr>
            </w:pPr>
            <w:r w:rsidRPr="000A3FA9">
              <w:rPr>
                <w:rFonts w:cs="Arial"/>
              </w:rPr>
              <w:t xml:space="preserve">This project (phase 3) </w:t>
            </w:r>
            <w:r w:rsidR="00CA1087" w:rsidRPr="000A3FA9">
              <w:rPr>
                <w:rFonts w:cs="Arial"/>
              </w:rPr>
              <w:t xml:space="preserve">is a </w:t>
            </w:r>
            <w:r w:rsidR="0028532A" w:rsidRPr="000A3FA9">
              <w:rPr>
                <w:rFonts w:cs="Arial"/>
              </w:rPr>
              <w:t>3</w:t>
            </w:r>
            <w:r w:rsidR="004779DD" w:rsidRPr="000A3FA9">
              <w:rPr>
                <w:rFonts w:cs="Arial"/>
              </w:rPr>
              <w:t>-year</w:t>
            </w:r>
            <w:r w:rsidR="00CA1087" w:rsidRPr="000A3FA9">
              <w:rPr>
                <w:rFonts w:cs="Arial"/>
              </w:rPr>
              <w:t xml:space="preserve"> program that </w:t>
            </w:r>
            <w:r w:rsidR="00290945" w:rsidRPr="000A3FA9">
              <w:rPr>
                <w:rFonts w:cs="Arial"/>
              </w:rPr>
              <w:t>w</w:t>
            </w:r>
            <w:r w:rsidR="00ED7F49" w:rsidRPr="000A3FA9">
              <w:rPr>
                <w:rFonts w:cs="Arial"/>
              </w:rPr>
              <w:t xml:space="preserve">ill </w:t>
            </w:r>
            <w:r w:rsidR="00290945" w:rsidRPr="000A3FA9">
              <w:rPr>
                <w:rFonts w:cs="Arial"/>
              </w:rPr>
              <w:t>implement the</w:t>
            </w:r>
            <w:r w:rsidR="00ED7F49" w:rsidRPr="000A3FA9">
              <w:rPr>
                <w:rFonts w:cs="Arial"/>
              </w:rPr>
              <w:t xml:space="preserve"> next generation NFDRS </w:t>
            </w:r>
            <w:r w:rsidR="00592292" w:rsidRPr="000A3FA9">
              <w:rPr>
                <w:rFonts w:cs="Arial"/>
              </w:rPr>
              <w:t xml:space="preserve">nationally </w:t>
            </w:r>
            <w:r w:rsidR="00ED7F49" w:rsidRPr="000A3FA9">
              <w:rPr>
                <w:rFonts w:cs="Arial"/>
              </w:rPr>
              <w:t>by operationalising the prototype and embedding it into the Bureau of Meteorology’s warning systems.</w:t>
            </w:r>
            <w:r w:rsidR="00CA1087" w:rsidRPr="000A3FA9">
              <w:rPr>
                <w:rFonts w:cs="Arial"/>
              </w:rPr>
              <w:t xml:space="preserve"> The Commonwealth will fund 50% of the total cost of the program through the Preparing Australia </w:t>
            </w:r>
            <w:r w:rsidR="0028532A" w:rsidRPr="000A3FA9">
              <w:rPr>
                <w:rFonts w:cs="Arial"/>
              </w:rPr>
              <w:t>P</w:t>
            </w:r>
            <w:r w:rsidR="00CA1087" w:rsidRPr="000A3FA9">
              <w:rPr>
                <w:rFonts w:cs="Arial"/>
              </w:rPr>
              <w:t xml:space="preserve">ackage, with the remaining 50% to be funded by the </w:t>
            </w:r>
            <w:r w:rsidR="0028532A" w:rsidRPr="000A3FA9">
              <w:rPr>
                <w:rFonts w:cs="Arial"/>
              </w:rPr>
              <w:t>states and territories</w:t>
            </w:r>
            <w:r w:rsidR="00CA1087" w:rsidRPr="000A3FA9">
              <w:rPr>
                <w:rFonts w:cs="Arial"/>
              </w:rPr>
              <w:t>.</w:t>
            </w:r>
          </w:p>
        </w:tc>
      </w:tr>
      <w:tr w:rsidR="00335FC9" w:rsidRPr="00C26C5B" w14:paraId="490C3B80" w14:textId="77777777" w:rsidTr="00194239">
        <w:tc>
          <w:tcPr>
            <w:tcW w:w="9781" w:type="dxa"/>
            <w:shd w:val="clear" w:color="auto" w:fill="D9D9D9" w:themeFill="background1" w:themeFillShade="D9"/>
          </w:tcPr>
          <w:p w14:paraId="403B9692" w14:textId="77CB5623" w:rsidR="00335FC9" w:rsidRPr="00C76B83" w:rsidRDefault="00335FC9" w:rsidP="00350C81">
            <w:pPr>
              <w:pStyle w:val="Heading2"/>
              <w:spacing w:before="120"/>
              <w:rPr>
                <w:b w:val="0"/>
                <w:color w:val="auto"/>
                <w:sz w:val="23"/>
                <w:szCs w:val="23"/>
              </w:rPr>
            </w:pPr>
            <w:r>
              <w:rPr>
                <w:b w:val="0"/>
                <w:sz w:val="23"/>
                <w:szCs w:val="23"/>
              </w:rPr>
              <w:t>E</w:t>
            </w:r>
            <w:r w:rsidRPr="003F7F8F">
              <w:rPr>
                <w:b w:val="0"/>
                <w:sz w:val="23"/>
                <w:szCs w:val="23"/>
              </w:rPr>
              <w:t xml:space="preserve">xpanded trial and establishment of a national project </w:t>
            </w:r>
            <w:r>
              <w:rPr>
                <w:b w:val="0"/>
                <w:sz w:val="23"/>
                <w:szCs w:val="23"/>
              </w:rPr>
              <w:t xml:space="preserve">management </w:t>
            </w:r>
            <w:r w:rsidRPr="003F7F8F">
              <w:rPr>
                <w:b w:val="0"/>
                <w:sz w:val="23"/>
                <w:szCs w:val="23"/>
              </w:rPr>
              <w:t xml:space="preserve">office for </w:t>
            </w:r>
            <w:r w:rsidRPr="003F7F8F">
              <w:rPr>
                <w:sz w:val="23"/>
                <w:szCs w:val="23"/>
              </w:rPr>
              <w:t>Public Safety Mobile Broadband</w:t>
            </w:r>
          </w:p>
        </w:tc>
      </w:tr>
      <w:tr w:rsidR="00A3665F" w:rsidRPr="00C26C5B" w14:paraId="3ACEB74E" w14:textId="77777777" w:rsidTr="002E5281">
        <w:trPr>
          <w:trHeight w:val="5003"/>
        </w:trPr>
        <w:tc>
          <w:tcPr>
            <w:tcW w:w="9781" w:type="dxa"/>
          </w:tcPr>
          <w:p w14:paraId="01A8A929" w14:textId="55EF657F" w:rsidR="009E2290" w:rsidRPr="00427E21" w:rsidRDefault="009E2290" w:rsidP="009E2290">
            <w:pPr>
              <w:keepNext/>
              <w:keepLines/>
              <w:spacing w:before="120" w:after="120"/>
              <w:rPr>
                <w:rFonts w:cs="Arial"/>
              </w:rPr>
            </w:pPr>
            <w:r w:rsidRPr="00427E21">
              <w:rPr>
                <w:rFonts w:cs="Arial"/>
              </w:rPr>
              <w:t xml:space="preserve">Public safety agencies currently rely </w:t>
            </w:r>
            <w:r w:rsidR="00231E0F">
              <w:rPr>
                <w:rFonts w:cs="Arial"/>
              </w:rPr>
              <w:t xml:space="preserve">mostly </w:t>
            </w:r>
            <w:r w:rsidRPr="00427E21">
              <w:rPr>
                <w:rFonts w:cs="Arial"/>
              </w:rPr>
              <w:t>on radio networks for voice communications. These systems are not able to accommodate the technology needed to deliver situational awareness, and evolving public safety capabilities. A federated, nationally interoperable Public Safety Mobile Broadband (PSMB) capability will improve how agencies deliver services through access to high</w:t>
            </w:r>
            <w:r w:rsidR="00231E0F">
              <w:rPr>
                <w:rFonts w:cs="Arial"/>
              </w:rPr>
              <w:noBreakHyphen/>
            </w:r>
            <w:r w:rsidRPr="00427E21">
              <w:rPr>
                <w:rFonts w:cs="Arial"/>
              </w:rPr>
              <w:t>speed video, images and location tracking.</w:t>
            </w:r>
          </w:p>
          <w:p w14:paraId="2681A7B5" w14:textId="4BE78391" w:rsidR="004549F3" w:rsidRPr="00427E21" w:rsidRDefault="00B67052" w:rsidP="009E2290">
            <w:pPr>
              <w:keepNext/>
              <w:keepLines/>
              <w:spacing w:before="120" w:after="120"/>
              <w:rPr>
                <w:rFonts w:cs="Arial"/>
              </w:rPr>
            </w:pPr>
            <w:r>
              <w:rPr>
                <w:rFonts w:cs="Arial"/>
              </w:rPr>
              <w:t>This</w:t>
            </w:r>
            <w:r w:rsidR="00427E21">
              <w:rPr>
                <w:rFonts w:cs="Arial"/>
              </w:rPr>
              <w:t xml:space="preserve"> </w:t>
            </w:r>
            <w:r w:rsidR="009E2290" w:rsidRPr="00427E21">
              <w:rPr>
                <w:rFonts w:cs="Arial"/>
              </w:rPr>
              <w:t xml:space="preserve">project will </w:t>
            </w:r>
            <w:r w:rsidR="004549F3" w:rsidRPr="00427E21">
              <w:rPr>
                <w:rFonts w:cs="Arial"/>
              </w:rPr>
              <w:t xml:space="preserve">support an </w:t>
            </w:r>
            <w:r w:rsidR="005A5783" w:rsidRPr="00427E21">
              <w:rPr>
                <w:rFonts w:cs="Arial"/>
              </w:rPr>
              <w:t>expand</w:t>
            </w:r>
            <w:r w:rsidR="004549F3" w:rsidRPr="00427E21">
              <w:rPr>
                <w:rFonts w:cs="Arial"/>
              </w:rPr>
              <w:t xml:space="preserve">ed trial </w:t>
            </w:r>
            <w:r w:rsidR="00FA63E4" w:rsidRPr="00427E21">
              <w:rPr>
                <w:rFonts w:cs="Arial"/>
              </w:rPr>
              <w:t xml:space="preserve">of </w:t>
            </w:r>
            <w:r w:rsidR="00427E21" w:rsidRPr="00427E21">
              <w:rPr>
                <w:rFonts w:cs="Arial"/>
              </w:rPr>
              <w:t>PSMB</w:t>
            </w:r>
            <w:r w:rsidR="005A5783" w:rsidRPr="00427E21">
              <w:rPr>
                <w:rFonts w:cs="Arial"/>
              </w:rPr>
              <w:t xml:space="preserve"> and establish a national project</w:t>
            </w:r>
            <w:r w:rsidR="00427E21">
              <w:rPr>
                <w:rFonts w:cs="Arial"/>
              </w:rPr>
              <w:t xml:space="preserve"> management </w:t>
            </w:r>
            <w:r w:rsidR="005A5783" w:rsidRPr="00427E21">
              <w:rPr>
                <w:rFonts w:cs="Arial"/>
              </w:rPr>
              <w:t xml:space="preserve">office </w:t>
            </w:r>
            <w:r w:rsidR="004549F3" w:rsidRPr="00427E21">
              <w:rPr>
                <w:rFonts w:cs="Arial"/>
              </w:rPr>
              <w:t xml:space="preserve">in the NSW Telco Authority, which is driving the implementation of this </w:t>
            </w:r>
            <w:r w:rsidR="00482207">
              <w:rPr>
                <w:rFonts w:cs="Arial"/>
              </w:rPr>
              <w:t>important national capability</w:t>
            </w:r>
            <w:r w:rsidR="004549F3" w:rsidRPr="00427E21">
              <w:rPr>
                <w:rFonts w:cs="Arial"/>
              </w:rPr>
              <w:t xml:space="preserve">. </w:t>
            </w:r>
          </w:p>
          <w:p w14:paraId="143020EE" w14:textId="77777777" w:rsidR="00A4349C" w:rsidRDefault="00482207" w:rsidP="00A4349C">
            <w:pPr>
              <w:keepNext/>
              <w:keepLines/>
              <w:spacing w:before="120" w:after="120"/>
              <w:rPr>
                <w:rFonts w:cs="Arial"/>
              </w:rPr>
            </w:pPr>
            <w:r w:rsidRPr="00427E21">
              <w:rPr>
                <w:rFonts w:cs="Arial"/>
              </w:rPr>
              <w:t xml:space="preserve">A proof of concept trial </w:t>
            </w:r>
            <w:r>
              <w:rPr>
                <w:rFonts w:cs="Arial"/>
              </w:rPr>
              <w:t xml:space="preserve">will be undertaken in 2019 </w:t>
            </w:r>
            <w:r w:rsidRPr="00427E21">
              <w:rPr>
                <w:rFonts w:cs="Arial"/>
              </w:rPr>
              <w:t xml:space="preserve">to validate </w:t>
            </w:r>
            <w:r w:rsidR="00B67052">
              <w:rPr>
                <w:rFonts w:cs="Arial"/>
              </w:rPr>
              <w:t>a</w:t>
            </w:r>
            <w:r w:rsidRPr="00427E21">
              <w:rPr>
                <w:rFonts w:cs="Arial"/>
              </w:rPr>
              <w:t xml:space="preserve"> PSMB service delivery model that meet</w:t>
            </w:r>
            <w:r w:rsidR="00B67052">
              <w:rPr>
                <w:rFonts w:cs="Arial"/>
              </w:rPr>
              <w:t>s</w:t>
            </w:r>
            <w:r w:rsidRPr="00427E21">
              <w:rPr>
                <w:rFonts w:cs="Arial"/>
              </w:rPr>
              <w:t xml:space="preserve"> agreed national objectives and high level requirements. The trial, to be administered by the</w:t>
            </w:r>
            <w:r>
              <w:rPr>
                <w:rFonts w:cs="Arial"/>
              </w:rPr>
              <w:t xml:space="preserve"> N</w:t>
            </w:r>
            <w:r w:rsidRPr="00427E21">
              <w:rPr>
                <w:rFonts w:cs="Arial"/>
              </w:rPr>
              <w:t>SW Telco Authority on behalf of all jurisdictions, will be conducted in urban, regional and remote</w:t>
            </w:r>
            <w:r w:rsidR="00350C81">
              <w:rPr>
                <w:rFonts w:cs="Arial"/>
              </w:rPr>
              <w:t xml:space="preserve"> areas. This project will expand the trial to additional locations, including crowded places such as airports</w:t>
            </w:r>
            <w:r w:rsidR="00A4349C">
              <w:rPr>
                <w:rFonts w:cs="Arial"/>
              </w:rPr>
              <w:t xml:space="preserve">. </w:t>
            </w:r>
          </w:p>
          <w:p w14:paraId="30BC1718" w14:textId="40374DD7" w:rsidR="0060044B" w:rsidRPr="000008DB" w:rsidRDefault="00350C81" w:rsidP="00194239">
            <w:pPr>
              <w:keepNext/>
              <w:keepLines/>
              <w:spacing w:before="120" w:after="120"/>
              <w:rPr>
                <w:rFonts w:cs="Arial"/>
              </w:rPr>
            </w:pPr>
            <w:r>
              <w:rPr>
                <w:rFonts w:cs="Arial"/>
              </w:rPr>
              <w:t>The project will also establish a time-limited national project management office (PMO) in the NSW Telco Authority with funding support for dedicated staffing and administrative expenses. The PMO will support the proof of concept trial and execute a national roadmap identifying key milestones, work streams and actions for the implementation of PSMB nationally.</w:t>
            </w:r>
          </w:p>
        </w:tc>
      </w:tr>
    </w:tbl>
    <w:p w14:paraId="2D5CD331" w14:textId="6BABD7A4" w:rsidR="00482207" w:rsidRDefault="00482207"/>
    <w:p w14:paraId="5C4D2DB7" w14:textId="2308FED8" w:rsidR="00447A71" w:rsidRPr="0072643B" w:rsidRDefault="0031601C" w:rsidP="003F7F8F">
      <w:pPr>
        <w:pStyle w:val="ScheduleNumberedPara"/>
        <w:numPr>
          <w:ilvl w:val="0"/>
          <w:numId w:val="23"/>
        </w:numPr>
        <w:spacing w:before="120" w:after="120"/>
      </w:pPr>
      <w:r>
        <w:t>In accordance with clause 9 and 13 of the Agreement,</w:t>
      </w:r>
      <w:r w:rsidR="00B2738E" w:rsidRPr="00B2738E">
        <w:t xml:space="preserve"> milestones, their relationship to </w:t>
      </w:r>
      <w:r w:rsidR="00B2738E" w:rsidRPr="0072643B">
        <w:t xml:space="preserve">outputs, expected completion dates, relevant reporting dates and expected payments are set out in Table </w:t>
      </w:r>
      <w:r w:rsidR="003F7F8F" w:rsidRPr="0072643B">
        <w:t>2</w:t>
      </w:r>
      <w:r w:rsidR="00B2738E" w:rsidRPr="0072643B">
        <w:t xml:space="preserve">. </w:t>
      </w:r>
    </w:p>
    <w:p w14:paraId="66294E11" w14:textId="77777777" w:rsidR="00A3665F" w:rsidRPr="0072643B" w:rsidRDefault="00A3665F" w:rsidP="003F7F8F">
      <w:pPr>
        <w:pStyle w:val="Normalnumbered"/>
        <w:keepNext/>
        <w:numPr>
          <w:ilvl w:val="0"/>
          <w:numId w:val="0"/>
        </w:numPr>
        <w:spacing w:before="120" w:after="120"/>
      </w:pPr>
      <w:r w:rsidRPr="0072643B">
        <w:rPr>
          <w:b/>
        </w:rPr>
        <w:lastRenderedPageBreak/>
        <w:t>Table 2</w:t>
      </w:r>
      <w:r w:rsidRPr="0072643B">
        <w:t xml:space="preserve">: </w:t>
      </w:r>
      <w:r w:rsidRPr="0072643B">
        <w:rPr>
          <w:b/>
        </w:rPr>
        <w:t>Performance requirements, reporting and payment summary</w:t>
      </w:r>
    </w:p>
    <w:tbl>
      <w:tblPr>
        <w:tblW w:w="978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3"/>
        <w:gridCol w:w="5103"/>
        <w:gridCol w:w="1473"/>
        <w:gridCol w:w="1362"/>
      </w:tblGrid>
      <w:tr w:rsidR="00A3665F" w:rsidRPr="0072643B" w14:paraId="046B72EF" w14:textId="77777777" w:rsidTr="00393201">
        <w:trPr>
          <w:trHeight w:val="691"/>
        </w:trPr>
        <w:tc>
          <w:tcPr>
            <w:tcW w:w="1843" w:type="dxa"/>
            <w:tcBorders>
              <w:bottom w:val="single" w:sz="18" w:space="0" w:color="4F81BD"/>
            </w:tcBorders>
          </w:tcPr>
          <w:p w14:paraId="59A4CC0C" w14:textId="1A2F4421" w:rsidR="00EF62D3" w:rsidRPr="0072643B" w:rsidRDefault="00A3665F" w:rsidP="00EF62D3">
            <w:pPr>
              <w:pStyle w:val="Heading2"/>
              <w:spacing w:before="60" w:after="60"/>
              <w:rPr>
                <w:bCs w:val="0"/>
                <w:sz w:val="24"/>
                <w:szCs w:val="24"/>
              </w:rPr>
            </w:pPr>
            <w:r w:rsidRPr="0072643B">
              <w:rPr>
                <w:bCs w:val="0"/>
                <w:sz w:val="24"/>
                <w:szCs w:val="24"/>
              </w:rPr>
              <w:t>Outputs</w:t>
            </w:r>
          </w:p>
        </w:tc>
        <w:tc>
          <w:tcPr>
            <w:tcW w:w="5103" w:type="dxa"/>
            <w:tcBorders>
              <w:bottom w:val="single" w:sz="18" w:space="0" w:color="4F81BD"/>
            </w:tcBorders>
          </w:tcPr>
          <w:p w14:paraId="2234DB74" w14:textId="675DCB89" w:rsidR="00A3665F" w:rsidRPr="0072643B" w:rsidRDefault="00A3665F" w:rsidP="00335FC9">
            <w:pPr>
              <w:pStyle w:val="Heading2"/>
              <w:spacing w:before="60" w:after="60"/>
            </w:pPr>
            <w:r w:rsidRPr="0072643B">
              <w:rPr>
                <w:bCs w:val="0"/>
                <w:sz w:val="24"/>
                <w:szCs w:val="24"/>
              </w:rPr>
              <w:t>Milestones</w:t>
            </w:r>
            <w:r w:rsidR="00B67052" w:rsidRPr="0072643B">
              <w:rPr>
                <w:bCs w:val="0"/>
                <w:sz w:val="24"/>
                <w:szCs w:val="24"/>
              </w:rPr>
              <w:t xml:space="preserve"> </w:t>
            </w:r>
          </w:p>
        </w:tc>
        <w:tc>
          <w:tcPr>
            <w:tcW w:w="1473" w:type="dxa"/>
            <w:tcBorders>
              <w:bottom w:val="single" w:sz="18" w:space="0" w:color="4F81BD"/>
            </w:tcBorders>
          </w:tcPr>
          <w:p w14:paraId="60D3A49D" w14:textId="77777777" w:rsidR="00A3665F" w:rsidRPr="0072643B" w:rsidRDefault="00A3665F" w:rsidP="00194239">
            <w:pPr>
              <w:pStyle w:val="Heading2"/>
              <w:spacing w:before="60" w:after="60"/>
              <w:rPr>
                <w:sz w:val="18"/>
                <w:szCs w:val="18"/>
              </w:rPr>
            </w:pPr>
            <w:r w:rsidRPr="0072643B">
              <w:rPr>
                <w:bCs w:val="0"/>
                <w:sz w:val="24"/>
                <w:szCs w:val="24"/>
              </w:rPr>
              <w:t xml:space="preserve">Report due </w:t>
            </w:r>
          </w:p>
        </w:tc>
        <w:tc>
          <w:tcPr>
            <w:tcW w:w="1362" w:type="dxa"/>
            <w:tcBorders>
              <w:bottom w:val="single" w:sz="18" w:space="0" w:color="4F81BD"/>
            </w:tcBorders>
          </w:tcPr>
          <w:p w14:paraId="325F1312" w14:textId="77777777" w:rsidR="00A3665F" w:rsidRPr="0072643B" w:rsidRDefault="00A3665F" w:rsidP="00194239">
            <w:pPr>
              <w:pStyle w:val="Heading2"/>
              <w:spacing w:before="60" w:after="60"/>
              <w:rPr>
                <w:bCs w:val="0"/>
                <w:sz w:val="24"/>
                <w:szCs w:val="24"/>
              </w:rPr>
            </w:pPr>
            <w:r w:rsidRPr="0072643B">
              <w:rPr>
                <w:bCs w:val="0"/>
                <w:sz w:val="24"/>
                <w:szCs w:val="24"/>
              </w:rPr>
              <w:t>Payment</w:t>
            </w:r>
          </w:p>
        </w:tc>
      </w:tr>
      <w:tr w:rsidR="00253681" w:rsidRPr="0072643B" w14:paraId="38197071" w14:textId="77777777" w:rsidTr="002E5281">
        <w:trPr>
          <w:trHeight w:val="2252"/>
        </w:trPr>
        <w:tc>
          <w:tcPr>
            <w:tcW w:w="1843" w:type="dxa"/>
          </w:tcPr>
          <w:p w14:paraId="2924E2B0" w14:textId="17B980AC" w:rsidR="00253681" w:rsidRPr="0072643B" w:rsidRDefault="00253681" w:rsidP="00194239">
            <w:pPr>
              <w:spacing w:before="120" w:after="120"/>
              <w:jc w:val="left"/>
              <w:rPr>
                <w:bCs/>
                <w:color w:val="auto"/>
                <w:szCs w:val="23"/>
              </w:rPr>
            </w:pPr>
            <w:r w:rsidRPr="0072643B">
              <w:rPr>
                <w:color w:val="auto"/>
                <w:szCs w:val="23"/>
              </w:rPr>
              <w:t>Commenced implementation of the next generation National Fire Danger Rating System (NFDRS)</w:t>
            </w:r>
          </w:p>
        </w:tc>
        <w:tc>
          <w:tcPr>
            <w:tcW w:w="5103" w:type="dxa"/>
          </w:tcPr>
          <w:p w14:paraId="44E2D368" w14:textId="27762F88" w:rsidR="004E77DA" w:rsidRDefault="00253681" w:rsidP="002E5281">
            <w:pPr>
              <w:pStyle w:val="Heading2"/>
              <w:spacing w:before="120"/>
              <w:rPr>
                <w:b w:val="0"/>
                <w:color w:val="auto"/>
                <w:sz w:val="23"/>
                <w:szCs w:val="23"/>
              </w:rPr>
            </w:pPr>
            <w:r w:rsidRPr="0072643B">
              <w:rPr>
                <w:b w:val="0"/>
                <w:color w:val="auto"/>
                <w:sz w:val="23"/>
                <w:szCs w:val="23"/>
              </w:rPr>
              <w:t xml:space="preserve">Project manager </w:t>
            </w:r>
            <w:r w:rsidR="004738C1">
              <w:rPr>
                <w:b w:val="0"/>
                <w:color w:val="auto"/>
                <w:sz w:val="23"/>
                <w:szCs w:val="23"/>
              </w:rPr>
              <w:t xml:space="preserve">and </w:t>
            </w:r>
            <w:r w:rsidRPr="0072643B">
              <w:rPr>
                <w:b w:val="0"/>
                <w:color w:val="auto"/>
                <w:sz w:val="23"/>
                <w:szCs w:val="23"/>
              </w:rPr>
              <w:t xml:space="preserve">team appointed to lead </w:t>
            </w:r>
            <w:r w:rsidRPr="000A3FA9">
              <w:rPr>
                <w:b w:val="0"/>
                <w:color w:val="auto"/>
                <w:sz w:val="23"/>
                <w:szCs w:val="23"/>
              </w:rPr>
              <w:t xml:space="preserve">implementation of next generation NFDRS, including engagement of </w:t>
            </w:r>
            <w:r w:rsidR="00CA1087" w:rsidRPr="000A3FA9">
              <w:rPr>
                <w:b w:val="0"/>
                <w:color w:val="auto"/>
                <w:sz w:val="23"/>
                <w:szCs w:val="23"/>
              </w:rPr>
              <w:t>project officers</w:t>
            </w:r>
            <w:r w:rsidRPr="000A3FA9">
              <w:rPr>
                <w:b w:val="0"/>
                <w:color w:val="auto"/>
                <w:sz w:val="23"/>
                <w:szCs w:val="23"/>
              </w:rPr>
              <w:t xml:space="preserve"> who will be responsible</w:t>
            </w:r>
            <w:r w:rsidRPr="0072643B">
              <w:rPr>
                <w:b w:val="0"/>
                <w:color w:val="auto"/>
                <w:sz w:val="23"/>
                <w:szCs w:val="23"/>
              </w:rPr>
              <w:t xml:space="preserve"> for preparing the detailed specifications for the tender to build the four systems.</w:t>
            </w:r>
            <w:r w:rsidR="002E5281" w:rsidRPr="002E5281">
              <w:rPr>
                <w:b w:val="0"/>
                <w:color w:val="auto"/>
                <w:sz w:val="23"/>
                <w:szCs w:val="23"/>
              </w:rPr>
              <w:t xml:space="preserve"> </w:t>
            </w:r>
          </w:p>
          <w:p w14:paraId="071945B2" w14:textId="6C20E44A" w:rsidR="00253681" w:rsidRPr="0072643B" w:rsidRDefault="00253681" w:rsidP="002E5281">
            <w:pPr>
              <w:pStyle w:val="Heading2"/>
              <w:spacing w:before="120"/>
              <w:rPr>
                <w:color w:val="auto"/>
                <w:szCs w:val="23"/>
              </w:rPr>
            </w:pPr>
            <w:r w:rsidRPr="002E5281">
              <w:rPr>
                <w:b w:val="0"/>
                <w:color w:val="auto"/>
                <w:sz w:val="23"/>
                <w:szCs w:val="23"/>
              </w:rPr>
              <w:t>Revised program management plan for 2019</w:t>
            </w:r>
            <w:r w:rsidRPr="002E5281">
              <w:rPr>
                <w:b w:val="0"/>
                <w:color w:val="auto"/>
                <w:sz w:val="23"/>
                <w:szCs w:val="23"/>
              </w:rPr>
              <w:noBreakHyphen/>
              <w:t>2022, agreed by the NFDRS Project Board</w:t>
            </w:r>
          </w:p>
        </w:tc>
        <w:tc>
          <w:tcPr>
            <w:tcW w:w="1473" w:type="dxa"/>
          </w:tcPr>
          <w:p w14:paraId="6F936347" w14:textId="145AAA5E" w:rsidR="00253681" w:rsidRPr="0072643B" w:rsidRDefault="00253681" w:rsidP="002E5281">
            <w:pPr>
              <w:pStyle w:val="Heading2"/>
              <w:spacing w:before="120"/>
              <w:rPr>
                <w:b w:val="0"/>
                <w:color w:val="auto"/>
                <w:sz w:val="23"/>
                <w:szCs w:val="23"/>
              </w:rPr>
            </w:pPr>
            <w:r w:rsidRPr="0072643B">
              <w:rPr>
                <w:b w:val="0"/>
                <w:color w:val="auto"/>
                <w:sz w:val="23"/>
                <w:szCs w:val="23"/>
              </w:rPr>
              <w:t>30 April 2019</w:t>
            </w:r>
          </w:p>
        </w:tc>
        <w:tc>
          <w:tcPr>
            <w:tcW w:w="1362" w:type="dxa"/>
          </w:tcPr>
          <w:p w14:paraId="04547BAE" w14:textId="0B5AD390" w:rsidR="00253681" w:rsidRPr="0072643B" w:rsidRDefault="00253681" w:rsidP="002E5281">
            <w:pPr>
              <w:pStyle w:val="Heading2"/>
              <w:spacing w:before="120"/>
              <w:rPr>
                <w:b w:val="0"/>
                <w:color w:val="auto"/>
                <w:sz w:val="23"/>
                <w:szCs w:val="23"/>
              </w:rPr>
            </w:pPr>
            <w:r w:rsidRPr="0072643B">
              <w:rPr>
                <w:b w:val="0"/>
                <w:color w:val="auto"/>
                <w:sz w:val="23"/>
                <w:szCs w:val="23"/>
              </w:rPr>
              <w:t>$5,850,000</w:t>
            </w:r>
          </w:p>
        </w:tc>
      </w:tr>
      <w:tr w:rsidR="00253681" w:rsidRPr="0072643B" w14:paraId="0E8475A1" w14:textId="77777777" w:rsidTr="007E665F">
        <w:trPr>
          <w:trHeight w:val="1540"/>
        </w:trPr>
        <w:tc>
          <w:tcPr>
            <w:tcW w:w="1843" w:type="dxa"/>
          </w:tcPr>
          <w:p w14:paraId="75217E38" w14:textId="52EEF8AC" w:rsidR="00253681" w:rsidRPr="0072643B" w:rsidRDefault="00253681" w:rsidP="00393201">
            <w:pPr>
              <w:spacing w:before="120" w:after="120"/>
              <w:jc w:val="left"/>
              <w:rPr>
                <w:bCs/>
                <w:color w:val="auto"/>
                <w:szCs w:val="23"/>
              </w:rPr>
            </w:pPr>
            <w:r w:rsidRPr="0072643B">
              <w:rPr>
                <w:color w:val="auto"/>
                <w:szCs w:val="23"/>
              </w:rPr>
              <w:t>Expanded trial of Public Safety Mobile Broadband (PSMB)</w:t>
            </w:r>
          </w:p>
        </w:tc>
        <w:tc>
          <w:tcPr>
            <w:tcW w:w="5103" w:type="dxa"/>
          </w:tcPr>
          <w:p w14:paraId="52F42477" w14:textId="0C63AB1A" w:rsidR="00253681" w:rsidRPr="0072643B" w:rsidRDefault="00253681" w:rsidP="00883C9D">
            <w:pPr>
              <w:pStyle w:val="Heading2"/>
              <w:spacing w:before="120"/>
              <w:rPr>
                <w:b w:val="0"/>
                <w:color w:val="auto"/>
                <w:sz w:val="23"/>
                <w:szCs w:val="23"/>
              </w:rPr>
            </w:pPr>
            <w:r w:rsidRPr="0072643B">
              <w:rPr>
                <w:b w:val="0"/>
                <w:color w:val="auto"/>
                <w:sz w:val="23"/>
                <w:szCs w:val="23"/>
              </w:rPr>
              <w:t>Project plan including strategy, budget and risk assessment for expanded trial of PSMB, agreed by PSMB Senior Officials Group.</w:t>
            </w:r>
          </w:p>
        </w:tc>
        <w:tc>
          <w:tcPr>
            <w:tcW w:w="1473" w:type="dxa"/>
          </w:tcPr>
          <w:p w14:paraId="7B27BDE5" w14:textId="75BF7F10" w:rsidR="00253681" w:rsidRPr="0072643B" w:rsidRDefault="00253681" w:rsidP="00883C9D">
            <w:pPr>
              <w:pStyle w:val="Heading2"/>
              <w:spacing w:before="120"/>
              <w:rPr>
                <w:b w:val="0"/>
                <w:color w:val="auto"/>
                <w:sz w:val="23"/>
                <w:szCs w:val="23"/>
              </w:rPr>
            </w:pPr>
            <w:r w:rsidRPr="0072643B">
              <w:rPr>
                <w:b w:val="0"/>
                <w:color w:val="auto"/>
                <w:sz w:val="23"/>
                <w:szCs w:val="23"/>
              </w:rPr>
              <w:t>30 April 2019</w:t>
            </w:r>
          </w:p>
        </w:tc>
        <w:tc>
          <w:tcPr>
            <w:tcW w:w="1362" w:type="dxa"/>
          </w:tcPr>
          <w:p w14:paraId="3EAD0423" w14:textId="6CF50618" w:rsidR="00253681" w:rsidRPr="0072643B" w:rsidRDefault="00253681" w:rsidP="00883C9D">
            <w:pPr>
              <w:pStyle w:val="Heading2"/>
              <w:spacing w:before="120"/>
              <w:rPr>
                <w:b w:val="0"/>
                <w:color w:val="auto"/>
                <w:sz w:val="23"/>
                <w:szCs w:val="23"/>
              </w:rPr>
            </w:pPr>
            <w:r w:rsidRPr="0072643B">
              <w:rPr>
                <w:b w:val="0"/>
                <w:color w:val="auto"/>
                <w:sz w:val="23"/>
                <w:szCs w:val="23"/>
              </w:rPr>
              <w:t>$500,000</w:t>
            </w:r>
          </w:p>
        </w:tc>
      </w:tr>
      <w:tr w:rsidR="00253681" w:rsidRPr="00C26C5B" w14:paraId="3121DA03" w14:textId="77777777" w:rsidTr="00C04BC4">
        <w:trPr>
          <w:trHeight w:val="3360"/>
        </w:trPr>
        <w:tc>
          <w:tcPr>
            <w:tcW w:w="1843" w:type="dxa"/>
          </w:tcPr>
          <w:p w14:paraId="7EEF975F" w14:textId="5FA9DD86" w:rsidR="00253681" w:rsidRPr="0072643B" w:rsidRDefault="00253681" w:rsidP="003042CC">
            <w:pPr>
              <w:spacing w:before="120" w:after="120"/>
              <w:jc w:val="left"/>
              <w:rPr>
                <w:bCs/>
                <w:color w:val="auto"/>
                <w:szCs w:val="23"/>
              </w:rPr>
            </w:pPr>
            <w:r w:rsidRPr="0072643B">
              <w:rPr>
                <w:color w:val="auto"/>
                <w:szCs w:val="23"/>
              </w:rPr>
              <w:t>Establishment of a national project management office in the NSW Telco Authority to implement Public Safety Mobile Broadband (PSMB)</w:t>
            </w:r>
          </w:p>
        </w:tc>
        <w:tc>
          <w:tcPr>
            <w:tcW w:w="5103" w:type="dxa"/>
          </w:tcPr>
          <w:p w14:paraId="488F237A" w14:textId="5EC08CA3" w:rsidR="00253681" w:rsidRPr="0072643B" w:rsidRDefault="00253681" w:rsidP="000F7700">
            <w:pPr>
              <w:pStyle w:val="Heading2"/>
              <w:spacing w:before="120"/>
              <w:rPr>
                <w:b w:val="0"/>
                <w:color w:val="auto"/>
                <w:sz w:val="23"/>
                <w:szCs w:val="23"/>
              </w:rPr>
            </w:pPr>
            <w:r w:rsidRPr="0072643B">
              <w:rPr>
                <w:b w:val="0"/>
                <w:color w:val="auto"/>
                <w:sz w:val="23"/>
                <w:szCs w:val="23"/>
              </w:rPr>
              <w:t xml:space="preserve">PSMB project management office established in the NSW Telco Authority, with terms of reference </w:t>
            </w:r>
            <w:r w:rsidR="000F7700">
              <w:rPr>
                <w:b w:val="0"/>
                <w:color w:val="auto"/>
                <w:sz w:val="23"/>
                <w:szCs w:val="23"/>
              </w:rPr>
              <w:t xml:space="preserve">and work program </w:t>
            </w:r>
            <w:r w:rsidRPr="0072643B">
              <w:rPr>
                <w:b w:val="0"/>
                <w:color w:val="auto"/>
                <w:sz w:val="23"/>
                <w:szCs w:val="23"/>
              </w:rPr>
              <w:t>agreed by PSMB Senior Officials Group.</w:t>
            </w:r>
          </w:p>
        </w:tc>
        <w:tc>
          <w:tcPr>
            <w:tcW w:w="1473" w:type="dxa"/>
          </w:tcPr>
          <w:p w14:paraId="3650E4D9" w14:textId="389CE2E2" w:rsidR="00253681" w:rsidRPr="0072643B" w:rsidRDefault="00253681" w:rsidP="000F7700">
            <w:pPr>
              <w:pStyle w:val="Heading2"/>
              <w:spacing w:before="120"/>
              <w:rPr>
                <w:b w:val="0"/>
                <w:color w:val="auto"/>
                <w:sz w:val="23"/>
                <w:szCs w:val="23"/>
              </w:rPr>
            </w:pPr>
            <w:r w:rsidRPr="0072643B">
              <w:rPr>
                <w:b w:val="0"/>
                <w:color w:val="auto"/>
                <w:sz w:val="23"/>
                <w:szCs w:val="23"/>
              </w:rPr>
              <w:t>30 April 2019</w:t>
            </w:r>
          </w:p>
        </w:tc>
        <w:tc>
          <w:tcPr>
            <w:tcW w:w="1362" w:type="dxa"/>
          </w:tcPr>
          <w:p w14:paraId="58683764" w14:textId="5C38DC04" w:rsidR="00253681" w:rsidRPr="00066A00" w:rsidRDefault="00253681" w:rsidP="000F7700">
            <w:pPr>
              <w:pStyle w:val="Heading2"/>
              <w:spacing w:before="120"/>
              <w:rPr>
                <w:b w:val="0"/>
                <w:color w:val="auto"/>
                <w:sz w:val="23"/>
                <w:szCs w:val="23"/>
              </w:rPr>
            </w:pPr>
            <w:r w:rsidRPr="0072643B">
              <w:rPr>
                <w:b w:val="0"/>
                <w:color w:val="auto"/>
                <w:sz w:val="23"/>
                <w:szCs w:val="23"/>
              </w:rPr>
              <w:t>$1,000,000</w:t>
            </w:r>
          </w:p>
        </w:tc>
      </w:tr>
    </w:tbl>
    <w:p w14:paraId="7508FFFD" w14:textId="2CA0413E" w:rsidR="007B683E" w:rsidRDefault="007B683E" w:rsidP="007B683E">
      <w:r>
        <w:br w:type="page"/>
      </w:r>
    </w:p>
    <w:p w14:paraId="473FB3D6" w14:textId="77777777" w:rsidR="00053402" w:rsidRDefault="00053402" w:rsidP="00053402">
      <w:pPr>
        <w:pStyle w:val="Heading9"/>
      </w:pPr>
    </w:p>
    <w:p w14:paraId="71E302EA" w14:textId="41FF21CE" w:rsidR="00053402" w:rsidRPr="00482F65" w:rsidRDefault="00053402" w:rsidP="00053402">
      <w:pPr>
        <w:pStyle w:val="Title"/>
      </w:pPr>
      <w:r>
        <w:t>Victoria</w:t>
      </w:r>
    </w:p>
    <w:p w14:paraId="2CF3B39C" w14:textId="77777777" w:rsidR="00053402" w:rsidRDefault="00053402" w:rsidP="00053402">
      <w:pPr>
        <w:pStyle w:val="Subtitle"/>
        <w:ind w:right="-113"/>
      </w:pPr>
      <w:r>
        <w:t>Project</w:t>
      </w:r>
      <w:r w:rsidRPr="00482F65">
        <w:t xml:space="preserve"> Agreement </w:t>
      </w:r>
      <w:r>
        <w:t>for the</w:t>
      </w:r>
      <w:r w:rsidRPr="00482F65">
        <w:t xml:space="preserve"> </w:t>
      </w:r>
      <w:r>
        <w:t>preparing australia package</w:t>
      </w:r>
    </w:p>
    <w:p w14:paraId="5FD2845C" w14:textId="77777777" w:rsidR="00A4349C" w:rsidRDefault="00A4349C" w:rsidP="00A4349C">
      <w:pPr>
        <w:pStyle w:val="Heading1"/>
      </w:pPr>
      <w:r>
        <w:t>Part 1 — Formalities</w:t>
      </w:r>
    </w:p>
    <w:p w14:paraId="417B5203" w14:textId="3110F5B4" w:rsidR="00B82A54" w:rsidRDefault="00B82A54" w:rsidP="00DB3E8F">
      <w:pPr>
        <w:pStyle w:val="ScheduleNumberedPara"/>
        <w:numPr>
          <w:ilvl w:val="0"/>
          <w:numId w:val="24"/>
        </w:numPr>
        <w:spacing w:before="120" w:after="120"/>
      </w:pPr>
      <w:r w:rsidRPr="00B82A54">
        <w:t xml:space="preserve">This </w:t>
      </w:r>
      <w:r w:rsidR="00D84ADB" w:rsidRPr="00B82A54">
        <w:t xml:space="preserve">Schedule has been developed in </w:t>
      </w:r>
      <w:r w:rsidR="009F7F3D">
        <w:t xml:space="preserve">accordance </w:t>
      </w:r>
      <w:r w:rsidR="00D84ADB" w:rsidRPr="00B82A54">
        <w:t xml:space="preserve">with </w:t>
      </w:r>
      <w:r w:rsidR="009F7F3D">
        <w:t xml:space="preserve">12(a) </w:t>
      </w:r>
      <w:r w:rsidR="00D84ADB" w:rsidRPr="00B82A54">
        <w:t>the Project Agreement for the Preparing Au</w:t>
      </w:r>
      <w:r w:rsidR="00D84ADB">
        <w:t>stralia Package and should be read in conjunction with that Agreement</w:t>
      </w:r>
      <w:r w:rsidRPr="00B82A54">
        <w:t xml:space="preserve">. </w:t>
      </w:r>
    </w:p>
    <w:p w14:paraId="1F2805FB" w14:textId="49CC49F2" w:rsidR="0031601C" w:rsidRPr="0072643B" w:rsidRDefault="0031601C" w:rsidP="0031601C">
      <w:pPr>
        <w:pStyle w:val="ScheduleNumberedPara"/>
        <w:numPr>
          <w:ilvl w:val="0"/>
          <w:numId w:val="24"/>
        </w:numPr>
        <w:spacing w:before="120" w:after="120"/>
      </w:pPr>
      <w:r>
        <w:t xml:space="preserve">This </w:t>
      </w:r>
      <w:r w:rsidRPr="0072643B">
        <w:t>Schedule will commence as soon as it is agreed between the Commonwealth and Victoria and expires on 30 June 2019 or on completion of the project, including processing of final payments against milestones.</w:t>
      </w:r>
    </w:p>
    <w:p w14:paraId="6E2859C7" w14:textId="77777777" w:rsidR="00A4349C" w:rsidRPr="0072643B" w:rsidRDefault="00A4349C" w:rsidP="00A4349C">
      <w:pPr>
        <w:pStyle w:val="Heading1"/>
      </w:pPr>
      <w:r w:rsidRPr="0072643B">
        <w:t>Part 2 — PROJECT MILESTONES, REPORTING AND PAYMENTS</w:t>
      </w:r>
    </w:p>
    <w:p w14:paraId="23B76542" w14:textId="6C37F549" w:rsidR="001D4DD1" w:rsidRPr="0072643B" w:rsidRDefault="001D4DD1" w:rsidP="00DB3E8F">
      <w:pPr>
        <w:pStyle w:val="Normalnumbered"/>
        <w:keepNext/>
        <w:numPr>
          <w:ilvl w:val="0"/>
          <w:numId w:val="0"/>
        </w:numPr>
        <w:spacing w:before="120" w:after="120"/>
      </w:pPr>
      <w:r w:rsidRPr="0072643B">
        <w:rPr>
          <w:b/>
        </w:rPr>
        <w:t>Table 1</w:t>
      </w:r>
      <w:r w:rsidRPr="0072643B">
        <w:t xml:space="preserve">: </w:t>
      </w:r>
      <w:r w:rsidRPr="0072643B">
        <w:rPr>
          <w:b/>
        </w:rPr>
        <w:t xml:space="preserve">Project </w:t>
      </w:r>
    </w:p>
    <w:tbl>
      <w:tblPr>
        <w:tblW w:w="978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81"/>
      </w:tblGrid>
      <w:tr w:rsidR="00335FC9" w:rsidRPr="0072643B" w14:paraId="60C0F391" w14:textId="77777777" w:rsidTr="00194239">
        <w:tc>
          <w:tcPr>
            <w:tcW w:w="9781" w:type="dxa"/>
            <w:tcBorders>
              <w:top w:val="single" w:sz="4" w:space="0" w:color="auto"/>
            </w:tcBorders>
            <w:shd w:val="clear" w:color="auto" w:fill="D9D9D9" w:themeFill="background1" w:themeFillShade="D9"/>
          </w:tcPr>
          <w:p w14:paraId="2E8FE13F" w14:textId="237CF1F3" w:rsidR="00335FC9" w:rsidRPr="0072643B" w:rsidRDefault="00335FC9" w:rsidP="00335FC9">
            <w:pPr>
              <w:pStyle w:val="Heading2"/>
              <w:spacing w:before="120"/>
              <w:rPr>
                <w:b w:val="0"/>
                <w:color w:val="auto"/>
                <w:sz w:val="23"/>
                <w:szCs w:val="23"/>
              </w:rPr>
            </w:pPr>
            <w:r w:rsidRPr="0072643B">
              <w:rPr>
                <w:b w:val="0"/>
                <w:sz w:val="23"/>
                <w:szCs w:val="23"/>
              </w:rPr>
              <w:t xml:space="preserve">Extension and capital upgrades to </w:t>
            </w:r>
            <w:r w:rsidRPr="0072643B">
              <w:rPr>
                <w:sz w:val="23"/>
                <w:szCs w:val="23"/>
              </w:rPr>
              <w:t>Emergency Alert</w:t>
            </w:r>
            <w:r w:rsidRPr="0072643B">
              <w:rPr>
                <w:b w:val="0"/>
                <w:sz w:val="23"/>
                <w:szCs w:val="23"/>
              </w:rPr>
              <w:t xml:space="preserve"> </w:t>
            </w:r>
          </w:p>
        </w:tc>
      </w:tr>
      <w:tr w:rsidR="00C76B83" w:rsidRPr="0072643B" w14:paraId="6453A23E" w14:textId="77777777" w:rsidTr="001D4DD1">
        <w:tc>
          <w:tcPr>
            <w:tcW w:w="9781" w:type="dxa"/>
          </w:tcPr>
          <w:p w14:paraId="1620F3B0" w14:textId="7326D901" w:rsidR="00C76B83" w:rsidRPr="0072643B" w:rsidRDefault="00C76B83" w:rsidP="001D4DD1">
            <w:pPr>
              <w:keepNext/>
              <w:keepLines/>
              <w:spacing w:before="120" w:after="120"/>
              <w:rPr>
                <w:rFonts w:cstheme="minorHAnsi"/>
                <w:color w:val="auto"/>
                <w:szCs w:val="23"/>
              </w:rPr>
            </w:pPr>
            <w:r w:rsidRPr="0072643B">
              <w:rPr>
                <w:rFonts w:cstheme="minorHAnsi"/>
                <w:color w:val="auto"/>
                <w:szCs w:val="23"/>
              </w:rPr>
              <w:t>Emergency Alert is Australia’s national telephony-based warning system. It was implemented as a national partnership between the Commonwealth and the states and territories following the 2009 Black Saturday bushfires and is a key national capability. Emergency Management Victoria administers Emergency Alert on behalf of all jurisdictions.</w:t>
            </w:r>
            <w:r w:rsidR="00914D9E" w:rsidRPr="0072643B">
              <w:rPr>
                <w:rFonts w:cstheme="minorHAnsi"/>
                <w:color w:val="auto"/>
                <w:szCs w:val="23"/>
              </w:rPr>
              <w:t xml:space="preserve"> </w:t>
            </w:r>
            <w:r w:rsidR="001D4DD1" w:rsidRPr="0072643B">
              <w:rPr>
                <w:rFonts w:cstheme="minorHAnsi"/>
                <w:color w:val="auto"/>
                <w:szCs w:val="23"/>
              </w:rPr>
              <w:t xml:space="preserve"> </w:t>
            </w:r>
          </w:p>
          <w:p w14:paraId="495A90BD" w14:textId="4647D274" w:rsidR="00592292" w:rsidRPr="0072643B" w:rsidRDefault="00C76B83" w:rsidP="00FB5BE9">
            <w:pPr>
              <w:keepNext/>
              <w:keepLines/>
              <w:spacing w:before="120" w:after="120"/>
              <w:rPr>
                <w:rFonts w:cstheme="minorHAnsi"/>
                <w:color w:val="auto"/>
                <w:szCs w:val="23"/>
              </w:rPr>
            </w:pPr>
            <w:r w:rsidRPr="0072643B">
              <w:rPr>
                <w:rFonts w:cstheme="minorHAnsi"/>
                <w:color w:val="auto"/>
                <w:szCs w:val="23"/>
              </w:rPr>
              <w:t xml:space="preserve">Emergency Alert is nearing end-of-life contractually and technologically. Emergency Management Victoria </w:t>
            </w:r>
            <w:r w:rsidR="00E14840" w:rsidRPr="0072643B">
              <w:rPr>
                <w:rFonts w:cstheme="minorHAnsi"/>
                <w:color w:val="auto"/>
                <w:szCs w:val="23"/>
              </w:rPr>
              <w:t xml:space="preserve">(EMV) </w:t>
            </w:r>
            <w:r w:rsidRPr="0072643B">
              <w:rPr>
                <w:rFonts w:cstheme="minorHAnsi"/>
                <w:color w:val="auto"/>
                <w:szCs w:val="23"/>
              </w:rPr>
              <w:t xml:space="preserve">is leading the procurement of a replacement system; however, this will not be finalised before the expiry of the contracts for the current Emergency Alert system in June 2019. </w:t>
            </w:r>
            <w:r w:rsidR="00914D9E" w:rsidRPr="0072643B">
              <w:rPr>
                <w:rFonts w:cstheme="minorHAnsi"/>
                <w:color w:val="auto"/>
                <w:szCs w:val="23"/>
              </w:rPr>
              <w:t xml:space="preserve"> </w:t>
            </w:r>
          </w:p>
          <w:p w14:paraId="05428777" w14:textId="1E9A79F7" w:rsidR="00C76B83" w:rsidRPr="0072643B" w:rsidRDefault="00914D9E" w:rsidP="00FB5BE9">
            <w:pPr>
              <w:keepNext/>
              <w:keepLines/>
              <w:spacing w:before="120" w:after="120"/>
              <w:rPr>
                <w:rFonts w:cstheme="minorHAnsi"/>
                <w:color w:val="auto"/>
                <w:szCs w:val="23"/>
              </w:rPr>
            </w:pPr>
            <w:r w:rsidRPr="0072643B">
              <w:rPr>
                <w:rFonts w:cstheme="minorHAnsi"/>
                <w:color w:val="auto"/>
                <w:szCs w:val="23"/>
              </w:rPr>
              <w:t xml:space="preserve">This project will extend </w:t>
            </w:r>
            <w:r w:rsidR="00290945" w:rsidRPr="0072643B">
              <w:rPr>
                <w:rFonts w:cstheme="minorHAnsi"/>
                <w:color w:val="auto"/>
                <w:szCs w:val="23"/>
              </w:rPr>
              <w:t xml:space="preserve">the contracts with telecommunication providers and implement necessary capital upgrades </w:t>
            </w:r>
            <w:r w:rsidR="00290945" w:rsidRPr="0072643B">
              <w:rPr>
                <w:color w:val="auto"/>
                <w:szCs w:val="23"/>
              </w:rPr>
              <w:t>to the system’s hardware to ensure the continued operation of Emergency Alert until June 2020.</w:t>
            </w:r>
            <w:r w:rsidRPr="0072643B">
              <w:rPr>
                <w:rFonts w:cstheme="minorHAnsi"/>
                <w:color w:val="auto"/>
                <w:szCs w:val="23"/>
              </w:rPr>
              <w:t xml:space="preserve"> </w:t>
            </w:r>
          </w:p>
        </w:tc>
      </w:tr>
    </w:tbl>
    <w:p w14:paraId="19AADCD5" w14:textId="4DE134E1" w:rsidR="00B82A54" w:rsidRPr="00FB5BE9" w:rsidRDefault="0031601C" w:rsidP="00DB3E8F">
      <w:pPr>
        <w:pStyle w:val="ScheduleNumberedPara"/>
        <w:numPr>
          <w:ilvl w:val="0"/>
          <w:numId w:val="24"/>
        </w:numPr>
        <w:spacing w:before="120" w:after="120"/>
      </w:pPr>
      <w:r w:rsidRPr="0072643B">
        <w:t>In accordance with 9 and 13 of the Agreement,</w:t>
      </w:r>
      <w:r w:rsidR="00B82A54" w:rsidRPr="0072643B">
        <w:t xml:space="preserve"> milestones, their relationship to outputs, expected completion dates, relevant reporting dates and exp</w:t>
      </w:r>
      <w:r w:rsidR="00B82A54" w:rsidRPr="00FB5BE9">
        <w:t xml:space="preserve">ected payments </w:t>
      </w:r>
      <w:r w:rsidR="00E22E9B" w:rsidRPr="00FB5BE9">
        <w:t>are set out in</w:t>
      </w:r>
      <w:r w:rsidR="00A15F3A" w:rsidRPr="00FB5BE9">
        <w:t xml:space="preserve"> Table 2</w:t>
      </w:r>
      <w:r w:rsidR="00DB3E8F">
        <w:t>.</w:t>
      </w:r>
    </w:p>
    <w:p w14:paraId="7A2B0266" w14:textId="2FD665AA" w:rsidR="00A641FF" w:rsidRPr="0072643B" w:rsidRDefault="00A15F3A" w:rsidP="00DB3E8F">
      <w:pPr>
        <w:pStyle w:val="Normalnumbered"/>
        <w:keepNext/>
        <w:numPr>
          <w:ilvl w:val="0"/>
          <w:numId w:val="0"/>
        </w:numPr>
        <w:spacing w:before="120" w:after="120"/>
      </w:pPr>
      <w:r w:rsidRPr="00FB5BE9">
        <w:rPr>
          <w:b/>
        </w:rPr>
        <w:t>Table 2</w:t>
      </w:r>
      <w:r w:rsidR="00A641FF" w:rsidRPr="00FB5BE9">
        <w:t xml:space="preserve">: </w:t>
      </w:r>
      <w:r w:rsidR="00A641FF" w:rsidRPr="0072643B">
        <w:rPr>
          <w:b/>
        </w:rPr>
        <w:t>Performance requirements, reporting and payment summary</w:t>
      </w:r>
    </w:p>
    <w:tbl>
      <w:tblPr>
        <w:tblW w:w="978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27"/>
        <w:gridCol w:w="4819"/>
        <w:gridCol w:w="1473"/>
        <w:gridCol w:w="1362"/>
      </w:tblGrid>
      <w:tr w:rsidR="00A641FF" w:rsidRPr="0072643B" w14:paraId="2947E56C" w14:textId="77777777" w:rsidTr="007332DF">
        <w:trPr>
          <w:trHeight w:val="691"/>
        </w:trPr>
        <w:tc>
          <w:tcPr>
            <w:tcW w:w="2127" w:type="dxa"/>
            <w:tcBorders>
              <w:bottom w:val="single" w:sz="18" w:space="0" w:color="4F81BD"/>
            </w:tcBorders>
          </w:tcPr>
          <w:p w14:paraId="5F080BDF" w14:textId="77777777" w:rsidR="00A641FF" w:rsidRPr="0072643B" w:rsidRDefault="00A641FF" w:rsidP="00FF750C">
            <w:pPr>
              <w:pStyle w:val="Heading2"/>
              <w:spacing w:before="60" w:after="60"/>
              <w:rPr>
                <w:bCs w:val="0"/>
                <w:sz w:val="24"/>
                <w:szCs w:val="24"/>
              </w:rPr>
            </w:pPr>
            <w:r w:rsidRPr="0072643B">
              <w:rPr>
                <w:bCs w:val="0"/>
                <w:sz w:val="24"/>
                <w:szCs w:val="24"/>
              </w:rPr>
              <w:t>Outputs</w:t>
            </w:r>
          </w:p>
        </w:tc>
        <w:tc>
          <w:tcPr>
            <w:tcW w:w="4819" w:type="dxa"/>
            <w:tcBorders>
              <w:bottom w:val="single" w:sz="18" w:space="0" w:color="4F81BD"/>
            </w:tcBorders>
          </w:tcPr>
          <w:p w14:paraId="52BC5DED" w14:textId="57644330" w:rsidR="00FF750C" w:rsidRPr="0072643B" w:rsidRDefault="00FF750C" w:rsidP="00FF750C">
            <w:pPr>
              <w:pStyle w:val="Heading2"/>
              <w:spacing w:before="60" w:after="60"/>
            </w:pPr>
            <w:r w:rsidRPr="0072643B">
              <w:rPr>
                <w:bCs w:val="0"/>
                <w:sz w:val="24"/>
                <w:szCs w:val="24"/>
              </w:rPr>
              <w:t>Milestones</w:t>
            </w:r>
          </w:p>
        </w:tc>
        <w:tc>
          <w:tcPr>
            <w:tcW w:w="1473" w:type="dxa"/>
            <w:tcBorders>
              <w:bottom w:val="single" w:sz="18" w:space="0" w:color="4F81BD"/>
            </w:tcBorders>
          </w:tcPr>
          <w:p w14:paraId="1F6C26DD" w14:textId="77777777" w:rsidR="00A641FF" w:rsidRPr="0072643B" w:rsidRDefault="00A641FF" w:rsidP="00FF750C">
            <w:pPr>
              <w:pStyle w:val="Heading2"/>
              <w:spacing w:before="60" w:after="60"/>
              <w:rPr>
                <w:sz w:val="18"/>
                <w:szCs w:val="18"/>
              </w:rPr>
            </w:pPr>
            <w:r w:rsidRPr="0072643B">
              <w:rPr>
                <w:bCs w:val="0"/>
                <w:sz w:val="24"/>
                <w:szCs w:val="24"/>
              </w:rPr>
              <w:t xml:space="preserve">Report due </w:t>
            </w:r>
          </w:p>
        </w:tc>
        <w:tc>
          <w:tcPr>
            <w:tcW w:w="1362" w:type="dxa"/>
            <w:tcBorders>
              <w:bottom w:val="single" w:sz="18" w:space="0" w:color="4F81BD"/>
            </w:tcBorders>
          </w:tcPr>
          <w:p w14:paraId="131BB6FE" w14:textId="77777777" w:rsidR="00A641FF" w:rsidRPr="0072643B" w:rsidRDefault="00A641FF" w:rsidP="00FF750C">
            <w:pPr>
              <w:pStyle w:val="Heading2"/>
              <w:spacing w:before="60" w:after="60"/>
              <w:rPr>
                <w:bCs w:val="0"/>
                <w:sz w:val="24"/>
                <w:szCs w:val="24"/>
              </w:rPr>
            </w:pPr>
            <w:r w:rsidRPr="0072643B">
              <w:rPr>
                <w:bCs w:val="0"/>
                <w:sz w:val="24"/>
                <w:szCs w:val="24"/>
              </w:rPr>
              <w:t>Payment</w:t>
            </w:r>
          </w:p>
        </w:tc>
      </w:tr>
      <w:tr w:rsidR="00253681" w:rsidRPr="00C26C5B" w14:paraId="60B31C76" w14:textId="77777777" w:rsidTr="008235E3">
        <w:trPr>
          <w:trHeight w:val="2513"/>
        </w:trPr>
        <w:tc>
          <w:tcPr>
            <w:tcW w:w="2127" w:type="dxa"/>
          </w:tcPr>
          <w:p w14:paraId="0FB8D4DA" w14:textId="76672A6F" w:rsidR="00253681" w:rsidRPr="0072643B" w:rsidRDefault="00253681" w:rsidP="008235E3">
            <w:pPr>
              <w:spacing w:before="120" w:after="120"/>
              <w:jc w:val="left"/>
              <w:rPr>
                <w:bCs/>
                <w:color w:val="auto"/>
                <w:szCs w:val="23"/>
              </w:rPr>
            </w:pPr>
            <w:r w:rsidRPr="0072643B">
              <w:t xml:space="preserve">Extension </w:t>
            </w:r>
            <w:r w:rsidRPr="0072643B">
              <w:rPr>
                <w:color w:val="auto"/>
                <w:szCs w:val="23"/>
              </w:rPr>
              <w:t>of contracts with telecommunication providers and capital upgrades to ensure the operation of Emergency Alert until June 2020.</w:t>
            </w:r>
          </w:p>
        </w:tc>
        <w:tc>
          <w:tcPr>
            <w:tcW w:w="4819" w:type="dxa"/>
          </w:tcPr>
          <w:p w14:paraId="319833DA" w14:textId="6D1EDE0A" w:rsidR="00253681" w:rsidRPr="0072643B" w:rsidRDefault="00253681" w:rsidP="00590929">
            <w:pPr>
              <w:pStyle w:val="Heading2"/>
              <w:spacing w:before="120"/>
              <w:rPr>
                <w:b w:val="0"/>
                <w:color w:val="auto"/>
                <w:sz w:val="23"/>
                <w:szCs w:val="23"/>
              </w:rPr>
            </w:pPr>
            <w:r w:rsidRPr="0072643B">
              <w:rPr>
                <w:b w:val="0"/>
                <w:color w:val="auto"/>
                <w:sz w:val="23"/>
                <w:szCs w:val="23"/>
              </w:rPr>
              <w:t>Contract</w:t>
            </w:r>
            <w:r w:rsidR="008E5770">
              <w:rPr>
                <w:b w:val="0"/>
                <w:color w:val="auto"/>
                <w:sz w:val="23"/>
                <w:szCs w:val="23"/>
              </w:rPr>
              <w:t>s</w:t>
            </w:r>
            <w:r w:rsidRPr="0072643B">
              <w:rPr>
                <w:b w:val="0"/>
                <w:color w:val="auto"/>
                <w:sz w:val="23"/>
                <w:szCs w:val="23"/>
              </w:rPr>
              <w:t xml:space="preserve"> with telecommunications providers varied to extend the operation of Emergency Alert until June 2020 </w:t>
            </w:r>
            <w:r w:rsidR="004E77DA">
              <w:rPr>
                <w:b w:val="0"/>
                <w:color w:val="auto"/>
                <w:sz w:val="23"/>
                <w:szCs w:val="23"/>
              </w:rPr>
              <w:t xml:space="preserve">and </w:t>
            </w:r>
            <w:r w:rsidRPr="0072643B">
              <w:rPr>
                <w:b w:val="0"/>
                <w:color w:val="auto"/>
                <w:sz w:val="23"/>
                <w:szCs w:val="23"/>
              </w:rPr>
              <w:t>signed by Victoria.</w:t>
            </w:r>
          </w:p>
          <w:p w14:paraId="40CA75B4" w14:textId="7FBB940C" w:rsidR="00253681" w:rsidRPr="008235E3" w:rsidRDefault="004E77DA" w:rsidP="004E77DA">
            <w:pPr>
              <w:rPr>
                <w:b/>
              </w:rPr>
            </w:pPr>
            <w:r>
              <w:t>S</w:t>
            </w:r>
            <w:r w:rsidR="00253681" w:rsidRPr="0072643B">
              <w:t>chedule of works</w:t>
            </w:r>
            <w:r>
              <w:t xml:space="preserve"> developed</w:t>
            </w:r>
            <w:r w:rsidR="00253681" w:rsidRPr="0072643B">
              <w:t xml:space="preserve"> to ensure necessary capital upgrades are completed by 30</w:t>
            </w:r>
            <w:r>
              <w:t> </w:t>
            </w:r>
            <w:r w:rsidR="00253681" w:rsidRPr="0072643B">
              <w:t>June 2019.</w:t>
            </w:r>
          </w:p>
        </w:tc>
        <w:tc>
          <w:tcPr>
            <w:tcW w:w="1473" w:type="dxa"/>
          </w:tcPr>
          <w:p w14:paraId="3212514F" w14:textId="547E9DF0" w:rsidR="00253681" w:rsidRPr="0072643B" w:rsidRDefault="00253681" w:rsidP="008235E3">
            <w:pPr>
              <w:pStyle w:val="Heading2"/>
              <w:spacing w:before="120"/>
              <w:rPr>
                <w:b w:val="0"/>
                <w:color w:val="auto"/>
                <w:sz w:val="23"/>
                <w:szCs w:val="23"/>
              </w:rPr>
            </w:pPr>
            <w:r w:rsidRPr="0072643B">
              <w:rPr>
                <w:b w:val="0"/>
                <w:color w:val="auto"/>
                <w:sz w:val="23"/>
                <w:szCs w:val="23"/>
              </w:rPr>
              <w:t>30 April 2019</w:t>
            </w:r>
          </w:p>
        </w:tc>
        <w:tc>
          <w:tcPr>
            <w:tcW w:w="1362" w:type="dxa"/>
          </w:tcPr>
          <w:p w14:paraId="03C61227" w14:textId="0B8B2CB1" w:rsidR="00253681" w:rsidRPr="00066A00" w:rsidRDefault="00253681" w:rsidP="008235E3">
            <w:pPr>
              <w:pStyle w:val="Heading2"/>
              <w:spacing w:before="120"/>
              <w:rPr>
                <w:b w:val="0"/>
                <w:color w:val="auto"/>
                <w:sz w:val="23"/>
                <w:szCs w:val="23"/>
              </w:rPr>
            </w:pPr>
            <w:r w:rsidRPr="0072643B">
              <w:rPr>
                <w:b w:val="0"/>
                <w:color w:val="auto"/>
                <w:sz w:val="23"/>
                <w:szCs w:val="23"/>
              </w:rPr>
              <w:t>$2,000,000</w:t>
            </w:r>
          </w:p>
        </w:tc>
      </w:tr>
    </w:tbl>
    <w:p w14:paraId="5CF4F0AF" w14:textId="77777777" w:rsidR="00A641FF" w:rsidRDefault="00A641FF" w:rsidP="00053402"/>
    <w:sectPr w:rsidR="00A641FF" w:rsidSect="007B683E">
      <w:headerReference w:type="even" r:id="rId19"/>
      <w:headerReference w:type="default" r:id="rId20"/>
      <w:headerReference w:type="firs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4368" w14:textId="77777777" w:rsidR="00E053F8" w:rsidRDefault="00E053F8">
      <w:r>
        <w:separator/>
      </w:r>
    </w:p>
  </w:endnote>
  <w:endnote w:type="continuationSeparator" w:id="0">
    <w:p w14:paraId="192F31F5" w14:textId="77777777" w:rsidR="00E053F8" w:rsidRDefault="00E053F8">
      <w:r>
        <w:continuationSeparator/>
      </w:r>
    </w:p>
  </w:endnote>
  <w:endnote w:type="continuationNotice" w:id="1">
    <w:p w14:paraId="7FFD64D9" w14:textId="77777777" w:rsidR="00E053F8" w:rsidRDefault="00E05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2134" w14:textId="77777777" w:rsidR="00194239" w:rsidRDefault="00194239">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16ACAB" w14:textId="77777777" w:rsidR="00194239" w:rsidRDefault="00194239">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FBBC" w14:textId="153B1DDB" w:rsidR="00194239" w:rsidRDefault="00194239">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1B595E">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491C" w14:textId="6E2F13CC" w:rsidR="00194239" w:rsidRDefault="00194239">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595E">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2F54" w14:textId="38E3FAE2" w:rsidR="00194239" w:rsidRDefault="00194239"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95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4C20" w14:textId="77777777" w:rsidR="00E053F8" w:rsidRDefault="00E053F8">
      <w:r>
        <w:separator/>
      </w:r>
    </w:p>
  </w:footnote>
  <w:footnote w:type="continuationSeparator" w:id="0">
    <w:p w14:paraId="1E2AC566" w14:textId="77777777" w:rsidR="00E053F8" w:rsidRDefault="00E053F8">
      <w:r>
        <w:continuationSeparator/>
      </w:r>
    </w:p>
  </w:footnote>
  <w:footnote w:type="continuationNotice" w:id="1">
    <w:p w14:paraId="5E625668" w14:textId="77777777" w:rsidR="00E053F8" w:rsidRDefault="00E05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C0AE" w14:textId="4F433D1E" w:rsidR="00194239" w:rsidRPr="00814590" w:rsidRDefault="00CA1087">
    <w:pPr>
      <w:rPr>
        <w:color w:val="800000"/>
        <w:sz w:val="18"/>
        <w:szCs w:val="18"/>
      </w:rPr>
    </w:pPr>
    <w:r>
      <w:rPr>
        <w:noProof/>
      </w:rPr>
      <mc:AlternateContent>
        <mc:Choice Requires="wps">
          <w:drawing>
            <wp:anchor distT="0" distB="0" distL="114300" distR="114300" simplePos="0" relativeHeight="251655168" behindDoc="1" locked="0" layoutInCell="0" allowOverlap="1" wp14:anchorId="2FE4E33A" wp14:editId="1C595596">
              <wp:simplePos x="0" y="0"/>
              <wp:positionH relativeFrom="margin">
                <wp:align>center</wp:align>
              </wp:positionH>
              <wp:positionV relativeFrom="margin">
                <wp:align>center</wp:align>
              </wp:positionV>
              <wp:extent cx="7190740" cy="1437640"/>
              <wp:effectExtent l="0" t="2105025" r="0" b="189611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DBD9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E4E33A" id="_x0000_t202" coordsize="21600,21600" o:spt="202" path="m,l,21600r21600,l21600,xe">
              <v:stroke joinstyle="miter"/>
              <v:path gradientshapeok="t" o:connecttype="rect"/>
            </v:shapetype>
            <v:shape id="WordArt 5" o:spid="_x0000_s1026" type="#_x0000_t202" style="position:absolute;left:0;text-align:left;margin-left:0;margin-top:0;width:566.2pt;height:113.2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UdhgIAAPwE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" o:allowincell="f" filled="f" stroked="f">
              <v:stroke joinstyle="round"/>
              <o:lock v:ext="edit" shapetype="t"/>
              <v:textbox style="mso-fit-shape-to-text:t">
                <w:txbxContent>
                  <w:p w14:paraId="04ADBD9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r w:rsidR="00194239">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D8A9" w14:textId="618C99B6" w:rsidR="00194239" w:rsidRPr="00814590" w:rsidRDefault="00CA1087" w:rsidP="00053402">
    <w:pPr>
      <w:pStyle w:val="HeaderOdd"/>
      <w:tabs>
        <w:tab w:val="num" w:pos="1134"/>
      </w:tabs>
      <w:rPr>
        <w:color w:val="800000"/>
      </w:rPr>
    </w:pPr>
    <w:r>
      <w:rPr>
        <w:noProof/>
      </w:rPr>
      <mc:AlternateContent>
        <mc:Choice Requires="wps">
          <w:drawing>
            <wp:anchor distT="0" distB="0" distL="114300" distR="114300" simplePos="0" relativeHeight="251656192" behindDoc="1" locked="0" layoutInCell="0" allowOverlap="1" wp14:anchorId="05B7FAA2" wp14:editId="6C92E3FC">
              <wp:simplePos x="0" y="0"/>
              <wp:positionH relativeFrom="margin">
                <wp:align>center</wp:align>
              </wp:positionH>
              <wp:positionV relativeFrom="margin">
                <wp:align>center</wp:align>
              </wp:positionV>
              <wp:extent cx="7190740" cy="1437640"/>
              <wp:effectExtent l="0" t="2105025" r="0" b="189611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BDF4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B7FAA2" id="_x0000_t202" coordsize="21600,21600" o:spt="202" path="m,l,21600r21600,l21600,xe">
              <v:stroke joinstyle="miter"/>
              <v:path gradientshapeok="t" o:connecttype="rect"/>
            </v:shapetype>
            <v:shape id="WordArt 6" o:spid="_x0000_s1027" type="#_x0000_t202" style="position:absolute;left:0;text-align:left;margin-left:0;margin-top:0;width:566.2pt;height:113.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iAIAAAMF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" o:allowincell="f" filled="f" stroked="f">
              <v:stroke joinstyle="round"/>
              <o:lock v:ext="edit" shapetype="t"/>
              <v:textbox style="mso-fit-shape-to-text:t">
                <w:txbxContent>
                  <w:p w14:paraId="4E0BDF4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r w:rsidR="00194239">
      <w:rPr>
        <w:color w:val="800000"/>
      </w:rPr>
      <w:t>Project Agreement for the Preparing Australia Package</w:t>
    </w:r>
  </w:p>
  <w:p w14:paraId="7FFFB0E8" w14:textId="77777777" w:rsidR="00194239" w:rsidRDefault="00194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FE48" w14:textId="7DF65047" w:rsidR="002767D0" w:rsidRDefault="00CA1087">
    <w:pPr>
      <w:pStyle w:val="Header"/>
    </w:pPr>
    <w:r>
      <w:rPr>
        <w:noProof/>
      </w:rPr>
      <mc:AlternateContent>
        <mc:Choice Requires="wps">
          <w:drawing>
            <wp:anchor distT="0" distB="0" distL="114300" distR="114300" simplePos="0" relativeHeight="251658240" behindDoc="1" locked="0" layoutInCell="0" allowOverlap="1" wp14:anchorId="6344843F" wp14:editId="5856772A">
              <wp:simplePos x="0" y="0"/>
              <wp:positionH relativeFrom="margin">
                <wp:align>center</wp:align>
              </wp:positionH>
              <wp:positionV relativeFrom="margin">
                <wp:align>center</wp:align>
              </wp:positionV>
              <wp:extent cx="7190740" cy="1437640"/>
              <wp:effectExtent l="0" t="2105025" r="0" b="189611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FCC487"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44843F" id="_x0000_t202" coordsize="21600,21600" o:spt="202" path="m,l,21600r21600,l21600,xe">
              <v:stroke joinstyle="miter"/>
              <v:path gradientshapeok="t" o:connecttype="rect"/>
            </v:shapetype>
            <v:shape id="WordArt 8" o:spid="_x0000_s1028" type="#_x0000_t202" style="position:absolute;margin-left:0;margin-top:0;width:566.2pt;height:11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" o:allowincell="f" filled="f" stroked="f">
              <v:stroke joinstyle="round"/>
              <o:lock v:ext="edit" shapetype="t"/>
              <v:textbox style="mso-fit-shape-to-text:t">
                <w:txbxContent>
                  <w:p w14:paraId="19FCC487"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4093" w14:textId="6D72AD2D" w:rsidR="00194239" w:rsidRPr="00814590" w:rsidRDefault="00CA1087" w:rsidP="00D84ADB">
    <w:pPr>
      <w:pStyle w:val="HeaderOdd"/>
      <w:tabs>
        <w:tab w:val="num" w:pos="1134"/>
      </w:tabs>
      <w:rPr>
        <w:color w:val="800000"/>
      </w:rPr>
    </w:pPr>
    <w:r>
      <w:rPr>
        <w:noProof/>
      </w:rPr>
      <mc:AlternateContent>
        <mc:Choice Requires="wps">
          <w:drawing>
            <wp:anchor distT="0" distB="0" distL="114300" distR="114300" simplePos="0" relativeHeight="251659264" behindDoc="1" locked="0" layoutInCell="0" allowOverlap="1" wp14:anchorId="267A3A7C" wp14:editId="6E03317C">
              <wp:simplePos x="0" y="0"/>
              <wp:positionH relativeFrom="margin">
                <wp:align>center</wp:align>
              </wp:positionH>
              <wp:positionV relativeFrom="margin">
                <wp:align>center</wp:align>
              </wp:positionV>
              <wp:extent cx="7190740" cy="1437640"/>
              <wp:effectExtent l="0" t="2105025" r="0" b="189611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7A8A8"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7A3A7C" id="_x0000_t202" coordsize="21600,21600" o:spt="202" path="m,l,21600r21600,l21600,xe">
              <v:stroke joinstyle="miter"/>
              <v:path gradientshapeok="t" o:connecttype="rect"/>
            </v:shapetype>
            <v:shape id="WordArt 9" o:spid="_x0000_s1029" type="#_x0000_t202" style="position:absolute;left:0;text-align:left;margin-left:0;margin-top:0;width:566.2pt;height:113.2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" o:allowincell="f" filled="f" stroked="f">
              <v:stroke joinstyle="round"/>
              <o:lock v:ext="edit" shapetype="t"/>
              <v:textbox style="mso-fit-shape-to-text:t">
                <w:txbxContent>
                  <w:p w14:paraId="0AC7A8A8"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r w:rsidR="00194239">
      <w:rPr>
        <w:color w:val="800000"/>
      </w:rPr>
      <w:t>Project Agreement for the Preparing Australia Package</w:t>
    </w:r>
  </w:p>
  <w:p w14:paraId="51C776A3" w14:textId="77777777" w:rsidR="00194239" w:rsidRDefault="001942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2CE1" w14:textId="69F1D7F2" w:rsidR="00194239" w:rsidRPr="00814590" w:rsidRDefault="00CA1087" w:rsidP="0036474E">
    <w:pPr>
      <w:pStyle w:val="HeaderOdd"/>
      <w:tabs>
        <w:tab w:val="num" w:pos="1134"/>
      </w:tabs>
      <w:rPr>
        <w:color w:val="800000"/>
      </w:rPr>
    </w:pPr>
    <w:r>
      <w:rPr>
        <w:noProof/>
      </w:rPr>
      <mc:AlternateContent>
        <mc:Choice Requires="wps">
          <w:drawing>
            <wp:anchor distT="0" distB="0" distL="114300" distR="114300" simplePos="0" relativeHeight="251657216" behindDoc="1" locked="0" layoutInCell="0" allowOverlap="1" wp14:anchorId="1DBAD1D2" wp14:editId="247D27E8">
              <wp:simplePos x="0" y="0"/>
              <wp:positionH relativeFrom="margin">
                <wp:align>center</wp:align>
              </wp:positionH>
              <wp:positionV relativeFrom="margin">
                <wp:align>center</wp:align>
              </wp:positionV>
              <wp:extent cx="7190740" cy="1437640"/>
              <wp:effectExtent l="0" t="2105025" r="0" b="189611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B8EA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BAD1D2" id="_x0000_t202" coordsize="21600,21600" o:spt="202" path="m,l,21600r21600,l21600,xe">
              <v:stroke joinstyle="miter"/>
              <v:path gradientshapeok="t" o:connecttype="rect"/>
            </v:shapetype>
            <v:shape id="WordArt 7" o:spid="_x0000_s1030" type="#_x0000_t202" style="position:absolute;left:0;text-align:left;margin-left:0;margin-top:0;width:566.2pt;height:113.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DRiAIAAAMF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" o:allowincell="f" filled="f" stroked="f">
              <v:stroke joinstyle="round"/>
              <o:lock v:ext="edit" shapetype="t"/>
              <v:textbox style="mso-fit-shape-to-text:t">
                <w:txbxContent>
                  <w:p w14:paraId="415B8EAF" w14:textId="77777777" w:rsidR="00CA1087" w:rsidRDefault="00CA1087" w:rsidP="00CA108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r w:rsidR="00194239">
      <w:rPr>
        <w:color w:val="800000"/>
      </w:rPr>
      <w:t>Project Agreement for the Preparing Australia Package</w:t>
    </w:r>
  </w:p>
  <w:p w14:paraId="04407F7F" w14:textId="77777777" w:rsidR="00194239" w:rsidRPr="00751725" w:rsidRDefault="00194239"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3730501"/>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FC34BD0"/>
    <w:multiLevelType w:val="hybridMultilevel"/>
    <w:tmpl w:val="85429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F06735"/>
    <w:multiLevelType w:val="hybridMultilevel"/>
    <w:tmpl w:val="1BE81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49F133D"/>
    <w:multiLevelType w:val="hybridMultilevel"/>
    <w:tmpl w:val="9744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85E61D2"/>
    <w:multiLevelType w:val="hybridMultilevel"/>
    <w:tmpl w:val="A6161E0C"/>
    <w:lvl w:ilvl="0" w:tplc="F2902DAC">
      <w:start w:val="1"/>
      <w:numFmt w:val="bullet"/>
      <w:lvlText w:val=""/>
      <w:lvlJc w:val="left"/>
      <w:pPr>
        <w:ind w:left="284" w:hanging="284"/>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EC1203"/>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4"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5220A4A"/>
    <w:multiLevelType w:val="hybridMultilevel"/>
    <w:tmpl w:val="3A368920"/>
    <w:lvl w:ilvl="0" w:tplc="42B814E6">
      <w:start w:val="1"/>
      <w:numFmt w:val="decimal"/>
      <w:lvlText w:val="A%1."/>
      <w:lvlJc w:val="left"/>
      <w:pPr>
        <w:ind w:left="737" w:hanging="737"/>
      </w:pPr>
      <w:rPr>
        <w:rFonts w:ascii="Corbel" w:hAnsi="Corbel" w:cs="Corbel" w:hint="default"/>
        <w:b w:val="0"/>
        <w:bCs w:val="0"/>
        <w:i w:val="0"/>
        <w:iCs w:val="0"/>
        <w:color w:val="000000"/>
        <w:sz w:val="23"/>
        <w:szCs w:val="23"/>
      </w:rPr>
    </w:lvl>
    <w:lvl w:ilvl="1" w:tplc="0C090019" w:tentative="1">
      <w:start w:val="1"/>
      <w:numFmt w:val="lowerLetter"/>
      <w:lvlText w:val="%2."/>
      <w:lvlJc w:val="left"/>
      <w:pPr>
        <w:ind w:left="723" w:hanging="360"/>
      </w:pPr>
      <w:rPr>
        <w:rFonts w:cs="Times New Roman"/>
      </w:rPr>
    </w:lvl>
    <w:lvl w:ilvl="2" w:tplc="0C09001B" w:tentative="1">
      <w:start w:val="1"/>
      <w:numFmt w:val="lowerRoman"/>
      <w:lvlText w:val="%3."/>
      <w:lvlJc w:val="right"/>
      <w:pPr>
        <w:ind w:left="1443" w:hanging="180"/>
      </w:pPr>
      <w:rPr>
        <w:rFonts w:cs="Times New Roman"/>
      </w:rPr>
    </w:lvl>
    <w:lvl w:ilvl="3" w:tplc="0C09000F" w:tentative="1">
      <w:start w:val="1"/>
      <w:numFmt w:val="decimal"/>
      <w:lvlText w:val="%4."/>
      <w:lvlJc w:val="left"/>
      <w:pPr>
        <w:ind w:left="2163" w:hanging="360"/>
      </w:pPr>
      <w:rPr>
        <w:rFonts w:cs="Times New Roman"/>
      </w:rPr>
    </w:lvl>
    <w:lvl w:ilvl="4" w:tplc="0C090019" w:tentative="1">
      <w:start w:val="1"/>
      <w:numFmt w:val="lowerLetter"/>
      <w:lvlText w:val="%5."/>
      <w:lvlJc w:val="left"/>
      <w:pPr>
        <w:ind w:left="2883" w:hanging="360"/>
      </w:pPr>
      <w:rPr>
        <w:rFonts w:cs="Times New Roman"/>
      </w:rPr>
    </w:lvl>
    <w:lvl w:ilvl="5" w:tplc="0C09001B" w:tentative="1">
      <w:start w:val="1"/>
      <w:numFmt w:val="lowerRoman"/>
      <w:lvlText w:val="%6."/>
      <w:lvlJc w:val="right"/>
      <w:pPr>
        <w:ind w:left="3603" w:hanging="180"/>
      </w:pPr>
      <w:rPr>
        <w:rFonts w:cs="Times New Roman"/>
      </w:rPr>
    </w:lvl>
    <w:lvl w:ilvl="6" w:tplc="0C09000F" w:tentative="1">
      <w:start w:val="1"/>
      <w:numFmt w:val="decimal"/>
      <w:lvlText w:val="%7."/>
      <w:lvlJc w:val="left"/>
      <w:pPr>
        <w:ind w:left="4323" w:hanging="360"/>
      </w:pPr>
      <w:rPr>
        <w:rFonts w:cs="Times New Roman"/>
      </w:rPr>
    </w:lvl>
    <w:lvl w:ilvl="7" w:tplc="0C090019" w:tentative="1">
      <w:start w:val="1"/>
      <w:numFmt w:val="lowerLetter"/>
      <w:lvlText w:val="%8."/>
      <w:lvlJc w:val="left"/>
      <w:pPr>
        <w:ind w:left="5043" w:hanging="360"/>
      </w:pPr>
      <w:rPr>
        <w:rFonts w:cs="Times New Roman"/>
      </w:rPr>
    </w:lvl>
    <w:lvl w:ilvl="8" w:tplc="0C09001B" w:tentative="1">
      <w:start w:val="1"/>
      <w:numFmt w:val="lowerRoman"/>
      <w:lvlText w:val="%9."/>
      <w:lvlJc w:val="right"/>
      <w:pPr>
        <w:ind w:left="5763" w:hanging="180"/>
      </w:pPr>
      <w:rPr>
        <w:rFonts w:cs="Times New Roman"/>
      </w:rPr>
    </w:lvl>
  </w:abstractNum>
  <w:abstractNum w:abstractNumId="16" w15:restartNumberingAfterBreak="0">
    <w:nsid w:val="365477B2"/>
    <w:multiLevelType w:val="hybridMultilevel"/>
    <w:tmpl w:val="53100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C4985"/>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0" w15:restartNumberingAfterBreak="0">
    <w:nsid w:val="51C94047"/>
    <w:multiLevelType w:val="hybridMultilevel"/>
    <w:tmpl w:val="51C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649149DB"/>
    <w:multiLevelType w:val="hybridMultilevel"/>
    <w:tmpl w:val="1BA4A4FE"/>
    <w:lvl w:ilvl="0" w:tplc="50D43D54">
      <w:start w:val="1"/>
      <w:numFmt w:val="decimal"/>
      <w:lvlText w:val="B%1."/>
      <w:lvlJc w:val="left"/>
      <w:pPr>
        <w:ind w:left="737" w:hanging="737"/>
      </w:pPr>
      <w:rPr>
        <w:rFonts w:ascii="Corbel" w:hAnsi="Corbel" w:cs="Corbel" w:hint="default"/>
        <w:b w:val="0"/>
        <w:bCs w:val="0"/>
        <w:i w:val="0"/>
        <w:iCs w:val="0"/>
        <w:color w:val="000000"/>
        <w:sz w:val="23"/>
        <w:szCs w:val="23"/>
      </w:rPr>
    </w:lvl>
    <w:lvl w:ilvl="1" w:tplc="0C090019" w:tentative="1">
      <w:start w:val="1"/>
      <w:numFmt w:val="lowerLetter"/>
      <w:lvlText w:val="%2."/>
      <w:lvlJc w:val="left"/>
      <w:pPr>
        <w:ind w:left="723" w:hanging="360"/>
      </w:pPr>
      <w:rPr>
        <w:rFonts w:cs="Times New Roman"/>
      </w:rPr>
    </w:lvl>
    <w:lvl w:ilvl="2" w:tplc="0C09001B" w:tentative="1">
      <w:start w:val="1"/>
      <w:numFmt w:val="lowerRoman"/>
      <w:lvlText w:val="%3."/>
      <w:lvlJc w:val="right"/>
      <w:pPr>
        <w:ind w:left="1443" w:hanging="180"/>
      </w:pPr>
      <w:rPr>
        <w:rFonts w:cs="Times New Roman"/>
      </w:rPr>
    </w:lvl>
    <w:lvl w:ilvl="3" w:tplc="0C09000F" w:tentative="1">
      <w:start w:val="1"/>
      <w:numFmt w:val="decimal"/>
      <w:lvlText w:val="%4."/>
      <w:lvlJc w:val="left"/>
      <w:pPr>
        <w:ind w:left="2163" w:hanging="360"/>
      </w:pPr>
      <w:rPr>
        <w:rFonts w:cs="Times New Roman"/>
      </w:rPr>
    </w:lvl>
    <w:lvl w:ilvl="4" w:tplc="0C090019" w:tentative="1">
      <w:start w:val="1"/>
      <w:numFmt w:val="lowerLetter"/>
      <w:lvlText w:val="%5."/>
      <w:lvlJc w:val="left"/>
      <w:pPr>
        <w:ind w:left="2883" w:hanging="360"/>
      </w:pPr>
      <w:rPr>
        <w:rFonts w:cs="Times New Roman"/>
      </w:rPr>
    </w:lvl>
    <w:lvl w:ilvl="5" w:tplc="0C09001B" w:tentative="1">
      <w:start w:val="1"/>
      <w:numFmt w:val="lowerRoman"/>
      <w:lvlText w:val="%6."/>
      <w:lvlJc w:val="right"/>
      <w:pPr>
        <w:ind w:left="3603" w:hanging="180"/>
      </w:pPr>
      <w:rPr>
        <w:rFonts w:cs="Times New Roman"/>
      </w:rPr>
    </w:lvl>
    <w:lvl w:ilvl="6" w:tplc="0C09000F" w:tentative="1">
      <w:start w:val="1"/>
      <w:numFmt w:val="decimal"/>
      <w:lvlText w:val="%7."/>
      <w:lvlJc w:val="left"/>
      <w:pPr>
        <w:ind w:left="4323" w:hanging="360"/>
      </w:pPr>
      <w:rPr>
        <w:rFonts w:cs="Times New Roman"/>
      </w:rPr>
    </w:lvl>
    <w:lvl w:ilvl="7" w:tplc="0C090019" w:tentative="1">
      <w:start w:val="1"/>
      <w:numFmt w:val="lowerLetter"/>
      <w:lvlText w:val="%8."/>
      <w:lvlJc w:val="left"/>
      <w:pPr>
        <w:ind w:left="5043" w:hanging="360"/>
      </w:pPr>
      <w:rPr>
        <w:rFonts w:cs="Times New Roman"/>
      </w:rPr>
    </w:lvl>
    <w:lvl w:ilvl="8" w:tplc="0C09001B" w:tentative="1">
      <w:start w:val="1"/>
      <w:numFmt w:val="lowerRoman"/>
      <w:lvlText w:val="%9."/>
      <w:lvlJc w:val="right"/>
      <w:pPr>
        <w:ind w:left="5763" w:hanging="180"/>
      </w:pPr>
      <w:rPr>
        <w:rFonts w:cs="Times New Roman"/>
      </w:rPr>
    </w:lvl>
  </w:abstractNum>
  <w:abstractNum w:abstractNumId="2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15:restartNumberingAfterBreak="0">
    <w:nsid w:val="78854AAC"/>
    <w:multiLevelType w:val="hybridMultilevel"/>
    <w:tmpl w:val="6B7A93A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697DA7"/>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num w:numId="1">
    <w:abstractNumId w:val="0"/>
  </w:num>
  <w:num w:numId="2">
    <w:abstractNumId w:val="8"/>
  </w:num>
  <w:num w:numId="3">
    <w:abstractNumId w:val="19"/>
  </w:num>
  <w:num w:numId="4">
    <w:abstractNumId w:val="22"/>
  </w:num>
  <w:num w:numId="5">
    <w:abstractNumId w:val="5"/>
  </w:num>
  <w:num w:numId="6">
    <w:abstractNumId w:val="24"/>
  </w:num>
  <w:num w:numId="7">
    <w:abstractNumId w:val="14"/>
  </w:num>
  <w:num w:numId="8">
    <w:abstractNumId w:val="6"/>
  </w:num>
  <w:num w:numId="9">
    <w:abstractNumId w:val="10"/>
  </w:num>
  <w:num w:numId="10">
    <w:abstractNumId w:val="28"/>
  </w:num>
  <w:num w:numId="11">
    <w:abstractNumId w:val="2"/>
  </w:num>
  <w:num w:numId="12">
    <w:abstractNumId w:val="21"/>
  </w:num>
  <w:num w:numId="13">
    <w:abstractNumId w:val="26"/>
  </w:num>
  <w:num w:numId="14">
    <w:abstractNumId w:val="18"/>
  </w:num>
  <w:num w:numId="15">
    <w:abstractNumId w:val="23"/>
  </w:num>
  <w:num w:numId="16">
    <w:abstractNumId w:val="27"/>
  </w:num>
  <w:num w:numId="17">
    <w:abstractNumId w:val="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 w:ilvl="0">
        <w:start w:val="1"/>
        <w:numFmt w:val="lowerLetter"/>
        <w:lvlRestart w:val="0"/>
        <w:lvlText w:val="(%1)"/>
        <w:lvlJc w:val="left"/>
        <w:pPr>
          <w:tabs>
            <w:tab w:val="num" w:pos="1134"/>
          </w:tabs>
          <w:ind w:left="567" w:firstLine="0"/>
        </w:pPr>
        <w:rPr>
          <w:rFonts w:cs="Times New Roman" w:hint="default"/>
          <w:b w:val="0"/>
          <w:i w:val="0"/>
          <w:color w:val="000000"/>
        </w:rPr>
      </w:lvl>
    </w:lvlOverride>
    <w:lvlOverride w:ilvl="1">
      <w:lvl w:ilvl="1">
        <w:start w:val="1"/>
        <w:numFmt w:val="decimal"/>
        <w:lvlText w:val="%2"/>
        <w:lvlJc w:val="left"/>
        <w:pPr>
          <w:tabs>
            <w:tab w:val="num" w:pos="1134"/>
          </w:tabs>
          <w:ind w:left="1134" w:hanging="567"/>
        </w:pPr>
        <w:rPr>
          <w:rFonts w:cs="Times New Roman" w:hint="default"/>
          <w:b w:val="0"/>
          <w:i w:val="0"/>
          <w:color w:val="000000"/>
        </w:rPr>
      </w:lvl>
    </w:lvlOverride>
    <w:lvlOverride w:ilvl="2">
      <w:lvl w:ilvl="2">
        <w:start w:val="1"/>
        <w:numFmt w:val="lowerRoman"/>
        <w:lvlText w:val="%3"/>
        <w:lvlJc w:val="left"/>
        <w:pPr>
          <w:tabs>
            <w:tab w:val="num" w:pos="1701"/>
          </w:tabs>
          <w:ind w:left="1701" w:hanging="567"/>
        </w:pPr>
        <w:rPr>
          <w:rFonts w:cs="Times New Roman" w:hint="default"/>
          <w:b w:val="0"/>
          <w:i w:val="0"/>
          <w:color w:val="000000"/>
        </w:rPr>
      </w:lvl>
    </w:lvlOverride>
    <w:lvlOverride w:ilvl="3">
      <w:lvl w:ilvl="3">
        <w:start w:val="1"/>
        <w:numFmt w:val="decimal"/>
        <w:lvlText w:val="%4"/>
        <w:lvlJc w:val="left"/>
        <w:pPr>
          <w:tabs>
            <w:tab w:val="num" w:pos="2268"/>
          </w:tabs>
          <w:ind w:left="2268" w:hanging="567"/>
        </w:pPr>
        <w:rPr>
          <w:rFonts w:cs="Times New Roman" w:hint="default"/>
          <w:b w:val="0"/>
          <w:i w:val="0"/>
          <w:color w:val="000000"/>
        </w:rPr>
      </w:lvl>
    </w:lvlOverride>
    <w:lvlOverride w:ilvl="4">
      <w:lvl w:ilvl="4">
        <w:start w:val="1"/>
        <w:numFmt w:val="decimal"/>
        <w:lvlText w:val="%5"/>
        <w:lvlJc w:val="left"/>
        <w:pPr>
          <w:tabs>
            <w:tab w:val="num" w:pos="2835"/>
          </w:tabs>
          <w:ind w:left="2835" w:hanging="567"/>
        </w:pPr>
        <w:rPr>
          <w:rFonts w:cs="Times New Roman" w:hint="default"/>
          <w:b w:val="0"/>
          <w:i w:val="0"/>
          <w:color w:val="000000"/>
        </w:rPr>
      </w:lvl>
    </w:lvlOverride>
    <w:lvlOverride w:ilvl="5">
      <w:lvl w:ilvl="5">
        <w:start w:val="1"/>
        <w:numFmt w:val="decimal"/>
        <w:lvlText w:val="%6"/>
        <w:lvlJc w:val="left"/>
        <w:pPr>
          <w:tabs>
            <w:tab w:val="num" w:pos="3402"/>
          </w:tabs>
          <w:ind w:left="3402" w:hanging="567"/>
        </w:pPr>
        <w:rPr>
          <w:rFonts w:cs="Times New Roman" w:hint="default"/>
          <w:b w:val="0"/>
          <w:i w:val="0"/>
          <w:color w:val="000000"/>
        </w:rPr>
      </w:lvl>
    </w:lvlOverride>
    <w:lvlOverride w:ilvl="6">
      <w:lvl w:ilvl="6">
        <w:start w:val="1"/>
        <w:numFmt w:val="decimal"/>
        <w:lvlText w:val="%7"/>
        <w:lvlJc w:val="left"/>
        <w:pPr>
          <w:tabs>
            <w:tab w:val="num" w:pos="3969"/>
          </w:tabs>
          <w:ind w:left="3969" w:hanging="567"/>
        </w:pPr>
        <w:rPr>
          <w:rFonts w:cs="Times New Roman" w:hint="default"/>
          <w:b w:val="0"/>
          <w:i w:val="0"/>
          <w:color w:val="000000"/>
        </w:rPr>
      </w:lvl>
    </w:lvlOverride>
    <w:lvlOverride w:ilvl="7">
      <w:lvl w:ilvl="7">
        <w:start w:val="1"/>
        <w:numFmt w:val="decimal"/>
        <w:lvlText w:val="%8"/>
        <w:lvlJc w:val="left"/>
        <w:pPr>
          <w:tabs>
            <w:tab w:val="num" w:pos="4536"/>
          </w:tabs>
          <w:ind w:left="4536" w:hanging="567"/>
        </w:pPr>
        <w:rPr>
          <w:rFonts w:cs="Times New Roman" w:hint="default"/>
          <w:b w:val="0"/>
          <w:i w:val="0"/>
          <w:color w:val="000000"/>
        </w:rPr>
      </w:lvl>
    </w:lvlOverride>
    <w:lvlOverride w:ilvl="8">
      <w:lvl w:ilvl="8">
        <w:start w:val="1"/>
        <w:numFmt w:val="decimal"/>
        <w:lvlText w:val="%9"/>
        <w:lvlJc w:val="left"/>
        <w:pPr>
          <w:tabs>
            <w:tab w:val="num" w:pos="5103"/>
          </w:tabs>
          <w:ind w:left="5103" w:hanging="567"/>
        </w:pPr>
        <w:rPr>
          <w:rFonts w:cs="Times New Roman" w:hint="default"/>
          <w:b w:val="0"/>
          <w:i w:val="0"/>
          <w:color w:val="000000"/>
        </w:rPr>
      </w:lvl>
    </w:lvlOverride>
  </w:num>
  <w:num w:numId="22">
    <w:abstractNumId w:val="9"/>
  </w:num>
  <w:num w:numId="23">
    <w:abstractNumId w:val="15"/>
  </w:num>
  <w:num w:numId="24">
    <w:abstractNumId w:val="25"/>
  </w:num>
  <w:num w:numId="25">
    <w:abstractNumId w:val="3"/>
  </w:num>
  <w:num w:numId="26">
    <w:abstractNumId w:val="29"/>
  </w:num>
  <w:num w:numId="27">
    <w:abstractNumId w:val="1"/>
  </w:num>
  <w:num w:numId="28">
    <w:abstractNumId w:val="12"/>
  </w:num>
  <w:num w:numId="29">
    <w:abstractNumId w:val="17"/>
  </w:num>
  <w:num w:numId="30">
    <w:abstractNumId w:val="0"/>
  </w:num>
  <w:num w:numId="31">
    <w:abstractNumId w:val="0"/>
  </w:num>
  <w:num w:numId="32">
    <w:abstractNumId w:val="18"/>
  </w:num>
  <w:num w:numId="33">
    <w:abstractNumId w:val="4"/>
  </w:num>
  <w:num w:numId="34">
    <w:abstractNumId w:val="11"/>
  </w:num>
  <w:num w:numId="35">
    <w:abstractNumId w:val="20"/>
  </w:num>
  <w:num w:numId="3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8DB"/>
    <w:rsid w:val="0000283C"/>
    <w:rsid w:val="00005A5D"/>
    <w:rsid w:val="000076D9"/>
    <w:rsid w:val="00021708"/>
    <w:rsid w:val="000237B6"/>
    <w:rsid w:val="00030CB2"/>
    <w:rsid w:val="000343F1"/>
    <w:rsid w:val="0004076C"/>
    <w:rsid w:val="00044700"/>
    <w:rsid w:val="00050CA4"/>
    <w:rsid w:val="00053402"/>
    <w:rsid w:val="0006051B"/>
    <w:rsid w:val="000614F9"/>
    <w:rsid w:val="00063672"/>
    <w:rsid w:val="0006451A"/>
    <w:rsid w:val="0006551D"/>
    <w:rsid w:val="00065679"/>
    <w:rsid w:val="00065730"/>
    <w:rsid w:val="00066A00"/>
    <w:rsid w:val="0007004C"/>
    <w:rsid w:val="000724F6"/>
    <w:rsid w:val="00074611"/>
    <w:rsid w:val="000749A5"/>
    <w:rsid w:val="00074A62"/>
    <w:rsid w:val="00086712"/>
    <w:rsid w:val="00091DF8"/>
    <w:rsid w:val="00093CB6"/>
    <w:rsid w:val="00093DD8"/>
    <w:rsid w:val="00094622"/>
    <w:rsid w:val="00097794"/>
    <w:rsid w:val="000A04AB"/>
    <w:rsid w:val="000A0C9E"/>
    <w:rsid w:val="000A3FA9"/>
    <w:rsid w:val="000A5191"/>
    <w:rsid w:val="000B4080"/>
    <w:rsid w:val="000B7685"/>
    <w:rsid w:val="000C714F"/>
    <w:rsid w:val="000D18B7"/>
    <w:rsid w:val="000D19D8"/>
    <w:rsid w:val="000D1C37"/>
    <w:rsid w:val="000D4377"/>
    <w:rsid w:val="000E075D"/>
    <w:rsid w:val="000E0C05"/>
    <w:rsid w:val="000E2AF6"/>
    <w:rsid w:val="000E36B7"/>
    <w:rsid w:val="000E3C70"/>
    <w:rsid w:val="000E48C3"/>
    <w:rsid w:val="000E633E"/>
    <w:rsid w:val="000F0880"/>
    <w:rsid w:val="000F25D5"/>
    <w:rsid w:val="000F646D"/>
    <w:rsid w:val="000F6CF6"/>
    <w:rsid w:val="000F7700"/>
    <w:rsid w:val="00103FD6"/>
    <w:rsid w:val="001045C1"/>
    <w:rsid w:val="001065EE"/>
    <w:rsid w:val="00110F5D"/>
    <w:rsid w:val="001134AC"/>
    <w:rsid w:val="00113B72"/>
    <w:rsid w:val="00115166"/>
    <w:rsid w:val="00115A97"/>
    <w:rsid w:val="00122DBA"/>
    <w:rsid w:val="001262B5"/>
    <w:rsid w:val="00132587"/>
    <w:rsid w:val="00135868"/>
    <w:rsid w:val="001404A9"/>
    <w:rsid w:val="00140D4C"/>
    <w:rsid w:val="00140F43"/>
    <w:rsid w:val="00145D5C"/>
    <w:rsid w:val="00151133"/>
    <w:rsid w:val="00157A32"/>
    <w:rsid w:val="00160506"/>
    <w:rsid w:val="0016131F"/>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90D55"/>
    <w:rsid w:val="001931E8"/>
    <w:rsid w:val="00193532"/>
    <w:rsid w:val="0019369C"/>
    <w:rsid w:val="00194232"/>
    <w:rsid w:val="00194239"/>
    <w:rsid w:val="00194587"/>
    <w:rsid w:val="0019676A"/>
    <w:rsid w:val="001A1422"/>
    <w:rsid w:val="001A14C1"/>
    <w:rsid w:val="001A234B"/>
    <w:rsid w:val="001A3A9A"/>
    <w:rsid w:val="001A3F52"/>
    <w:rsid w:val="001A4093"/>
    <w:rsid w:val="001A79C1"/>
    <w:rsid w:val="001A7A15"/>
    <w:rsid w:val="001B19A0"/>
    <w:rsid w:val="001B1CA3"/>
    <w:rsid w:val="001B447F"/>
    <w:rsid w:val="001B580E"/>
    <w:rsid w:val="001B595E"/>
    <w:rsid w:val="001B7933"/>
    <w:rsid w:val="001C346E"/>
    <w:rsid w:val="001C3717"/>
    <w:rsid w:val="001C5CC5"/>
    <w:rsid w:val="001C611F"/>
    <w:rsid w:val="001D2117"/>
    <w:rsid w:val="001D2C27"/>
    <w:rsid w:val="001D3CAD"/>
    <w:rsid w:val="001D4DD1"/>
    <w:rsid w:val="001D6E9A"/>
    <w:rsid w:val="001E20EC"/>
    <w:rsid w:val="001E4479"/>
    <w:rsid w:val="001E7173"/>
    <w:rsid w:val="001E74D0"/>
    <w:rsid w:val="001E7803"/>
    <w:rsid w:val="001F1D48"/>
    <w:rsid w:val="001F6F39"/>
    <w:rsid w:val="001F6FE8"/>
    <w:rsid w:val="002012BB"/>
    <w:rsid w:val="0020144E"/>
    <w:rsid w:val="00205E18"/>
    <w:rsid w:val="00206773"/>
    <w:rsid w:val="002069F9"/>
    <w:rsid w:val="00207C24"/>
    <w:rsid w:val="00212869"/>
    <w:rsid w:val="00221308"/>
    <w:rsid w:val="00222C97"/>
    <w:rsid w:val="00225761"/>
    <w:rsid w:val="00231E0F"/>
    <w:rsid w:val="00233835"/>
    <w:rsid w:val="00241EE9"/>
    <w:rsid w:val="00244500"/>
    <w:rsid w:val="00247D45"/>
    <w:rsid w:val="00252551"/>
    <w:rsid w:val="00253681"/>
    <w:rsid w:val="00254C79"/>
    <w:rsid w:val="00255377"/>
    <w:rsid w:val="00261ABA"/>
    <w:rsid w:val="00262E18"/>
    <w:rsid w:val="0026571E"/>
    <w:rsid w:val="002767D0"/>
    <w:rsid w:val="002808BA"/>
    <w:rsid w:val="00281874"/>
    <w:rsid w:val="00282C25"/>
    <w:rsid w:val="00284884"/>
    <w:rsid w:val="00285003"/>
    <w:rsid w:val="0028532A"/>
    <w:rsid w:val="002869F5"/>
    <w:rsid w:val="00287DCC"/>
    <w:rsid w:val="00290945"/>
    <w:rsid w:val="00291CF1"/>
    <w:rsid w:val="00292587"/>
    <w:rsid w:val="002951A7"/>
    <w:rsid w:val="002956C0"/>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CD3"/>
    <w:rsid w:val="002E2DE2"/>
    <w:rsid w:val="002E4B66"/>
    <w:rsid w:val="002E5281"/>
    <w:rsid w:val="002F576E"/>
    <w:rsid w:val="002F5B29"/>
    <w:rsid w:val="002F5B54"/>
    <w:rsid w:val="002F5C6C"/>
    <w:rsid w:val="002F7E40"/>
    <w:rsid w:val="003012DA"/>
    <w:rsid w:val="003042CC"/>
    <w:rsid w:val="003072A3"/>
    <w:rsid w:val="00307C5C"/>
    <w:rsid w:val="00312CFE"/>
    <w:rsid w:val="00313480"/>
    <w:rsid w:val="00313C98"/>
    <w:rsid w:val="00313FD9"/>
    <w:rsid w:val="003155BD"/>
    <w:rsid w:val="0031601C"/>
    <w:rsid w:val="003177B9"/>
    <w:rsid w:val="00321E0A"/>
    <w:rsid w:val="00332560"/>
    <w:rsid w:val="00333506"/>
    <w:rsid w:val="00335FC9"/>
    <w:rsid w:val="00340987"/>
    <w:rsid w:val="003410AA"/>
    <w:rsid w:val="0034465F"/>
    <w:rsid w:val="00350C81"/>
    <w:rsid w:val="00352A6B"/>
    <w:rsid w:val="00352EC1"/>
    <w:rsid w:val="00361054"/>
    <w:rsid w:val="0036119D"/>
    <w:rsid w:val="003637A0"/>
    <w:rsid w:val="0036474E"/>
    <w:rsid w:val="00364CF3"/>
    <w:rsid w:val="00365CAA"/>
    <w:rsid w:val="00367EAB"/>
    <w:rsid w:val="00372573"/>
    <w:rsid w:val="00373F70"/>
    <w:rsid w:val="003765C6"/>
    <w:rsid w:val="00377AB2"/>
    <w:rsid w:val="003877C3"/>
    <w:rsid w:val="0039283B"/>
    <w:rsid w:val="00393201"/>
    <w:rsid w:val="003956CF"/>
    <w:rsid w:val="00396EA4"/>
    <w:rsid w:val="003A1350"/>
    <w:rsid w:val="003A2157"/>
    <w:rsid w:val="003A3363"/>
    <w:rsid w:val="003A3905"/>
    <w:rsid w:val="003A3CC1"/>
    <w:rsid w:val="003A6635"/>
    <w:rsid w:val="003A6B0E"/>
    <w:rsid w:val="003A78C6"/>
    <w:rsid w:val="003B5562"/>
    <w:rsid w:val="003B6363"/>
    <w:rsid w:val="003B737F"/>
    <w:rsid w:val="003C0CF7"/>
    <w:rsid w:val="003C2E5D"/>
    <w:rsid w:val="003C59E0"/>
    <w:rsid w:val="003C619C"/>
    <w:rsid w:val="003C6F2A"/>
    <w:rsid w:val="003D743C"/>
    <w:rsid w:val="003E1779"/>
    <w:rsid w:val="003E33BA"/>
    <w:rsid w:val="003E6BA0"/>
    <w:rsid w:val="003E73DB"/>
    <w:rsid w:val="003F0ADC"/>
    <w:rsid w:val="003F154E"/>
    <w:rsid w:val="003F59E6"/>
    <w:rsid w:val="003F5BE6"/>
    <w:rsid w:val="003F6C00"/>
    <w:rsid w:val="003F7F8F"/>
    <w:rsid w:val="004120B1"/>
    <w:rsid w:val="00413E74"/>
    <w:rsid w:val="0041421D"/>
    <w:rsid w:val="0041490D"/>
    <w:rsid w:val="00414A5C"/>
    <w:rsid w:val="004156B4"/>
    <w:rsid w:val="0041697F"/>
    <w:rsid w:val="00420235"/>
    <w:rsid w:val="004223AA"/>
    <w:rsid w:val="00423104"/>
    <w:rsid w:val="004267D3"/>
    <w:rsid w:val="00427E21"/>
    <w:rsid w:val="00427E2A"/>
    <w:rsid w:val="00433E65"/>
    <w:rsid w:val="004358AD"/>
    <w:rsid w:val="004374B2"/>
    <w:rsid w:val="00440232"/>
    <w:rsid w:val="00442AB8"/>
    <w:rsid w:val="004436EA"/>
    <w:rsid w:val="0044456C"/>
    <w:rsid w:val="00447A71"/>
    <w:rsid w:val="00450B39"/>
    <w:rsid w:val="00453BC6"/>
    <w:rsid w:val="00454498"/>
    <w:rsid w:val="004549F3"/>
    <w:rsid w:val="00456C59"/>
    <w:rsid w:val="0046101E"/>
    <w:rsid w:val="004738C1"/>
    <w:rsid w:val="00477931"/>
    <w:rsid w:val="004779DD"/>
    <w:rsid w:val="00482207"/>
    <w:rsid w:val="00483BDF"/>
    <w:rsid w:val="00490198"/>
    <w:rsid w:val="00490E28"/>
    <w:rsid w:val="00492942"/>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B7EE7"/>
    <w:rsid w:val="004C0E18"/>
    <w:rsid w:val="004C3CC4"/>
    <w:rsid w:val="004C4D5E"/>
    <w:rsid w:val="004C6A2C"/>
    <w:rsid w:val="004D11ED"/>
    <w:rsid w:val="004D310E"/>
    <w:rsid w:val="004D37D8"/>
    <w:rsid w:val="004D4B81"/>
    <w:rsid w:val="004D6E78"/>
    <w:rsid w:val="004E0961"/>
    <w:rsid w:val="004E77DA"/>
    <w:rsid w:val="004F359F"/>
    <w:rsid w:val="004F3E9A"/>
    <w:rsid w:val="004F5DCD"/>
    <w:rsid w:val="004F6B2B"/>
    <w:rsid w:val="005005DF"/>
    <w:rsid w:val="00504A5B"/>
    <w:rsid w:val="00505045"/>
    <w:rsid w:val="0051061D"/>
    <w:rsid w:val="00510B96"/>
    <w:rsid w:val="00511501"/>
    <w:rsid w:val="00511B5B"/>
    <w:rsid w:val="005156CD"/>
    <w:rsid w:val="00515AF2"/>
    <w:rsid w:val="0051640E"/>
    <w:rsid w:val="00516741"/>
    <w:rsid w:val="0051684E"/>
    <w:rsid w:val="00527ABC"/>
    <w:rsid w:val="0053007E"/>
    <w:rsid w:val="005328CD"/>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0929"/>
    <w:rsid w:val="00592292"/>
    <w:rsid w:val="00593821"/>
    <w:rsid w:val="00596E88"/>
    <w:rsid w:val="00597CBD"/>
    <w:rsid w:val="005A0969"/>
    <w:rsid w:val="005A1422"/>
    <w:rsid w:val="005A4DF4"/>
    <w:rsid w:val="005A5783"/>
    <w:rsid w:val="005A5E7A"/>
    <w:rsid w:val="005A642A"/>
    <w:rsid w:val="005B0DEF"/>
    <w:rsid w:val="005B0F74"/>
    <w:rsid w:val="005B2A03"/>
    <w:rsid w:val="005B4C1B"/>
    <w:rsid w:val="005C2684"/>
    <w:rsid w:val="005C2DDC"/>
    <w:rsid w:val="005C5620"/>
    <w:rsid w:val="005C578C"/>
    <w:rsid w:val="005D1F0F"/>
    <w:rsid w:val="005D29DB"/>
    <w:rsid w:val="005D41F9"/>
    <w:rsid w:val="005E00A2"/>
    <w:rsid w:val="005E4143"/>
    <w:rsid w:val="005E724B"/>
    <w:rsid w:val="0060044B"/>
    <w:rsid w:val="00601F7C"/>
    <w:rsid w:val="00602A48"/>
    <w:rsid w:val="00602C10"/>
    <w:rsid w:val="00602EF7"/>
    <w:rsid w:val="00606F11"/>
    <w:rsid w:val="00607B03"/>
    <w:rsid w:val="0061059D"/>
    <w:rsid w:val="0061326F"/>
    <w:rsid w:val="00614393"/>
    <w:rsid w:val="006146F2"/>
    <w:rsid w:val="00614C00"/>
    <w:rsid w:val="006150A5"/>
    <w:rsid w:val="006169A7"/>
    <w:rsid w:val="00620B92"/>
    <w:rsid w:val="00623567"/>
    <w:rsid w:val="0063105E"/>
    <w:rsid w:val="0063672D"/>
    <w:rsid w:val="006412B5"/>
    <w:rsid w:val="00641932"/>
    <w:rsid w:val="00644083"/>
    <w:rsid w:val="0064429B"/>
    <w:rsid w:val="0064477C"/>
    <w:rsid w:val="00650903"/>
    <w:rsid w:val="00650A4F"/>
    <w:rsid w:val="00661717"/>
    <w:rsid w:val="006650A8"/>
    <w:rsid w:val="006679C0"/>
    <w:rsid w:val="00680ED5"/>
    <w:rsid w:val="00681956"/>
    <w:rsid w:val="00682FBA"/>
    <w:rsid w:val="00683370"/>
    <w:rsid w:val="00684C01"/>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52F"/>
    <w:rsid w:val="006C2931"/>
    <w:rsid w:val="006C3986"/>
    <w:rsid w:val="006C4152"/>
    <w:rsid w:val="006D41DD"/>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2E0E"/>
    <w:rsid w:val="00724E14"/>
    <w:rsid w:val="00725AD5"/>
    <w:rsid w:val="0072643B"/>
    <w:rsid w:val="00726DB5"/>
    <w:rsid w:val="00726EB4"/>
    <w:rsid w:val="00731945"/>
    <w:rsid w:val="007332DF"/>
    <w:rsid w:val="007363DE"/>
    <w:rsid w:val="0073698D"/>
    <w:rsid w:val="00736C0B"/>
    <w:rsid w:val="00744D93"/>
    <w:rsid w:val="00746531"/>
    <w:rsid w:val="00750F59"/>
    <w:rsid w:val="00751725"/>
    <w:rsid w:val="00752028"/>
    <w:rsid w:val="00752DA8"/>
    <w:rsid w:val="0075450A"/>
    <w:rsid w:val="0075717D"/>
    <w:rsid w:val="0076017E"/>
    <w:rsid w:val="00760DB6"/>
    <w:rsid w:val="0076361C"/>
    <w:rsid w:val="007661AE"/>
    <w:rsid w:val="00766A51"/>
    <w:rsid w:val="00771FFF"/>
    <w:rsid w:val="00772818"/>
    <w:rsid w:val="0077685D"/>
    <w:rsid w:val="0077788E"/>
    <w:rsid w:val="00784439"/>
    <w:rsid w:val="007858BE"/>
    <w:rsid w:val="00787E75"/>
    <w:rsid w:val="00797257"/>
    <w:rsid w:val="007A3157"/>
    <w:rsid w:val="007A387F"/>
    <w:rsid w:val="007A5CC1"/>
    <w:rsid w:val="007A6E20"/>
    <w:rsid w:val="007B10ED"/>
    <w:rsid w:val="007B2543"/>
    <w:rsid w:val="007B2B2E"/>
    <w:rsid w:val="007B3BFC"/>
    <w:rsid w:val="007B4B03"/>
    <w:rsid w:val="007B683E"/>
    <w:rsid w:val="007B79D4"/>
    <w:rsid w:val="007B7BFF"/>
    <w:rsid w:val="007C4F31"/>
    <w:rsid w:val="007C64A0"/>
    <w:rsid w:val="007E1179"/>
    <w:rsid w:val="007E5257"/>
    <w:rsid w:val="007E5391"/>
    <w:rsid w:val="007F4EF5"/>
    <w:rsid w:val="007F60E2"/>
    <w:rsid w:val="00801870"/>
    <w:rsid w:val="00804105"/>
    <w:rsid w:val="008066E2"/>
    <w:rsid w:val="00806D94"/>
    <w:rsid w:val="00807AD8"/>
    <w:rsid w:val="00811800"/>
    <w:rsid w:val="00812E1C"/>
    <w:rsid w:val="00813CFF"/>
    <w:rsid w:val="008140C5"/>
    <w:rsid w:val="00814590"/>
    <w:rsid w:val="00814667"/>
    <w:rsid w:val="008148E2"/>
    <w:rsid w:val="008149E4"/>
    <w:rsid w:val="008156B7"/>
    <w:rsid w:val="00817D90"/>
    <w:rsid w:val="00822355"/>
    <w:rsid w:val="00822D89"/>
    <w:rsid w:val="0082332D"/>
    <w:rsid w:val="008235E3"/>
    <w:rsid w:val="0082402C"/>
    <w:rsid w:val="00825FF5"/>
    <w:rsid w:val="008262F1"/>
    <w:rsid w:val="00826363"/>
    <w:rsid w:val="00827C30"/>
    <w:rsid w:val="008311FA"/>
    <w:rsid w:val="008317EF"/>
    <w:rsid w:val="008360AE"/>
    <w:rsid w:val="00837BC2"/>
    <w:rsid w:val="00845BCC"/>
    <w:rsid w:val="0084774C"/>
    <w:rsid w:val="00851465"/>
    <w:rsid w:val="008514B8"/>
    <w:rsid w:val="00852ED8"/>
    <w:rsid w:val="0085330A"/>
    <w:rsid w:val="008550CA"/>
    <w:rsid w:val="0085533A"/>
    <w:rsid w:val="00855543"/>
    <w:rsid w:val="0085738D"/>
    <w:rsid w:val="00862395"/>
    <w:rsid w:val="00864D80"/>
    <w:rsid w:val="00864DD3"/>
    <w:rsid w:val="008708D6"/>
    <w:rsid w:val="00874608"/>
    <w:rsid w:val="008760D0"/>
    <w:rsid w:val="00881317"/>
    <w:rsid w:val="00883C9D"/>
    <w:rsid w:val="008843EE"/>
    <w:rsid w:val="008857FE"/>
    <w:rsid w:val="00886BDA"/>
    <w:rsid w:val="0089192E"/>
    <w:rsid w:val="00892CA4"/>
    <w:rsid w:val="00896477"/>
    <w:rsid w:val="00896BD6"/>
    <w:rsid w:val="00896F5A"/>
    <w:rsid w:val="008A2169"/>
    <w:rsid w:val="008A27C8"/>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5770"/>
    <w:rsid w:val="008E5B7A"/>
    <w:rsid w:val="008E7527"/>
    <w:rsid w:val="008E78CF"/>
    <w:rsid w:val="008F2AD6"/>
    <w:rsid w:val="008F44F1"/>
    <w:rsid w:val="008F4BA8"/>
    <w:rsid w:val="008F5C07"/>
    <w:rsid w:val="008F687C"/>
    <w:rsid w:val="008F696D"/>
    <w:rsid w:val="008F7777"/>
    <w:rsid w:val="00901CF5"/>
    <w:rsid w:val="00901F53"/>
    <w:rsid w:val="00904AD2"/>
    <w:rsid w:val="00905420"/>
    <w:rsid w:val="009061ED"/>
    <w:rsid w:val="00906431"/>
    <w:rsid w:val="009115AF"/>
    <w:rsid w:val="00913276"/>
    <w:rsid w:val="00914D9E"/>
    <w:rsid w:val="009221DF"/>
    <w:rsid w:val="009224FD"/>
    <w:rsid w:val="009309C9"/>
    <w:rsid w:val="0093296C"/>
    <w:rsid w:val="00935CC7"/>
    <w:rsid w:val="0094002F"/>
    <w:rsid w:val="0094129D"/>
    <w:rsid w:val="00941BB7"/>
    <w:rsid w:val="00944760"/>
    <w:rsid w:val="00946A91"/>
    <w:rsid w:val="00946AE5"/>
    <w:rsid w:val="00950865"/>
    <w:rsid w:val="00951BAD"/>
    <w:rsid w:val="0095223D"/>
    <w:rsid w:val="00952558"/>
    <w:rsid w:val="009526E4"/>
    <w:rsid w:val="00953AA1"/>
    <w:rsid w:val="00954B44"/>
    <w:rsid w:val="009644B8"/>
    <w:rsid w:val="0096732C"/>
    <w:rsid w:val="009703B6"/>
    <w:rsid w:val="00971A4C"/>
    <w:rsid w:val="00975EB5"/>
    <w:rsid w:val="00983979"/>
    <w:rsid w:val="00983DC2"/>
    <w:rsid w:val="00983DF0"/>
    <w:rsid w:val="0099742A"/>
    <w:rsid w:val="00997840"/>
    <w:rsid w:val="009A0446"/>
    <w:rsid w:val="009A062C"/>
    <w:rsid w:val="009A48AF"/>
    <w:rsid w:val="009A522D"/>
    <w:rsid w:val="009B0C68"/>
    <w:rsid w:val="009B345E"/>
    <w:rsid w:val="009B3F77"/>
    <w:rsid w:val="009B5132"/>
    <w:rsid w:val="009B5E18"/>
    <w:rsid w:val="009C166A"/>
    <w:rsid w:val="009C2059"/>
    <w:rsid w:val="009C6FFB"/>
    <w:rsid w:val="009C7EF5"/>
    <w:rsid w:val="009D0C93"/>
    <w:rsid w:val="009D1359"/>
    <w:rsid w:val="009D2FAC"/>
    <w:rsid w:val="009E093C"/>
    <w:rsid w:val="009E1311"/>
    <w:rsid w:val="009E151E"/>
    <w:rsid w:val="009E15AD"/>
    <w:rsid w:val="009E2290"/>
    <w:rsid w:val="009E3ACF"/>
    <w:rsid w:val="009E5DB6"/>
    <w:rsid w:val="009F777E"/>
    <w:rsid w:val="009F7F3D"/>
    <w:rsid w:val="009F7F52"/>
    <w:rsid w:val="00A0202C"/>
    <w:rsid w:val="00A0227E"/>
    <w:rsid w:val="00A05484"/>
    <w:rsid w:val="00A05C1E"/>
    <w:rsid w:val="00A0603F"/>
    <w:rsid w:val="00A112E6"/>
    <w:rsid w:val="00A14966"/>
    <w:rsid w:val="00A15CAB"/>
    <w:rsid w:val="00A15F3A"/>
    <w:rsid w:val="00A16D26"/>
    <w:rsid w:val="00A16E8F"/>
    <w:rsid w:val="00A1748F"/>
    <w:rsid w:val="00A17CCB"/>
    <w:rsid w:val="00A201DE"/>
    <w:rsid w:val="00A211A9"/>
    <w:rsid w:val="00A2422A"/>
    <w:rsid w:val="00A25265"/>
    <w:rsid w:val="00A26FC8"/>
    <w:rsid w:val="00A303A1"/>
    <w:rsid w:val="00A3665F"/>
    <w:rsid w:val="00A42386"/>
    <w:rsid w:val="00A4349C"/>
    <w:rsid w:val="00A50751"/>
    <w:rsid w:val="00A50E72"/>
    <w:rsid w:val="00A54B81"/>
    <w:rsid w:val="00A54BE7"/>
    <w:rsid w:val="00A55E69"/>
    <w:rsid w:val="00A564EB"/>
    <w:rsid w:val="00A641FF"/>
    <w:rsid w:val="00A6500A"/>
    <w:rsid w:val="00A65333"/>
    <w:rsid w:val="00A6719E"/>
    <w:rsid w:val="00A739F1"/>
    <w:rsid w:val="00A758DE"/>
    <w:rsid w:val="00A8189A"/>
    <w:rsid w:val="00A81C2E"/>
    <w:rsid w:val="00A81EC4"/>
    <w:rsid w:val="00A83B8E"/>
    <w:rsid w:val="00A8478F"/>
    <w:rsid w:val="00A858C4"/>
    <w:rsid w:val="00A911A1"/>
    <w:rsid w:val="00A9141E"/>
    <w:rsid w:val="00A9341B"/>
    <w:rsid w:val="00A974CA"/>
    <w:rsid w:val="00A97E12"/>
    <w:rsid w:val="00AA2735"/>
    <w:rsid w:val="00AA2CD5"/>
    <w:rsid w:val="00AA3792"/>
    <w:rsid w:val="00AA4F6C"/>
    <w:rsid w:val="00AB0518"/>
    <w:rsid w:val="00AB16AE"/>
    <w:rsid w:val="00AB2F01"/>
    <w:rsid w:val="00AB392A"/>
    <w:rsid w:val="00AB5801"/>
    <w:rsid w:val="00AB5A64"/>
    <w:rsid w:val="00AB63F0"/>
    <w:rsid w:val="00AB71A5"/>
    <w:rsid w:val="00AB76C6"/>
    <w:rsid w:val="00AB79E9"/>
    <w:rsid w:val="00AC5567"/>
    <w:rsid w:val="00AC6E5E"/>
    <w:rsid w:val="00AD04F4"/>
    <w:rsid w:val="00AD576C"/>
    <w:rsid w:val="00AD670F"/>
    <w:rsid w:val="00AD6C71"/>
    <w:rsid w:val="00AE1E4B"/>
    <w:rsid w:val="00AE1E54"/>
    <w:rsid w:val="00AE2AFD"/>
    <w:rsid w:val="00AE4372"/>
    <w:rsid w:val="00AE478A"/>
    <w:rsid w:val="00AF0C8D"/>
    <w:rsid w:val="00AF61D1"/>
    <w:rsid w:val="00AF65EF"/>
    <w:rsid w:val="00B00778"/>
    <w:rsid w:val="00B04E8C"/>
    <w:rsid w:val="00B050C0"/>
    <w:rsid w:val="00B05642"/>
    <w:rsid w:val="00B06097"/>
    <w:rsid w:val="00B10045"/>
    <w:rsid w:val="00B100DF"/>
    <w:rsid w:val="00B10CAE"/>
    <w:rsid w:val="00B12190"/>
    <w:rsid w:val="00B1294B"/>
    <w:rsid w:val="00B137C3"/>
    <w:rsid w:val="00B171BB"/>
    <w:rsid w:val="00B2247A"/>
    <w:rsid w:val="00B224C2"/>
    <w:rsid w:val="00B2271B"/>
    <w:rsid w:val="00B2604B"/>
    <w:rsid w:val="00B2738E"/>
    <w:rsid w:val="00B3427F"/>
    <w:rsid w:val="00B36551"/>
    <w:rsid w:val="00B36E9E"/>
    <w:rsid w:val="00B40DB5"/>
    <w:rsid w:val="00B40E38"/>
    <w:rsid w:val="00B45C9E"/>
    <w:rsid w:val="00B51ACE"/>
    <w:rsid w:val="00B619AA"/>
    <w:rsid w:val="00B623D7"/>
    <w:rsid w:val="00B64559"/>
    <w:rsid w:val="00B66E7A"/>
    <w:rsid w:val="00B67052"/>
    <w:rsid w:val="00B71BD3"/>
    <w:rsid w:val="00B72BB8"/>
    <w:rsid w:val="00B8096A"/>
    <w:rsid w:val="00B82A54"/>
    <w:rsid w:val="00B91564"/>
    <w:rsid w:val="00B91C1D"/>
    <w:rsid w:val="00B9206A"/>
    <w:rsid w:val="00B9279E"/>
    <w:rsid w:val="00BA067E"/>
    <w:rsid w:val="00BA1CFA"/>
    <w:rsid w:val="00BA2B08"/>
    <w:rsid w:val="00BA4284"/>
    <w:rsid w:val="00BA73D9"/>
    <w:rsid w:val="00BB075F"/>
    <w:rsid w:val="00BB0BCF"/>
    <w:rsid w:val="00BC1029"/>
    <w:rsid w:val="00BC2720"/>
    <w:rsid w:val="00BC4728"/>
    <w:rsid w:val="00BC4BF4"/>
    <w:rsid w:val="00BC60B3"/>
    <w:rsid w:val="00BD2253"/>
    <w:rsid w:val="00BD7496"/>
    <w:rsid w:val="00BE042D"/>
    <w:rsid w:val="00BE052E"/>
    <w:rsid w:val="00BE4802"/>
    <w:rsid w:val="00BE7212"/>
    <w:rsid w:val="00BF0D7C"/>
    <w:rsid w:val="00BF331F"/>
    <w:rsid w:val="00C053A4"/>
    <w:rsid w:val="00C05CC6"/>
    <w:rsid w:val="00C068C7"/>
    <w:rsid w:val="00C073C2"/>
    <w:rsid w:val="00C07417"/>
    <w:rsid w:val="00C13C12"/>
    <w:rsid w:val="00C160F4"/>
    <w:rsid w:val="00C20F99"/>
    <w:rsid w:val="00C2120D"/>
    <w:rsid w:val="00C215E7"/>
    <w:rsid w:val="00C233E9"/>
    <w:rsid w:val="00C24BEF"/>
    <w:rsid w:val="00C2605C"/>
    <w:rsid w:val="00C26C5B"/>
    <w:rsid w:val="00C2711B"/>
    <w:rsid w:val="00C303B4"/>
    <w:rsid w:val="00C40EBC"/>
    <w:rsid w:val="00C41265"/>
    <w:rsid w:val="00C4202E"/>
    <w:rsid w:val="00C42ACA"/>
    <w:rsid w:val="00C51308"/>
    <w:rsid w:val="00C51F78"/>
    <w:rsid w:val="00C539F8"/>
    <w:rsid w:val="00C53A47"/>
    <w:rsid w:val="00C5726C"/>
    <w:rsid w:val="00C57BB9"/>
    <w:rsid w:val="00C606F6"/>
    <w:rsid w:val="00C6082E"/>
    <w:rsid w:val="00C61699"/>
    <w:rsid w:val="00C62B02"/>
    <w:rsid w:val="00C64908"/>
    <w:rsid w:val="00C705B5"/>
    <w:rsid w:val="00C7093C"/>
    <w:rsid w:val="00C738BD"/>
    <w:rsid w:val="00C75D40"/>
    <w:rsid w:val="00C76291"/>
    <w:rsid w:val="00C76B83"/>
    <w:rsid w:val="00C83627"/>
    <w:rsid w:val="00C85E44"/>
    <w:rsid w:val="00C919A6"/>
    <w:rsid w:val="00C920CB"/>
    <w:rsid w:val="00C92F94"/>
    <w:rsid w:val="00C95D81"/>
    <w:rsid w:val="00C960AA"/>
    <w:rsid w:val="00C97AAB"/>
    <w:rsid w:val="00CA1087"/>
    <w:rsid w:val="00CA121E"/>
    <w:rsid w:val="00CA501D"/>
    <w:rsid w:val="00CA55C4"/>
    <w:rsid w:val="00CA6AD4"/>
    <w:rsid w:val="00CA71E3"/>
    <w:rsid w:val="00CA774A"/>
    <w:rsid w:val="00CB1789"/>
    <w:rsid w:val="00CB1CB2"/>
    <w:rsid w:val="00CB2557"/>
    <w:rsid w:val="00CB44C4"/>
    <w:rsid w:val="00CB47FE"/>
    <w:rsid w:val="00CB4D35"/>
    <w:rsid w:val="00CB6703"/>
    <w:rsid w:val="00CC0030"/>
    <w:rsid w:val="00CC39B1"/>
    <w:rsid w:val="00CC3D90"/>
    <w:rsid w:val="00CD26BD"/>
    <w:rsid w:val="00CD526B"/>
    <w:rsid w:val="00CD5B93"/>
    <w:rsid w:val="00CD7039"/>
    <w:rsid w:val="00CE3B32"/>
    <w:rsid w:val="00CE4A24"/>
    <w:rsid w:val="00CE613B"/>
    <w:rsid w:val="00CE65CD"/>
    <w:rsid w:val="00CE7403"/>
    <w:rsid w:val="00CF0826"/>
    <w:rsid w:val="00CF0D8A"/>
    <w:rsid w:val="00CF118D"/>
    <w:rsid w:val="00CF267F"/>
    <w:rsid w:val="00CF7DA0"/>
    <w:rsid w:val="00D0016C"/>
    <w:rsid w:val="00D0312C"/>
    <w:rsid w:val="00D04614"/>
    <w:rsid w:val="00D0574F"/>
    <w:rsid w:val="00D1723F"/>
    <w:rsid w:val="00D26B64"/>
    <w:rsid w:val="00D30AA4"/>
    <w:rsid w:val="00D30CE5"/>
    <w:rsid w:val="00D3674A"/>
    <w:rsid w:val="00D40383"/>
    <w:rsid w:val="00D4085D"/>
    <w:rsid w:val="00D418BA"/>
    <w:rsid w:val="00D428F4"/>
    <w:rsid w:val="00D434F3"/>
    <w:rsid w:val="00D43700"/>
    <w:rsid w:val="00D46E83"/>
    <w:rsid w:val="00D504F9"/>
    <w:rsid w:val="00D51386"/>
    <w:rsid w:val="00D52914"/>
    <w:rsid w:val="00D54039"/>
    <w:rsid w:val="00D5485B"/>
    <w:rsid w:val="00D57346"/>
    <w:rsid w:val="00D61911"/>
    <w:rsid w:val="00D62258"/>
    <w:rsid w:val="00D625A7"/>
    <w:rsid w:val="00D62695"/>
    <w:rsid w:val="00D677F9"/>
    <w:rsid w:val="00D67D8D"/>
    <w:rsid w:val="00D702F1"/>
    <w:rsid w:val="00D729FA"/>
    <w:rsid w:val="00D7336A"/>
    <w:rsid w:val="00D73591"/>
    <w:rsid w:val="00D74002"/>
    <w:rsid w:val="00D802FC"/>
    <w:rsid w:val="00D84ADB"/>
    <w:rsid w:val="00D8532B"/>
    <w:rsid w:val="00D85463"/>
    <w:rsid w:val="00D973A5"/>
    <w:rsid w:val="00DA1D06"/>
    <w:rsid w:val="00DA205D"/>
    <w:rsid w:val="00DA7233"/>
    <w:rsid w:val="00DB3E8F"/>
    <w:rsid w:val="00DC4D62"/>
    <w:rsid w:val="00DC50E5"/>
    <w:rsid w:val="00DC71CF"/>
    <w:rsid w:val="00DC76C7"/>
    <w:rsid w:val="00DE311A"/>
    <w:rsid w:val="00DE36EB"/>
    <w:rsid w:val="00DE4A6C"/>
    <w:rsid w:val="00DE64C1"/>
    <w:rsid w:val="00DF5BAB"/>
    <w:rsid w:val="00E053F8"/>
    <w:rsid w:val="00E10555"/>
    <w:rsid w:val="00E11087"/>
    <w:rsid w:val="00E14840"/>
    <w:rsid w:val="00E16E0A"/>
    <w:rsid w:val="00E204BB"/>
    <w:rsid w:val="00E220BC"/>
    <w:rsid w:val="00E22E9B"/>
    <w:rsid w:val="00E26E12"/>
    <w:rsid w:val="00E30B47"/>
    <w:rsid w:val="00E31096"/>
    <w:rsid w:val="00E327FE"/>
    <w:rsid w:val="00E33938"/>
    <w:rsid w:val="00E33F03"/>
    <w:rsid w:val="00E3471B"/>
    <w:rsid w:val="00E354D8"/>
    <w:rsid w:val="00E3658A"/>
    <w:rsid w:val="00E3706A"/>
    <w:rsid w:val="00E3738B"/>
    <w:rsid w:val="00E37446"/>
    <w:rsid w:val="00E37730"/>
    <w:rsid w:val="00E4099E"/>
    <w:rsid w:val="00E456AA"/>
    <w:rsid w:val="00E5201F"/>
    <w:rsid w:val="00E54E1F"/>
    <w:rsid w:val="00E579FF"/>
    <w:rsid w:val="00E6698B"/>
    <w:rsid w:val="00E7195E"/>
    <w:rsid w:val="00E72F4A"/>
    <w:rsid w:val="00E73986"/>
    <w:rsid w:val="00E7467D"/>
    <w:rsid w:val="00E8160C"/>
    <w:rsid w:val="00E82115"/>
    <w:rsid w:val="00E832FF"/>
    <w:rsid w:val="00E83448"/>
    <w:rsid w:val="00E838D3"/>
    <w:rsid w:val="00E90BF8"/>
    <w:rsid w:val="00E92C8A"/>
    <w:rsid w:val="00E9346D"/>
    <w:rsid w:val="00E95FA4"/>
    <w:rsid w:val="00EA1CCE"/>
    <w:rsid w:val="00EA21BF"/>
    <w:rsid w:val="00EA35F1"/>
    <w:rsid w:val="00EA594C"/>
    <w:rsid w:val="00EA7329"/>
    <w:rsid w:val="00EA7A1C"/>
    <w:rsid w:val="00EB2A04"/>
    <w:rsid w:val="00EB5170"/>
    <w:rsid w:val="00EB77B0"/>
    <w:rsid w:val="00EB7EDA"/>
    <w:rsid w:val="00EC3E78"/>
    <w:rsid w:val="00EC5206"/>
    <w:rsid w:val="00EC5540"/>
    <w:rsid w:val="00EC5D22"/>
    <w:rsid w:val="00ED0114"/>
    <w:rsid w:val="00ED0175"/>
    <w:rsid w:val="00ED0AC8"/>
    <w:rsid w:val="00ED2AC4"/>
    <w:rsid w:val="00ED4036"/>
    <w:rsid w:val="00ED57AC"/>
    <w:rsid w:val="00ED5C59"/>
    <w:rsid w:val="00ED7F49"/>
    <w:rsid w:val="00EE041B"/>
    <w:rsid w:val="00EE57AC"/>
    <w:rsid w:val="00EE74C4"/>
    <w:rsid w:val="00EE7D29"/>
    <w:rsid w:val="00EF20D1"/>
    <w:rsid w:val="00EF33DE"/>
    <w:rsid w:val="00EF47D8"/>
    <w:rsid w:val="00EF62D3"/>
    <w:rsid w:val="00EF6486"/>
    <w:rsid w:val="00EF72D4"/>
    <w:rsid w:val="00F03710"/>
    <w:rsid w:val="00F0758E"/>
    <w:rsid w:val="00F11A23"/>
    <w:rsid w:val="00F11DDE"/>
    <w:rsid w:val="00F120E6"/>
    <w:rsid w:val="00F12ACD"/>
    <w:rsid w:val="00F15AE2"/>
    <w:rsid w:val="00F16589"/>
    <w:rsid w:val="00F2068C"/>
    <w:rsid w:val="00F234AB"/>
    <w:rsid w:val="00F24478"/>
    <w:rsid w:val="00F31DE0"/>
    <w:rsid w:val="00F3245D"/>
    <w:rsid w:val="00F34E70"/>
    <w:rsid w:val="00F43516"/>
    <w:rsid w:val="00F4377A"/>
    <w:rsid w:val="00F46237"/>
    <w:rsid w:val="00F47765"/>
    <w:rsid w:val="00F501C6"/>
    <w:rsid w:val="00F57AEF"/>
    <w:rsid w:val="00F630DB"/>
    <w:rsid w:val="00F630EF"/>
    <w:rsid w:val="00F6403E"/>
    <w:rsid w:val="00F65EBC"/>
    <w:rsid w:val="00F71346"/>
    <w:rsid w:val="00F715F2"/>
    <w:rsid w:val="00F730C7"/>
    <w:rsid w:val="00F76C87"/>
    <w:rsid w:val="00F8684A"/>
    <w:rsid w:val="00F87843"/>
    <w:rsid w:val="00F94C3D"/>
    <w:rsid w:val="00F9560A"/>
    <w:rsid w:val="00F95D26"/>
    <w:rsid w:val="00F979C5"/>
    <w:rsid w:val="00F97AC2"/>
    <w:rsid w:val="00FA0CBF"/>
    <w:rsid w:val="00FA0E45"/>
    <w:rsid w:val="00FA2EC0"/>
    <w:rsid w:val="00FA4E87"/>
    <w:rsid w:val="00FA63E4"/>
    <w:rsid w:val="00FA64FD"/>
    <w:rsid w:val="00FA6A1D"/>
    <w:rsid w:val="00FB2617"/>
    <w:rsid w:val="00FB4200"/>
    <w:rsid w:val="00FB5750"/>
    <w:rsid w:val="00FB5BE9"/>
    <w:rsid w:val="00FB6A2E"/>
    <w:rsid w:val="00FC055C"/>
    <w:rsid w:val="00FC1414"/>
    <w:rsid w:val="00FD4437"/>
    <w:rsid w:val="00FD4EDA"/>
    <w:rsid w:val="00FE26A5"/>
    <w:rsid w:val="00FE347C"/>
    <w:rsid w:val="00FE4A16"/>
    <w:rsid w:val="00FF5029"/>
    <w:rsid w:val="00FF58EA"/>
    <w:rsid w:val="00FF678A"/>
    <w:rsid w:val="00FF7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EBFEDF"/>
  <w14:defaultImageDpi w14:val="0"/>
  <w15:docId w15:val="{266BEBA1-B0C8-44B1-A47A-F212C89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71"/>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Text10">
    <w:name w:val="Body Text1_0"/>
    <w:basedOn w:val="Normal"/>
    <w:uiPriority w:val="99"/>
    <w:rsid w:val="00CE65CD"/>
    <w:pPr>
      <w:spacing w:before="240" w:after="0" w:line="240" w:lineRule="auto"/>
      <w:jc w:val="left"/>
    </w:pPr>
    <w:rPr>
      <w:rFonts w:ascii="Arial" w:hAnsi="Arial" w:cs="Arial"/>
      <w:color w:val="auto"/>
      <w:sz w:val="24"/>
      <w:szCs w:val="24"/>
    </w:rPr>
  </w:style>
  <w:style w:type="paragraph" w:styleId="NormalWeb">
    <w:name w:val="Normal (Web)"/>
    <w:basedOn w:val="Normal"/>
    <w:uiPriority w:val="99"/>
    <w:semiHidden/>
    <w:unhideWhenUsed/>
    <w:rsid w:val="00CA1087"/>
    <w:pPr>
      <w:spacing w:before="100" w:beforeAutospacing="1" w:after="100" w:afterAutospacing="1" w:line="240" w:lineRule="auto"/>
      <w:jc w:val="left"/>
    </w:pPr>
    <w:rPr>
      <w:rFonts w:ascii="Times New Roman" w:eastAsiaTheme="minorEastAsia" w:hAnsi="Times New Roman"/>
      <w:color w:val="auto"/>
      <w:sz w:val="24"/>
      <w:szCs w:val="24"/>
    </w:rPr>
  </w:style>
  <w:style w:type="paragraph" w:styleId="Revision">
    <w:name w:val="Revision"/>
    <w:hidden/>
    <w:uiPriority w:val="99"/>
    <w:semiHidden/>
    <w:rsid w:val="00B3427F"/>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835">
      <w:bodyDiv w:val="1"/>
      <w:marLeft w:val="0"/>
      <w:marRight w:val="0"/>
      <w:marTop w:val="0"/>
      <w:marBottom w:val="0"/>
      <w:divBdr>
        <w:top w:val="none" w:sz="0" w:space="0" w:color="auto"/>
        <w:left w:val="none" w:sz="0" w:space="0" w:color="auto"/>
        <w:bottom w:val="none" w:sz="0" w:space="0" w:color="auto"/>
        <w:right w:val="none" w:sz="0" w:space="0" w:color="auto"/>
      </w:divBdr>
    </w:div>
    <w:div w:id="196551746">
      <w:bodyDiv w:val="1"/>
      <w:marLeft w:val="0"/>
      <w:marRight w:val="0"/>
      <w:marTop w:val="0"/>
      <w:marBottom w:val="0"/>
      <w:divBdr>
        <w:top w:val="none" w:sz="0" w:space="0" w:color="auto"/>
        <w:left w:val="none" w:sz="0" w:space="0" w:color="auto"/>
        <w:bottom w:val="none" w:sz="0" w:space="0" w:color="auto"/>
        <w:right w:val="none" w:sz="0" w:space="0" w:color="auto"/>
      </w:divBdr>
    </w:div>
    <w:div w:id="612130739">
      <w:bodyDiv w:val="1"/>
      <w:marLeft w:val="0"/>
      <w:marRight w:val="0"/>
      <w:marTop w:val="0"/>
      <w:marBottom w:val="0"/>
      <w:divBdr>
        <w:top w:val="none" w:sz="0" w:space="0" w:color="auto"/>
        <w:left w:val="none" w:sz="0" w:space="0" w:color="auto"/>
        <w:bottom w:val="none" w:sz="0" w:space="0" w:color="auto"/>
        <w:right w:val="none" w:sz="0" w:space="0" w:color="auto"/>
      </w:divBdr>
    </w:div>
    <w:div w:id="940993176">
      <w:bodyDiv w:val="1"/>
      <w:marLeft w:val="0"/>
      <w:marRight w:val="0"/>
      <w:marTop w:val="0"/>
      <w:marBottom w:val="0"/>
      <w:divBdr>
        <w:top w:val="none" w:sz="0" w:space="0" w:color="auto"/>
        <w:left w:val="none" w:sz="0" w:space="0" w:color="auto"/>
        <w:bottom w:val="none" w:sz="0" w:space="0" w:color="auto"/>
        <w:right w:val="none" w:sz="0" w:space="0" w:color="auto"/>
      </w:divBdr>
    </w:div>
    <w:div w:id="1029335275">
      <w:bodyDiv w:val="1"/>
      <w:marLeft w:val="0"/>
      <w:marRight w:val="0"/>
      <w:marTop w:val="0"/>
      <w:marBottom w:val="0"/>
      <w:divBdr>
        <w:top w:val="none" w:sz="0" w:space="0" w:color="auto"/>
        <w:left w:val="none" w:sz="0" w:space="0" w:color="auto"/>
        <w:bottom w:val="none" w:sz="0" w:space="0" w:color="auto"/>
        <w:right w:val="none" w:sz="0" w:space="0" w:color="auto"/>
      </w:divBdr>
    </w:div>
    <w:div w:id="1280331294">
      <w:bodyDiv w:val="1"/>
      <w:marLeft w:val="0"/>
      <w:marRight w:val="0"/>
      <w:marTop w:val="0"/>
      <w:marBottom w:val="0"/>
      <w:divBdr>
        <w:top w:val="none" w:sz="0" w:space="0" w:color="auto"/>
        <w:left w:val="none" w:sz="0" w:space="0" w:color="auto"/>
        <w:bottom w:val="none" w:sz="0" w:space="0" w:color="auto"/>
        <w:right w:val="none" w:sz="0" w:space="0" w:color="auto"/>
      </w:divBdr>
    </w:div>
    <w:div w:id="1857424614">
      <w:marLeft w:val="0"/>
      <w:marRight w:val="0"/>
      <w:marTop w:val="0"/>
      <w:marBottom w:val="0"/>
      <w:divBdr>
        <w:top w:val="none" w:sz="0" w:space="0" w:color="auto"/>
        <w:left w:val="none" w:sz="0" w:space="0" w:color="auto"/>
        <w:bottom w:val="none" w:sz="0" w:space="0" w:color="auto"/>
        <w:right w:val="none" w:sz="0" w:space="0" w:color="auto"/>
      </w:divBdr>
    </w:div>
    <w:div w:id="1857424615">
      <w:marLeft w:val="0"/>
      <w:marRight w:val="0"/>
      <w:marTop w:val="0"/>
      <w:marBottom w:val="0"/>
      <w:divBdr>
        <w:top w:val="none" w:sz="0" w:space="0" w:color="auto"/>
        <w:left w:val="none" w:sz="0" w:space="0" w:color="auto"/>
        <w:bottom w:val="none" w:sz="0" w:space="0" w:color="auto"/>
        <w:right w:val="none" w:sz="0" w:space="0" w:color="auto"/>
      </w:divBdr>
    </w:div>
    <w:div w:id="1857424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892" ma:contentTypeDescription=" " ma:contentTypeScope="" ma:versionID="da5e6db8eb2ef6ca725db12f9f5dec3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2020FG-64-74062</_dlc_DocId>
    <_dlc_DocIdUrl xmlns="0f563589-9cf9-4143-b1eb-fb0534803d38">
      <Url>http://tweb/sites/fg/csrd/_layouts/15/DocIdRedir.aspx?ID=2020FG-64-74062</Url>
      <Description>2020FG-64-74062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3F83578D-5121-4152-BBF0-CC3D050931E1}"/>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79FA96A3-591D-4C12-9E13-3DC9F7D7723B}">
  <ds:schemaRefs>
    <ds:schemaRef ds:uri="office.server.policy"/>
  </ds:schemaRefs>
</ds:datastoreItem>
</file>

<file path=customXml/itemProps5.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6.xml><?xml version="1.0" encoding="utf-8"?>
<ds:datastoreItem xmlns:ds="http://schemas.openxmlformats.org/officeDocument/2006/customXml" ds:itemID="{BC1AB595-AB35-4E9E-A7CD-40AFD3EE0C7D}">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7.xml><?xml version="1.0" encoding="utf-8"?>
<ds:datastoreItem xmlns:ds="http://schemas.openxmlformats.org/officeDocument/2006/customXml" ds:itemID="{E6E20B0D-3A5F-4466-8A34-449187CA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21</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Veronica O'BRIEN</cp:lastModifiedBy>
  <cp:revision>5</cp:revision>
  <cp:lastPrinted>2019-01-07T06:15:00Z</cp:lastPrinted>
  <dcterms:created xsi:type="dcterms:W3CDTF">2019-01-07T03:39:00Z</dcterms:created>
  <dcterms:modified xsi:type="dcterms:W3CDTF">2019-01-09T09:12:00Z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325264bb-14af-40bc-8979-730b5df6b502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{325264bb-14af-40bc-8979-730b5df6b502}</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R0002261788</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2020-05-06T23:50:44.4596623+10:00</vt:lpwstr>
  </property>
  <property fmtid="{D5CDD505-2E9C-101B-9397-08002B2CF9AE}" pid="15" name="_NewReviewCycle">
    <vt:lpwstr/>
  </property>
</Properties>
</file>