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46" w:type="pct"/>
        <w:tblLook w:val="01E0" w:firstRow="1" w:lastRow="1" w:firstColumn="1" w:lastColumn="1" w:noHBand="0" w:noVBand="0"/>
      </w:tblPr>
      <w:tblGrid>
        <w:gridCol w:w="1535"/>
        <w:gridCol w:w="8354"/>
      </w:tblGrid>
      <w:tr w:rsidR="00814667" w14:paraId="2D0B2397" w14:textId="77777777" w:rsidTr="00AA7C0F">
        <w:tc>
          <w:tcPr>
            <w:tcW w:w="5000" w:type="pct"/>
            <w:gridSpan w:val="2"/>
          </w:tcPr>
          <w:p w14:paraId="56D463F2" w14:textId="77777777" w:rsidR="00814667" w:rsidRDefault="00BA4284" w:rsidP="00BB0393">
            <w:pPr>
              <w:pStyle w:val="CoverTitleMain"/>
            </w:pPr>
            <w:r>
              <w:t>Project AGreement</w:t>
            </w:r>
            <w:r w:rsidR="00292587">
              <w:t xml:space="preserve"> FOR </w:t>
            </w:r>
            <w:r w:rsidR="005D22B2">
              <w:t>queensland fruit fly</w:t>
            </w:r>
            <w:r w:rsidR="006347B2">
              <w:t xml:space="preserve"> response</w:t>
            </w:r>
            <w:r w:rsidR="005D22B2">
              <w:t xml:space="preserve"> in tasmania</w:t>
            </w:r>
          </w:p>
        </w:tc>
      </w:tr>
      <w:tr w:rsidR="00814667" w14:paraId="13B47385" w14:textId="77777777" w:rsidTr="00AA7C0F">
        <w:tc>
          <w:tcPr>
            <w:tcW w:w="776" w:type="pct"/>
          </w:tcPr>
          <w:p w14:paraId="1F61282E" w14:textId="77777777" w:rsidR="00814667" w:rsidRDefault="00814667">
            <w:pPr>
              <w:pStyle w:val="SingleParagraph"/>
              <w:tabs>
                <w:tab w:val="num" w:pos="1134"/>
              </w:tabs>
              <w:spacing w:after="240"/>
              <w:ind w:left="1134" w:hanging="567"/>
            </w:pPr>
          </w:p>
        </w:tc>
        <w:tc>
          <w:tcPr>
            <w:tcW w:w="4224" w:type="pct"/>
          </w:tcPr>
          <w:p w14:paraId="6D4F3BC2" w14:textId="77777777" w:rsidR="00814667" w:rsidRDefault="00814667">
            <w:pPr>
              <w:pStyle w:val="SingleParagraph"/>
              <w:tabs>
                <w:tab w:val="num" w:pos="1134"/>
              </w:tabs>
              <w:spacing w:after="240"/>
              <w:ind w:left="1134" w:hanging="567"/>
            </w:pPr>
          </w:p>
        </w:tc>
      </w:tr>
      <w:tr w:rsidR="00814667" w14:paraId="35A35175" w14:textId="77777777" w:rsidTr="00AA7C0F">
        <w:tc>
          <w:tcPr>
            <w:tcW w:w="776" w:type="pct"/>
          </w:tcPr>
          <w:p w14:paraId="0CC07A7B" w14:textId="77777777" w:rsidR="00814667" w:rsidRDefault="00814667">
            <w:pPr>
              <w:pStyle w:val="SingleParagraph"/>
              <w:tabs>
                <w:tab w:val="num" w:pos="1134"/>
              </w:tabs>
              <w:spacing w:after="240"/>
              <w:ind w:left="1134" w:hanging="567"/>
            </w:pPr>
          </w:p>
        </w:tc>
        <w:tc>
          <w:tcPr>
            <w:tcW w:w="4224" w:type="pct"/>
          </w:tcPr>
          <w:p w14:paraId="4F2766E5" w14:textId="77777777" w:rsidR="00814667" w:rsidRPr="001E74D0" w:rsidRDefault="00814667">
            <w:pPr>
              <w:pStyle w:val="SingleParagraph"/>
              <w:tabs>
                <w:tab w:val="num" w:pos="1134"/>
              </w:tabs>
              <w:spacing w:after="240"/>
              <w:ind w:left="1134" w:hanging="567"/>
            </w:pPr>
          </w:p>
        </w:tc>
      </w:tr>
      <w:tr w:rsidR="00814667" w14:paraId="16BA1484" w14:textId="77777777" w:rsidTr="00AA7C0F">
        <w:tc>
          <w:tcPr>
            <w:tcW w:w="5000" w:type="pct"/>
            <w:gridSpan w:val="2"/>
          </w:tcPr>
          <w:p w14:paraId="5578CF6B" w14:textId="77777777" w:rsidR="00814667" w:rsidRDefault="00814667">
            <w:pPr>
              <w:pStyle w:val="AgreementHeading"/>
              <w:tabs>
                <w:tab w:val="clear" w:pos="1134"/>
              </w:tabs>
            </w:pPr>
            <w:r>
              <w:t>An agreement between</w:t>
            </w:r>
            <w:r w:rsidR="00697494">
              <w:t>:</w:t>
            </w:r>
          </w:p>
        </w:tc>
      </w:tr>
      <w:tr w:rsidR="00814667" w14:paraId="44B1AC53" w14:textId="77777777" w:rsidTr="00AA7C0F">
        <w:tc>
          <w:tcPr>
            <w:tcW w:w="776" w:type="pct"/>
          </w:tcPr>
          <w:p w14:paraId="7BB1BADB" w14:textId="77777777" w:rsidR="00814667" w:rsidRPr="001E74D0" w:rsidRDefault="00814667">
            <w:pPr>
              <w:pStyle w:val="AgreementHeading"/>
              <w:tabs>
                <w:tab w:val="clear" w:pos="1134"/>
              </w:tabs>
              <w:ind w:left="522"/>
            </w:pPr>
          </w:p>
        </w:tc>
        <w:tc>
          <w:tcPr>
            <w:tcW w:w="4224" w:type="pct"/>
          </w:tcPr>
          <w:p w14:paraId="6C5A5885" w14:textId="77777777" w:rsidR="00814667" w:rsidRDefault="00814667">
            <w:pPr>
              <w:pStyle w:val="AgreementParties"/>
            </w:pPr>
            <w:r>
              <w:t xml:space="preserve">the </w:t>
            </w:r>
            <w:r>
              <w:rPr>
                <w:rStyle w:val="Bold"/>
              </w:rPr>
              <w:t>Commonwealth of Australia</w:t>
            </w:r>
            <w:r w:rsidR="00697494">
              <w:rPr>
                <w:rStyle w:val="Bold"/>
              </w:rPr>
              <w:t>;</w:t>
            </w:r>
            <w:r>
              <w:t xml:space="preserve"> and</w:t>
            </w:r>
          </w:p>
          <w:p w14:paraId="6102D4FC" w14:textId="3606B65A" w:rsidR="00814667" w:rsidRPr="001E74D0" w:rsidRDefault="00BA677D" w:rsidP="00BA677D">
            <w:pPr>
              <w:pStyle w:val="AgreementParties"/>
            </w:pPr>
            <w:r>
              <w:rPr>
                <w:rStyle w:val="Bold"/>
              </w:rPr>
              <w:t>Tasmania.</w:t>
            </w:r>
          </w:p>
        </w:tc>
      </w:tr>
      <w:tr w:rsidR="00814667" w14:paraId="7DD97836" w14:textId="77777777" w:rsidTr="00AA7C0F">
        <w:tc>
          <w:tcPr>
            <w:tcW w:w="776" w:type="pct"/>
          </w:tcPr>
          <w:p w14:paraId="6F2CD1C1" w14:textId="77777777" w:rsidR="00814667" w:rsidRDefault="00814667">
            <w:pPr>
              <w:pStyle w:val="SingleParagraph"/>
              <w:tabs>
                <w:tab w:val="num" w:pos="1134"/>
              </w:tabs>
              <w:spacing w:after="240"/>
              <w:ind w:left="1134" w:hanging="567"/>
            </w:pPr>
          </w:p>
        </w:tc>
        <w:tc>
          <w:tcPr>
            <w:tcW w:w="4224" w:type="pct"/>
            <w:tcBorders>
              <w:left w:val="nil"/>
            </w:tcBorders>
          </w:tcPr>
          <w:p w14:paraId="2577BEA5" w14:textId="77777777" w:rsidR="00EB7EDA" w:rsidRPr="00C45607" w:rsidRDefault="00EB7EDA" w:rsidP="00BA677D">
            <w:pPr>
              <w:pStyle w:val="StatesList"/>
              <w:numPr>
                <w:ilvl w:val="0"/>
                <w:numId w:val="0"/>
              </w:numPr>
              <w:tabs>
                <w:tab w:val="clear" w:pos="1134"/>
                <w:tab w:val="num" w:pos="1701"/>
              </w:tabs>
            </w:pPr>
          </w:p>
        </w:tc>
      </w:tr>
      <w:tr w:rsidR="00814667" w14:paraId="7535A409" w14:textId="77777777" w:rsidTr="00AA7C0F">
        <w:tc>
          <w:tcPr>
            <w:tcW w:w="5000" w:type="pct"/>
            <w:gridSpan w:val="2"/>
          </w:tcPr>
          <w:p w14:paraId="1AE59945" w14:textId="77777777" w:rsidR="00814667" w:rsidRDefault="00814667" w:rsidP="00270749">
            <w:pPr>
              <w:pStyle w:val="SingleParagraph"/>
              <w:tabs>
                <w:tab w:val="num" w:pos="1134"/>
              </w:tabs>
              <w:spacing w:after="2760"/>
              <w:ind w:left="1134" w:hanging="567"/>
            </w:pPr>
          </w:p>
        </w:tc>
      </w:tr>
      <w:tr w:rsidR="00814667" w14:paraId="0BEE419B" w14:textId="77777777" w:rsidTr="00AA7C0F">
        <w:tc>
          <w:tcPr>
            <w:tcW w:w="5000" w:type="pct"/>
            <w:gridSpan w:val="2"/>
          </w:tcPr>
          <w:p w14:paraId="25E2E169" w14:textId="6762356F" w:rsidR="00814667" w:rsidRDefault="00771FFF" w:rsidP="004C57EB">
            <w:pPr>
              <w:pStyle w:val="Abstract"/>
            </w:pPr>
            <w:r>
              <w:t>The output</w:t>
            </w:r>
            <w:r w:rsidR="00FA73D5">
              <w:t>s</w:t>
            </w:r>
            <w:r>
              <w:t xml:space="preserve"> will be</w:t>
            </w:r>
            <w:r w:rsidR="00845BCC">
              <w:t xml:space="preserve"> </w:t>
            </w:r>
            <w:bookmarkStart w:id="0" w:name="OLE_LINK3"/>
            <w:bookmarkStart w:id="1" w:name="OLE_LINK4"/>
            <w:r w:rsidR="00270749">
              <w:t xml:space="preserve">the </w:t>
            </w:r>
            <w:r w:rsidR="00890F09" w:rsidRPr="005D22B2">
              <w:t xml:space="preserve">delivery of </w:t>
            </w:r>
            <w:r w:rsidR="00890F09" w:rsidRPr="006347B2">
              <w:t>eradication</w:t>
            </w:r>
            <w:r w:rsidR="00890F09">
              <w:t>, preparedness</w:t>
            </w:r>
            <w:r w:rsidR="00890F09" w:rsidRPr="006347B2">
              <w:t xml:space="preserve"> and management activities in response to the Queensland fruit fly outbreak in northern Tasmania</w:t>
            </w:r>
            <w:r w:rsidR="00367C8A" w:rsidRPr="005D22B2">
              <w:t>.</w:t>
            </w:r>
            <w:bookmarkEnd w:id="0"/>
            <w:bookmarkEnd w:id="1"/>
          </w:p>
        </w:tc>
      </w:tr>
    </w:tbl>
    <w:p w14:paraId="4E577D39" w14:textId="77777777" w:rsidR="00814667" w:rsidRDefault="00FF5029">
      <w:pPr>
        <w:pStyle w:val="Title"/>
        <w:pageBreakBefore/>
      </w:pPr>
      <w:r>
        <w:lastRenderedPageBreak/>
        <w:t xml:space="preserve">Project </w:t>
      </w:r>
      <w:r w:rsidR="00D7336A">
        <w:t>Agreement</w:t>
      </w:r>
      <w:r>
        <w:t xml:space="preserve"> for</w:t>
      </w:r>
      <w:r w:rsidR="00C7093C">
        <w:t xml:space="preserve"> </w:t>
      </w:r>
      <w:r w:rsidR="005D22B2">
        <w:t>Queensland Fruit Fly</w:t>
      </w:r>
      <w:r w:rsidR="006347B2">
        <w:t xml:space="preserve"> Response</w:t>
      </w:r>
      <w:r w:rsidR="005D22B2">
        <w:t xml:space="preserve"> in Tasmania</w:t>
      </w:r>
    </w:p>
    <w:p w14:paraId="0D6BCA1A" w14:textId="77777777" w:rsidR="004B2EF6" w:rsidRPr="004B2EF6"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7B350B7A" w14:textId="77777777" w:rsidR="00C960AA" w:rsidRPr="0096732C" w:rsidRDefault="00C960AA" w:rsidP="00A1519D">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3D0644D3" w14:textId="77777777" w:rsidR="0096732C" w:rsidRPr="004B1F38"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348B3615" w14:textId="0D21DE84" w:rsidR="006B7F9B" w:rsidRDefault="00852ED8" w:rsidP="00A1519D">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pPr>
      <w:r w:rsidRPr="004B1F38">
        <w:t xml:space="preserve">This Agreement will </w:t>
      </w:r>
      <w:r w:rsidR="006146F2">
        <w:t xml:space="preserve">support </w:t>
      </w:r>
      <w:r w:rsidR="006347B2">
        <w:t xml:space="preserve">the </w:t>
      </w:r>
      <w:r w:rsidR="006146F2" w:rsidRPr="005D22B2">
        <w:t>delivery of</w:t>
      </w:r>
      <w:r w:rsidR="005D22B2" w:rsidRPr="005D22B2">
        <w:t xml:space="preserve"> </w:t>
      </w:r>
      <w:r w:rsidR="005D22B2" w:rsidRPr="006347B2">
        <w:t>eradication</w:t>
      </w:r>
      <w:r w:rsidR="00C10BAF">
        <w:t>, preparedness</w:t>
      </w:r>
      <w:r w:rsidR="005D22B2" w:rsidRPr="006347B2">
        <w:t xml:space="preserve"> and management activities in response</w:t>
      </w:r>
      <w:r w:rsidR="00BA677D" w:rsidRPr="006347B2">
        <w:t xml:space="preserve"> to the</w:t>
      </w:r>
      <w:r w:rsidR="005D22B2" w:rsidRPr="006347B2">
        <w:t xml:space="preserve"> Queensland</w:t>
      </w:r>
      <w:r w:rsidR="00BA677D" w:rsidRPr="006347B2">
        <w:t xml:space="preserve"> fruit fly outbreak in northern Tasmania</w:t>
      </w:r>
      <w:r w:rsidR="006347B2" w:rsidRPr="006347B2">
        <w:t xml:space="preserve"> t</w:t>
      </w:r>
      <w:r w:rsidR="002E35A9" w:rsidRPr="006347B2">
        <w:t>o</w:t>
      </w:r>
      <w:r w:rsidR="002E35A9">
        <w:t xml:space="preserve"> support </w:t>
      </w:r>
      <w:r w:rsidR="006347B2">
        <w:t>industry maintain and build access</w:t>
      </w:r>
      <w:r w:rsidR="00C10BAF">
        <w:t xml:space="preserve"> to</w:t>
      </w:r>
      <w:r w:rsidR="006347B2">
        <w:t xml:space="preserve"> export markets.</w:t>
      </w:r>
    </w:p>
    <w:p w14:paraId="5BA69EE4" w14:textId="77777777" w:rsid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14:paraId="222A73CF" w14:textId="38F7DC0B" w:rsidR="0096732C" w:rsidRDefault="00410242" w:rsidP="00A1519D">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The State</w:t>
      </w:r>
      <w:r w:rsidR="0096732C" w:rsidRPr="005863D3">
        <w:t xml:space="preserve"> will report </w:t>
      </w:r>
      <w:r w:rsidR="00682E8D" w:rsidRPr="005863D3">
        <w:t>a</w:t>
      </w:r>
      <w:r>
        <w:t>gainst</w:t>
      </w:r>
      <w:r w:rsidR="00682E8D" w:rsidRPr="005863D3">
        <w:t xml:space="preserve"> </w:t>
      </w:r>
      <w:r w:rsidR="00682E8D" w:rsidRPr="005F080A">
        <w:t xml:space="preserve">the agreed </w:t>
      </w:r>
      <w:r>
        <w:t>milestones</w:t>
      </w:r>
      <w:r w:rsidR="0096732C" w:rsidRPr="005F080A">
        <w:t xml:space="preserve"> during the operation of this Agreement,</w:t>
      </w:r>
      <w:r w:rsidR="0096732C">
        <w:t xml:space="preserve"> as set out in Part 4 – Project</w:t>
      </w:r>
      <w:r w:rsidR="00D27594">
        <w:t xml:space="preserve">s and </w:t>
      </w:r>
      <w:r w:rsidR="00572CB0">
        <w:t>Reporting.</w:t>
      </w:r>
    </w:p>
    <w:p w14:paraId="51A9A404" w14:textId="77777777" w:rsidR="0096732C" w:rsidRP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14:paraId="740602CB" w14:textId="77777777" w:rsidR="0096732C" w:rsidRPr="004B1F38" w:rsidRDefault="0096732C" w:rsidP="00A1519D">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7179FE">
        <w:t xml:space="preserve">The Commonwealth will provide </w:t>
      </w:r>
      <w:r>
        <w:t>a</w:t>
      </w:r>
      <w:r w:rsidR="00F234AB">
        <w:t>n estimated</w:t>
      </w:r>
      <w:r>
        <w:t xml:space="preserve"> total </w:t>
      </w:r>
      <w:r w:rsidRPr="007179FE">
        <w:t xml:space="preserve">financial contribution to </w:t>
      </w:r>
      <w:r w:rsidR="00BA677D">
        <w:t>Tasmania</w:t>
      </w:r>
      <w:r w:rsidRPr="007179FE">
        <w:t xml:space="preserve"> </w:t>
      </w:r>
      <w:r>
        <w:t xml:space="preserve">of </w:t>
      </w:r>
      <w:r w:rsidRPr="00C45607">
        <w:t>$</w:t>
      </w:r>
      <w:r w:rsidR="00BA677D">
        <w:t>2</w:t>
      </w:r>
      <w:r w:rsidR="00410242" w:rsidRPr="00C45607">
        <w:t>0</w:t>
      </w:r>
      <w:r w:rsidR="00270749" w:rsidRPr="00012A53">
        <w:t> </w:t>
      </w:r>
      <w:r w:rsidR="00410242" w:rsidRPr="00012A53">
        <w:t>million</w:t>
      </w:r>
      <w:r w:rsidR="00F234AB">
        <w:t>, exclusive of GST</w:t>
      </w:r>
      <w:r w:rsidR="00EF33DE">
        <w:t xml:space="preserve"> </w:t>
      </w:r>
      <w:r>
        <w:t>in respect of this Agreement</w:t>
      </w:r>
      <w:r w:rsidR="00FC055C">
        <w:t>,</w:t>
      </w:r>
      <w:r>
        <w:t xml:space="preserve"> as set out </w:t>
      </w:r>
      <w:r w:rsidRPr="007179FE">
        <w:t xml:space="preserve">in </w:t>
      </w:r>
      <w:r>
        <w:t>Part 5 – Financial Arrangements</w:t>
      </w:r>
      <w:r w:rsidRPr="007179FE">
        <w:t>.</w:t>
      </w:r>
    </w:p>
    <w:p w14:paraId="25A621AE" w14:textId="77777777" w:rsidR="00814667" w:rsidRDefault="00814667" w:rsidP="00A1519D">
      <w:pPr>
        <w:pStyle w:val="Heading1"/>
        <w:spacing w:before="0"/>
      </w:pPr>
      <w:r>
        <w:t>Part 1 — Formalities</w:t>
      </w:r>
    </w:p>
    <w:p w14:paraId="7166D478" w14:textId="77777777" w:rsidR="00BB0393" w:rsidRPr="00BB0393" w:rsidRDefault="00BB0393" w:rsidP="00BB0393">
      <w:pPr>
        <w:pStyle w:val="Normalnumbered"/>
        <w:numPr>
          <w:ilvl w:val="0"/>
          <w:numId w:val="9"/>
        </w:numPr>
        <w:tabs>
          <w:tab w:val="clear" w:pos="567"/>
        </w:tabs>
        <w:spacing w:before="120" w:after="120" w:line="240" w:lineRule="auto"/>
      </w:pPr>
      <w:r>
        <w:t>This Agreement constitutes the entire agreement for this project.</w:t>
      </w:r>
    </w:p>
    <w:p w14:paraId="10F1EBA5" w14:textId="77777777" w:rsidR="00814667" w:rsidRDefault="00814667">
      <w:pPr>
        <w:pStyle w:val="Heading2"/>
      </w:pPr>
      <w:r>
        <w:t>Parties to this Agreement</w:t>
      </w:r>
    </w:p>
    <w:p w14:paraId="2BE9C9B9" w14:textId="77777777" w:rsidR="007B4B03" w:rsidRPr="007B4B03" w:rsidRDefault="00E7195E" w:rsidP="00A1519D">
      <w:pPr>
        <w:pStyle w:val="Normalnumbered"/>
        <w:numPr>
          <w:ilvl w:val="0"/>
          <w:numId w:val="9"/>
        </w:numPr>
        <w:tabs>
          <w:tab w:val="clear" w:pos="567"/>
        </w:tabs>
        <w:spacing w:before="120" w:after="120" w:line="240" w:lineRule="auto"/>
      </w:pPr>
      <w:r w:rsidRPr="003012DA">
        <w:t xml:space="preserve">This </w:t>
      </w:r>
      <w:r w:rsidR="00E31096">
        <w:t xml:space="preserve">Agreement </w:t>
      </w:r>
      <w:r w:rsidRPr="003012DA">
        <w:t>is between the Commonwealth of Australia (the</w:t>
      </w:r>
      <w:r w:rsidR="00593821">
        <w:t xml:space="preserve"> Commonwealth</w:t>
      </w:r>
      <w:r w:rsidRPr="003012DA">
        <w:t>) an</w:t>
      </w:r>
      <w:r w:rsidR="00652211">
        <w:t>d</w:t>
      </w:r>
      <w:r w:rsidR="00410242">
        <w:t xml:space="preserve"> </w:t>
      </w:r>
      <w:r w:rsidR="00BA677D">
        <w:t>Tasmania</w:t>
      </w:r>
      <w:r w:rsidR="00652211">
        <w:t>.</w:t>
      </w:r>
    </w:p>
    <w:p w14:paraId="42EC7B33" w14:textId="77777777" w:rsidR="00814667" w:rsidRDefault="00814667">
      <w:pPr>
        <w:pStyle w:val="Heading2"/>
      </w:pPr>
      <w:r>
        <w:t>Term of the Agreement</w:t>
      </w:r>
    </w:p>
    <w:p w14:paraId="053F27D3" w14:textId="77777777" w:rsidR="00814667" w:rsidRDefault="00814667" w:rsidP="00A1519D">
      <w:pPr>
        <w:pStyle w:val="Normalnumbered"/>
        <w:numPr>
          <w:ilvl w:val="0"/>
          <w:numId w:val="9"/>
        </w:numPr>
        <w:tabs>
          <w:tab w:val="clear" w:pos="567"/>
        </w:tabs>
        <w:spacing w:before="120" w:after="120" w:line="240" w:lineRule="auto"/>
      </w:pPr>
      <w:r w:rsidRPr="00DE36EB">
        <w:t xml:space="preserve">This Agreement will commence as soon as the Commonwealth and </w:t>
      </w:r>
      <w:r w:rsidR="00BA677D">
        <w:t>Tasmania</w:t>
      </w:r>
      <w:r w:rsidR="00410242">
        <w:t xml:space="preserve"> </w:t>
      </w:r>
      <w:r w:rsidR="00726DB5" w:rsidRPr="00DE36EB">
        <w:t>sign</w:t>
      </w:r>
      <w:r w:rsidRPr="00DE36EB">
        <w:t xml:space="preserve"> </w:t>
      </w:r>
      <w:r w:rsidR="0096732C">
        <w:t xml:space="preserve">it </w:t>
      </w:r>
      <w:r w:rsidRPr="00DE36EB">
        <w:t xml:space="preserve">and will expire </w:t>
      </w:r>
      <w:r w:rsidR="00284884" w:rsidRPr="00DE36EB">
        <w:t>on</w:t>
      </w:r>
      <w:r w:rsidR="00FA2EC0" w:rsidRPr="00DE36EB">
        <w:t xml:space="preserve"> </w:t>
      </w:r>
      <w:r w:rsidR="00270749">
        <w:t>30 June 20</w:t>
      </w:r>
      <w:r w:rsidR="00B13E2C">
        <w:t>2</w:t>
      </w:r>
      <w:r w:rsidR="00BA677D">
        <w:t>3</w:t>
      </w:r>
      <w:r w:rsidR="00BD3920">
        <w:t xml:space="preserve"> or on </w:t>
      </w:r>
      <w:r w:rsidR="00FA2EC0" w:rsidRPr="00DE36EB">
        <w:t>complet</w:t>
      </w:r>
      <w:r w:rsidR="00284884" w:rsidRPr="00DE36EB">
        <w:t>ion of the project</w:t>
      </w:r>
      <w:r w:rsidR="002D2E13">
        <w:t>s</w:t>
      </w:r>
      <w:r w:rsidR="00BD3920">
        <w:t xml:space="preserve"> set out in the Schedules</w:t>
      </w:r>
      <w:r w:rsidR="00284884" w:rsidRPr="00DE36EB">
        <w:t>, including final reporting</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14:paraId="62E78A63" w14:textId="75D75062" w:rsidR="00784439" w:rsidRPr="009E093C" w:rsidRDefault="00784439" w:rsidP="00A1519D">
      <w:pPr>
        <w:pStyle w:val="Heading1"/>
        <w:spacing w:before="0"/>
        <w:rPr>
          <w:b/>
          <w:sz w:val="23"/>
          <w:szCs w:val="23"/>
        </w:rPr>
      </w:pPr>
      <w:r w:rsidRPr="00784439">
        <w:t>P</w:t>
      </w:r>
      <w:r w:rsidR="00814667" w:rsidRPr="00784439">
        <w:t>art 2 —</w:t>
      </w:r>
      <w:r w:rsidR="00682E8D">
        <w:t xml:space="preserve"> </w:t>
      </w:r>
      <w:r w:rsidR="00814667" w:rsidRPr="00784439">
        <w:t>output</w:t>
      </w:r>
      <w:r w:rsidR="00BB620E">
        <w:t>s</w:t>
      </w:r>
    </w:p>
    <w:p w14:paraId="67B4F5C4" w14:textId="77777777" w:rsidR="00814667" w:rsidRDefault="00814667">
      <w:pPr>
        <w:pStyle w:val="Heading2"/>
      </w:pPr>
      <w:r>
        <w:t>Output</w:t>
      </w:r>
      <w:r w:rsidR="00BB0393">
        <w:t>s</w:t>
      </w:r>
    </w:p>
    <w:p w14:paraId="51226796" w14:textId="61C25AC3" w:rsidR="002A24AF" w:rsidRDefault="002A24AF" w:rsidP="00BB620E">
      <w:pPr>
        <w:pStyle w:val="Normalnumbered"/>
        <w:numPr>
          <w:ilvl w:val="0"/>
          <w:numId w:val="9"/>
        </w:numPr>
        <w:tabs>
          <w:tab w:val="clear" w:pos="567"/>
          <w:tab w:val="num" w:pos="1134"/>
        </w:tabs>
        <w:spacing w:before="120" w:after="120" w:line="240" w:lineRule="auto"/>
      </w:pPr>
      <w:r>
        <w:t>T</w:t>
      </w:r>
      <w:r w:rsidRPr="0085738D">
        <w:t>he o</w:t>
      </w:r>
      <w:r>
        <w:t>utputs of this Agreement will be</w:t>
      </w:r>
      <w:r w:rsidR="00BB620E">
        <w:t xml:space="preserve"> </w:t>
      </w:r>
      <w:r>
        <w:t xml:space="preserve">the </w:t>
      </w:r>
      <w:r w:rsidRPr="00590A42">
        <w:t xml:space="preserve">delivery of </w:t>
      </w:r>
      <w:r>
        <w:t>eradication, preparedness and management activities in response to</w:t>
      </w:r>
      <w:r w:rsidRPr="00590A42">
        <w:t xml:space="preserve"> the </w:t>
      </w:r>
      <w:r>
        <w:t xml:space="preserve">Queensland </w:t>
      </w:r>
      <w:r w:rsidRPr="00590A42">
        <w:t>fruit fly outbreak</w:t>
      </w:r>
      <w:r>
        <w:t xml:space="preserve"> (2017-18)</w:t>
      </w:r>
      <w:r w:rsidRPr="00590A42">
        <w:t xml:space="preserve"> in northern Tasmania</w:t>
      </w:r>
      <w:r w:rsidRPr="00C10BAF">
        <w:t xml:space="preserve"> </w:t>
      </w:r>
      <w:r>
        <w:t>and,</w:t>
      </w:r>
      <w:r w:rsidRPr="00590A42">
        <w:t xml:space="preserve"> </w:t>
      </w:r>
      <w:r>
        <w:t>as part of these efforts,</w:t>
      </w:r>
      <w:r w:rsidRPr="00C10BAF">
        <w:t xml:space="preserve"> </w:t>
      </w:r>
      <w:r>
        <w:t xml:space="preserve">other trade-related pests and diseases, </w:t>
      </w:r>
      <w:r w:rsidRPr="00590A42">
        <w:t>including:</w:t>
      </w:r>
    </w:p>
    <w:p w14:paraId="34F15754" w14:textId="4B79260D" w:rsidR="009F1CD4" w:rsidRDefault="00F65FC7" w:rsidP="00BB620E">
      <w:pPr>
        <w:pStyle w:val="Normalnumbered"/>
        <w:numPr>
          <w:ilvl w:val="1"/>
          <w:numId w:val="33"/>
        </w:numPr>
        <w:tabs>
          <w:tab w:val="clear" w:pos="1440"/>
          <w:tab w:val="num" w:pos="1134"/>
        </w:tabs>
        <w:spacing w:after="120"/>
        <w:ind w:left="1134" w:hanging="567"/>
        <w:jc w:val="left"/>
      </w:pPr>
      <w:r>
        <w:lastRenderedPageBreak/>
        <w:t xml:space="preserve">continued delivery of </w:t>
      </w:r>
      <w:r w:rsidR="009F1CD4">
        <w:t>support for the current Queensland fruit fly eradication response;</w:t>
      </w:r>
    </w:p>
    <w:p w14:paraId="29B00E0E" w14:textId="378C4AF0" w:rsidR="009F1CD4" w:rsidRDefault="009F1CD4" w:rsidP="00BB620E">
      <w:pPr>
        <w:pStyle w:val="Normalnumbered"/>
        <w:numPr>
          <w:ilvl w:val="1"/>
          <w:numId w:val="33"/>
        </w:numPr>
        <w:tabs>
          <w:tab w:val="clear" w:pos="1440"/>
          <w:tab w:val="num" w:pos="1134"/>
        </w:tabs>
        <w:spacing w:after="120"/>
        <w:ind w:left="1134" w:hanging="567"/>
        <w:jc w:val="left"/>
      </w:pPr>
      <w:r>
        <w:t>increased inspection services aimed specifically at combatting fruit fly which complement existing support activities;</w:t>
      </w:r>
    </w:p>
    <w:p w14:paraId="27437010" w14:textId="72E40F61" w:rsidR="00582470" w:rsidRDefault="00582470" w:rsidP="00582470">
      <w:pPr>
        <w:pStyle w:val="Normalnumbered"/>
        <w:numPr>
          <w:ilvl w:val="1"/>
          <w:numId w:val="33"/>
        </w:numPr>
        <w:tabs>
          <w:tab w:val="clear" w:pos="1440"/>
          <w:tab w:val="num" w:pos="1134"/>
        </w:tabs>
        <w:spacing w:after="120"/>
        <w:ind w:left="1134" w:hanging="567"/>
        <w:jc w:val="left"/>
      </w:pPr>
      <w:r>
        <w:t xml:space="preserve">access to sterile adult fruit flies, if required; </w:t>
      </w:r>
    </w:p>
    <w:p w14:paraId="612EDF77" w14:textId="77777777" w:rsidR="00582470" w:rsidRDefault="009F1CD4" w:rsidP="00BB620E">
      <w:pPr>
        <w:pStyle w:val="Normalnumbered"/>
        <w:numPr>
          <w:ilvl w:val="1"/>
          <w:numId w:val="33"/>
        </w:numPr>
        <w:tabs>
          <w:tab w:val="clear" w:pos="1440"/>
          <w:tab w:val="num" w:pos="1134"/>
        </w:tabs>
        <w:spacing w:after="120"/>
        <w:ind w:left="1134" w:hanging="567"/>
        <w:jc w:val="left"/>
      </w:pPr>
      <w:r>
        <w:t xml:space="preserve">improved </w:t>
      </w:r>
      <w:r w:rsidR="00582470">
        <w:t>advice and assistance to affected industries;</w:t>
      </w:r>
    </w:p>
    <w:p w14:paraId="4B3B8A63" w14:textId="56785785" w:rsidR="009F1CD4" w:rsidRDefault="00582470" w:rsidP="004C57EB">
      <w:pPr>
        <w:pStyle w:val="Normalnumbered"/>
        <w:numPr>
          <w:ilvl w:val="1"/>
          <w:numId w:val="33"/>
        </w:numPr>
        <w:tabs>
          <w:tab w:val="clear" w:pos="1440"/>
          <w:tab w:val="num" w:pos="1134"/>
        </w:tabs>
        <w:spacing w:after="120"/>
        <w:ind w:left="1134" w:hanging="567"/>
        <w:jc w:val="left"/>
      </w:pPr>
      <w:r>
        <w:t xml:space="preserve">improved </w:t>
      </w:r>
      <w:r w:rsidR="009F1CD4">
        <w:t>community engagement and communication</w:t>
      </w:r>
      <w:r>
        <w:t xml:space="preserve"> strategies</w:t>
      </w:r>
      <w:r w:rsidR="009F1CD4">
        <w:t>;</w:t>
      </w:r>
      <w:r>
        <w:t xml:space="preserve"> and</w:t>
      </w:r>
    </w:p>
    <w:p w14:paraId="2E64C32A" w14:textId="678536D9" w:rsidR="006B5790" w:rsidRDefault="00BB620E" w:rsidP="00BB620E">
      <w:pPr>
        <w:pStyle w:val="Normalnumbered"/>
        <w:numPr>
          <w:ilvl w:val="1"/>
          <w:numId w:val="33"/>
        </w:numPr>
        <w:tabs>
          <w:tab w:val="clear" w:pos="1440"/>
          <w:tab w:val="num" w:pos="1134"/>
        </w:tabs>
        <w:spacing w:after="120"/>
        <w:ind w:left="1134" w:hanging="567"/>
        <w:jc w:val="left"/>
      </w:pPr>
      <w:proofErr w:type="gramStart"/>
      <w:r>
        <w:t>e</w:t>
      </w:r>
      <w:r w:rsidR="006B5790">
        <w:t>stablishment</w:t>
      </w:r>
      <w:proofErr w:type="gramEnd"/>
      <w:r w:rsidR="006B5790">
        <w:t xml:space="preserve"> of the Biosecurity Emergency Response and Research Fund</w:t>
      </w:r>
      <w:r>
        <w:t xml:space="preserve"> to support the delivery of projects that will assist Tasmania to prepare for future biosecurity risks and grow agricultural export markets</w:t>
      </w:r>
      <w:r w:rsidR="006B5790">
        <w:t>.</w:t>
      </w:r>
    </w:p>
    <w:p w14:paraId="5D8AC546" w14:textId="77777777" w:rsidR="008F44F1" w:rsidRDefault="008F44F1">
      <w:pPr>
        <w:pStyle w:val="Heading1"/>
      </w:pPr>
      <w:r w:rsidRPr="00590A42">
        <w:t>Part 3 — roles and responsibilities of each party</w:t>
      </w:r>
    </w:p>
    <w:p w14:paraId="2FBF086A" w14:textId="77777777" w:rsidR="008F44F1" w:rsidRDefault="008F44F1" w:rsidP="008F44F1">
      <w:pPr>
        <w:pStyle w:val="Heading2"/>
      </w:pPr>
      <w:r w:rsidRPr="00814590">
        <w:t>Role of the Commonwealth</w:t>
      </w:r>
    </w:p>
    <w:p w14:paraId="4EB29942" w14:textId="77777777" w:rsidR="008F44F1" w:rsidRDefault="008F44F1" w:rsidP="00A1519D">
      <w:pPr>
        <w:pStyle w:val="Normalnumbered"/>
        <w:numPr>
          <w:ilvl w:val="0"/>
          <w:numId w:val="9"/>
        </w:numPr>
        <w:spacing w:after="120"/>
        <w:jc w:val="left"/>
      </w:pPr>
      <w:r>
        <w:t>The Commonwealth will be responsible for:</w:t>
      </w:r>
    </w:p>
    <w:p w14:paraId="34AE4F25" w14:textId="77777777" w:rsidR="00F074A3" w:rsidRPr="00470E4E" w:rsidRDefault="006109FD" w:rsidP="00A1519D">
      <w:pPr>
        <w:pStyle w:val="AlphaParagraph"/>
        <w:numPr>
          <w:ilvl w:val="0"/>
          <w:numId w:val="17"/>
        </w:numPr>
        <w:tabs>
          <w:tab w:val="clear" w:pos="283"/>
          <w:tab w:val="clear" w:pos="567"/>
          <w:tab w:val="clear" w:pos="1134"/>
          <w:tab w:val="clear" w:pos="1418"/>
        </w:tabs>
        <w:spacing w:after="120"/>
        <w:ind w:hanging="567"/>
        <w:rPr>
          <w:color w:val="auto"/>
        </w:rPr>
      </w:pPr>
      <w:r w:rsidRPr="000614F9">
        <w:rPr>
          <w:color w:val="auto"/>
        </w:rPr>
        <w:t>monitoring</w:t>
      </w:r>
      <w:r w:rsidRPr="004B6083">
        <w:t xml:space="preserve"> and assessing achievement against </w:t>
      </w:r>
      <w:r>
        <w:t xml:space="preserve">the agreed Project Plan </w:t>
      </w:r>
      <w:r w:rsidRPr="004B6083">
        <w:t>to ensure that outputs are deliver</w:t>
      </w:r>
      <w:r>
        <w:t>ed within the agreed timeframe;</w:t>
      </w:r>
    </w:p>
    <w:p w14:paraId="1E1F13F0" w14:textId="77777777" w:rsidR="008524B2" w:rsidRPr="00F074A3" w:rsidRDefault="00F074A3" w:rsidP="00A1519D">
      <w:pPr>
        <w:pStyle w:val="AlphaParagraph"/>
        <w:numPr>
          <w:ilvl w:val="0"/>
          <w:numId w:val="17"/>
        </w:numPr>
        <w:tabs>
          <w:tab w:val="clear" w:pos="283"/>
          <w:tab w:val="clear" w:pos="567"/>
          <w:tab w:val="clear" w:pos="1134"/>
          <w:tab w:val="clear" w:pos="1418"/>
        </w:tabs>
        <w:spacing w:after="120"/>
        <w:ind w:hanging="567"/>
        <w:rPr>
          <w:color w:val="auto"/>
        </w:rPr>
      </w:pPr>
      <w:r w:rsidRPr="00F074A3">
        <w:rPr>
          <w:color w:val="auto"/>
        </w:rPr>
        <w:t>monitoring</w:t>
      </w:r>
      <w:r>
        <w:rPr>
          <w:color w:val="auto"/>
        </w:rPr>
        <w:t xml:space="preserve"> </w:t>
      </w:r>
      <w:r>
        <w:t xml:space="preserve">and </w:t>
      </w:r>
      <w:r w:rsidRPr="004B6083">
        <w:t xml:space="preserve">assessing achievement against milestones in the delivery of </w:t>
      </w:r>
      <w:r>
        <w:t>projects</w:t>
      </w:r>
      <w:r w:rsidRPr="00470E4E">
        <w:rPr>
          <w:color w:val="auto"/>
        </w:rPr>
        <w:t xml:space="preserve"> </w:t>
      </w:r>
      <w:r w:rsidRPr="00F074A3">
        <w:rPr>
          <w:color w:val="auto"/>
        </w:rPr>
        <w:t>unde</w:t>
      </w:r>
      <w:r w:rsidRPr="000614F9">
        <w:rPr>
          <w:color w:val="auto"/>
        </w:rPr>
        <w:t>r</w:t>
      </w:r>
      <w:r w:rsidRPr="004B6083">
        <w:t xml:space="preserve"> this Agreement to ensure </w:t>
      </w:r>
      <w:r w:rsidR="008524B2" w:rsidRPr="00F074A3">
        <w:rPr>
          <w:color w:val="auto"/>
        </w:rPr>
        <w:t xml:space="preserve">that outputs are delivered within the agreed timeframe; </w:t>
      </w:r>
      <w:r w:rsidR="00270749">
        <w:rPr>
          <w:color w:val="auto"/>
        </w:rPr>
        <w:t>and</w:t>
      </w:r>
    </w:p>
    <w:p w14:paraId="294C9B55" w14:textId="2E3664A2" w:rsidR="008F44F1" w:rsidRPr="005F080A" w:rsidRDefault="008F44F1" w:rsidP="00A1519D">
      <w:pPr>
        <w:pStyle w:val="AlphaParagraph"/>
        <w:numPr>
          <w:ilvl w:val="0"/>
          <w:numId w:val="17"/>
        </w:numPr>
        <w:tabs>
          <w:tab w:val="clear" w:pos="283"/>
          <w:tab w:val="clear" w:pos="567"/>
          <w:tab w:val="clear" w:pos="1134"/>
          <w:tab w:val="clear" w:pos="1418"/>
        </w:tabs>
        <w:ind w:hanging="567"/>
        <w:rPr>
          <w:color w:val="auto"/>
        </w:rPr>
      </w:pPr>
      <w:proofErr w:type="gramStart"/>
      <w:r w:rsidRPr="005F080A">
        <w:rPr>
          <w:color w:val="auto"/>
        </w:rPr>
        <w:t>providing</w:t>
      </w:r>
      <w:proofErr w:type="gramEnd"/>
      <w:r w:rsidRPr="005F080A">
        <w:rPr>
          <w:color w:val="auto"/>
        </w:rPr>
        <w:t xml:space="preserve"> a financial contribution to the State to support the </w:t>
      </w:r>
      <w:r w:rsidRPr="000614F9">
        <w:t>implementation</w:t>
      </w:r>
      <w:r w:rsidRPr="005F080A">
        <w:rPr>
          <w:color w:val="auto"/>
        </w:rPr>
        <w:t xml:space="preserve"> of this Agreement</w:t>
      </w:r>
      <w:r w:rsidR="00F074A3">
        <w:rPr>
          <w:color w:val="auto"/>
        </w:rPr>
        <w:t>.</w:t>
      </w:r>
    </w:p>
    <w:p w14:paraId="7AEFC7BE" w14:textId="77777777" w:rsidR="008F44F1" w:rsidRPr="00751725" w:rsidRDefault="008F44F1" w:rsidP="008F44F1">
      <w:pPr>
        <w:pStyle w:val="Heading2"/>
      </w:pPr>
      <w:r w:rsidRPr="00751725">
        <w:t xml:space="preserve">Role of </w:t>
      </w:r>
      <w:r w:rsidR="00BA677D">
        <w:t>Tasmania</w:t>
      </w:r>
    </w:p>
    <w:p w14:paraId="5BCEC93F" w14:textId="77777777" w:rsidR="008F44F1" w:rsidRPr="00751725" w:rsidRDefault="00F074A3" w:rsidP="00A1519D">
      <w:pPr>
        <w:pStyle w:val="Normalnumbered"/>
        <w:numPr>
          <w:ilvl w:val="0"/>
          <w:numId w:val="9"/>
        </w:numPr>
        <w:spacing w:after="120"/>
        <w:jc w:val="left"/>
      </w:pPr>
      <w:r>
        <w:t>T</w:t>
      </w:r>
      <w:r w:rsidR="00BA677D">
        <w:t>asmania</w:t>
      </w:r>
      <w:r>
        <w:t xml:space="preserve"> </w:t>
      </w:r>
      <w:r w:rsidR="008F44F1">
        <w:t>will be responsible for</w:t>
      </w:r>
      <w:r w:rsidR="00545DF7">
        <w:t>:</w:t>
      </w:r>
    </w:p>
    <w:p w14:paraId="270B4E3B" w14:textId="70D34064" w:rsidR="00563BEA" w:rsidRDefault="006109FD" w:rsidP="00A1519D">
      <w:pPr>
        <w:pStyle w:val="AlphaParagraph"/>
        <w:numPr>
          <w:ilvl w:val="0"/>
          <w:numId w:val="18"/>
        </w:numPr>
        <w:tabs>
          <w:tab w:val="clear" w:pos="283"/>
          <w:tab w:val="clear" w:pos="567"/>
          <w:tab w:val="clear" w:pos="1134"/>
          <w:tab w:val="clear" w:pos="1418"/>
        </w:tabs>
        <w:spacing w:after="120"/>
        <w:ind w:hanging="567"/>
      </w:pPr>
      <w:r>
        <w:t>developing a Project Plan</w:t>
      </w:r>
      <w:r w:rsidR="002A24AF">
        <w:t>, including projects to be funded from the Biosecurity Emergency Response and Research Fund</w:t>
      </w:r>
      <w:r w:rsidR="00563BEA">
        <w:t>;</w:t>
      </w:r>
    </w:p>
    <w:p w14:paraId="77C4E6D3" w14:textId="77777777" w:rsidR="008F44F1" w:rsidRDefault="00E12963" w:rsidP="00A1519D">
      <w:pPr>
        <w:pStyle w:val="AlphaParagraph"/>
        <w:numPr>
          <w:ilvl w:val="0"/>
          <w:numId w:val="18"/>
        </w:numPr>
        <w:tabs>
          <w:tab w:val="clear" w:pos="283"/>
          <w:tab w:val="clear" w:pos="567"/>
          <w:tab w:val="clear" w:pos="1134"/>
          <w:tab w:val="clear" w:pos="1418"/>
        </w:tabs>
        <w:spacing w:after="120"/>
        <w:ind w:hanging="567"/>
      </w:pPr>
      <w:r>
        <w:t xml:space="preserve">all aspects of </w:t>
      </w:r>
      <w:r w:rsidR="008F44F1">
        <w:t>delivering on the outputs set out in this Agreement;</w:t>
      </w:r>
      <w:r w:rsidR="00F074A3">
        <w:t xml:space="preserve"> and</w:t>
      </w:r>
    </w:p>
    <w:p w14:paraId="57D83219" w14:textId="77777777" w:rsidR="00A6719E" w:rsidRDefault="00A6719E" w:rsidP="00A1519D">
      <w:pPr>
        <w:pStyle w:val="AlphaParagraph"/>
        <w:numPr>
          <w:ilvl w:val="0"/>
          <w:numId w:val="18"/>
        </w:numPr>
        <w:tabs>
          <w:tab w:val="clear" w:pos="283"/>
          <w:tab w:val="clear" w:pos="567"/>
          <w:tab w:val="clear" w:pos="1418"/>
        </w:tabs>
        <w:ind w:hanging="567"/>
      </w:pPr>
      <w:proofErr w:type="gramStart"/>
      <w:r w:rsidRPr="006B4DF0">
        <w:t>reporting</w:t>
      </w:r>
      <w:proofErr w:type="gramEnd"/>
      <w:r w:rsidRPr="006B4DF0">
        <w:t xml:space="preserve"> on the delivery of </w:t>
      </w:r>
      <w:r>
        <w:t>outputs</w:t>
      </w:r>
      <w:r w:rsidRPr="006B4DF0">
        <w:t xml:space="preserve"> </w:t>
      </w:r>
      <w:r>
        <w:t>as set out in Part 4</w:t>
      </w:r>
      <w:r w:rsidRPr="006B4DF0">
        <w:t xml:space="preserve"> – P</w:t>
      </w:r>
      <w:r>
        <w:t>roject</w:t>
      </w:r>
      <w:r w:rsidR="00D27594">
        <w:t>s</w:t>
      </w:r>
      <w:r>
        <w:t xml:space="preserve"> </w:t>
      </w:r>
      <w:r w:rsidR="00D27594">
        <w:t>and</w:t>
      </w:r>
      <w:r>
        <w:t xml:space="preserve"> Reporting</w:t>
      </w:r>
      <w:r w:rsidR="00690F05">
        <w:t>.</w:t>
      </w:r>
    </w:p>
    <w:p w14:paraId="1C06D641" w14:textId="77777777" w:rsidR="00BB0393" w:rsidRPr="004A4636" w:rsidRDefault="00BB0393" w:rsidP="00BB0393">
      <w:pPr>
        <w:pStyle w:val="Normalnumbered"/>
        <w:numPr>
          <w:ilvl w:val="0"/>
          <w:numId w:val="9"/>
        </w:numPr>
        <w:spacing w:after="120"/>
        <w:jc w:val="left"/>
      </w:pPr>
      <w:r w:rsidRPr="004A4636">
        <w:t>Additionally, Tasmania will be responsible for ensuring</w:t>
      </w:r>
      <w:r w:rsidR="00274AE0" w:rsidRPr="004A4636">
        <w:t xml:space="preserve"> initiatives under this Agreement support </w:t>
      </w:r>
      <w:r w:rsidR="004A4636" w:rsidRPr="004A4636">
        <w:t xml:space="preserve">horticultural exporters to meet importing country requirements and promote </w:t>
      </w:r>
      <w:r w:rsidR="00274AE0" w:rsidRPr="004A4636">
        <w:t>access to international markets</w:t>
      </w:r>
      <w:r w:rsidR="004A4636" w:rsidRPr="004A4636">
        <w:t>.</w:t>
      </w:r>
    </w:p>
    <w:p w14:paraId="4D56480A" w14:textId="77777777" w:rsidR="008F44F1" w:rsidRDefault="008F44F1" w:rsidP="004F5DCD">
      <w:pPr>
        <w:pStyle w:val="Heading2"/>
      </w:pPr>
      <w:r>
        <w:t>Shared roles</w:t>
      </w:r>
    </w:p>
    <w:p w14:paraId="02168BF7" w14:textId="77777777" w:rsidR="006109FD" w:rsidRDefault="006109FD" w:rsidP="00BB620E">
      <w:pPr>
        <w:pStyle w:val="Normalnumbered"/>
        <w:numPr>
          <w:ilvl w:val="0"/>
          <w:numId w:val="9"/>
        </w:numPr>
        <w:spacing w:after="120"/>
        <w:jc w:val="left"/>
      </w:pPr>
      <w:r w:rsidRPr="00BB620E">
        <w:t>The</w:t>
      </w:r>
      <w:r>
        <w:t xml:space="preserve"> Commonwealth and Tasmania will be jointly responsible</w:t>
      </w:r>
      <w:r w:rsidR="00AD2457">
        <w:t>, within one month from the execution of this agreement,</w:t>
      </w:r>
      <w:r>
        <w:t xml:space="preserve"> for agreeing a Project Plan to ensure that the response is delivered within agreed timeframes.</w:t>
      </w:r>
    </w:p>
    <w:p w14:paraId="36043E86" w14:textId="77777777" w:rsidR="006109FD" w:rsidRDefault="006109FD" w:rsidP="00BB620E">
      <w:pPr>
        <w:pStyle w:val="Normalnumbered"/>
        <w:numPr>
          <w:ilvl w:val="0"/>
          <w:numId w:val="9"/>
        </w:numPr>
        <w:spacing w:after="120"/>
        <w:jc w:val="left"/>
      </w:pPr>
      <w:r>
        <w:t xml:space="preserve">Project Plans typically include details on scope, project schedule, budget, project stakeholders, </w:t>
      </w:r>
      <w:r w:rsidRPr="00BB620E">
        <w:t>governance</w:t>
      </w:r>
      <w:r>
        <w:t xml:space="preserve"> arrangements, communication plan, high level design plans and a risk management plan.  Tasmania has the flexibility to determine how to meet this requirement and can make use of any existing information or document prepared for another purpose.</w:t>
      </w:r>
    </w:p>
    <w:p w14:paraId="5BDF7292" w14:textId="77777777" w:rsidR="00F074A3" w:rsidRPr="006109FD" w:rsidRDefault="006109FD" w:rsidP="00BB620E">
      <w:pPr>
        <w:pStyle w:val="Normalnumbered"/>
        <w:numPr>
          <w:ilvl w:val="0"/>
          <w:numId w:val="9"/>
        </w:numPr>
        <w:spacing w:after="120"/>
        <w:jc w:val="left"/>
      </w:pPr>
      <w:r>
        <w:t xml:space="preserve">The </w:t>
      </w:r>
      <w:r w:rsidRPr="007D4DFB">
        <w:t>Project</w:t>
      </w:r>
      <w:r>
        <w:t xml:space="preserve"> Plan is expected to be a flexible document that may be varied over time to accommodate changed circumstances.  </w:t>
      </w:r>
      <w:r w:rsidRPr="005420C6">
        <w:t xml:space="preserve">Variations to the Project Plan that directly affect the </w:t>
      </w:r>
      <w:r w:rsidR="00AD2457">
        <w:t xml:space="preserve">outputs and </w:t>
      </w:r>
      <w:r w:rsidRPr="005420C6">
        <w:t xml:space="preserve">timeframes for the project are subject to written agreement between senior Commonwealth and </w:t>
      </w:r>
      <w:r>
        <w:t>Tasmanian</w:t>
      </w:r>
      <w:r w:rsidRPr="005420C6">
        <w:t xml:space="preserve"> officials.</w:t>
      </w:r>
    </w:p>
    <w:p w14:paraId="263B3E5B" w14:textId="77777777" w:rsidR="008F44F1" w:rsidRDefault="008F44F1" w:rsidP="00A1519D">
      <w:pPr>
        <w:pStyle w:val="Normalnumbered"/>
        <w:numPr>
          <w:ilvl w:val="0"/>
          <w:numId w:val="9"/>
        </w:numPr>
        <w:spacing w:before="240"/>
      </w:pPr>
      <w:r>
        <w:rPr>
          <w:color w:val="auto"/>
        </w:rPr>
        <w:lastRenderedPageBreak/>
        <w:t>The</w:t>
      </w:r>
      <w:r w:rsidRPr="00166312">
        <w:rPr>
          <w:color w:val="auto"/>
        </w:rPr>
        <w:t xml:space="preserve"> Parties will</w:t>
      </w:r>
      <w:r>
        <w:rPr>
          <w:color w:val="auto"/>
        </w:rPr>
        <w:t xml:space="preserve"> </w:t>
      </w:r>
      <w:r>
        <w:t xml:space="preserve">meet the requirements of Schedule E, Clause 26 of </w:t>
      </w:r>
      <w:r w:rsidRPr="00183EAB">
        <w:rPr>
          <w:color w:val="auto"/>
        </w:rPr>
        <w:t xml:space="preserve">the </w:t>
      </w:r>
      <w:r w:rsidR="00C41265">
        <w:rPr>
          <w:color w:val="auto"/>
        </w:rPr>
        <w:t>IGA FFR</w:t>
      </w:r>
      <w:r w:rsidRPr="000614F9">
        <w:rPr>
          <w:color w:val="auto"/>
        </w:rPr>
        <w:t xml:space="preserve">, by ensuring that </w:t>
      </w:r>
      <w:r w:rsidRPr="009B0484">
        <w:t>prior</w:t>
      </w:r>
      <w:r w:rsidRPr="000614F9">
        <w:rPr>
          <w:color w:val="auto"/>
        </w:rPr>
        <w:t xml:space="preserve"> agreemen</w:t>
      </w:r>
      <w:r>
        <w:t>t is reached on the nature and content of any events, announcements, promotional material or publicity relating to activities under this Agreement, and that the roles of both Parties will be acknowledged and recognised appropriately.</w:t>
      </w:r>
    </w:p>
    <w:p w14:paraId="49D3F170" w14:textId="77777777" w:rsidR="00BA677D" w:rsidRDefault="00BA677D" w:rsidP="00DE0A40">
      <w:pPr>
        <w:pStyle w:val="Heading1"/>
        <w:spacing w:before="0"/>
      </w:pPr>
      <w:r>
        <w:t>Part 4 —</w:t>
      </w:r>
      <w:r w:rsidR="006109FD">
        <w:t xml:space="preserve"> </w:t>
      </w:r>
      <w:r>
        <w:t>performance and reporting</w:t>
      </w:r>
    </w:p>
    <w:p w14:paraId="62E2415C" w14:textId="77777777" w:rsidR="006109FD" w:rsidRDefault="006109FD" w:rsidP="006109FD">
      <w:pPr>
        <w:pStyle w:val="Heading2"/>
      </w:pPr>
      <w:r>
        <w:t>Reporting arrangements</w:t>
      </w:r>
    </w:p>
    <w:p w14:paraId="1CF240F0" w14:textId="77777777" w:rsidR="006109FD" w:rsidRPr="00E83658" w:rsidRDefault="005D22B2" w:rsidP="00A1519D">
      <w:pPr>
        <w:pStyle w:val="Normalnumbered"/>
        <w:numPr>
          <w:ilvl w:val="0"/>
          <w:numId w:val="9"/>
        </w:numPr>
        <w:rPr>
          <w:szCs w:val="23"/>
        </w:rPr>
      </w:pPr>
      <w:r>
        <w:t xml:space="preserve">Tasmania will submit </w:t>
      </w:r>
      <w:r w:rsidR="006109FD">
        <w:t>annual performance reports during the operation of the Agreement.  Each performance report is to contain a description of actual performance in the period to date against the agreed Project Plan.</w:t>
      </w:r>
      <w:r w:rsidR="006109FD">
        <w:rPr>
          <w:szCs w:val="23"/>
        </w:rPr>
        <w:t xml:space="preserve">  </w:t>
      </w:r>
      <w:r w:rsidR="006109FD">
        <w:t xml:space="preserve">These reports are due on the </w:t>
      </w:r>
      <w:r w:rsidR="00AD2457">
        <w:t>last</w:t>
      </w:r>
      <w:r w:rsidR="006109FD">
        <w:t xml:space="preserve"> business day of </w:t>
      </w:r>
      <w:r>
        <w:t>July</w:t>
      </w:r>
      <w:r w:rsidR="006109FD">
        <w:t xml:space="preserve"> each year during the oper</w:t>
      </w:r>
      <w:r>
        <w:t>ation of this Agreement</w:t>
      </w:r>
      <w:r w:rsidR="00AD2457">
        <w:t xml:space="preserve"> and are to cover activities undertaken the previous financial year</w:t>
      </w:r>
      <w:r>
        <w:t xml:space="preserve">.  All </w:t>
      </w:r>
      <w:r w:rsidR="006109FD">
        <w:t>annual reports must be certified by a Tasmanian senior official as being a true and accurate representation of the progress of the project for the relevant reporting period.</w:t>
      </w:r>
    </w:p>
    <w:p w14:paraId="14B1FADA" w14:textId="77777777" w:rsidR="00BA677D" w:rsidRPr="000B6C9D" w:rsidRDefault="006109FD" w:rsidP="00A1519D">
      <w:pPr>
        <w:pStyle w:val="Normalnumbered"/>
        <w:numPr>
          <w:ilvl w:val="0"/>
          <w:numId w:val="9"/>
        </w:numPr>
        <w:spacing w:before="240"/>
      </w:pPr>
      <w:r w:rsidRPr="000B6C9D">
        <w:t xml:space="preserve">A </w:t>
      </w:r>
      <w:r w:rsidR="009B0484" w:rsidRPr="000B6C9D">
        <w:t>f</w:t>
      </w:r>
      <w:r w:rsidRPr="000B6C9D">
        <w:t xml:space="preserve">inal </w:t>
      </w:r>
      <w:r w:rsidR="009B0484" w:rsidRPr="000B6C9D">
        <w:t>r</w:t>
      </w:r>
      <w:r w:rsidRPr="000B6C9D">
        <w:t xml:space="preserve">eport is required on completion of the project.  The </w:t>
      </w:r>
      <w:r w:rsidR="009B0484" w:rsidRPr="000B6C9D">
        <w:t>f</w:t>
      </w:r>
      <w:r w:rsidRPr="000B6C9D">
        <w:t xml:space="preserve">inal </w:t>
      </w:r>
      <w:r w:rsidR="009B0484" w:rsidRPr="000B6C9D">
        <w:t>r</w:t>
      </w:r>
      <w:r w:rsidRPr="000B6C9D">
        <w:t xml:space="preserve">eport will be a report that can be used for public information and dissemination purposes and will evaluate the Project from </w:t>
      </w:r>
      <w:r w:rsidR="009B0484" w:rsidRPr="000B6C9D">
        <w:t>Tasmania’s</w:t>
      </w:r>
      <w:r w:rsidRPr="000B6C9D">
        <w:t xml:space="preserve"> perspective and include a description of the conduct, benefits and outcomes of the </w:t>
      </w:r>
      <w:r w:rsidR="009B0484" w:rsidRPr="000B6C9D">
        <w:t>p</w:t>
      </w:r>
      <w:r w:rsidRPr="000B6C9D">
        <w:t>roject.</w:t>
      </w:r>
    </w:p>
    <w:p w14:paraId="0AF13180" w14:textId="77777777" w:rsidR="008E7527" w:rsidRPr="003223F7" w:rsidRDefault="008E7527" w:rsidP="00DE0A40">
      <w:pPr>
        <w:pStyle w:val="Heading1"/>
        <w:spacing w:before="0"/>
      </w:pPr>
      <w:r w:rsidRPr="003223F7">
        <w:t>Part 5 — financial arrangements</w:t>
      </w:r>
    </w:p>
    <w:p w14:paraId="6204A6BB" w14:textId="77777777" w:rsidR="008E7527" w:rsidRPr="003223F7" w:rsidRDefault="008E7527" w:rsidP="00BB620E">
      <w:pPr>
        <w:pStyle w:val="Normalnumbered"/>
        <w:numPr>
          <w:ilvl w:val="0"/>
          <w:numId w:val="9"/>
        </w:numPr>
        <w:spacing w:before="240"/>
      </w:pPr>
      <w:r w:rsidRPr="003223F7">
        <w:t>The Commonwealth will provide a</w:t>
      </w:r>
      <w:r w:rsidR="002E144A" w:rsidRPr="003223F7">
        <w:t>n estimated</w:t>
      </w:r>
      <w:r w:rsidRPr="003223F7">
        <w:t xml:space="preserve"> total financial contribution to </w:t>
      </w:r>
      <w:r w:rsidR="00BA677D">
        <w:t>Tasmania</w:t>
      </w:r>
      <w:r w:rsidR="00EC5A66" w:rsidRPr="003223F7">
        <w:t xml:space="preserve"> </w:t>
      </w:r>
      <w:r w:rsidRPr="003223F7">
        <w:t>of $</w:t>
      </w:r>
      <w:r w:rsidR="00BA677D">
        <w:t>2</w:t>
      </w:r>
      <w:r w:rsidR="00EC5A66" w:rsidRPr="003223F7">
        <w:t>0</w:t>
      </w:r>
      <w:r w:rsidR="00ED123B" w:rsidRPr="003223F7">
        <w:t>.0</w:t>
      </w:r>
      <w:r w:rsidR="00012A53" w:rsidRPr="003223F7">
        <w:t> </w:t>
      </w:r>
      <w:r w:rsidRPr="003223F7">
        <w:t>m</w:t>
      </w:r>
      <w:r w:rsidR="00EC5A66" w:rsidRPr="003223F7">
        <w:t>illion</w:t>
      </w:r>
      <w:r w:rsidRPr="003223F7">
        <w:t xml:space="preserve"> in respect of this Agreement</w:t>
      </w:r>
      <w:r w:rsidR="006109FD">
        <w:t>, on signing of the Agreement by both Parties</w:t>
      </w:r>
      <w:r w:rsidRPr="003223F7">
        <w:t>.  All payments are GST exclusive.</w:t>
      </w:r>
    </w:p>
    <w:p w14:paraId="677D4CB7" w14:textId="77777777" w:rsidR="008E7527" w:rsidRDefault="005A5E7A" w:rsidP="00BB620E">
      <w:pPr>
        <w:pStyle w:val="Normalnumbered"/>
        <w:numPr>
          <w:ilvl w:val="0"/>
          <w:numId w:val="9"/>
        </w:numPr>
        <w:spacing w:before="240"/>
      </w:pPr>
      <w:r>
        <w:t>T</w:t>
      </w:r>
      <w:r w:rsidR="008E7527" w:rsidRPr="002B7E1B">
        <w:t xml:space="preserve">he Commonwealth’s funding contribution will not be reduced where </w:t>
      </w:r>
      <w:r w:rsidR="006109FD">
        <w:t>Tasmania</w:t>
      </w:r>
      <w:r w:rsidR="008E7527" w:rsidRPr="002B7E1B">
        <w:t xml:space="preserve"> secure</w:t>
      </w:r>
      <w:r w:rsidR="009B0484">
        <w:t>s</w:t>
      </w:r>
      <w:r w:rsidR="008E7527" w:rsidRPr="002B7E1B">
        <w:t xml:space="preserve"> funding from other activity partners</w:t>
      </w:r>
      <w:r w:rsidR="002E144A">
        <w:t>.</w:t>
      </w:r>
    </w:p>
    <w:p w14:paraId="4CF50131" w14:textId="77777777" w:rsidR="008E7527" w:rsidRDefault="008E7527" w:rsidP="00BB620E">
      <w:pPr>
        <w:pStyle w:val="Normalnumbered"/>
        <w:numPr>
          <w:ilvl w:val="0"/>
          <w:numId w:val="9"/>
        </w:numPr>
        <w:spacing w:before="240"/>
      </w:pPr>
      <w:r w:rsidRPr="00751725">
        <w:t>The Commonwealth</w:t>
      </w:r>
      <w:r>
        <w:t>’s</w:t>
      </w:r>
      <w:r w:rsidRPr="00751725">
        <w:t xml:space="preserve"> </w:t>
      </w:r>
      <w:r>
        <w:t xml:space="preserve">estimated </w:t>
      </w:r>
      <w:r w:rsidRPr="00751725">
        <w:t>financial contribution</w:t>
      </w:r>
      <w:r w:rsidR="002E144A">
        <w:t>s</w:t>
      </w:r>
      <w:r w:rsidRPr="00751725">
        <w:t xml:space="preserve"> to the operation of </w:t>
      </w:r>
      <w:r>
        <w:t xml:space="preserve">this Agreement, including through National Partnership payments to the States paid in accordance with </w:t>
      </w:r>
      <w:r w:rsidRPr="00BB620E">
        <w:t>Schedule D — Payment Arrangements</w:t>
      </w:r>
      <w:r>
        <w:t xml:space="preserve"> of the </w:t>
      </w:r>
      <w:r w:rsidR="00C41265">
        <w:t>IGA FFR</w:t>
      </w:r>
      <w:r w:rsidR="00C2605C">
        <w:t xml:space="preserve">, are shown in Table </w:t>
      </w:r>
      <w:r w:rsidR="00490350">
        <w:t>1</w:t>
      </w:r>
      <w:r w:rsidRPr="00751725">
        <w:t>.</w:t>
      </w:r>
    </w:p>
    <w:p w14:paraId="6E3B802D" w14:textId="77777777" w:rsidR="00490350" w:rsidRPr="00490350" w:rsidRDefault="00490350" w:rsidP="00490350">
      <w:pPr>
        <w:pStyle w:val="Normalnumbered"/>
        <w:keepNext/>
        <w:numPr>
          <w:ilvl w:val="0"/>
          <w:numId w:val="0"/>
        </w:numPr>
        <w:spacing w:after="120"/>
        <w:rPr>
          <w:b/>
        </w:rPr>
      </w:pPr>
      <w:r w:rsidRPr="00490350">
        <w:rPr>
          <w:b/>
        </w:rPr>
        <w:t>Table 1: Estimated financial contributions</w:t>
      </w:r>
    </w:p>
    <w:tbl>
      <w:tblPr>
        <w:tblW w:w="0" w:type="auto"/>
        <w:tblBorders>
          <w:top w:val="single" w:sz="4" w:space="0" w:color="auto"/>
          <w:bottom w:val="single" w:sz="4" w:space="0" w:color="auto"/>
        </w:tblBorders>
        <w:tblLook w:val="01E0" w:firstRow="1" w:lastRow="1" w:firstColumn="1" w:lastColumn="1" w:noHBand="0" w:noVBand="0"/>
      </w:tblPr>
      <w:tblGrid>
        <w:gridCol w:w="5211"/>
        <w:gridCol w:w="2268"/>
        <w:gridCol w:w="2268"/>
      </w:tblGrid>
      <w:tr w:rsidR="003106BF" w14:paraId="0ADEAA23" w14:textId="77777777" w:rsidTr="003106BF">
        <w:tc>
          <w:tcPr>
            <w:tcW w:w="5211" w:type="dxa"/>
            <w:tcBorders>
              <w:top w:val="single" w:sz="4" w:space="0" w:color="auto"/>
            </w:tcBorders>
          </w:tcPr>
          <w:p w14:paraId="7BB13435" w14:textId="77777777" w:rsidR="003106BF" w:rsidRPr="003106BF" w:rsidRDefault="003106BF" w:rsidP="001968B4">
            <w:pPr>
              <w:keepNext/>
              <w:keepLines/>
              <w:spacing w:before="40" w:after="40"/>
              <w:jc w:val="left"/>
              <w:rPr>
                <w:b/>
                <w:szCs w:val="23"/>
              </w:rPr>
            </w:pPr>
            <w:r w:rsidRPr="003106BF">
              <w:rPr>
                <w:b/>
                <w:szCs w:val="23"/>
              </w:rPr>
              <w:t>($ million)</w:t>
            </w:r>
          </w:p>
        </w:tc>
        <w:tc>
          <w:tcPr>
            <w:tcW w:w="2268" w:type="dxa"/>
            <w:tcBorders>
              <w:top w:val="single" w:sz="4" w:space="0" w:color="auto"/>
              <w:bottom w:val="single" w:sz="4" w:space="0" w:color="auto"/>
            </w:tcBorders>
          </w:tcPr>
          <w:p w14:paraId="582CCAD1" w14:textId="77777777" w:rsidR="003106BF" w:rsidRPr="003106BF" w:rsidRDefault="003106BF" w:rsidP="006109FD">
            <w:pPr>
              <w:keepNext/>
              <w:keepLines/>
              <w:spacing w:before="40" w:after="40"/>
              <w:ind w:left="-188" w:firstLine="188"/>
              <w:jc w:val="right"/>
              <w:rPr>
                <w:szCs w:val="23"/>
              </w:rPr>
            </w:pPr>
            <w:r w:rsidRPr="003106BF">
              <w:rPr>
                <w:szCs w:val="23"/>
              </w:rPr>
              <w:t>201</w:t>
            </w:r>
            <w:r w:rsidR="006109FD">
              <w:rPr>
                <w:szCs w:val="23"/>
              </w:rPr>
              <w:t>7</w:t>
            </w:r>
            <w:r w:rsidRPr="003106BF">
              <w:rPr>
                <w:szCs w:val="23"/>
              </w:rPr>
              <w:t>-1</w:t>
            </w:r>
            <w:r w:rsidR="006109FD">
              <w:rPr>
                <w:szCs w:val="23"/>
              </w:rPr>
              <w:t>8</w:t>
            </w:r>
          </w:p>
        </w:tc>
        <w:tc>
          <w:tcPr>
            <w:tcW w:w="2268" w:type="dxa"/>
            <w:tcBorders>
              <w:top w:val="single" w:sz="4" w:space="0" w:color="auto"/>
              <w:bottom w:val="single" w:sz="4" w:space="0" w:color="auto"/>
            </w:tcBorders>
          </w:tcPr>
          <w:p w14:paraId="496D8D9D" w14:textId="77777777" w:rsidR="003106BF" w:rsidRPr="003106BF" w:rsidRDefault="003106BF" w:rsidP="001968B4">
            <w:pPr>
              <w:keepNext/>
              <w:keepLines/>
              <w:spacing w:before="40" w:after="40"/>
              <w:jc w:val="right"/>
              <w:rPr>
                <w:szCs w:val="23"/>
              </w:rPr>
            </w:pPr>
            <w:r w:rsidRPr="003106BF">
              <w:rPr>
                <w:szCs w:val="23"/>
              </w:rPr>
              <w:t>Total</w:t>
            </w:r>
          </w:p>
        </w:tc>
      </w:tr>
      <w:tr w:rsidR="003106BF" w14:paraId="5A4F9DA5" w14:textId="77777777" w:rsidTr="003106BF">
        <w:tc>
          <w:tcPr>
            <w:tcW w:w="5211" w:type="dxa"/>
          </w:tcPr>
          <w:p w14:paraId="1B31BBFC" w14:textId="77777777" w:rsidR="003106BF" w:rsidRPr="003106BF" w:rsidRDefault="003106BF" w:rsidP="001968B4">
            <w:pPr>
              <w:keepNext/>
              <w:keepLines/>
              <w:spacing w:before="60" w:after="60"/>
              <w:rPr>
                <w:b/>
                <w:szCs w:val="23"/>
              </w:rPr>
            </w:pPr>
            <w:r w:rsidRPr="003106BF">
              <w:rPr>
                <w:b/>
                <w:szCs w:val="23"/>
              </w:rPr>
              <w:t>Estimated total budget</w:t>
            </w:r>
          </w:p>
        </w:tc>
        <w:tc>
          <w:tcPr>
            <w:tcW w:w="2268" w:type="dxa"/>
            <w:tcBorders>
              <w:top w:val="single" w:sz="4" w:space="0" w:color="auto"/>
              <w:bottom w:val="nil"/>
            </w:tcBorders>
          </w:tcPr>
          <w:p w14:paraId="5E058005" w14:textId="77777777" w:rsidR="003106BF" w:rsidRPr="00494E08" w:rsidRDefault="00BA677D" w:rsidP="001968B4">
            <w:pPr>
              <w:keepNext/>
              <w:keepLines/>
              <w:spacing w:before="40" w:after="40"/>
              <w:jc w:val="right"/>
              <w:rPr>
                <w:b/>
                <w:szCs w:val="23"/>
              </w:rPr>
            </w:pPr>
            <w:r>
              <w:rPr>
                <w:b/>
                <w:szCs w:val="23"/>
              </w:rPr>
              <w:t>2</w:t>
            </w:r>
            <w:r w:rsidR="003106BF" w:rsidRPr="00494E08">
              <w:rPr>
                <w:b/>
                <w:szCs w:val="23"/>
              </w:rPr>
              <w:t>0</w:t>
            </w:r>
            <w:r w:rsidR="00427909" w:rsidRPr="00494E08">
              <w:rPr>
                <w:b/>
                <w:szCs w:val="23"/>
              </w:rPr>
              <w:t>.0</w:t>
            </w:r>
          </w:p>
        </w:tc>
        <w:tc>
          <w:tcPr>
            <w:tcW w:w="2268" w:type="dxa"/>
            <w:tcBorders>
              <w:top w:val="single" w:sz="4" w:space="0" w:color="auto"/>
              <w:bottom w:val="nil"/>
            </w:tcBorders>
          </w:tcPr>
          <w:p w14:paraId="140D38FA" w14:textId="77777777" w:rsidR="003106BF" w:rsidRPr="00494E08" w:rsidRDefault="00BA677D" w:rsidP="00EC5A66">
            <w:pPr>
              <w:keepNext/>
              <w:keepLines/>
              <w:spacing w:before="40" w:after="40"/>
              <w:jc w:val="right"/>
              <w:rPr>
                <w:b/>
                <w:szCs w:val="23"/>
              </w:rPr>
            </w:pPr>
            <w:r>
              <w:rPr>
                <w:b/>
                <w:szCs w:val="23"/>
              </w:rPr>
              <w:t>2</w:t>
            </w:r>
            <w:r w:rsidR="003106BF" w:rsidRPr="00494E08">
              <w:rPr>
                <w:b/>
                <w:szCs w:val="23"/>
              </w:rPr>
              <w:t>0</w:t>
            </w:r>
            <w:r w:rsidR="00427909" w:rsidRPr="00494E08">
              <w:rPr>
                <w:b/>
                <w:szCs w:val="23"/>
              </w:rPr>
              <w:t>.0</w:t>
            </w:r>
          </w:p>
        </w:tc>
      </w:tr>
      <w:tr w:rsidR="003106BF" w14:paraId="5B7D546D" w14:textId="77777777" w:rsidTr="003106BF">
        <w:tc>
          <w:tcPr>
            <w:tcW w:w="5211" w:type="dxa"/>
          </w:tcPr>
          <w:p w14:paraId="3B5FA014" w14:textId="77777777" w:rsidR="003106BF" w:rsidRPr="003106BF" w:rsidRDefault="003106BF" w:rsidP="00BA677D">
            <w:pPr>
              <w:keepNext/>
              <w:keepLines/>
              <w:spacing w:before="60" w:after="60"/>
              <w:rPr>
                <w:szCs w:val="23"/>
              </w:rPr>
            </w:pPr>
            <w:r w:rsidRPr="003106BF">
              <w:rPr>
                <w:szCs w:val="23"/>
              </w:rPr>
              <w:t>Less estimated National Partnership Payments</w:t>
            </w:r>
          </w:p>
        </w:tc>
        <w:tc>
          <w:tcPr>
            <w:tcW w:w="2268" w:type="dxa"/>
            <w:tcBorders>
              <w:top w:val="nil"/>
              <w:bottom w:val="single" w:sz="4" w:space="0" w:color="auto"/>
            </w:tcBorders>
          </w:tcPr>
          <w:p w14:paraId="5E8CF0A3" w14:textId="77777777" w:rsidR="003106BF" w:rsidRPr="003106BF" w:rsidRDefault="00BA677D" w:rsidP="00BA677D">
            <w:pPr>
              <w:keepNext/>
              <w:keepLines/>
              <w:spacing w:before="40" w:after="40"/>
              <w:jc w:val="right"/>
              <w:rPr>
                <w:szCs w:val="23"/>
              </w:rPr>
            </w:pPr>
            <w:r>
              <w:rPr>
                <w:szCs w:val="23"/>
              </w:rPr>
              <w:t>20.0</w:t>
            </w:r>
          </w:p>
        </w:tc>
        <w:tc>
          <w:tcPr>
            <w:tcW w:w="2268" w:type="dxa"/>
            <w:tcBorders>
              <w:top w:val="nil"/>
              <w:bottom w:val="single" w:sz="4" w:space="0" w:color="auto"/>
            </w:tcBorders>
          </w:tcPr>
          <w:p w14:paraId="5FF88118" w14:textId="77777777" w:rsidR="003106BF" w:rsidRPr="003106BF" w:rsidRDefault="00BA677D" w:rsidP="00BA677D">
            <w:pPr>
              <w:keepNext/>
              <w:keepLines/>
              <w:spacing w:before="40" w:after="40"/>
              <w:jc w:val="right"/>
              <w:rPr>
                <w:szCs w:val="23"/>
              </w:rPr>
            </w:pPr>
            <w:r>
              <w:rPr>
                <w:szCs w:val="23"/>
              </w:rPr>
              <w:t>20.0</w:t>
            </w:r>
          </w:p>
        </w:tc>
      </w:tr>
      <w:tr w:rsidR="003106BF" w14:paraId="0CE13A2C" w14:textId="77777777" w:rsidTr="003106BF">
        <w:tc>
          <w:tcPr>
            <w:tcW w:w="5211" w:type="dxa"/>
            <w:tcBorders>
              <w:bottom w:val="single" w:sz="4" w:space="0" w:color="auto"/>
            </w:tcBorders>
          </w:tcPr>
          <w:p w14:paraId="721CCA36" w14:textId="77777777" w:rsidR="003106BF" w:rsidRPr="003106BF" w:rsidRDefault="003106BF" w:rsidP="001968B4">
            <w:pPr>
              <w:keepNext/>
              <w:keepLines/>
              <w:spacing w:before="40" w:after="40"/>
              <w:rPr>
                <w:szCs w:val="23"/>
              </w:rPr>
            </w:pPr>
            <w:r w:rsidRPr="003106BF">
              <w:rPr>
                <w:szCs w:val="23"/>
              </w:rPr>
              <w:t>Balance of non-Commonwealth contributions</w:t>
            </w:r>
          </w:p>
        </w:tc>
        <w:tc>
          <w:tcPr>
            <w:tcW w:w="2268" w:type="dxa"/>
            <w:tcBorders>
              <w:top w:val="single" w:sz="4" w:space="0" w:color="auto"/>
              <w:bottom w:val="single" w:sz="4" w:space="0" w:color="auto"/>
            </w:tcBorders>
          </w:tcPr>
          <w:p w14:paraId="55867A0B" w14:textId="77777777" w:rsidR="003106BF" w:rsidRPr="00494E08" w:rsidRDefault="003106BF" w:rsidP="001968B4">
            <w:pPr>
              <w:keepNext/>
              <w:keepLines/>
              <w:spacing w:before="40" w:after="40"/>
              <w:jc w:val="right"/>
              <w:rPr>
                <w:szCs w:val="23"/>
              </w:rPr>
            </w:pPr>
            <w:r w:rsidRPr="00494E08">
              <w:rPr>
                <w:szCs w:val="23"/>
              </w:rPr>
              <w:t>0.0</w:t>
            </w:r>
          </w:p>
        </w:tc>
        <w:tc>
          <w:tcPr>
            <w:tcW w:w="2268" w:type="dxa"/>
            <w:tcBorders>
              <w:top w:val="single" w:sz="4" w:space="0" w:color="auto"/>
              <w:bottom w:val="single" w:sz="4" w:space="0" w:color="auto"/>
            </w:tcBorders>
          </w:tcPr>
          <w:p w14:paraId="2304DEBA" w14:textId="77777777" w:rsidR="003106BF" w:rsidRPr="00494E08" w:rsidRDefault="003106BF" w:rsidP="00F216FB">
            <w:pPr>
              <w:keepNext/>
              <w:keepLines/>
              <w:spacing w:before="40" w:after="40"/>
              <w:jc w:val="right"/>
              <w:rPr>
                <w:szCs w:val="23"/>
              </w:rPr>
            </w:pPr>
            <w:r w:rsidRPr="00494E08">
              <w:rPr>
                <w:szCs w:val="23"/>
              </w:rPr>
              <w:t>0.0</w:t>
            </w:r>
          </w:p>
        </w:tc>
      </w:tr>
    </w:tbl>
    <w:p w14:paraId="37817118" w14:textId="5D848009" w:rsidR="008E7527" w:rsidRDefault="008E7527" w:rsidP="00A1519D">
      <w:pPr>
        <w:pStyle w:val="Normalnumbered"/>
        <w:numPr>
          <w:ilvl w:val="0"/>
          <w:numId w:val="9"/>
        </w:numPr>
        <w:spacing w:before="240"/>
      </w:pPr>
      <w:r w:rsidRPr="00C738BD">
        <w:t xml:space="preserve">Having regard to the agreed estimated costs of projects specified in </w:t>
      </w:r>
      <w:r w:rsidR="006B43AF">
        <w:t>this</w:t>
      </w:r>
      <w:r>
        <w:t xml:space="preserve"> Agreement</w:t>
      </w:r>
      <w:r w:rsidRPr="00C738BD">
        <w:t xml:space="preserve">, </w:t>
      </w:r>
      <w:r w:rsidR="006109FD">
        <w:t>Tasmania</w:t>
      </w:r>
      <w:r w:rsidRPr="00C738BD">
        <w:t xml:space="preserve"> will not be required to pay a refund to the Commonwealth if the actual cost of the project is less than the agreed</w:t>
      </w:r>
      <w:r w:rsidR="00515AF2">
        <w:t xml:space="preserve"> estimated cost of the project.  </w:t>
      </w:r>
      <w:r w:rsidRPr="00C738BD">
        <w:t xml:space="preserve">Similarly, </w:t>
      </w:r>
      <w:r w:rsidR="006109FD">
        <w:t>Tasmania</w:t>
      </w:r>
      <w:r>
        <w:t xml:space="preserve"> </w:t>
      </w:r>
      <w:r w:rsidRPr="00C738BD">
        <w:t>bear</w:t>
      </w:r>
      <w:r w:rsidR="006109FD">
        <w:t>s</w:t>
      </w:r>
      <w:r w:rsidRPr="00C738BD">
        <w:t xml:space="preserve"> all risk should the costs of a project exceed the agreed estimated cost</w:t>
      </w:r>
      <w:r>
        <w:t>s.</w:t>
      </w:r>
      <w:r w:rsidRPr="00C738BD">
        <w:t xml:space="preserve"> The Parties acknowledge that this arrangement provides the maximum incentive for the States to deliver projects cost effectively and efficiently.</w:t>
      </w:r>
    </w:p>
    <w:p w14:paraId="7BDC67A7" w14:textId="77777777" w:rsidR="00814667" w:rsidRDefault="003A2157" w:rsidP="00FC4B6B">
      <w:pPr>
        <w:pStyle w:val="Heading1"/>
        <w:spacing w:before="0"/>
      </w:pPr>
      <w:bookmarkStart w:id="2" w:name="top"/>
      <w:bookmarkEnd w:id="2"/>
      <w:r>
        <w:t xml:space="preserve">Part </w:t>
      </w:r>
      <w:r w:rsidR="000B4080">
        <w:t>6</w:t>
      </w:r>
      <w:r w:rsidR="00814667">
        <w:t xml:space="preserve"> — governance arrangements</w:t>
      </w:r>
    </w:p>
    <w:p w14:paraId="51816BE0" w14:textId="77777777" w:rsidR="00BC4728" w:rsidRDefault="00BC4728" w:rsidP="00BC4728">
      <w:pPr>
        <w:pStyle w:val="Heading2"/>
      </w:pPr>
      <w:r w:rsidRPr="006F096A">
        <w:t>Enforceability of the Agreement</w:t>
      </w:r>
    </w:p>
    <w:p w14:paraId="6D14541A" w14:textId="77777777" w:rsidR="00BC4728" w:rsidRPr="00C40EBC" w:rsidRDefault="00BC4728" w:rsidP="009749B4">
      <w:pPr>
        <w:pStyle w:val="Normalnumbered"/>
        <w:numPr>
          <w:ilvl w:val="0"/>
          <w:numId w:val="9"/>
        </w:numPr>
        <w:spacing w:after="120"/>
        <w:jc w:val="left"/>
      </w:pPr>
      <w:r w:rsidRPr="009749B4">
        <w:t>The Parties do not intend any of the provisions of this Agreement to be legally enforceable. However, that does not lessen the Parties’ commitment to this Agreement.</w:t>
      </w:r>
    </w:p>
    <w:p w14:paraId="3FEB6095" w14:textId="77777777" w:rsidR="00814667" w:rsidRDefault="00814667">
      <w:pPr>
        <w:pStyle w:val="Heading2"/>
      </w:pPr>
      <w:r>
        <w:lastRenderedPageBreak/>
        <w:t>Variation of the Agreement</w:t>
      </w:r>
    </w:p>
    <w:p w14:paraId="43E506C6" w14:textId="77777777" w:rsidR="00AB39DE" w:rsidRPr="009749B4" w:rsidRDefault="00607B03" w:rsidP="009749B4">
      <w:pPr>
        <w:pStyle w:val="Normalnumbered"/>
        <w:numPr>
          <w:ilvl w:val="0"/>
          <w:numId w:val="9"/>
        </w:numPr>
        <w:spacing w:after="120"/>
        <w:jc w:val="left"/>
      </w:pPr>
      <w:r w:rsidRPr="009749B4">
        <w:t>The A</w:t>
      </w:r>
      <w:r w:rsidR="00814667" w:rsidRPr="009749B4">
        <w:t xml:space="preserve">greement may be amended at any time by agreement in writing by </w:t>
      </w:r>
      <w:r w:rsidR="006109FD" w:rsidRPr="009749B4">
        <w:t>both</w:t>
      </w:r>
      <w:r w:rsidR="007B614F" w:rsidRPr="009749B4">
        <w:t xml:space="preserve"> </w:t>
      </w:r>
      <w:r w:rsidR="00814667" w:rsidRPr="009749B4">
        <w:t>the Parties.</w:t>
      </w:r>
    </w:p>
    <w:p w14:paraId="4441C12E" w14:textId="77777777" w:rsidR="00405FEE" w:rsidRPr="009749B4" w:rsidRDefault="00BA677D" w:rsidP="009749B4">
      <w:pPr>
        <w:pStyle w:val="Normalnumbered"/>
        <w:numPr>
          <w:ilvl w:val="0"/>
          <w:numId w:val="9"/>
        </w:numPr>
        <w:spacing w:after="120"/>
        <w:jc w:val="left"/>
      </w:pPr>
      <w:r>
        <w:t>Either</w:t>
      </w:r>
      <w:r w:rsidR="00405FEE">
        <w:t xml:space="preserve"> </w:t>
      </w:r>
      <w:r w:rsidR="00405FEE" w:rsidRPr="00DE36EB">
        <w:t>Party to the Agreement may terminate their part</w:t>
      </w:r>
      <w:r w:rsidR="00405FEE">
        <w:t>icipation in the Agreement at any time by notifying all Parties in writing.</w:t>
      </w:r>
    </w:p>
    <w:p w14:paraId="299CE717" w14:textId="77777777" w:rsidR="009526E4" w:rsidRPr="00795749" w:rsidRDefault="009526E4" w:rsidP="00AB39DE">
      <w:pPr>
        <w:pStyle w:val="Heading2"/>
      </w:pPr>
      <w:r w:rsidRPr="00795749">
        <w:t>Delegations</w:t>
      </w:r>
    </w:p>
    <w:p w14:paraId="035A2DFB" w14:textId="77777777" w:rsidR="009526E4" w:rsidRPr="00795749" w:rsidRDefault="009526E4" w:rsidP="009749B4">
      <w:pPr>
        <w:pStyle w:val="Normalnumbered"/>
        <w:numPr>
          <w:ilvl w:val="0"/>
          <w:numId w:val="9"/>
        </w:numPr>
        <w:spacing w:after="120"/>
        <w:jc w:val="left"/>
      </w:pPr>
      <w:r w:rsidRPr="00795749">
        <w:t>The Commonwealth Minister may delegate the authorisation of project payments to senior Commonwealth officials, having regard to the financial and policy risks associated with those payments.</w:t>
      </w:r>
    </w:p>
    <w:p w14:paraId="35A2BABE" w14:textId="77777777" w:rsidR="0036119D" w:rsidRDefault="0036119D" w:rsidP="0036119D">
      <w:pPr>
        <w:pStyle w:val="Heading2"/>
      </w:pPr>
      <w:r>
        <w:t>Dispute resolution</w:t>
      </w:r>
    </w:p>
    <w:p w14:paraId="3EE2EC95" w14:textId="77777777" w:rsidR="0036119D" w:rsidRPr="00DE36EB" w:rsidRDefault="00697494" w:rsidP="009749B4">
      <w:pPr>
        <w:pStyle w:val="Normalnumbered"/>
        <w:numPr>
          <w:ilvl w:val="0"/>
          <w:numId w:val="9"/>
        </w:numPr>
        <w:spacing w:after="120"/>
        <w:jc w:val="left"/>
      </w:pPr>
      <w:r w:rsidRPr="00DE36EB">
        <w:t>E</w:t>
      </w:r>
      <w:r w:rsidR="002B1C50" w:rsidRPr="00DE36EB">
        <w:t xml:space="preserve">ither </w:t>
      </w:r>
      <w:r w:rsidR="0036119D" w:rsidRPr="00DE36EB">
        <w:t>Party may give notice to</w:t>
      </w:r>
      <w:r w:rsidR="00B755B6">
        <w:t xml:space="preserve"> the</w:t>
      </w:r>
      <w:r w:rsidR="0036119D" w:rsidRPr="00DE36EB">
        <w:t xml:space="preserve"> other </w:t>
      </w:r>
      <w:r w:rsidR="00684EC1" w:rsidRPr="00DE36EB">
        <w:t xml:space="preserve">Party </w:t>
      </w:r>
      <w:r w:rsidR="0036119D" w:rsidRPr="00DE36EB">
        <w:t>of a dispute under this Agreement.</w:t>
      </w:r>
    </w:p>
    <w:p w14:paraId="229AD6A3" w14:textId="77777777" w:rsidR="0036119D" w:rsidRPr="00DE36EB" w:rsidRDefault="0036119D" w:rsidP="009749B4">
      <w:pPr>
        <w:pStyle w:val="Normalnumbered"/>
        <w:numPr>
          <w:ilvl w:val="0"/>
          <w:numId w:val="9"/>
        </w:numPr>
        <w:spacing w:after="120"/>
        <w:jc w:val="left"/>
      </w:pPr>
      <w:r w:rsidRPr="00DE36EB">
        <w:t xml:space="preserve">Officials of </w:t>
      </w:r>
      <w:r w:rsidR="002B1C50" w:rsidRPr="00DE36EB">
        <w:t>both</w:t>
      </w:r>
      <w:r w:rsidR="002B1C50" w:rsidRPr="009749B4">
        <w:t xml:space="preserve"> </w:t>
      </w:r>
      <w:r w:rsidRPr="00DE36EB">
        <w:t>Parties will attempt to resolve any dispute in the first instance.</w:t>
      </w:r>
    </w:p>
    <w:p w14:paraId="29290222" w14:textId="77777777" w:rsidR="0036119D" w:rsidRPr="00DE36EB" w:rsidRDefault="0036119D" w:rsidP="009749B4">
      <w:pPr>
        <w:pStyle w:val="Normalnumbered"/>
        <w:numPr>
          <w:ilvl w:val="0"/>
          <w:numId w:val="9"/>
        </w:numPr>
        <w:spacing w:after="120"/>
        <w:jc w:val="left"/>
      </w:pPr>
      <w:r w:rsidRPr="00DE36EB">
        <w:t>If a dispute cannot be resolved by officials, it may be escalated to the relevant Ministers.</w:t>
      </w:r>
    </w:p>
    <w:p w14:paraId="2543A0CE" w14:textId="77777777" w:rsidR="0036119D" w:rsidRDefault="0036119D" w:rsidP="000614F9">
      <w:pPr>
        <w:pStyle w:val="Normalnumbered"/>
        <w:numPr>
          <w:ilvl w:val="0"/>
          <w:numId w:val="0"/>
        </w:numPr>
        <w:jc w:val="left"/>
        <w:sectPr w:rsidR="0036119D" w:rsidSect="00AA7C0F">
          <w:headerReference w:type="even" r:id="rId15"/>
          <w:headerReference w:type="default" r:id="rId16"/>
          <w:footerReference w:type="even" r:id="rId17"/>
          <w:footerReference w:type="default" r:id="rId18"/>
          <w:footerReference w:type="first" r:id="rId19"/>
          <w:pgSz w:w="11906" w:h="16838" w:code="9"/>
          <w:pgMar w:top="1134" w:right="991" w:bottom="1418" w:left="1134" w:header="709" w:footer="709" w:gutter="0"/>
          <w:cols w:space="708"/>
          <w:titlePg/>
          <w:docGrid w:linePitch="360"/>
        </w:sectPr>
      </w:pPr>
    </w:p>
    <w:p w14:paraId="2E7CB922" w14:textId="77777777" w:rsidR="00814667" w:rsidRPr="00A50751" w:rsidRDefault="00814667">
      <w:pPr>
        <w:rPr>
          <w:lang w:val="en-GB"/>
        </w:rPr>
      </w:pPr>
      <w:r w:rsidRPr="00A50751">
        <w:rPr>
          <w:lang w:val="en-GB"/>
        </w:rPr>
        <w:lastRenderedPageBreak/>
        <w:t xml:space="preserve">The </w:t>
      </w:r>
      <w:r w:rsidRPr="00C57BB9">
        <w:rPr>
          <w:sz w:val="24"/>
          <w:szCs w:val="24"/>
        </w:rPr>
        <w:t>Parties</w:t>
      </w:r>
      <w:r w:rsidRPr="00A50751">
        <w:rPr>
          <w:lang w:val="en-GB"/>
        </w:rPr>
        <w:t xml:space="preserve"> have conf</w:t>
      </w:r>
      <w:r w:rsidR="00E16BB8">
        <w:rPr>
          <w:lang w:val="en-GB"/>
        </w:rPr>
        <w:t>irmed their commitment to this A</w:t>
      </w:r>
      <w:r w:rsidRPr="00A50751">
        <w:rPr>
          <w:lang w:val="en-GB"/>
        </w:rPr>
        <w:t>greement as follows:</w:t>
      </w:r>
    </w:p>
    <w:tbl>
      <w:tblPr>
        <w:tblW w:w="0" w:type="auto"/>
        <w:jc w:val="center"/>
        <w:tblLayout w:type="fixed"/>
        <w:tblLook w:val="01E0" w:firstRow="1" w:lastRow="1" w:firstColumn="1" w:lastColumn="1" w:noHBand="0" w:noVBand="0"/>
      </w:tblPr>
      <w:tblGrid>
        <w:gridCol w:w="4536"/>
        <w:gridCol w:w="284"/>
        <w:gridCol w:w="4536"/>
      </w:tblGrid>
      <w:tr w:rsidR="00814667" w:rsidRPr="00A50751" w14:paraId="4F95F752" w14:textId="77777777" w:rsidTr="00875A09">
        <w:trPr>
          <w:cantSplit/>
          <w:jc w:val="center"/>
        </w:trPr>
        <w:tc>
          <w:tcPr>
            <w:tcW w:w="4536" w:type="dxa"/>
          </w:tcPr>
          <w:p w14:paraId="01D70CF8" w14:textId="77777777" w:rsidR="00814667" w:rsidRPr="00795749" w:rsidRDefault="00814667">
            <w:pPr>
              <w:pStyle w:val="Signed"/>
            </w:pPr>
            <w:r w:rsidRPr="00795749">
              <w:rPr>
                <w:rStyle w:val="SignedBold"/>
              </w:rPr>
              <w:t>Signed</w:t>
            </w:r>
            <w:r w:rsidRPr="00795749">
              <w:t xml:space="preserve"> for and on behalf of the Commonwealth of </w:t>
            </w:r>
            <w:smartTag w:uri="urn:schemas-microsoft-com:office:smarttags" w:element="country-region">
              <w:smartTag w:uri="urn:schemas-microsoft-com:office:smarttags" w:element="place">
                <w:r w:rsidRPr="00795749">
                  <w:t>Australia</w:t>
                </w:r>
              </w:smartTag>
            </w:smartTag>
            <w:r w:rsidRPr="00795749">
              <w:t xml:space="preserve"> by</w:t>
            </w:r>
          </w:p>
          <w:p w14:paraId="321941BD" w14:textId="77777777" w:rsidR="002C2954" w:rsidRPr="00795749" w:rsidRDefault="002C2954">
            <w:pPr>
              <w:pStyle w:val="LineForSignature"/>
            </w:pPr>
          </w:p>
          <w:p w14:paraId="0DFBB99F" w14:textId="77777777" w:rsidR="00BA677D" w:rsidRDefault="00BA677D">
            <w:pPr>
              <w:pStyle w:val="LineForSignature"/>
            </w:pPr>
          </w:p>
          <w:p w14:paraId="0D0CB798" w14:textId="77777777" w:rsidR="00BA677D" w:rsidRDefault="00BA677D">
            <w:pPr>
              <w:pStyle w:val="LineForSignature"/>
            </w:pPr>
          </w:p>
          <w:p w14:paraId="3BEC09DA" w14:textId="77777777" w:rsidR="00814667" w:rsidRPr="00795749" w:rsidRDefault="00814667">
            <w:pPr>
              <w:pStyle w:val="LineForSignature"/>
            </w:pPr>
            <w:r w:rsidRPr="00795749">
              <w:tab/>
            </w:r>
          </w:p>
          <w:p w14:paraId="6942BC8C" w14:textId="77777777" w:rsidR="00814667" w:rsidRPr="00795749" w:rsidRDefault="00814667">
            <w:pPr>
              <w:pStyle w:val="SingleParagraph"/>
              <w:rPr>
                <w:rStyle w:val="Bold"/>
              </w:rPr>
            </w:pPr>
            <w:r w:rsidRPr="00795749">
              <w:rPr>
                <w:rStyle w:val="Bold"/>
              </w:rPr>
              <w:t>The Honourable</w:t>
            </w:r>
            <w:r w:rsidR="005F080A" w:rsidRPr="00795749">
              <w:rPr>
                <w:rStyle w:val="Bold"/>
              </w:rPr>
              <w:t xml:space="preserve"> </w:t>
            </w:r>
            <w:r w:rsidR="000B6C9D">
              <w:rPr>
                <w:rStyle w:val="Bold"/>
              </w:rPr>
              <w:t xml:space="preserve">David </w:t>
            </w:r>
            <w:proofErr w:type="spellStart"/>
            <w:r w:rsidR="000B6C9D">
              <w:rPr>
                <w:rStyle w:val="Bold"/>
              </w:rPr>
              <w:t>Littleproud</w:t>
            </w:r>
            <w:proofErr w:type="spellEnd"/>
            <w:r w:rsidR="005F080A" w:rsidRPr="00795749">
              <w:rPr>
                <w:rStyle w:val="Bold"/>
              </w:rPr>
              <w:t xml:space="preserve"> </w:t>
            </w:r>
            <w:r w:rsidRPr="00795749">
              <w:rPr>
                <w:rStyle w:val="Bold"/>
              </w:rPr>
              <w:t>MP</w:t>
            </w:r>
          </w:p>
          <w:p w14:paraId="40482438" w14:textId="77777777" w:rsidR="00814667" w:rsidRPr="00795749" w:rsidRDefault="0099742A">
            <w:pPr>
              <w:pStyle w:val="Position"/>
              <w:rPr>
                <w:lang w:val="en-GB"/>
              </w:rPr>
            </w:pPr>
            <w:r w:rsidRPr="00795749">
              <w:rPr>
                <w:lang w:val="en-GB"/>
              </w:rPr>
              <w:t xml:space="preserve">Minister for </w:t>
            </w:r>
            <w:r w:rsidR="000B6C9D">
              <w:rPr>
                <w:lang w:val="en-GB"/>
              </w:rPr>
              <w:t>Agriculture and Water Resources</w:t>
            </w:r>
          </w:p>
          <w:p w14:paraId="2AA25E9F" w14:textId="77777777" w:rsidR="00814667" w:rsidRPr="00795749" w:rsidRDefault="000B6C9D">
            <w:pPr>
              <w:pStyle w:val="SingleParagraph"/>
              <w:tabs>
                <w:tab w:val="num" w:pos="1134"/>
              </w:tabs>
              <w:spacing w:after="240"/>
              <w:ind w:left="1134" w:hanging="567"/>
              <w:rPr>
                <w:lang w:val="en-GB"/>
              </w:rPr>
            </w:pPr>
            <w:r>
              <w:rPr>
                <w:lang w:val="en-GB"/>
              </w:rPr>
              <w:t xml:space="preserve">/       </w:t>
            </w:r>
            <w:r w:rsidR="001B1CA3" w:rsidRPr="00795749">
              <w:rPr>
                <w:lang w:val="en-GB"/>
              </w:rPr>
              <w:t xml:space="preserve"> </w:t>
            </w:r>
            <w:r>
              <w:rPr>
                <w:lang w:val="en-GB"/>
              </w:rPr>
              <w:t xml:space="preserve">  /</w:t>
            </w:r>
            <w:r w:rsidR="006679C0" w:rsidRPr="00795749">
              <w:rPr>
                <w:lang w:val="en-GB"/>
              </w:rPr>
              <w:t xml:space="preserve"> </w:t>
            </w:r>
            <w:r>
              <w:rPr>
                <w:lang w:val="en-GB"/>
              </w:rPr>
              <w:t>2018</w:t>
            </w:r>
          </w:p>
          <w:p w14:paraId="3214D147" w14:textId="77777777" w:rsidR="002C2954" w:rsidRPr="00795749" w:rsidRDefault="002C2954">
            <w:pPr>
              <w:pStyle w:val="SingleParagraph"/>
              <w:tabs>
                <w:tab w:val="num" w:pos="1134"/>
              </w:tabs>
              <w:spacing w:after="240"/>
              <w:ind w:left="1134" w:hanging="567"/>
              <w:rPr>
                <w:b/>
                <w:lang w:val="en-GB"/>
              </w:rPr>
            </w:pPr>
          </w:p>
        </w:tc>
        <w:tc>
          <w:tcPr>
            <w:tcW w:w="284" w:type="dxa"/>
            <w:tcMar>
              <w:left w:w="0" w:type="dxa"/>
              <w:right w:w="0" w:type="dxa"/>
            </w:tcMar>
          </w:tcPr>
          <w:p w14:paraId="63AD70A0" w14:textId="77777777" w:rsidR="00814667" w:rsidRPr="00795749" w:rsidRDefault="00814667">
            <w:pPr>
              <w:rPr>
                <w:rFonts w:ascii="Book Antiqua" w:hAnsi="Book Antiqua"/>
                <w:lang w:val="en-GB"/>
              </w:rPr>
            </w:pPr>
          </w:p>
        </w:tc>
        <w:tc>
          <w:tcPr>
            <w:tcW w:w="4536" w:type="dxa"/>
          </w:tcPr>
          <w:p w14:paraId="0FC6902E" w14:textId="77777777" w:rsidR="00814667" w:rsidRPr="00795749" w:rsidRDefault="00814667" w:rsidP="007A738B">
            <w:pPr>
              <w:rPr>
                <w:rFonts w:ascii="Book Antiqua" w:hAnsi="Book Antiqua"/>
                <w:lang w:val="en-GB"/>
              </w:rPr>
            </w:pPr>
          </w:p>
        </w:tc>
        <w:bookmarkStart w:id="3" w:name="_GoBack"/>
        <w:bookmarkEnd w:id="3"/>
      </w:tr>
      <w:tr w:rsidR="00814667" w:rsidRPr="00A50751" w14:paraId="430C1E6C" w14:textId="77777777" w:rsidTr="00875A09">
        <w:trPr>
          <w:cantSplit/>
          <w:jc w:val="center"/>
        </w:trPr>
        <w:tc>
          <w:tcPr>
            <w:tcW w:w="4536" w:type="dxa"/>
          </w:tcPr>
          <w:p w14:paraId="473DF0FC" w14:textId="77777777" w:rsidR="00814667" w:rsidRPr="00795749" w:rsidRDefault="00814667">
            <w:pPr>
              <w:pStyle w:val="SingleParagraph"/>
              <w:rPr>
                <w:rFonts w:ascii="Book Antiqua" w:hAnsi="Book Antiqua"/>
                <w:lang w:val="en-GB"/>
              </w:rPr>
            </w:pPr>
          </w:p>
        </w:tc>
        <w:tc>
          <w:tcPr>
            <w:tcW w:w="284" w:type="dxa"/>
            <w:tcMar>
              <w:left w:w="0" w:type="dxa"/>
              <w:right w:w="0" w:type="dxa"/>
            </w:tcMar>
          </w:tcPr>
          <w:p w14:paraId="2E52D87A" w14:textId="77777777" w:rsidR="00814667" w:rsidRPr="00795749" w:rsidRDefault="00814667">
            <w:pPr>
              <w:pStyle w:val="SingleParagraph"/>
              <w:rPr>
                <w:rFonts w:ascii="Book Antiqua" w:hAnsi="Book Antiqua"/>
                <w:lang w:val="en-GB"/>
              </w:rPr>
            </w:pPr>
          </w:p>
        </w:tc>
        <w:tc>
          <w:tcPr>
            <w:tcW w:w="4536" w:type="dxa"/>
          </w:tcPr>
          <w:p w14:paraId="3B478D7F" w14:textId="77777777" w:rsidR="00814667" w:rsidRPr="00795749" w:rsidRDefault="00814667">
            <w:pPr>
              <w:pStyle w:val="SingleParagraph"/>
              <w:rPr>
                <w:rFonts w:ascii="Book Antiqua" w:hAnsi="Book Antiqua"/>
                <w:lang w:val="en-GB"/>
              </w:rPr>
            </w:pPr>
          </w:p>
        </w:tc>
      </w:tr>
      <w:tr w:rsidR="00814667" w:rsidRPr="00A50751" w14:paraId="5D820A42" w14:textId="77777777" w:rsidTr="00875A09">
        <w:trPr>
          <w:cantSplit/>
          <w:jc w:val="center"/>
        </w:trPr>
        <w:tc>
          <w:tcPr>
            <w:tcW w:w="4536" w:type="dxa"/>
          </w:tcPr>
          <w:p w14:paraId="42F7F48B" w14:textId="77777777" w:rsidR="007A738B" w:rsidRPr="00795749" w:rsidRDefault="007A738B" w:rsidP="007A738B">
            <w:pPr>
              <w:pStyle w:val="Signed"/>
            </w:pPr>
            <w:r w:rsidRPr="00795749">
              <w:rPr>
                <w:rStyle w:val="SignedBold"/>
              </w:rPr>
              <w:t>Signed</w:t>
            </w:r>
            <w:r w:rsidRPr="00795749">
              <w:t xml:space="preserve"> for and on behalf of the </w:t>
            </w:r>
            <w:r w:rsidRPr="00795749">
              <w:br/>
              <w:t xml:space="preserve">State of </w:t>
            </w:r>
            <w:r w:rsidR="00BA677D">
              <w:t>Tasmania</w:t>
            </w:r>
            <w:r w:rsidRPr="00795749">
              <w:t xml:space="preserve"> by</w:t>
            </w:r>
          </w:p>
          <w:p w14:paraId="3D6D5422" w14:textId="77777777" w:rsidR="007A738B" w:rsidRDefault="007A738B" w:rsidP="007A738B">
            <w:pPr>
              <w:pStyle w:val="LineForSignature"/>
            </w:pPr>
          </w:p>
          <w:p w14:paraId="26417BD0" w14:textId="77777777" w:rsidR="00BA677D" w:rsidRDefault="00BA677D" w:rsidP="007A738B">
            <w:pPr>
              <w:pStyle w:val="LineForSignature"/>
            </w:pPr>
          </w:p>
          <w:p w14:paraId="39379DC6" w14:textId="77777777" w:rsidR="00BA677D" w:rsidRPr="00795749" w:rsidRDefault="00BA677D" w:rsidP="007A738B">
            <w:pPr>
              <w:pStyle w:val="LineForSignature"/>
            </w:pPr>
          </w:p>
          <w:p w14:paraId="25AC8C26" w14:textId="77777777" w:rsidR="007A738B" w:rsidRPr="00795749" w:rsidRDefault="007A738B" w:rsidP="007A738B">
            <w:pPr>
              <w:pStyle w:val="LineForSignature"/>
            </w:pPr>
            <w:r w:rsidRPr="00795749">
              <w:tab/>
            </w:r>
          </w:p>
          <w:p w14:paraId="678951C3" w14:textId="0A27456B" w:rsidR="007A738B" w:rsidRPr="008E213B" w:rsidRDefault="007A738B" w:rsidP="007A738B">
            <w:pPr>
              <w:pStyle w:val="SingleParagraph"/>
              <w:rPr>
                <w:rStyle w:val="Bold"/>
              </w:rPr>
            </w:pPr>
            <w:r w:rsidRPr="008E213B">
              <w:rPr>
                <w:rStyle w:val="Bold"/>
              </w:rPr>
              <w:t xml:space="preserve">The </w:t>
            </w:r>
            <w:r w:rsidR="008E213B" w:rsidRPr="008E213B">
              <w:rPr>
                <w:rStyle w:val="Bold"/>
              </w:rPr>
              <w:t>Honourable Sarah Courtney MP</w:t>
            </w:r>
          </w:p>
          <w:p w14:paraId="1A129C61" w14:textId="1241CCFF" w:rsidR="007A738B" w:rsidRPr="00795749" w:rsidRDefault="007A738B" w:rsidP="007A738B">
            <w:pPr>
              <w:pStyle w:val="Position"/>
              <w:spacing w:after="0"/>
              <w:rPr>
                <w:lang w:val="en-GB"/>
              </w:rPr>
            </w:pPr>
            <w:r w:rsidRPr="008E213B">
              <w:rPr>
                <w:lang w:val="en-GB"/>
              </w:rPr>
              <w:t>Minister for</w:t>
            </w:r>
            <w:r w:rsidR="008E213B">
              <w:rPr>
                <w:lang w:val="en-GB"/>
              </w:rPr>
              <w:t xml:space="preserve"> Primary Industries and Water and Mister for Racing</w:t>
            </w:r>
          </w:p>
          <w:p w14:paraId="5705F65A" w14:textId="77777777" w:rsidR="007A738B" w:rsidRPr="00795749" w:rsidRDefault="007A738B" w:rsidP="007A738B">
            <w:pPr>
              <w:pStyle w:val="SingleParagraph"/>
              <w:tabs>
                <w:tab w:val="num" w:pos="1134"/>
              </w:tabs>
              <w:spacing w:after="240"/>
              <w:ind w:left="1134" w:hanging="567"/>
              <w:rPr>
                <w:lang w:val="en-GB"/>
              </w:rPr>
            </w:pPr>
          </w:p>
          <w:p w14:paraId="3BBE248E" w14:textId="77777777" w:rsidR="008E213B" w:rsidRPr="00795749" w:rsidRDefault="008E213B" w:rsidP="008E213B">
            <w:pPr>
              <w:pStyle w:val="SingleParagraph"/>
              <w:tabs>
                <w:tab w:val="num" w:pos="1134"/>
              </w:tabs>
              <w:spacing w:after="240"/>
              <w:ind w:left="1134" w:hanging="567"/>
              <w:rPr>
                <w:lang w:val="en-GB"/>
              </w:rPr>
            </w:pPr>
            <w:r>
              <w:rPr>
                <w:lang w:val="en-GB"/>
              </w:rPr>
              <w:t xml:space="preserve">/       </w:t>
            </w:r>
            <w:r w:rsidRPr="00795749">
              <w:rPr>
                <w:lang w:val="en-GB"/>
              </w:rPr>
              <w:t xml:space="preserve"> </w:t>
            </w:r>
            <w:r>
              <w:rPr>
                <w:lang w:val="en-GB"/>
              </w:rPr>
              <w:t xml:space="preserve">  /</w:t>
            </w:r>
            <w:r w:rsidRPr="00795749">
              <w:rPr>
                <w:lang w:val="en-GB"/>
              </w:rPr>
              <w:t xml:space="preserve"> </w:t>
            </w:r>
            <w:r>
              <w:rPr>
                <w:lang w:val="en-GB"/>
              </w:rPr>
              <w:t>2018</w:t>
            </w:r>
          </w:p>
          <w:p w14:paraId="1AC8AE9E" w14:textId="118BD02E" w:rsidR="00814667" w:rsidRPr="00795749" w:rsidRDefault="00814667" w:rsidP="007A738B">
            <w:pPr>
              <w:pStyle w:val="SingleParagraph"/>
              <w:tabs>
                <w:tab w:val="num" w:pos="1134"/>
              </w:tabs>
              <w:spacing w:after="240"/>
              <w:ind w:left="1134" w:hanging="567"/>
              <w:rPr>
                <w:szCs w:val="22"/>
                <w:lang w:val="en-GB"/>
              </w:rPr>
            </w:pPr>
          </w:p>
        </w:tc>
        <w:tc>
          <w:tcPr>
            <w:tcW w:w="284" w:type="dxa"/>
            <w:tcMar>
              <w:left w:w="0" w:type="dxa"/>
              <w:right w:w="0" w:type="dxa"/>
            </w:tcMar>
          </w:tcPr>
          <w:p w14:paraId="1FDFA7A9" w14:textId="77777777" w:rsidR="00814667" w:rsidRPr="00795749" w:rsidRDefault="00814667">
            <w:pPr>
              <w:rPr>
                <w:rFonts w:ascii="Book Antiqua" w:hAnsi="Book Antiqua"/>
                <w:lang w:val="en-GB"/>
              </w:rPr>
            </w:pPr>
          </w:p>
        </w:tc>
        <w:tc>
          <w:tcPr>
            <w:tcW w:w="4536" w:type="dxa"/>
          </w:tcPr>
          <w:p w14:paraId="622FC413" w14:textId="77777777" w:rsidR="00814667" w:rsidRPr="00795749" w:rsidRDefault="00814667" w:rsidP="00875A09">
            <w:pPr>
              <w:pStyle w:val="SingleParagraph"/>
              <w:tabs>
                <w:tab w:val="num" w:pos="1134"/>
              </w:tabs>
              <w:spacing w:after="240"/>
              <w:ind w:left="1134" w:hanging="567"/>
              <w:rPr>
                <w:lang w:val="en-GB"/>
              </w:rPr>
            </w:pPr>
          </w:p>
        </w:tc>
      </w:tr>
    </w:tbl>
    <w:p w14:paraId="60D05B65" w14:textId="77777777" w:rsidR="00DC196F" w:rsidRDefault="00DC196F">
      <w:pPr>
        <w:spacing w:after="0" w:line="240" w:lineRule="auto"/>
        <w:jc w:val="left"/>
      </w:pPr>
    </w:p>
    <w:sectPr w:rsidR="00DC196F" w:rsidSect="00C606F6">
      <w:headerReference w:type="first" r:id="rId20"/>
      <w:footerReference w:type="first" r:id="rId21"/>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DE760" w14:textId="77777777" w:rsidR="00924A15" w:rsidRDefault="00924A15">
      <w:r>
        <w:separator/>
      </w:r>
    </w:p>
  </w:endnote>
  <w:endnote w:type="continuationSeparator" w:id="0">
    <w:p w14:paraId="688898BE" w14:textId="77777777" w:rsidR="00924A15" w:rsidRDefault="0092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ZapfDingbats">
    <w:altName w:val="Times New Roman"/>
    <w:panose1 w:val="00000000000000000000"/>
    <w:charset w:val="02"/>
    <w:family w:val="decorative"/>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D0DF4" w14:textId="77777777" w:rsidR="00470E4E" w:rsidRDefault="00470E4E">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B4D262D" w14:textId="77777777" w:rsidR="00470E4E" w:rsidRDefault="00470E4E">
    <w:pPr>
      <w:pStyle w:val="FooterEven"/>
      <w:keepNext/>
      <w:tabs>
        <w:tab w:val="num" w:pos="17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31B83" w14:textId="77777777" w:rsidR="00470E4E" w:rsidRDefault="00470E4E">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AA7C0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30C67" w14:textId="77777777" w:rsidR="00470E4E" w:rsidRDefault="00470E4E">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A7C0F">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16DC8" w14:textId="77777777" w:rsidR="00470E4E" w:rsidRDefault="00470E4E" w:rsidP="00751725">
    <w:pPr>
      <w:pStyle w:val="FooterEven"/>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EC4EF" w14:textId="77777777" w:rsidR="00924A15" w:rsidRDefault="00924A15">
      <w:r>
        <w:separator/>
      </w:r>
    </w:p>
  </w:footnote>
  <w:footnote w:type="continuationSeparator" w:id="0">
    <w:p w14:paraId="549185A9" w14:textId="77777777" w:rsidR="00924A15" w:rsidRDefault="00924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E8A35" w14:textId="77777777" w:rsidR="00470E4E" w:rsidRPr="00814590" w:rsidRDefault="00470E4E">
    <w:pPr>
      <w:rPr>
        <w:color w:val="800000"/>
        <w:sz w:val="18"/>
        <w:szCs w:val="18"/>
      </w:rPr>
    </w:pPr>
    <w:r>
      <w:rPr>
        <w:color w:val="800000"/>
        <w:sz w:val="18"/>
        <w:szCs w:val="18"/>
      </w:rPr>
      <w:t>Project Agreement for [title of Project]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AE2BF" w14:textId="77777777" w:rsidR="00470E4E" w:rsidRPr="00814590" w:rsidRDefault="00470E4E">
    <w:pPr>
      <w:pStyle w:val="HeaderOdd"/>
      <w:tabs>
        <w:tab w:val="num" w:pos="1134"/>
      </w:tabs>
      <w:rPr>
        <w:color w:val="800000"/>
      </w:rPr>
    </w:pPr>
    <w:r>
      <w:rPr>
        <w:color w:val="800000"/>
      </w:rPr>
      <w:t xml:space="preserve">Project Agreement for </w:t>
    </w:r>
    <w:r w:rsidR="006347B2">
      <w:rPr>
        <w:color w:val="800000"/>
      </w:rPr>
      <w:t>Queensland Fruit Fly Response in Tasmania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B5CCE" w14:textId="77777777" w:rsidR="00470E4E" w:rsidRPr="00814590" w:rsidRDefault="00470E4E" w:rsidP="0036474E">
    <w:pPr>
      <w:pStyle w:val="HeaderOdd"/>
      <w:tabs>
        <w:tab w:val="num" w:pos="1134"/>
      </w:tabs>
      <w:rPr>
        <w:color w:val="800000"/>
      </w:rPr>
    </w:pPr>
    <w:r>
      <w:rPr>
        <w:color w:val="800000"/>
      </w:rPr>
      <w:t xml:space="preserve">Project Agreement for the </w:t>
    </w:r>
    <w:r w:rsidR="00BA677D">
      <w:rPr>
        <w:color w:val="800000"/>
      </w:rPr>
      <w:t>Fruit Fly Outbreak</w:t>
    </w:r>
  </w:p>
  <w:p w14:paraId="77540D5F" w14:textId="77777777" w:rsidR="00470E4E" w:rsidRPr="00751725" w:rsidRDefault="00470E4E" w:rsidP="0028187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nsid w:val="0870550E"/>
    <w:multiLevelType w:val="hybridMultilevel"/>
    <w:tmpl w:val="7C52D06A"/>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0C09001B">
      <w:start w:val="1"/>
      <w:numFmt w:val="lowerRoman"/>
      <w:lvlText w:val="%2."/>
      <w:lvlJc w:val="righ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4">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6">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7">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8">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9">
    <w:nsid w:val="2EAA6C91"/>
    <w:multiLevelType w:val="hybridMultilevel"/>
    <w:tmpl w:val="82E62DCA"/>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660EB736">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1">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2">
    <w:nsid w:val="4E4D29B5"/>
    <w:multiLevelType w:val="multilevel"/>
    <w:tmpl w:val="73ECACC0"/>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3">
    <w:nsid w:val="557952B7"/>
    <w:multiLevelType w:val="multilevel"/>
    <w:tmpl w:val="73ECACC0"/>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4">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15">
    <w:nsid w:val="56C74872"/>
    <w:multiLevelType w:val="hybridMultilevel"/>
    <w:tmpl w:val="E20EE35C"/>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660EB736">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7">
    <w:nsid w:val="5ACE61F3"/>
    <w:multiLevelType w:val="hybridMultilevel"/>
    <w:tmpl w:val="E31EA5CC"/>
    <w:lvl w:ilvl="0" w:tplc="660EB736">
      <w:start w:val="1"/>
      <w:numFmt w:val="lowerLetter"/>
      <w:lvlText w:val="(%1)"/>
      <w:lvlJc w:val="left"/>
      <w:pPr>
        <w:ind w:left="1287" w:hanging="360"/>
      </w:pPr>
      <w:rPr>
        <w:rFonts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9">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1">
    <w:nsid w:val="78854AAC"/>
    <w:multiLevelType w:val="hybridMultilevel"/>
    <w:tmpl w:val="7CD0A3E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11"/>
  </w:num>
  <w:num w:numId="4">
    <w:abstractNumId w:val="16"/>
  </w:num>
  <w:num w:numId="5">
    <w:abstractNumId w:val="3"/>
  </w:num>
  <w:num w:numId="6">
    <w:abstractNumId w:val="18"/>
  </w:num>
  <w:num w:numId="7">
    <w:abstractNumId w:val="4"/>
  </w:num>
  <w:num w:numId="8">
    <w:abstractNumId w:val="7"/>
  </w:num>
  <w:num w:numId="9">
    <w:abstractNumId w:val="21"/>
  </w:num>
  <w:num w:numId="10">
    <w:abstractNumId w:val="2"/>
  </w:num>
  <w:num w:numId="11">
    <w:abstractNumId w:val="14"/>
  </w:num>
  <w:num w:numId="12">
    <w:abstractNumId w:val="19"/>
  </w:num>
  <w:num w:numId="13">
    <w:abstractNumId w:val="10"/>
  </w:num>
  <w:num w:numId="14">
    <w:abstractNumId w:val="20"/>
  </w:num>
  <w:num w:numId="15">
    <w:abstractNumId w:val="5"/>
  </w:num>
  <w:num w:numId="16">
    <w:abstractNumId w:val="8"/>
  </w:num>
  <w:num w:numId="17">
    <w:abstractNumId w:val="12"/>
  </w:num>
  <w:num w:numId="18">
    <w:abstractNumId w:val="13"/>
  </w:num>
  <w:num w:numId="19">
    <w:abstractNumId w:val="17"/>
  </w:num>
  <w:num w:numId="20">
    <w:abstractNumId w:val="0"/>
  </w:num>
  <w:num w:numId="21">
    <w:abstractNumId w:val="0"/>
  </w:num>
  <w:num w:numId="22">
    <w:abstractNumId w:val="0"/>
  </w:num>
  <w:num w:numId="23">
    <w:abstractNumId w:val="0"/>
  </w:num>
  <w:num w:numId="24">
    <w:abstractNumId w:val="0"/>
  </w:num>
  <w:num w:numId="25">
    <w:abstractNumId w:val="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0"/>
  </w:num>
  <w:num w:numId="29">
    <w:abstractNumId w:val="1"/>
  </w:num>
  <w:num w:numId="30">
    <w:abstractNumId w:val="0"/>
  </w:num>
  <w:num w:numId="31">
    <w:abstractNumId w:val="0"/>
  </w:num>
  <w:num w:numId="32">
    <w:abstractNumId w:val="0"/>
  </w:num>
  <w:num w:numId="33">
    <w:abstractNumId w:val="15"/>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67"/>
    <w:rsid w:val="00005A5D"/>
    <w:rsid w:val="000076D9"/>
    <w:rsid w:val="00012A53"/>
    <w:rsid w:val="00021708"/>
    <w:rsid w:val="00023869"/>
    <w:rsid w:val="00030CB2"/>
    <w:rsid w:val="00033F95"/>
    <w:rsid w:val="0003437D"/>
    <w:rsid w:val="000343F1"/>
    <w:rsid w:val="00044700"/>
    <w:rsid w:val="00057B7C"/>
    <w:rsid w:val="0006051B"/>
    <w:rsid w:val="000614F9"/>
    <w:rsid w:val="0006432D"/>
    <w:rsid w:val="0006451A"/>
    <w:rsid w:val="0006551D"/>
    <w:rsid w:val="00065679"/>
    <w:rsid w:val="0007004C"/>
    <w:rsid w:val="000724F6"/>
    <w:rsid w:val="00074611"/>
    <w:rsid w:val="00074A62"/>
    <w:rsid w:val="00075E4B"/>
    <w:rsid w:val="00083888"/>
    <w:rsid w:val="00086712"/>
    <w:rsid w:val="00091DF8"/>
    <w:rsid w:val="00093CB6"/>
    <w:rsid w:val="00093DD8"/>
    <w:rsid w:val="00097794"/>
    <w:rsid w:val="000A0C9E"/>
    <w:rsid w:val="000A3494"/>
    <w:rsid w:val="000A5191"/>
    <w:rsid w:val="000A7BFC"/>
    <w:rsid w:val="000B4080"/>
    <w:rsid w:val="000B421D"/>
    <w:rsid w:val="000B6C9D"/>
    <w:rsid w:val="000B7685"/>
    <w:rsid w:val="000C487A"/>
    <w:rsid w:val="000C6768"/>
    <w:rsid w:val="000C714F"/>
    <w:rsid w:val="000D19D8"/>
    <w:rsid w:val="000D1C37"/>
    <w:rsid w:val="000D4377"/>
    <w:rsid w:val="000E075D"/>
    <w:rsid w:val="000E2738"/>
    <w:rsid w:val="000E2AF6"/>
    <w:rsid w:val="000E36B7"/>
    <w:rsid w:val="000E3C70"/>
    <w:rsid w:val="000E48C3"/>
    <w:rsid w:val="000F0880"/>
    <w:rsid w:val="000F25D5"/>
    <w:rsid w:val="000F279F"/>
    <w:rsid w:val="000F4486"/>
    <w:rsid w:val="000F4DB7"/>
    <w:rsid w:val="000F6CF6"/>
    <w:rsid w:val="00103FD6"/>
    <w:rsid w:val="001065EE"/>
    <w:rsid w:val="00110F5D"/>
    <w:rsid w:val="001134AC"/>
    <w:rsid w:val="00114B50"/>
    <w:rsid w:val="00115166"/>
    <w:rsid w:val="00115A97"/>
    <w:rsid w:val="00116633"/>
    <w:rsid w:val="00122DBA"/>
    <w:rsid w:val="001262B5"/>
    <w:rsid w:val="00132587"/>
    <w:rsid w:val="001404A9"/>
    <w:rsid w:val="00140F43"/>
    <w:rsid w:val="00141F28"/>
    <w:rsid w:val="00145D5C"/>
    <w:rsid w:val="00151133"/>
    <w:rsid w:val="00160506"/>
    <w:rsid w:val="0016131F"/>
    <w:rsid w:val="001629FA"/>
    <w:rsid w:val="001653BA"/>
    <w:rsid w:val="00165CAB"/>
    <w:rsid w:val="00166312"/>
    <w:rsid w:val="00166858"/>
    <w:rsid w:val="00167BB8"/>
    <w:rsid w:val="001713CF"/>
    <w:rsid w:val="00172360"/>
    <w:rsid w:val="00172E3A"/>
    <w:rsid w:val="00173F81"/>
    <w:rsid w:val="00174C2A"/>
    <w:rsid w:val="00175FB9"/>
    <w:rsid w:val="0017721F"/>
    <w:rsid w:val="00177A0A"/>
    <w:rsid w:val="00180F76"/>
    <w:rsid w:val="00183EAB"/>
    <w:rsid w:val="00185CC1"/>
    <w:rsid w:val="00187BEB"/>
    <w:rsid w:val="001908C7"/>
    <w:rsid w:val="001931E8"/>
    <w:rsid w:val="0019396F"/>
    <w:rsid w:val="00194232"/>
    <w:rsid w:val="00194587"/>
    <w:rsid w:val="0019548D"/>
    <w:rsid w:val="001968B4"/>
    <w:rsid w:val="001A1422"/>
    <w:rsid w:val="001A14C1"/>
    <w:rsid w:val="001A3A9A"/>
    <w:rsid w:val="001A3F52"/>
    <w:rsid w:val="001A4093"/>
    <w:rsid w:val="001A5DA4"/>
    <w:rsid w:val="001A79C1"/>
    <w:rsid w:val="001A7A15"/>
    <w:rsid w:val="001B19A0"/>
    <w:rsid w:val="001B1CA3"/>
    <w:rsid w:val="001B447F"/>
    <w:rsid w:val="001B580E"/>
    <w:rsid w:val="001B7933"/>
    <w:rsid w:val="001B79FB"/>
    <w:rsid w:val="001C346E"/>
    <w:rsid w:val="001C3717"/>
    <w:rsid w:val="001C3F6F"/>
    <w:rsid w:val="001C4FC7"/>
    <w:rsid w:val="001C5CC5"/>
    <w:rsid w:val="001C6941"/>
    <w:rsid w:val="001D211D"/>
    <w:rsid w:val="001D2C27"/>
    <w:rsid w:val="001D3CAD"/>
    <w:rsid w:val="001D6E9A"/>
    <w:rsid w:val="001E20EC"/>
    <w:rsid w:val="001E4479"/>
    <w:rsid w:val="001E7173"/>
    <w:rsid w:val="001E74D0"/>
    <w:rsid w:val="001E7803"/>
    <w:rsid w:val="001F1D48"/>
    <w:rsid w:val="001F6F39"/>
    <w:rsid w:val="001F6FE8"/>
    <w:rsid w:val="0020144E"/>
    <w:rsid w:val="00205E18"/>
    <w:rsid w:val="00206773"/>
    <w:rsid w:val="002069F9"/>
    <w:rsid w:val="00212869"/>
    <w:rsid w:val="00216C3A"/>
    <w:rsid w:val="00221308"/>
    <w:rsid w:val="00222C97"/>
    <w:rsid w:val="00222ED4"/>
    <w:rsid w:val="00225761"/>
    <w:rsid w:val="00227F8F"/>
    <w:rsid w:val="002332F4"/>
    <w:rsid w:val="00233835"/>
    <w:rsid w:val="00241EE9"/>
    <w:rsid w:val="0024272B"/>
    <w:rsid w:val="00244500"/>
    <w:rsid w:val="00247D45"/>
    <w:rsid w:val="00252551"/>
    <w:rsid w:val="002541F6"/>
    <w:rsid w:val="00261ABA"/>
    <w:rsid w:val="00262E18"/>
    <w:rsid w:val="0026571E"/>
    <w:rsid w:val="002700D2"/>
    <w:rsid w:val="002702A4"/>
    <w:rsid w:val="00270749"/>
    <w:rsid w:val="00272D32"/>
    <w:rsid w:val="00274AE0"/>
    <w:rsid w:val="00281874"/>
    <w:rsid w:val="00282C25"/>
    <w:rsid w:val="00284884"/>
    <w:rsid w:val="00285003"/>
    <w:rsid w:val="002869F5"/>
    <w:rsid w:val="00287DCC"/>
    <w:rsid w:val="00291CF1"/>
    <w:rsid w:val="00292587"/>
    <w:rsid w:val="00297499"/>
    <w:rsid w:val="002A0FEE"/>
    <w:rsid w:val="002A143D"/>
    <w:rsid w:val="002A24AF"/>
    <w:rsid w:val="002A3DE9"/>
    <w:rsid w:val="002A493A"/>
    <w:rsid w:val="002A530A"/>
    <w:rsid w:val="002A5884"/>
    <w:rsid w:val="002A61E0"/>
    <w:rsid w:val="002A6981"/>
    <w:rsid w:val="002B1C50"/>
    <w:rsid w:val="002B207C"/>
    <w:rsid w:val="002B7922"/>
    <w:rsid w:val="002B7E1B"/>
    <w:rsid w:val="002C2529"/>
    <w:rsid w:val="002C2954"/>
    <w:rsid w:val="002C2A03"/>
    <w:rsid w:val="002C62B3"/>
    <w:rsid w:val="002C7620"/>
    <w:rsid w:val="002D122C"/>
    <w:rsid w:val="002D2E13"/>
    <w:rsid w:val="002D7CF9"/>
    <w:rsid w:val="002E1307"/>
    <w:rsid w:val="002E144A"/>
    <w:rsid w:val="002E15AF"/>
    <w:rsid w:val="002E2DE2"/>
    <w:rsid w:val="002E35A9"/>
    <w:rsid w:val="002E4B66"/>
    <w:rsid w:val="002F1958"/>
    <w:rsid w:val="002F289B"/>
    <w:rsid w:val="002F576E"/>
    <w:rsid w:val="002F5B29"/>
    <w:rsid w:val="002F5B54"/>
    <w:rsid w:val="002F5C6C"/>
    <w:rsid w:val="002F7E40"/>
    <w:rsid w:val="003012DA"/>
    <w:rsid w:val="00305B65"/>
    <w:rsid w:val="00307462"/>
    <w:rsid w:val="00307C5C"/>
    <w:rsid w:val="003106BF"/>
    <w:rsid w:val="00312CFE"/>
    <w:rsid w:val="00313480"/>
    <w:rsid w:val="00313C98"/>
    <w:rsid w:val="00313FD9"/>
    <w:rsid w:val="003155BD"/>
    <w:rsid w:val="0031562B"/>
    <w:rsid w:val="00317368"/>
    <w:rsid w:val="003177B9"/>
    <w:rsid w:val="00321E0A"/>
    <w:rsid w:val="00321EC9"/>
    <w:rsid w:val="003223F7"/>
    <w:rsid w:val="003270D4"/>
    <w:rsid w:val="0033033C"/>
    <w:rsid w:val="00333506"/>
    <w:rsid w:val="00340987"/>
    <w:rsid w:val="003410AA"/>
    <w:rsid w:val="0034465F"/>
    <w:rsid w:val="00352A6B"/>
    <w:rsid w:val="00352EC1"/>
    <w:rsid w:val="003550F1"/>
    <w:rsid w:val="00361054"/>
    <w:rsid w:val="0036119D"/>
    <w:rsid w:val="003637A0"/>
    <w:rsid w:val="0036474E"/>
    <w:rsid w:val="00364BA4"/>
    <w:rsid w:val="00364CF3"/>
    <w:rsid w:val="00365CAA"/>
    <w:rsid w:val="00367C8A"/>
    <w:rsid w:val="00367EAB"/>
    <w:rsid w:val="00370A6D"/>
    <w:rsid w:val="00372573"/>
    <w:rsid w:val="0037293B"/>
    <w:rsid w:val="00375442"/>
    <w:rsid w:val="00377AB2"/>
    <w:rsid w:val="003877C3"/>
    <w:rsid w:val="0039283B"/>
    <w:rsid w:val="00392F3E"/>
    <w:rsid w:val="0039669E"/>
    <w:rsid w:val="00396EA4"/>
    <w:rsid w:val="003A16B9"/>
    <w:rsid w:val="003A2157"/>
    <w:rsid w:val="003A3363"/>
    <w:rsid w:val="003A3905"/>
    <w:rsid w:val="003A3CC1"/>
    <w:rsid w:val="003A6635"/>
    <w:rsid w:val="003A6B0E"/>
    <w:rsid w:val="003A78C6"/>
    <w:rsid w:val="003B0540"/>
    <w:rsid w:val="003B5562"/>
    <w:rsid w:val="003B6363"/>
    <w:rsid w:val="003B737F"/>
    <w:rsid w:val="003C0CEA"/>
    <w:rsid w:val="003C0CF7"/>
    <w:rsid w:val="003C29B3"/>
    <w:rsid w:val="003C2E5D"/>
    <w:rsid w:val="003C59E0"/>
    <w:rsid w:val="003C6F2A"/>
    <w:rsid w:val="003D743C"/>
    <w:rsid w:val="003E33BA"/>
    <w:rsid w:val="003E6BA0"/>
    <w:rsid w:val="003E73DB"/>
    <w:rsid w:val="003F0ADC"/>
    <w:rsid w:val="003F59E6"/>
    <w:rsid w:val="003F5BE6"/>
    <w:rsid w:val="003F6C00"/>
    <w:rsid w:val="0040035F"/>
    <w:rsid w:val="00405FEE"/>
    <w:rsid w:val="00410242"/>
    <w:rsid w:val="004120B1"/>
    <w:rsid w:val="00413E74"/>
    <w:rsid w:val="0041421D"/>
    <w:rsid w:val="0041490D"/>
    <w:rsid w:val="00414A5C"/>
    <w:rsid w:val="004156B4"/>
    <w:rsid w:val="0041697F"/>
    <w:rsid w:val="00420235"/>
    <w:rsid w:val="004223AA"/>
    <w:rsid w:val="00423104"/>
    <w:rsid w:val="004267D3"/>
    <w:rsid w:val="00427909"/>
    <w:rsid w:val="00427E2A"/>
    <w:rsid w:val="00431556"/>
    <w:rsid w:val="00433B2A"/>
    <w:rsid w:val="00433E65"/>
    <w:rsid w:val="004374B2"/>
    <w:rsid w:val="004426E9"/>
    <w:rsid w:val="00442AB8"/>
    <w:rsid w:val="004436EA"/>
    <w:rsid w:val="0044456C"/>
    <w:rsid w:val="00450B39"/>
    <w:rsid w:val="00453BC6"/>
    <w:rsid w:val="00454239"/>
    <w:rsid w:val="00454498"/>
    <w:rsid w:val="00454502"/>
    <w:rsid w:val="00456C59"/>
    <w:rsid w:val="00470E4E"/>
    <w:rsid w:val="00471781"/>
    <w:rsid w:val="004723D3"/>
    <w:rsid w:val="00477931"/>
    <w:rsid w:val="00480E25"/>
    <w:rsid w:val="004834C4"/>
    <w:rsid w:val="00490198"/>
    <w:rsid w:val="00490350"/>
    <w:rsid w:val="00490E28"/>
    <w:rsid w:val="00494E08"/>
    <w:rsid w:val="00497362"/>
    <w:rsid w:val="00497C77"/>
    <w:rsid w:val="004A0AE7"/>
    <w:rsid w:val="004A4636"/>
    <w:rsid w:val="004A523F"/>
    <w:rsid w:val="004A6062"/>
    <w:rsid w:val="004A673A"/>
    <w:rsid w:val="004A770F"/>
    <w:rsid w:val="004B0813"/>
    <w:rsid w:val="004B136A"/>
    <w:rsid w:val="004B1F38"/>
    <w:rsid w:val="004B21C5"/>
    <w:rsid w:val="004B2EF6"/>
    <w:rsid w:val="004B34A6"/>
    <w:rsid w:val="004B5612"/>
    <w:rsid w:val="004B5AA7"/>
    <w:rsid w:val="004B6083"/>
    <w:rsid w:val="004B6927"/>
    <w:rsid w:val="004B7E5C"/>
    <w:rsid w:val="004C376F"/>
    <w:rsid w:val="004C3CC4"/>
    <w:rsid w:val="004C4D5E"/>
    <w:rsid w:val="004C57EB"/>
    <w:rsid w:val="004D11ED"/>
    <w:rsid w:val="004D310E"/>
    <w:rsid w:val="004D37D8"/>
    <w:rsid w:val="004D4B81"/>
    <w:rsid w:val="004F431F"/>
    <w:rsid w:val="004F5599"/>
    <w:rsid w:val="004F5DCD"/>
    <w:rsid w:val="004F6B2B"/>
    <w:rsid w:val="005005DF"/>
    <w:rsid w:val="00505045"/>
    <w:rsid w:val="00507D63"/>
    <w:rsid w:val="00510B96"/>
    <w:rsid w:val="00511501"/>
    <w:rsid w:val="00511B5B"/>
    <w:rsid w:val="00515026"/>
    <w:rsid w:val="00515AF2"/>
    <w:rsid w:val="0051640E"/>
    <w:rsid w:val="00516741"/>
    <w:rsid w:val="0051684E"/>
    <w:rsid w:val="00527ABC"/>
    <w:rsid w:val="00541121"/>
    <w:rsid w:val="0054193D"/>
    <w:rsid w:val="00542A8C"/>
    <w:rsid w:val="00542D59"/>
    <w:rsid w:val="00543637"/>
    <w:rsid w:val="00545DF7"/>
    <w:rsid w:val="00546CA2"/>
    <w:rsid w:val="005539F5"/>
    <w:rsid w:val="00553E99"/>
    <w:rsid w:val="0055415C"/>
    <w:rsid w:val="00554AAC"/>
    <w:rsid w:val="0055503F"/>
    <w:rsid w:val="005572D7"/>
    <w:rsid w:val="005601F2"/>
    <w:rsid w:val="00563797"/>
    <w:rsid w:val="00563BEA"/>
    <w:rsid w:val="005651B5"/>
    <w:rsid w:val="00566234"/>
    <w:rsid w:val="00566F60"/>
    <w:rsid w:val="0057262B"/>
    <w:rsid w:val="00572CB0"/>
    <w:rsid w:val="005815B3"/>
    <w:rsid w:val="00582470"/>
    <w:rsid w:val="00582A03"/>
    <w:rsid w:val="005863D3"/>
    <w:rsid w:val="00587E37"/>
    <w:rsid w:val="00590A42"/>
    <w:rsid w:val="00593405"/>
    <w:rsid w:val="00593821"/>
    <w:rsid w:val="00596E88"/>
    <w:rsid w:val="00597CBD"/>
    <w:rsid w:val="005A0969"/>
    <w:rsid w:val="005A2D52"/>
    <w:rsid w:val="005A5E7A"/>
    <w:rsid w:val="005B0DEF"/>
    <w:rsid w:val="005B2A03"/>
    <w:rsid w:val="005B4C1B"/>
    <w:rsid w:val="005C2684"/>
    <w:rsid w:val="005C2DDC"/>
    <w:rsid w:val="005C5620"/>
    <w:rsid w:val="005C578C"/>
    <w:rsid w:val="005D1F0F"/>
    <w:rsid w:val="005D22B2"/>
    <w:rsid w:val="005D29DB"/>
    <w:rsid w:val="005D41F9"/>
    <w:rsid w:val="005E387E"/>
    <w:rsid w:val="005E4143"/>
    <w:rsid w:val="005E724B"/>
    <w:rsid w:val="005F080A"/>
    <w:rsid w:val="00601F7C"/>
    <w:rsid w:val="00602A48"/>
    <w:rsid w:val="00602B17"/>
    <w:rsid w:val="00602EF7"/>
    <w:rsid w:val="00606F11"/>
    <w:rsid w:val="00607B03"/>
    <w:rsid w:val="0061059D"/>
    <w:rsid w:val="006109FD"/>
    <w:rsid w:val="006121F0"/>
    <w:rsid w:val="0061326F"/>
    <w:rsid w:val="00614393"/>
    <w:rsid w:val="006146F2"/>
    <w:rsid w:val="00614C00"/>
    <w:rsid w:val="00623567"/>
    <w:rsid w:val="00627883"/>
    <w:rsid w:val="006347B2"/>
    <w:rsid w:val="006412B5"/>
    <w:rsid w:val="00641932"/>
    <w:rsid w:val="0064349C"/>
    <w:rsid w:val="006439E7"/>
    <w:rsid w:val="00643D7A"/>
    <w:rsid w:val="00644083"/>
    <w:rsid w:val="0064429B"/>
    <w:rsid w:val="0064477C"/>
    <w:rsid w:val="0065075A"/>
    <w:rsid w:val="00650903"/>
    <w:rsid w:val="00652211"/>
    <w:rsid w:val="00652AD6"/>
    <w:rsid w:val="0066029B"/>
    <w:rsid w:val="006650A8"/>
    <w:rsid w:val="006679C0"/>
    <w:rsid w:val="00680ED5"/>
    <w:rsid w:val="00681956"/>
    <w:rsid w:val="00682E8D"/>
    <w:rsid w:val="00682FBA"/>
    <w:rsid w:val="00683370"/>
    <w:rsid w:val="00684EC1"/>
    <w:rsid w:val="006903F9"/>
    <w:rsid w:val="0069066D"/>
    <w:rsid w:val="00690F05"/>
    <w:rsid w:val="006923C8"/>
    <w:rsid w:val="00696AB4"/>
    <w:rsid w:val="00697494"/>
    <w:rsid w:val="006976BF"/>
    <w:rsid w:val="006A05D7"/>
    <w:rsid w:val="006A4628"/>
    <w:rsid w:val="006B3F39"/>
    <w:rsid w:val="006B4213"/>
    <w:rsid w:val="006B43AF"/>
    <w:rsid w:val="006B4DF0"/>
    <w:rsid w:val="006B5790"/>
    <w:rsid w:val="006B7F9B"/>
    <w:rsid w:val="006C1013"/>
    <w:rsid w:val="006C163A"/>
    <w:rsid w:val="006C228B"/>
    <w:rsid w:val="006C23FA"/>
    <w:rsid w:val="006C2931"/>
    <w:rsid w:val="006C6A62"/>
    <w:rsid w:val="006D466E"/>
    <w:rsid w:val="006D4B70"/>
    <w:rsid w:val="006D4C35"/>
    <w:rsid w:val="006D7172"/>
    <w:rsid w:val="006D7A92"/>
    <w:rsid w:val="006E3B48"/>
    <w:rsid w:val="006E581D"/>
    <w:rsid w:val="006E6184"/>
    <w:rsid w:val="006E631B"/>
    <w:rsid w:val="006F096A"/>
    <w:rsid w:val="006F22E3"/>
    <w:rsid w:val="006F3095"/>
    <w:rsid w:val="006F5455"/>
    <w:rsid w:val="006F5CB6"/>
    <w:rsid w:val="006F6A6F"/>
    <w:rsid w:val="006F7242"/>
    <w:rsid w:val="006F79D3"/>
    <w:rsid w:val="00703194"/>
    <w:rsid w:val="00706E50"/>
    <w:rsid w:val="0070737C"/>
    <w:rsid w:val="00711229"/>
    <w:rsid w:val="00715018"/>
    <w:rsid w:val="007179FE"/>
    <w:rsid w:val="00717F25"/>
    <w:rsid w:val="007201B1"/>
    <w:rsid w:val="007201D7"/>
    <w:rsid w:val="00724E14"/>
    <w:rsid w:val="00725AD5"/>
    <w:rsid w:val="00726DB5"/>
    <w:rsid w:val="00726EB4"/>
    <w:rsid w:val="00731945"/>
    <w:rsid w:val="00732332"/>
    <w:rsid w:val="00733F72"/>
    <w:rsid w:val="00735512"/>
    <w:rsid w:val="007363DE"/>
    <w:rsid w:val="0073698D"/>
    <w:rsid w:val="00736C0B"/>
    <w:rsid w:val="0074096F"/>
    <w:rsid w:val="00744D93"/>
    <w:rsid w:val="00746531"/>
    <w:rsid w:val="00750F59"/>
    <w:rsid w:val="00751725"/>
    <w:rsid w:val="00752028"/>
    <w:rsid w:val="0075450A"/>
    <w:rsid w:val="0075717D"/>
    <w:rsid w:val="0076017E"/>
    <w:rsid w:val="00760DB6"/>
    <w:rsid w:val="0076361C"/>
    <w:rsid w:val="00765B0F"/>
    <w:rsid w:val="007661AE"/>
    <w:rsid w:val="00766A51"/>
    <w:rsid w:val="0076707D"/>
    <w:rsid w:val="00771FFF"/>
    <w:rsid w:val="00772818"/>
    <w:rsid w:val="007731E3"/>
    <w:rsid w:val="00775EEF"/>
    <w:rsid w:val="0077685D"/>
    <w:rsid w:val="007776CB"/>
    <w:rsid w:val="0077788E"/>
    <w:rsid w:val="00781E99"/>
    <w:rsid w:val="00784439"/>
    <w:rsid w:val="00787E75"/>
    <w:rsid w:val="00792C9D"/>
    <w:rsid w:val="00795749"/>
    <w:rsid w:val="00797257"/>
    <w:rsid w:val="007A3157"/>
    <w:rsid w:val="007A3A42"/>
    <w:rsid w:val="007A6E20"/>
    <w:rsid w:val="007A738B"/>
    <w:rsid w:val="007B10ED"/>
    <w:rsid w:val="007B2B2E"/>
    <w:rsid w:val="007B3BFC"/>
    <w:rsid w:val="007B4B03"/>
    <w:rsid w:val="007B614F"/>
    <w:rsid w:val="007C4F31"/>
    <w:rsid w:val="007D499E"/>
    <w:rsid w:val="007D6A97"/>
    <w:rsid w:val="007E4EF0"/>
    <w:rsid w:val="007E5257"/>
    <w:rsid w:val="007E5391"/>
    <w:rsid w:val="007F2951"/>
    <w:rsid w:val="007F4EF5"/>
    <w:rsid w:val="00802280"/>
    <w:rsid w:val="00803869"/>
    <w:rsid w:val="00804105"/>
    <w:rsid w:val="00806B99"/>
    <w:rsid w:val="00806D94"/>
    <w:rsid w:val="00807AD8"/>
    <w:rsid w:val="00811800"/>
    <w:rsid w:val="00812E1C"/>
    <w:rsid w:val="00813CFF"/>
    <w:rsid w:val="008140C5"/>
    <w:rsid w:val="00814590"/>
    <w:rsid w:val="00814667"/>
    <w:rsid w:val="008148E2"/>
    <w:rsid w:val="008149E4"/>
    <w:rsid w:val="008156B7"/>
    <w:rsid w:val="00817D90"/>
    <w:rsid w:val="00822355"/>
    <w:rsid w:val="0082332D"/>
    <w:rsid w:val="0082402C"/>
    <w:rsid w:val="008244F8"/>
    <w:rsid w:val="00825FF5"/>
    <w:rsid w:val="008262F1"/>
    <w:rsid w:val="008311FA"/>
    <w:rsid w:val="008317EF"/>
    <w:rsid w:val="00832D33"/>
    <w:rsid w:val="008454E4"/>
    <w:rsid w:val="00845BCC"/>
    <w:rsid w:val="00851465"/>
    <w:rsid w:val="008514B8"/>
    <w:rsid w:val="008524B2"/>
    <w:rsid w:val="00852ED8"/>
    <w:rsid w:val="0085330A"/>
    <w:rsid w:val="008536FF"/>
    <w:rsid w:val="008550CA"/>
    <w:rsid w:val="0085533A"/>
    <w:rsid w:val="00855543"/>
    <w:rsid w:val="0085738D"/>
    <w:rsid w:val="00862395"/>
    <w:rsid w:val="00862DF4"/>
    <w:rsid w:val="00864DD3"/>
    <w:rsid w:val="00867BFA"/>
    <w:rsid w:val="008708D6"/>
    <w:rsid w:val="00874608"/>
    <w:rsid w:val="00875A09"/>
    <w:rsid w:val="008760D0"/>
    <w:rsid w:val="00881317"/>
    <w:rsid w:val="008843EE"/>
    <w:rsid w:val="00890F09"/>
    <w:rsid w:val="00892C17"/>
    <w:rsid w:val="00892CA4"/>
    <w:rsid w:val="00893F84"/>
    <w:rsid w:val="00896477"/>
    <w:rsid w:val="00896BD6"/>
    <w:rsid w:val="00896F5A"/>
    <w:rsid w:val="008A0D5B"/>
    <w:rsid w:val="008A3C37"/>
    <w:rsid w:val="008A6873"/>
    <w:rsid w:val="008A7807"/>
    <w:rsid w:val="008B0D95"/>
    <w:rsid w:val="008B1840"/>
    <w:rsid w:val="008B70D3"/>
    <w:rsid w:val="008B73A2"/>
    <w:rsid w:val="008B7FE2"/>
    <w:rsid w:val="008C0171"/>
    <w:rsid w:val="008C0A05"/>
    <w:rsid w:val="008C0BBA"/>
    <w:rsid w:val="008C2450"/>
    <w:rsid w:val="008C7817"/>
    <w:rsid w:val="008C7F5B"/>
    <w:rsid w:val="008D079A"/>
    <w:rsid w:val="008D0E2E"/>
    <w:rsid w:val="008D2F40"/>
    <w:rsid w:val="008D5B52"/>
    <w:rsid w:val="008E0AD6"/>
    <w:rsid w:val="008E213B"/>
    <w:rsid w:val="008E4209"/>
    <w:rsid w:val="008E48FC"/>
    <w:rsid w:val="008E55BD"/>
    <w:rsid w:val="008E7527"/>
    <w:rsid w:val="008F2AD6"/>
    <w:rsid w:val="008F44F1"/>
    <w:rsid w:val="008F485C"/>
    <w:rsid w:val="008F4BA8"/>
    <w:rsid w:val="008F5C07"/>
    <w:rsid w:val="008F696D"/>
    <w:rsid w:val="008F7777"/>
    <w:rsid w:val="00901CF5"/>
    <w:rsid w:val="00901F53"/>
    <w:rsid w:val="00904C3C"/>
    <w:rsid w:val="00905139"/>
    <w:rsid w:val="00906431"/>
    <w:rsid w:val="009115AF"/>
    <w:rsid w:val="00913276"/>
    <w:rsid w:val="009221DF"/>
    <w:rsid w:val="009224FD"/>
    <w:rsid w:val="0092457D"/>
    <w:rsid w:val="00924A15"/>
    <w:rsid w:val="0093296C"/>
    <w:rsid w:val="00935CC7"/>
    <w:rsid w:val="0094002F"/>
    <w:rsid w:val="0094129D"/>
    <w:rsid w:val="00941BB7"/>
    <w:rsid w:val="00944760"/>
    <w:rsid w:val="00946A91"/>
    <w:rsid w:val="00946AE5"/>
    <w:rsid w:val="00950865"/>
    <w:rsid w:val="00951BAD"/>
    <w:rsid w:val="0095223D"/>
    <w:rsid w:val="009526E4"/>
    <w:rsid w:val="00953AA1"/>
    <w:rsid w:val="00954B44"/>
    <w:rsid w:val="0096372E"/>
    <w:rsid w:val="009644B8"/>
    <w:rsid w:val="0096732C"/>
    <w:rsid w:val="009703B6"/>
    <w:rsid w:val="00971A4C"/>
    <w:rsid w:val="009749B4"/>
    <w:rsid w:val="00975EB5"/>
    <w:rsid w:val="00983979"/>
    <w:rsid w:val="00983DC2"/>
    <w:rsid w:val="00983DF0"/>
    <w:rsid w:val="00996F71"/>
    <w:rsid w:val="0099742A"/>
    <w:rsid w:val="009A0446"/>
    <w:rsid w:val="009A062C"/>
    <w:rsid w:val="009A48AF"/>
    <w:rsid w:val="009A522D"/>
    <w:rsid w:val="009B0484"/>
    <w:rsid w:val="009B0C68"/>
    <w:rsid w:val="009B3F77"/>
    <w:rsid w:val="009B5132"/>
    <w:rsid w:val="009B65BB"/>
    <w:rsid w:val="009C0CAD"/>
    <w:rsid w:val="009C166A"/>
    <w:rsid w:val="009C2059"/>
    <w:rsid w:val="009C6FFB"/>
    <w:rsid w:val="009C7EF5"/>
    <w:rsid w:val="009D0C93"/>
    <w:rsid w:val="009D2FAC"/>
    <w:rsid w:val="009E093C"/>
    <w:rsid w:val="009E1311"/>
    <w:rsid w:val="009E151E"/>
    <w:rsid w:val="009E3415"/>
    <w:rsid w:val="009E3ACF"/>
    <w:rsid w:val="009E5936"/>
    <w:rsid w:val="009E5DB6"/>
    <w:rsid w:val="009F1CD4"/>
    <w:rsid w:val="009F65A3"/>
    <w:rsid w:val="009F777E"/>
    <w:rsid w:val="009F7F52"/>
    <w:rsid w:val="00A012E4"/>
    <w:rsid w:val="00A0202C"/>
    <w:rsid w:val="00A0227E"/>
    <w:rsid w:val="00A05C1E"/>
    <w:rsid w:val="00A0603F"/>
    <w:rsid w:val="00A112E6"/>
    <w:rsid w:val="00A14966"/>
    <w:rsid w:val="00A14F62"/>
    <w:rsid w:val="00A1519D"/>
    <w:rsid w:val="00A15CAB"/>
    <w:rsid w:val="00A16E8F"/>
    <w:rsid w:val="00A17CCB"/>
    <w:rsid w:val="00A201DE"/>
    <w:rsid w:val="00A20447"/>
    <w:rsid w:val="00A211A9"/>
    <w:rsid w:val="00A2260A"/>
    <w:rsid w:val="00A2422A"/>
    <w:rsid w:val="00A25265"/>
    <w:rsid w:val="00A26FC8"/>
    <w:rsid w:val="00A303A1"/>
    <w:rsid w:val="00A42386"/>
    <w:rsid w:val="00A44933"/>
    <w:rsid w:val="00A50751"/>
    <w:rsid w:val="00A50E72"/>
    <w:rsid w:val="00A510F9"/>
    <w:rsid w:val="00A54B81"/>
    <w:rsid w:val="00A54BE7"/>
    <w:rsid w:val="00A564EB"/>
    <w:rsid w:val="00A6500A"/>
    <w:rsid w:val="00A65333"/>
    <w:rsid w:val="00A6719E"/>
    <w:rsid w:val="00A67F6A"/>
    <w:rsid w:val="00A7178A"/>
    <w:rsid w:val="00A739F1"/>
    <w:rsid w:val="00A74DC5"/>
    <w:rsid w:val="00A758DE"/>
    <w:rsid w:val="00A8189A"/>
    <w:rsid w:val="00A81C2E"/>
    <w:rsid w:val="00A81EC4"/>
    <w:rsid w:val="00A83B8E"/>
    <w:rsid w:val="00A8478F"/>
    <w:rsid w:val="00A858C4"/>
    <w:rsid w:val="00A9141E"/>
    <w:rsid w:val="00A9341B"/>
    <w:rsid w:val="00A974CA"/>
    <w:rsid w:val="00A97E12"/>
    <w:rsid w:val="00AA2CD5"/>
    <w:rsid w:val="00AA4F6C"/>
    <w:rsid w:val="00AA7C0F"/>
    <w:rsid w:val="00AB16AE"/>
    <w:rsid w:val="00AB392A"/>
    <w:rsid w:val="00AB39DE"/>
    <w:rsid w:val="00AB5801"/>
    <w:rsid w:val="00AB5A64"/>
    <w:rsid w:val="00AB71A5"/>
    <w:rsid w:val="00AB7533"/>
    <w:rsid w:val="00AB76C6"/>
    <w:rsid w:val="00AB79E9"/>
    <w:rsid w:val="00AC5567"/>
    <w:rsid w:val="00AC5C60"/>
    <w:rsid w:val="00AD04F4"/>
    <w:rsid w:val="00AD2457"/>
    <w:rsid w:val="00AD576C"/>
    <w:rsid w:val="00AD64C6"/>
    <w:rsid w:val="00AD670F"/>
    <w:rsid w:val="00AD6C71"/>
    <w:rsid w:val="00AE1E4B"/>
    <w:rsid w:val="00AE1E54"/>
    <w:rsid w:val="00AE1F7A"/>
    <w:rsid w:val="00AE22E2"/>
    <w:rsid w:val="00AE2AFD"/>
    <w:rsid w:val="00AE3DED"/>
    <w:rsid w:val="00AE4372"/>
    <w:rsid w:val="00AE478A"/>
    <w:rsid w:val="00AF0C8D"/>
    <w:rsid w:val="00AF1A13"/>
    <w:rsid w:val="00AF6A6C"/>
    <w:rsid w:val="00B00778"/>
    <w:rsid w:val="00B04E8C"/>
    <w:rsid w:val="00B050C0"/>
    <w:rsid w:val="00B05642"/>
    <w:rsid w:val="00B06097"/>
    <w:rsid w:val="00B10045"/>
    <w:rsid w:val="00B100DF"/>
    <w:rsid w:val="00B10CAE"/>
    <w:rsid w:val="00B12190"/>
    <w:rsid w:val="00B1294B"/>
    <w:rsid w:val="00B137C3"/>
    <w:rsid w:val="00B13E2C"/>
    <w:rsid w:val="00B171BB"/>
    <w:rsid w:val="00B2247A"/>
    <w:rsid w:val="00B36551"/>
    <w:rsid w:val="00B36E9E"/>
    <w:rsid w:val="00B40E38"/>
    <w:rsid w:val="00B45C9E"/>
    <w:rsid w:val="00B51718"/>
    <w:rsid w:val="00B51ACE"/>
    <w:rsid w:val="00B57C86"/>
    <w:rsid w:val="00B61896"/>
    <w:rsid w:val="00B619AA"/>
    <w:rsid w:val="00B62112"/>
    <w:rsid w:val="00B623D7"/>
    <w:rsid w:val="00B65965"/>
    <w:rsid w:val="00B66A7A"/>
    <w:rsid w:val="00B66E7A"/>
    <w:rsid w:val="00B755B6"/>
    <w:rsid w:val="00B770A4"/>
    <w:rsid w:val="00B8096A"/>
    <w:rsid w:val="00B91564"/>
    <w:rsid w:val="00B9206A"/>
    <w:rsid w:val="00B9279E"/>
    <w:rsid w:val="00BA040F"/>
    <w:rsid w:val="00BA1CFA"/>
    <w:rsid w:val="00BA3A77"/>
    <w:rsid w:val="00BA4284"/>
    <w:rsid w:val="00BA677D"/>
    <w:rsid w:val="00BB0393"/>
    <w:rsid w:val="00BB620E"/>
    <w:rsid w:val="00BC1029"/>
    <w:rsid w:val="00BC1811"/>
    <w:rsid w:val="00BC2720"/>
    <w:rsid w:val="00BC2A14"/>
    <w:rsid w:val="00BC4728"/>
    <w:rsid w:val="00BC4BF4"/>
    <w:rsid w:val="00BC60B3"/>
    <w:rsid w:val="00BC7986"/>
    <w:rsid w:val="00BD2253"/>
    <w:rsid w:val="00BD3920"/>
    <w:rsid w:val="00BD7496"/>
    <w:rsid w:val="00BE042D"/>
    <w:rsid w:val="00BE332E"/>
    <w:rsid w:val="00BE4802"/>
    <w:rsid w:val="00BE7212"/>
    <w:rsid w:val="00BF0D7C"/>
    <w:rsid w:val="00BF2913"/>
    <w:rsid w:val="00BF331F"/>
    <w:rsid w:val="00C0008C"/>
    <w:rsid w:val="00C02473"/>
    <w:rsid w:val="00C053A4"/>
    <w:rsid w:val="00C05CC6"/>
    <w:rsid w:val="00C068C7"/>
    <w:rsid w:val="00C073C2"/>
    <w:rsid w:val="00C10BAF"/>
    <w:rsid w:val="00C13C12"/>
    <w:rsid w:val="00C160F4"/>
    <w:rsid w:val="00C20F99"/>
    <w:rsid w:val="00C2120D"/>
    <w:rsid w:val="00C215E7"/>
    <w:rsid w:val="00C233E9"/>
    <w:rsid w:val="00C2605C"/>
    <w:rsid w:val="00C26C5B"/>
    <w:rsid w:val="00C2711B"/>
    <w:rsid w:val="00C303B4"/>
    <w:rsid w:val="00C30861"/>
    <w:rsid w:val="00C31135"/>
    <w:rsid w:val="00C31CC9"/>
    <w:rsid w:val="00C36C34"/>
    <w:rsid w:val="00C40EBC"/>
    <w:rsid w:val="00C41265"/>
    <w:rsid w:val="00C4202E"/>
    <w:rsid w:val="00C42ACA"/>
    <w:rsid w:val="00C44A59"/>
    <w:rsid w:val="00C45607"/>
    <w:rsid w:val="00C51308"/>
    <w:rsid w:val="00C51F78"/>
    <w:rsid w:val="00C539F8"/>
    <w:rsid w:val="00C53A47"/>
    <w:rsid w:val="00C57BB9"/>
    <w:rsid w:val="00C606F6"/>
    <w:rsid w:val="00C6082E"/>
    <w:rsid w:val="00C61699"/>
    <w:rsid w:val="00C62B02"/>
    <w:rsid w:val="00C64908"/>
    <w:rsid w:val="00C705B5"/>
    <w:rsid w:val="00C7093C"/>
    <w:rsid w:val="00C738BD"/>
    <w:rsid w:val="00C75D40"/>
    <w:rsid w:val="00C77947"/>
    <w:rsid w:val="00C83627"/>
    <w:rsid w:val="00C849C9"/>
    <w:rsid w:val="00C85E44"/>
    <w:rsid w:val="00C92F94"/>
    <w:rsid w:val="00C95D81"/>
    <w:rsid w:val="00C960AA"/>
    <w:rsid w:val="00C979BB"/>
    <w:rsid w:val="00CA121E"/>
    <w:rsid w:val="00CA501D"/>
    <w:rsid w:val="00CA55C4"/>
    <w:rsid w:val="00CA5668"/>
    <w:rsid w:val="00CB1789"/>
    <w:rsid w:val="00CB1CB2"/>
    <w:rsid w:val="00CB2557"/>
    <w:rsid w:val="00CB44C4"/>
    <w:rsid w:val="00CB47FE"/>
    <w:rsid w:val="00CB4D35"/>
    <w:rsid w:val="00CB6703"/>
    <w:rsid w:val="00CC39B1"/>
    <w:rsid w:val="00CC3D90"/>
    <w:rsid w:val="00CD526B"/>
    <w:rsid w:val="00CD5B93"/>
    <w:rsid w:val="00CD7039"/>
    <w:rsid w:val="00CE3B32"/>
    <w:rsid w:val="00CE3E26"/>
    <w:rsid w:val="00CE4A24"/>
    <w:rsid w:val="00CE613B"/>
    <w:rsid w:val="00CE7403"/>
    <w:rsid w:val="00CF0826"/>
    <w:rsid w:val="00CF0D8A"/>
    <w:rsid w:val="00CF267F"/>
    <w:rsid w:val="00CF5FFB"/>
    <w:rsid w:val="00CF7DA0"/>
    <w:rsid w:val="00D0312C"/>
    <w:rsid w:val="00D04614"/>
    <w:rsid w:val="00D05812"/>
    <w:rsid w:val="00D065FB"/>
    <w:rsid w:val="00D06E69"/>
    <w:rsid w:val="00D1723F"/>
    <w:rsid w:val="00D26B64"/>
    <w:rsid w:val="00D27594"/>
    <w:rsid w:val="00D30AA4"/>
    <w:rsid w:val="00D30CE5"/>
    <w:rsid w:val="00D32D36"/>
    <w:rsid w:val="00D32EEB"/>
    <w:rsid w:val="00D3674A"/>
    <w:rsid w:val="00D40383"/>
    <w:rsid w:val="00D4085D"/>
    <w:rsid w:val="00D428F4"/>
    <w:rsid w:val="00D434F3"/>
    <w:rsid w:val="00D45B7F"/>
    <w:rsid w:val="00D46E83"/>
    <w:rsid w:val="00D51386"/>
    <w:rsid w:val="00D52914"/>
    <w:rsid w:val="00D5485B"/>
    <w:rsid w:val="00D57346"/>
    <w:rsid w:val="00D61911"/>
    <w:rsid w:val="00D62258"/>
    <w:rsid w:val="00D625A7"/>
    <w:rsid w:val="00D65FEB"/>
    <w:rsid w:val="00D677F9"/>
    <w:rsid w:val="00D702F1"/>
    <w:rsid w:val="00D729FA"/>
    <w:rsid w:val="00D7336A"/>
    <w:rsid w:val="00D73591"/>
    <w:rsid w:val="00D76ED1"/>
    <w:rsid w:val="00D802FC"/>
    <w:rsid w:val="00D83D8E"/>
    <w:rsid w:val="00D8532B"/>
    <w:rsid w:val="00D85463"/>
    <w:rsid w:val="00D8633C"/>
    <w:rsid w:val="00D973A5"/>
    <w:rsid w:val="00DA205D"/>
    <w:rsid w:val="00DA7233"/>
    <w:rsid w:val="00DB52D9"/>
    <w:rsid w:val="00DC196F"/>
    <w:rsid w:val="00DC4D62"/>
    <w:rsid w:val="00DC50E5"/>
    <w:rsid w:val="00DC5B46"/>
    <w:rsid w:val="00DC76C7"/>
    <w:rsid w:val="00DD23DE"/>
    <w:rsid w:val="00DD6ED6"/>
    <w:rsid w:val="00DE0A40"/>
    <w:rsid w:val="00DE1D99"/>
    <w:rsid w:val="00DE311A"/>
    <w:rsid w:val="00DE36EB"/>
    <w:rsid w:val="00DE4095"/>
    <w:rsid w:val="00DE4A6C"/>
    <w:rsid w:val="00DE64C1"/>
    <w:rsid w:val="00DF3FC1"/>
    <w:rsid w:val="00DF57EE"/>
    <w:rsid w:val="00DF5BAB"/>
    <w:rsid w:val="00E10555"/>
    <w:rsid w:val="00E11087"/>
    <w:rsid w:val="00E12963"/>
    <w:rsid w:val="00E16BB8"/>
    <w:rsid w:val="00E16E0A"/>
    <w:rsid w:val="00E204BB"/>
    <w:rsid w:val="00E220BC"/>
    <w:rsid w:val="00E31096"/>
    <w:rsid w:val="00E33938"/>
    <w:rsid w:val="00E33F03"/>
    <w:rsid w:val="00E354D8"/>
    <w:rsid w:val="00E3658A"/>
    <w:rsid w:val="00E36ADC"/>
    <w:rsid w:val="00E3706A"/>
    <w:rsid w:val="00E3738B"/>
    <w:rsid w:val="00E37446"/>
    <w:rsid w:val="00E37730"/>
    <w:rsid w:val="00E4099E"/>
    <w:rsid w:val="00E456AA"/>
    <w:rsid w:val="00E5201F"/>
    <w:rsid w:val="00E55B51"/>
    <w:rsid w:val="00E56955"/>
    <w:rsid w:val="00E579FF"/>
    <w:rsid w:val="00E6698B"/>
    <w:rsid w:val="00E70B3F"/>
    <w:rsid w:val="00E7195E"/>
    <w:rsid w:val="00E72F4A"/>
    <w:rsid w:val="00E7308D"/>
    <w:rsid w:val="00E7467D"/>
    <w:rsid w:val="00E82115"/>
    <w:rsid w:val="00E832FF"/>
    <w:rsid w:val="00E83448"/>
    <w:rsid w:val="00E838D3"/>
    <w:rsid w:val="00E90BF8"/>
    <w:rsid w:val="00E92A7E"/>
    <w:rsid w:val="00E92C8A"/>
    <w:rsid w:val="00E9346D"/>
    <w:rsid w:val="00E960A3"/>
    <w:rsid w:val="00EA21BF"/>
    <w:rsid w:val="00EA454A"/>
    <w:rsid w:val="00EA594C"/>
    <w:rsid w:val="00EA6E18"/>
    <w:rsid w:val="00EA7329"/>
    <w:rsid w:val="00EA7A1C"/>
    <w:rsid w:val="00EB081B"/>
    <w:rsid w:val="00EB5170"/>
    <w:rsid w:val="00EB7EDA"/>
    <w:rsid w:val="00EC3E78"/>
    <w:rsid w:val="00EC5206"/>
    <w:rsid w:val="00EC5A66"/>
    <w:rsid w:val="00EC5D22"/>
    <w:rsid w:val="00EC7D04"/>
    <w:rsid w:val="00ED0175"/>
    <w:rsid w:val="00ED0AC8"/>
    <w:rsid w:val="00ED123B"/>
    <w:rsid w:val="00ED2AC4"/>
    <w:rsid w:val="00ED4036"/>
    <w:rsid w:val="00EE041B"/>
    <w:rsid w:val="00EE382A"/>
    <w:rsid w:val="00EE57AC"/>
    <w:rsid w:val="00EE74C4"/>
    <w:rsid w:val="00EE7D29"/>
    <w:rsid w:val="00EF33DE"/>
    <w:rsid w:val="00EF5072"/>
    <w:rsid w:val="00EF6486"/>
    <w:rsid w:val="00EF72D4"/>
    <w:rsid w:val="00F000D9"/>
    <w:rsid w:val="00F0356B"/>
    <w:rsid w:val="00F074A3"/>
    <w:rsid w:val="00F11A23"/>
    <w:rsid w:val="00F11DDE"/>
    <w:rsid w:val="00F120E6"/>
    <w:rsid w:val="00F12ACD"/>
    <w:rsid w:val="00F16589"/>
    <w:rsid w:val="00F2068C"/>
    <w:rsid w:val="00F216FB"/>
    <w:rsid w:val="00F21D01"/>
    <w:rsid w:val="00F234AB"/>
    <w:rsid w:val="00F24478"/>
    <w:rsid w:val="00F261CE"/>
    <w:rsid w:val="00F31DE0"/>
    <w:rsid w:val="00F3245D"/>
    <w:rsid w:val="00F34E70"/>
    <w:rsid w:val="00F4377A"/>
    <w:rsid w:val="00F46237"/>
    <w:rsid w:val="00F47765"/>
    <w:rsid w:val="00F501C6"/>
    <w:rsid w:val="00F50335"/>
    <w:rsid w:val="00F630DB"/>
    <w:rsid w:val="00F630EF"/>
    <w:rsid w:val="00F6403E"/>
    <w:rsid w:val="00F64B22"/>
    <w:rsid w:val="00F65FC7"/>
    <w:rsid w:val="00F66942"/>
    <w:rsid w:val="00F71346"/>
    <w:rsid w:val="00F715F2"/>
    <w:rsid w:val="00F730C7"/>
    <w:rsid w:val="00F749D0"/>
    <w:rsid w:val="00F76C87"/>
    <w:rsid w:val="00F8684A"/>
    <w:rsid w:val="00F94C3D"/>
    <w:rsid w:val="00F95D26"/>
    <w:rsid w:val="00F979C5"/>
    <w:rsid w:val="00FA0CBF"/>
    <w:rsid w:val="00FA0E45"/>
    <w:rsid w:val="00FA2EC0"/>
    <w:rsid w:val="00FA4E87"/>
    <w:rsid w:val="00FA64FD"/>
    <w:rsid w:val="00FA73D5"/>
    <w:rsid w:val="00FB4200"/>
    <w:rsid w:val="00FB5750"/>
    <w:rsid w:val="00FB6A2E"/>
    <w:rsid w:val="00FC055C"/>
    <w:rsid w:val="00FC2D91"/>
    <w:rsid w:val="00FC4B6B"/>
    <w:rsid w:val="00FD4437"/>
    <w:rsid w:val="00FE26A5"/>
    <w:rsid w:val="00FE347C"/>
    <w:rsid w:val="00FE4A16"/>
    <w:rsid w:val="00FF5029"/>
    <w:rsid w:val="00FF5890"/>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0CB64EB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2"/>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5"/>
      </w:numPr>
      <w:tabs>
        <w:tab w:val="num" w:pos="567"/>
        <w:tab w:val="num" w:pos="850"/>
      </w:tabs>
      <w:ind w:left="850" w:hanging="284"/>
    </w:pPr>
  </w:style>
  <w:style w:type="paragraph" w:customStyle="1" w:styleId="DoubleDot">
    <w:name w:val="Double Dot"/>
    <w:basedOn w:val="Normal"/>
    <w:rsid w:val="00D51386"/>
    <w:pPr>
      <w:numPr>
        <w:ilvl w:val="2"/>
        <w:numId w:val="5"/>
      </w:numPr>
      <w:tabs>
        <w:tab w:val="num" w:pos="850"/>
        <w:tab w:val="num" w:pos="1133"/>
      </w:tabs>
      <w:ind w:left="1133" w:hanging="283"/>
    </w:pPr>
  </w:style>
  <w:style w:type="paragraph" w:customStyle="1" w:styleId="OutlineNumbered1">
    <w:name w:val="Outline Numbered 1"/>
    <w:basedOn w:val="Normal"/>
    <w:rsid w:val="00D51386"/>
    <w:pPr>
      <w:numPr>
        <w:numId w:val="2"/>
      </w:numPr>
    </w:pPr>
  </w:style>
  <w:style w:type="paragraph" w:customStyle="1" w:styleId="OutlineNumbered2">
    <w:name w:val="Outline Numbered 2"/>
    <w:basedOn w:val="Normal"/>
    <w:rsid w:val="00D51386"/>
    <w:pPr>
      <w:numPr>
        <w:ilvl w:val="1"/>
        <w:numId w:val="2"/>
      </w:numPr>
    </w:pPr>
  </w:style>
  <w:style w:type="paragraph" w:customStyle="1" w:styleId="OutlineNumbered3">
    <w:name w:val="Outline Numbered 3"/>
    <w:basedOn w:val="Normal"/>
    <w:rsid w:val="00D51386"/>
    <w:pPr>
      <w:numPr>
        <w:ilvl w:val="2"/>
        <w:numId w:val="2"/>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3"/>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5"/>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4"/>
      </w:numPr>
    </w:pPr>
  </w:style>
  <w:style w:type="paragraph" w:customStyle="1" w:styleId="BoxDash">
    <w:name w:val="Box Dash"/>
    <w:basedOn w:val="Normal"/>
    <w:uiPriority w:val="99"/>
    <w:rsid w:val="00D51386"/>
    <w:pPr>
      <w:numPr>
        <w:ilvl w:val="1"/>
        <w:numId w:val="4"/>
      </w:numPr>
    </w:pPr>
  </w:style>
  <w:style w:type="paragraph" w:customStyle="1" w:styleId="BoxDoubleDot">
    <w:name w:val="Box Double Dot"/>
    <w:basedOn w:val="BoxTextBase"/>
    <w:uiPriority w:val="99"/>
    <w:rsid w:val="00D51386"/>
    <w:pPr>
      <w:numPr>
        <w:ilvl w:val="2"/>
        <w:numId w:val="4"/>
      </w:numPr>
    </w:pPr>
  </w:style>
  <w:style w:type="paragraph" w:customStyle="1" w:styleId="RecommendationBullet">
    <w:name w:val="Recommendation Bullet"/>
    <w:basedOn w:val="RecommendationTextBase"/>
    <w:rsid w:val="00D51386"/>
    <w:pPr>
      <w:numPr>
        <w:numId w:val="6"/>
      </w:numPr>
    </w:pPr>
  </w:style>
  <w:style w:type="paragraph" w:customStyle="1" w:styleId="RecommendationDash">
    <w:name w:val="Recommendation Dash"/>
    <w:basedOn w:val="RecommendationTextBase"/>
    <w:rsid w:val="00D51386"/>
    <w:pPr>
      <w:numPr>
        <w:ilvl w:val="1"/>
        <w:numId w:val="6"/>
      </w:numPr>
    </w:pPr>
  </w:style>
  <w:style w:type="paragraph" w:customStyle="1" w:styleId="RecommendationDoubleDot">
    <w:name w:val="Recommendation Double Dot"/>
    <w:basedOn w:val="RecommendationTextBase"/>
    <w:rsid w:val="00D51386"/>
    <w:pPr>
      <w:numPr>
        <w:ilvl w:val="2"/>
        <w:numId w:val="6"/>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uiPriority w:val="99"/>
    <w:rsid w:val="00D51386"/>
    <w:pPr>
      <w:numPr>
        <w:numId w:val="1"/>
      </w:numPr>
    </w:pPr>
  </w:style>
  <w:style w:type="paragraph" w:customStyle="1" w:styleId="Romannumeral">
    <w:name w:val="Roman numeral"/>
    <w:basedOn w:val="Normal"/>
    <w:rsid w:val="00D51386"/>
    <w:pPr>
      <w:numPr>
        <w:numId w:val="10"/>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3"/>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7"/>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3"/>
      </w:numPr>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8"/>
      </w:numPr>
    </w:pPr>
  </w:style>
  <w:style w:type="paragraph" w:customStyle="1" w:styleId="AgreementParties">
    <w:name w:val="AgreementParties"/>
    <w:rsid w:val="00D51386"/>
    <w:pPr>
      <w:numPr>
        <w:numId w:val="11"/>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uiPriority w:val="99"/>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4"/>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5"/>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6"/>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6"/>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6"/>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6"/>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6"/>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6"/>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6"/>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6"/>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6"/>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66029B"/>
    <w:rPr>
      <w:rFonts w:ascii="Corbel" w:hAnsi="Corbel"/>
      <w:color w:val="000000"/>
      <w:sz w:val="23"/>
    </w:rPr>
  </w:style>
  <w:style w:type="paragraph" w:customStyle="1" w:styleId="Style4">
    <w:name w:val="Style4"/>
    <w:basedOn w:val="AlphaParagraph"/>
    <w:link w:val="Style4Char"/>
    <w:qFormat/>
    <w:rsid w:val="00563BEA"/>
    <w:pPr>
      <w:tabs>
        <w:tab w:val="clear" w:pos="0"/>
        <w:tab w:val="clear" w:pos="283"/>
        <w:tab w:val="clear" w:pos="567"/>
        <w:tab w:val="clear" w:pos="1134"/>
        <w:tab w:val="clear" w:pos="1418"/>
        <w:tab w:val="clear" w:pos="1701"/>
      </w:tabs>
      <w:ind w:left="0" w:firstLine="0"/>
    </w:pPr>
  </w:style>
  <w:style w:type="character" w:customStyle="1" w:styleId="Style4Char">
    <w:name w:val="Style4 Char"/>
    <w:basedOn w:val="AlphaParagraphCharChar"/>
    <w:link w:val="Style4"/>
    <w:locked/>
    <w:rsid w:val="00563BEA"/>
    <w:rPr>
      <w:rFonts w:ascii="Corbel" w:hAnsi="Corbel"/>
      <w:color w:val="000000"/>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2"/>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5"/>
      </w:numPr>
      <w:tabs>
        <w:tab w:val="num" w:pos="567"/>
        <w:tab w:val="num" w:pos="850"/>
      </w:tabs>
      <w:ind w:left="850" w:hanging="284"/>
    </w:pPr>
  </w:style>
  <w:style w:type="paragraph" w:customStyle="1" w:styleId="DoubleDot">
    <w:name w:val="Double Dot"/>
    <w:basedOn w:val="Normal"/>
    <w:rsid w:val="00D51386"/>
    <w:pPr>
      <w:numPr>
        <w:ilvl w:val="2"/>
        <w:numId w:val="5"/>
      </w:numPr>
      <w:tabs>
        <w:tab w:val="num" w:pos="850"/>
        <w:tab w:val="num" w:pos="1133"/>
      </w:tabs>
      <w:ind w:left="1133" w:hanging="283"/>
    </w:pPr>
  </w:style>
  <w:style w:type="paragraph" w:customStyle="1" w:styleId="OutlineNumbered1">
    <w:name w:val="Outline Numbered 1"/>
    <w:basedOn w:val="Normal"/>
    <w:rsid w:val="00D51386"/>
    <w:pPr>
      <w:numPr>
        <w:numId w:val="2"/>
      </w:numPr>
    </w:pPr>
  </w:style>
  <w:style w:type="paragraph" w:customStyle="1" w:styleId="OutlineNumbered2">
    <w:name w:val="Outline Numbered 2"/>
    <w:basedOn w:val="Normal"/>
    <w:rsid w:val="00D51386"/>
    <w:pPr>
      <w:numPr>
        <w:ilvl w:val="1"/>
        <w:numId w:val="2"/>
      </w:numPr>
    </w:pPr>
  </w:style>
  <w:style w:type="paragraph" w:customStyle="1" w:styleId="OutlineNumbered3">
    <w:name w:val="Outline Numbered 3"/>
    <w:basedOn w:val="Normal"/>
    <w:rsid w:val="00D51386"/>
    <w:pPr>
      <w:numPr>
        <w:ilvl w:val="2"/>
        <w:numId w:val="2"/>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3"/>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5"/>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4"/>
      </w:numPr>
    </w:pPr>
  </w:style>
  <w:style w:type="paragraph" w:customStyle="1" w:styleId="BoxDash">
    <w:name w:val="Box Dash"/>
    <w:basedOn w:val="Normal"/>
    <w:uiPriority w:val="99"/>
    <w:rsid w:val="00D51386"/>
    <w:pPr>
      <w:numPr>
        <w:ilvl w:val="1"/>
        <w:numId w:val="4"/>
      </w:numPr>
    </w:pPr>
  </w:style>
  <w:style w:type="paragraph" w:customStyle="1" w:styleId="BoxDoubleDot">
    <w:name w:val="Box Double Dot"/>
    <w:basedOn w:val="BoxTextBase"/>
    <w:uiPriority w:val="99"/>
    <w:rsid w:val="00D51386"/>
    <w:pPr>
      <w:numPr>
        <w:ilvl w:val="2"/>
        <w:numId w:val="4"/>
      </w:numPr>
    </w:pPr>
  </w:style>
  <w:style w:type="paragraph" w:customStyle="1" w:styleId="RecommendationBullet">
    <w:name w:val="Recommendation Bullet"/>
    <w:basedOn w:val="RecommendationTextBase"/>
    <w:rsid w:val="00D51386"/>
    <w:pPr>
      <w:numPr>
        <w:numId w:val="6"/>
      </w:numPr>
    </w:pPr>
  </w:style>
  <w:style w:type="paragraph" w:customStyle="1" w:styleId="RecommendationDash">
    <w:name w:val="Recommendation Dash"/>
    <w:basedOn w:val="RecommendationTextBase"/>
    <w:rsid w:val="00D51386"/>
    <w:pPr>
      <w:numPr>
        <w:ilvl w:val="1"/>
        <w:numId w:val="6"/>
      </w:numPr>
    </w:pPr>
  </w:style>
  <w:style w:type="paragraph" w:customStyle="1" w:styleId="RecommendationDoubleDot">
    <w:name w:val="Recommendation Double Dot"/>
    <w:basedOn w:val="RecommendationTextBase"/>
    <w:rsid w:val="00D51386"/>
    <w:pPr>
      <w:numPr>
        <w:ilvl w:val="2"/>
        <w:numId w:val="6"/>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uiPriority w:val="99"/>
    <w:rsid w:val="00D51386"/>
    <w:pPr>
      <w:numPr>
        <w:numId w:val="1"/>
      </w:numPr>
    </w:pPr>
  </w:style>
  <w:style w:type="paragraph" w:customStyle="1" w:styleId="Romannumeral">
    <w:name w:val="Roman numeral"/>
    <w:basedOn w:val="Normal"/>
    <w:rsid w:val="00D51386"/>
    <w:pPr>
      <w:numPr>
        <w:numId w:val="10"/>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3"/>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7"/>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3"/>
      </w:numPr>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8"/>
      </w:numPr>
    </w:pPr>
  </w:style>
  <w:style w:type="paragraph" w:customStyle="1" w:styleId="AgreementParties">
    <w:name w:val="AgreementParties"/>
    <w:rsid w:val="00D51386"/>
    <w:pPr>
      <w:numPr>
        <w:numId w:val="11"/>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uiPriority w:val="99"/>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4"/>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5"/>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6"/>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6"/>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6"/>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6"/>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6"/>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6"/>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6"/>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6"/>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6"/>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66029B"/>
    <w:rPr>
      <w:rFonts w:ascii="Corbel" w:hAnsi="Corbel"/>
      <w:color w:val="000000"/>
      <w:sz w:val="23"/>
    </w:rPr>
  </w:style>
  <w:style w:type="paragraph" w:customStyle="1" w:styleId="Style4">
    <w:name w:val="Style4"/>
    <w:basedOn w:val="AlphaParagraph"/>
    <w:link w:val="Style4Char"/>
    <w:qFormat/>
    <w:rsid w:val="00563BEA"/>
    <w:pPr>
      <w:tabs>
        <w:tab w:val="clear" w:pos="0"/>
        <w:tab w:val="clear" w:pos="283"/>
        <w:tab w:val="clear" w:pos="567"/>
        <w:tab w:val="clear" w:pos="1134"/>
        <w:tab w:val="clear" w:pos="1418"/>
        <w:tab w:val="clear" w:pos="1701"/>
      </w:tabs>
      <w:ind w:left="0" w:firstLine="0"/>
    </w:pPr>
  </w:style>
  <w:style w:type="character" w:customStyle="1" w:styleId="Style4Char">
    <w:name w:val="Style4 Char"/>
    <w:basedOn w:val="AlphaParagraphCharChar"/>
    <w:link w:val="Style4"/>
    <w:locked/>
    <w:rsid w:val="00563BEA"/>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224798">
      <w:marLeft w:val="0"/>
      <w:marRight w:val="0"/>
      <w:marTop w:val="0"/>
      <w:marBottom w:val="0"/>
      <w:divBdr>
        <w:top w:val="none" w:sz="0" w:space="0" w:color="auto"/>
        <w:left w:val="none" w:sz="0" w:space="0" w:color="auto"/>
        <w:bottom w:val="none" w:sz="0" w:space="0" w:color="auto"/>
        <w:right w:val="none" w:sz="0" w:space="0" w:color="auto"/>
      </w:divBdr>
    </w:div>
    <w:div w:id="2120224799">
      <w:marLeft w:val="0"/>
      <w:marRight w:val="0"/>
      <w:marTop w:val="0"/>
      <w:marBottom w:val="0"/>
      <w:divBdr>
        <w:top w:val="none" w:sz="0" w:space="0" w:color="auto"/>
        <w:left w:val="none" w:sz="0" w:space="0" w:color="auto"/>
        <w:bottom w:val="none" w:sz="0" w:space="0" w:color="auto"/>
        <w:right w:val="none" w:sz="0" w:space="0" w:color="auto"/>
      </w:divBdr>
    </w:div>
    <w:div w:id="2120224800">
      <w:marLeft w:val="0"/>
      <w:marRight w:val="0"/>
      <w:marTop w:val="0"/>
      <w:marBottom w:val="0"/>
      <w:divBdr>
        <w:top w:val="none" w:sz="0" w:space="0" w:color="auto"/>
        <w:left w:val="none" w:sz="0" w:space="0" w:color="auto"/>
        <w:bottom w:val="none" w:sz="0" w:space="0" w:color="auto"/>
        <w:right w:val="none" w:sz="0" w:space="0" w:color="auto"/>
      </w:divBdr>
    </w:div>
    <w:div w:id="2120224801">
      <w:marLeft w:val="0"/>
      <w:marRight w:val="0"/>
      <w:marTop w:val="0"/>
      <w:marBottom w:val="0"/>
      <w:divBdr>
        <w:top w:val="none" w:sz="0" w:space="0" w:color="auto"/>
        <w:left w:val="none" w:sz="0" w:space="0" w:color="auto"/>
        <w:bottom w:val="none" w:sz="0" w:space="0" w:color="auto"/>
        <w:right w:val="none" w:sz="0" w:space="0" w:color="auto"/>
      </w:divBdr>
    </w:div>
    <w:div w:id="2120224802">
      <w:marLeft w:val="0"/>
      <w:marRight w:val="0"/>
      <w:marTop w:val="0"/>
      <w:marBottom w:val="0"/>
      <w:divBdr>
        <w:top w:val="none" w:sz="0" w:space="0" w:color="auto"/>
        <w:left w:val="none" w:sz="0" w:space="0" w:color="auto"/>
        <w:bottom w:val="none" w:sz="0" w:space="0" w:color="auto"/>
        <w:right w:val="none" w:sz="0" w:space="0" w:color="auto"/>
      </w:divBdr>
    </w:div>
    <w:div w:id="21202248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2020FG-64-74066</_dlc_DocId>
    <_dlc_DocIdUrl xmlns="0f563589-9cf9-4143-b1eb-fb0534803d38">
      <Url>http://tweb/sites/fg/csrd/_layouts/15/DocIdRedir.aspx?ID=2020FG-64-74066</Url>
      <Description>2020FG-64-74066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8892" ma:contentTypeDescription=" " ma:contentTypeScope="" ma:versionID="da5e6db8eb2ef6ca725db12f9f5dec3d">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C2424-FEBA-424A-A9E9-73F9DB939768}">
  <ds:schemaRefs>
    <ds:schemaRef ds:uri="office.server.policy"/>
  </ds:schemaRefs>
</ds:datastoreItem>
</file>

<file path=customXml/itemProps2.xml><?xml version="1.0" encoding="utf-8"?>
<ds:datastoreItem xmlns:ds="http://schemas.openxmlformats.org/officeDocument/2006/customXml" ds:itemID="{31C20A92-A90B-45FE-B4FA-28D5FB24D1A4}">
  <ds:schemaRefs>
    <ds:schemaRef ds:uri="http://schemas.microsoft.com/office/2006/metadata/properties"/>
    <ds:schemaRef ds:uri="http://purl.org/dc/elements/1.1/"/>
    <ds:schemaRef ds:uri="http://schemas.openxmlformats.org/package/2006/metadata/core-properties"/>
    <ds:schemaRef ds:uri="http://www.w3.org/XML/1998/namespace"/>
    <ds:schemaRef ds:uri="http://schemas.microsoft.com/sharepoint/v3"/>
    <ds:schemaRef ds:uri="http://purl.org/dc/terms/"/>
    <ds:schemaRef ds:uri="e544e5cc-ab70-42e1-849e-1a0f8bb1f4ef"/>
    <ds:schemaRef ds:uri="http://schemas.microsoft.com/office/2006/documentManagement/types"/>
    <ds:schemaRef ds:uri="http://schemas.microsoft.com/office/infopath/2007/PartnerControls"/>
    <ds:schemaRef ds:uri="http://schemas.microsoft.com/sharepoint/v4"/>
    <ds:schemaRef ds:uri="http://purl.org/dc/dcmitype/"/>
  </ds:schemaRefs>
</ds:datastoreItem>
</file>

<file path=customXml/itemProps3.xml><?xml version="1.0" encoding="utf-8"?>
<ds:datastoreItem xmlns:ds="http://schemas.openxmlformats.org/officeDocument/2006/customXml" ds:itemID="{E11594E2-E2A9-4F45-B6EF-4BFAF489C48A}">
  <ds:schemaRefs>
    <ds:schemaRef ds:uri="http://schemas.microsoft.com/sharepoint/v3/contenttype/forms"/>
  </ds:schemaRefs>
</ds:datastoreItem>
</file>

<file path=customXml/itemProps4.xml><?xml version="1.0" encoding="utf-8"?>
<ds:datastoreItem xmlns:ds="http://schemas.openxmlformats.org/officeDocument/2006/customXml" ds:itemID="{030CC920-F245-481D-A812-715328670625}">
  <ds:schemaRefs>
    <ds:schemaRef ds:uri="Microsoft.SharePoint.Taxonomy.ContentTypeSync"/>
  </ds:schemaRefs>
</ds:datastoreItem>
</file>

<file path=customXml/itemProps5.xml><?xml version="1.0" encoding="utf-8"?>
<ds:datastoreItem xmlns:ds="http://schemas.openxmlformats.org/officeDocument/2006/customXml" ds:itemID="{73ADE16F-08C6-4B41-B752-3456BDDC1C27}">
  <ds:schemaRefs>
    <ds:schemaRef ds:uri="http://schemas.microsoft.com/sharepoint/events"/>
  </ds:schemaRefs>
</ds:datastoreItem>
</file>

<file path=customXml/itemProps6.xml><?xml version="1.0" encoding="utf-8"?>
<ds:datastoreItem xmlns:ds="http://schemas.openxmlformats.org/officeDocument/2006/customXml" ds:itemID="{AB590955-3D0D-468F-8B52-E346D575266C}"/>
</file>

<file path=customXml/itemProps7.xml><?xml version="1.0" encoding="utf-8"?>
<ds:datastoreItem xmlns:ds="http://schemas.openxmlformats.org/officeDocument/2006/customXml" ds:itemID="{E3CBA636-C257-4532-9A21-0151BC39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1323</Words>
  <Characters>7279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2018-06-27T04:39:00Z</dcterms:created>
  <dcterms:modified xsi:type="dcterms:W3CDTF">2018-06-27T04:39:00Z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TSYRecordClass">
    <vt:lpwstr>2;#TSY RA-8748 - Retain as national archives|243f2231-dbfc-4282-b24a-c9b768286bd0</vt:lpwstr>
  </property>
  <property fmtid="{D5CDD505-2E9C-101B-9397-08002B2CF9AE}" pid="6" name="_dlc_DocIdItemGuid">
    <vt:lpwstr>dedece0d-f7bd-4fed-9648-c7fd045d61f2</vt:lpwstr>
  </property>
  <property fmtid="{D5CDD505-2E9C-101B-9397-08002B2CF9AE}" pid="7" name="RecordPoint_WorkflowType">
    <vt:lpwstr>ActiveSubmitStub</vt:lpwstr>
  </property>
  <property fmtid="{D5CDD505-2E9C-101B-9397-08002B2CF9AE}" pid="8" name="RecordPoint_ActiveItemSiteId">
    <vt:lpwstr>{a3a280d1-e8f1-4ce7-94f0-aaa2322da0dd}</vt:lpwstr>
  </property>
  <property fmtid="{D5CDD505-2E9C-101B-9397-08002B2CF9AE}" pid="9" name="RecordPoint_ActiveItemListId">
    <vt:lpwstr>{4435c73b-6585-4bc2-a76a-5d21b1a02e06}</vt:lpwstr>
  </property>
  <property fmtid="{D5CDD505-2E9C-101B-9397-08002B2CF9AE}" pid="10" name="RecordPoint_ActiveItemUniqueId">
    <vt:lpwstr>{dedece0d-f7bd-4fed-9648-c7fd045d61f2}</vt:lpwstr>
  </property>
  <property fmtid="{D5CDD505-2E9C-101B-9397-08002B2CF9AE}" pid="11" name="RecordPoint_ActiveItemWebId">
    <vt:lpwstr>{a4589788-615f-4b8b-8296-7f9f6dfbab44}</vt:lpwstr>
  </property>
  <property fmtid="{D5CDD505-2E9C-101B-9397-08002B2CF9AE}" pid="12" name="RecordPoint_RecordNumberSubmitted">
    <vt:lpwstr>R0002261790</vt:lpwstr>
  </property>
  <property fmtid="{D5CDD505-2E9C-101B-9397-08002B2CF9AE}" pid="13" name="RecordPoint_SubmissionCompleted">
    <vt:lpwstr>2020-05-06T23:51:27.7972041+10:00</vt:lpwstr>
  </property>
  <property fmtid="{D5CDD505-2E9C-101B-9397-08002B2CF9AE}" pid="14" name="_NewReviewCycle">
    <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ies>
</file>