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1E0" w:firstRow="1" w:lastRow="1" w:firstColumn="1" w:lastColumn="1" w:noHBand="0" w:noVBand="0"/>
      </w:tblPr>
      <w:tblGrid>
        <w:gridCol w:w="1478"/>
        <w:gridCol w:w="8160"/>
      </w:tblGrid>
      <w:tr w:rsidR="007B4056" w14:paraId="3E165A78" w14:textId="77777777" w:rsidTr="00211A1D">
        <w:tc>
          <w:tcPr>
            <w:tcW w:w="5000" w:type="pct"/>
            <w:gridSpan w:val="2"/>
          </w:tcPr>
          <w:p w14:paraId="2F146FEB" w14:textId="305D4681" w:rsidR="007B4056" w:rsidRDefault="007B4056" w:rsidP="001B191D">
            <w:pPr>
              <w:pStyle w:val="CoverTitleMain"/>
            </w:pPr>
            <w:bookmarkStart w:id="0" w:name="_GoBack"/>
            <w:bookmarkEnd w:id="0"/>
            <w:r>
              <w:t xml:space="preserve">Project AGreement FOR THE Management of the Former </w:t>
            </w:r>
            <w:r w:rsidR="001B191D">
              <w:t>Rum Jungle MINE SITE (STAGE 2A)</w:t>
            </w:r>
          </w:p>
        </w:tc>
      </w:tr>
      <w:tr w:rsidR="007B4056" w14:paraId="7EA8A65E" w14:textId="77777777" w:rsidTr="00211A1D">
        <w:tc>
          <w:tcPr>
            <w:tcW w:w="767" w:type="pct"/>
          </w:tcPr>
          <w:p w14:paraId="7A998E19" w14:textId="77777777" w:rsidR="007B4056" w:rsidRDefault="007B4056" w:rsidP="00211A1D">
            <w:pPr>
              <w:pStyle w:val="SingleParagraph"/>
              <w:tabs>
                <w:tab w:val="num" w:pos="1134"/>
              </w:tabs>
              <w:spacing w:after="240"/>
              <w:ind w:left="1134" w:hanging="567"/>
            </w:pPr>
          </w:p>
        </w:tc>
        <w:tc>
          <w:tcPr>
            <w:tcW w:w="4233" w:type="pct"/>
          </w:tcPr>
          <w:p w14:paraId="6FED537C" w14:textId="77777777" w:rsidR="007B4056" w:rsidRDefault="007B4056" w:rsidP="00211A1D">
            <w:pPr>
              <w:pStyle w:val="SingleParagraph"/>
              <w:tabs>
                <w:tab w:val="num" w:pos="1134"/>
              </w:tabs>
              <w:spacing w:after="240"/>
              <w:ind w:left="1134" w:hanging="567"/>
            </w:pPr>
          </w:p>
        </w:tc>
      </w:tr>
      <w:tr w:rsidR="007B4056" w14:paraId="7688B767" w14:textId="77777777" w:rsidTr="00211A1D">
        <w:tc>
          <w:tcPr>
            <w:tcW w:w="767" w:type="pct"/>
          </w:tcPr>
          <w:p w14:paraId="27035AC3" w14:textId="77777777" w:rsidR="007B4056" w:rsidRDefault="007B4056" w:rsidP="00211A1D">
            <w:pPr>
              <w:pStyle w:val="SingleParagraph"/>
              <w:tabs>
                <w:tab w:val="num" w:pos="1134"/>
              </w:tabs>
              <w:spacing w:after="240"/>
              <w:ind w:left="1134" w:hanging="567"/>
            </w:pPr>
          </w:p>
        </w:tc>
        <w:tc>
          <w:tcPr>
            <w:tcW w:w="4233" w:type="pct"/>
          </w:tcPr>
          <w:p w14:paraId="46BDB2FF" w14:textId="77777777" w:rsidR="007B4056" w:rsidRPr="001E74D0" w:rsidRDefault="007B4056" w:rsidP="00211A1D">
            <w:pPr>
              <w:pStyle w:val="SingleParagraph"/>
              <w:tabs>
                <w:tab w:val="num" w:pos="1134"/>
              </w:tabs>
              <w:spacing w:after="240"/>
              <w:ind w:left="1134" w:hanging="567"/>
            </w:pPr>
          </w:p>
        </w:tc>
      </w:tr>
      <w:tr w:rsidR="007B4056" w14:paraId="329A1339" w14:textId="77777777" w:rsidTr="00211A1D">
        <w:tc>
          <w:tcPr>
            <w:tcW w:w="5000" w:type="pct"/>
            <w:gridSpan w:val="2"/>
          </w:tcPr>
          <w:p w14:paraId="75F0D14B" w14:textId="77777777" w:rsidR="007B4056" w:rsidRDefault="007B4056" w:rsidP="00211A1D">
            <w:pPr>
              <w:pStyle w:val="AgreementHeading"/>
              <w:tabs>
                <w:tab w:val="clear" w:pos="1134"/>
              </w:tabs>
            </w:pPr>
            <w:r>
              <w:t>An agreement between:</w:t>
            </w:r>
          </w:p>
        </w:tc>
      </w:tr>
      <w:tr w:rsidR="007B4056" w14:paraId="43ACBF66" w14:textId="77777777" w:rsidTr="00211A1D">
        <w:tc>
          <w:tcPr>
            <w:tcW w:w="767" w:type="pct"/>
          </w:tcPr>
          <w:p w14:paraId="5BE0379D" w14:textId="77777777" w:rsidR="007B4056" w:rsidRPr="001E74D0" w:rsidRDefault="007B4056" w:rsidP="00211A1D">
            <w:pPr>
              <w:pStyle w:val="AgreementHeading"/>
              <w:tabs>
                <w:tab w:val="clear" w:pos="1134"/>
              </w:tabs>
              <w:ind w:left="522"/>
            </w:pPr>
          </w:p>
        </w:tc>
        <w:tc>
          <w:tcPr>
            <w:tcW w:w="4233" w:type="pct"/>
          </w:tcPr>
          <w:p w14:paraId="43C26DEF" w14:textId="77777777" w:rsidR="007B4056" w:rsidRDefault="007B4056" w:rsidP="00211A1D">
            <w:pPr>
              <w:pStyle w:val="AgreementParties"/>
            </w:pPr>
            <w:r>
              <w:t xml:space="preserve">the </w:t>
            </w:r>
            <w:r>
              <w:rPr>
                <w:rStyle w:val="Bold"/>
              </w:rPr>
              <w:t>Commonwealth of Australia</w:t>
            </w:r>
            <w:r w:rsidR="00270217">
              <w:rPr>
                <w:rStyle w:val="Bold"/>
              </w:rPr>
              <w:t>;</w:t>
            </w:r>
            <w:r>
              <w:t xml:space="preserve"> and</w:t>
            </w:r>
          </w:p>
          <w:p w14:paraId="150032E2" w14:textId="77777777" w:rsidR="007B4056" w:rsidRPr="001E74D0" w:rsidRDefault="007B4056" w:rsidP="00211A1D">
            <w:pPr>
              <w:pStyle w:val="AgreementParties"/>
            </w:pPr>
            <w:r>
              <w:t xml:space="preserve">the </w:t>
            </w:r>
            <w:r w:rsidRPr="00205EE3">
              <w:rPr>
                <w:rStyle w:val="Bold"/>
              </w:rPr>
              <w:t>Northern Territory</w:t>
            </w:r>
            <w:r>
              <w:t>.</w:t>
            </w:r>
          </w:p>
        </w:tc>
      </w:tr>
      <w:tr w:rsidR="007B4056" w14:paraId="4E487FD5" w14:textId="77777777" w:rsidTr="00211A1D">
        <w:tc>
          <w:tcPr>
            <w:tcW w:w="767" w:type="pct"/>
          </w:tcPr>
          <w:p w14:paraId="553787D7" w14:textId="77777777" w:rsidR="007B4056" w:rsidRDefault="007B4056" w:rsidP="00211A1D">
            <w:pPr>
              <w:pStyle w:val="SingleParagraph"/>
              <w:tabs>
                <w:tab w:val="num" w:pos="1134"/>
              </w:tabs>
              <w:spacing w:after="240"/>
              <w:ind w:left="1134" w:hanging="567"/>
            </w:pPr>
          </w:p>
        </w:tc>
        <w:tc>
          <w:tcPr>
            <w:tcW w:w="4233" w:type="pct"/>
            <w:tcBorders>
              <w:left w:val="nil"/>
            </w:tcBorders>
          </w:tcPr>
          <w:p w14:paraId="4E633080" w14:textId="77777777" w:rsidR="007B4056" w:rsidRPr="00EB7EDA" w:rsidRDefault="007B4056" w:rsidP="00211A1D">
            <w:pPr>
              <w:rPr>
                <w:i/>
              </w:rPr>
            </w:pPr>
          </w:p>
        </w:tc>
      </w:tr>
      <w:tr w:rsidR="007B4056" w14:paraId="5CFDA13F" w14:textId="77777777" w:rsidTr="00211A1D">
        <w:tc>
          <w:tcPr>
            <w:tcW w:w="5000" w:type="pct"/>
            <w:gridSpan w:val="2"/>
          </w:tcPr>
          <w:p w14:paraId="4E5CE658" w14:textId="77777777" w:rsidR="007B4056" w:rsidRDefault="007B4056" w:rsidP="00211A1D">
            <w:pPr>
              <w:pStyle w:val="SingleParagraph"/>
              <w:tabs>
                <w:tab w:val="num" w:pos="1134"/>
              </w:tabs>
              <w:spacing w:after="240"/>
              <w:ind w:left="1134" w:hanging="567"/>
            </w:pPr>
          </w:p>
        </w:tc>
      </w:tr>
      <w:tr w:rsidR="007B4056" w14:paraId="1EEDDA84" w14:textId="77777777" w:rsidTr="00211A1D">
        <w:tc>
          <w:tcPr>
            <w:tcW w:w="5000" w:type="pct"/>
            <w:gridSpan w:val="2"/>
          </w:tcPr>
          <w:p w14:paraId="091FE194" w14:textId="77777777" w:rsidR="001C2AFF" w:rsidRPr="001C2AFF" w:rsidRDefault="001C2AFF" w:rsidP="001C2AFF"/>
          <w:p w14:paraId="271DAFA0" w14:textId="77777777" w:rsidR="001C2AFF" w:rsidRPr="001C2AFF" w:rsidRDefault="001C2AFF" w:rsidP="001C2AFF"/>
          <w:p w14:paraId="38E76431" w14:textId="77777777" w:rsidR="001C2AFF" w:rsidRPr="001C2AFF" w:rsidRDefault="001C2AFF" w:rsidP="001C2AFF"/>
          <w:p w14:paraId="1FFB8831" w14:textId="77777777" w:rsidR="001C2AFF" w:rsidRPr="001C2AFF" w:rsidRDefault="001C2AFF" w:rsidP="001C2AFF"/>
          <w:p w14:paraId="0FA471DB" w14:textId="77777777" w:rsidR="001C2AFF" w:rsidRPr="001C2AFF" w:rsidRDefault="001C2AFF" w:rsidP="001C2AFF"/>
          <w:p w14:paraId="32B09EEC" w14:textId="77777777" w:rsidR="00B20A7C" w:rsidRDefault="00B20A7C" w:rsidP="00E7412D">
            <w:pPr>
              <w:tabs>
                <w:tab w:val="left" w:pos="6660"/>
                <w:tab w:val="left" w:pos="7121"/>
              </w:tabs>
            </w:pPr>
          </w:p>
          <w:p w14:paraId="3CCD9EB3" w14:textId="77777777" w:rsidR="00B20A7C" w:rsidRDefault="00B20A7C" w:rsidP="00E7412D">
            <w:pPr>
              <w:tabs>
                <w:tab w:val="left" w:pos="6660"/>
                <w:tab w:val="left" w:pos="7121"/>
              </w:tabs>
            </w:pPr>
          </w:p>
          <w:p w14:paraId="374E0023" w14:textId="77777777" w:rsidR="00B20A7C" w:rsidRDefault="00B20A7C" w:rsidP="00E7412D">
            <w:pPr>
              <w:tabs>
                <w:tab w:val="left" w:pos="6660"/>
                <w:tab w:val="left" w:pos="7121"/>
              </w:tabs>
            </w:pPr>
          </w:p>
          <w:p w14:paraId="466800A7" w14:textId="77777777" w:rsidR="007B4056" w:rsidRPr="001C2AFF" w:rsidRDefault="00B20A7C" w:rsidP="00B20A7C">
            <w:pPr>
              <w:pStyle w:val="Abstract"/>
            </w:pPr>
            <w:r>
              <w:t>The output of this project will be the delivery of the Rum Jungle Mine Site Rehabilitation Project (Stage 2A) at sites within the former Rum Jungle Uranium Field.</w:t>
            </w:r>
          </w:p>
        </w:tc>
      </w:tr>
      <w:tr w:rsidR="00DF7CC8" w14:paraId="5256B5B1" w14:textId="77777777" w:rsidTr="00211A1D">
        <w:tc>
          <w:tcPr>
            <w:tcW w:w="5000" w:type="pct"/>
            <w:gridSpan w:val="2"/>
          </w:tcPr>
          <w:p w14:paraId="25E4B73F" w14:textId="77777777" w:rsidR="00DF7CC8" w:rsidRPr="001C2AFF" w:rsidRDefault="00DF7CC8" w:rsidP="001C2AFF"/>
        </w:tc>
      </w:tr>
    </w:tbl>
    <w:p w14:paraId="63851DEB" w14:textId="77777777" w:rsidR="007B4056" w:rsidRDefault="007B4056" w:rsidP="007B4056">
      <w:pPr>
        <w:pStyle w:val="Title"/>
        <w:pageBreakBefore/>
      </w:pPr>
      <w:r>
        <w:lastRenderedPageBreak/>
        <w:t>Project Agreement for the Management of the Former Rum Jungle Mine Site (Stage 2A)</w:t>
      </w:r>
    </w:p>
    <w:p w14:paraId="04D99951" w14:textId="77777777" w:rsidR="007B4056" w:rsidRPr="004B2EF6" w:rsidRDefault="007B4056" w:rsidP="007B4056">
      <w:pPr>
        <w:pStyle w:val="Heading1"/>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t>overview</w:t>
      </w:r>
    </w:p>
    <w:p w14:paraId="2ADB5CD8" w14:textId="77777777" w:rsidR="007B4056" w:rsidRPr="00D70B47" w:rsidRDefault="007B4056" w:rsidP="007B4056">
      <w:pPr>
        <w:pStyle w:val="Normalnumbered"/>
        <w:numPr>
          <w:ilvl w:val="0"/>
          <w:numId w:val="2"/>
        </w:numPr>
        <w:pBdr>
          <w:top w:val="single" w:sz="4" w:space="1" w:color="auto"/>
          <w:left w:val="single" w:sz="4" w:space="4" w:color="auto"/>
          <w:bottom w:val="single" w:sz="4" w:space="1" w:color="auto"/>
          <w:right w:val="single" w:sz="4" w:space="4" w:color="auto"/>
        </w:pBdr>
        <w:shd w:val="clear" w:color="auto" w:fill="DAEEF3" w:themeFill="accent5" w:themeFillTint="33"/>
      </w:pPr>
      <w:r w:rsidRPr="004B1F38">
        <w:rPr>
          <w:color w:val="auto"/>
        </w:rPr>
        <w:t xml:space="preserve">This </w:t>
      </w:r>
      <w:r>
        <w:rPr>
          <w:color w:val="auto"/>
        </w:rPr>
        <w:t>Project Agreement</w:t>
      </w:r>
      <w:r w:rsidRPr="004B1F38">
        <w:rPr>
          <w:color w:val="auto"/>
        </w:rPr>
        <w:t xml:space="preserve"> (the Agreement) is created subject to the provis</w:t>
      </w:r>
      <w:r w:rsidRPr="004B6083">
        <w:rPr>
          <w:color w:val="auto"/>
        </w:rPr>
        <w:t>i</w:t>
      </w:r>
      <w:r w:rsidRPr="004B1F38">
        <w:rPr>
          <w:color w:val="auto"/>
        </w:rPr>
        <w:t xml:space="preserve">ons of the </w:t>
      </w:r>
      <w:r w:rsidRPr="000614F9">
        <w:rPr>
          <w:color w:val="auto"/>
        </w:rPr>
        <w:t>Intergovernmental Agreement on Federal Financial Relations</w:t>
      </w:r>
      <w:r w:rsidRPr="004B1F38">
        <w:rPr>
          <w:color w:val="auto"/>
        </w:rPr>
        <w:t xml:space="preserve"> </w:t>
      </w:r>
      <w:r w:rsidRPr="00DE36EB">
        <w:rPr>
          <w:color w:val="auto"/>
        </w:rPr>
        <w:t>(IGA FFR) and should be read in conjunction with that Agreement and its Schedules, which provide information in relation to performance reporting and payment arrangements under the IGA FFR.</w:t>
      </w:r>
    </w:p>
    <w:p w14:paraId="3C858896" w14:textId="628D563B" w:rsidR="00D70B47" w:rsidRPr="0096732C" w:rsidRDefault="00D70B47" w:rsidP="007B4056">
      <w:pPr>
        <w:pStyle w:val="Normalnumbered"/>
        <w:numPr>
          <w:ilvl w:val="0"/>
          <w:numId w:val="2"/>
        </w:numPr>
        <w:pBdr>
          <w:top w:val="single" w:sz="4" w:space="1" w:color="auto"/>
          <w:left w:val="single" w:sz="4" w:space="4" w:color="auto"/>
          <w:bottom w:val="single" w:sz="4" w:space="1" w:color="auto"/>
          <w:right w:val="single" w:sz="4" w:space="4" w:color="auto"/>
        </w:pBdr>
        <w:shd w:val="clear" w:color="auto" w:fill="DAEEF3" w:themeFill="accent5" w:themeFillTint="33"/>
      </w:pPr>
      <w:r>
        <w:rPr>
          <w:color w:val="auto"/>
        </w:rPr>
        <w:t xml:space="preserve">This Agreement replaces the previous </w:t>
      </w:r>
      <w:r w:rsidRPr="00D70B47">
        <w:rPr>
          <w:i/>
          <w:color w:val="auto"/>
        </w:rPr>
        <w:t>Project Agreement for the Management of the Former Rum Jungle Mine Site (Stage 2A)</w:t>
      </w:r>
      <w:r>
        <w:rPr>
          <w:color w:val="auto"/>
        </w:rPr>
        <w:t xml:space="preserve"> dated 20 September 201</w:t>
      </w:r>
      <w:r w:rsidR="00C60F01">
        <w:rPr>
          <w:color w:val="auto"/>
        </w:rPr>
        <w:t>7</w:t>
      </w:r>
      <w:r>
        <w:rPr>
          <w:color w:val="auto"/>
        </w:rPr>
        <w:t xml:space="preserve">. </w:t>
      </w:r>
    </w:p>
    <w:p w14:paraId="49F83E1F" w14:textId="77777777" w:rsidR="007B4056" w:rsidRPr="004B1F38" w:rsidRDefault="007B4056" w:rsidP="007B4056">
      <w:pPr>
        <w:pStyle w:val="Heading2"/>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rsidRPr="0096732C">
        <w:t>Purpose</w:t>
      </w:r>
    </w:p>
    <w:p w14:paraId="5373F5AA" w14:textId="77777777" w:rsidR="007B4056" w:rsidRPr="002E0EB7" w:rsidRDefault="007B4056" w:rsidP="007B4056">
      <w:pPr>
        <w:pStyle w:val="Normalnumbered"/>
        <w:numPr>
          <w:ilvl w:val="0"/>
          <w:numId w:val="2"/>
        </w:numPr>
        <w:pBdr>
          <w:top w:val="single" w:sz="4" w:space="1" w:color="auto"/>
          <w:left w:val="single" w:sz="4" w:space="4" w:color="auto"/>
          <w:bottom w:val="single" w:sz="4" w:space="1" w:color="auto"/>
          <w:right w:val="single" w:sz="4" w:space="4" w:color="auto"/>
        </w:pBdr>
        <w:shd w:val="clear" w:color="auto" w:fill="DAEEF3" w:themeFill="accent5" w:themeFillTint="33"/>
      </w:pPr>
      <w:r w:rsidRPr="007A272E">
        <w:rPr>
          <w:color w:val="auto"/>
        </w:rPr>
        <w:t xml:space="preserve">This Agreement will support the </w:t>
      </w:r>
      <w:r>
        <w:rPr>
          <w:color w:val="auto"/>
        </w:rPr>
        <w:t xml:space="preserve">delivery of the </w:t>
      </w:r>
      <w:r>
        <w:t>Rum Jungle Mine Site Rehabilitation Project (Stage 2A) at sites within the former Rum Jungle Uranium Field</w:t>
      </w:r>
      <w:r w:rsidR="00667714">
        <w:t>,</w:t>
      </w:r>
      <w:r w:rsidRPr="007A272E">
        <w:rPr>
          <w:color w:val="auto"/>
        </w:rPr>
        <w:t xml:space="preserve"> </w:t>
      </w:r>
      <w:r w:rsidR="00667714">
        <w:rPr>
          <w:color w:val="auto"/>
        </w:rPr>
        <w:t xml:space="preserve">including repairs </w:t>
      </w:r>
      <w:r w:rsidR="00C53AB2">
        <w:rPr>
          <w:color w:val="auto"/>
        </w:rPr>
        <w:t xml:space="preserve">and maintenance </w:t>
      </w:r>
      <w:r w:rsidR="00667714">
        <w:rPr>
          <w:color w:val="auto"/>
        </w:rPr>
        <w:t xml:space="preserve">at the Rum Jungle Creek South site </w:t>
      </w:r>
      <w:r w:rsidRPr="007A272E">
        <w:rPr>
          <w:color w:val="auto"/>
        </w:rPr>
        <w:t>to ensure</w:t>
      </w:r>
      <w:r>
        <w:t xml:space="preserve"> that it continues to meet </w:t>
      </w:r>
      <w:r w:rsidR="00583702">
        <w:t xml:space="preserve">Australia’s public radiation protection </w:t>
      </w:r>
      <w:r w:rsidR="00583702" w:rsidRPr="002E0EB7">
        <w:t>standard</w:t>
      </w:r>
      <w:r w:rsidR="00061CDE">
        <w:t>.</w:t>
      </w:r>
    </w:p>
    <w:p w14:paraId="22A462C3" w14:textId="77777777" w:rsidR="007B4056" w:rsidRDefault="007B4056" w:rsidP="007B4056">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96732C">
        <w:rPr>
          <w:rFonts w:cs="Arial"/>
          <w:b/>
          <w:bCs/>
          <w:iCs/>
          <w:color w:val="3D4B67"/>
          <w:sz w:val="29"/>
          <w:szCs w:val="28"/>
        </w:rPr>
        <w:t>Reporting Arrangements</w:t>
      </w:r>
      <w:r>
        <w:t xml:space="preserve"> </w:t>
      </w:r>
    </w:p>
    <w:p w14:paraId="176D8AD0" w14:textId="77777777" w:rsidR="007B4056" w:rsidRDefault="007B4056" w:rsidP="007B4056">
      <w:pPr>
        <w:pStyle w:val="Normalnumbered"/>
        <w:numPr>
          <w:ilvl w:val="0"/>
          <w:numId w:val="2"/>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t xml:space="preserve">The Northern Territory will report against the agreed milestones during the operation of this Agreement, as set out in Part 4 – Project Milestones, Reporting and Payments. </w:t>
      </w:r>
    </w:p>
    <w:p w14:paraId="60731B56" w14:textId="77777777" w:rsidR="007B4056" w:rsidRPr="0096732C" w:rsidRDefault="007B4056" w:rsidP="007B4056">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rPr>
          <w:rFonts w:cs="Arial"/>
          <w:b/>
          <w:bCs/>
          <w:iCs/>
          <w:color w:val="3D4B67"/>
          <w:sz w:val="29"/>
          <w:szCs w:val="28"/>
        </w:rPr>
      </w:pPr>
      <w:r w:rsidRPr="0096732C">
        <w:rPr>
          <w:rFonts w:cs="Arial"/>
          <w:b/>
          <w:bCs/>
          <w:iCs/>
          <w:color w:val="3D4B67"/>
          <w:sz w:val="29"/>
          <w:szCs w:val="28"/>
        </w:rPr>
        <w:t xml:space="preserve">Financial Arrangements </w:t>
      </w:r>
    </w:p>
    <w:p w14:paraId="3AECA0E9" w14:textId="77777777" w:rsidR="007B4056" w:rsidRPr="0096732C" w:rsidRDefault="007B4056" w:rsidP="007B4056">
      <w:pPr>
        <w:pStyle w:val="Normalnumbered"/>
        <w:numPr>
          <w:ilvl w:val="0"/>
          <w:numId w:val="2"/>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7179FE">
        <w:t xml:space="preserve">The Commonwealth will provide </w:t>
      </w:r>
      <w:r>
        <w:t xml:space="preserve">an estimated total </w:t>
      </w:r>
      <w:r w:rsidRPr="007179FE">
        <w:t xml:space="preserve">financial contribution to the </w:t>
      </w:r>
      <w:r>
        <w:t>Northern Territory</w:t>
      </w:r>
      <w:r w:rsidRPr="007179FE">
        <w:t xml:space="preserve"> </w:t>
      </w:r>
      <w:r>
        <w:t xml:space="preserve">of $10.048 million, exclusive of GST, in respect of this Agreement, as set out </w:t>
      </w:r>
      <w:r w:rsidRPr="007179FE">
        <w:t xml:space="preserve">in </w:t>
      </w:r>
      <w:r>
        <w:t>Part 5 – Financial Arrangements</w:t>
      </w:r>
      <w:r w:rsidRPr="007179FE">
        <w:t>.</w:t>
      </w:r>
    </w:p>
    <w:p w14:paraId="6A1C07F7" w14:textId="77777777" w:rsidR="007B4056" w:rsidRPr="004B1F38" w:rsidRDefault="007B4056" w:rsidP="007B4056">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pPr>
      <w:r w:rsidDel="00A25265">
        <w:t xml:space="preserve"> </w:t>
      </w:r>
    </w:p>
    <w:p w14:paraId="506A7861" w14:textId="77777777" w:rsidR="007B4056" w:rsidRDefault="007B4056" w:rsidP="007B4056">
      <w:pPr>
        <w:pStyle w:val="Heading1"/>
      </w:pPr>
      <w:r>
        <w:t>Part 1 — Formalities</w:t>
      </w:r>
    </w:p>
    <w:p w14:paraId="1F98FF6D" w14:textId="77777777" w:rsidR="007B4056" w:rsidRDefault="007B4056" w:rsidP="007B4056">
      <w:pPr>
        <w:pStyle w:val="Normalnumbered"/>
        <w:numPr>
          <w:ilvl w:val="0"/>
          <w:numId w:val="2"/>
        </w:numPr>
      </w:pPr>
      <w:r>
        <w:t>This Agreement constitutes the entire agreement for this project.</w:t>
      </w:r>
    </w:p>
    <w:p w14:paraId="4B8BB870" w14:textId="77777777" w:rsidR="007B4056" w:rsidRDefault="007B4056" w:rsidP="007B4056">
      <w:pPr>
        <w:pStyle w:val="Heading2"/>
      </w:pPr>
      <w:r>
        <w:t>Parties to this Agreement</w:t>
      </w:r>
    </w:p>
    <w:p w14:paraId="4A2F713C" w14:textId="77777777" w:rsidR="007B4056" w:rsidRPr="007B4B03" w:rsidRDefault="007B4056" w:rsidP="007B4056">
      <w:pPr>
        <w:pStyle w:val="Normalnumbered"/>
        <w:numPr>
          <w:ilvl w:val="0"/>
          <w:numId w:val="2"/>
        </w:numPr>
      </w:pPr>
      <w:r w:rsidRPr="003012DA">
        <w:t xml:space="preserve">This </w:t>
      </w:r>
      <w:r>
        <w:t xml:space="preserve">Agreement </w:t>
      </w:r>
      <w:r w:rsidRPr="003012DA">
        <w:t>is between the Commonwealth of Australia (the</w:t>
      </w:r>
      <w:r>
        <w:t xml:space="preserve"> Commonwealth</w:t>
      </w:r>
      <w:r w:rsidRPr="003012DA">
        <w:t>) and t</w:t>
      </w:r>
      <w:r>
        <w:t>he Northern Territory</w:t>
      </w:r>
      <w:r w:rsidRPr="003012DA">
        <w:t>.</w:t>
      </w:r>
    </w:p>
    <w:p w14:paraId="1917EEC1" w14:textId="77777777" w:rsidR="00C05D8C" w:rsidRDefault="00C05D8C" w:rsidP="00C05D8C">
      <w:pPr>
        <w:pStyle w:val="Heading2"/>
      </w:pPr>
      <w:r>
        <w:lastRenderedPageBreak/>
        <w:t>Rum Jungle Rehabilitation Project</w:t>
      </w:r>
      <w:r w:rsidR="00C97221">
        <w:t xml:space="preserve"> Stages</w:t>
      </w:r>
    </w:p>
    <w:p w14:paraId="19223F19" w14:textId="2D919BED" w:rsidR="00866B97" w:rsidRPr="00DB334B" w:rsidRDefault="003C7870" w:rsidP="00DB334B">
      <w:pPr>
        <w:pStyle w:val="Normalnumbered"/>
        <w:numPr>
          <w:ilvl w:val="0"/>
          <w:numId w:val="2"/>
        </w:numPr>
        <w:rPr>
          <w:rFonts w:ascii="Arial" w:hAnsi="Arial"/>
          <w:color w:val="auto"/>
          <w:sz w:val="22"/>
        </w:rPr>
      </w:pPr>
      <w:r>
        <w:t>To date, t</w:t>
      </w:r>
      <w:r w:rsidR="00866B97">
        <w:t xml:space="preserve">he Rum Jungle Rehabilitation Project </w:t>
      </w:r>
      <w:r>
        <w:t xml:space="preserve">has consisted </w:t>
      </w:r>
      <w:r w:rsidR="00866B97">
        <w:t xml:space="preserve">of </w:t>
      </w:r>
      <w:r>
        <w:t xml:space="preserve">three </w:t>
      </w:r>
      <w:r w:rsidR="00866B97">
        <w:t>stages</w:t>
      </w:r>
      <w:r w:rsidR="00D23543">
        <w:t>, as</w:t>
      </w:r>
      <w:r w:rsidR="00866B97">
        <w:t xml:space="preserve"> outlined below: </w:t>
      </w:r>
    </w:p>
    <w:tbl>
      <w:tblPr>
        <w:tblStyle w:val="TableGrid"/>
        <w:tblW w:w="9634" w:type="dxa"/>
        <w:tblLook w:val="04A0" w:firstRow="1" w:lastRow="0" w:firstColumn="1" w:lastColumn="0" w:noHBand="0" w:noVBand="1"/>
      </w:tblPr>
      <w:tblGrid>
        <w:gridCol w:w="1417"/>
        <w:gridCol w:w="2268"/>
        <w:gridCol w:w="5949"/>
      </w:tblGrid>
      <w:tr w:rsidR="00866B97" w:rsidRPr="00C97221" w14:paraId="4A386C65" w14:textId="77777777" w:rsidTr="00C97221">
        <w:tc>
          <w:tcPr>
            <w:tcW w:w="1417" w:type="dxa"/>
            <w:tcBorders>
              <w:top w:val="single" w:sz="4" w:space="0" w:color="auto"/>
              <w:left w:val="single" w:sz="4" w:space="0" w:color="auto"/>
              <w:bottom w:val="single" w:sz="4" w:space="0" w:color="auto"/>
              <w:right w:val="single" w:sz="4" w:space="0" w:color="auto"/>
            </w:tcBorders>
            <w:vAlign w:val="center"/>
            <w:hideMark/>
          </w:tcPr>
          <w:p w14:paraId="66851F96" w14:textId="77777777" w:rsidR="00866B97" w:rsidRPr="00C97221" w:rsidRDefault="00866B97" w:rsidP="00C97221">
            <w:pPr>
              <w:spacing w:before="40" w:after="40" w:line="240" w:lineRule="auto"/>
              <w:jc w:val="center"/>
              <w:rPr>
                <w:b/>
                <w:szCs w:val="23"/>
              </w:rPr>
            </w:pPr>
            <w:r w:rsidRPr="00DB334B">
              <w:rPr>
                <w:b/>
                <w:szCs w:val="23"/>
              </w:rPr>
              <w:t>Stage</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C199C47" w14:textId="77777777" w:rsidR="00866B97" w:rsidRPr="00C97221" w:rsidRDefault="00866B97" w:rsidP="00C97221">
            <w:pPr>
              <w:spacing w:before="40" w:after="40" w:line="240" w:lineRule="auto"/>
              <w:jc w:val="center"/>
              <w:rPr>
                <w:b/>
                <w:szCs w:val="23"/>
              </w:rPr>
            </w:pPr>
            <w:r w:rsidRPr="00C97221">
              <w:rPr>
                <w:b/>
                <w:szCs w:val="23"/>
              </w:rPr>
              <w:t>Years</w:t>
            </w:r>
          </w:p>
        </w:tc>
        <w:tc>
          <w:tcPr>
            <w:tcW w:w="5949" w:type="dxa"/>
            <w:tcBorders>
              <w:top w:val="single" w:sz="4" w:space="0" w:color="auto"/>
              <w:left w:val="single" w:sz="4" w:space="0" w:color="auto"/>
              <w:bottom w:val="single" w:sz="4" w:space="0" w:color="auto"/>
              <w:right w:val="single" w:sz="4" w:space="0" w:color="auto"/>
            </w:tcBorders>
            <w:hideMark/>
          </w:tcPr>
          <w:p w14:paraId="1D8D2105" w14:textId="77777777" w:rsidR="00866B97" w:rsidRPr="00C97221" w:rsidRDefault="00866B97" w:rsidP="00C97221">
            <w:pPr>
              <w:spacing w:before="40" w:after="40" w:line="240" w:lineRule="auto"/>
              <w:jc w:val="center"/>
              <w:rPr>
                <w:b/>
                <w:szCs w:val="23"/>
              </w:rPr>
            </w:pPr>
            <w:r w:rsidRPr="00C97221">
              <w:rPr>
                <w:b/>
                <w:szCs w:val="23"/>
              </w:rPr>
              <w:t>Output(s)</w:t>
            </w:r>
          </w:p>
        </w:tc>
      </w:tr>
      <w:tr w:rsidR="00866B97" w:rsidRPr="00DB334B" w14:paraId="4B2A3FED" w14:textId="77777777" w:rsidTr="00C97221">
        <w:tc>
          <w:tcPr>
            <w:tcW w:w="1417" w:type="dxa"/>
            <w:tcBorders>
              <w:top w:val="single" w:sz="4" w:space="0" w:color="auto"/>
              <w:left w:val="single" w:sz="4" w:space="0" w:color="auto"/>
              <w:bottom w:val="single" w:sz="4" w:space="0" w:color="auto"/>
              <w:right w:val="single" w:sz="4" w:space="0" w:color="auto"/>
            </w:tcBorders>
            <w:vAlign w:val="center"/>
            <w:hideMark/>
          </w:tcPr>
          <w:p w14:paraId="71A345A4" w14:textId="77777777" w:rsidR="00866B97" w:rsidRPr="00C97221" w:rsidRDefault="00866B97" w:rsidP="00DB334B">
            <w:pPr>
              <w:spacing w:before="40" w:after="40" w:line="240" w:lineRule="auto"/>
              <w:jc w:val="center"/>
              <w:rPr>
                <w:szCs w:val="23"/>
              </w:rPr>
            </w:pPr>
            <w:r w:rsidRPr="00DB334B">
              <w:rPr>
                <w:szCs w:val="23"/>
              </w:rPr>
              <w:t>1</w:t>
            </w:r>
            <w:r w:rsidRPr="00DB334B">
              <w:rPr>
                <w:rStyle w:val="FootnoteReference"/>
                <w:szCs w:val="23"/>
              </w:rPr>
              <w:footnoteReference w:id="2"/>
            </w:r>
          </w:p>
        </w:tc>
        <w:tc>
          <w:tcPr>
            <w:tcW w:w="2268" w:type="dxa"/>
            <w:tcBorders>
              <w:top w:val="single" w:sz="4" w:space="0" w:color="auto"/>
              <w:left w:val="single" w:sz="4" w:space="0" w:color="auto"/>
              <w:bottom w:val="single" w:sz="4" w:space="0" w:color="auto"/>
              <w:right w:val="single" w:sz="4" w:space="0" w:color="auto"/>
            </w:tcBorders>
            <w:vAlign w:val="center"/>
            <w:hideMark/>
          </w:tcPr>
          <w:p w14:paraId="4BCD499C" w14:textId="77777777" w:rsidR="00866B97" w:rsidRPr="00DB334B" w:rsidRDefault="00866B97" w:rsidP="00DB334B">
            <w:pPr>
              <w:spacing w:before="40" w:after="40" w:line="240" w:lineRule="auto"/>
              <w:jc w:val="center"/>
              <w:rPr>
                <w:szCs w:val="23"/>
              </w:rPr>
            </w:pPr>
            <w:r w:rsidRPr="00C97221">
              <w:rPr>
                <w:szCs w:val="23"/>
              </w:rPr>
              <w:t>2009-2013</w:t>
            </w:r>
          </w:p>
        </w:tc>
        <w:tc>
          <w:tcPr>
            <w:tcW w:w="5949" w:type="dxa"/>
            <w:tcBorders>
              <w:top w:val="single" w:sz="4" w:space="0" w:color="auto"/>
              <w:left w:val="single" w:sz="4" w:space="0" w:color="auto"/>
              <w:bottom w:val="single" w:sz="4" w:space="0" w:color="auto"/>
              <w:right w:val="single" w:sz="4" w:space="0" w:color="auto"/>
            </w:tcBorders>
            <w:vAlign w:val="center"/>
            <w:hideMark/>
          </w:tcPr>
          <w:p w14:paraId="1D8DD132" w14:textId="77777777" w:rsidR="00866B97" w:rsidRPr="00DB334B" w:rsidRDefault="00866B97" w:rsidP="00DB334B">
            <w:pPr>
              <w:spacing w:before="40" w:after="120" w:line="240" w:lineRule="auto"/>
              <w:rPr>
                <w:szCs w:val="23"/>
              </w:rPr>
            </w:pPr>
            <w:r w:rsidRPr="00DB334B">
              <w:rPr>
                <w:szCs w:val="23"/>
              </w:rPr>
              <w:t>Improved understanding of the site’s current environmental state</w:t>
            </w:r>
          </w:p>
          <w:p w14:paraId="649F37BD" w14:textId="09F69EBC" w:rsidR="00866B97" w:rsidRPr="00E57E44" w:rsidRDefault="002D19FD" w:rsidP="00DB334B">
            <w:pPr>
              <w:spacing w:before="40" w:after="40" w:line="240" w:lineRule="auto"/>
              <w:rPr>
                <w:szCs w:val="23"/>
              </w:rPr>
            </w:pPr>
            <w:r w:rsidRPr="00E57E44">
              <w:rPr>
                <w:rStyle w:val="Hyperlink"/>
                <w:color w:val="auto"/>
                <w:szCs w:val="23"/>
                <w:u w:val="none"/>
              </w:rPr>
              <w:t>Conceptual rehabilitation strategy</w:t>
            </w:r>
            <w:r w:rsidRPr="00E57E44">
              <w:rPr>
                <w:rStyle w:val="FootnoteReference"/>
                <w:color w:val="auto"/>
                <w:szCs w:val="23"/>
              </w:rPr>
              <w:footnoteReference w:id="3"/>
            </w:r>
          </w:p>
        </w:tc>
      </w:tr>
      <w:tr w:rsidR="00866B97" w:rsidRPr="00C97221" w14:paraId="739DBA14" w14:textId="77777777" w:rsidTr="00C97221">
        <w:tc>
          <w:tcPr>
            <w:tcW w:w="1417" w:type="dxa"/>
            <w:tcBorders>
              <w:top w:val="single" w:sz="4" w:space="0" w:color="auto"/>
              <w:left w:val="single" w:sz="4" w:space="0" w:color="auto"/>
              <w:bottom w:val="single" w:sz="4" w:space="0" w:color="auto"/>
              <w:right w:val="single" w:sz="4" w:space="0" w:color="auto"/>
            </w:tcBorders>
            <w:vAlign w:val="center"/>
            <w:hideMark/>
          </w:tcPr>
          <w:p w14:paraId="2EE34103" w14:textId="77777777" w:rsidR="00866B97" w:rsidRPr="00DB334B" w:rsidRDefault="00866B97" w:rsidP="00DB334B">
            <w:pPr>
              <w:spacing w:before="40" w:after="40" w:line="240" w:lineRule="auto"/>
              <w:jc w:val="center"/>
              <w:rPr>
                <w:szCs w:val="23"/>
              </w:rPr>
            </w:pPr>
            <w:r w:rsidRPr="00DB334B">
              <w:rPr>
                <w:szCs w:val="23"/>
              </w:rPr>
              <w:t>2</w:t>
            </w:r>
            <w:r w:rsidRPr="00C97221">
              <w:rPr>
                <w:rStyle w:val="FootnoteReference"/>
                <w:szCs w:val="23"/>
              </w:rPr>
              <w:footnoteReference w:id="4"/>
            </w:r>
          </w:p>
        </w:tc>
        <w:tc>
          <w:tcPr>
            <w:tcW w:w="2268" w:type="dxa"/>
            <w:tcBorders>
              <w:top w:val="single" w:sz="4" w:space="0" w:color="auto"/>
              <w:left w:val="single" w:sz="4" w:space="0" w:color="auto"/>
              <w:bottom w:val="single" w:sz="4" w:space="0" w:color="auto"/>
              <w:right w:val="single" w:sz="4" w:space="0" w:color="auto"/>
            </w:tcBorders>
            <w:vAlign w:val="center"/>
            <w:hideMark/>
          </w:tcPr>
          <w:p w14:paraId="7E8A2333" w14:textId="77777777" w:rsidR="00866B97" w:rsidRPr="00DB334B" w:rsidRDefault="00866B97" w:rsidP="00DB334B">
            <w:pPr>
              <w:spacing w:before="40" w:after="40" w:line="240" w:lineRule="auto"/>
              <w:jc w:val="center"/>
              <w:rPr>
                <w:szCs w:val="23"/>
              </w:rPr>
            </w:pPr>
            <w:r w:rsidRPr="00DB334B">
              <w:rPr>
                <w:szCs w:val="23"/>
              </w:rPr>
              <w:t>2013-2016</w:t>
            </w:r>
          </w:p>
        </w:tc>
        <w:tc>
          <w:tcPr>
            <w:tcW w:w="5949" w:type="dxa"/>
            <w:tcBorders>
              <w:top w:val="single" w:sz="4" w:space="0" w:color="auto"/>
              <w:left w:val="single" w:sz="4" w:space="0" w:color="auto"/>
              <w:bottom w:val="single" w:sz="4" w:space="0" w:color="auto"/>
              <w:right w:val="single" w:sz="4" w:space="0" w:color="auto"/>
            </w:tcBorders>
            <w:vAlign w:val="center"/>
            <w:hideMark/>
          </w:tcPr>
          <w:p w14:paraId="1475507E" w14:textId="77777777" w:rsidR="00866B97" w:rsidRPr="00C97221" w:rsidRDefault="00866B97" w:rsidP="00DB334B">
            <w:pPr>
              <w:spacing w:before="40" w:after="40" w:line="240" w:lineRule="auto"/>
              <w:rPr>
                <w:szCs w:val="23"/>
              </w:rPr>
            </w:pPr>
            <w:r w:rsidRPr="00C97221">
              <w:rPr>
                <w:szCs w:val="23"/>
              </w:rPr>
              <w:t>Rehabilitation design works and construction-ready specifications, drawings and costings (including for post-rehabilitation activities) that are able to assist Detailed Business Case (DBC) development</w:t>
            </w:r>
          </w:p>
        </w:tc>
      </w:tr>
      <w:tr w:rsidR="00866B97" w:rsidRPr="00DB334B" w14:paraId="4FBF3D78" w14:textId="77777777" w:rsidTr="00C97221">
        <w:tc>
          <w:tcPr>
            <w:tcW w:w="1417" w:type="dxa"/>
            <w:tcBorders>
              <w:top w:val="single" w:sz="4" w:space="0" w:color="auto"/>
              <w:left w:val="single" w:sz="4" w:space="0" w:color="auto"/>
              <w:bottom w:val="single" w:sz="4" w:space="0" w:color="auto"/>
              <w:right w:val="single" w:sz="4" w:space="0" w:color="auto"/>
            </w:tcBorders>
            <w:vAlign w:val="center"/>
            <w:hideMark/>
          </w:tcPr>
          <w:p w14:paraId="04F875F9" w14:textId="77777777" w:rsidR="00866B97" w:rsidRPr="00C97221" w:rsidRDefault="00866B97" w:rsidP="00DB334B">
            <w:pPr>
              <w:spacing w:before="40" w:after="40" w:line="240" w:lineRule="auto"/>
              <w:jc w:val="center"/>
              <w:rPr>
                <w:smallCaps/>
                <w:szCs w:val="23"/>
              </w:rPr>
            </w:pPr>
            <w:r w:rsidRPr="00C97221">
              <w:rPr>
                <w:szCs w:val="23"/>
              </w:rPr>
              <w:t>2A</w:t>
            </w:r>
            <w:r w:rsidRPr="00C97221">
              <w:rPr>
                <w:rStyle w:val="FootnoteReference"/>
                <w:szCs w:val="23"/>
              </w:rPr>
              <w:footnoteReference w:id="5"/>
            </w:r>
            <w:r w:rsidRPr="00DB334B">
              <w:rPr>
                <w:smallCaps/>
                <w:szCs w:val="23"/>
              </w:rPr>
              <w:t xml:space="preserve"> </w:t>
            </w:r>
          </w:p>
          <w:p w14:paraId="09FA8E39" w14:textId="77777777" w:rsidR="00866B97" w:rsidRPr="00DB334B" w:rsidRDefault="00866B97" w:rsidP="00DB334B">
            <w:pPr>
              <w:spacing w:before="40" w:after="40" w:line="240" w:lineRule="auto"/>
              <w:jc w:val="center"/>
              <w:rPr>
                <w:i/>
                <w:szCs w:val="23"/>
              </w:rPr>
            </w:pPr>
            <w:r w:rsidRPr="00C97221">
              <w:rPr>
                <w:i/>
                <w:szCs w:val="23"/>
              </w:rPr>
              <w:t>Current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C2ED887" w14:textId="77777777" w:rsidR="00866B97" w:rsidRPr="00DB334B" w:rsidRDefault="00866B97" w:rsidP="00DB334B">
            <w:pPr>
              <w:spacing w:before="40" w:after="40" w:line="240" w:lineRule="auto"/>
              <w:jc w:val="center"/>
              <w:rPr>
                <w:szCs w:val="23"/>
              </w:rPr>
            </w:pPr>
            <w:r w:rsidRPr="00C97221">
              <w:rPr>
                <w:szCs w:val="23"/>
              </w:rPr>
              <w:t>2017-2020</w:t>
            </w:r>
          </w:p>
        </w:tc>
        <w:tc>
          <w:tcPr>
            <w:tcW w:w="5949" w:type="dxa"/>
            <w:tcBorders>
              <w:top w:val="single" w:sz="4" w:space="0" w:color="auto"/>
              <w:left w:val="single" w:sz="4" w:space="0" w:color="auto"/>
              <w:bottom w:val="single" w:sz="4" w:space="0" w:color="auto"/>
              <w:right w:val="single" w:sz="4" w:space="0" w:color="auto"/>
            </w:tcBorders>
            <w:vAlign w:val="center"/>
            <w:hideMark/>
          </w:tcPr>
          <w:p w14:paraId="5C35993E" w14:textId="77777777" w:rsidR="00866B97" w:rsidRPr="00DB334B" w:rsidRDefault="00866B97" w:rsidP="00C97221">
            <w:pPr>
              <w:spacing w:before="40" w:after="120" w:line="240" w:lineRule="auto"/>
              <w:rPr>
                <w:szCs w:val="23"/>
              </w:rPr>
            </w:pPr>
            <w:r w:rsidRPr="00DB334B">
              <w:rPr>
                <w:szCs w:val="23"/>
              </w:rPr>
              <w:t>Revised finalised rehabilitation design, costings and supporting documentation (including for a 20 year post-rehabilitation period) to support statutory approvals and DBC</w:t>
            </w:r>
          </w:p>
          <w:p w14:paraId="0F44D670" w14:textId="77777777" w:rsidR="00866B97" w:rsidRPr="00DB334B" w:rsidRDefault="00866B97" w:rsidP="00C97221">
            <w:pPr>
              <w:spacing w:before="40" w:after="120" w:line="240" w:lineRule="auto"/>
              <w:rPr>
                <w:szCs w:val="23"/>
              </w:rPr>
            </w:pPr>
            <w:r w:rsidRPr="00DB334B">
              <w:rPr>
                <w:szCs w:val="23"/>
              </w:rPr>
              <w:t>Repairs and maintenance work on the Rum Jungle Creek South cover system</w:t>
            </w:r>
          </w:p>
          <w:p w14:paraId="5EE34447" w14:textId="0F029E91" w:rsidR="00866B97" w:rsidRPr="00DB334B" w:rsidRDefault="00866B97" w:rsidP="00EC1A4E">
            <w:pPr>
              <w:spacing w:before="40" w:after="40" w:line="240" w:lineRule="auto"/>
              <w:rPr>
                <w:szCs w:val="23"/>
              </w:rPr>
            </w:pPr>
            <w:r w:rsidRPr="00DB334B">
              <w:rPr>
                <w:szCs w:val="23"/>
              </w:rPr>
              <w:t xml:space="preserve">DBC delivered for </w:t>
            </w:r>
            <w:r w:rsidR="00EC1A4E">
              <w:rPr>
                <w:szCs w:val="23"/>
              </w:rPr>
              <w:t>Commonwealth</w:t>
            </w:r>
            <w:r w:rsidRPr="00DB334B">
              <w:rPr>
                <w:szCs w:val="23"/>
              </w:rPr>
              <w:t xml:space="preserve"> consideration</w:t>
            </w:r>
          </w:p>
        </w:tc>
      </w:tr>
    </w:tbl>
    <w:p w14:paraId="58EDD69C" w14:textId="77777777" w:rsidR="00BA7085" w:rsidRDefault="00BA7085" w:rsidP="007B4056">
      <w:pPr>
        <w:pStyle w:val="Heading2"/>
      </w:pPr>
      <w:r>
        <w:t>Traditional Aboriginal Owners</w:t>
      </w:r>
    </w:p>
    <w:p w14:paraId="374EFEF5" w14:textId="7E45BE92" w:rsidR="0077601E" w:rsidRDefault="00DB64F9" w:rsidP="00DB64F9">
      <w:pPr>
        <w:pStyle w:val="Normalnumbered"/>
        <w:numPr>
          <w:ilvl w:val="0"/>
          <w:numId w:val="2"/>
        </w:numPr>
        <w:rPr>
          <w:bCs/>
          <w:iCs/>
        </w:rPr>
      </w:pPr>
      <w:r w:rsidRPr="00DB64F9">
        <w:rPr>
          <w:bCs/>
          <w:iCs/>
        </w:rPr>
        <w:t xml:space="preserve">In 1981, the then Aboriginal Land Commissioner recommended the grant of Aboriginal land in respect of the land parcels subject to the Finniss River Land Claim, including the former Rum Jungle Mine site. </w:t>
      </w:r>
      <w:r w:rsidR="00BA7085" w:rsidRPr="00BA7085">
        <w:rPr>
          <w:bCs/>
          <w:iCs/>
        </w:rPr>
        <w:t xml:space="preserve">The </w:t>
      </w:r>
      <w:r w:rsidR="009F5B1A">
        <w:rPr>
          <w:bCs/>
          <w:iCs/>
        </w:rPr>
        <w:t xml:space="preserve">Aboriginal Land Commissioner found that </w:t>
      </w:r>
      <w:r w:rsidR="00BA7085" w:rsidRPr="00BA7085">
        <w:rPr>
          <w:bCs/>
          <w:iCs/>
        </w:rPr>
        <w:t xml:space="preserve">Kungarakan and Warai </w:t>
      </w:r>
      <w:r w:rsidR="00A41CE0">
        <w:rPr>
          <w:bCs/>
          <w:iCs/>
        </w:rPr>
        <w:t>people</w:t>
      </w:r>
      <w:r w:rsidR="0077601E">
        <w:rPr>
          <w:bCs/>
          <w:iCs/>
        </w:rPr>
        <w:t>s</w:t>
      </w:r>
      <w:r w:rsidR="00A41CE0">
        <w:rPr>
          <w:bCs/>
          <w:iCs/>
        </w:rPr>
        <w:t xml:space="preserve"> are the joint traditional Aboriginal owners </w:t>
      </w:r>
      <w:r w:rsidR="009F5B1A">
        <w:rPr>
          <w:bCs/>
          <w:iCs/>
        </w:rPr>
        <w:t>of the former Rum Jungle Mine site.</w:t>
      </w:r>
      <w:r w:rsidR="00624ECF">
        <w:rPr>
          <w:bCs/>
          <w:iCs/>
        </w:rPr>
        <w:t xml:space="preserve"> The other sites within the former Rum Jungle Uranium Field have not been the subject of a land claim. </w:t>
      </w:r>
      <w:r w:rsidR="009F5B1A">
        <w:rPr>
          <w:bCs/>
          <w:iCs/>
        </w:rPr>
        <w:t xml:space="preserve"> </w:t>
      </w:r>
    </w:p>
    <w:p w14:paraId="6C97C023" w14:textId="24620CA7" w:rsidR="009F5B1A" w:rsidRPr="00DB334B" w:rsidRDefault="009F5B1A" w:rsidP="00DB64F9">
      <w:pPr>
        <w:pStyle w:val="Normalnumbered"/>
        <w:numPr>
          <w:ilvl w:val="0"/>
          <w:numId w:val="2"/>
        </w:numPr>
        <w:rPr>
          <w:bCs/>
          <w:iCs/>
        </w:rPr>
      </w:pPr>
      <w:r>
        <w:rPr>
          <w:bCs/>
          <w:iCs/>
        </w:rPr>
        <w:t xml:space="preserve">No decision on </w:t>
      </w:r>
      <w:r w:rsidR="00DB64F9">
        <w:rPr>
          <w:bCs/>
          <w:iCs/>
        </w:rPr>
        <w:t>the</w:t>
      </w:r>
      <w:r>
        <w:rPr>
          <w:bCs/>
          <w:iCs/>
        </w:rPr>
        <w:t xml:space="preserve"> recommendation </w:t>
      </w:r>
      <w:r w:rsidR="0077601E">
        <w:rPr>
          <w:bCs/>
          <w:iCs/>
        </w:rPr>
        <w:t xml:space="preserve">to grant the former Rum Jungle Mine site under the </w:t>
      </w:r>
      <w:r w:rsidR="0077601E" w:rsidRPr="0077601E">
        <w:rPr>
          <w:bCs/>
          <w:i/>
          <w:iCs/>
        </w:rPr>
        <w:t>Aboriginal Land Rights (Northern Territory) Act 1976</w:t>
      </w:r>
      <w:r w:rsidR="0077601E">
        <w:rPr>
          <w:bCs/>
          <w:iCs/>
        </w:rPr>
        <w:t xml:space="preserve"> (Cth) has</w:t>
      </w:r>
      <w:r w:rsidR="00DB64F9">
        <w:rPr>
          <w:bCs/>
          <w:iCs/>
        </w:rPr>
        <w:t xml:space="preserve"> yet</w:t>
      </w:r>
      <w:r w:rsidR="0077601E">
        <w:rPr>
          <w:bCs/>
          <w:iCs/>
        </w:rPr>
        <w:t xml:space="preserve"> been made. </w:t>
      </w:r>
      <w:r w:rsidR="00DB64F9" w:rsidRPr="00DB64F9">
        <w:rPr>
          <w:bCs/>
          <w:iCs/>
        </w:rPr>
        <w:t xml:space="preserve">All other land parcels recommended for grant by the Aboriginal Land Commissioner in respect of the Finniss River Land Claim were granted to Aboriginal Land Trusts between 1991 and 1993. The Northern Land Council administers those Aboriginal Land Trusts and has ongoing responsibilities in representing the traditional Aboriginal owners in their claim to the former Rum Jungle Mine Site.       </w:t>
      </w:r>
      <w:r>
        <w:rPr>
          <w:bCs/>
          <w:iCs/>
        </w:rPr>
        <w:t xml:space="preserve"> </w:t>
      </w:r>
    </w:p>
    <w:p w14:paraId="307A5FAC" w14:textId="77777777" w:rsidR="009F5B1A" w:rsidRDefault="0077601E" w:rsidP="00BA7085">
      <w:pPr>
        <w:pStyle w:val="Normalnumbered"/>
        <w:numPr>
          <w:ilvl w:val="0"/>
          <w:numId w:val="2"/>
        </w:numPr>
        <w:rPr>
          <w:bCs/>
          <w:iCs/>
        </w:rPr>
      </w:pPr>
      <w:r>
        <w:rPr>
          <w:bCs/>
          <w:iCs/>
        </w:rPr>
        <w:t xml:space="preserve">The Kungarakan and Warai peoples </w:t>
      </w:r>
      <w:r w:rsidR="00C931B4">
        <w:rPr>
          <w:bCs/>
          <w:iCs/>
        </w:rPr>
        <w:t>are to be consulted on</w:t>
      </w:r>
      <w:r>
        <w:rPr>
          <w:bCs/>
          <w:iCs/>
        </w:rPr>
        <w:t xml:space="preserve"> rehabilitation planning and </w:t>
      </w:r>
      <w:r w:rsidR="006D4534">
        <w:rPr>
          <w:bCs/>
          <w:iCs/>
        </w:rPr>
        <w:t xml:space="preserve">maintenance </w:t>
      </w:r>
      <w:r w:rsidR="00C931B4">
        <w:rPr>
          <w:bCs/>
          <w:iCs/>
        </w:rPr>
        <w:t>matters, as both governments acknowledge their desire that rehabilitation at the former Rum Jungle Mine site allows for the return to traditional ceremony, culture and subsistence use of natural resources</w:t>
      </w:r>
      <w:r w:rsidR="006D4534">
        <w:rPr>
          <w:bCs/>
          <w:iCs/>
        </w:rPr>
        <w:t xml:space="preserve">. </w:t>
      </w:r>
      <w:r>
        <w:rPr>
          <w:bCs/>
          <w:iCs/>
        </w:rPr>
        <w:t xml:space="preserve"> </w:t>
      </w:r>
    </w:p>
    <w:p w14:paraId="61B52040" w14:textId="77777777" w:rsidR="00624ECF" w:rsidRPr="00BA7085" w:rsidRDefault="00624ECF" w:rsidP="00BA7085">
      <w:pPr>
        <w:pStyle w:val="Normalnumbered"/>
        <w:numPr>
          <w:ilvl w:val="0"/>
          <w:numId w:val="2"/>
        </w:numPr>
        <w:rPr>
          <w:bCs/>
          <w:iCs/>
        </w:rPr>
      </w:pPr>
      <w:r>
        <w:rPr>
          <w:bCs/>
          <w:iCs/>
        </w:rPr>
        <w:t>There are also traditional owners along the length of the Finniss River, downstream of t</w:t>
      </w:r>
      <w:r w:rsidR="004471AD">
        <w:rPr>
          <w:bCs/>
          <w:iCs/>
        </w:rPr>
        <w:t xml:space="preserve">he former Rum Jungle Mine site. These traditional owning groups value, access and use the Finniss River. </w:t>
      </w:r>
    </w:p>
    <w:p w14:paraId="7CA31E20" w14:textId="77777777" w:rsidR="007B4056" w:rsidRDefault="007B4056" w:rsidP="007B4056">
      <w:pPr>
        <w:pStyle w:val="Heading2"/>
      </w:pPr>
      <w:r>
        <w:t>Term of the Agreement</w:t>
      </w:r>
    </w:p>
    <w:p w14:paraId="18C79A87" w14:textId="60A78D91" w:rsidR="007B4056" w:rsidRPr="00DE36EB" w:rsidRDefault="007B4056" w:rsidP="007B4056">
      <w:pPr>
        <w:pStyle w:val="Normalnumbered"/>
        <w:numPr>
          <w:ilvl w:val="0"/>
          <w:numId w:val="2"/>
        </w:numPr>
      </w:pPr>
      <w:r w:rsidRPr="00DE36EB">
        <w:t xml:space="preserve">This Agreement will commence as soon as the Commonwealth and </w:t>
      </w:r>
      <w:r w:rsidRPr="00945277">
        <w:t>the</w:t>
      </w:r>
      <w:r w:rsidRPr="00DE36EB">
        <w:rPr>
          <w:i/>
        </w:rPr>
        <w:t xml:space="preserve"> </w:t>
      </w:r>
      <w:r w:rsidRPr="00945277">
        <w:t>Northern Territory</w:t>
      </w:r>
      <w:r w:rsidRPr="004D176F">
        <w:t xml:space="preserve"> </w:t>
      </w:r>
      <w:r w:rsidRPr="00DE36EB">
        <w:t xml:space="preserve">sign </w:t>
      </w:r>
      <w:r>
        <w:t xml:space="preserve">it </w:t>
      </w:r>
      <w:r w:rsidRPr="00DE36EB">
        <w:t xml:space="preserve">and will expire on </w:t>
      </w:r>
      <w:r>
        <w:t xml:space="preserve">30 June </w:t>
      </w:r>
      <w:r w:rsidR="00C94947">
        <w:t xml:space="preserve">2020 </w:t>
      </w:r>
      <w:r w:rsidRPr="00DE36EB">
        <w:t>or on completion of the project, including final performance reporting and processing of final payments against milestones, unless terminated earlier or extended as agreed in writing by the Parties.</w:t>
      </w:r>
    </w:p>
    <w:p w14:paraId="3C7FEBE9" w14:textId="77777777" w:rsidR="007B4056" w:rsidRPr="009E093C" w:rsidRDefault="007B4056" w:rsidP="007B4056">
      <w:pPr>
        <w:pStyle w:val="Heading2"/>
        <w:ind w:right="-568"/>
        <w:rPr>
          <w:b w:val="0"/>
          <w:sz w:val="23"/>
          <w:szCs w:val="23"/>
        </w:rPr>
      </w:pPr>
      <w:r w:rsidRPr="00784439">
        <w:rPr>
          <w:rFonts w:ascii="Consolas" w:hAnsi="Consolas"/>
          <w:b w:val="0"/>
          <w:iCs w:val="0"/>
          <w:caps/>
          <w:kern w:val="32"/>
          <w:sz w:val="32"/>
          <w:szCs w:val="36"/>
        </w:rPr>
        <w:t>Part 2 — Project outputs</w:t>
      </w:r>
      <w:r w:rsidRPr="00784439">
        <w:rPr>
          <w:i/>
        </w:rPr>
        <w:t xml:space="preserve"> </w:t>
      </w:r>
    </w:p>
    <w:p w14:paraId="128A0C55" w14:textId="77777777" w:rsidR="007B4056" w:rsidRDefault="007B4056" w:rsidP="007B4056">
      <w:pPr>
        <w:pStyle w:val="Heading2"/>
      </w:pPr>
      <w:r>
        <w:t>Outputs</w:t>
      </w:r>
    </w:p>
    <w:p w14:paraId="5507E5AE" w14:textId="77777777" w:rsidR="007B4056" w:rsidRDefault="007B4056" w:rsidP="007B4056">
      <w:pPr>
        <w:pStyle w:val="Normalnumbered"/>
        <w:numPr>
          <w:ilvl w:val="0"/>
          <w:numId w:val="2"/>
        </w:numPr>
        <w:jc w:val="left"/>
      </w:pPr>
      <w:r w:rsidRPr="0085738D">
        <w:t>The o</w:t>
      </w:r>
      <w:r>
        <w:t>utputs of this Agreement will be</w:t>
      </w:r>
      <w:r w:rsidR="00CC6BDE">
        <w:t xml:space="preserve"> the delivery of the Rum Jungle Mine Site Rehabilitation Project (Stage 2A)</w:t>
      </w:r>
      <w:r w:rsidR="005963D0">
        <w:t xml:space="preserve"> including</w:t>
      </w:r>
      <w:r w:rsidR="00CC6BDE">
        <w:t>:</w:t>
      </w:r>
    </w:p>
    <w:p w14:paraId="2B032505" w14:textId="77777777" w:rsidR="00F04825" w:rsidRDefault="00CD4F9A">
      <w:pPr>
        <w:pStyle w:val="AlphaParagraph"/>
        <w:numPr>
          <w:ilvl w:val="0"/>
          <w:numId w:val="4"/>
        </w:numPr>
        <w:tabs>
          <w:tab w:val="clear" w:pos="283"/>
          <w:tab w:val="clear" w:pos="567"/>
          <w:tab w:val="clear" w:pos="1134"/>
          <w:tab w:val="clear" w:pos="1418"/>
          <w:tab w:val="clear" w:pos="1701"/>
        </w:tabs>
        <w:ind w:left="1134" w:hanging="567"/>
      </w:pPr>
      <w:r>
        <w:t xml:space="preserve">revised </w:t>
      </w:r>
      <w:r w:rsidR="00F04825">
        <w:t>finalised rehabilitation design, costings and supporting documentation</w:t>
      </w:r>
      <w:r w:rsidR="00AB0930">
        <w:t xml:space="preserve"> </w:t>
      </w:r>
      <w:r w:rsidR="00483342">
        <w:t xml:space="preserve">(including for a 20 year post-rehabilitation period) </w:t>
      </w:r>
      <w:r w:rsidR="00AB0930">
        <w:t>to support statutory approvals and the Detailed Business Case</w:t>
      </w:r>
      <w:r>
        <w:t>;</w:t>
      </w:r>
    </w:p>
    <w:p w14:paraId="32AFFE5E" w14:textId="77777777" w:rsidR="007B4056" w:rsidRDefault="007B4056">
      <w:pPr>
        <w:pStyle w:val="AlphaParagraph"/>
        <w:numPr>
          <w:ilvl w:val="0"/>
          <w:numId w:val="4"/>
        </w:numPr>
        <w:tabs>
          <w:tab w:val="clear" w:pos="283"/>
          <w:tab w:val="clear" w:pos="567"/>
          <w:tab w:val="clear" w:pos="1134"/>
          <w:tab w:val="clear" w:pos="1418"/>
          <w:tab w:val="clear" w:pos="1701"/>
        </w:tabs>
        <w:ind w:left="1134" w:hanging="567"/>
      </w:pPr>
      <w:r>
        <w:t>site management, maintenance and environmental monitoring activities;</w:t>
      </w:r>
    </w:p>
    <w:p w14:paraId="24BE35EA" w14:textId="77777777" w:rsidR="0025427B" w:rsidRDefault="00C53AB2" w:rsidP="007B4056">
      <w:pPr>
        <w:pStyle w:val="AlphaParagraph"/>
        <w:numPr>
          <w:ilvl w:val="0"/>
          <w:numId w:val="4"/>
        </w:numPr>
        <w:tabs>
          <w:tab w:val="clear" w:pos="567"/>
          <w:tab w:val="clear" w:pos="1418"/>
          <w:tab w:val="clear" w:pos="1701"/>
        </w:tabs>
        <w:ind w:left="1134" w:hanging="567"/>
      </w:pPr>
      <w:r>
        <w:t xml:space="preserve">repairs and </w:t>
      </w:r>
      <w:r w:rsidR="00D315BC">
        <w:t>maintenance work</w:t>
      </w:r>
      <w:r w:rsidR="00DC46EC">
        <w:t xml:space="preserve"> on the cover system</w:t>
      </w:r>
      <w:r w:rsidR="00D315BC">
        <w:t xml:space="preserve"> at Rum Jungle Creek South</w:t>
      </w:r>
      <w:r w:rsidR="00FD766E">
        <w:t xml:space="preserve">; </w:t>
      </w:r>
      <w:r w:rsidR="00AB0930">
        <w:t>and</w:t>
      </w:r>
    </w:p>
    <w:p w14:paraId="30271CB6" w14:textId="77777777" w:rsidR="008F1BBE" w:rsidRDefault="008F1BBE" w:rsidP="007B4056">
      <w:pPr>
        <w:pStyle w:val="AlphaParagraph"/>
        <w:numPr>
          <w:ilvl w:val="0"/>
          <w:numId w:val="4"/>
        </w:numPr>
        <w:tabs>
          <w:tab w:val="clear" w:pos="567"/>
          <w:tab w:val="clear" w:pos="1418"/>
          <w:tab w:val="clear" w:pos="1701"/>
        </w:tabs>
        <w:ind w:left="1134" w:hanging="567"/>
      </w:pPr>
      <w:r>
        <w:t>stakeholder engagement</w:t>
      </w:r>
      <w:r w:rsidR="00FE159F">
        <w:t>.</w:t>
      </w:r>
    </w:p>
    <w:p w14:paraId="67854FA0" w14:textId="77777777" w:rsidR="007B4056" w:rsidRDefault="007B4056" w:rsidP="007B4056">
      <w:pPr>
        <w:pStyle w:val="Heading1"/>
      </w:pPr>
      <w:r>
        <w:t>Part 3 — roles and responsibilities of each party</w:t>
      </w:r>
    </w:p>
    <w:p w14:paraId="004CA158" w14:textId="77777777" w:rsidR="007B4056" w:rsidRDefault="007B4056" w:rsidP="007B4056">
      <w:pPr>
        <w:pStyle w:val="Heading2"/>
      </w:pPr>
      <w:r w:rsidRPr="00814590">
        <w:t>Role of the Commonwealth</w:t>
      </w:r>
    </w:p>
    <w:p w14:paraId="16D655E2" w14:textId="77777777" w:rsidR="007B4056" w:rsidRDefault="007B4056" w:rsidP="007B4056">
      <w:pPr>
        <w:pStyle w:val="Normalnumbered"/>
        <w:numPr>
          <w:ilvl w:val="0"/>
          <w:numId w:val="2"/>
        </w:numPr>
        <w:jc w:val="left"/>
      </w:pPr>
      <w:r>
        <w:t>The Commonwealth will be responsible for:</w:t>
      </w:r>
    </w:p>
    <w:p w14:paraId="37A97953" w14:textId="77777777" w:rsidR="007B4056" w:rsidRPr="000614F9" w:rsidRDefault="007B4056" w:rsidP="007B4056">
      <w:pPr>
        <w:pStyle w:val="AlphaParagraph"/>
        <w:numPr>
          <w:ilvl w:val="0"/>
          <w:numId w:val="7"/>
        </w:numPr>
        <w:tabs>
          <w:tab w:val="clear" w:pos="567"/>
          <w:tab w:val="clear" w:pos="1418"/>
          <w:tab w:val="clear" w:pos="1701"/>
        </w:tabs>
        <w:ind w:left="1134" w:hanging="567"/>
      </w:pPr>
      <w:r w:rsidRPr="000614F9">
        <w:rPr>
          <w:color w:val="auto"/>
        </w:rPr>
        <w:t>monitoring</w:t>
      </w:r>
      <w:r w:rsidRPr="004B6083">
        <w:t xml:space="preserve"> and assessing achievement against milestones in the delivery of </w:t>
      </w:r>
      <w:r>
        <w:t xml:space="preserve">the Rum Jungle Mine Site Rehabilitation Project (Stage 2A) </w:t>
      </w:r>
      <w:r w:rsidRPr="000614F9">
        <w:rPr>
          <w:color w:val="auto"/>
        </w:rPr>
        <w:t>under</w:t>
      </w:r>
      <w:r w:rsidRPr="004B6083">
        <w:t xml:space="preserve"> this Agreement to ensure that outputs are delivered within the agreed timeframe;</w:t>
      </w:r>
    </w:p>
    <w:p w14:paraId="7BA02C2A" w14:textId="77777777" w:rsidR="00512120" w:rsidRDefault="007B4056" w:rsidP="008D1ECF">
      <w:pPr>
        <w:pStyle w:val="AlphaParagraph"/>
        <w:numPr>
          <w:ilvl w:val="0"/>
          <w:numId w:val="4"/>
        </w:numPr>
        <w:tabs>
          <w:tab w:val="clear" w:pos="567"/>
          <w:tab w:val="clear" w:pos="1418"/>
          <w:tab w:val="clear" w:pos="1701"/>
        </w:tabs>
        <w:ind w:left="1134" w:hanging="567"/>
        <w:rPr>
          <w:color w:val="auto"/>
        </w:rPr>
      </w:pPr>
      <w:r w:rsidRPr="004B6083">
        <w:rPr>
          <w:color w:val="auto"/>
        </w:rPr>
        <w:t xml:space="preserve">providing a consequent financial contribution to the </w:t>
      </w:r>
      <w:r>
        <w:rPr>
          <w:color w:val="auto"/>
        </w:rPr>
        <w:t>Northern Territory</w:t>
      </w:r>
      <w:r w:rsidRPr="004B6083">
        <w:rPr>
          <w:color w:val="auto"/>
        </w:rPr>
        <w:t xml:space="preserve"> to support the </w:t>
      </w:r>
      <w:r w:rsidR="00DC46EC">
        <w:rPr>
          <w:color w:val="auto"/>
        </w:rPr>
        <w:t>implementation of this A</w:t>
      </w:r>
      <w:r w:rsidR="00D315BC">
        <w:rPr>
          <w:color w:val="auto"/>
        </w:rPr>
        <w:t>greement;</w:t>
      </w:r>
    </w:p>
    <w:p w14:paraId="4ACB3075" w14:textId="77777777" w:rsidR="007B4056" w:rsidRDefault="00810768" w:rsidP="007B4056">
      <w:pPr>
        <w:pStyle w:val="AlphaParagraph"/>
        <w:numPr>
          <w:ilvl w:val="0"/>
          <w:numId w:val="4"/>
        </w:numPr>
        <w:tabs>
          <w:tab w:val="clear" w:pos="567"/>
          <w:tab w:val="clear" w:pos="1418"/>
          <w:tab w:val="clear" w:pos="1701"/>
        </w:tabs>
        <w:ind w:left="1134" w:hanging="567"/>
        <w:rPr>
          <w:color w:val="auto"/>
        </w:rPr>
      </w:pPr>
      <w:r>
        <w:rPr>
          <w:color w:val="auto"/>
        </w:rPr>
        <w:t xml:space="preserve">development of a Detailed Business Case </w:t>
      </w:r>
      <w:r w:rsidR="001020E1">
        <w:rPr>
          <w:color w:val="auto"/>
        </w:rPr>
        <w:t xml:space="preserve">to seek capital works funding for the </w:t>
      </w:r>
      <w:r w:rsidR="001020E1">
        <w:t xml:space="preserve">Rum Jungle Mine Site Rehabilitation Project </w:t>
      </w:r>
      <w:r w:rsidR="006E1A5F">
        <w:t>(</w:t>
      </w:r>
      <w:r w:rsidR="001020E1">
        <w:rPr>
          <w:color w:val="auto"/>
        </w:rPr>
        <w:t>Stage 3</w:t>
      </w:r>
      <w:r w:rsidR="006E1A5F">
        <w:rPr>
          <w:color w:val="auto"/>
        </w:rPr>
        <w:t>)</w:t>
      </w:r>
      <w:r w:rsidR="001020E1">
        <w:rPr>
          <w:color w:val="auto"/>
        </w:rPr>
        <w:t>, in accordance with the</w:t>
      </w:r>
      <w:r>
        <w:rPr>
          <w:color w:val="auto"/>
        </w:rPr>
        <w:t xml:space="preserve"> Department of Finance’s Two Stage Capital Works Approval Process</w:t>
      </w:r>
      <w:r w:rsidR="00B672A4">
        <w:rPr>
          <w:color w:val="auto"/>
        </w:rPr>
        <w:t xml:space="preserve"> and Gateway Review Proce</w:t>
      </w:r>
      <w:r w:rsidR="00B672A4" w:rsidRPr="007354FF">
        <w:rPr>
          <w:color w:val="auto"/>
          <w:szCs w:val="23"/>
        </w:rPr>
        <w:t>ss</w:t>
      </w:r>
      <w:r w:rsidR="001020E1">
        <w:rPr>
          <w:color w:val="auto"/>
          <w:szCs w:val="23"/>
        </w:rPr>
        <w:t xml:space="preserve"> and</w:t>
      </w:r>
      <w:r w:rsidR="00B672A4" w:rsidRPr="007354FF">
        <w:rPr>
          <w:color w:val="auto"/>
          <w:szCs w:val="23"/>
        </w:rPr>
        <w:t xml:space="preserve"> </w:t>
      </w:r>
      <w:r w:rsidR="00CA2619">
        <w:rPr>
          <w:bCs/>
          <w:szCs w:val="23"/>
        </w:rPr>
        <w:t>in accordance with</w:t>
      </w:r>
      <w:r w:rsidR="00F84C19" w:rsidRPr="007354FF">
        <w:rPr>
          <w:bCs/>
          <w:szCs w:val="23"/>
        </w:rPr>
        <w:t xml:space="preserve"> the </w:t>
      </w:r>
      <w:hyperlink r:id="rId12" w:history="1">
        <w:r w:rsidR="00F84C19" w:rsidRPr="00F84C19">
          <w:rPr>
            <w:rFonts w:cs="Arial"/>
            <w:bCs/>
            <w:iCs/>
            <w:color w:val="0000FF" w:themeColor="hyperlink"/>
            <w:szCs w:val="23"/>
            <w:u w:val="single"/>
          </w:rPr>
          <w:t>Resource Management Guide No. 502 (Commonwealth of Australia, 2014)</w:t>
        </w:r>
      </w:hyperlink>
      <w:r w:rsidR="00C17E89">
        <w:rPr>
          <w:rFonts w:cs="Arial"/>
          <w:bCs/>
          <w:iCs/>
          <w:color w:val="auto"/>
          <w:szCs w:val="23"/>
        </w:rPr>
        <w:t xml:space="preserve">; </w:t>
      </w:r>
      <w:r w:rsidR="007354FF">
        <w:rPr>
          <w:color w:val="auto"/>
        </w:rPr>
        <w:t>and</w:t>
      </w:r>
    </w:p>
    <w:p w14:paraId="700ED33D" w14:textId="77777777" w:rsidR="007354FF" w:rsidRDefault="007354FF" w:rsidP="007B4056">
      <w:pPr>
        <w:pStyle w:val="AlphaParagraph"/>
        <w:numPr>
          <w:ilvl w:val="0"/>
          <w:numId w:val="4"/>
        </w:numPr>
        <w:tabs>
          <w:tab w:val="clear" w:pos="567"/>
          <w:tab w:val="clear" w:pos="1418"/>
          <w:tab w:val="clear" w:pos="1701"/>
        </w:tabs>
        <w:ind w:left="1134" w:hanging="567"/>
        <w:rPr>
          <w:color w:val="auto"/>
        </w:rPr>
      </w:pPr>
      <w:r>
        <w:rPr>
          <w:color w:val="auto"/>
        </w:rPr>
        <w:t xml:space="preserve">capacity building </w:t>
      </w:r>
      <w:r w:rsidR="006E1A5F">
        <w:rPr>
          <w:color w:val="auto"/>
        </w:rPr>
        <w:t xml:space="preserve">support </w:t>
      </w:r>
      <w:r>
        <w:rPr>
          <w:color w:val="auto"/>
        </w:rPr>
        <w:t>of</w:t>
      </w:r>
      <w:r w:rsidR="00845A9A">
        <w:rPr>
          <w:color w:val="auto"/>
        </w:rPr>
        <w:t xml:space="preserve"> Rum Jungle’s</w:t>
      </w:r>
      <w:r>
        <w:rPr>
          <w:color w:val="auto"/>
        </w:rPr>
        <w:t xml:space="preserve"> traditional Aboriginal owners, including development of business structures and governance frameworks.</w:t>
      </w:r>
    </w:p>
    <w:p w14:paraId="03CACA18" w14:textId="77777777" w:rsidR="007B4056" w:rsidRPr="00751725" w:rsidRDefault="007B4056" w:rsidP="007B4056">
      <w:pPr>
        <w:pStyle w:val="Heading2"/>
      </w:pPr>
      <w:r w:rsidRPr="00751725">
        <w:t xml:space="preserve">Role of the </w:t>
      </w:r>
      <w:r>
        <w:t>Northern Territory</w:t>
      </w:r>
    </w:p>
    <w:p w14:paraId="15B7A2CF" w14:textId="77777777" w:rsidR="007B4056" w:rsidRPr="00751725" w:rsidRDefault="007B4056" w:rsidP="007B4056">
      <w:pPr>
        <w:pStyle w:val="Normalnumbered"/>
        <w:numPr>
          <w:ilvl w:val="0"/>
          <w:numId w:val="2"/>
        </w:numPr>
        <w:jc w:val="left"/>
      </w:pPr>
      <w:r w:rsidRPr="00751725">
        <w:t xml:space="preserve">The </w:t>
      </w:r>
      <w:r>
        <w:t>Northern Territory will be responsible for:</w:t>
      </w:r>
    </w:p>
    <w:p w14:paraId="40ED997E" w14:textId="77777777" w:rsidR="007B4056" w:rsidRDefault="007B4056" w:rsidP="007B4056">
      <w:pPr>
        <w:pStyle w:val="AlphaParagraph"/>
        <w:numPr>
          <w:ilvl w:val="0"/>
          <w:numId w:val="5"/>
        </w:numPr>
        <w:tabs>
          <w:tab w:val="clear" w:pos="567"/>
          <w:tab w:val="clear" w:pos="1418"/>
          <w:tab w:val="clear" w:pos="1701"/>
        </w:tabs>
        <w:ind w:left="1134" w:hanging="567"/>
      </w:pPr>
      <w:r w:rsidRPr="00751725">
        <w:t>providing a</w:t>
      </w:r>
      <w:r w:rsidR="00102044">
        <w:t>n</w:t>
      </w:r>
      <w:r w:rsidRPr="000614F9">
        <w:t xml:space="preserve"> in-kind</w:t>
      </w:r>
      <w:r>
        <w:t xml:space="preserve"> </w:t>
      </w:r>
      <w:r w:rsidRPr="00751725">
        <w:t>contribution to support the implementation of this Agreement;</w:t>
      </w:r>
    </w:p>
    <w:p w14:paraId="76265CBF" w14:textId="5098C481" w:rsidR="007B4056" w:rsidRDefault="007B4056" w:rsidP="007B4056">
      <w:pPr>
        <w:pStyle w:val="AlphaParagraph"/>
        <w:numPr>
          <w:ilvl w:val="0"/>
          <w:numId w:val="4"/>
        </w:numPr>
        <w:tabs>
          <w:tab w:val="clear" w:pos="567"/>
          <w:tab w:val="clear" w:pos="1418"/>
          <w:tab w:val="clear" w:pos="1701"/>
        </w:tabs>
        <w:ind w:left="1134" w:hanging="567"/>
      </w:pPr>
      <w:r>
        <w:t xml:space="preserve">all aspects of delivering on the project outputs set out in </w:t>
      </w:r>
      <w:r w:rsidR="00D5199A">
        <w:t xml:space="preserve">clause </w:t>
      </w:r>
      <w:r w:rsidR="00814137" w:rsidRPr="00814137">
        <w:t>14</w:t>
      </w:r>
      <w:r w:rsidR="00DB2E23" w:rsidRPr="00814137">
        <w:t xml:space="preserve">(a) to </w:t>
      </w:r>
      <w:r w:rsidR="00814137" w:rsidRPr="00814137">
        <w:t>14</w:t>
      </w:r>
      <w:r w:rsidR="00DB2E23" w:rsidRPr="00814137">
        <w:t>(c)</w:t>
      </w:r>
      <w:r w:rsidR="00DB2E23">
        <w:t>, inclusive,</w:t>
      </w:r>
      <w:r w:rsidR="00D5199A">
        <w:t xml:space="preserve"> </w:t>
      </w:r>
      <w:r>
        <w:t>of this Agreement;</w:t>
      </w:r>
      <w:r w:rsidR="003F1CAE">
        <w:t xml:space="preserve"> </w:t>
      </w:r>
    </w:p>
    <w:p w14:paraId="38C113C2" w14:textId="77777777" w:rsidR="00DB2E23" w:rsidRDefault="00DB2E23" w:rsidP="007B4056">
      <w:pPr>
        <w:pStyle w:val="AlphaParagraph"/>
        <w:numPr>
          <w:ilvl w:val="0"/>
          <w:numId w:val="4"/>
        </w:numPr>
        <w:tabs>
          <w:tab w:val="clear" w:pos="567"/>
          <w:tab w:val="clear" w:pos="1418"/>
          <w:tab w:val="clear" w:pos="1701"/>
        </w:tabs>
        <w:ind w:left="1134" w:hanging="567"/>
      </w:pPr>
      <w:r>
        <w:t>chairing stakeholder engagement meetings, and providing secretariat support;</w:t>
      </w:r>
    </w:p>
    <w:p w14:paraId="621FC36E" w14:textId="77777777" w:rsidR="00DD2343" w:rsidRDefault="00DD2343" w:rsidP="007B4056">
      <w:pPr>
        <w:pStyle w:val="AlphaParagraph"/>
        <w:numPr>
          <w:ilvl w:val="0"/>
          <w:numId w:val="4"/>
        </w:numPr>
        <w:tabs>
          <w:tab w:val="clear" w:pos="567"/>
          <w:tab w:val="clear" w:pos="1418"/>
          <w:tab w:val="clear" w:pos="1701"/>
        </w:tabs>
        <w:ind w:left="1134" w:hanging="567"/>
      </w:pPr>
      <w:r>
        <w:t>notifying</w:t>
      </w:r>
      <w:r w:rsidR="00543525">
        <w:t xml:space="preserve"> and consulting with</w:t>
      </w:r>
      <w:r>
        <w:t xml:space="preserve"> the Commonwealth as soon as practicable if there is any material change to the </w:t>
      </w:r>
      <w:r w:rsidR="00543525">
        <w:t>substance of the Rum Jungle Rehabilitation Project</w:t>
      </w:r>
      <w:r w:rsidR="004765DA">
        <w:t>;</w:t>
      </w:r>
    </w:p>
    <w:p w14:paraId="4BF393A7" w14:textId="77777777" w:rsidR="00C17E89" w:rsidRDefault="00105DC0" w:rsidP="007B4056">
      <w:pPr>
        <w:pStyle w:val="AlphaParagraph"/>
        <w:numPr>
          <w:ilvl w:val="0"/>
          <w:numId w:val="4"/>
        </w:numPr>
        <w:tabs>
          <w:tab w:val="clear" w:pos="567"/>
          <w:tab w:val="clear" w:pos="1418"/>
          <w:tab w:val="clear" w:pos="1701"/>
        </w:tabs>
        <w:ind w:left="1134" w:hanging="567"/>
      </w:pPr>
      <w:r>
        <w:t>provi</w:t>
      </w:r>
      <w:r w:rsidR="009D1FDB">
        <w:t>ding</w:t>
      </w:r>
      <w:r>
        <w:t xml:space="preserve"> supporting documentation</w:t>
      </w:r>
      <w:r w:rsidR="00D5199A">
        <w:t xml:space="preserve">, including information in </w:t>
      </w:r>
      <w:r w:rsidR="00EB78F2">
        <w:t>Appendix A</w:t>
      </w:r>
      <w:r w:rsidR="00E26553">
        <w:t xml:space="preserve"> </w:t>
      </w:r>
      <w:r w:rsidR="00FB1070">
        <w:t xml:space="preserve">developed for the design and costings </w:t>
      </w:r>
      <w:r w:rsidR="00845A9A">
        <w:t xml:space="preserve">required </w:t>
      </w:r>
      <w:r>
        <w:t>to assist the Comm</w:t>
      </w:r>
      <w:r w:rsidR="00F27923">
        <w:t>onwealth in the development of the</w:t>
      </w:r>
      <w:r>
        <w:t xml:space="preserve"> </w:t>
      </w:r>
      <w:r w:rsidR="00C17E89">
        <w:t>D</w:t>
      </w:r>
      <w:r>
        <w:t>etailed Business Case</w:t>
      </w:r>
      <w:r w:rsidR="00C17E89">
        <w:t>;</w:t>
      </w:r>
    </w:p>
    <w:p w14:paraId="5A743945" w14:textId="77777777" w:rsidR="007B4056" w:rsidRDefault="007B4056" w:rsidP="007B4056">
      <w:pPr>
        <w:pStyle w:val="AlphaParagraph"/>
        <w:numPr>
          <w:ilvl w:val="0"/>
          <w:numId w:val="4"/>
        </w:numPr>
        <w:tabs>
          <w:tab w:val="clear" w:pos="567"/>
          <w:tab w:val="clear" w:pos="1418"/>
          <w:tab w:val="clear" w:pos="1701"/>
        </w:tabs>
        <w:ind w:left="1134" w:hanging="567"/>
      </w:pPr>
      <w:r w:rsidRPr="006B4DF0">
        <w:t xml:space="preserve">reporting on the delivery of </w:t>
      </w:r>
      <w:r>
        <w:t>outputs</w:t>
      </w:r>
      <w:r w:rsidRPr="006B4DF0">
        <w:t xml:space="preserve"> </w:t>
      </w:r>
      <w:r>
        <w:t>as set out in Part 4</w:t>
      </w:r>
      <w:r w:rsidRPr="006B4DF0">
        <w:t xml:space="preserve"> – P</w:t>
      </w:r>
      <w:r>
        <w:t>roject Milestones, Reporting and Payments</w:t>
      </w:r>
      <w:r w:rsidR="003F1CAE">
        <w:t>; and</w:t>
      </w:r>
    </w:p>
    <w:p w14:paraId="37C5F079" w14:textId="4DF57945" w:rsidR="003F1CAE" w:rsidRDefault="00471210" w:rsidP="007B4056">
      <w:pPr>
        <w:pStyle w:val="AlphaParagraph"/>
        <w:numPr>
          <w:ilvl w:val="0"/>
          <w:numId w:val="4"/>
        </w:numPr>
        <w:tabs>
          <w:tab w:val="clear" w:pos="567"/>
          <w:tab w:val="clear" w:pos="1418"/>
          <w:tab w:val="clear" w:pos="1701"/>
        </w:tabs>
        <w:ind w:left="1134" w:hanging="567"/>
      </w:pPr>
      <w:r>
        <w:t xml:space="preserve">promoting participation </w:t>
      </w:r>
      <w:r w:rsidR="002B134A">
        <w:t xml:space="preserve">of traditional </w:t>
      </w:r>
      <w:r w:rsidR="00913F69">
        <w:t xml:space="preserve">Aboriginal </w:t>
      </w:r>
      <w:r w:rsidR="002B134A">
        <w:t xml:space="preserve">owners </w:t>
      </w:r>
      <w:r w:rsidR="003F1CAE">
        <w:t>in t</w:t>
      </w:r>
      <w:r w:rsidR="00C17E89">
        <w:t>he Rum Jungle Creek South repair and maintenance works</w:t>
      </w:r>
      <w:r w:rsidR="008F726B">
        <w:t xml:space="preserve"> in support</w:t>
      </w:r>
      <w:r w:rsidR="00F04825">
        <w:t xml:space="preserve"> of the output set </w:t>
      </w:r>
      <w:r w:rsidR="00086655">
        <w:t xml:space="preserve">out </w:t>
      </w:r>
      <w:r w:rsidR="00F04825">
        <w:t xml:space="preserve">in </w:t>
      </w:r>
      <w:r w:rsidR="00F04825" w:rsidRPr="00814137">
        <w:t xml:space="preserve">clause </w:t>
      </w:r>
      <w:r w:rsidR="006241EF" w:rsidRPr="00814137">
        <w:t>1</w:t>
      </w:r>
      <w:r w:rsidR="00814137" w:rsidRPr="00814137">
        <w:t>5</w:t>
      </w:r>
      <w:r w:rsidR="00992246" w:rsidRPr="00814137">
        <w:t>(d)</w:t>
      </w:r>
      <w:r w:rsidR="008F726B">
        <w:t xml:space="preserve"> of this Agreement</w:t>
      </w:r>
      <w:r w:rsidR="00C17E89">
        <w:t>.</w:t>
      </w:r>
    </w:p>
    <w:p w14:paraId="3FA714B8" w14:textId="77777777" w:rsidR="007B4056" w:rsidRDefault="007B4056" w:rsidP="00DB334B">
      <w:pPr>
        <w:pStyle w:val="Heading2"/>
      </w:pPr>
      <w:r>
        <w:t>Shared roles</w:t>
      </w:r>
    </w:p>
    <w:p w14:paraId="07D2AA9E" w14:textId="4BC390A2" w:rsidR="00064DFD" w:rsidRDefault="009D1FDB" w:rsidP="00F9682B">
      <w:pPr>
        <w:pStyle w:val="Normalnumbered"/>
        <w:numPr>
          <w:ilvl w:val="0"/>
          <w:numId w:val="2"/>
        </w:numPr>
        <w:spacing w:line="240" w:lineRule="auto"/>
      </w:pPr>
      <w:r>
        <w:t xml:space="preserve">The </w:t>
      </w:r>
      <w:r w:rsidR="007B4056">
        <w:t>P</w:t>
      </w:r>
      <w:r w:rsidR="00157A5C">
        <w:t xml:space="preserve">arties </w:t>
      </w:r>
      <w:r w:rsidR="006E0D49">
        <w:t xml:space="preserve">have </w:t>
      </w:r>
      <w:r>
        <w:t>agree</w:t>
      </w:r>
      <w:r w:rsidR="006E0D49">
        <w:t>d</w:t>
      </w:r>
      <w:r>
        <w:t xml:space="preserve"> </w:t>
      </w:r>
      <w:r w:rsidR="00C94947">
        <w:t>governance</w:t>
      </w:r>
      <w:r w:rsidR="006E0D49">
        <w:t xml:space="preserve"> arrangements for the Rum Jungle Rehabilitation Project, which include</w:t>
      </w:r>
      <w:r w:rsidR="00064DFD">
        <w:t>:</w:t>
      </w:r>
      <w:r w:rsidR="00157A5C">
        <w:t xml:space="preserve"> </w:t>
      </w:r>
    </w:p>
    <w:p w14:paraId="37E825B9" w14:textId="77777777" w:rsidR="006E0D49" w:rsidRDefault="00C94947" w:rsidP="00BA7085">
      <w:pPr>
        <w:pStyle w:val="Normalnumbered"/>
        <w:numPr>
          <w:ilvl w:val="0"/>
          <w:numId w:val="10"/>
        </w:numPr>
        <w:spacing w:line="240" w:lineRule="auto"/>
        <w:ind w:left="1134" w:hanging="567"/>
      </w:pPr>
      <w:r>
        <w:t>the establishment of</w:t>
      </w:r>
      <w:r w:rsidR="006E0D49">
        <w:t xml:space="preserve"> </w:t>
      </w:r>
      <w:r>
        <w:t xml:space="preserve">a </w:t>
      </w:r>
      <w:r w:rsidR="006E0D49">
        <w:t>Governance Board to provide oversight of the Project Agreement and strategic oversight of the whole of the Rum Jungle Rehabil</w:t>
      </w:r>
      <w:r w:rsidR="00A06F1E">
        <w:t>i</w:t>
      </w:r>
      <w:r w:rsidR="006E0D49">
        <w:t xml:space="preserve">tation Project; </w:t>
      </w:r>
    </w:p>
    <w:p w14:paraId="5FFBF821" w14:textId="77777777" w:rsidR="006E0D49" w:rsidRDefault="006E0D49" w:rsidP="00BA7085">
      <w:pPr>
        <w:pStyle w:val="Normalnumbered"/>
        <w:numPr>
          <w:ilvl w:val="0"/>
          <w:numId w:val="10"/>
        </w:numPr>
        <w:spacing w:line="240" w:lineRule="auto"/>
        <w:ind w:left="1134" w:hanging="567"/>
      </w:pPr>
      <w:r>
        <w:t>conducting bilateral consultations on strategic matters, including but not limited to, risk, liability and responsibility</w:t>
      </w:r>
      <w:r w:rsidR="00C6306B">
        <w:t>; and</w:t>
      </w:r>
    </w:p>
    <w:p w14:paraId="6C4EACD2" w14:textId="5FEDB6FA" w:rsidR="00C94947" w:rsidRDefault="0029066B" w:rsidP="00BA7085">
      <w:pPr>
        <w:pStyle w:val="Normalnumbered"/>
        <w:numPr>
          <w:ilvl w:val="0"/>
          <w:numId w:val="10"/>
        </w:numPr>
        <w:spacing w:line="240" w:lineRule="auto"/>
        <w:ind w:left="1134" w:hanging="567"/>
      </w:pPr>
      <w:r>
        <w:t xml:space="preserve">the </w:t>
      </w:r>
      <w:r w:rsidR="00C94947">
        <w:t xml:space="preserve">review </w:t>
      </w:r>
      <w:r w:rsidR="00BA3B5F">
        <w:t xml:space="preserve">and development (as necessary) </w:t>
      </w:r>
      <w:r w:rsidR="00C94947">
        <w:t xml:space="preserve">of project documentation (such as </w:t>
      </w:r>
      <w:r>
        <w:t xml:space="preserve">a </w:t>
      </w:r>
      <w:r w:rsidR="00C94947">
        <w:t>project management plan, master schedule, stakeholder engagem</w:t>
      </w:r>
      <w:r w:rsidR="00CD0156">
        <w:t xml:space="preserve">ent and communications plan, </w:t>
      </w:r>
      <w:r w:rsidR="00C94947">
        <w:t xml:space="preserve"> risk register and management plan</w:t>
      </w:r>
      <w:r w:rsidR="00CD0156">
        <w:t>, and quality management plan</w:t>
      </w:r>
      <w:r w:rsidR="00C94947">
        <w:t>).</w:t>
      </w:r>
      <w:r w:rsidR="00402909">
        <w:t xml:space="preserve"> </w:t>
      </w:r>
    </w:p>
    <w:p w14:paraId="0711D4F0" w14:textId="77777777" w:rsidR="00C6306B" w:rsidRDefault="00C6306B" w:rsidP="00EC055F">
      <w:pPr>
        <w:pStyle w:val="Normalnumbered"/>
        <w:numPr>
          <w:ilvl w:val="0"/>
          <w:numId w:val="2"/>
        </w:numPr>
        <w:spacing w:line="240" w:lineRule="auto"/>
      </w:pPr>
      <w:r>
        <w:t xml:space="preserve">The Parties </w:t>
      </w:r>
      <w:r w:rsidR="006E5EBF">
        <w:t>agree to develop a post-</w:t>
      </w:r>
      <w:r>
        <w:t xml:space="preserve">rehabilitation stewardship model. </w:t>
      </w:r>
    </w:p>
    <w:p w14:paraId="17B32003" w14:textId="3C25C19D" w:rsidR="004E0B94" w:rsidRDefault="00EC055F" w:rsidP="00EC055F">
      <w:pPr>
        <w:pStyle w:val="Normalnumbered"/>
        <w:numPr>
          <w:ilvl w:val="0"/>
          <w:numId w:val="2"/>
        </w:numPr>
        <w:spacing w:line="240" w:lineRule="auto"/>
      </w:pPr>
      <w:r>
        <w:t xml:space="preserve">The Parties also agree to be jointly responsible for </w:t>
      </w:r>
      <w:r w:rsidR="007B4056">
        <w:t xml:space="preserve">engaging affected </w:t>
      </w:r>
      <w:r w:rsidR="00621CB2">
        <w:t xml:space="preserve">traditional Aboriginal owners and </w:t>
      </w:r>
      <w:r w:rsidR="007B4056">
        <w:t>stakeholders</w:t>
      </w:r>
      <w:r w:rsidR="00CE3F59">
        <w:t xml:space="preserve">, including  affected parties under </w:t>
      </w:r>
      <w:r w:rsidR="001D08F9">
        <w:t xml:space="preserve">the </w:t>
      </w:r>
      <w:r w:rsidR="001D08F9" w:rsidRPr="00C94947">
        <w:rPr>
          <w:i/>
        </w:rPr>
        <w:t>Aboriginal Land Rights (Northern Territory) Act 1976</w:t>
      </w:r>
      <w:r w:rsidR="001D08F9">
        <w:t xml:space="preserve"> (Cth)</w:t>
      </w:r>
      <w:r w:rsidR="00CD0156">
        <w:t xml:space="preserve">, </w:t>
      </w:r>
      <w:r w:rsidR="003C7870">
        <w:t xml:space="preserve">relevant </w:t>
      </w:r>
      <w:r w:rsidR="00CD0156">
        <w:t>government</w:t>
      </w:r>
      <w:r w:rsidR="003C7870">
        <w:t xml:space="preserve"> agencie</w:t>
      </w:r>
      <w:r w:rsidR="00CD0156">
        <w:t>s and</w:t>
      </w:r>
      <w:r w:rsidR="00CE3F59">
        <w:t xml:space="preserve"> </w:t>
      </w:r>
      <w:r w:rsidR="0071495D">
        <w:t xml:space="preserve">the </w:t>
      </w:r>
      <w:r w:rsidR="00CE3F59">
        <w:t>local community,</w:t>
      </w:r>
      <w:r w:rsidR="007B4056">
        <w:t xml:space="preserve"> to contribute to delivery of the Rum Jungle Mine Site Rehabilitation Project (Stage 2A)</w:t>
      </w:r>
      <w:r w:rsidR="001A7050">
        <w:t xml:space="preserve"> </w:t>
      </w:r>
      <w:r w:rsidR="00C216DE">
        <w:t>as set out in this Agreement.</w:t>
      </w:r>
    </w:p>
    <w:p w14:paraId="4DDFBF26" w14:textId="2CCA9BCA" w:rsidR="00027E20" w:rsidRDefault="008570B8" w:rsidP="00A93A66">
      <w:pPr>
        <w:pStyle w:val="Normalnumbered"/>
        <w:numPr>
          <w:ilvl w:val="0"/>
          <w:numId w:val="0"/>
        </w:numPr>
        <w:spacing w:line="240" w:lineRule="auto"/>
        <w:ind w:left="567"/>
      </w:pPr>
      <w:r>
        <w:t>E</w:t>
      </w:r>
      <w:r w:rsidR="001F1873">
        <w:t xml:space="preserve">ngagement of the </w:t>
      </w:r>
      <w:r w:rsidR="001D08F9">
        <w:t>Kungarakan</w:t>
      </w:r>
      <w:r w:rsidR="001F1873">
        <w:t xml:space="preserve"> and Warai </w:t>
      </w:r>
      <w:r w:rsidR="00C94947">
        <w:t xml:space="preserve">traditional Aboriginal owners </w:t>
      </w:r>
      <w:r w:rsidR="001F1873">
        <w:t xml:space="preserve">by the Parties does not supplant any consultative or representative role of the Northern Land Council under the </w:t>
      </w:r>
      <w:r w:rsidR="001F1873" w:rsidRPr="00C94947">
        <w:rPr>
          <w:i/>
        </w:rPr>
        <w:t>Aboriginal Land Rights (Northern Territory) Act 1976</w:t>
      </w:r>
      <w:r w:rsidR="001F1873">
        <w:t xml:space="preserve"> (Cth). </w:t>
      </w:r>
    </w:p>
    <w:p w14:paraId="06148E8D" w14:textId="77777777" w:rsidR="004E0B94" w:rsidRDefault="007B4056" w:rsidP="0058287A">
      <w:pPr>
        <w:pStyle w:val="Normalnumbered"/>
        <w:numPr>
          <w:ilvl w:val="0"/>
          <w:numId w:val="2"/>
        </w:numPr>
        <w:spacing w:after="0" w:line="240" w:lineRule="auto"/>
      </w:pPr>
      <w:r>
        <w:rPr>
          <w:color w:val="auto"/>
        </w:rPr>
        <w:t>The</w:t>
      </w:r>
      <w:r w:rsidRPr="00166312">
        <w:rPr>
          <w:color w:val="auto"/>
        </w:rPr>
        <w:t xml:space="preserve"> Parties will</w:t>
      </w:r>
      <w:r>
        <w:rPr>
          <w:color w:val="auto"/>
        </w:rPr>
        <w:t xml:space="preserve"> </w:t>
      </w:r>
      <w:r>
        <w:t xml:space="preserve">meet the requirements of Schedule E, Clause 26 of </w:t>
      </w:r>
      <w:r w:rsidRPr="00183EAB">
        <w:rPr>
          <w:color w:val="auto"/>
        </w:rPr>
        <w:t xml:space="preserve">the </w:t>
      </w:r>
      <w:r>
        <w:rPr>
          <w:color w:val="auto"/>
        </w:rPr>
        <w:t>IGA FFR</w:t>
      </w:r>
      <w:r w:rsidRPr="000614F9">
        <w:rPr>
          <w:color w:val="auto"/>
        </w:rPr>
        <w:t>, by ensuring that prior agreemen</w:t>
      </w:r>
      <w:r>
        <w:t>t is reached on the nature and content of any events, announcements, promotional material or publicity relating to activities under this Agreement, and that the roles of both Parties will be acknowledged and recognised appropriately.</w:t>
      </w:r>
    </w:p>
    <w:p w14:paraId="5DAD605B" w14:textId="77777777" w:rsidR="007B4056" w:rsidRPr="00814590" w:rsidRDefault="007B4056" w:rsidP="007B4056">
      <w:pPr>
        <w:pStyle w:val="Heading1"/>
      </w:pPr>
      <w:r w:rsidRPr="00814590">
        <w:t>Part 4 — P</w:t>
      </w:r>
      <w:r>
        <w:t>roject</w:t>
      </w:r>
      <w:r w:rsidRPr="00814590">
        <w:t xml:space="preserve"> </w:t>
      </w:r>
      <w:r>
        <w:t xml:space="preserve">milestones, </w:t>
      </w:r>
      <w:r w:rsidRPr="00814590">
        <w:t>reporting</w:t>
      </w:r>
      <w:r>
        <w:t xml:space="preserve"> and Payments</w:t>
      </w:r>
    </w:p>
    <w:p w14:paraId="5F56788B" w14:textId="77777777" w:rsidR="0021026A" w:rsidRDefault="007B4056" w:rsidP="00134372">
      <w:pPr>
        <w:pStyle w:val="Normalnumbered"/>
        <w:numPr>
          <w:ilvl w:val="0"/>
          <w:numId w:val="2"/>
        </w:numPr>
      </w:pPr>
      <w:r w:rsidRPr="00DE36EB">
        <w:t>Table 1</w:t>
      </w:r>
      <w:r>
        <w:t xml:space="preserve"> summarises the milestones for the project, their relationship to the outputs, expected completion dates, relevant reporting dates and expected payments to be made. The Commonwealth will make payments subject to the relevant performance report demonstrating the relevant </w:t>
      </w:r>
      <w:r w:rsidRPr="00EF6486">
        <w:rPr>
          <w:szCs w:val="23"/>
        </w:rPr>
        <w:t xml:space="preserve">milestone </w:t>
      </w:r>
      <w:r>
        <w:t>has been met.</w:t>
      </w:r>
    </w:p>
    <w:p w14:paraId="3451ED1E" w14:textId="77777777" w:rsidR="00CA2619" w:rsidRDefault="00CA2619" w:rsidP="00CA2619">
      <w:pPr>
        <w:pStyle w:val="Normalnumbered"/>
        <w:numPr>
          <w:ilvl w:val="0"/>
          <w:numId w:val="0"/>
        </w:numPr>
        <w:spacing w:after="120"/>
        <w:ind w:left="360" w:hanging="360"/>
        <w:rPr>
          <w:b/>
        </w:rPr>
      </w:pPr>
      <w:r w:rsidRPr="00383F3D">
        <w:rPr>
          <w:b/>
        </w:rPr>
        <w:t>Table 1</w:t>
      </w:r>
      <w:r w:rsidRPr="00383F3D">
        <w:t xml:space="preserve">: </w:t>
      </w:r>
      <w:r w:rsidRPr="00383F3D">
        <w:rPr>
          <w:b/>
        </w:rPr>
        <w:t>Performance requirements, reporting and payment summary</w:t>
      </w:r>
    </w:p>
    <w:tbl>
      <w:tblPr>
        <w:tblStyle w:val="TableGrid"/>
        <w:tblW w:w="0" w:type="auto"/>
        <w:tblInd w:w="108" w:type="dxa"/>
        <w:tblLook w:val="04A0" w:firstRow="1" w:lastRow="0" w:firstColumn="1" w:lastColumn="0" w:noHBand="0" w:noVBand="1"/>
      </w:tblPr>
      <w:tblGrid>
        <w:gridCol w:w="2217"/>
        <w:gridCol w:w="3881"/>
        <w:gridCol w:w="1326"/>
        <w:gridCol w:w="2096"/>
      </w:tblGrid>
      <w:tr w:rsidR="003D007B" w14:paraId="4D49070C" w14:textId="77777777" w:rsidTr="005A2981">
        <w:trPr>
          <w:trHeight w:val="623"/>
        </w:trPr>
        <w:tc>
          <w:tcPr>
            <w:tcW w:w="2217" w:type="dxa"/>
            <w:vAlign w:val="center"/>
          </w:tcPr>
          <w:p w14:paraId="460256EA" w14:textId="77777777" w:rsidR="00CA2619" w:rsidRPr="00CA2619" w:rsidRDefault="00CA2619" w:rsidP="005A2981">
            <w:pPr>
              <w:pStyle w:val="Normalnumbered"/>
              <w:numPr>
                <w:ilvl w:val="0"/>
                <w:numId w:val="0"/>
              </w:numPr>
              <w:spacing w:after="40"/>
              <w:jc w:val="center"/>
              <w:rPr>
                <w:b/>
                <w:color w:val="auto"/>
                <w:sz w:val="22"/>
                <w:szCs w:val="22"/>
              </w:rPr>
            </w:pPr>
            <w:r w:rsidRPr="00CA2619">
              <w:rPr>
                <w:b/>
                <w:color w:val="auto"/>
                <w:sz w:val="22"/>
                <w:szCs w:val="22"/>
              </w:rPr>
              <w:t>Outputs</w:t>
            </w:r>
          </w:p>
        </w:tc>
        <w:tc>
          <w:tcPr>
            <w:tcW w:w="3881" w:type="dxa"/>
            <w:vAlign w:val="center"/>
          </w:tcPr>
          <w:p w14:paraId="62CD1FA1" w14:textId="77777777" w:rsidR="00CA2619" w:rsidRPr="00CA2619" w:rsidRDefault="00CA2619" w:rsidP="005A2981">
            <w:pPr>
              <w:pStyle w:val="Normalnumbered"/>
              <w:numPr>
                <w:ilvl w:val="0"/>
                <w:numId w:val="0"/>
              </w:numPr>
              <w:spacing w:after="40"/>
              <w:jc w:val="center"/>
              <w:rPr>
                <w:b/>
                <w:color w:val="auto"/>
                <w:sz w:val="22"/>
                <w:szCs w:val="22"/>
              </w:rPr>
            </w:pPr>
            <w:r w:rsidRPr="00CA2619">
              <w:rPr>
                <w:b/>
                <w:color w:val="auto"/>
                <w:sz w:val="22"/>
                <w:szCs w:val="22"/>
              </w:rPr>
              <w:t>Milestones</w:t>
            </w:r>
          </w:p>
        </w:tc>
        <w:tc>
          <w:tcPr>
            <w:tcW w:w="1326" w:type="dxa"/>
            <w:vAlign w:val="center"/>
          </w:tcPr>
          <w:p w14:paraId="72434E69" w14:textId="77777777" w:rsidR="00CA2619" w:rsidRPr="00CA2619" w:rsidRDefault="00CA2619" w:rsidP="005A2981">
            <w:pPr>
              <w:pStyle w:val="Normalnumbered"/>
              <w:numPr>
                <w:ilvl w:val="0"/>
                <w:numId w:val="0"/>
              </w:numPr>
              <w:spacing w:after="40"/>
              <w:jc w:val="center"/>
              <w:rPr>
                <w:b/>
                <w:color w:val="auto"/>
                <w:sz w:val="22"/>
                <w:szCs w:val="22"/>
              </w:rPr>
            </w:pPr>
            <w:r w:rsidRPr="00CA2619">
              <w:rPr>
                <w:b/>
                <w:color w:val="auto"/>
                <w:sz w:val="22"/>
                <w:szCs w:val="22"/>
              </w:rPr>
              <w:t>Report due</w:t>
            </w:r>
          </w:p>
        </w:tc>
        <w:tc>
          <w:tcPr>
            <w:tcW w:w="2096" w:type="dxa"/>
            <w:vAlign w:val="center"/>
          </w:tcPr>
          <w:p w14:paraId="1B23F3B4" w14:textId="77777777" w:rsidR="00CA2619" w:rsidRPr="00CA2619" w:rsidRDefault="00CA2619" w:rsidP="005A2981">
            <w:pPr>
              <w:pStyle w:val="Normalnumbered"/>
              <w:numPr>
                <w:ilvl w:val="0"/>
                <w:numId w:val="0"/>
              </w:numPr>
              <w:spacing w:after="40"/>
              <w:jc w:val="center"/>
              <w:rPr>
                <w:b/>
                <w:color w:val="auto"/>
                <w:sz w:val="22"/>
                <w:szCs w:val="22"/>
              </w:rPr>
            </w:pPr>
            <w:r w:rsidRPr="00CA2619">
              <w:rPr>
                <w:b/>
                <w:color w:val="auto"/>
                <w:sz w:val="22"/>
                <w:szCs w:val="22"/>
              </w:rPr>
              <w:t>Payment</w:t>
            </w:r>
          </w:p>
        </w:tc>
      </w:tr>
      <w:tr w:rsidR="003D007B" w14:paraId="40E05CAD" w14:textId="77777777" w:rsidTr="005A2981">
        <w:tc>
          <w:tcPr>
            <w:tcW w:w="2217" w:type="dxa"/>
            <w:vMerge w:val="restart"/>
            <w:vAlign w:val="center"/>
          </w:tcPr>
          <w:p w14:paraId="05A03C37" w14:textId="77777777" w:rsidR="00577AB9" w:rsidRPr="00B11172" w:rsidRDefault="00577AB9" w:rsidP="005A2981">
            <w:pPr>
              <w:pStyle w:val="Normalnumbered"/>
              <w:numPr>
                <w:ilvl w:val="0"/>
                <w:numId w:val="0"/>
              </w:numPr>
              <w:spacing w:after="40"/>
              <w:jc w:val="left"/>
              <w:rPr>
                <w:color w:val="auto"/>
                <w:sz w:val="24"/>
                <w:szCs w:val="24"/>
              </w:rPr>
            </w:pPr>
            <w:r w:rsidRPr="00B11D06">
              <w:rPr>
                <w:color w:val="auto"/>
                <w:sz w:val="22"/>
                <w:szCs w:val="22"/>
              </w:rPr>
              <w:t>Rehabilitation design</w:t>
            </w:r>
          </w:p>
        </w:tc>
        <w:tc>
          <w:tcPr>
            <w:tcW w:w="3881" w:type="dxa"/>
          </w:tcPr>
          <w:p w14:paraId="6F32D030" w14:textId="77777777" w:rsidR="00577AB9" w:rsidRPr="00B11172" w:rsidDel="00CA2619" w:rsidRDefault="00577AB9" w:rsidP="005A2981">
            <w:pPr>
              <w:pStyle w:val="Normalnumbered"/>
              <w:numPr>
                <w:ilvl w:val="0"/>
                <w:numId w:val="0"/>
              </w:numPr>
              <w:spacing w:after="40"/>
              <w:rPr>
                <w:color w:val="auto"/>
                <w:sz w:val="24"/>
                <w:szCs w:val="24"/>
              </w:rPr>
            </w:pPr>
            <w:r>
              <w:rPr>
                <w:color w:val="auto"/>
                <w:sz w:val="22"/>
                <w:szCs w:val="22"/>
              </w:rPr>
              <w:t>Establish monitoring stations to acquire baseline environmental information for noise</w:t>
            </w:r>
            <w:r w:rsidR="00F71ABB">
              <w:rPr>
                <w:color w:val="auto"/>
                <w:sz w:val="22"/>
                <w:szCs w:val="22"/>
              </w:rPr>
              <w:t xml:space="preserve"> and</w:t>
            </w:r>
            <w:r>
              <w:rPr>
                <w:color w:val="auto"/>
                <w:sz w:val="22"/>
                <w:szCs w:val="22"/>
              </w:rPr>
              <w:t xml:space="preserve"> air quality</w:t>
            </w:r>
          </w:p>
        </w:tc>
        <w:tc>
          <w:tcPr>
            <w:tcW w:w="1326" w:type="dxa"/>
            <w:vMerge w:val="restart"/>
            <w:vAlign w:val="center"/>
          </w:tcPr>
          <w:p w14:paraId="0B69A2D9" w14:textId="6649BD22" w:rsidR="00577AB9" w:rsidRPr="00D5199A" w:rsidRDefault="00577AB9" w:rsidP="005A2981">
            <w:pPr>
              <w:pStyle w:val="Normalnumbered"/>
              <w:numPr>
                <w:ilvl w:val="0"/>
                <w:numId w:val="0"/>
              </w:numPr>
              <w:spacing w:after="40"/>
              <w:rPr>
                <w:color w:val="auto"/>
                <w:sz w:val="22"/>
                <w:szCs w:val="22"/>
              </w:rPr>
            </w:pPr>
            <w:r>
              <w:rPr>
                <w:color w:val="auto"/>
                <w:sz w:val="22"/>
                <w:szCs w:val="22"/>
              </w:rPr>
              <w:t>15 December 2017</w:t>
            </w:r>
            <w:r w:rsidR="00776EFE">
              <w:rPr>
                <w:rStyle w:val="FootnoteReference"/>
                <w:color w:val="auto"/>
                <w:sz w:val="22"/>
                <w:szCs w:val="22"/>
              </w:rPr>
              <w:footnoteReference w:id="6"/>
            </w:r>
          </w:p>
        </w:tc>
        <w:tc>
          <w:tcPr>
            <w:tcW w:w="2096" w:type="dxa"/>
            <w:vMerge w:val="restart"/>
            <w:vAlign w:val="center"/>
          </w:tcPr>
          <w:p w14:paraId="0223A995" w14:textId="77777777" w:rsidR="00577AB9" w:rsidRDefault="00577AB9" w:rsidP="005A2981">
            <w:pPr>
              <w:pStyle w:val="Normalnumbered"/>
              <w:numPr>
                <w:ilvl w:val="0"/>
                <w:numId w:val="0"/>
              </w:numPr>
              <w:spacing w:after="40"/>
              <w:rPr>
                <w:color w:val="auto"/>
                <w:sz w:val="22"/>
                <w:szCs w:val="22"/>
              </w:rPr>
            </w:pPr>
            <w:r>
              <w:rPr>
                <w:color w:val="auto"/>
                <w:sz w:val="22"/>
                <w:szCs w:val="22"/>
              </w:rPr>
              <w:t>$2,216,000</w:t>
            </w:r>
          </w:p>
          <w:p w14:paraId="2D2D609E" w14:textId="77777777" w:rsidR="00577AB9" w:rsidRPr="00B11172" w:rsidRDefault="00577AB9" w:rsidP="005A2981">
            <w:pPr>
              <w:pStyle w:val="Normalnumbered"/>
              <w:numPr>
                <w:ilvl w:val="0"/>
                <w:numId w:val="0"/>
              </w:numPr>
              <w:spacing w:after="40"/>
              <w:rPr>
                <w:color w:val="auto"/>
                <w:sz w:val="24"/>
                <w:szCs w:val="24"/>
              </w:rPr>
            </w:pPr>
          </w:p>
        </w:tc>
      </w:tr>
      <w:tr w:rsidR="003D007B" w14:paraId="623B0AB6" w14:textId="77777777" w:rsidTr="00393B02">
        <w:tc>
          <w:tcPr>
            <w:tcW w:w="2217" w:type="dxa"/>
            <w:vMerge/>
          </w:tcPr>
          <w:p w14:paraId="7A502A11" w14:textId="77777777" w:rsidR="00577AB9" w:rsidRPr="00B11D06" w:rsidRDefault="00577AB9" w:rsidP="003C7870">
            <w:pPr>
              <w:pStyle w:val="Normalnumbered"/>
              <w:numPr>
                <w:ilvl w:val="0"/>
                <w:numId w:val="0"/>
              </w:numPr>
              <w:spacing w:after="40"/>
              <w:rPr>
                <w:color w:val="auto"/>
                <w:sz w:val="22"/>
                <w:szCs w:val="22"/>
              </w:rPr>
            </w:pPr>
          </w:p>
        </w:tc>
        <w:tc>
          <w:tcPr>
            <w:tcW w:w="3881" w:type="dxa"/>
          </w:tcPr>
          <w:p w14:paraId="706ACA7B" w14:textId="77777777" w:rsidR="00577AB9" w:rsidRPr="0027395A" w:rsidDel="00CA2619" w:rsidRDefault="00577AB9" w:rsidP="003C7870">
            <w:pPr>
              <w:pStyle w:val="Normalnumbered"/>
              <w:numPr>
                <w:ilvl w:val="0"/>
                <w:numId w:val="0"/>
              </w:numPr>
              <w:spacing w:after="40"/>
              <w:rPr>
                <w:color w:val="auto"/>
                <w:sz w:val="22"/>
                <w:szCs w:val="22"/>
              </w:rPr>
            </w:pPr>
            <w:r>
              <w:rPr>
                <w:color w:val="auto"/>
                <w:sz w:val="22"/>
                <w:szCs w:val="22"/>
              </w:rPr>
              <w:t>Complete drilling</w:t>
            </w:r>
            <w:r w:rsidR="00556B69">
              <w:rPr>
                <w:color w:val="auto"/>
                <w:sz w:val="22"/>
                <w:szCs w:val="22"/>
              </w:rPr>
              <w:t xml:space="preserve"> of</w:t>
            </w:r>
            <w:r>
              <w:rPr>
                <w:color w:val="auto"/>
                <w:sz w:val="22"/>
                <w:szCs w:val="22"/>
              </w:rPr>
              <w:t xml:space="preserve"> Main Pit Tailings</w:t>
            </w:r>
          </w:p>
        </w:tc>
        <w:tc>
          <w:tcPr>
            <w:tcW w:w="1326" w:type="dxa"/>
            <w:vMerge/>
            <w:vAlign w:val="center"/>
          </w:tcPr>
          <w:p w14:paraId="4BE6B7B6" w14:textId="77777777" w:rsidR="00577AB9" w:rsidRDefault="00577AB9" w:rsidP="003C7870">
            <w:pPr>
              <w:pStyle w:val="Normalnumbered"/>
              <w:numPr>
                <w:ilvl w:val="0"/>
                <w:numId w:val="0"/>
              </w:numPr>
              <w:spacing w:after="40"/>
              <w:rPr>
                <w:color w:val="auto"/>
                <w:sz w:val="22"/>
                <w:szCs w:val="22"/>
              </w:rPr>
            </w:pPr>
          </w:p>
        </w:tc>
        <w:tc>
          <w:tcPr>
            <w:tcW w:w="2096" w:type="dxa"/>
            <w:vMerge/>
            <w:vAlign w:val="center"/>
          </w:tcPr>
          <w:p w14:paraId="6D2291AA" w14:textId="77777777" w:rsidR="00577AB9" w:rsidRDefault="00577AB9" w:rsidP="003C7870">
            <w:pPr>
              <w:pStyle w:val="Normalnumbered"/>
              <w:numPr>
                <w:ilvl w:val="0"/>
                <w:numId w:val="0"/>
              </w:numPr>
              <w:spacing w:after="40"/>
              <w:rPr>
                <w:color w:val="auto"/>
                <w:sz w:val="22"/>
                <w:szCs w:val="22"/>
              </w:rPr>
            </w:pPr>
          </w:p>
        </w:tc>
      </w:tr>
      <w:tr w:rsidR="003D007B" w14:paraId="1E98D5C2" w14:textId="77777777" w:rsidTr="00393B02">
        <w:tc>
          <w:tcPr>
            <w:tcW w:w="2217" w:type="dxa"/>
            <w:vMerge/>
          </w:tcPr>
          <w:p w14:paraId="0E16CDF3" w14:textId="77777777" w:rsidR="00577AB9" w:rsidRPr="00B11D06" w:rsidRDefault="00577AB9" w:rsidP="003C7870">
            <w:pPr>
              <w:pStyle w:val="Normalnumbered"/>
              <w:numPr>
                <w:ilvl w:val="0"/>
                <w:numId w:val="0"/>
              </w:numPr>
              <w:spacing w:after="40"/>
              <w:rPr>
                <w:color w:val="auto"/>
                <w:sz w:val="22"/>
                <w:szCs w:val="22"/>
              </w:rPr>
            </w:pPr>
          </w:p>
        </w:tc>
        <w:tc>
          <w:tcPr>
            <w:tcW w:w="3881" w:type="dxa"/>
          </w:tcPr>
          <w:p w14:paraId="1BE790FC" w14:textId="77777777" w:rsidR="00577AB9" w:rsidRPr="00B11172" w:rsidDel="00CA2619" w:rsidRDefault="00577AB9" w:rsidP="003C7870">
            <w:pPr>
              <w:pStyle w:val="Normalnumbered"/>
              <w:numPr>
                <w:ilvl w:val="0"/>
                <w:numId w:val="0"/>
              </w:numPr>
              <w:spacing w:after="40"/>
              <w:rPr>
                <w:color w:val="auto"/>
                <w:sz w:val="24"/>
                <w:szCs w:val="24"/>
              </w:rPr>
            </w:pPr>
            <w:r>
              <w:rPr>
                <w:color w:val="auto"/>
                <w:sz w:val="22"/>
                <w:szCs w:val="22"/>
              </w:rPr>
              <w:t>Complete geotechnical drilling footprint area of new Waste Storage Facility</w:t>
            </w:r>
          </w:p>
        </w:tc>
        <w:tc>
          <w:tcPr>
            <w:tcW w:w="1326" w:type="dxa"/>
            <w:vMerge/>
            <w:vAlign w:val="center"/>
          </w:tcPr>
          <w:p w14:paraId="1DB1E5BF" w14:textId="77777777" w:rsidR="00577AB9" w:rsidRDefault="00577AB9" w:rsidP="003C7870">
            <w:pPr>
              <w:pStyle w:val="Normalnumbered"/>
              <w:numPr>
                <w:ilvl w:val="0"/>
                <w:numId w:val="0"/>
              </w:numPr>
              <w:spacing w:after="40"/>
              <w:rPr>
                <w:color w:val="auto"/>
                <w:sz w:val="22"/>
                <w:szCs w:val="22"/>
              </w:rPr>
            </w:pPr>
          </w:p>
        </w:tc>
        <w:tc>
          <w:tcPr>
            <w:tcW w:w="2096" w:type="dxa"/>
            <w:vMerge/>
            <w:vAlign w:val="center"/>
          </w:tcPr>
          <w:p w14:paraId="4CC78DD4" w14:textId="77777777" w:rsidR="00577AB9" w:rsidRDefault="00577AB9" w:rsidP="003C7870">
            <w:pPr>
              <w:pStyle w:val="Normalnumbered"/>
              <w:numPr>
                <w:ilvl w:val="0"/>
                <w:numId w:val="0"/>
              </w:numPr>
              <w:spacing w:after="40"/>
              <w:rPr>
                <w:color w:val="auto"/>
                <w:sz w:val="22"/>
                <w:szCs w:val="22"/>
              </w:rPr>
            </w:pPr>
          </w:p>
        </w:tc>
      </w:tr>
      <w:tr w:rsidR="003D007B" w14:paraId="560B4D5F" w14:textId="77777777" w:rsidTr="00393B02">
        <w:tc>
          <w:tcPr>
            <w:tcW w:w="2217" w:type="dxa"/>
            <w:vMerge/>
          </w:tcPr>
          <w:p w14:paraId="684D41D9" w14:textId="77777777" w:rsidR="00577AB9" w:rsidRPr="00B11D06" w:rsidRDefault="00577AB9" w:rsidP="003C7870">
            <w:pPr>
              <w:pStyle w:val="Normalnumbered"/>
              <w:numPr>
                <w:ilvl w:val="0"/>
                <w:numId w:val="0"/>
              </w:numPr>
              <w:spacing w:after="40"/>
              <w:rPr>
                <w:color w:val="auto"/>
                <w:sz w:val="22"/>
                <w:szCs w:val="22"/>
              </w:rPr>
            </w:pPr>
          </w:p>
        </w:tc>
        <w:tc>
          <w:tcPr>
            <w:tcW w:w="3881" w:type="dxa"/>
          </w:tcPr>
          <w:p w14:paraId="76E421E2" w14:textId="77777777" w:rsidR="00577AB9" w:rsidRPr="00B11172" w:rsidDel="00CA2619" w:rsidRDefault="00577AB9" w:rsidP="003C7870">
            <w:pPr>
              <w:pStyle w:val="Normalnumbered"/>
              <w:numPr>
                <w:ilvl w:val="0"/>
                <w:numId w:val="0"/>
              </w:numPr>
              <w:spacing w:after="40"/>
              <w:rPr>
                <w:color w:val="auto"/>
                <w:sz w:val="24"/>
                <w:szCs w:val="24"/>
              </w:rPr>
            </w:pPr>
            <w:r>
              <w:rPr>
                <w:color w:val="auto"/>
                <w:sz w:val="22"/>
                <w:szCs w:val="22"/>
              </w:rPr>
              <w:t xml:space="preserve">Submit  application for </w:t>
            </w:r>
            <w:r w:rsidRPr="00B11D06">
              <w:rPr>
                <w:color w:val="auto"/>
                <w:sz w:val="22"/>
                <w:szCs w:val="22"/>
              </w:rPr>
              <w:t>Aboriginal Areas Protection Authority</w:t>
            </w:r>
            <w:r>
              <w:rPr>
                <w:color w:val="auto"/>
                <w:sz w:val="22"/>
                <w:szCs w:val="22"/>
              </w:rPr>
              <w:t xml:space="preserve"> (AAPA)</w:t>
            </w:r>
            <w:r w:rsidRPr="001209D3">
              <w:rPr>
                <w:color w:val="auto"/>
                <w:sz w:val="22"/>
                <w:szCs w:val="22"/>
              </w:rPr>
              <w:t xml:space="preserve"> </w:t>
            </w:r>
            <w:r w:rsidRPr="00C763C6">
              <w:rPr>
                <w:color w:val="auto"/>
                <w:sz w:val="22"/>
                <w:szCs w:val="22"/>
              </w:rPr>
              <w:t>certificate</w:t>
            </w:r>
            <w:r w:rsidRPr="00B11D06">
              <w:rPr>
                <w:color w:val="auto"/>
                <w:sz w:val="22"/>
                <w:szCs w:val="22"/>
              </w:rPr>
              <w:t xml:space="preserve"> for potential Stage 3 works</w:t>
            </w:r>
          </w:p>
        </w:tc>
        <w:tc>
          <w:tcPr>
            <w:tcW w:w="1326" w:type="dxa"/>
            <w:vMerge/>
            <w:vAlign w:val="center"/>
          </w:tcPr>
          <w:p w14:paraId="28F4C534" w14:textId="77777777" w:rsidR="00577AB9" w:rsidRDefault="00577AB9" w:rsidP="003C7870">
            <w:pPr>
              <w:pStyle w:val="Normalnumbered"/>
              <w:numPr>
                <w:ilvl w:val="0"/>
                <w:numId w:val="0"/>
              </w:numPr>
              <w:spacing w:after="40"/>
              <w:rPr>
                <w:color w:val="auto"/>
                <w:sz w:val="22"/>
                <w:szCs w:val="22"/>
              </w:rPr>
            </w:pPr>
          </w:p>
        </w:tc>
        <w:tc>
          <w:tcPr>
            <w:tcW w:w="2096" w:type="dxa"/>
            <w:vMerge/>
            <w:vAlign w:val="center"/>
          </w:tcPr>
          <w:p w14:paraId="513E1728" w14:textId="77777777" w:rsidR="00577AB9" w:rsidRDefault="00577AB9" w:rsidP="003C7870">
            <w:pPr>
              <w:pStyle w:val="Normalnumbered"/>
              <w:numPr>
                <w:ilvl w:val="0"/>
                <w:numId w:val="0"/>
              </w:numPr>
              <w:spacing w:after="40"/>
              <w:rPr>
                <w:color w:val="auto"/>
                <w:sz w:val="22"/>
                <w:szCs w:val="22"/>
              </w:rPr>
            </w:pPr>
          </w:p>
        </w:tc>
      </w:tr>
      <w:tr w:rsidR="003D007B" w14:paraId="6BA2F87D" w14:textId="77777777" w:rsidTr="005A2981">
        <w:tc>
          <w:tcPr>
            <w:tcW w:w="2217" w:type="dxa"/>
            <w:vAlign w:val="center"/>
          </w:tcPr>
          <w:p w14:paraId="0AA40850" w14:textId="77777777" w:rsidR="00577AB9" w:rsidRPr="00CA2619" w:rsidRDefault="00577AB9" w:rsidP="005A2981">
            <w:pPr>
              <w:pStyle w:val="Normalnumbered"/>
              <w:numPr>
                <w:ilvl w:val="0"/>
                <w:numId w:val="0"/>
              </w:numPr>
              <w:spacing w:after="40"/>
              <w:jc w:val="left"/>
              <w:rPr>
                <w:b/>
                <w:color w:val="auto"/>
                <w:sz w:val="22"/>
                <w:szCs w:val="22"/>
              </w:rPr>
            </w:pPr>
            <w:r w:rsidRPr="00B11D06">
              <w:rPr>
                <w:color w:val="auto"/>
                <w:sz w:val="22"/>
                <w:szCs w:val="22"/>
              </w:rPr>
              <w:t>Stakeholder engagement</w:t>
            </w:r>
          </w:p>
        </w:tc>
        <w:tc>
          <w:tcPr>
            <w:tcW w:w="3881" w:type="dxa"/>
          </w:tcPr>
          <w:p w14:paraId="51DF8D86" w14:textId="77777777" w:rsidR="00577AB9" w:rsidRPr="00F26337" w:rsidRDefault="00577AB9" w:rsidP="006D64B6">
            <w:pPr>
              <w:pStyle w:val="Normalnumbered"/>
              <w:numPr>
                <w:ilvl w:val="0"/>
                <w:numId w:val="0"/>
              </w:numPr>
              <w:spacing w:after="40"/>
              <w:jc w:val="left"/>
              <w:rPr>
                <w:color w:val="auto"/>
                <w:sz w:val="22"/>
                <w:szCs w:val="22"/>
              </w:rPr>
            </w:pPr>
            <w:r>
              <w:rPr>
                <w:color w:val="auto"/>
                <w:sz w:val="22"/>
                <w:szCs w:val="22"/>
              </w:rPr>
              <w:t>Undertake and document stakeholder engagement and communication (traditional Aboriginal owner, community)</w:t>
            </w:r>
          </w:p>
        </w:tc>
        <w:tc>
          <w:tcPr>
            <w:tcW w:w="1326" w:type="dxa"/>
            <w:vMerge/>
          </w:tcPr>
          <w:p w14:paraId="08452AD2" w14:textId="77777777" w:rsidR="00577AB9" w:rsidRPr="00CA2619" w:rsidRDefault="00577AB9" w:rsidP="005A2981">
            <w:pPr>
              <w:pStyle w:val="Normalnumbered"/>
              <w:numPr>
                <w:ilvl w:val="0"/>
                <w:numId w:val="0"/>
              </w:numPr>
              <w:spacing w:after="40"/>
              <w:rPr>
                <w:b/>
                <w:color w:val="auto"/>
                <w:sz w:val="22"/>
                <w:szCs w:val="22"/>
              </w:rPr>
            </w:pPr>
          </w:p>
        </w:tc>
        <w:tc>
          <w:tcPr>
            <w:tcW w:w="2096" w:type="dxa"/>
            <w:vMerge/>
          </w:tcPr>
          <w:p w14:paraId="6088654C" w14:textId="77777777" w:rsidR="00577AB9" w:rsidRPr="00CA2619" w:rsidRDefault="00577AB9" w:rsidP="005A2981">
            <w:pPr>
              <w:pStyle w:val="Normalnumbered"/>
              <w:numPr>
                <w:ilvl w:val="0"/>
                <w:numId w:val="0"/>
              </w:numPr>
              <w:spacing w:after="40"/>
              <w:rPr>
                <w:b/>
                <w:color w:val="auto"/>
                <w:sz w:val="22"/>
                <w:szCs w:val="22"/>
              </w:rPr>
            </w:pPr>
          </w:p>
        </w:tc>
      </w:tr>
      <w:tr w:rsidR="00643EBC" w14:paraId="4AA522E7" w14:textId="77777777" w:rsidTr="005A2981">
        <w:tc>
          <w:tcPr>
            <w:tcW w:w="2217" w:type="dxa"/>
            <w:vMerge w:val="restart"/>
            <w:vAlign w:val="center"/>
          </w:tcPr>
          <w:p w14:paraId="6623B21E" w14:textId="77777777" w:rsidR="00643EBC" w:rsidRPr="00B11D06" w:rsidRDefault="00643EBC" w:rsidP="00EB32FA">
            <w:pPr>
              <w:pStyle w:val="Normalnumbered"/>
              <w:numPr>
                <w:ilvl w:val="0"/>
                <w:numId w:val="0"/>
              </w:numPr>
              <w:spacing w:after="40"/>
              <w:jc w:val="left"/>
              <w:rPr>
                <w:color w:val="auto"/>
                <w:sz w:val="22"/>
                <w:szCs w:val="22"/>
              </w:rPr>
            </w:pPr>
            <w:r>
              <w:rPr>
                <w:color w:val="auto"/>
                <w:sz w:val="22"/>
                <w:szCs w:val="22"/>
              </w:rPr>
              <w:t>Rehabilitation design</w:t>
            </w:r>
          </w:p>
        </w:tc>
        <w:tc>
          <w:tcPr>
            <w:tcW w:w="3881" w:type="dxa"/>
          </w:tcPr>
          <w:p w14:paraId="02751985" w14:textId="77777777" w:rsidR="00643EBC" w:rsidRDefault="00643EBC" w:rsidP="00B667C9">
            <w:pPr>
              <w:pStyle w:val="Normalnumbered"/>
              <w:numPr>
                <w:ilvl w:val="0"/>
                <w:numId w:val="0"/>
              </w:numPr>
              <w:spacing w:after="40"/>
              <w:rPr>
                <w:color w:val="auto"/>
                <w:sz w:val="22"/>
                <w:szCs w:val="22"/>
              </w:rPr>
            </w:pPr>
            <w:r>
              <w:rPr>
                <w:color w:val="auto"/>
                <w:sz w:val="22"/>
                <w:szCs w:val="22"/>
              </w:rPr>
              <w:t>Complete:</w:t>
            </w:r>
          </w:p>
          <w:p w14:paraId="6160B704" w14:textId="77777777" w:rsidR="00643EBC" w:rsidRDefault="00643EBC" w:rsidP="00EB32FA">
            <w:pPr>
              <w:pStyle w:val="Normalnumbered"/>
              <w:numPr>
                <w:ilvl w:val="0"/>
                <w:numId w:val="15"/>
              </w:numPr>
              <w:spacing w:after="40"/>
              <w:ind w:left="221" w:hanging="221"/>
              <w:jc w:val="left"/>
              <w:rPr>
                <w:color w:val="auto"/>
                <w:sz w:val="22"/>
                <w:szCs w:val="22"/>
              </w:rPr>
            </w:pPr>
            <w:r>
              <w:rPr>
                <w:color w:val="auto"/>
                <w:sz w:val="22"/>
                <w:szCs w:val="22"/>
              </w:rPr>
              <w:t>historic and cultural heritage impact assessment;</w:t>
            </w:r>
          </w:p>
          <w:p w14:paraId="5659FB08" w14:textId="77777777" w:rsidR="00643EBC" w:rsidRDefault="00643EBC" w:rsidP="00EB32FA">
            <w:pPr>
              <w:pStyle w:val="Normalnumbered"/>
              <w:numPr>
                <w:ilvl w:val="0"/>
                <w:numId w:val="15"/>
              </w:numPr>
              <w:spacing w:after="40"/>
              <w:ind w:left="221" w:hanging="221"/>
              <w:jc w:val="left"/>
              <w:rPr>
                <w:color w:val="auto"/>
                <w:sz w:val="22"/>
                <w:szCs w:val="22"/>
              </w:rPr>
            </w:pPr>
            <w:r>
              <w:rPr>
                <w:color w:val="auto"/>
                <w:sz w:val="22"/>
                <w:szCs w:val="22"/>
              </w:rPr>
              <w:t>socio-economic baseline (existing baseline);</w:t>
            </w:r>
          </w:p>
          <w:p w14:paraId="550045EF" w14:textId="77777777" w:rsidR="00643EBC" w:rsidRDefault="00643EBC" w:rsidP="00EB32FA">
            <w:pPr>
              <w:pStyle w:val="Normalnumbered"/>
              <w:numPr>
                <w:ilvl w:val="0"/>
                <w:numId w:val="15"/>
              </w:numPr>
              <w:spacing w:after="40"/>
              <w:ind w:left="221" w:hanging="221"/>
              <w:jc w:val="left"/>
              <w:rPr>
                <w:color w:val="auto"/>
                <w:sz w:val="22"/>
                <w:szCs w:val="22"/>
              </w:rPr>
            </w:pPr>
            <w:r>
              <w:rPr>
                <w:color w:val="auto"/>
                <w:sz w:val="22"/>
                <w:szCs w:val="22"/>
              </w:rPr>
              <w:t xml:space="preserve">in-field waste prioritisation assessment; </w:t>
            </w:r>
          </w:p>
          <w:p w14:paraId="0687CE79" w14:textId="77777777" w:rsidR="00643EBC" w:rsidRDefault="00643EBC" w:rsidP="00EB32FA">
            <w:pPr>
              <w:pStyle w:val="Normalnumbered"/>
              <w:numPr>
                <w:ilvl w:val="0"/>
                <w:numId w:val="15"/>
              </w:numPr>
              <w:spacing w:after="40"/>
              <w:ind w:left="221" w:hanging="221"/>
              <w:jc w:val="left"/>
              <w:rPr>
                <w:color w:val="auto"/>
                <w:sz w:val="22"/>
                <w:szCs w:val="22"/>
              </w:rPr>
            </w:pPr>
            <w:r>
              <w:rPr>
                <w:color w:val="auto"/>
                <w:sz w:val="22"/>
                <w:szCs w:val="22"/>
              </w:rPr>
              <w:t>Main Pit tailings geochemical and geotechnical review;</w:t>
            </w:r>
          </w:p>
          <w:p w14:paraId="2308B9F9" w14:textId="77777777" w:rsidR="00643EBC" w:rsidRDefault="00643EBC" w:rsidP="00EB32FA">
            <w:pPr>
              <w:pStyle w:val="Normalnumbered"/>
              <w:numPr>
                <w:ilvl w:val="0"/>
                <w:numId w:val="15"/>
              </w:numPr>
              <w:spacing w:after="40"/>
              <w:ind w:left="221" w:hanging="221"/>
              <w:jc w:val="left"/>
              <w:rPr>
                <w:color w:val="auto"/>
                <w:sz w:val="22"/>
                <w:szCs w:val="22"/>
              </w:rPr>
            </w:pPr>
            <w:r>
              <w:rPr>
                <w:color w:val="auto"/>
                <w:sz w:val="22"/>
                <w:szCs w:val="22"/>
              </w:rPr>
              <w:t xml:space="preserve">flood modelling peer review; and </w:t>
            </w:r>
          </w:p>
          <w:p w14:paraId="20D339E9" w14:textId="77777777" w:rsidR="00643EBC" w:rsidRPr="004C01C6" w:rsidRDefault="00643EBC" w:rsidP="00EB32FA">
            <w:pPr>
              <w:pStyle w:val="Normalnumbered"/>
              <w:numPr>
                <w:ilvl w:val="0"/>
                <w:numId w:val="15"/>
              </w:numPr>
              <w:spacing w:after="40"/>
              <w:ind w:left="221" w:hanging="221"/>
              <w:jc w:val="left"/>
              <w:rPr>
                <w:color w:val="auto"/>
                <w:sz w:val="22"/>
                <w:szCs w:val="22"/>
              </w:rPr>
            </w:pPr>
            <w:r>
              <w:rPr>
                <w:color w:val="auto"/>
                <w:sz w:val="22"/>
                <w:szCs w:val="22"/>
              </w:rPr>
              <w:t>pit fac</w:t>
            </w:r>
            <w:r w:rsidR="00442820">
              <w:rPr>
                <w:color w:val="auto"/>
                <w:sz w:val="22"/>
                <w:szCs w:val="22"/>
              </w:rPr>
              <w:t>e</w:t>
            </w:r>
            <w:r>
              <w:rPr>
                <w:color w:val="auto"/>
                <w:sz w:val="22"/>
                <w:szCs w:val="22"/>
              </w:rPr>
              <w:t xml:space="preserve"> drilling and concept pit dewatering strategy. </w:t>
            </w:r>
          </w:p>
        </w:tc>
        <w:tc>
          <w:tcPr>
            <w:tcW w:w="1326" w:type="dxa"/>
            <w:vMerge w:val="restart"/>
            <w:vAlign w:val="center"/>
          </w:tcPr>
          <w:p w14:paraId="626158D0" w14:textId="77777777" w:rsidR="00643EBC" w:rsidRPr="003265CA" w:rsidRDefault="00643EBC" w:rsidP="00B667C9">
            <w:pPr>
              <w:pStyle w:val="Normalnumbered"/>
              <w:numPr>
                <w:ilvl w:val="0"/>
                <w:numId w:val="0"/>
              </w:numPr>
              <w:spacing w:after="40"/>
              <w:jc w:val="left"/>
              <w:rPr>
                <w:color w:val="auto"/>
                <w:sz w:val="22"/>
                <w:szCs w:val="22"/>
              </w:rPr>
            </w:pPr>
            <w:r>
              <w:rPr>
                <w:color w:val="auto"/>
                <w:sz w:val="22"/>
                <w:szCs w:val="22"/>
              </w:rPr>
              <w:t>15 May 2019</w:t>
            </w:r>
          </w:p>
        </w:tc>
        <w:tc>
          <w:tcPr>
            <w:tcW w:w="2096" w:type="dxa"/>
            <w:vMerge w:val="restart"/>
            <w:vAlign w:val="center"/>
          </w:tcPr>
          <w:p w14:paraId="4B99141B" w14:textId="77777777" w:rsidR="00643EBC" w:rsidRPr="00276D01" w:rsidRDefault="00643EBC" w:rsidP="00B667C9">
            <w:pPr>
              <w:pStyle w:val="Normalnumbered"/>
              <w:numPr>
                <w:ilvl w:val="0"/>
                <w:numId w:val="0"/>
              </w:numPr>
              <w:spacing w:after="40"/>
              <w:jc w:val="left"/>
              <w:rPr>
                <w:color w:val="auto"/>
                <w:sz w:val="22"/>
                <w:szCs w:val="22"/>
              </w:rPr>
            </w:pPr>
            <w:r w:rsidRPr="00276D01">
              <w:rPr>
                <w:color w:val="auto"/>
                <w:sz w:val="22"/>
                <w:szCs w:val="22"/>
              </w:rPr>
              <w:t>$</w:t>
            </w:r>
            <w:r>
              <w:rPr>
                <w:color w:val="auto"/>
                <w:sz w:val="22"/>
                <w:szCs w:val="22"/>
              </w:rPr>
              <w:t>2,500,000</w:t>
            </w:r>
          </w:p>
        </w:tc>
      </w:tr>
      <w:tr w:rsidR="00643EBC" w14:paraId="30C37787" w14:textId="77777777" w:rsidTr="00D23543">
        <w:tc>
          <w:tcPr>
            <w:tcW w:w="2217" w:type="dxa"/>
            <w:vMerge/>
            <w:vAlign w:val="center"/>
          </w:tcPr>
          <w:p w14:paraId="3C38E29E" w14:textId="77777777" w:rsidR="00643EBC" w:rsidRDefault="00643EBC" w:rsidP="00B667C9">
            <w:pPr>
              <w:pStyle w:val="Normalnumbered"/>
              <w:numPr>
                <w:ilvl w:val="0"/>
                <w:numId w:val="0"/>
              </w:numPr>
              <w:spacing w:after="40"/>
              <w:jc w:val="left"/>
              <w:rPr>
                <w:color w:val="auto"/>
                <w:sz w:val="22"/>
                <w:szCs w:val="22"/>
              </w:rPr>
            </w:pPr>
          </w:p>
        </w:tc>
        <w:tc>
          <w:tcPr>
            <w:tcW w:w="3881" w:type="dxa"/>
          </w:tcPr>
          <w:p w14:paraId="6D5A940C" w14:textId="77777777" w:rsidR="00643EBC" w:rsidRDefault="00643EBC" w:rsidP="00B667C9">
            <w:pPr>
              <w:pStyle w:val="Normalnumbered"/>
              <w:numPr>
                <w:ilvl w:val="0"/>
                <w:numId w:val="0"/>
              </w:numPr>
              <w:spacing w:after="40"/>
              <w:rPr>
                <w:color w:val="auto"/>
                <w:sz w:val="22"/>
                <w:szCs w:val="22"/>
              </w:rPr>
            </w:pPr>
            <w:r>
              <w:rPr>
                <w:color w:val="auto"/>
                <w:sz w:val="22"/>
                <w:szCs w:val="22"/>
              </w:rPr>
              <w:t xml:space="preserve">Finalise: </w:t>
            </w:r>
          </w:p>
          <w:p w14:paraId="46EE8998" w14:textId="77777777" w:rsidR="00643EBC" w:rsidRDefault="00643EBC" w:rsidP="00EB32FA">
            <w:pPr>
              <w:pStyle w:val="Normalnumbered"/>
              <w:numPr>
                <w:ilvl w:val="0"/>
                <w:numId w:val="15"/>
              </w:numPr>
              <w:spacing w:after="40"/>
              <w:ind w:left="219" w:hanging="219"/>
              <w:jc w:val="left"/>
              <w:rPr>
                <w:color w:val="auto"/>
                <w:sz w:val="22"/>
                <w:szCs w:val="22"/>
              </w:rPr>
            </w:pPr>
            <w:r>
              <w:rPr>
                <w:color w:val="auto"/>
                <w:sz w:val="22"/>
                <w:szCs w:val="22"/>
              </w:rPr>
              <w:t xml:space="preserve">baseline air quality, noise and vibration monitoring report; </w:t>
            </w:r>
          </w:p>
          <w:p w14:paraId="48216229" w14:textId="77777777" w:rsidR="00643EBC" w:rsidRDefault="00643EBC" w:rsidP="00EB32FA">
            <w:pPr>
              <w:pStyle w:val="Normalnumbered"/>
              <w:numPr>
                <w:ilvl w:val="0"/>
                <w:numId w:val="15"/>
              </w:numPr>
              <w:spacing w:after="40"/>
              <w:ind w:left="219" w:hanging="219"/>
              <w:jc w:val="left"/>
              <w:rPr>
                <w:color w:val="auto"/>
                <w:sz w:val="22"/>
                <w:szCs w:val="22"/>
              </w:rPr>
            </w:pPr>
            <w:r>
              <w:rPr>
                <w:color w:val="auto"/>
                <w:sz w:val="22"/>
                <w:szCs w:val="22"/>
              </w:rPr>
              <w:t>visual amenity assessment report;</w:t>
            </w:r>
          </w:p>
          <w:p w14:paraId="43BFA5D9" w14:textId="77777777" w:rsidR="00643EBC" w:rsidRDefault="00643EBC" w:rsidP="00EB32FA">
            <w:pPr>
              <w:pStyle w:val="Normalnumbered"/>
              <w:numPr>
                <w:ilvl w:val="0"/>
                <w:numId w:val="15"/>
              </w:numPr>
              <w:spacing w:after="40"/>
              <w:ind w:left="219" w:hanging="219"/>
              <w:jc w:val="left"/>
              <w:rPr>
                <w:color w:val="auto"/>
                <w:sz w:val="22"/>
                <w:szCs w:val="22"/>
              </w:rPr>
            </w:pPr>
            <w:r>
              <w:rPr>
                <w:color w:val="auto"/>
                <w:sz w:val="22"/>
                <w:szCs w:val="22"/>
              </w:rPr>
              <w:t xml:space="preserve">multi-criteria assessment of design options and alternatives; </w:t>
            </w:r>
          </w:p>
          <w:p w14:paraId="2A4A3F57" w14:textId="77777777" w:rsidR="00643EBC" w:rsidRDefault="00643EBC" w:rsidP="00EB32FA">
            <w:pPr>
              <w:pStyle w:val="Normalnumbered"/>
              <w:numPr>
                <w:ilvl w:val="0"/>
                <w:numId w:val="15"/>
              </w:numPr>
              <w:spacing w:after="40"/>
              <w:ind w:left="219" w:hanging="219"/>
              <w:jc w:val="left"/>
              <w:rPr>
                <w:color w:val="auto"/>
                <w:sz w:val="22"/>
                <w:szCs w:val="22"/>
              </w:rPr>
            </w:pPr>
            <w:r>
              <w:rPr>
                <w:color w:val="auto"/>
                <w:sz w:val="22"/>
                <w:szCs w:val="22"/>
              </w:rPr>
              <w:t xml:space="preserve">in-field waste characterisation and segregation program; </w:t>
            </w:r>
          </w:p>
          <w:p w14:paraId="7D6CA759" w14:textId="77777777" w:rsidR="00643EBC" w:rsidRDefault="00643EBC" w:rsidP="00EB32FA">
            <w:pPr>
              <w:pStyle w:val="Normalnumbered"/>
              <w:numPr>
                <w:ilvl w:val="0"/>
                <w:numId w:val="15"/>
              </w:numPr>
              <w:spacing w:after="40"/>
              <w:ind w:left="219" w:hanging="219"/>
              <w:jc w:val="left"/>
              <w:rPr>
                <w:color w:val="auto"/>
                <w:sz w:val="22"/>
                <w:szCs w:val="22"/>
              </w:rPr>
            </w:pPr>
            <w:r>
              <w:rPr>
                <w:color w:val="auto"/>
                <w:sz w:val="22"/>
                <w:szCs w:val="22"/>
              </w:rPr>
              <w:t>engineering design for water management and access during construction; and</w:t>
            </w:r>
          </w:p>
          <w:p w14:paraId="4C5CEAC1" w14:textId="77777777" w:rsidR="00643EBC" w:rsidRDefault="00643EBC" w:rsidP="00EB32FA">
            <w:pPr>
              <w:pStyle w:val="Normalnumbered"/>
              <w:numPr>
                <w:ilvl w:val="0"/>
                <w:numId w:val="15"/>
              </w:numPr>
              <w:spacing w:after="40"/>
              <w:ind w:left="219" w:hanging="219"/>
              <w:jc w:val="left"/>
              <w:rPr>
                <w:color w:val="auto"/>
                <w:sz w:val="22"/>
                <w:szCs w:val="22"/>
              </w:rPr>
            </w:pPr>
            <w:r>
              <w:rPr>
                <w:color w:val="auto"/>
                <w:sz w:val="22"/>
                <w:szCs w:val="22"/>
              </w:rPr>
              <w:t xml:space="preserve">engineering design for water treatment plant. </w:t>
            </w:r>
          </w:p>
        </w:tc>
        <w:tc>
          <w:tcPr>
            <w:tcW w:w="1326" w:type="dxa"/>
            <w:vMerge/>
          </w:tcPr>
          <w:p w14:paraId="23A6DDD5" w14:textId="77777777" w:rsidR="00643EBC" w:rsidRPr="003265CA" w:rsidRDefault="00643EBC" w:rsidP="00B667C9">
            <w:pPr>
              <w:pStyle w:val="Normalnumbered"/>
              <w:numPr>
                <w:ilvl w:val="0"/>
                <w:numId w:val="0"/>
              </w:numPr>
              <w:spacing w:after="40"/>
              <w:rPr>
                <w:color w:val="auto"/>
                <w:sz w:val="22"/>
                <w:szCs w:val="22"/>
              </w:rPr>
            </w:pPr>
          </w:p>
        </w:tc>
        <w:tc>
          <w:tcPr>
            <w:tcW w:w="2096" w:type="dxa"/>
            <w:vMerge/>
          </w:tcPr>
          <w:p w14:paraId="5399078C" w14:textId="77777777" w:rsidR="00643EBC" w:rsidRPr="00276D01" w:rsidRDefault="00643EBC" w:rsidP="00B667C9">
            <w:pPr>
              <w:pStyle w:val="Normalnumbered"/>
              <w:numPr>
                <w:ilvl w:val="0"/>
                <w:numId w:val="0"/>
              </w:numPr>
              <w:spacing w:after="40"/>
              <w:rPr>
                <w:color w:val="auto"/>
                <w:sz w:val="22"/>
                <w:szCs w:val="22"/>
              </w:rPr>
            </w:pPr>
          </w:p>
        </w:tc>
      </w:tr>
      <w:tr w:rsidR="00643EBC" w14:paraId="6A341DF7" w14:textId="77777777" w:rsidTr="00393B02">
        <w:tc>
          <w:tcPr>
            <w:tcW w:w="2217" w:type="dxa"/>
            <w:vMerge/>
            <w:vAlign w:val="center"/>
          </w:tcPr>
          <w:p w14:paraId="55CD3E93" w14:textId="77777777" w:rsidR="00643EBC" w:rsidRDefault="00643EBC" w:rsidP="003C7870">
            <w:pPr>
              <w:pStyle w:val="Normalnumbered"/>
              <w:numPr>
                <w:ilvl w:val="0"/>
                <w:numId w:val="0"/>
              </w:numPr>
              <w:spacing w:after="40"/>
              <w:jc w:val="left"/>
              <w:rPr>
                <w:color w:val="auto"/>
                <w:sz w:val="22"/>
                <w:szCs w:val="22"/>
              </w:rPr>
            </w:pPr>
          </w:p>
        </w:tc>
        <w:tc>
          <w:tcPr>
            <w:tcW w:w="3881" w:type="dxa"/>
          </w:tcPr>
          <w:p w14:paraId="3DE660A6" w14:textId="77777777" w:rsidR="00643EBC" w:rsidRDefault="00643EBC" w:rsidP="003C7870">
            <w:pPr>
              <w:pStyle w:val="Normalnumbered"/>
              <w:numPr>
                <w:ilvl w:val="0"/>
                <w:numId w:val="0"/>
              </w:numPr>
              <w:spacing w:after="40"/>
              <w:rPr>
                <w:color w:val="auto"/>
                <w:sz w:val="22"/>
                <w:szCs w:val="22"/>
              </w:rPr>
            </w:pPr>
            <w:r>
              <w:rPr>
                <w:color w:val="auto"/>
                <w:sz w:val="22"/>
                <w:szCs w:val="22"/>
              </w:rPr>
              <w:t>Update groundwater and contaminant fate models and report on scenarios</w:t>
            </w:r>
          </w:p>
        </w:tc>
        <w:tc>
          <w:tcPr>
            <w:tcW w:w="1326" w:type="dxa"/>
            <w:vMerge/>
          </w:tcPr>
          <w:p w14:paraId="4A169293" w14:textId="77777777" w:rsidR="00643EBC" w:rsidRPr="003265CA" w:rsidRDefault="00643EBC" w:rsidP="003C7870">
            <w:pPr>
              <w:pStyle w:val="Normalnumbered"/>
              <w:numPr>
                <w:ilvl w:val="0"/>
                <w:numId w:val="0"/>
              </w:numPr>
              <w:spacing w:after="40"/>
              <w:rPr>
                <w:color w:val="auto"/>
                <w:sz w:val="22"/>
                <w:szCs w:val="22"/>
              </w:rPr>
            </w:pPr>
          </w:p>
        </w:tc>
        <w:tc>
          <w:tcPr>
            <w:tcW w:w="2096" w:type="dxa"/>
            <w:vMerge/>
          </w:tcPr>
          <w:p w14:paraId="5F01FC2C" w14:textId="77777777" w:rsidR="00643EBC" w:rsidRDefault="00643EBC" w:rsidP="003C7870">
            <w:pPr>
              <w:pStyle w:val="Normalnumbered"/>
              <w:numPr>
                <w:ilvl w:val="0"/>
                <w:numId w:val="0"/>
              </w:numPr>
              <w:spacing w:after="40"/>
              <w:rPr>
                <w:b/>
                <w:color w:val="auto"/>
                <w:sz w:val="22"/>
                <w:szCs w:val="22"/>
              </w:rPr>
            </w:pPr>
          </w:p>
        </w:tc>
      </w:tr>
      <w:tr w:rsidR="00BA37BE" w14:paraId="2639D7FE" w14:textId="77777777" w:rsidTr="00393B02">
        <w:tc>
          <w:tcPr>
            <w:tcW w:w="2217" w:type="dxa"/>
            <w:vMerge w:val="restart"/>
            <w:vAlign w:val="center"/>
          </w:tcPr>
          <w:p w14:paraId="6C6E81D7" w14:textId="77777777" w:rsidR="00BA37BE" w:rsidRDefault="00BA37BE" w:rsidP="005A2981">
            <w:pPr>
              <w:pStyle w:val="Normalnumbered"/>
              <w:numPr>
                <w:ilvl w:val="0"/>
                <w:numId w:val="0"/>
              </w:numPr>
              <w:spacing w:after="40"/>
              <w:jc w:val="left"/>
              <w:rPr>
                <w:color w:val="auto"/>
                <w:sz w:val="22"/>
                <w:szCs w:val="22"/>
              </w:rPr>
            </w:pPr>
            <w:r>
              <w:rPr>
                <w:color w:val="auto"/>
                <w:sz w:val="22"/>
                <w:szCs w:val="22"/>
              </w:rPr>
              <w:t>Rum Jungle Creek South cover system</w:t>
            </w:r>
          </w:p>
        </w:tc>
        <w:tc>
          <w:tcPr>
            <w:tcW w:w="3881" w:type="dxa"/>
          </w:tcPr>
          <w:p w14:paraId="667811A2" w14:textId="77777777" w:rsidR="00BA37BE" w:rsidRDefault="00BA37BE" w:rsidP="005A2981">
            <w:pPr>
              <w:pStyle w:val="Normalnumbered"/>
              <w:numPr>
                <w:ilvl w:val="0"/>
                <w:numId w:val="0"/>
              </w:numPr>
              <w:spacing w:after="40"/>
              <w:rPr>
                <w:color w:val="auto"/>
                <w:sz w:val="22"/>
                <w:szCs w:val="22"/>
              </w:rPr>
            </w:pPr>
            <w:r>
              <w:rPr>
                <w:color w:val="auto"/>
                <w:sz w:val="22"/>
                <w:szCs w:val="22"/>
              </w:rPr>
              <w:t>Finalise design requirements (technical specifications and drawings) with independent review</w:t>
            </w:r>
          </w:p>
        </w:tc>
        <w:tc>
          <w:tcPr>
            <w:tcW w:w="1326" w:type="dxa"/>
            <w:vMerge/>
          </w:tcPr>
          <w:p w14:paraId="27496FDC" w14:textId="77777777" w:rsidR="00BA37BE" w:rsidRPr="003265CA" w:rsidRDefault="00BA37BE" w:rsidP="005A2981">
            <w:pPr>
              <w:pStyle w:val="Normalnumbered"/>
              <w:numPr>
                <w:ilvl w:val="0"/>
                <w:numId w:val="0"/>
              </w:numPr>
              <w:spacing w:after="40"/>
              <w:rPr>
                <w:color w:val="auto"/>
                <w:sz w:val="22"/>
                <w:szCs w:val="22"/>
              </w:rPr>
            </w:pPr>
          </w:p>
        </w:tc>
        <w:tc>
          <w:tcPr>
            <w:tcW w:w="2096" w:type="dxa"/>
            <w:vMerge/>
          </w:tcPr>
          <w:p w14:paraId="47551600" w14:textId="77777777" w:rsidR="00BA37BE" w:rsidRDefault="00BA37BE" w:rsidP="005A2981">
            <w:pPr>
              <w:pStyle w:val="Normalnumbered"/>
              <w:numPr>
                <w:ilvl w:val="0"/>
                <w:numId w:val="0"/>
              </w:numPr>
              <w:spacing w:after="40"/>
              <w:rPr>
                <w:b/>
                <w:color w:val="auto"/>
                <w:sz w:val="22"/>
                <w:szCs w:val="22"/>
              </w:rPr>
            </w:pPr>
          </w:p>
        </w:tc>
      </w:tr>
      <w:tr w:rsidR="00BA37BE" w14:paraId="175930DD" w14:textId="77777777" w:rsidTr="00393B02">
        <w:tc>
          <w:tcPr>
            <w:tcW w:w="2217" w:type="dxa"/>
            <w:vMerge/>
            <w:vAlign w:val="center"/>
          </w:tcPr>
          <w:p w14:paraId="141FE486" w14:textId="77777777" w:rsidR="00BA37BE" w:rsidRDefault="00BA37BE" w:rsidP="003C7870">
            <w:pPr>
              <w:pStyle w:val="Normalnumbered"/>
              <w:spacing w:after="40"/>
              <w:ind w:left="0"/>
              <w:jc w:val="left"/>
              <w:rPr>
                <w:color w:val="auto"/>
                <w:sz w:val="22"/>
                <w:szCs w:val="22"/>
              </w:rPr>
            </w:pPr>
          </w:p>
        </w:tc>
        <w:tc>
          <w:tcPr>
            <w:tcW w:w="3881" w:type="dxa"/>
          </w:tcPr>
          <w:p w14:paraId="268E9377" w14:textId="77777777" w:rsidR="00BA37BE" w:rsidRDefault="00BA37BE" w:rsidP="005A2981">
            <w:pPr>
              <w:pStyle w:val="Normalnumbered"/>
              <w:numPr>
                <w:ilvl w:val="0"/>
                <w:numId w:val="0"/>
              </w:numPr>
              <w:spacing w:after="40"/>
              <w:rPr>
                <w:color w:val="auto"/>
                <w:sz w:val="22"/>
                <w:szCs w:val="22"/>
              </w:rPr>
            </w:pPr>
            <w:r>
              <w:rPr>
                <w:color w:val="auto"/>
                <w:sz w:val="22"/>
                <w:szCs w:val="22"/>
              </w:rPr>
              <w:t>Finalise Radiation Management Plan (RMP) for works</w:t>
            </w:r>
          </w:p>
        </w:tc>
        <w:tc>
          <w:tcPr>
            <w:tcW w:w="1326" w:type="dxa"/>
            <w:vMerge/>
          </w:tcPr>
          <w:p w14:paraId="46BC0B34" w14:textId="77777777" w:rsidR="00BA37BE" w:rsidRPr="003265CA" w:rsidRDefault="00BA37BE" w:rsidP="005A2981">
            <w:pPr>
              <w:pStyle w:val="Normalnumbered"/>
              <w:numPr>
                <w:ilvl w:val="0"/>
                <w:numId w:val="0"/>
              </w:numPr>
              <w:spacing w:after="40"/>
              <w:rPr>
                <w:color w:val="auto"/>
                <w:sz w:val="22"/>
                <w:szCs w:val="22"/>
              </w:rPr>
            </w:pPr>
          </w:p>
        </w:tc>
        <w:tc>
          <w:tcPr>
            <w:tcW w:w="2096" w:type="dxa"/>
            <w:vMerge/>
          </w:tcPr>
          <w:p w14:paraId="3706B4F7" w14:textId="77777777" w:rsidR="00BA37BE" w:rsidRDefault="00BA37BE" w:rsidP="005A2981">
            <w:pPr>
              <w:pStyle w:val="Normalnumbered"/>
              <w:numPr>
                <w:ilvl w:val="0"/>
                <w:numId w:val="0"/>
              </w:numPr>
              <w:spacing w:after="40"/>
              <w:rPr>
                <w:b/>
                <w:color w:val="auto"/>
                <w:sz w:val="22"/>
                <w:szCs w:val="22"/>
              </w:rPr>
            </w:pPr>
          </w:p>
        </w:tc>
      </w:tr>
      <w:tr w:rsidR="00BA37BE" w14:paraId="194C9909" w14:textId="77777777" w:rsidTr="00393B02">
        <w:tc>
          <w:tcPr>
            <w:tcW w:w="2217" w:type="dxa"/>
            <w:vMerge/>
            <w:vAlign w:val="center"/>
          </w:tcPr>
          <w:p w14:paraId="53B44C8D" w14:textId="77777777" w:rsidR="00BA37BE" w:rsidRDefault="00BA37BE" w:rsidP="003C7870">
            <w:pPr>
              <w:pStyle w:val="Normalnumbered"/>
              <w:spacing w:after="40"/>
              <w:ind w:left="0"/>
              <w:jc w:val="left"/>
              <w:rPr>
                <w:color w:val="auto"/>
                <w:sz w:val="22"/>
                <w:szCs w:val="22"/>
              </w:rPr>
            </w:pPr>
          </w:p>
        </w:tc>
        <w:tc>
          <w:tcPr>
            <w:tcW w:w="3881" w:type="dxa"/>
          </w:tcPr>
          <w:p w14:paraId="46E994E3" w14:textId="77777777" w:rsidR="00BA37BE" w:rsidRDefault="00BA37BE" w:rsidP="005A2981">
            <w:pPr>
              <w:pStyle w:val="Normalnumbered"/>
              <w:numPr>
                <w:ilvl w:val="0"/>
                <w:numId w:val="0"/>
              </w:numPr>
              <w:spacing w:after="40"/>
              <w:rPr>
                <w:color w:val="auto"/>
                <w:sz w:val="22"/>
                <w:szCs w:val="22"/>
              </w:rPr>
            </w:pPr>
            <w:r>
              <w:rPr>
                <w:color w:val="auto"/>
                <w:sz w:val="22"/>
                <w:szCs w:val="22"/>
              </w:rPr>
              <w:t>Complete traditional Aboriginal owner employment plan</w:t>
            </w:r>
          </w:p>
        </w:tc>
        <w:tc>
          <w:tcPr>
            <w:tcW w:w="1326" w:type="dxa"/>
            <w:vMerge/>
          </w:tcPr>
          <w:p w14:paraId="0A01B63D" w14:textId="77777777" w:rsidR="00BA37BE" w:rsidRPr="003265CA" w:rsidRDefault="00BA37BE" w:rsidP="005A2981">
            <w:pPr>
              <w:pStyle w:val="Normalnumbered"/>
              <w:numPr>
                <w:ilvl w:val="0"/>
                <w:numId w:val="0"/>
              </w:numPr>
              <w:spacing w:after="40"/>
              <w:rPr>
                <w:color w:val="auto"/>
                <w:sz w:val="22"/>
                <w:szCs w:val="22"/>
              </w:rPr>
            </w:pPr>
          </w:p>
        </w:tc>
        <w:tc>
          <w:tcPr>
            <w:tcW w:w="2096" w:type="dxa"/>
            <w:vMerge/>
          </w:tcPr>
          <w:p w14:paraId="7EB8F99B" w14:textId="77777777" w:rsidR="00BA37BE" w:rsidRDefault="00BA37BE" w:rsidP="005A2981">
            <w:pPr>
              <w:pStyle w:val="Normalnumbered"/>
              <w:numPr>
                <w:ilvl w:val="0"/>
                <w:numId w:val="0"/>
              </w:numPr>
              <w:spacing w:after="40"/>
              <w:rPr>
                <w:b/>
                <w:color w:val="auto"/>
                <w:sz w:val="22"/>
                <w:szCs w:val="22"/>
              </w:rPr>
            </w:pPr>
          </w:p>
        </w:tc>
      </w:tr>
      <w:tr w:rsidR="00BA37BE" w14:paraId="571314B8" w14:textId="77777777" w:rsidTr="00393B02">
        <w:tc>
          <w:tcPr>
            <w:tcW w:w="2217" w:type="dxa"/>
            <w:vMerge/>
            <w:vAlign w:val="center"/>
          </w:tcPr>
          <w:p w14:paraId="2A97AD23" w14:textId="77777777" w:rsidR="00BA37BE" w:rsidRDefault="00BA37BE" w:rsidP="003C7870">
            <w:pPr>
              <w:pStyle w:val="Normalnumbered"/>
              <w:numPr>
                <w:ilvl w:val="0"/>
                <w:numId w:val="0"/>
              </w:numPr>
              <w:spacing w:after="40"/>
              <w:jc w:val="left"/>
              <w:rPr>
                <w:color w:val="auto"/>
                <w:sz w:val="22"/>
                <w:szCs w:val="22"/>
              </w:rPr>
            </w:pPr>
          </w:p>
        </w:tc>
        <w:tc>
          <w:tcPr>
            <w:tcW w:w="3881" w:type="dxa"/>
          </w:tcPr>
          <w:p w14:paraId="17D9DA67" w14:textId="77777777" w:rsidR="00BA37BE" w:rsidRDefault="00BA37BE" w:rsidP="005A2981">
            <w:pPr>
              <w:pStyle w:val="Normalnumbered"/>
              <w:numPr>
                <w:ilvl w:val="0"/>
                <w:numId w:val="0"/>
              </w:numPr>
              <w:spacing w:after="40"/>
              <w:rPr>
                <w:color w:val="auto"/>
                <w:sz w:val="22"/>
                <w:szCs w:val="22"/>
              </w:rPr>
            </w:pPr>
            <w:r>
              <w:rPr>
                <w:color w:val="auto"/>
                <w:sz w:val="22"/>
                <w:szCs w:val="22"/>
              </w:rPr>
              <w:t>Complete site maintenance activities (including native seed collection)</w:t>
            </w:r>
          </w:p>
        </w:tc>
        <w:tc>
          <w:tcPr>
            <w:tcW w:w="1326" w:type="dxa"/>
            <w:vMerge/>
          </w:tcPr>
          <w:p w14:paraId="1B9C6E39" w14:textId="77777777" w:rsidR="00BA37BE" w:rsidRPr="00CA2619" w:rsidRDefault="00BA37BE" w:rsidP="005A2981">
            <w:pPr>
              <w:pStyle w:val="Normalnumbered"/>
              <w:numPr>
                <w:ilvl w:val="0"/>
                <w:numId w:val="0"/>
              </w:numPr>
              <w:spacing w:after="40"/>
              <w:rPr>
                <w:b/>
                <w:color w:val="auto"/>
                <w:sz w:val="22"/>
                <w:szCs w:val="22"/>
              </w:rPr>
            </w:pPr>
          </w:p>
        </w:tc>
        <w:tc>
          <w:tcPr>
            <w:tcW w:w="2096" w:type="dxa"/>
            <w:vMerge/>
          </w:tcPr>
          <w:p w14:paraId="5B3D3B26" w14:textId="77777777" w:rsidR="00BA37BE" w:rsidRDefault="00BA37BE" w:rsidP="005A2981">
            <w:pPr>
              <w:pStyle w:val="Normalnumbered"/>
              <w:numPr>
                <w:ilvl w:val="0"/>
                <w:numId w:val="0"/>
              </w:numPr>
              <w:spacing w:after="40"/>
              <w:rPr>
                <w:b/>
                <w:color w:val="auto"/>
                <w:sz w:val="22"/>
                <w:szCs w:val="22"/>
              </w:rPr>
            </w:pPr>
          </w:p>
        </w:tc>
      </w:tr>
      <w:tr w:rsidR="00BA37BE" w14:paraId="16281F34" w14:textId="77777777" w:rsidTr="00EB32FA">
        <w:tc>
          <w:tcPr>
            <w:tcW w:w="2217" w:type="dxa"/>
            <w:vAlign w:val="center"/>
          </w:tcPr>
          <w:p w14:paraId="120EB09C" w14:textId="77777777" w:rsidR="00BA37BE" w:rsidRDefault="00BA37BE" w:rsidP="00B667C9">
            <w:pPr>
              <w:pStyle w:val="Normalnumbered"/>
              <w:numPr>
                <w:ilvl w:val="0"/>
                <w:numId w:val="0"/>
              </w:numPr>
              <w:spacing w:after="40"/>
              <w:jc w:val="left"/>
              <w:rPr>
                <w:color w:val="auto"/>
                <w:sz w:val="22"/>
                <w:szCs w:val="22"/>
              </w:rPr>
            </w:pPr>
            <w:r>
              <w:rPr>
                <w:color w:val="auto"/>
                <w:sz w:val="22"/>
                <w:szCs w:val="22"/>
              </w:rPr>
              <w:t>Site management, maintenance and environmental monitoring activities</w:t>
            </w:r>
          </w:p>
        </w:tc>
        <w:tc>
          <w:tcPr>
            <w:tcW w:w="3881" w:type="dxa"/>
            <w:vAlign w:val="center"/>
          </w:tcPr>
          <w:p w14:paraId="589A1B60" w14:textId="77777777" w:rsidR="00BA37BE" w:rsidRDefault="00BA37BE" w:rsidP="00EB32FA">
            <w:pPr>
              <w:pStyle w:val="Normalnumbered"/>
              <w:numPr>
                <w:ilvl w:val="0"/>
                <w:numId w:val="0"/>
              </w:numPr>
              <w:spacing w:after="40"/>
              <w:jc w:val="left"/>
              <w:rPr>
                <w:color w:val="auto"/>
                <w:sz w:val="22"/>
                <w:szCs w:val="22"/>
              </w:rPr>
            </w:pPr>
            <w:r>
              <w:rPr>
                <w:color w:val="auto"/>
                <w:sz w:val="22"/>
                <w:szCs w:val="22"/>
              </w:rPr>
              <w:t>Complete annual maintenance earthworks, site security, fire control, and weed management and control</w:t>
            </w:r>
          </w:p>
        </w:tc>
        <w:tc>
          <w:tcPr>
            <w:tcW w:w="1326" w:type="dxa"/>
            <w:vMerge/>
          </w:tcPr>
          <w:p w14:paraId="2B190F63" w14:textId="77777777" w:rsidR="00BA37BE" w:rsidRPr="00CA2619" w:rsidRDefault="00BA37BE" w:rsidP="003C7870">
            <w:pPr>
              <w:pStyle w:val="Normalnumbered"/>
              <w:numPr>
                <w:ilvl w:val="0"/>
                <w:numId w:val="0"/>
              </w:numPr>
              <w:spacing w:after="40"/>
              <w:rPr>
                <w:b/>
                <w:color w:val="auto"/>
                <w:sz w:val="22"/>
                <w:szCs w:val="22"/>
              </w:rPr>
            </w:pPr>
          </w:p>
        </w:tc>
        <w:tc>
          <w:tcPr>
            <w:tcW w:w="2096" w:type="dxa"/>
            <w:vMerge/>
          </w:tcPr>
          <w:p w14:paraId="7B7016D0" w14:textId="77777777" w:rsidR="00BA37BE" w:rsidRDefault="00BA37BE" w:rsidP="003C7870">
            <w:pPr>
              <w:pStyle w:val="Normalnumbered"/>
              <w:numPr>
                <w:ilvl w:val="0"/>
                <w:numId w:val="0"/>
              </w:numPr>
              <w:spacing w:after="40"/>
              <w:rPr>
                <w:b/>
                <w:color w:val="auto"/>
                <w:sz w:val="22"/>
                <w:szCs w:val="22"/>
              </w:rPr>
            </w:pPr>
          </w:p>
        </w:tc>
      </w:tr>
      <w:tr w:rsidR="00BA37BE" w14:paraId="335D6464" w14:textId="77777777" w:rsidTr="00B667C9">
        <w:tc>
          <w:tcPr>
            <w:tcW w:w="2217" w:type="dxa"/>
            <w:vAlign w:val="center"/>
          </w:tcPr>
          <w:p w14:paraId="1C41C843" w14:textId="77777777" w:rsidR="00BA37BE" w:rsidRDefault="00BA37BE" w:rsidP="00B667C9">
            <w:pPr>
              <w:pStyle w:val="Normalnumbered"/>
              <w:numPr>
                <w:ilvl w:val="0"/>
                <w:numId w:val="0"/>
              </w:numPr>
              <w:spacing w:after="40"/>
              <w:jc w:val="left"/>
              <w:rPr>
                <w:color w:val="auto"/>
                <w:sz w:val="22"/>
                <w:szCs w:val="22"/>
              </w:rPr>
            </w:pPr>
            <w:r>
              <w:rPr>
                <w:color w:val="auto"/>
                <w:sz w:val="22"/>
                <w:szCs w:val="22"/>
              </w:rPr>
              <w:t>Stakeholder engagement</w:t>
            </w:r>
          </w:p>
        </w:tc>
        <w:tc>
          <w:tcPr>
            <w:tcW w:w="3881" w:type="dxa"/>
          </w:tcPr>
          <w:p w14:paraId="22AC78ED" w14:textId="77777777" w:rsidR="00BA37BE" w:rsidRDefault="00BA37BE" w:rsidP="00B667C9">
            <w:pPr>
              <w:pStyle w:val="Normalnumbered"/>
              <w:numPr>
                <w:ilvl w:val="0"/>
                <w:numId w:val="0"/>
              </w:numPr>
              <w:spacing w:after="40"/>
              <w:rPr>
                <w:color w:val="auto"/>
                <w:sz w:val="22"/>
                <w:szCs w:val="22"/>
              </w:rPr>
            </w:pPr>
            <w:r>
              <w:rPr>
                <w:color w:val="auto"/>
                <w:sz w:val="22"/>
                <w:szCs w:val="22"/>
              </w:rPr>
              <w:t>Undertake and document stakeholder engagement and communication (including traditional Aboriginal owner, community, government(s))</w:t>
            </w:r>
          </w:p>
        </w:tc>
        <w:tc>
          <w:tcPr>
            <w:tcW w:w="1326" w:type="dxa"/>
            <w:vMerge/>
          </w:tcPr>
          <w:p w14:paraId="4DA7D39E" w14:textId="77777777" w:rsidR="00BA37BE" w:rsidRPr="00CA2619" w:rsidRDefault="00BA37BE" w:rsidP="00B667C9">
            <w:pPr>
              <w:pStyle w:val="Normalnumbered"/>
              <w:numPr>
                <w:ilvl w:val="0"/>
                <w:numId w:val="0"/>
              </w:numPr>
              <w:spacing w:after="40"/>
              <w:rPr>
                <w:b/>
                <w:color w:val="auto"/>
                <w:sz w:val="22"/>
                <w:szCs w:val="22"/>
              </w:rPr>
            </w:pPr>
          </w:p>
        </w:tc>
        <w:tc>
          <w:tcPr>
            <w:tcW w:w="2096" w:type="dxa"/>
            <w:vMerge/>
          </w:tcPr>
          <w:p w14:paraId="3A6E4517" w14:textId="77777777" w:rsidR="00BA37BE" w:rsidRDefault="00BA37BE" w:rsidP="00B667C9">
            <w:pPr>
              <w:pStyle w:val="Normalnumbered"/>
              <w:numPr>
                <w:ilvl w:val="0"/>
                <w:numId w:val="0"/>
              </w:numPr>
              <w:spacing w:after="40"/>
              <w:rPr>
                <w:b/>
                <w:color w:val="auto"/>
                <w:sz w:val="22"/>
                <w:szCs w:val="22"/>
              </w:rPr>
            </w:pPr>
          </w:p>
        </w:tc>
      </w:tr>
      <w:tr w:rsidR="00F73932" w14:paraId="199CBD77" w14:textId="77777777" w:rsidTr="00500C0C">
        <w:tc>
          <w:tcPr>
            <w:tcW w:w="2217" w:type="dxa"/>
            <w:vMerge w:val="restart"/>
            <w:vAlign w:val="center"/>
          </w:tcPr>
          <w:p w14:paraId="20E10C6C" w14:textId="77777777" w:rsidR="00F73932" w:rsidRDefault="00F73932" w:rsidP="00B667C9">
            <w:pPr>
              <w:pStyle w:val="Normalnumbered"/>
              <w:numPr>
                <w:ilvl w:val="0"/>
                <w:numId w:val="0"/>
              </w:numPr>
              <w:spacing w:after="40"/>
              <w:jc w:val="left"/>
              <w:rPr>
                <w:color w:val="auto"/>
                <w:sz w:val="22"/>
                <w:szCs w:val="22"/>
              </w:rPr>
            </w:pPr>
            <w:r>
              <w:rPr>
                <w:color w:val="auto"/>
                <w:sz w:val="22"/>
                <w:szCs w:val="22"/>
              </w:rPr>
              <w:t>Rehabilitation design</w:t>
            </w:r>
          </w:p>
          <w:p w14:paraId="74A658A2" w14:textId="77777777" w:rsidR="00F73932" w:rsidRDefault="00F73932" w:rsidP="00B667C9">
            <w:pPr>
              <w:pStyle w:val="Normalnumbered"/>
              <w:spacing w:after="40"/>
              <w:ind w:left="0"/>
              <w:jc w:val="left"/>
              <w:rPr>
                <w:color w:val="auto"/>
                <w:sz w:val="22"/>
                <w:szCs w:val="22"/>
              </w:rPr>
            </w:pPr>
          </w:p>
        </w:tc>
        <w:tc>
          <w:tcPr>
            <w:tcW w:w="3881" w:type="dxa"/>
          </w:tcPr>
          <w:p w14:paraId="2CA3310B" w14:textId="77777777" w:rsidR="00F73932" w:rsidRDefault="00F73932" w:rsidP="00B667C9">
            <w:pPr>
              <w:pStyle w:val="Normalnumbered"/>
              <w:numPr>
                <w:ilvl w:val="0"/>
                <w:numId w:val="0"/>
              </w:numPr>
              <w:spacing w:after="40"/>
              <w:rPr>
                <w:color w:val="auto"/>
                <w:sz w:val="22"/>
                <w:szCs w:val="22"/>
              </w:rPr>
            </w:pPr>
            <w:r>
              <w:rPr>
                <w:color w:val="auto"/>
                <w:sz w:val="22"/>
                <w:szCs w:val="22"/>
              </w:rPr>
              <w:t>Submit Draft and Supplementary (if required) Environmental Impact Statements</w:t>
            </w:r>
            <w:r>
              <w:rPr>
                <w:rStyle w:val="FootnoteReference"/>
                <w:color w:val="auto"/>
                <w:sz w:val="22"/>
                <w:szCs w:val="22"/>
              </w:rPr>
              <w:footnoteReference w:id="7"/>
            </w:r>
          </w:p>
        </w:tc>
        <w:tc>
          <w:tcPr>
            <w:tcW w:w="1326" w:type="dxa"/>
            <w:vMerge w:val="restart"/>
            <w:vAlign w:val="center"/>
          </w:tcPr>
          <w:p w14:paraId="2B910B50" w14:textId="77777777" w:rsidR="00F73932" w:rsidRDefault="00F73932" w:rsidP="00500C0C">
            <w:pPr>
              <w:pStyle w:val="Normalnumbered"/>
              <w:numPr>
                <w:ilvl w:val="0"/>
                <w:numId w:val="0"/>
              </w:numPr>
              <w:spacing w:after="40"/>
              <w:jc w:val="left"/>
              <w:rPr>
                <w:color w:val="auto"/>
                <w:sz w:val="22"/>
                <w:szCs w:val="22"/>
              </w:rPr>
            </w:pPr>
            <w:r>
              <w:rPr>
                <w:color w:val="auto"/>
                <w:sz w:val="22"/>
                <w:szCs w:val="22"/>
              </w:rPr>
              <w:t>1</w:t>
            </w:r>
            <w:r w:rsidR="00BA37BE">
              <w:rPr>
                <w:color w:val="auto"/>
                <w:sz w:val="22"/>
                <w:szCs w:val="22"/>
              </w:rPr>
              <w:t>6</w:t>
            </w:r>
            <w:r>
              <w:rPr>
                <w:color w:val="auto"/>
                <w:sz w:val="22"/>
                <w:szCs w:val="22"/>
              </w:rPr>
              <w:t xml:space="preserve"> March</w:t>
            </w:r>
            <w:r w:rsidRPr="003265CA">
              <w:rPr>
                <w:color w:val="auto"/>
                <w:sz w:val="22"/>
                <w:szCs w:val="22"/>
              </w:rPr>
              <w:t xml:space="preserve"> 2020</w:t>
            </w:r>
          </w:p>
        </w:tc>
        <w:tc>
          <w:tcPr>
            <w:tcW w:w="2096" w:type="dxa"/>
            <w:vMerge w:val="restart"/>
            <w:vAlign w:val="center"/>
          </w:tcPr>
          <w:p w14:paraId="213C1921" w14:textId="77777777" w:rsidR="00F73932" w:rsidRPr="0038488C" w:rsidRDefault="00F73932" w:rsidP="00500C0C">
            <w:pPr>
              <w:pStyle w:val="Normalnumbered"/>
              <w:numPr>
                <w:ilvl w:val="0"/>
                <w:numId w:val="0"/>
              </w:numPr>
              <w:spacing w:after="40"/>
              <w:jc w:val="left"/>
              <w:rPr>
                <w:color w:val="auto"/>
                <w:sz w:val="22"/>
                <w:szCs w:val="22"/>
              </w:rPr>
            </w:pPr>
            <w:r w:rsidRPr="0038488C">
              <w:rPr>
                <w:color w:val="auto"/>
                <w:sz w:val="22"/>
                <w:szCs w:val="22"/>
              </w:rPr>
              <w:t>$</w:t>
            </w:r>
            <w:r>
              <w:rPr>
                <w:color w:val="auto"/>
                <w:sz w:val="22"/>
                <w:szCs w:val="22"/>
              </w:rPr>
              <w:t>5,332,000</w:t>
            </w:r>
          </w:p>
        </w:tc>
      </w:tr>
      <w:tr w:rsidR="00F73932" w14:paraId="269B07D0" w14:textId="77777777" w:rsidTr="00393B02">
        <w:tc>
          <w:tcPr>
            <w:tcW w:w="2217" w:type="dxa"/>
            <w:vMerge/>
          </w:tcPr>
          <w:p w14:paraId="2D1D33BB" w14:textId="77777777" w:rsidR="00F73932" w:rsidRDefault="00F73932" w:rsidP="003C7870">
            <w:pPr>
              <w:pStyle w:val="Normalnumbered"/>
              <w:numPr>
                <w:ilvl w:val="0"/>
                <w:numId w:val="0"/>
              </w:numPr>
              <w:spacing w:after="40"/>
              <w:rPr>
                <w:color w:val="auto"/>
                <w:sz w:val="22"/>
                <w:szCs w:val="22"/>
              </w:rPr>
            </w:pPr>
          </w:p>
        </w:tc>
        <w:tc>
          <w:tcPr>
            <w:tcW w:w="3881" w:type="dxa"/>
          </w:tcPr>
          <w:p w14:paraId="54565AEF" w14:textId="77777777" w:rsidR="00F73932" w:rsidRDefault="00F73932" w:rsidP="003C7870">
            <w:pPr>
              <w:pStyle w:val="Normalnumbered"/>
              <w:numPr>
                <w:ilvl w:val="0"/>
                <w:numId w:val="0"/>
              </w:numPr>
              <w:spacing w:after="40"/>
              <w:rPr>
                <w:color w:val="auto"/>
                <w:sz w:val="22"/>
                <w:szCs w:val="22"/>
              </w:rPr>
            </w:pPr>
            <w:r>
              <w:rPr>
                <w:color w:val="auto"/>
                <w:sz w:val="22"/>
                <w:szCs w:val="22"/>
              </w:rPr>
              <w:t>Delivery of design including:</w:t>
            </w:r>
          </w:p>
          <w:p w14:paraId="0FEB600A" w14:textId="77777777" w:rsidR="00F73932" w:rsidRDefault="00F73932" w:rsidP="00EB32FA">
            <w:pPr>
              <w:pStyle w:val="Normalnumbered"/>
              <w:numPr>
                <w:ilvl w:val="0"/>
                <w:numId w:val="14"/>
              </w:numPr>
              <w:spacing w:after="40"/>
              <w:ind w:left="219" w:hanging="219"/>
              <w:jc w:val="left"/>
              <w:rPr>
                <w:color w:val="auto"/>
                <w:sz w:val="22"/>
                <w:szCs w:val="22"/>
              </w:rPr>
            </w:pPr>
            <w:r>
              <w:rPr>
                <w:color w:val="auto"/>
                <w:sz w:val="22"/>
                <w:szCs w:val="22"/>
              </w:rPr>
              <w:t>procurement ready documentation of final drawings and technical specifications;</w:t>
            </w:r>
          </w:p>
          <w:p w14:paraId="53D0119C" w14:textId="77777777" w:rsidR="00F73932" w:rsidRDefault="00F73932" w:rsidP="00EB32FA">
            <w:pPr>
              <w:pStyle w:val="Normalnumbered"/>
              <w:numPr>
                <w:ilvl w:val="0"/>
                <w:numId w:val="14"/>
              </w:numPr>
              <w:spacing w:after="40"/>
              <w:ind w:left="219" w:hanging="219"/>
              <w:jc w:val="left"/>
              <w:rPr>
                <w:color w:val="auto"/>
                <w:sz w:val="22"/>
                <w:szCs w:val="22"/>
              </w:rPr>
            </w:pPr>
            <w:r>
              <w:rPr>
                <w:color w:val="auto"/>
                <w:sz w:val="22"/>
                <w:szCs w:val="22"/>
              </w:rPr>
              <w:t xml:space="preserve">safety audit for intersection design; </w:t>
            </w:r>
          </w:p>
          <w:p w14:paraId="70406D6D" w14:textId="77777777" w:rsidR="00F73932" w:rsidRDefault="00F73932" w:rsidP="00EB32FA">
            <w:pPr>
              <w:pStyle w:val="Normalnumbered"/>
              <w:numPr>
                <w:ilvl w:val="0"/>
                <w:numId w:val="14"/>
              </w:numPr>
              <w:spacing w:after="40"/>
              <w:ind w:left="219" w:hanging="219"/>
              <w:jc w:val="left"/>
              <w:rPr>
                <w:color w:val="auto"/>
                <w:sz w:val="22"/>
                <w:szCs w:val="22"/>
              </w:rPr>
            </w:pPr>
            <w:r>
              <w:rPr>
                <w:color w:val="auto"/>
                <w:sz w:val="22"/>
                <w:szCs w:val="22"/>
              </w:rPr>
              <w:t xml:space="preserve">supporting contaminated land assessment audit and remediation action plan; </w:t>
            </w:r>
          </w:p>
          <w:p w14:paraId="72B2F40B" w14:textId="77777777" w:rsidR="00F73932" w:rsidRDefault="00F73932" w:rsidP="00EB32FA">
            <w:pPr>
              <w:pStyle w:val="Normalnumbered"/>
              <w:numPr>
                <w:ilvl w:val="0"/>
                <w:numId w:val="14"/>
              </w:numPr>
              <w:spacing w:after="40"/>
              <w:ind w:left="219" w:hanging="219"/>
              <w:jc w:val="left"/>
              <w:rPr>
                <w:color w:val="auto"/>
                <w:sz w:val="22"/>
                <w:szCs w:val="22"/>
              </w:rPr>
            </w:pPr>
            <w:r>
              <w:rPr>
                <w:color w:val="auto"/>
                <w:sz w:val="22"/>
                <w:szCs w:val="22"/>
              </w:rPr>
              <w:t xml:space="preserve">Main Pit backfill methodology </w:t>
            </w:r>
            <w:r w:rsidR="00091679">
              <w:rPr>
                <w:color w:val="auto"/>
                <w:sz w:val="22"/>
                <w:szCs w:val="22"/>
              </w:rPr>
              <w:t>independent</w:t>
            </w:r>
            <w:r>
              <w:rPr>
                <w:color w:val="auto"/>
                <w:sz w:val="22"/>
                <w:szCs w:val="22"/>
              </w:rPr>
              <w:t xml:space="preserve"> review; </w:t>
            </w:r>
          </w:p>
          <w:p w14:paraId="5649372A" w14:textId="1F7E0CFE" w:rsidR="00F73932" w:rsidRPr="00BB6766" w:rsidRDefault="00F73932" w:rsidP="00EB32FA">
            <w:pPr>
              <w:pStyle w:val="Normalnumbered"/>
              <w:numPr>
                <w:ilvl w:val="0"/>
                <w:numId w:val="14"/>
              </w:numPr>
              <w:spacing w:after="40"/>
              <w:ind w:left="219" w:hanging="219"/>
              <w:jc w:val="left"/>
              <w:rPr>
                <w:color w:val="auto"/>
                <w:sz w:val="22"/>
                <w:szCs w:val="22"/>
              </w:rPr>
            </w:pPr>
            <w:r>
              <w:rPr>
                <w:color w:val="auto"/>
                <w:sz w:val="22"/>
                <w:szCs w:val="22"/>
              </w:rPr>
              <w:t>a cost estimate that can support probalilistic cost estimation to P80 u</w:t>
            </w:r>
            <w:r w:rsidR="00440BC7">
              <w:rPr>
                <w:color w:val="auto"/>
                <w:sz w:val="22"/>
                <w:szCs w:val="22"/>
              </w:rPr>
              <w:t>s</w:t>
            </w:r>
            <w:r>
              <w:rPr>
                <w:color w:val="auto"/>
                <w:sz w:val="22"/>
                <w:szCs w:val="22"/>
              </w:rPr>
              <w:t>ing risk based contingencies.</w:t>
            </w:r>
          </w:p>
        </w:tc>
        <w:tc>
          <w:tcPr>
            <w:tcW w:w="1326" w:type="dxa"/>
            <w:vMerge/>
          </w:tcPr>
          <w:p w14:paraId="225A4590" w14:textId="77777777" w:rsidR="00F73932" w:rsidRPr="002E7618" w:rsidRDefault="00F73932" w:rsidP="003C7870">
            <w:pPr>
              <w:pStyle w:val="Normalnumbered"/>
              <w:numPr>
                <w:ilvl w:val="0"/>
                <w:numId w:val="0"/>
              </w:numPr>
              <w:spacing w:after="40"/>
              <w:rPr>
                <w:color w:val="auto"/>
                <w:sz w:val="22"/>
                <w:szCs w:val="22"/>
              </w:rPr>
            </w:pPr>
          </w:p>
        </w:tc>
        <w:tc>
          <w:tcPr>
            <w:tcW w:w="2096" w:type="dxa"/>
            <w:vMerge/>
          </w:tcPr>
          <w:p w14:paraId="7C2B5CFB" w14:textId="77777777" w:rsidR="00F73932" w:rsidRPr="0038488C" w:rsidRDefault="00F73932" w:rsidP="003C7870">
            <w:pPr>
              <w:pStyle w:val="Normalnumbered"/>
              <w:spacing w:after="40"/>
              <w:ind w:left="0"/>
              <w:rPr>
                <w:color w:val="auto"/>
                <w:sz w:val="22"/>
                <w:szCs w:val="22"/>
              </w:rPr>
            </w:pPr>
          </w:p>
        </w:tc>
      </w:tr>
      <w:tr w:rsidR="00F73932" w14:paraId="16F36B3C" w14:textId="77777777" w:rsidTr="00393B02">
        <w:tc>
          <w:tcPr>
            <w:tcW w:w="2217" w:type="dxa"/>
            <w:vMerge w:val="restart"/>
            <w:vAlign w:val="center"/>
          </w:tcPr>
          <w:p w14:paraId="24878F81" w14:textId="77777777" w:rsidR="00F73932" w:rsidRDefault="00F73932" w:rsidP="00B667C9">
            <w:pPr>
              <w:pStyle w:val="Normalnumbered"/>
              <w:numPr>
                <w:ilvl w:val="0"/>
                <w:numId w:val="0"/>
              </w:numPr>
              <w:spacing w:after="40"/>
              <w:jc w:val="left"/>
              <w:rPr>
                <w:color w:val="auto"/>
                <w:sz w:val="22"/>
                <w:szCs w:val="22"/>
              </w:rPr>
            </w:pPr>
            <w:r>
              <w:rPr>
                <w:color w:val="auto"/>
                <w:sz w:val="22"/>
                <w:szCs w:val="22"/>
              </w:rPr>
              <w:t>Rum Jungle Creek South cover system</w:t>
            </w:r>
          </w:p>
        </w:tc>
        <w:tc>
          <w:tcPr>
            <w:tcW w:w="3881" w:type="dxa"/>
          </w:tcPr>
          <w:p w14:paraId="7F9912A3" w14:textId="77777777" w:rsidR="00F73932" w:rsidRDefault="00F73932" w:rsidP="00B667C9">
            <w:pPr>
              <w:pStyle w:val="Normalnumbered"/>
              <w:numPr>
                <w:ilvl w:val="0"/>
                <w:numId w:val="0"/>
              </w:numPr>
              <w:spacing w:after="40"/>
              <w:rPr>
                <w:color w:val="auto"/>
                <w:sz w:val="22"/>
                <w:szCs w:val="22"/>
              </w:rPr>
            </w:pPr>
            <w:r>
              <w:rPr>
                <w:color w:val="auto"/>
                <w:sz w:val="22"/>
                <w:szCs w:val="22"/>
              </w:rPr>
              <w:t>Construction complete and demonstrate through a post construction report compliance with design and quality assurance/quality control standards</w:t>
            </w:r>
          </w:p>
        </w:tc>
        <w:tc>
          <w:tcPr>
            <w:tcW w:w="1326" w:type="dxa"/>
            <w:vMerge/>
          </w:tcPr>
          <w:p w14:paraId="2E6D020F" w14:textId="77777777" w:rsidR="00F73932" w:rsidRPr="002E7618" w:rsidRDefault="00F73932" w:rsidP="00B667C9">
            <w:pPr>
              <w:pStyle w:val="Normalnumbered"/>
              <w:numPr>
                <w:ilvl w:val="0"/>
                <w:numId w:val="0"/>
              </w:numPr>
              <w:spacing w:after="40"/>
              <w:rPr>
                <w:color w:val="auto"/>
                <w:sz w:val="22"/>
                <w:szCs w:val="22"/>
              </w:rPr>
            </w:pPr>
          </w:p>
        </w:tc>
        <w:tc>
          <w:tcPr>
            <w:tcW w:w="2096" w:type="dxa"/>
            <w:vMerge/>
          </w:tcPr>
          <w:p w14:paraId="26F4C341" w14:textId="77777777" w:rsidR="00F73932" w:rsidRDefault="00F73932" w:rsidP="00B667C9">
            <w:pPr>
              <w:pStyle w:val="Normalnumbered"/>
              <w:spacing w:after="40"/>
              <w:ind w:left="0"/>
              <w:rPr>
                <w:b/>
                <w:color w:val="auto"/>
                <w:sz w:val="22"/>
                <w:szCs w:val="22"/>
              </w:rPr>
            </w:pPr>
          </w:p>
        </w:tc>
      </w:tr>
      <w:tr w:rsidR="00F73932" w14:paraId="3F81296B" w14:textId="77777777" w:rsidTr="00393B02">
        <w:tc>
          <w:tcPr>
            <w:tcW w:w="2217" w:type="dxa"/>
            <w:vMerge/>
          </w:tcPr>
          <w:p w14:paraId="13658F60" w14:textId="77777777" w:rsidR="00F73932" w:rsidRDefault="00F73932" w:rsidP="003C7870">
            <w:pPr>
              <w:pStyle w:val="Normalnumbered"/>
              <w:spacing w:after="40"/>
              <w:ind w:left="0"/>
              <w:rPr>
                <w:color w:val="auto"/>
                <w:sz w:val="22"/>
                <w:szCs w:val="22"/>
              </w:rPr>
            </w:pPr>
          </w:p>
        </w:tc>
        <w:tc>
          <w:tcPr>
            <w:tcW w:w="3881" w:type="dxa"/>
          </w:tcPr>
          <w:p w14:paraId="3A3A20A7" w14:textId="0E14CC48" w:rsidR="00F73932" w:rsidRDefault="00F73932" w:rsidP="00B667C9">
            <w:pPr>
              <w:pStyle w:val="Normalnumbered"/>
              <w:numPr>
                <w:ilvl w:val="0"/>
                <w:numId w:val="0"/>
              </w:numPr>
              <w:spacing w:after="40"/>
              <w:rPr>
                <w:color w:val="auto"/>
                <w:sz w:val="22"/>
                <w:szCs w:val="22"/>
              </w:rPr>
            </w:pPr>
            <w:r>
              <w:rPr>
                <w:color w:val="auto"/>
                <w:sz w:val="22"/>
                <w:szCs w:val="22"/>
              </w:rPr>
              <w:t>Finalise construction and post-construction dose assessment (</w:t>
            </w:r>
            <w:r w:rsidR="00A40348">
              <w:rPr>
                <w:color w:val="auto"/>
                <w:sz w:val="22"/>
                <w:szCs w:val="22"/>
              </w:rPr>
              <w:t xml:space="preserve">in accordance with the </w:t>
            </w:r>
            <w:r>
              <w:rPr>
                <w:color w:val="auto"/>
                <w:sz w:val="22"/>
                <w:szCs w:val="22"/>
              </w:rPr>
              <w:t xml:space="preserve">RMP) </w:t>
            </w:r>
          </w:p>
        </w:tc>
        <w:tc>
          <w:tcPr>
            <w:tcW w:w="1326" w:type="dxa"/>
            <w:vMerge/>
          </w:tcPr>
          <w:p w14:paraId="63038B25" w14:textId="77777777" w:rsidR="00F73932" w:rsidRPr="002E7618" w:rsidRDefault="00F73932" w:rsidP="00B667C9">
            <w:pPr>
              <w:pStyle w:val="Normalnumbered"/>
              <w:numPr>
                <w:ilvl w:val="0"/>
                <w:numId w:val="0"/>
              </w:numPr>
              <w:spacing w:after="40"/>
              <w:rPr>
                <w:color w:val="auto"/>
                <w:sz w:val="22"/>
                <w:szCs w:val="22"/>
              </w:rPr>
            </w:pPr>
          </w:p>
        </w:tc>
        <w:tc>
          <w:tcPr>
            <w:tcW w:w="2096" w:type="dxa"/>
            <w:vMerge/>
          </w:tcPr>
          <w:p w14:paraId="19FDFA89" w14:textId="77777777" w:rsidR="00F73932" w:rsidRDefault="00F73932" w:rsidP="00B667C9">
            <w:pPr>
              <w:pStyle w:val="Normalnumbered"/>
              <w:spacing w:after="40"/>
              <w:ind w:left="0"/>
              <w:rPr>
                <w:b/>
                <w:color w:val="auto"/>
                <w:sz w:val="22"/>
                <w:szCs w:val="22"/>
              </w:rPr>
            </w:pPr>
          </w:p>
        </w:tc>
      </w:tr>
      <w:tr w:rsidR="00F73932" w14:paraId="4393C127" w14:textId="77777777" w:rsidTr="00393B02">
        <w:tc>
          <w:tcPr>
            <w:tcW w:w="2217" w:type="dxa"/>
            <w:vMerge/>
          </w:tcPr>
          <w:p w14:paraId="591ECAEE" w14:textId="77777777" w:rsidR="00F73932" w:rsidRDefault="00F73932" w:rsidP="003C7870">
            <w:pPr>
              <w:pStyle w:val="Normalnumbered"/>
              <w:spacing w:after="40"/>
              <w:ind w:left="0"/>
              <w:rPr>
                <w:color w:val="auto"/>
                <w:sz w:val="22"/>
                <w:szCs w:val="22"/>
              </w:rPr>
            </w:pPr>
          </w:p>
        </w:tc>
        <w:tc>
          <w:tcPr>
            <w:tcW w:w="3881" w:type="dxa"/>
          </w:tcPr>
          <w:p w14:paraId="0D5BFD3B" w14:textId="77777777" w:rsidR="00F73932" w:rsidRDefault="00F73932" w:rsidP="00B667C9">
            <w:pPr>
              <w:pStyle w:val="Normalnumbered"/>
              <w:numPr>
                <w:ilvl w:val="0"/>
                <w:numId w:val="0"/>
              </w:numPr>
              <w:spacing w:after="40"/>
              <w:rPr>
                <w:color w:val="auto"/>
                <w:sz w:val="22"/>
                <w:szCs w:val="22"/>
              </w:rPr>
            </w:pPr>
            <w:r>
              <w:rPr>
                <w:color w:val="auto"/>
                <w:sz w:val="22"/>
                <w:szCs w:val="22"/>
              </w:rPr>
              <w:t>Complete revegetation and conduct monitoring</w:t>
            </w:r>
          </w:p>
        </w:tc>
        <w:tc>
          <w:tcPr>
            <w:tcW w:w="1326" w:type="dxa"/>
            <w:vMerge/>
          </w:tcPr>
          <w:p w14:paraId="1D0E8213" w14:textId="77777777" w:rsidR="00F73932" w:rsidRPr="003265CA" w:rsidRDefault="00F73932" w:rsidP="00B667C9">
            <w:pPr>
              <w:pStyle w:val="Normalnumbered"/>
              <w:numPr>
                <w:ilvl w:val="0"/>
                <w:numId w:val="0"/>
              </w:numPr>
              <w:spacing w:after="40"/>
              <w:rPr>
                <w:color w:val="auto"/>
                <w:sz w:val="22"/>
                <w:szCs w:val="22"/>
              </w:rPr>
            </w:pPr>
          </w:p>
        </w:tc>
        <w:tc>
          <w:tcPr>
            <w:tcW w:w="2096" w:type="dxa"/>
            <w:vMerge/>
          </w:tcPr>
          <w:p w14:paraId="50A0CAE0" w14:textId="77777777" w:rsidR="00F73932" w:rsidRDefault="00F73932" w:rsidP="00B667C9">
            <w:pPr>
              <w:pStyle w:val="Normalnumbered"/>
              <w:spacing w:after="40"/>
              <w:ind w:left="0"/>
              <w:rPr>
                <w:b/>
                <w:color w:val="auto"/>
                <w:sz w:val="22"/>
                <w:szCs w:val="22"/>
              </w:rPr>
            </w:pPr>
          </w:p>
        </w:tc>
      </w:tr>
      <w:tr w:rsidR="00F73932" w14:paraId="61F740FC" w14:textId="77777777" w:rsidTr="00393B02">
        <w:tc>
          <w:tcPr>
            <w:tcW w:w="2217" w:type="dxa"/>
            <w:vMerge/>
          </w:tcPr>
          <w:p w14:paraId="1665BD7A" w14:textId="77777777" w:rsidR="00F73932" w:rsidRDefault="00F73932" w:rsidP="003C7870">
            <w:pPr>
              <w:pStyle w:val="Normalnumbered"/>
              <w:numPr>
                <w:ilvl w:val="0"/>
                <w:numId w:val="0"/>
              </w:numPr>
              <w:spacing w:after="40"/>
              <w:rPr>
                <w:color w:val="auto"/>
                <w:sz w:val="22"/>
                <w:szCs w:val="22"/>
              </w:rPr>
            </w:pPr>
          </w:p>
        </w:tc>
        <w:tc>
          <w:tcPr>
            <w:tcW w:w="3881" w:type="dxa"/>
          </w:tcPr>
          <w:p w14:paraId="5822AFA9" w14:textId="77777777" w:rsidR="00F73932" w:rsidRDefault="00F73932" w:rsidP="003C7870">
            <w:pPr>
              <w:pStyle w:val="Normalnumbered"/>
              <w:numPr>
                <w:ilvl w:val="0"/>
                <w:numId w:val="0"/>
              </w:numPr>
              <w:spacing w:after="40"/>
              <w:rPr>
                <w:color w:val="auto"/>
                <w:sz w:val="22"/>
                <w:szCs w:val="22"/>
              </w:rPr>
            </w:pPr>
            <w:r>
              <w:rPr>
                <w:color w:val="auto"/>
                <w:sz w:val="22"/>
                <w:szCs w:val="22"/>
              </w:rPr>
              <w:t>Complete site management activities, including repairs if required</w:t>
            </w:r>
          </w:p>
        </w:tc>
        <w:tc>
          <w:tcPr>
            <w:tcW w:w="1326" w:type="dxa"/>
            <w:vMerge/>
          </w:tcPr>
          <w:p w14:paraId="45B9C507" w14:textId="77777777" w:rsidR="00F73932" w:rsidRPr="003265CA" w:rsidRDefault="00F73932" w:rsidP="003C7870">
            <w:pPr>
              <w:pStyle w:val="Normalnumbered"/>
              <w:numPr>
                <w:ilvl w:val="0"/>
                <w:numId w:val="0"/>
              </w:numPr>
              <w:spacing w:after="40"/>
              <w:rPr>
                <w:color w:val="auto"/>
                <w:sz w:val="22"/>
                <w:szCs w:val="22"/>
              </w:rPr>
            </w:pPr>
          </w:p>
        </w:tc>
        <w:tc>
          <w:tcPr>
            <w:tcW w:w="2096" w:type="dxa"/>
            <w:vMerge/>
          </w:tcPr>
          <w:p w14:paraId="02C88732" w14:textId="77777777" w:rsidR="00F73932" w:rsidRDefault="00F73932" w:rsidP="003C7870">
            <w:pPr>
              <w:pStyle w:val="Normalnumbered"/>
              <w:spacing w:after="40"/>
              <w:ind w:left="0"/>
              <w:rPr>
                <w:b/>
                <w:color w:val="auto"/>
                <w:sz w:val="22"/>
                <w:szCs w:val="22"/>
              </w:rPr>
            </w:pPr>
          </w:p>
        </w:tc>
      </w:tr>
      <w:tr w:rsidR="00F73932" w14:paraId="25070381" w14:textId="77777777" w:rsidTr="00B667C9">
        <w:tc>
          <w:tcPr>
            <w:tcW w:w="2217" w:type="dxa"/>
            <w:vMerge w:val="restart"/>
            <w:vAlign w:val="center"/>
          </w:tcPr>
          <w:p w14:paraId="6584E9C0" w14:textId="77777777" w:rsidR="00F73932" w:rsidRDefault="00F73932" w:rsidP="00B667C9">
            <w:pPr>
              <w:pStyle w:val="Normalnumbered"/>
              <w:numPr>
                <w:ilvl w:val="0"/>
                <w:numId w:val="0"/>
              </w:numPr>
              <w:spacing w:after="40"/>
              <w:jc w:val="left"/>
              <w:rPr>
                <w:color w:val="auto"/>
                <w:sz w:val="22"/>
                <w:szCs w:val="22"/>
              </w:rPr>
            </w:pPr>
            <w:r>
              <w:rPr>
                <w:color w:val="auto"/>
                <w:sz w:val="22"/>
                <w:szCs w:val="22"/>
              </w:rPr>
              <w:t xml:space="preserve">Site management, maintenance and environmental monitoring activities </w:t>
            </w:r>
          </w:p>
        </w:tc>
        <w:tc>
          <w:tcPr>
            <w:tcW w:w="3881" w:type="dxa"/>
            <w:vAlign w:val="center"/>
          </w:tcPr>
          <w:p w14:paraId="554A2EDC" w14:textId="77777777" w:rsidR="00F73932" w:rsidRDefault="00F73932" w:rsidP="00B667C9">
            <w:pPr>
              <w:pStyle w:val="Normalnumbered"/>
              <w:numPr>
                <w:ilvl w:val="0"/>
                <w:numId w:val="0"/>
              </w:numPr>
              <w:spacing w:after="40"/>
              <w:jc w:val="left"/>
              <w:rPr>
                <w:color w:val="auto"/>
                <w:sz w:val="22"/>
                <w:szCs w:val="22"/>
              </w:rPr>
            </w:pPr>
            <w:r>
              <w:rPr>
                <w:color w:val="auto"/>
                <w:sz w:val="22"/>
                <w:szCs w:val="22"/>
              </w:rPr>
              <w:t>Complete annual maintenance earthworks, site security, fire control, and weed management and control</w:t>
            </w:r>
          </w:p>
        </w:tc>
        <w:tc>
          <w:tcPr>
            <w:tcW w:w="1326" w:type="dxa"/>
            <w:vMerge/>
          </w:tcPr>
          <w:p w14:paraId="19F4946D" w14:textId="77777777" w:rsidR="00F73932" w:rsidRPr="003265CA" w:rsidRDefault="00F73932" w:rsidP="003C7870">
            <w:pPr>
              <w:pStyle w:val="Normalnumbered"/>
              <w:numPr>
                <w:ilvl w:val="0"/>
                <w:numId w:val="0"/>
              </w:numPr>
              <w:spacing w:after="40"/>
              <w:rPr>
                <w:color w:val="auto"/>
                <w:sz w:val="22"/>
                <w:szCs w:val="22"/>
              </w:rPr>
            </w:pPr>
          </w:p>
        </w:tc>
        <w:tc>
          <w:tcPr>
            <w:tcW w:w="2096" w:type="dxa"/>
            <w:vMerge/>
          </w:tcPr>
          <w:p w14:paraId="56EEDFA8" w14:textId="77777777" w:rsidR="00F73932" w:rsidRDefault="00F73932" w:rsidP="003C7870">
            <w:pPr>
              <w:pStyle w:val="Normalnumbered"/>
              <w:spacing w:after="40"/>
              <w:ind w:left="0"/>
              <w:rPr>
                <w:b/>
                <w:color w:val="auto"/>
                <w:sz w:val="22"/>
                <w:szCs w:val="22"/>
              </w:rPr>
            </w:pPr>
          </w:p>
        </w:tc>
      </w:tr>
      <w:tr w:rsidR="00F73932" w14:paraId="1ABDA569" w14:textId="77777777" w:rsidTr="00B667C9">
        <w:tc>
          <w:tcPr>
            <w:tcW w:w="2217" w:type="dxa"/>
            <w:vMerge/>
            <w:vAlign w:val="center"/>
          </w:tcPr>
          <w:p w14:paraId="191E2CAE" w14:textId="77777777" w:rsidR="00F73932" w:rsidRDefault="00F73932" w:rsidP="003C7870">
            <w:pPr>
              <w:pStyle w:val="Normalnumbered"/>
              <w:numPr>
                <w:ilvl w:val="0"/>
                <w:numId w:val="0"/>
              </w:numPr>
              <w:spacing w:after="40"/>
              <w:jc w:val="left"/>
              <w:rPr>
                <w:color w:val="auto"/>
                <w:sz w:val="22"/>
                <w:szCs w:val="22"/>
              </w:rPr>
            </w:pPr>
          </w:p>
        </w:tc>
        <w:tc>
          <w:tcPr>
            <w:tcW w:w="3881" w:type="dxa"/>
            <w:vAlign w:val="center"/>
          </w:tcPr>
          <w:p w14:paraId="35A4C742" w14:textId="77777777" w:rsidR="00F73932" w:rsidRDefault="00F73932" w:rsidP="003C7870">
            <w:pPr>
              <w:pStyle w:val="Normalnumbered"/>
              <w:numPr>
                <w:ilvl w:val="0"/>
                <w:numId w:val="0"/>
              </w:numPr>
              <w:spacing w:after="40"/>
              <w:jc w:val="left"/>
              <w:rPr>
                <w:color w:val="auto"/>
                <w:sz w:val="22"/>
                <w:szCs w:val="22"/>
              </w:rPr>
            </w:pPr>
            <w:r>
              <w:rPr>
                <w:color w:val="auto"/>
                <w:sz w:val="22"/>
                <w:szCs w:val="22"/>
              </w:rPr>
              <w:t>Conduct ongoing environmental water monitoring (surface and groundwater), analysis and updating of water quality values</w:t>
            </w:r>
          </w:p>
        </w:tc>
        <w:tc>
          <w:tcPr>
            <w:tcW w:w="1326" w:type="dxa"/>
            <w:vMerge/>
          </w:tcPr>
          <w:p w14:paraId="0D7D03B9" w14:textId="77777777" w:rsidR="00F73932" w:rsidRPr="003265CA" w:rsidRDefault="00F73932" w:rsidP="003C7870">
            <w:pPr>
              <w:pStyle w:val="Normalnumbered"/>
              <w:numPr>
                <w:ilvl w:val="0"/>
                <w:numId w:val="0"/>
              </w:numPr>
              <w:spacing w:after="40"/>
              <w:rPr>
                <w:color w:val="auto"/>
                <w:sz w:val="22"/>
                <w:szCs w:val="22"/>
              </w:rPr>
            </w:pPr>
          </w:p>
        </w:tc>
        <w:tc>
          <w:tcPr>
            <w:tcW w:w="2096" w:type="dxa"/>
            <w:vMerge/>
          </w:tcPr>
          <w:p w14:paraId="10049465" w14:textId="77777777" w:rsidR="00F73932" w:rsidRDefault="00F73932" w:rsidP="003C7870">
            <w:pPr>
              <w:pStyle w:val="Normalnumbered"/>
              <w:spacing w:after="40"/>
              <w:ind w:left="0"/>
              <w:rPr>
                <w:b/>
                <w:color w:val="auto"/>
                <w:sz w:val="22"/>
                <w:szCs w:val="22"/>
              </w:rPr>
            </w:pPr>
          </w:p>
        </w:tc>
      </w:tr>
      <w:tr w:rsidR="00F73932" w14:paraId="6A86E0AB" w14:textId="77777777" w:rsidTr="00B667C9">
        <w:tc>
          <w:tcPr>
            <w:tcW w:w="2217" w:type="dxa"/>
            <w:vAlign w:val="center"/>
          </w:tcPr>
          <w:p w14:paraId="787F61E4" w14:textId="77777777" w:rsidR="00F73932" w:rsidRDefault="00F73932" w:rsidP="00B667C9">
            <w:pPr>
              <w:pStyle w:val="Normalnumbered"/>
              <w:numPr>
                <w:ilvl w:val="0"/>
                <w:numId w:val="0"/>
              </w:numPr>
              <w:spacing w:after="40"/>
              <w:jc w:val="left"/>
              <w:rPr>
                <w:color w:val="auto"/>
                <w:sz w:val="22"/>
                <w:szCs w:val="22"/>
              </w:rPr>
            </w:pPr>
            <w:r>
              <w:rPr>
                <w:color w:val="auto"/>
                <w:sz w:val="22"/>
                <w:szCs w:val="22"/>
              </w:rPr>
              <w:t>Stakeholder engagement</w:t>
            </w:r>
          </w:p>
        </w:tc>
        <w:tc>
          <w:tcPr>
            <w:tcW w:w="3881" w:type="dxa"/>
          </w:tcPr>
          <w:p w14:paraId="49DB633C" w14:textId="77777777" w:rsidR="00F73932" w:rsidRDefault="00F73932" w:rsidP="00B667C9">
            <w:pPr>
              <w:pStyle w:val="Normalnumbered"/>
              <w:numPr>
                <w:ilvl w:val="0"/>
                <w:numId w:val="0"/>
              </w:numPr>
              <w:spacing w:after="40"/>
              <w:rPr>
                <w:color w:val="auto"/>
                <w:sz w:val="22"/>
                <w:szCs w:val="22"/>
              </w:rPr>
            </w:pPr>
            <w:r>
              <w:rPr>
                <w:color w:val="auto"/>
                <w:sz w:val="22"/>
                <w:szCs w:val="22"/>
              </w:rPr>
              <w:t>Undertake and document stakeholder engagement and communication (including traditional Aboriginal owner, community, government(s))</w:t>
            </w:r>
          </w:p>
        </w:tc>
        <w:tc>
          <w:tcPr>
            <w:tcW w:w="1326" w:type="dxa"/>
            <w:vMerge/>
          </w:tcPr>
          <w:p w14:paraId="007AD4EF" w14:textId="77777777" w:rsidR="00F73932" w:rsidRPr="003265CA" w:rsidRDefault="00F73932" w:rsidP="00B667C9">
            <w:pPr>
              <w:pStyle w:val="Normalnumbered"/>
              <w:numPr>
                <w:ilvl w:val="0"/>
                <w:numId w:val="0"/>
              </w:numPr>
              <w:spacing w:after="40"/>
              <w:rPr>
                <w:color w:val="auto"/>
                <w:sz w:val="22"/>
                <w:szCs w:val="22"/>
              </w:rPr>
            </w:pPr>
          </w:p>
        </w:tc>
        <w:tc>
          <w:tcPr>
            <w:tcW w:w="2096" w:type="dxa"/>
            <w:vMerge/>
          </w:tcPr>
          <w:p w14:paraId="03478A07" w14:textId="77777777" w:rsidR="00F73932" w:rsidRDefault="00F73932" w:rsidP="00B667C9">
            <w:pPr>
              <w:pStyle w:val="Normalnumbered"/>
              <w:numPr>
                <w:ilvl w:val="0"/>
                <w:numId w:val="0"/>
              </w:numPr>
              <w:spacing w:after="40"/>
              <w:rPr>
                <w:b/>
                <w:color w:val="auto"/>
                <w:sz w:val="22"/>
                <w:szCs w:val="22"/>
              </w:rPr>
            </w:pPr>
          </w:p>
        </w:tc>
      </w:tr>
    </w:tbl>
    <w:p w14:paraId="13AE5F69" w14:textId="77777777" w:rsidR="007B4056" w:rsidRDefault="007B4056" w:rsidP="003F13F9">
      <w:pPr>
        <w:pStyle w:val="Normalnumbered"/>
        <w:numPr>
          <w:ilvl w:val="0"/>
          <w:numId w:val="2"/>
        </w:numPr>
        <w:spacing w:before="240"/>
      </w:pPr>
      <w:r>
        <w:t>If</w:t>
      </w:r>
      <w:r w:rsidRPr="00804105">
        <w:t xml:space="preserve"> a milestone is met in advance of the due date, </w:t>
      </w:r>
      <w:r>
        <w:t xml:space="preserve">where </w:t>
      </w:r>
      <w:r w:rsidRPr="00804105">
        <w:t>the relevant performance report demonstrat</w:t>
      </w:r>
      <w:r>
        <w:t>es</w:t>
      </w:r>
      <w:r w:rsidRPr="00804105">
        <w:t xml:space="preserve"> </w:t>
      </w:r>
      <w:r>
        <w:t xml:space="preserve">that </w:t>
      </w:r>
      <w:r w:rsidRPr="00804105">
        <w:t>the milestone has been met, the Commonwealth may make the associated payment earlier than scheduled provided it falls within the same financial year as the original milestone date.</w:t>
      </w:r>
      <w:r>
        <w:t xml:space="preserve"> </w:t>
      </w:r>
    </w:p>
    <w:p w14:paraId="238F0A3A" w14:textId="77777777" w:rsidR="007B4056" w:rsidRDefault="007B4056" w:rsidP="007B4056">
      <w:pPr>
        <w:pStyle w:val="Heading2"/>
      </w:pPr>
      <w:r>
        <w:t>Reporting arrangements</w:t>
      </w:r>
    </w:p>
    <w:p w14:paraId="418806B2" w14:textId="77777777" w:rsidR="007B4056" w:rsidRDefault="007B4056" w:rsidP="0067014F">
      <w:pPr>
        <w:pStyle w:val="Normalnumbered"/>
        <w:numPr>
          <w:ilvl w:val="0"/>
          <w:numId w:val="2"/>
        </w:numPr>
        <w:spacing w:before="120" w:line="240" w:lineRule="auto"/>
        <w:rPr>
          <w:szCs w:val="23"/>
        </w:rPr>
      </w:pPr>
      <w:r>
        <w:t>The Northern Territory will provide performance reports in accordance with Table 1 during the operation of the Agreement.  Each performance report is to contain a description of actual performance in the period to date against the project milestones.</w:t>
      </w:r>
      <w:r>
        <w:rPr>
          <w:szCs w:val="23"/>
        </w:rPr>
        <w:t xml:space="preserve"> </w:t>
      </w:r>
    </w:p>
    <w:p w14:paraId="1A75BA46" w14:textId="77777777" w:rsidR="007B4056" w:rsidRDefault="007B4056" w:rsidP="007B4056">
      <w:pPr>
        <w:pStyle w:val="Heading1"/>
      </w:pPr>
      <w:r>
        <w:t>Part 5</w:t>
      </w:r>
      <w:r w:rsidRPr="00751725">
        <w:t xml:space="preserve"> — financial arrangements</w:t>
      </w:r>
    </w:p>
    <w:p w14:paraId="3177E094" w14:textId="77777777" w:rsidR="007B4056" w:rsidRDefault="007B4056" w:rsidP="0067014F">
      <w:pPr>
        <w:pStyle w:val="Normalnumbered"/>
        <w:numPr>
          <w:ilvl w:val="0"/>
          <w:numId w:val="2"/>
        </w:numPr>
        <w:jc w:val="left"/>
      </w:pPr>
      <w:r w:rsidRPr="000E48C3">
        <w:t xml:space="preserve">The Commonwealth will </w:t>
      </w:r>
      <w:r>
        <w:t>provide</w:t>
      </w:r>
      <w:r w:rsidRPr="000E48C3">
        <w:t xml:space="preserve"> a</w:t>
      </w:r>
      <w:r>
        <w:t>n estimated total</w:t>
      </w:r>
      <w:r w:rsidRPr="000E48C3">
        <w:t xml:space="preserve"> financial contribution to </w:t>
      </w:r>
      <w:r>
        <w:t xml:space="preserve">the Northern Territory of </w:t>
      </w:r>
      <w:r w:rsidRPr="00CD526B">
        <w:t>$</w:t>
      </w:r>
      <w:r>
        <w:t xml:space="preserve">10.048m in respect of this Agreement. </w:t>
      </w:r>
      <w:r w:rsidRPr="000E48C3">
        <w:t xml:space="preserve"> </w:t>
      </w:r>
      <w:r>
        <w:t>All payments are GST exclusive.</w:t>
      </w:r>
    </w:p>
    <w:p w14:paraId="5EEF5CBD" w14:textId="77777777" w:rsidR="007B4056" w:rsidRDefault="007B4056" w:rsidP="0067014F">
      <w:pPr>
        <w:pStyle w:val="Normalnumbered"/>
        <w:numPr>
          <w:ilvl w:val="0"/>
          <w:numId w:val="2"/>
        </w:numPr>
      </w:pPr>
      <w:r>
        <w:t>T</w:t>
      </w:r>
      <w:r w:rsidRPr="002B7E1B">
        <w:t xml:space="preserve">he Commonwealth’s funding contribution will not be reduced where the </w:t>
      </w:r>
      <w:r>
        <w:t>Northern Territory</w:t>
      </w:r>
      <w:r w:rsidRPr="002B7E1B">
        <w:t xml:space="preserve"> secure funding from other activity partners</w:t>
      </w:r>
      <w:r>
        <w:t>.</w:t>
      </w:r>
    </w:p>
    <w:p w14:paraId="1FC5A9BC" w14:textId="77777777" w:rsidR="007B4056" w:rsidRPr="00751725" w:rsidRDefault="007B4056" w:rsidP="0067014F">
      <w:pPr>
        <w:pStyle w:val="Normalnumbered"/>
        <w:keepNext/>
        <w:keepLines/>
        <w:numPr>
          <w:ilvl w:val="0"/>
          <w:numId w:val="2"/>
        </w:numPr>
      </w:pPr>
      <w:r w:rsidRPr="00751725">
        <w:t>The Commonwealth</w:t>
      </w:r>
      <w:r>
        <w:t>’s</w:t>
      </w:r>
      <w:r w:rsidRPr="00751725">
        <w:t xml:space="preserve"> </w:t>
      </w:r>
      <w:r w:rsidRPr="006A6D6F">
        <w:t>estimated</w:t>
      </w:r>
      <w:r>
        <w:t xml:space="preserve"> </w:t>
      </w:r>
      <w:r w:rsidRPr="00751725">
        <w:t>financial contribution</w:t>
      </w:r>
      <w:r>
        <w:t>s</w:t>
      </w:r>
      <w:r w:rsidRPr="00751725">
        <w:t xml:space="preserve"> to the operation of </w:t>
      </w:r>
      <w:r>
        <w:t xml:space="preserve">this Agreement, including through National Partnership payments to the States paid in accordance with </w:t>
      </w:r>
      <w:r w:rsidRPr="002B7E1B">
        <w:rPr>
          <w:i/>
        </w:rPr>
        <w:t>Schedule</w:t>
      </w:r>
      <w:r>
        <w:rPr>
          <w:i/>
        </w:rPr>
        <w:t> </w:t>
      </w:r>
      <w:r w:rsidRPr="002B7E1B">
        <w:rPr>
          <w:i/>
        </w:rPr>
        <w:t>D — Payment Arrangements</w:t>
      </w:r>
      <w:r>
        <w:t xml:space="preserve"> of the IGA FFR, are shown in Table 2</w:t>
      </w:r>
      <w:r w:rsidRPr="00751725">
        <w:t>.</w:t>
      </w:r>
    </w:p>
    <w:p w14:paraId="4ED6B821" w14:textId="77777777" w:rsidR="00AB512C" w:rsidRDefault="00AB512C">
      <w:pPr>
        <w:spacing w:after="200" w:line="276" w:lineRule="auto"/>
        <w:jc w:val="left"/>
        <w:rPr>
          <w:b/>
        </w:rPr>
      </w:pPr>
      <w:r>
        <w:rPr>
          <w:b/>
        </w:rPr>
        <w:br w:type="page"/>
      </w:r>
    </w:p>
    <w:p w14:paraId="7D0D5A6C" w14:textId="4A1626AE" w:rsidR="007B4056" w:rsidRPr="00B20A7C" w:rsidRDefault="007B4056" w:rsidP="00B20A7C">
      <w:pPr>
        <w:spacing w:after="120" w:line="276" w:lineRule="auto"/>
        <w:jc w:val="left"/>
        <w:rPr>
          <w:b/>
        </w:rPr>
      </w:pPr>
      <w:r>
        <w:rPr>
          <w:b/>
        </w:rPr>
        <w:t>Table 2</w:t>
      </w:r>
      <w:r w:rsidRPr="00E204BB">
        <w:rPr>
          <w:b/>
        </w:rPr>
        <w:t xml:space="preserve">: </w:t>
      </w:r>
      <w:r w:rsidRPr="006A6D6F">
        <w:rPr>
          <w:b/>
        </w:rPr>
        <w:t>Es</w:t>
      </w:r>
      <w:r w:rsidR="00B20A7C" w:rsidRPr="006A6D6F">
        <w:rPr>
          <w:b/>
        </w:rPr>
        <w:t>timated</w:t>
      </w:r>
      <w:r w:rsidR="00B20A7C">
        <w:rPr>
          <w:b/>
        </w:rPr>
        <w:t xml:space="preserve"> financial contributions</w:t>
      </w:r>
    </w:p>
    <w:tbl>
      <w:tblPr>
        <w:tblW w:w="9747" w:type="dxa"/>
        <w:tblLayout w:type="fixed"/>
        <w:tblLook w:val="01E0" w:firstRow="1" w:lastRow="1" w:firstColumn="1" w:lastColumn="1" w:noHBand="0" w:noVBand="0"/>
      </w:tblPr>
      <w:tblGrid>
        <w:gridCol w:w="4361"/>
        <w:gridCol w:w="1346"/>
        <w:gridCol w:w="1347"/>
        <w:gridCol w:w="1346"/>
        <w:gridCol w:w="1347"/>
      </w:tblGrid>
      <w:tr w:rsidR="007146FA" w14:paraId="02783760" w14:textId="77777777" w:rsidTr="00DA5D9B">
        <w:trPr>
          <w:cantSplit/>
        </w:trPr>
        <w:tc>
          <w:tcPr>
            <w:tcW w:w="4361" w:type="dxa"/>
            <w:tcBorders>
              <w:top w:val="single" w:sz="4" w:space="0" w:color="000080"/>
            </w:tcBorders>
          </w:tcPr>
          <w:p w14:paraId="0452EC3B" w14:textId="77777777" w:rsidR="007146FA" w:rsidRPr="00C2711B" w:rsidRDefault="007146FA" w:rsidP="00561D27">
            <w:pPr>
              <w:keepNext/>
              <w:keepLines/>
              <w:spacing w:before="40" w:after="40"/>
              <w:jc w:val="left"/>
              <w:rPr>
                <w:b/>
              </w:rPr>
            </w:pPr>
            <w:r w:rsidRPr="00C2711B">
              <w:rPr>
                <w:b/>
              </w:rPr>
              <w:t>($ million)</w:t>
            </w:r>
          </w:p>
        </w:tc>
        <w:tc>
          <w:tcPr>
            <w:tcW w:w="1346" w:type="dxa"/>
            <w:tcBorders>
              <w:top w:val="single" w:sz="4" w:space="0" w:color="000080"/>
              <w:bottom w:val="single" w:sz="4" w:space="0" w:color="auto"/>
            </w:tcBorders>
          </w:tcPr>
          <w:p w14:paraId="7C3D44CF" w14:textId="77777777" w:rsidR="007146FA" w:rsidRDefault="007146FA" w:rsidP="00561D27">
            <w:pPr>
              <w:keepNext/>
              <w:keepLines/>
              <w:spacing w:before="40" w:after="40"/>
              <w:jc w:val="right"/>
            </w:pPr>
            <w:r>
              <w:t>2017-18</w:t>
            </w:r>
          </w:p>
        </w:tc>
        <w:tc>
          <w:tcPr>
            <w:tcW w:w="1347" w:type="dxa"/>
            <w:tcBorders>
              <w:top w:val="single" w:sz="4" w:space="0" w:color="000080"/>
              <w:bottom w:val="single" w:sz="4" w:space="0" w:color="000080"/>
            </w:tcBorders>
          </w:tcPr>
          <w:p w14:paraId="5585ADF0" w14:textId="77777777" w:rsidR="007146FA" w:rsidRDefault="007146FA" w:rsidP="00561D27">
            <w:pPr>
              <w:keepNext/>
              <w:keepLines/>
              <w:spacing w:before="40" w:after="40"/>
              <w:jc w:val="right"/>
            </w:pPr>
            <w:r>
              <w:t>2018-19</w:t>
            </w:r>
          </w:p>
        </w:tc>
        <w:tc>
          <w:tcPr>
            <w:tcW w:w="1346" w:type="dxa"/>
            <w:tcBorders>
              <w:top w:val="single" w:sz="4" w:space="0" w:color="000080"/>
              <w:bottom w:val="single" w:sz="4" w:space="0" w:color="000080"/>
            </w:tcBorders>
          </w:tcPr>
          <w:p w14:paraId="046EAA08" w14:textId="77777777" w:rsidR="007146FA" w:rsidRDefault="007146FA" w:rsidP="00561D27">
            <w:pPr>
              <w:keepNext/>
              <w:keepLines/>
              <w:spacing w:before="40" w:after="40"/>
              <w:jc w:val="right"/>
            </w:pPr>
            <w:r>
              <w:t>2019-2020</w:t>
            </w:r>
          </w:p>
        </w:tc>
        <w:tc>
          <w:tcPr>
            <w:tcW w:w="1347" w:type="dxa"/>
            <w:tcBorders>
              <w:top w:val="single" w:sz="4" w:space="0" w:color="000080"/>
              <w:bottom w:val="single" w:sz="4" w:space="0" w:color="000080"/>
            </w:tcBorders>
          </w:tcPr>
          <w:p w14:paraId="247DA038" w14:textId="77777777" w:rsidR="007146FA" w:rsidRDefault="007146FA" w:rsidP="00561D27">
            <w:pPr>
              <w:keepNext/>
              <w:keepLines/>
              <w:spacing w:before="40" w:after="40"/>
              <w:jc w:val="right"/>
            </w:pPr>
            <w:r>
              <w:t>Total</w:t>
            </w:r>
          </w:p>
        </w:tc>
      </w:tr>
      <w:tr w:rsidR="007146FA" w14:paraId="010CC928" w14:textId="77777777" w:rsidTr="00DA5D9B">
        <w:trPr>
          <w:cantSplit/>
        </w:trPr>
        <w:tc>
          <w:tcPr>
            <w:tcW w:w="4361" w:type="dxa"/>
          </w:tcPr>
          <w:p w14:paraId="58F105BC" w14:textId="77777777" w:rsidR="007146FA" w:rsidRPr="005B4C1B" w:rsidRDefault="007146FA" w:rsidP="00DA5D9B">
            <w:pPr>
              <w:keepNext/>
              <w:keepLines/>
              <w:spacing w:before="60" w:after="60"/>
              <w:jc w:val="left"/>
              <w:rPr>
                <w:b/>
              </w:rPr>
            </w:pPr>
            <w:r w:rsidRPr="006A6D6F">
              <w:rPr>
                <w:b/>
              </w:rPr>
              <w:t>Estimated</w:t>
            </w:r>
            <w:r w:rsidRPr="005B4C1B">
              <w:rPr>
                <w:b/>
              </w:rPr>
              <w:t xml:space="preserve"> total budget</w:t>
            </w:r>
            <w:r>
              <w:rPr>
                <w:b/>
              </w:rPr>
              <w:t xml:space="preserve"> </w:t>
            </w:r>
            <w:r w:rsidRPr="00C27124">
              <w:t>(1)</w:t>
            </w:r>
          </w:p>
        </w:tc>
        <w:tc>
          <w:tcPr>
            <w:tcW w:w="1346" w:type="dxa"/>
            <w:tcBorders>
              <w:top w:val="single" w:sz="4" w:space="0" w:color="auto"/>
            </w:tcBorders>
          </w:tcPr>
          <w:p w14:paraId="3175EF6B" w14:textId="6544EBBF" w:rsidR="007146FA" w:rsidRPr="005B4C1B" w:rsidRDefault="007146FA" w:rsidP="00561D27">
            <w:pPr>
              <w:keepNext/>
              <w:keepLines/>
              <w:spacing w:before="40" w:after="40"/>
              <w:jc w:val="right"/>
              <w:rPr>
                <w:b/>
              </w:rPr>
            </w:pPr>
            <w:r>
              <w:rPr>
                <w:b/>
              </w:rPr>
              <w:t>2.262</w:t>
            </w:r>
          </w:p>
        </w:tc>
        <w:tc>
          <w:tcPr>
            <w:tcW w:w="1347" w:type="dxa"/>
            <w:tcBorders>
              <w:top w:val="single" w:sz="4" w:space="0" w:color="000080"/>
            </w:tcBorders>
          </w:tcPr>
          <w:p w14:paraId="146E987E" w14:textId="2014EEB5" w:rsidR="007146FA" w:rsidRDefault="007C71F8" w:rsidP="005A2981">
            <w:pPr>
              <w:keepNext/>
              <w:keepLines/>
              <w:spacing w:before="40" w:after="40"/>
              <w:jc w:val="right"/>
              <w:rPr>
                <w:b/>
              </w:rPr>
            </w:pPr>
            <w:r>
              <w:rPr>
                <w:b/>
              </w:rPr>
              <w:t>2</w:t>
            </w:r>
            <w:r w:rsidR="007146FA">
              <w:rPr>
                <w:b/>
              </w:rPr>
              <w:t>.</w:t>
            </w:r>
            <w:r>
              <w:rPr>
                <w:b/>
              </w:rPr>
              <w:t>569</w:t>
            </w:r>
          </w:p>
        </w:tc>
        <w:tc>
          <w:tcPr>
            <w:tcW w:w="1346" w:type="dxa"/>
            <w:tcBorders>
              <w:top w:val="single" w:sz="4" w:space="0" w:color="000080"/>
            </w:tcBorders>
          </w:tcPr>
          <w:p w14:paraId="71DCCB39" w14:textId="77777777" w:rsidR="007146FA" w:rsidRDefault="007C71F8" w:rsidP="00B667C9">
            <w:pPr>
              <w:keepNext/>
              <w:keepLines/>
              <w:spacing w:before="40" w:after="40"/>
              <w:jc w:val="right"/>
              <w:rPr>
                <w:b/>
              </w:rPr>
            </w:pPr>
            <w:r>
              <w:rPr>
                <w:b/>
              </w:rPr>
              <w:t>5</w:t>
            </w:r>
            <w:r w:rsidR="007146FA">
              <w:rPr>
                <w:b/>
              </w:rPr>
              <w:t>.4</w:t>
            </w:r>
            <w:r>
              <w:rPr>
                <w:b/>
              </w:rPr>
              <w:t>29</w:t>
            </w:r>
          </w:p>
        </w:tc>
        <w:tc>
          <w:tcPr>
            <w:tcW w:w="1347" w:type="dxa"/>
            <w:tcBorders>
              <w:top w:val="single" w:sz="4" w:space="0" w:color="000080"/>
            </w:tcBorders>
          </w:tcPr>
          <w:p w14:paraId="3E6D456A" w14:textId="5E1653F1" w:rsidR="007146FA" w:rsidRPr="005B4C1B" w:rsidRDefault="007146FA" w:rsidP="00B667C9">
            <w:pPr>
              <w:keepNext/>
              <w:keepLines/>
              <w:spacing w:before="40" w:after="40"/>
              <w:jc w:val="right"/>
              <w:rPr>
                <w:b/>
              </w:rPr>
            </w:pPr>
            <w:r>
              <w:rPr>
                <w:b/>
              </w:rPr>
              <w:t>10</w:t>
            </w:r>
            <w:r w:rsidRPr="005B4C1B">
              <w:rPr>
                <w:b/>
              </w:rPr>
              <w:t>.</w:t>
            </w:r>
            <w:r w:rsidR="007C71F8">
              <w:rPr>
                <w:b/>
              </w:rPr>
              <w:t>260</w:t>
            </w:r>
          </w:p>
        </w:tc>
      </w:tr>
      <w:tr w:rsidR="007146FA" w14:paraId="4280B634" w14:textId="77777777" w:rsidTr="00DA5D9B">
        <w:trPr>
          <w:cantSplit/>
        </w:trPr>
        <w:tc>
          <w:tcPr>
            <w:tcW w:w="4361" w:type="dxa"/>
          </w:tcPr>
          <w:p w14:paraId="628DA83F" w14:textId="77777777" w:rsidR="007146FA" w:rsidRPr="004A673A" w:rsidRDefault="007146FA" w:rsidP="00DA5D9B">
            <w:pPr>
              <w:keepNext/>
              <w:keepLines/>
              <w:spacing w:before="60" w:after="60"/>
              <w:jc w:val="left"/>
            </w:pPr>
            <w:r>
              <w:t xml:space="preserve">Less </w:t>
            </w:r>
            <w:r w:rsidRPr="006A6D6F">
              <w:t>estimated</w:t>
            </w:r>
            <w:r>
              <w:t xml:space="preserve"> National Partnership Payments (2)</w:t>
            </w:r>
          </w:p>
        </w:tc>
        <w:tc>
          <w:tcPr>
            <w:tcW w:w="1346" w:type="dxa"/>
          </w:tcPr>
          <w:p w14:paraId="6F7C52E0" w14:textId="199F3B9D" w:rsidR="007146FA" w:rsidRPr="005B4C1B" w:rsidRDefault="007146FA" w:rsidP="00561D27">
            <w:pPr>
              <w:keepNext/>
              <w:keepLines/>
              <w:spacing w:before="40" w:after="40"/>
              <w:jc w:val="right"/>
            </w:pPr>
            <w:r>
              <w:t>2.216</w:t>
            </w:r>
          </w:p>
        </w:tc>
        <w:tc>
          <w:tcPr>
            <w:tcW w:w="1347" w:type="dxa"/>
          </w:tcPr>
          <w:p w14:paraId="0F844673" w14:textId="0CBEC191" w:rsidR="007146FA" w:rsidRDefault="001507AF" w:rsidP="005A2981">
            <w:pPr>
              <w:keepNext/>
              <w:keepLines/>
              <w:spacing w:before="40" w:after="40"/>
              <w:jc w:val="right"/>
            </w:pPr>
            <w:r>
              <w:t>2.500</w:t>
            </w:r>
          </w:p>
        </w:tc>
        <w:tc>
          <w:tcPr>
            <w:tcW w:w="1346" w:type="dxa"/>
          </w:tcPr>
          <w:p w14:paraId="608F72FB" w14:textId="77777777" w:rsidR="007146FA" w:rsidRDefault="001507AF" w:rsidP="00561D27">
            <w:pPr>
              <w:keepNext/>
              <w:keepLines/>
              <w:spacing w:before="40" w:after="40"/>
              <w:jc w:val="right"/>
            </w:pPr>
            <w:r>
              <w:t>5</w:t>
            </w:r>
            <w:r w:rsidR="007146FA">
              <w:t>.</w:t>
            </w:r>
            <w:r>
              <w:t>332</w:t>
            </w:r>
          </w:p>
        </w:tc>
        <w:tc>
          <w:tcPr>
            <w:tcW w:w="1347" w:type="dxa"/>
          </w:tcPr>
          <w:p w14:paraId="7A3AF2C7" w14:textId="77777777" w:rsidR="007146FA" w:rsidRPr="005B4C1B" w:rsidRDefault="007146FA" w:rsidP="00561D27">
            <w:pPr>
              <w:keepNext/>
              <w:keepLines/>
              <w:spacing w:before="40" w:after="40"/>
              <w:jc w:val="right"/>
            </w:pPr>
            <w:r>
              <w:t>10</w:t>
            </w:r>
            <w:r w:rsidRPr="005B4C1B">
              <w:t>.0</w:t>
            </w:r>
            <w:r>
              <w:t>48</w:t>
            </w:r>
          </w:p>
        </w:tc>
      </w:tr>
      <w:tr w:rsidR="007146FA" w14:paraId="791AD76F" w14:textId="77777777" w:rsidTr="00DA5D9B">
        <w:trPr>
          <w:cantSplit/>
        </w:trPr>
        <w:tc>
          <w:tcPr>
            <w:tcW w:w="4361" w:type="dxa"/>
          </w:tcPr>
          <w:p w14:paraId="5EDAB0BF" w14:textId="77777777" w:rsidR="007146FA" w:rsidRDefault="007146FA" w:rsidP="00DA5D9B">
            <w:pPr>
              <w:keepNext/>
              <w:keepLines/>
              <w:spacing w:before="60" w:after="60"/>
              <w:jc w:val="left"/>
            </w:pPr>
            <w:r>
              <w:t>Commonwealth own purpose expense (3)</w:t>
            </w:r>
            <w:r w:rsidRPr="004151A8">
              <w:rPr>
                <w:vertAlign w:val="superscript"/>
              </w:rPr>
              <w:t xml:space="preserve"> (</w:t>
            </w:r>
            <w:r>
              <w:rPr>
                <w:vertAlign w:val="superscript"/>
              </w:rPr>
              <w:t>a</w:t>
            </w:r>
            <w:r w:rsidRPr="004151A8">
              <w:rPr>
                <w:vertAlign w:val="superscript"/>
              </w:rPr>
              <w:t>)</w:t>
            </w:r>
          </w:p>
        </w:tc>
        <w:tc>
          <w:tcPr>
            <w:tcW w:w="1346" w:type="dxa"/>
          </w:tcPr>
          <w:p w14:paraId="06BB70A6" w14:textId="77777777" w:rsidR="007146FA" w:rsidRPr="005B4C1B" w:rsidRDefault="007146FA" w:rsidP="00561D27">
            <w:pPr>
              <w:keepNext/>
              <w:keepLines/>
              <w:spacing w:before="40" w:after="40"/>
              <w:jc w:val="right"/>
            </w:pPr>
            <w:r>
              <w:t>0.046</w:t>
            </w:r>
          </w:p>
        </w:tc>
        <w:tc>
          <w:tcPr>
            <w:tcW w:w="1347" w:type="dxa"/>
          </w:tcPr>
          <w:p w14:paraId="5FDD3AF0" w14:textId="77777777" w:rsidR="007146FA" w:rsidRDefault="007146FA" w:rsidP="00561D27">
            <w:pPr>
              <w:keepNext/>
              <w:keepLines/>
              <w:spacing w:before="40" w:after="40"/>
              <w:jc w:val="right"/>
            </w:pPr>
            <w:r>
              <w:t>0.069</w:t>
            </w:r>
          </w:p>
        </w:tc>
        <w:tc>
          <w:tcPr>
            <w:tcW w:w="1346" w:type="dxa"/>
          </w:tcPr>
          <w:p w14:paraId="452AF097" w14:textId="77777777" w:rsidR="007146FA" w:rsidRDefault="007146FA" w:rsidP="005A2981">
            <w:pPr>
              <w:keepNext/>
              <w:keepLines/>
              <w:spacing w:before="40" w:after="40"/>
              <w:jc w:val="right"/>
            </w:pPr>
            <w:r>
              <w:t>0.</w:t>
            </w:r>
            <w:r w:rsidR="001507AF">
              <w:t>097</w:t>
            </w:r>
          </w:p>
        </w:tc>
        <w:tc>
          <w:tcPr>
            <w:tcW w:w="1347" w:type="dxa"/>
          </w:tcPr>
          <w:p w14:paraId="1B5C9DCF" w14:textId="0D148EC0" w:rsidR="007146FA" w:rsidRDefault="007146FA" w:rsidP="00B667C9">
            <w:pPr>
              <w:keepNext/>
              <w:keepLines/>
              <w:spacing w:before="40" w:after="40"/>
              <w:jc w:val="right"/>
            </w:pPr>
            <w:r>
              <w:t>0.</w:t>
            </w:r>
            <w:r w:rsidR="007C71F8">
              <w:t>212</w:t>
            </w:r>
          </w:p>
        </w:tc>
      </w:tr>
      <w:tr w:rsidR="007146FA" w14:paraId="5ACFE924" w14:textId="77777777" w:rsidTr="00DA5D9B">
        <w:trPr>
          <w:cantSplit/>
        </w:trPr>
        <w:tc>
          <w:tcPr>
            <w:tcW w:w="4361" w:type="dxa"/>
            <w:tcBorders>
              <w:bottom w:val="single" w:sz="4" w:space="0" w:color="000000" w:themeColor="text1"/>
            </w:tcBorders>
          </w:tcPr>
          <w:p w14:paraId="15C7BE34" w14:textId="77777777" w:rsidR="007146FA" w:rsidRDefault="007146FA" w:rsidP="00DA5D9B">
            <w:pPr>
              <w:keepNext/>
              <w:keepLines/>
              <w:spacing w:before="60" w:after="60"/>
              <w:jc w:val="left"/>
            </w:pPr>
            <w:r>
              <w:t>Total Commonwealth contribution (4) = (2) + (3)</w:t>
            </w:r>
          </w:p>
        </w:tc>
        <w:tc>
          <w:tcPr>
            <w:tcW w:w="1346" w:type="dxa"/>
            <w:tcBorders>
              <w:bottom w:val="single" w:sz="4" w:space="0" w:color="000080"/>
            </w:tcBorders>
          </w:tcPr>
          <w:p w14:paraId="2AD8948D" w14:textId="68B522A1" w:rsidR="007146FA" w:rsidRPr="005B4C1B" w:rsidRDefault="007146FA" w:rsidP="007146FA">
            <w:pPr>
              <w:keepNext/>
              <w:keepLines/>
              <w:spacing w:before="40" w:after="40"/>
              <w:jc w:val="right"/>
            </w:pPr>
            <w:r>
              <w:t>2.262</w:t>
            </w:r>
          </w:p>
        </w:tc>
        <w:tc>
          <w:tcPr>
            <w:tcW w:w="1347" w:type="dxa"/>
            <w:tcBorders>
              <w:bottom w:val="single" w:sz="4" w:space="0" w:color="000080"/>
            </w:tcBorders>
          </w:tcPr>
          <w:p w14:paraId="51C7BFE3" w14:textId="07FE7440" w:rsidR="007146FA" w:rsidRDefault="007C71F8" w:rsidP="005A2981">
            <w:pPr>
              <w:keepNext/>
              <w:keepLines/>
              <w:spacing w:before="40" w:after="40"/>
              <w:jc w:val="right"/>
            </w:pPr>
            <w:r>
              <w:t>2</w:t>
            </w:r>
            <w:r w:rsidR="007146FA">
              <w:t>.</w:t>
            </w:r>
            <w:r>
              <w:t>569</w:t>
            </w:r>
          </w:p>
        </w:tc>
        <w:tc>
          <w:tcPr>
            <w:tcW w:w="1346" w:type="dxa"/>
            <w:tcBorders>
              <w:bottom w:val="single" w:sz="4" w:space="0" w:color="000080"/>
            </w:tcBorders>
          </w:tcPr>
          <w:p w14:paraId="7719390F" w14:textId="77777777" w:rsidR="007146FA" w:rsidRDefault="007C71F8" w:rsidP="00B667C9">
            <w:pPr>
              <w:keepNext/>
              <w:keepLines/>
              <w:spacing w:before="40" w:after="40"/>
              <w:jc w:val="right"/>
            </w:pPr>
            <w:r>
              <w:t>5</w:t>
            </w:r>
            <w:r w:rsidR="007146FA">
              <w:t>.4</w:t>
            </w:r>
            <w:r>
              <w:t>29</w:t>
            </w:r>
          </w:p>
        </w:tc>
        <w:tc>
          <w:tcPr>
            <w:tcW w:w="1347" w:type="dxa"/>
            <w:tcBorders>
              <w:bottom w:val="single" w:sz="4" w:space="0" w:color="000080"/>
            </w:tcBorders>
          </w:tcPr>
          <w:p w14:paraId="1DAEED3C" w14:textId="47BE7518" w:rsidR="007146FA" w:rsidRDefault="007146FA" w:rsidP="00B667C9">
            <w:pPr>
              <w:keepNext/>
              <w:keepLines/>
              <w:spacing w:before="40" w:after="40"/>
              <w:jc w:val="right"/>
            </w:pPr>
            <w:r>
              <w:t>10.</w:t>
            </w:r>
            <w:r w:rsidR="007C71F8">
              <w:t>260</w:t>
            </w:r>
          </w:p>
        </w:tc>
      </w:tr>
      <w:tr w:rsidR="007146FA" w14:paraId="558638EB" w14:textId="77777777" w:rsidTr="00DA5D9B">
        <w:trPr>
          <w:cantSplit/>
        </w:trPr>
        <w:tc>
          <w:tcPr>
            <w:tcW w:w="4361" w:type="dxa"/>
            <w:tcBorders>
              <w:top w:val="single" w:sz="4" w:space="0" w:color="000000" w:themeColor="text1"/>
              <w:bottom w:val="single" w:sz="4" w:space="0" w:color="000000" w:themeColor="text1"/>
            </w:tcBorders>
          </w:tcPr>
          <w:p w14:paraId="752FFBD1" w14:textId="77777777" w:rsidR="007146FA" w:rsidRPr="006146F2" w:rsidRDefault="007146FA" w:rsidP="00DA5D9B">
            <w:pPr>
              <w:keepNext/>
              <w:keepLines/>
              <w:spacing w:before="40" w:after="40"/>
              <w:jc w:val="left"/>
            </w:pPr>
            <w:r w:rsidRPr="006146F2">
              <w:t>Balance of non-Commonwealth contribution</w:t>
            </w:r>
            <w:r>
              <w:t xml:space="preserve">s (5) = </w:t>
            </w:r>
            <w:r w:rsidRPr="003064FE">
              <w:t xml:space="preserve">(1) </w:t>
            </w:r>
            <w:r w:rsidRPr="000F0952">
              <w:t>- (</w:t>
            </w:r>
            <w:r w:rsidRPr="003064FE">
              <w:t>4)</w:t>
            </w:r>
          </w:p>
        </w:tc>
        <w:tc>
          <w:tcPr>
            <w:tcW w:w="1346" w:type="dxa"/>
            <w:tcBorders>
              <w:bottom w:val="single" w:sz="4" w:space="0" w:color="000000" w:themeColor="text1"/>
            </w:tcBorders>
          </w:tcPr>
          <w:p w14:paraId="4CDC76CA" w14:textId="77777777" w:rsidR="007146FA" w:rsidRDefault="007146FA" w:rsidP="00561D27">
            <w:pPr>
              <w:keepNext/>
              <w:keepLines/>
              <w:spacing w:before="40" w:after="40"/>
              <w:jc w:val="right"/>
            </w:pPr>
            <w:r>
              <w:t>0.0</w:t>
            </w:r>
          </w:p>
        </w:tc>
        <w:tc>
          <w:tcPr>
            <w:tcW w:w="1347" w:type="dxa"/>
            <w:tcBorders>
              <w:bottom w:val="single" w:sz="4" w:space="0" w:color="000000" w:themeColor="text1"/>
            </w:tcBorders>
          </w:tcPr>
          <w:p w14:paraId="40C5F295" w14:textId="77777777" w:rsidR="007146FA" w:rsidRDefault="007146FA" w:rsidP="00561D27">
            <w:pPr>
              <w:keepNext/>
              <w:keepLines/>
              <w:spacing w:before="40" w:after="40"/>
              <w:jc w:val="right"/>
            </w:pPr>
            <w:r>
              <w:t>0.0</w:t>
            </w:r>
          </w:p>
        </w:tc>
        <w:tc>
          <w:tcPr>
            <w:tcW w:w="1346" w:type="dxa"/>
            <w:tcBorders>
              <w:bottom w:val="single" w:sz="4" w:space="0" w:color="000000" w:themeColor="text1"/>
            </w:tcBorders>
          </w:tcPr>
          <w:p w14:paraId="04F817BF" w14:textId="77777777" w:rsidR="007146FA" w:rsidRDefault="007146FA" w:rsidP="00561D27">
            <w:pPr>
              <w:keepNext/>
              <w:keepLines/>
              <w:spacing w:before="40" w:after="40"/>
              <w:jc w:val="right"/>
            </w:pPr>
            <w:r>
              <w:t>0</w:t>
            </w:r>
            <w:r w:rsidR="00235B0F">
              <w:t>.0</w:t>
            </w:r>
          </w:p>
        </w:tc>
        <w:tc>
          <w:tcPr>
            <w:tcW w:w="1347" w:type="dxa"/>
            <w:tcBorders>
              <w:bottom w:val="single" w:sz="4" w:space="0" w:color="000000" w:themeColor="text1"/>
            </w:tcBorders>
          </w:tcPr>
          <w:p w14:paraId="3CB3B727" w14:textId="77777777" w:rsidR="007146FA" w:rsidRDefault="007146FA" w:rsidP="00561D27">
            <w:pPr>
              <w:keepNext/>
              <w:keepLines/>
              <w:spacing w:before="40" w:after="40"/>
              <w:jc w:val="right"/>
            </w:pPr>
            <w:r>
              <w:t>0.0</w:t>
            </w:r>
          </w:p>
        </w:tc>
      </w:tr>
    </w:tbl>
    <w:p w14:paraId="194282D7" w14:textId="77777777" w:rsidR="00736B72" w:rsidRDefault="00736B72" w:rsidP="00736B72">
      <w:pPr>
        <w:pStyle w:val="Normalnumbered"/>
        <w:numPr>
          <w:ilvl w:val="0"/>
          <w:numId w:val="0"/>
        </w:numPr>
        <w:spacing w:after="0"/>
        <w:rPr>
          <w:color w:val="auto"/>
          <w:sz w:val="20"/>
        </w:rPr>
      </w:pPr>
      <w:r w:rsidRPr="004151A8">
        <w:rPr>
          <w:vertAlign w:val="superscript"/>
        </w:rPr>
        <w:t>(</w:t>
      </w:r>
      <w:r>
        <w:rPr>
          <w:vertAlign w:val="superscript"/>
        </w:rPr>
        <w:t>a</w:t>
      </w:r>
      <w:r w:rsidRPr="004151A8">
        <w:rPr>
          <w:vertAlign w:val="superscript"/>
        </w:rPr>
        <w:t>)</w:t>
      </w:r>
      <w:r>
        <w:rPr>
          <w:vertAlign w:val="superscript"/>
        </w:rPr>
        <w:t xml:space="preserve"> </w:t>
      </w:r>
      <w:r>
        <w:rPr>
          <w:color w:val="auto"/>
          <w:sz w:val="20"/>
        </w:rPr>
        <w:t>Commonwealth funding for f</w:t>
      </w:r>
      <w:r w:rsidRPr="00AF1177">
        <w:rPr>
          <w:color w:val="auto"/>
          <w:sz w:val="20"/>
        </w:rPr>
        <w:t>inalisation of the Detailed Business Case required for</w:t>
      </w:r>
      <w:r>
        <w:rPr>
          <w:color w:val="auto"/>
          <w:sz w:val="20"/>
        </w:rPr>
        <w:t xml:space="preserve"> the </w:t>
      </w:r>
      <w:r w:rsidRPr="004151A8">
        <w:rPr>
          <w:color w:val="auto"/>
          <w:sz w:val="20"/>
        </w:rPr>
        <w:t>Two Stage Capital Works Approval Process</w:t>
      </w:r>
      <w:r>
        <w:rPr>
          <w:color w:val="auto"/>
          <w:sz w:val="20"/>
        </w:rPr>
        <w:t xml:space="preserve"> and </w:t>
      </w:r>
      <w:r w:rsidRPr="004847F0">
        <w:rPr>
          <w:color w:val="auto"/>
          <w:sz w:val="20"/>
        </w:rPr>
        <w:t xml:space="preserve">capacity building </w:t>
      </w:r>
      <w:r>
        <w:rPr>
          <w:color w:val="auto"/>
          <w:sz w:val="20"/>
        </w:rPr>
        <w:t xml:space="preserve">support </w:t>
      </w:r>
      <w:r w:rsidRPr="004847F0">
        <w:rPr>
          <w:color w:val="auto"/>
          <w:sz w:val="20"/>
        </w:rPr>
        <w:t>of traditional Aboriginal owners</w:t>
      </w:r>
      <w:r>
        <w:rPr>
          <w:color w:val="auto"/>
          <w:sz w:val="20"/>
        </w:rPr>
        <w:t>.</w:t>
      </w:r>
    </w:p>
    <w:p w14:paraId="27A22210" w14:textId="77777777" w:rsidR="00736B72" w:rsidRDefault="00736B72" w:rsidP="00736B72">
      <w:pPr>
        <w:pStyle w:val="Normalnumbered"/>
        <w:numPr>
          <w:ilvl w:val="0"/>
          <w:numId w:val="0"/>
        </w:numPr>
        <w:ind w:left="567"/>
      </w:pPr>
    </w:p>
    <w:p w14:paraId="12017CE2" w14:textId="77777777" w:rsidR="007B4056" w:rsidRDefault="007B4056" w:rsidP="0067014F">
      <w:pPr>
        <w:pStyle w:val="Normalnumbered"/>
        <w:numPr>
          <w:ilvl w:val="0"/>
          <w:numId w:val="2"/>
        </w:numPr>
      </w:pPr>
      <w:r w:rsidRPr="00C738BD">
        <w:t xml:space="preserve">Having regard to the agreed </w:t>
      </w:r>
      <w:r w:rsidRPr="006A6D6F">
        <w:t>estimated</w:t>
      </w:r>
      <w:r w:rsidRPr="00C738BD">
        <w:t xml:space="preserve"> costs of projects specified in </w:t>
      </w:r>
      <w:r>
        <w:t>this Agreement</w:t>
      </w:r>
      <w:r w:rsidRPr="00C738BD">
        <w:t xml:space="preserve">, </w:t>
      </w:r>
      <w:r>
        <w:t xml:space="preserve">the Northern </w:t>
      </w:r>
      <w:r w:rsidRPr="00C738BD">
        <w:t>Territory will not be required to pay a refund to the Commonwealth if the actual cost of the project is less than the agreed</w:t>
      </w:r>
      <w:r>
        <w:t xml:space="preserve"> </w:t>
      </w:r>
      <w:r w:rsidRPr="006A6D6F">
        <w:t>estimated</w:t>
      </w:r>
      <w:r>
        <w:t xml:space="preserve"> cost of the project.  </w:t>
      </w:r>
      <w:r w:rsidRPr="00C738BD">
        <w:t xml:space="preserve">Similarly, the </w:t>
      </w:r>
      <w:r>
        <w:t xml:space="preserve">Northern Territory </w:t>
      </w:r>
      <w:r w:rsidRPr="00C738BD">
        <w:t>bear</w:t>
      </w:r>
      <w:r>
        <w:t>s</w:t>
      </w:r>
      <w:r w:rsidRPr="00C738BD">
        <w:t xml:space="preserve"> all risk should the costs of a project exceed the agreed </w:t>
      </w:r>
      <w:r w:rsidRPr="006A6D6F">
        <w:t>estimated</w:t>
      </w:r>
      <w:r w:rsidRPr="00C738BD">
        <w:t xml:space="preserve"> cost</w:t>
      </w:r>
      <w:r>
        <w:t>s.</w:t>
      </w:r>
      <w:r w:rsidRPr="00C738BD">
        <w:t xml:space="preserve"> The Parties acknowledge that this arrangement provides the maximum incentive for the </w:t>
      </w:r>
      <w:r>
        <w:t>Northern Territory</w:t>
      </w:r>
      <w:r w:rsidRPr="00C738BD">
        <w:t xml:space="preserve"> to deliver projects cost effectively and efficiently.</w:t>
      </w:r>
    </w:p>
    <w:p w14:paraId="5E209F00" w14:textId="77777777" w:rsidR="007B4056" w:rsidRDefault="007B4056" w:rsidP="007B4056">
      <w:pPr>
        <w:pStyle w:val="Heading1"/>
      </w:pPr>
      <w:bookmarkStart w:id="1" w:name="top"/>
      <w:bookmarkEnd w:id="1"/>
      <w:r>
        <w:t>Part 6 — governance arrangements</w:t>
      </w:r>
    </w:p>
    <w:p w14:paraId="2480A5FB" w14:textId="77777777" w:rsidR="002360D7" w:rsidRPr="002360D7" w:rsidRDefault="002360D7" w:rsidP="002360D7">
      <w:pPr>
        <w:pStyle w:val="Heading2"/>
      </w:pPr>
      <w:r w:rsidRPr="002360D7">
        <w:t xml:space="preserve">Review of the Agreement </w:t>
      </w:r>
    </w:p>
    <w:p w14:paraId="766C65FF" w14:textId="77777777" w:rsidR="002360D7" w:rsidRDefault="002360D7" w:rsidP="003F13F9">
      <w:pPr>
        <w:pStyle w:val="OutlineNumbered1"/>
        <w:numPr>
          <w:ilvl w:val="0"/>
          <w:numId w:val="2"/>
        </w:numPr>
      </w:pPr>
      <w:r w:rsidRPr="0027395A">
        <w:t>To assess the degree to which the purpose and outcomes have been achieved and to inform decisions regarding the next stage of work following the expiry of this agreement, a review of the Agreement will be scheduled to be completed approximately six months prior to its expiry.</w:t>
      </w:r>
    </w:p>
    <w:p w14:paraId="3791E358" w14:textId="77777777" w:rsidR="007B4056" w:rsidRDefault="007B4056" w:rsidP="007B4056">
      <w:pPr>
        <w:pStyle w:val="Heading2"/>
      </w:pPr>
      <w:r w:rsidRPr="006F096A">
        <w:t>Enforceability of the Agreement</w:t>
      </w:r>
    </w:p>
    <w:p w14:paraId="72CB7C9C" w14:textId="77777777" w:rsidR="007B4056" w:rsidRPr="00811D0B" w:rsidRDefault="007B4056" w:rsidP="0067014F">
      <w:pPr>
        <w:pStyle w:val="Normalnumbered"/>
        <w:numPr>
          <w:ilvl w:val="0"/>
          <w:numId w:val="2"/>
        </w:numPr>
        <w:spacing w:line="240" w:lineRule="auto"/>
      </w:pPr>
      <w:r>
        <w:rPr>
          <w:szCs w:val="23"/>
        </w:rPr>
        <w:t>The Parties do not intend any of the provisions of this Agreement to be legally enforceable. However, that does not lessen the Parties’ commitment to this Agreement.</w:t>
      </w:r>
    </w:p>
    <w:p w14:paraId="03785E1E" w14:textId="77777777" w:rsidR="007B4056" w:rsidRDefault="007B4056" w:rsidP="007B4056">
      <w:pPr>
        <w:pStyle w:val="Heading2"/>
      </w:pPr>
      <w:r>
        <w:t>Variation of the Agreement</w:t>
      </w:r>
    </w:p>
    <w:p w14:paraId="3BBF58AD" w14:textId="77777777" w:rsidR="007B4056" w:rsidRPr="00DE36EB" w:rsidRDefault="007B4056" w:rsidP="0067014F">
      <w:pPr>
        <w:pStyle w:val="Normalnumbered"/>
        <w:numPr>
          <w:ilvl w:val="0"/>
          <w:numId w:val="2"/>
        </w:numPr>
      </w:pPr>
      <w:r>
        <w:t xml:space="preserve">The Agreement may be amended at any time by agreement in writing by </w:t>
      </w:r>
      <w:r w:rsidRPr="00DE36EB">
        <w:t>both the Parties.</w:t>
      </w:r>
    </w:p>
    <w:p w14:paraId="36B9AC08" w14:textId="77777777" w:rsidR="007B4056" w:rsidRDefault="007B4056" w:rsidP="0067014F">
      <w:pPr>
        <w:pStyle w:val="Normalnumbered"/>
        <w:numPr>
          <w:ilvl w:val="0"/>
          <w:numId w:val="2"/>
        </w:numPr>
      </w:pPr>
      <w:r w:rsidRPr="00DE36EB">
        <w:t>Either Party to the Agreement may terminate their part</w:t>
      </w:r>
      <w:r>
        <w:t>icipation in the Agreement at any time by notifying the other Party</w:t>
      </w:r>
      <w:r>
        <w:rPr>
          <w:i/>
        </w:rPr>
        <w:t xml:space="preserve"> </w:t>
      </w:r>
      <w:r>
        <w:t>in writing.</w:t>
      </w:r>
    </w:p>
    <w:p w14:paraId="0C0977D1" w14:textId="77777777" w:rsidR="007B4056" w:rsidRDefault="007B4056" w:rsidP="007B4056">
      <w:pPr>
        <w:pStyle w:val="Heading2"/>
      </w:pPr>
      <w:r>
        <w:t>Delegations</w:t>
      </w:r>
    </w:p>
    <w:p w14:paraId="62463649" w14:textId="77777777" w:rsidR="007B4056" w:rsidRDefault="007B4056" w:rsidP="0067014F">
      <w:pPr>
        <w:pStyle w:val="Normalnumbered"/>
        <w:numPr>
          <w:ilvl w:val="0"/>
          <w:numId w:val="2"/>
        </w:numPr>
      </w:pPr>
      <w:r>
        <w:t>The Commonwealth Minister may delegate the assessment of performance against milestones and the authorisation of related project payments to senior Commonwealth officials, having regard to the financial and policy risks associated with those payments.</w:t>
      </w:r>
    </w:p>
    <w:p w14:paraId="3A9D728D" w14:textId="77777777" w:rsidR="007B4056" w:rsidRDefault="007B4056" w:rsidP="007B4056">
      <w:pPr>
        <w:pStyle w:val="Heading2"/>
      </w:pPr>
      <w:r>
        <w:t>Dispute resolution</w:t>
      </w:r>
    </w:p>
    <w:p w14:paraId="45405181" w14:textId="77777777" w:rsidR="007B4056" w:rsidRPr="00DE36EB" w:rsidRDefault="007B4056" w:rsidP="0067014F">
      <w:pPr>
        <w:pStyle w:val="Normalnumbered"/>
        <w:numPr>
          <w:ilvl w:val="0"/>
          <w:numId w:val="2"/>
        </w:numPr>
      </w:pPr>
      <w:r w:rsidDel="00464E7A">
        <w:t xml:space="preserve"> </w:t>
      </w:r>
      <w:r w:rsidRPr="00DE36EB">
        <w:t>Either Party may give notice to other Party of a dispute under this Agreement.</w:t>
      </w:r>
    </w:p>
    <w:p w14:paraId="4F83AA3D" w14:textId="77777777" w:rsidR="007B4056" w:rsidRPr="00DE36EB" w:rsidRDefault="007B4056" w:rsidP="0067014F">
      <w:pPr>
        <w:pStyle w:val="Normalnumbered"/>
        <w:numPr>
          <w:ilvl w:val="0"/>
          <w:numId w:val="2"/>
        </w:numPr>
      </w:pPr>
      <w:r w:rsidRPr="00DE36EB">
        <w:t>Officials of both</w:t>
      </w:r>
      <w:r w:rsidRPr="00DE36EB">
        <w:rPr>
          <w:i/>
        </w:rPr>
        <w:t xml:space="preserve"> </w:t>
      </w:r>
      <w:r w:rsidRPr="00DE36EB">
        <w:t>Parties will attempt to resolve any dispute in the first instance.</w:t>
      </w:r>
    </w:p>
    <w:p w14:paraId="0926C0FA" w14:textId="77777777" w:rsidR="007B4056" w:rsidRPr="00DE36EB" w:rsidRDefault="007B4056" w:rsidP="0067014F">
      <w:pPr>
        <w:pStyle w:val="Normalnumbered"/>
        <w:numPr>
          <w:ilvl w:val="0"/>
          <w:numId w:val="2"/>
        </w:numPr>
      </w:pPr>
      <w:r w:rsidRPr="00DE36EB">
        <w:t>If a dispute cannot be resolved by officials, it may be escalated to the relevant Ministers.</w:t>
      </w:r>
    </w:p>
    <w:p w14:paraId="2EC5EFFE" w14:textId="77777777" w:rsidR="007B4056" w:rsidRPr="00DE36EB" w:rsidRDefault="007B4056" w:rsidP="007B4056">
      <w:pPr>
        <w:pStyle w:val="Heading2"/>
        <w:rPr>
          <w:b w:val="0"/>
          <w:i/>
          <w:sz w:val="23"/>
          <w:szCs w:val="23"/>
        </w:rPr>
      </w:pPr>
      <w:r>
        <w:t xml:space="preserve">Interpretation </w:t>
      </w:r>
    </w:p>
    <w:p w14:paraId="7A94AD73" w14:textId="77777777" w:rsidR="007B4056" w:rsidRDefault="007B4056" w:rsidP="0067014F">
      <w:pPr>
        <w:pStyle w:val="Normalnumbered"/>
        <w:numPr>
          <w:ilvl w:val="0"/>
          <w:numId w:val="2"/>
        </w:numPr>
        <w:jc w:val="left"/>
      </w:pPr>
      <w:r>
        <w:t>For the purposes of this Agreement:</w:t>
      </w:r>
    </w:p>
    <w:p w14:paraId="34CF0E3D" w14:textId="77777777" w:rsidR="007B4056" w:rsidRDefault="007B4056" w:rsidP="006C290E">
      <w:pPr>
        <w:pStyle w:val="AlphaParagraph"/>
        <w:numPr>
          <w:ilvl w:val="0"/>
          <w:numId w:val="6"/>
        </w:numPr>
        <w:tabs>
          <w:tab w:val="clear" w:pos="283"/>
          <w:tab w:val="clear" w:pos="567"/>
          <w:tab w:val="clear" w:pos="1418"/>
          <w:tab w:val="clear" w:pos="1701"/>
        </w:tabs>
        <w:ind w:left="1134" w:hanging="567"/>
      </w:pPr>
      <w:r>
        <w:t>Former Rum Jungle Uranium Field means the following four sites – Rum Jungle, Rum Jungle Creek South, Mount Burton and Mount Fitch;</w:t>
      </w:r>
    </w:p>
    <w:p w14:paraId="0661FE93" w14:textId="77777777" w:rsidR="007B4056" w:rsidRDefault="007B4056" w:rsidP="006C290E">
      <w:pPr>
        <w:pStyle w:val="AlphaParagraph"/>
        <w:numPr>
          <w:ilvl w:val="0"/>
          <w:numId w:val="6"/>
        </w:numPr>
        <w:tabs>
          <w:tab w:val="clear" w:pos="283"/>
          <w:tab w:val="clear" w:pos="567"/>
          <w:tab w:val="clear" w:pos="1418"/>
          <w:tab w:val="clear" w:pos="1701"/>
        </w:tabs>
        <w:ind w:left="1134" w:hanging="567"/>
      </w:pPr>
      <w:r>
        <w:t>Rum Jungle means the area of land identified as Section 2968, Hundred of Goyder;</w:t>
      </w:r>
      <w:r w:rsidR="00D356D9">
        <w:t xml:space="preserve"> and</w:t>
      </w:r>
    </w:p>
    <w:p w14:paraId="627605AF" w14:textId="5BB2C57B" w:rsidR="00630D2D" w:rsidRDefault="007B4056" w:rsidP="006C290E">
      <w:pPr>
        <w:pStyle w:val="AlphaParagraph"/>
        <w:numPr>
          <w:ilvl w:val="0"/>
          <w:numId w:val="6"/>
        </w:numPr>
        <w:tabs>
          <w:tab w:val="clear" w:pos="283"/>
          <w:tab w:val="clear" w:pos="567"/>
          <w:tab w:val="clear" w:pos="1418"/>
          <w:tab w:val="clear" w:pos="1701"/>
        </w:tabs>
        <w:ind w:left="1134" w:hanging="567"/>
      </w:pPr>
      <w:r>
        <w:t>Rum Jungle Creek South means the area of land identified as Section 2830, Hundred of Goyder</w:t>
      </w:r>
      <w:r w:rsidR="008947C3">
        <w:t>.</w:t>
      </w:r>
    </w:p>
    <w:p w14:paraId="70E30385" w14:textId="77777777" w:rsidR="00CA2619" w:rsidRPr="00CF3062" w:rsidRDefault="00CA2619" w:rsidP="00C97221">
      <w:pPr>
        <w:pStyle w:val="AlphaParagraph"/>
        <w:numPr>
          <w:ilvl w:val="0"/>
          <w:numId w:val="6"/>
        </w:numPr>
        <w:tabs>
          <w:tab w:val="clear" w:pos="283"/>
          <w:tab w:val="clear" w:pos="567"/>
          <w:tab w:val="clear" w:pos="1418"/>
          <w:tab w:val="clear" w:pos="1701"/>
        </w:tabs>
        <w:ind w:left="1134" w:hanging="567"/>
        <w:rPr>
          <w:lang w:val="en-GB"/>
        </w:rPr>
      </w:pPr>
      <w:r w:rsidRPr="00CF3062">
        <w:rPr>
          <w:lang w:val="en-GB"/>
        </w:rPr>
        <w:br w:type="page"/>
      </w:r>
    </w:p>
    <w:p w14:paraId="500B0A2A" w14:textId="77777777" w:rsidR="007B4056" w:rsidRPr="00A50751" w:rsidRDefault="007B4056" w:rsidP="007B4056">
      <w:pPr>
        <w:rPr>
          <w:lang w:val="en-GB"/>
        </w:rPr>
      </w:pPr>
      <w:r w:rsidRPr="00A50751">
        <w:rPr>
          <w:lang w:val="en-GB"/>
        </w:rPr>
        <w:t xml:space="preserve">The </w:t>
      </w:r>
      <w:r w:rsidRPr="00C57BB9">
        <w:rPr>
          <w:sz w:val="24"/>
          <w:szCs w:val="24"/>
        </w:rPr>
        <w:t>Parties</w:t>
      </w:r>
      <w:r w:rsidRPr="00A50751">
        <w:rPr>
          <w:lang w:val="en-GB"/>
        </w:rPr>
        <w:t xml:space="preserve"> have confirmed their commitment to this agreement as follows:</w:t>
      </w:r>
    </w:p>
    <w:tbl>
      <w:tblPr>
        <w:tblW w:w="0" w:type="auto"/>
        <w:jc w:val="center"/>
        <w:tblLayout w:type="fixed"/>
        <w:tblLook w:val="01E0" w:firstRow="1" w:lastRow="1" w:firstColumn="1" w:lastColumn="1" w:noHBand="0" w:noVBand="0"/>
      </w:tblPr>
      <w:tblGrid>
        <w:gridCol w:w="5103"/>
        <w:gridCol w:w="851"/>
        <w:gridCol w:w="3402"/>
      </w:tblGrid>
      <w:tr w:rsidR="007B4056" w:rsidRPr="00A50751" w14:paraId="1722BA19" w14:textId="77777777" w:rsidTr="00EA1F04">
        <w:trPr>
          <w:cantSplit/>
          <w:jc w:val="center"/>
        </w:trPr>
        <w:tc>
          <w:tcPr>
            <w:tcW w:w="5103" w:type="dxa"/>
          </w:tcPr>
          <w:p w14:paraId="5291C90B" w14:textId="77777777" w:rsidR="007B4056" w:rsidRPr="004A0AE7" w:rsidRDefault="007B4056" w:rsidP="00211A1D">
            <w:pPr>
              <w:pStyle w:val="Signed"/>
            </w:pPr>
            <w:r>
              <w:rPr>
                <w:rStyle w:val="SignedBold"/>
              </w:rPr>
              <w:t>Signed</w:t>
            </w:r>
            <w:r w:rsidRPr="004A0AE7">
              <w:t xml:space="preserve"> for and on behalf of the</w:t>
            </w:r>
            <w:r>
              <w:t xml:space="preserve"> </w:t>
            </w:r>
            <w:r w:rsidRPr="004A0AE7">
              <w:t>Commonwealth of Australia by</w:t>
            </w:r>
          </w:p>
          <w:p w14:paraId="3DDA9864" w14:textId="65E8615E" w:rsidR="007B4056" w:rsidRPr="00A50751" w:rsidRDefault="0071495D" w:rsidP="00211A1D">
            <w:pPr>
              <w:pStyle w:val="LineForSignature"/>
            </w:pPr>
            <w:r>
              <w:br/>
            </w:r>
            <w:r w:rsidR="007B4056">
              <w:tab/>
            </w:r>
          </w:p>
          <w:p w14:paraId="061515AA" w14:textId="0DBCCAFF" w:rsidR="006A6D6F" w:rsidRDefault="00DC6008" w:rsidP="006A6D6F">
            <w:pPr>
              <w:pStyle w:val="SingleParagraph"/>
              <w:rPr>
                <w:rStyle w:val="Bold"/>
              </w:rPr>
            </w:pPr>
            <w:r w:rsidRPr="00273828">
              <w:rPr>
                <w:rStyle w:val="Bold"/>
              </w:rPr>
              <w:t xml:space="preserve">Senator </w:t>
            </w:r>
            <w:r w:rsidR="00D23543" w:rsidRPr="00273828">
              <w:rPr>
                <w:rStyle w:val="Bold"/>
              </w:rPr>
              <w:t>t</w:t>
            </w:r>
            <w:r w:rsidR="007B4056" w:rsidRPr="00273828">
              <w:rPr>
                <w:rStyle w:val="Bold"/>
              </w:rPr>
              <w:t xml:space="preserve">he Honourable </w:t>
            </w:r>
            <w:r w:rsidRPr="00273828">
              <w:rPr>
                <w:rStyle w:val="Bold"/>
              </w:rPr>
              <w:t>Matthew Canavan</w:t>
            </w:r>
          </w:p>
          <w:p w14:paraId="2468C8B4" w14:textId="77777777" w:rsidR="007B4056" w:rsidRDefault="007B4056" w:rsidP="00B055E0">
            <w:pPr>
              <w:pStyle w:val="Position"/>
              <w:rPr>
                <w:lang w:val="en-GB"/>
              </w:rPr>
            </w:pPr>
            <w:r w:rsidRPr="00CF6DFC">
              <w:rPr>
                <w:lang w:val="en-GB"/>
              </w:rPr>
              <w:t xml:space="preserve">Minister for </w:t>
            </w:r>
            <w:r w:rsidR="00DC3B4C" w:rsidRPr="00DC3B4C">
              <w:rPr>
                <w:lang w:val="en-GB"/>
              </w:rPr>
              <w:t>Resources and Northern Australia</w:t>
            </w:r>
            <w:r>
              <w:rPr>
                <w:lang w:val="en-GB"/>
              </w:rPr>
              <w:t xml:space="preserve"> </w:t>
            </w:r>
          </w:p>
          <w:p w14:paraId="62E86ECA" w14:textId="41EAC22A" w:rsidR="007B4056" w:rsidRDefault="00AB512C" w:rsidP="00AB512C">
            <w:pPr>
              <w:pStyle w:val="SingleParagraph"/>
              <w:tabs>
                <w:tab w:val="num" w:pos="1134"/>
                <w:tab w:val="left" w:pos="1542"/>
              </w:tabs>
              <w:spacing w:after="240"/>
              <w:ind w:left="1134" w:hanging="567"/>
              <w:rPr>
                <w:b/>
                <w:lang w:val="en-GB"/>
              </w:rPr>
            </w:pPr>
            <w:r>
              <w:rPr>
                <w:lang w:val="en-GB"/>
              </w:rPr>
              <w:t xml:space="preserve">       </w:t>
            </w:r>
            <w:r w:rsidR="002A0910" w:rsidRPr="00AB512C">
              <w:rPr>
                <w:lang w:val="en-GB"/>
              </w:rPr>
              <w:t>March</w:t>
            </w:r>
            <w:r w:rsidR="007B4056">
              <w:rPr>
                <w:lang w:val="en-GB"/>
              </w:rPr>
              <w:t xml:space="preserve">  201</w:t>
            </w:r>
            <w:r w:rsidR="009120A5">
              <w:rPr>
                <w:lang w:val="en-GB"/>
              </w:rPr>
              <w:t>9</w:t>
            </w:r>
          </w:p>
        </w:tc>
        <w:tc>
          <w:tcPr>
            <w:tcW w:w="851" w:type="dxa"/>
            <w:tcMar>
              <w:left w:w="0" w:type="dxa"/>
              <w:right w:w="0" w:type="dxa"/>
            </w:tcMar>
          </w:tcPr>
          <w:p w14:paraId="09EF2D94" w14:textId="77777777" w:rsidR="007B4056" w:rsidRPr="00A50751" w:rsidRDefault="007B4056" w:rsidP="00211A1D">
            <w:pPr>
              <w:rPr>
                <w:rFonts w:ascii="Book Antiqua" w:hAnsi="Book Antiqua"/>
                <w:lang w:val="en-GB"/>
              </w:rPr>
            </w:pPr>
          </w:p>
        </w:tc>
        <w:tc>
          <w:tcPr>
            <w:tcW w:w="3402" w:type="dxa"/>
          </w:tcPr>
          <w:p w14:paraId="37B43359" w14:textId="77777777" w:rsidR="007B4056" w:rsidRPr="00A50751" w:rsidRDefault="007B4056" w:rsidP="00211A1D">
            <w:pPr>
              <w:rPr>
                <w:rFonts w:ascii="Book Antiqua" w:hAnsi="Book Antiqua"/>
                <w:lang w:val="en-GB"/>
              </w:rPr>
            </w:pPr>
          </w:p>
        </w:tc>
      </w:tr>
      <w:tr w:rsidR="007B4056" w:rsidRPr="00A50751" w14:paraId="195F5D17" w14:textId="77777777" w:rsidTr="00EA1F04">
        <w:trPr>
          <w:cantSplit/>
          <w:jc w:val="center"/>
        </w:trPr>
        <w:tc>
          <w:tcPr>
            <w:tcW w:w="5103" w:type="dxa"/>
          </w:tcPr>
          <w:p w14:paraId="2A49FF9D" w14:textId="77777777" w:rsidR="007B4056" w:rsidRPr="00A50751" w:rsidRDefault="007B4056" w:rsidP="00211A1D">
            <w:pPr>
              <w:pStyle w:val="SingleParagraph"/>
              <w:rPr>
                <w:rFonts w:ascii="Book Antiqua" w:hAnsi="Book Antiqua"/>
                <w:lang w:val="en-GB"/>
              </w:rPr>
            </w:pPr>
          </w:p>
        </w:tc>
        <w:tc>
          <w:tcPr>
            <w:tcW w:w="851" w:type="dxa"/>
            <w:tcMar>
              <w:left w:w="0" w:type="dxa"/>
              <w:right w:w="0" w:type="dxa"/>
            </w:tcMar>
          </w:tcPr>
          <w:p w14:paraId="73DFFC27" w14:textId="77777777" w:rsidR="007B4056" w:rsidRPr="00A50751" w:rsidRDefault="007B4056" w:rsidP="00211A1D">
            <w:pPr>
              <w:pStyle w:val="SingleParagraph"/>
              <w:rPr>
                <w:rFonts w:ascii="Book Antiqua" w:hAnsi="Book Antiqua"/>
                <w:lang w:val="en-GB"/>
              </w:rPr>
            </w:pPr>
          </w:p>
        </w:tc>
        <w:tc>
          <w:tcPr>
            <w:tcW w:w="3402" w:type="dxa"/>
          </w:tcPr>
          <w:p w14:paraId="72D9675D" w14:textId="77777777" w:rsidR="007B4056" w:rsidRPr="00A50751" w:rsidRDefault="007B4056" w:rsidP="00211A1D">
            <w:pPr>
              <w:pStyle w:val="SingleParagraph"/>
              <w:rPr>
                <w:rFonts w:ascii="Book Antiqua" w:hAnsi="Book Antiqua"/>
                <w:lang w:val="en-GB"/>
              </w:rPr>
            </w:pPr>
          </w:p>
        </w:tc>
      </w:tr>
      <w:tr w:rsidR="007B4056" w:rsidRPr="00A50751" w14:paraId="07D30087" w14:textId="77777777" w:rsidTr="00EA1F04">
        <w:trPr>
          <w:cantSplit/>
          <w:jc w:val="center"/>
        </w:trPr>
        <w:tc>
          <w:tcPr>
            <w:tcW w:w="5103" w:type="dxa"/>
          </w:tcPr>
          <w:p w14:paraId="7A82EA08" w14:textId="77777777" w:rsidR="007B4056" w:rsidRPr="00A50751" w:rsidRDefault="007B4056" w:rsidP="00211A1D">
            <w:pPr>
              <w:pStyle w:val="SingleParagraph"/>
              <w:rPr>
                <w:rFonts w:ascii="Book Antiqua" w:hAnsi="Book Antiqua"/>
                <w:lang w:val="en-GB"/>
              </w:rPr>
            </w:pPr>
          </w:p>
        </w:tc>
        <w:tc>
          <w:tcPr>
            <w:tcW w:w="851" w:type="dxa"/>
            <w:tcMar>
              <w:left w:w="0" w:type="dxa"/>
              <w:right w:w="0" w:type="dxa"/>
            </w:tcMar>
          </w:tcPr>
          <w:p w14:paraId="0B593B55" w14:textId="77777777" w:rsidR="007B4056" w:rsidRPr="00A50751" w:rsidRDefault="007B4056" w:rsidP="00211A1D">
            <w:pPr>
              <w:pStyle w:val="SingleParagraph"/>
              <w:rPr>
                <w:rFonts w:ascii="Book Antiqua" w:hAnsi="Book Antiqua"/>
                <w:lang w:val="en-GB"/>
              </w:rPr>
            </w:pPr>
          </w:p>
        </w:tc>
        <w:tc>
          <w:tcPr>
            <w:tcW w:w="3402" w:type="dxa"/>
          </w:tcPr>
          <w:p w14:paraId="7945DA42" w14:textId="77777777" w:rsidR="007B4056" w:rsidRPr="00A50751" w:rsidRDefault="007B4056" w:rsidP="00211A1D">
            <w:pPr>
              <w:pStyle w:val="SingleParagraph"/>
              <w:rPr>
                <w:rFonts w:ascii="Book Antiqua" w:hAnsi="Book Antiqua"/>
                <w:lang w:val="en-GB"/>
              </w:rPr>
            </w:pPr>
          </w:p>
        </w:tc>
      </w:tr>
      <w:tr w:rsidR="007B4056" w:rsidRPr="00A50751" w14:paraId="295B6B05" w14:textId="77777777" w:rsidTr="00EA1F04">
        <w:trPr>
          <w:cantSplit/>
          <w:jc w:val="center"/>
        </w:trPr>
        <w:tc>
          <w:tcPr>
            <w:tcW w:w="5103" w:type="dxa"/>
          </w:tcPr>
          <w:p w14:paraId="44C7F9E8" w14:textId="77777777" w:rsidR="007B4056" w:rsidRPr="00A50751" w:rsidRDefault="007B4056" w:rsidP="00211A1D">
            <w:pPr>
              <w:pStyle w:val="SingleParagraph"/>
              <w:rPr>
                <w:rFonts w:ascii="Book Antiqua" w:hAnsi="Book Antiqua"/>
                <w:lang w:val="en-GB"/>
              </w:rPr>
            </w:pPr>
          </w:p>
        </w:tc>
        <w:tc>
          <w:tcPr>
            <w:tcW w:w="851" w:type="dxa"/>
            <w:tcMar>
              <w:left w:w="0" w:type="dxa"/>
              <w:right w:w="0" w:type="dxa"/>
            </w:tcMar>
          </w:tcPr>
          <w:p w14:paraId="46CB2255" w14:textId="77777777" w:rsidR="007B4056" w:rsidRPr="00A50751" w:rsidRDefault="007B4056" w:rsidP="00211A1D">
            <w:pPr>
              <w:pStyle w:val="SingleParagraph"/>
              <w:rPr>
                <w:rFonts w:ascii="Book Antiqua" w:hAnsi="Book Antiqua"/>
                <w:lang w:val="en-GB"/>
              </w:rPr>
            </w:pPr>
          </w:p>
        </w:tc>
        <w:tc>
          <w:tcPr>
            <w:tcW w:w="3402" w:type="dxa"/>
          </w:tcPr>
          <w:p w14:paraId="79F0E3AD" w14:textId="77777777" w:rsidR="007B4056" w:rsidRPr="00A50751" w:rsidRDefault="007B4056" w:rsidP="00211A1D">
            <w:pPr>
              <w:pStyle w:val="SingleParagraph"/>
              <w:rPr>
                <w:rFonts w:ascii="Book Antiqua" w:hAnsi="Book Antiqua"/>
                <w:lang w:val="en-GB"/>
              </w:rPr>
            </w:pPr>
          </w:p>
        </w:tc>
      </w:tr>
      <w:tr w:rsidR="007B4056" w:rsidRPr="00A50751" w14:paraId="51C075A0" w14:textId="77777777" w:rsidTr="00EA1F04">
        <w:trPr>
          <w:cantSplit/>
          <w:jc w:val="center"/>
        </w:trPr>
        <w:tc>
          <w:tcPr>
            <w:tcW w:w="5103" w:type="dxa"/>
          </w:tcPr>
          <w:p w14:paraId="33256C5E" w14:textId="77777777" w:rsidR="007B4056" w:rsidRPr="00A50751" w:rsidRDefault="007B4056" w:rsidP="00211A1D">
            <w:pPr>
              <w:pStyle w:val="SingleParagraph"/>
              <w:rPr>
                <w:rFonts w:ascii="Book Antiqua" w:hAnsi="Book Antiqua"/>
                <w:lang w:val="en-GB"/>
              </w:rPr>
            </w:pPr>
          </w:p>
        </w:tc>
        <w:tc>
          <w:tcPr>
            <w:tcW w:w="851" w:type="dxa"/>
            <w:tcMar>
              <w:left w:w="0" w:type="dxa"/>
              <w:right w:w="0" w:type="dxa"/>
            </w:tcMar>
          </w:tcPr>
          <w:p w14:paraId="3DBB2BEA" w14:textId="77777777" w:rsidR="007B4056" w:rsidRPr="00A50751" w:rsidRDefault="007B4056" w:rsidP="00211A1D">
            <w:pPr>
              <w:pStyle w:val="SingleParagraph"/>
              <w:rPr>
                <w:rFonts w:ascii="Book Antiqua" w:hAnsi="Book Antiqua"/>
                <w:lang w:val="en-GB"/>
              </w:rPr>
            </w:pPr>
          </w:p>
        </w:tc>
        <w:tc>
          <w:tcPr>
            <w:tcW w:w="3402" w:type="dxa"/>
          </w:tcPr>
          <w:p w14:paraId="50907AB6" w14:textId="77777777" w:rsidR="007B4056" w:rsidRPr="00A50751" w:rsidRDefault="007B4056" w:rsidP="00211A1D">
            <w:pPr>
              <w:pStyle w:val="SingleParagraph"/>
              <w:rPr>
                <w:rFonts w:ascii="Book Antiqua" w:hAnsi="Book Antiqua"/>
                <w:lang w:val="en-GB"/>
              </w:rPr>
            </w:pPr>
          </w:p>
        </w:tc>
      </w:tr>
      <w:tr w:rsidR="007B4056" w:rsidRPr="00A50751" w14:paraId="2418949A" w14:textId="77777777" w:rsidTr="00EA1F04">
        <w:trPr>
          <w:cantSplit/>
          <w:jc w:val="center"/>
        </w:trPr>
        <w:tc>
          <w:tcPr>
            <w:tcW w:w="5103" w:type="dxa"/>
          </w:tcPr>
          <w:p w14:paraId="5F6D6F56" w14:textId="77777777" w:rsidR="007B4056" w:rsidRPr="00A50751" w:rsidRDefault="007B4056" w:rsidP="00211A1D">
            <w:pPr>
              <w:pStyle w:val="Signed"/>
            </w:pPr>
            <w:r>
              <w:rPr>
                <w:rStyle w:val="SignedBold"/>
              </w:rPr>
              <w:t>Signed</w:t>
            </w:r>
            <w:r w:rsidRPr="004A0AE7">
              <w:rPr>
                <w:i w:val="0"/>
              </w:rPr>
              <w:t xml:space="preserve"> </w:t>
            </w:r>
            <w:r w:rsidRPr="004A0AE7">
              <w:t xml:space="preserve">for and on behalf of </w:t>
            </w:r>
            <w:r>
              <w:t xml:space="preserve">the </w:t>
            </w:r>
            <w:r w:rsidRPr="004A0AE7">
              <w:t>Northern Territory by</w:t>
            </w:r>
          </w:p>
          <w:p w14:paraId="04552BE2" w14:textId="0A245062" w:rsidR="007B4056" w:rsidRPr="00A50751" w:rsidRDefault="0071495D" w:rsidP="00211A1D">
            <w:pPr>
              <w:pStyle w:val="LineForSignature"/>
            </w:pPr>
            <w:r>
              <w:br/>
            </w:r>
            <w:r w:rsidR="007B4056" w:rsidRPr="00A50751">
              <w:tab/>
            </w:r>
          </w:p>
          <w:p w14:paraId="52813752" w14:textId="4C03DD45" w:rsidR="007B4056" w:rsidRDefault="007B4056" w:rsidP="00211A1D">
            <w:pPr>
              <w:pStyle w:val="SingleParagraph"/>
              <w:rPr>
                <w:rStyle w:val="Bold"/>
              </w:rPr>
            </w:pPr>
            <w:r>
              <w:rPr>
                <w:rStyle w:val="Bold"/>
              </w:rPr>
              <w:t xml:space="preserve">The Honourable </w:t>
            </w:r>
            <w:r w:rsidR="00EA1F04">
              <w:rPr>
                <w:rStyle w:val="Bold"/>
              </w:rPr>
              <w:t>Paul Kirby</w:t>
            </w:r>
            <w:r w:rsidR="00CA3ABC">
              <w:rPr>
                <w:rStyle w:val="Bold"/>
              </w:rPr>
              <w:t xml:space="preserve"> </w:t>
            </w:r>
            <w:r>
              <w:rPr>
                <w:rStyle w:val="Bold"/>
              </w:rPr>
              <w:t>MLA</w:t>
            </w:r>
          </w:p>
          <w:p w14:paraId="654E2F3C" w14:textId="77777777" w:rsidR="007B4056" w:rsidRDefault="007B4056" w:rsidP="00211A1D">
            <w:pPr>
              <w:pStyle w:val="Position"/>
              <w:rPr>
                <w:lang w:val="en-GB"/>
              </w:rPr>
            </w:pPr>
            <w:r>
              <w:rPr>
                <w:lang w:val="en-GB"/>
              </w:rPr>
              <w:t xml:space="preserve">Minister for </w:t>
            </w:r>
            <w:r w:rsidR="00CA3ABC">
              <w:rPr>
                <w:lang w:val="en-GB"/>
              </w:rPr>
              <w:t>Primary Industry and Resources</w:t>
            </w:r>
            <w:r w:rsidR="00321C63">
              <w:rPr>
                <w:lang w:val="en-GB"/>
              </w:rPr>
              <w:t xml:space="preserve"> </w:t>
            </w:r>
          </w:p>
          <w:p w14:paraId="037700BE" w14:textId="3C5D35FD" w:rsidR="007B4056" w:rsidRPr="00A50751" w:rsidRDefault="007B4056" w:rsidP="00AB512C">
            <w:pPr>
              <w:pStyle w:val="SingleParagraph"/>
              <w:tabs>
                <w:tab w:val="num" w:pos="1134"/>
                <w:tab w:val="left" w:pos="1422"/>
              </w:tabs>
              <w:spacing w:after="240"/>
              <w:ind w:left="1134" w:hanging="567"/>
              <w:rPr>
                <w:szCs w:val="22"/>
                <w:lang w:val="en-GB"/>
              </w:rPr>
            </w:pPr>
            <w:r w:rsidRPr="00B12190" w:rsidDel="00542A8C">
              <w:rPr>
                <w:bCs/>
                <w:lang w:val="en-GB"/>
              </w:rPr>
              <w:t xml:space="preserve"> </w:t>
            </w:r>
            <w:r w:rsidR="00AB512C">
              <w:rPr>
                <w:lang w:val="en-GB"/>
              </w:rPr>
              <w:t xml:space="preserve">                     </w:t>
            </w:r>
            <w:r>
              <w:rPr>
                <w:lang w:val="en-GB"/>
              </w:rPr>
              <w:t>201</w:t>
            </w:r>
            <w:r w:rsidR="009120A5">
              <w:rPr>
                <w:lang w:val="en-GB"/>
              </w:rPr>
              <w:t>9</w:t>
            </w:r>
          </w:p>
        </w:tc>
        <w:tc>
          <w:tcPr>
            <w:tcW w:w="851" w:type="dxa"/>
            <w:tcMar>
              <w:left w:w="0" w:type="dxa"/>
              <w:right w:w="0" w:type="dxa"/>
            </w:tcMar>
          </w:tcPr>
          <w:p w14:paraId="07643ABD" w14:textId="77777777" w:rsidR="007B4056" w:rsidRPr="00A50751" w:rsidRDefault="007B4056" w:rsidP="00211A1D">
            <w:pPr>
              <w:rPr>
                <w:rFonts w:ascii="Book Antiqua" w:hAnsi="Book Antiqua"/>
                <w:lang w:val="en-GB"/>
              </w:rPr>
            </w:pPr>
          </w:p>
        </w:tc>
        <w:tc>
          <w:tcPr>
            <w:tcW w:w="3402" w:type="dxa"/>
          </w:tcPr>
          <w:p w14:paraId="2B2E239A" w14:textId="77777777" w:rsidR="007B4056" w:rsidRPr="00A50751" w:rsidRDefault="007B4056" w:rsidP="00211A1D">
            <w:pPr>
              <w:pStyle w:val="SingleParagraph"/>
              <w:tabs>
                <w:tab w:val="num" w:pos="1134"/>
              </w:tabs>
              <w:spacing w:after="240"/>
              <w:ind w:left="1134" w:hanging="567"/>
              <w:rPr>
                <w:lang w:val="en-GB"/>
              </w:rPr>
            </w:pPr>
          </w:p>
        </w:tc>
      </w:tr>
    </w:tbl>
    <w:p w14:paraId="5E09A0A0" w14:textId="77777777" w:rsidR="008D7CF6" w:rsidRDefault="008D7CF6" w:rsidP="007B4056"/>
    <w:p w14:paraId="3263FB4F" w14:textId="77777777" w:rsidR="001B1602" w:rsidRDefault="001B1602">
      <w:pPr>
        <w:spacing w:after="200" w:line="276" w:lineRule="auto"/>
        <w:jc w:val="left"/>
      </w:pPr>
      <w:r>
        <w:br w:type="page"/>
      </w:r>
    </w:p>
    <w:p w14:paraId="40ACCFBB" w14:textId="77777777" w:rsidR="00D8286F" w:rsidRPr="0021026A" w:rsidRDefault="001B1602" w:rsidP="00695DED">
      <w:pPr>
        <w:spacing w:after="200" w:line="276" w:lineRule="auto"/>
        <w:jc w:val="right"/>
        <w:rPr>
          <w:b/>
          <w:sz w:val="29"/>
          <w:szCs w:val="29"/>
        </w:rPr>
      </w:pPr>
      <w:r w:rsidRPr="0021026A">
        <w:rPr>
          <w:b/>
          <w:sz w:val="29"/>
          <w:szCs w:val="29"/>
        </w:rPr>
        <w:t>Appendix A</w:t>
      </w:r>
    </w:p>
    <w:p w14:paraId="40A9FE18" w14:textId="77777777" w:rsidR="001B1602" w:rsidRDefault="009D1FDB" w:rsidP="0021026A">
      <w:pPr>
        <w:pStyle w:val="Heading2"/>
      </w:pPr>
      <w:r>
        <w:t>Supporting documentation</w:t>
      </w:r>
    </w:p>
    <w:p w14:paraId="5485AB4B" w14:textId="41518CBC" w:rsidR="00D445CD" w:rsidRPr="00B20A7C" w:rsidRDefault="001B1602" w:rsidP="007146FA">
      <w:pPr>
        <w:pStyle w:val="ListParagraph"/>
        <w:numPr>
          <w:ilvl w:val="0"/>
          <w:numId w:val="11"/>
        </w:numPr>
        <w:spacing w:after="200" w:line="276" w:lineRule="auto"/>
        <w:rPr>
          <w:rFonts w:ascii="Corbel" w:hAnsi="Corbel"/>
          <w:sz w:val="23"/>
          <w:szCs w:val="23"/>
        </w:rPr>
      </w:pPr>
      <w:r w:rsidRPr="00B20A7C">
        <w:rPr>
          <w:rFonts w:ascii="Corbel" w:hAnsi="Corbel"/>
          <w:sz w:val="23"/>
          <w:szCs w:val="23"/>
        </w:rPr>
        <w:t xml:space="preserve">Consistent with Clause </w:t>
      </w:r>
      <w:r w:rsidR="006241EF" w:rsidRPr="00B20A7C">
        <w:rPr>
          <w:rFonts w:ascii="Corbel" w:hAnsi="Corbel"/>
          <w:sz w:val="23"/>
          <w:szCs w:val="23"/>
        </w:rPr>
        <w:t>1</w:t>
      </w:r>
      <w:r w:rsidR="006E41B5">
        <w:rPr>
          <w:rFonts w:ascii="Corbel" w:hAnsi="Corbel"/>
          <w:sz w:val="23"/>
          <w:szCs w:val="23"/>
        </w:rPr>
        <w:t>6</w:t>
      </w:r>
      <w:r w:rsidRPr="00B20A7C">
        <w:rPr>
          <w:rFonts w:ascii="Corbel" w:hAnsi="Corbel"/>
          <w:sz w:val="23"/>
          <w:szCs w:val="23"/>
        </w:rPr>
        <w:t>(</w:t>
      </w:r>
      <w:r w:rsidR="00C97221">
        <w:rPr>
          <w:rFonts w:ascii="Corbel" w:hAnsi="Corbel"/>
          <w:sz w:val="23"/>
          <w:szCs w:val="23"/>
        </w:rPr>
        <w:t>e</w:t>
      </w:r>
      <w:r w:rsidRPr="00B20A7C">
        <w:rPr>
          <w:rFonts w:ascii="Corbel" w:hAnsi="Corbel"/>
          <w:sz w:val="23"/>
          <w:szCs w:val="23"/>
        </w:rPr>
        <w:t xml:space="preserve">), underpinning information </w:t>
      </w:r>
      <w:r w:rsidR="00A7791C" w:rsidRPr="00B20A7C">
        <w:rPr>
          <w:rFonts w:ascii="Corbel" w:hAnsi="Corbel"/>
          <w:sz w:val="23"/>
          <w:szCs w:val="23"/>
        </w:rPr>
        <w:t>required</w:t>
      </w:r>
      <w:r w:rsidR="00D445CD" w:rsidRPr="00B20A7C">
        <w:rPr>
          <w:rFonts w:ascii="Corbel" w:hAnsi="Corbel"/>
          <w:sz w:val="23"/>
          <w:szCs w:val="23"/>
        </w:rPr>
        <w:t xml:space="preserve"> to support development of the revised final rehabilitation design and costings</w:t>
      </w:r>
      <w:r w:rsidR="008B0B61" w:rsidRPr="00B20A7C">
        <w:rPr>
          <w:rFonts w:ascii="Corbel" w:hAnsi="Corbel"/>
          <w:sz w:val="23"/>
          <w:szCs w:val="23"/>
        </w:rPr>
        <w:t>, including for the 20 year post-rehabilitation period,</w:t>
      </w:r>
      <w:r w:rsidR="00D445CD" w:rsidRPr="00B20A7C">
        <w:rPr>
          <w:rFonts w:ascii="Corbel" w:hAnsi="Corbel"/>
          <w:sz w:val="23"/>
          <w:szCs w:val="23"/>
        </w:rPr>
        <w:t xml:space="preserve"> </w:t>
      </w:r>
      <w:r w:rsidRPr="00B20A7C">
        <w:rPr>
          <w:rFonts w:ascii="Corbel" w:hAnsi="Corbel"/>
          <w:sz w:val="23"/>
          <w:szCs w:val="23"/>
        </w:rPr>
        <w:t xml:space="preserve">should be provided to the Commonwealth to inform the development of the Detailed Business Case. </w:t>
      </w:r>
    </w:p>
    <w:p w14:paraId="27094E83" w14:textId="77777777" w:rsidR="001B1602" w:rsidRPr="00B20A7C" w:rsidRDefault="001B1602" w:rsidP="007146FA">
      <w:pPr>
        <w:pStyle w:val="ListParagraph"/>
        <w:numPr>
          <w:ilvl w:val="0"/>
          <w:numId w:val="11"/>
        </w:numPr>
        <w:spacing w:after="200" w:line="276" w:lineRule="auto"/>
        <w:rPr>
          <w:rFonts w:ascii="Corbel" w:hAnsi="Corbel"/>
          <w:sz w:val="23"/>
          <w:szCs w:val="23"/>
        </w:rPr>
      </w:pPr>
      <w:r w:rsidRPr="00B20A7C">
        <w:rPr>
          <w:rFonts w:ascii="Corbel" w:hAnsi="Corbel"/>
          <w:sz w:val="23"/>
          <w:szCs w:val="23"/>
        </w:rPr>
        <w:t>This information includes, but is not limited to</w:t>
      </w:r>
      <w:r w:rsidR="00D445CD" w:rsidRPr="00B20A7C">
        <w:rPr>
          <w:rFonts w:ascii="Corbel" w:hAnsi="Corbel"/>
          <w:sz w:val="23"/>
          <w:szCs w:val="23"/>
        </w:rPr>
        <w:t>,</w:t>
      </w:r>
      <w:r w:rsidRPr="00B20A7C">
        <w:rPr>
          <w:rFonts w:ascii="Corbel" w:hAnsi="Corbel"/>
          <w:sz w:val="23"/>
          <w:szCs w:val="23"/>
        </w:rPr>
        <w:t xml:space="preserve"> the following:</w:t>
      </w:r>
    </w:p>
    <w:p w14:paraId="2B15D181" w14:textId="77777777" w:rsidR="001B1602" w:rsidRDefault="00D445CD" w:rsidP="007146FA">
      <w:pPr>
        <w:pStyle w:val="ListParagraph"/>
        <w:numPr>
          <w:ilvl w:val="0"/>
          <w:numId w:val="12"/>
        </w:numPr>
        <w:spacing w:after="200" w:line="276" w:lineRule="auto"/>
        <w:ind w:left="1134" w:hanging="567"/>
        <w:rPr>
          <w:rFonts w:ascii="Corbel" w:hAnsi="Corbel"/>
          <w:sz w:val="23"/>
          <w:szCs w:val="23"/>
        </w:rPr>
      </w:pPr>
      <w:r>
        <w:rPr>
          <w:rFonts w:ascii="Corbel" w:hAnsi="Corbel"/>
          <w:sz w:val="23"/>
          <w:szCs w:val="23"/>
        </w:rPr>
        <w:t>p</w:t>
      </w:r>
      <w:r w:rsidR="001B1602" w:rsidRPr="001B1602">
        <w:rPr>
          <w:rFonts w:ascii="Corbel" w:hAnsi="Corbel"/>
          <w:sz w:val="23"/>
          <w:szCs w:val="23"/>
        </w:rPr>
        <w:t>erformance criteria for rehabilitation</w:t>
      </w:r>
      <w:r w:rsidR="00CE675A">
        <w:rPr>
          <w:rFonts w:ascii="Corbel" w:hAnsi="Corbel"/>
          <w:sz w:val="23"/>
          <w:szCs w:val="23"/>
        </w:rPr>
        <w:t>;</w:t>
      </w:r>
    </w:p>
    <w:p w14:paraId="7F131A80" w14:textId="77777777" w:rsidR="00BB2A70" w:rsidRDefault="00BB2A70" w:rsidP="007146FA">
      <w:pPr>
        <w:pStyle w:val="ListParagraph"/>
        <w:numPr>
          <w:ilvl w:val="0"/>
          <w:numId w:val="12"/>
        </w:numPr>
        <w:spacing w:after="200" w:line="276" w:lineRule="auto"/>
        <w:ind w:left="1134" w:hanging="567"/>
        <w:rPr>
          <w:rFonts w:ascii="Corbel" w:hAnsi="Corbel"/>
          <w:sz w:val="23"/>
          <w:szCs w:val="23"/>
        </w:rPr>
      </w:pPr>
      <w:r>
        <w:rPr>
          <w:rFonts w:ascii="Corbel" w:hAnsi="Corbel"/>
          <w:sz w:val="23"/>
          <w:szCs w:val="23"/>
        </w:rPr>
        <w:t>statement or advice from the traditional Aboriginal owners and/or their representative body on their views of the proposed rehabilitation works</w:t>
      </w:r>
      <w:r w:rsidR="00E33522" w:rsidRPr="00E33522">
        <w:rPr>
          <w:rFonts w:ascii="Corbel" w:hAnsi="Corbel"/>
          <w:sz w:val="23"/>
          <w:szCs w:val="23"/>
        </w:rPr>
        <w:t xml:space="preserve"> </w:t>
      </w:r>
      <w:r w:rsidR="00E33522">
        <w:rPr>
          <w:rFonts w:ascii="Corbel" w:hAnsi="Corbel"/>
          <w:sz w:val="23"/>
          <w:szCs w:val="23"/>
        </w:rPr>
        <w:t xml:space="preserve"> and on the proposed land use (joint consultation responsibility)</w:t>
      </w:r>
      <w:r>
        <w:rPr>
          <w:rFonts w:ascii="Corbel" w:hAnsi="Corbel"/>
          <w:sz w:val="23"/>
          <w:szCs w:val="23"/>
        </w:rPr>
        <w:t>;</w:t>
      </w:r>
    </w:p>
    <w:p w14:paraId="1AEC9C22" w14:textId="77777777" w:rsidR="00C07B17" w:rsidRDefault="002330CD" w:rsidP="007146FA">
      <w:pPr>
        <w:pStyle w:val="ListParagraph"/>
        <w:numPr>
          <w:ilvl w:val="0"/>
          <w:numId w:val="12"/>
        </w:numPr>
        <w:spacing w:after="200" w:line="276" w:lineRule="auto"/>
        <w:ind w:left="1134" w:hanging="567"/>
        <w:rPr>
          <w:rFonts w:ascii="Corbel" w:hAnsi="Corbel"/>
          <w:sz w:val="23"/>
          <w:szCs w:val="23"/>
        </w:rPr>
      </w:pPr>
      <w:r>
        <w:rPr>
          <w:rFonts w:ascii="Corbel" w:hAnsi="Corbel"/>
          <w:sz w:val="23"/>
          <w:szCs w:val="23"/>
        </w:rPr>
        <w:t xml:space="preserve">evidence to support the </w:t>
      </w:r>
      <w:r w:rsidR="006F51F5">
        <w:rPr>
          <w:rFonts w:ascii="Corbel" w:hAnsi="Corbel"/>
          <w:sz w:val="23"/>
          <w:szCs w:val="23"/>
        </w:rPr>
        <w:t xml:space="preserve">following </w:t>
      </w:r>
      <w:r w:rsidR="00C64775">
        <w:rPr>
          <w:rFonts w:ascii="Corbel" w:hAnsi="Corbel"/>
          <w:sz w:val="23"/>
          <w:szCs w:val="23"/>
        </w:rPr>
        <w:t xml:space="preserve">changes made to </w:t>
      </w:r>
      <w:r>
        <w:rPr>
          <w:rFonts w:ascii="Corbel" w:hAnsi="Corbel"/>
          <w:sz w:val="23"/>
          <w:szCs w:val="23"/>
        </w:rPr>
        <w:t xml:space="preserve">the 2013 Conceptual Design </w:t>
      </w:r>
      <w:r w:rsidR="006F51F5">
        <w:rPr>
          <w:rFonts w:ascii="Corbel" w:hAnsi="Corbel"/>
          <w:sz w:val="23"/>
          <w:szCs w:val="23"/>
        </w:rPr>
        <w:t>(Stage 1)</w:t>
      </w:r>
      <w:r w:rsidR="00561728">
        <w:rPr>
          <w:rFonts w:ascii="Corbel" w:hAnsi="Corbel"/>
          <w:sz w:val="23"/>
          <w:szCs w:val="23"/>
        </w:rPr>
        <w:t xml:space="preserve"> </w:t>
      </w:r>
      <w:r w:rsidR="006F51F5">
        <w:rPr>
          <w:rFonts w:ascii="Corbel" w:hAnsi="Corbel"/>
          <w:sz w:val="23"/>
          <w:szCs w:val="23"/>
        </w:rPr>
        <w:t>during Stage 2</w:t>
      </w:r>
      <w:r w:rsidR="002C5D72">
        <w:rPr>
          <w:rFonts w:ascii="Corbel" w:hAnsi="Corbel"/>
          <w:sz w:val="23"/>
          <w:szCs w:val="23"/>
        </w:rPr>
        <w:t xml:space="preserve"> (</w:t>
      </w:r>
      <w:r w:rsidR="002C5D72" w:rsidRPr="002330CD">
        <w:rPr>
          <w:rFonts w:ascii="Corbel" w:hAnsi="Corbel"/>
          <w:i/>
          <w:sz w:val="23"/>
          <w:szCs w:val="23"/>
        </w:rPr>
        <w:t xml:space="preserve">e.g. </w:t>
      </w:r>
      <w:r w:rsidR="002C5D72">
        <w:rPr>
          <w:rFonts w:ascii="Corbel" w:hAnsi="Corbel"/>
          <w:sz w:val="23"/>
          <w:szCs w:val="23"/>
        </w:rPr>
        <w:t>cost, benefit, risk)</w:t>
      </w:r>
      <w:r w:rsidR="00A32EA1">
        <w:rPr>
          <w:rFonts w:ascii="Corbel" w:hAnsi="Corbel"/>
          <w:sz w:val="23"/>
          <w:szCs w:val="23"/>
        </w:rPr>
        <w:t>:</w:t>
      </w:r>
    </w:p>
    <w:p w14:paraId="022E931B" w14:textId="77777777" w:rsidR="00A32EA1" w:rsidRDefault="00A32EA1" w:rsidP="007146FA">
      <w:pPr>
        <w:pStyle w:val="ListParagraph"/>
        <w:numPr>
          <w:ilvl w:val="1"/>
          <w:numId w:val="12"/>
        </w:numPr>
        <w:spacing w:after="200" w:line="276" w:lineRule="auto"/>
        <w:rPr>
          <w:rFonts w:ascii="Corbel" w:hAnsi="Corbel"/>
          <w:sz w:val="23"/>
          <w:szCs w:val="23"/>
        </w:rPr>
      </w:pPr>
      <w:r>
        <w:rPr>
          <w:rFonts w:ascii="Corbel" w:hAnsi="Corbel"/>
          <w:sz w:val="23"/>
          <w:szCs w:val="23"/>
        </w:rPr>
        <w:t>water filled Intermediate Pit</w:t>
      </w:r>
    </w:p>
    <w:p w14:paraId="4FCE229D" w14:textId="77777777" w:rsidR="00A32EA1" w:rsidRDefault="00A32EA1" w:rsidP="007146FA">
      <w:pPr>
        <w:pStyle w:val="ListParagraph"/>
        <w:numPr>
          <w:ilvl w:val="1"/>
          <w:numId w:val="12"/>
        </w:numPr>
        <w:spacing w:after="200" w:line="276" w:lineRule="auto"/>
        <w:rPr>
          <w:rFonts w:ascii="Corbel" w:hAnsi="Corbel"/>
          <w:sz w:val="23"/>
          <w:szCs w:val="23"/>
        </w:rPr>
      </w:pPr>
      <w:r>
        <w:rPr>
          <w:rFonts w:ascii="Corbel" w:hAnsi="Corbel"/>
          <w:sz w:val="23"/>
          <w:szCs w:val="23"/>
        </w:rPr>
        <w:t>Main Pit backfill methodology</w:t>
      </w:r>
    </w:p>
    <w:p w14:paraId="3212B688" w14:textId="77777777" w:rsidR="00A32EA1" w:rsidRDefault="00A32EA1" w:rsidP="007146FA">
      <w:pPr>
        <w:pStyle w:val="ListParagraph"/>
        <w:numPr>
          <w:ilvl w:val="1"/>
          <w:numId w:val="12"/>
        </w:numPr>
        <w:spacing w:after="200" w:line="276" w:lineRule="auto"/>
        <w:rPr>
          <w:rFonts w:ascii="Corbel" w:hAnsi="Corbel"/>
          <w:sz w:val="23"/>
          <w:szCs w:val="23"/>
        </w:rPr>
      </w:pPr>
      <w:r>
        <w:rPr>
          <w:rFonts w:ascii="Corbel" w:hAnsi="Corbel"/>
          <w:sz w:val="23"/>
          <w:szCs w:val="23"/>
        </w:rPr>
        <w:t xml:space="preserve">location of </w:t>
      </w:r>
      <w:r w:rsidR="006F51F5">
        <w:rPr>
          <w:rFonts w:ascii="Corbel" w:hAnsi="Corbel"/>
          <w:sz w:val="23"/>
          <w:szCs w:val="23"/>
        </w:rPr>
        <w:t xml:space="preserve">the </w:t>
      </w:r>
      <w:r>
        <w:rPr>
          <w:rFonts w:ascii="Corbel" w:hAnsi="Corbel"/>
          <w:sz w:val="23"/>
          <w:szCs w:val="23"/>
        </w:rPr>
        <w:t xml:space="preserve">new </w:t>
      </w:r>
      <w:r w:rsidR="006F51F5">
        <w:rPr>
          <w:rFonts w:ascii="Corbel" w:hAnsi="Corbel"/>
          <w:sz w:val="23"/>
          <w:szCs w:val="23"/>
        </w:rPr>
        <w:t>purpose built Waste Rock Dump</w:t>
      </w:r>
    </w:p>
    <w:p w14:paraId="12F1538E" w14:textId="77777777" w:rsidR="00A32EA1" w:rsidRDefault="00A32EA1" w:rsidP="007146FA">
      <w:pPr>
        <w:pStyle w:val="ListParagraph"/>
        <w:numPr>
          <w:ilvl w:val="1"/>
          <w:numId w:val="12"/>
        </w:numPr>
        <w:spacing w:after="200" w:line="276" w:lineRule="auto"/>
        <w:rPr>
          <w:rFonts w:ascii="Corbel" w:hAnsi="Corbel"/>
          <w:sz w:val="23"/>
          <w:szCs w:val="23"/>
        </w:rPr>
      </w:pPr>
      <w:r>
        <w:rPr>
          <w:rFonts w:ascii="Corbel" w:hAnsi="Corbel"/>
          <w:sz w:val="23"/>
          <w:szCs w:val="23"/>
        </w:rPr>
        <w:t>borrow material source</w:t>
      </w:r>
    </w:p>
    <w:p w14:paraId="4F1F2163" w14:textId="77777777" w:rsidR="00A32EA1" w:rsidRDefault="00A32EA1" w:rsidP="007146FA">
      <w:pPr>
        <w:pStyle w:val="ListParagraph"/>
        <w:numPr>
          <w:ilvl w:val="1"/>
          <w:numId w:val="12"/>
        </w:numPr>
        <w:spacing w:after="200" w:line="276" w:lineRule="auto"/>
        <w:rPr>
          <w:rFonts w:ascii="Corbel" w:hAnsi="Corbel"/>
          <w:sz w:val="23"/>
          <w:szCs w:val="23"/>
        </w:rPr>
      </w:pPr>
      <w:r>
        <w:rPr>
          <w:rFonts w:ascii="Corbel" w:hAnsi="Corbel"/>
          <w:sz w:val="23"/>
          <w:szCs w:val="23"/>
        </w:rPr>
        <w:t>Mt Burton and Mt Fitch design</w:t>
      </w:r>
    </w:p>
    <w:p w14:paraId="7850B2A5" w14:textId="4AFC10E8" w:rsidR="00A32EA1" w:rsidRPr="00A32EA1" w:rsidRDefault="00A32EA1" w:rsidP="007146FA">
      <w:pPr>
        <w:pStyle w:val="ListParagraph"/>
        <w:numPr>
          <w:ilvl w:val="1"/>
          <w:numId w:val="12"/>
        </w:numPr>
        <w:spacing w:after="200" w:line="276" w:lineRule="auto"/>
        <w:rPr>
          <w:rFonts w:ascii="Corbel" w:hAnsi="Corbel"/>
          <w:sz w:val="23"/>
          <w:szCs w:val="23"/>
        </w:rPr>
      </w:pPr>
      <w:r>
        <w:rPr>
          <w:rFonts w:ascii="Corbel" w:hAnsi="Corbel"/>
          <w:sz w:val="23"/>
          <w:szCs w:val="23"/>
        </w:rPr>
        <w:t>post</w:t>
      </w:r>
      <w:r w:rsidR="00660806">
        <w:rPr>
          <w:rFonts w:ascii="Corbel" w:hAnsi="Corbel"/>
          <w:sz w:val="23"/>
          <w:szCs w:val="23"/>
        </w:rPr>
        <w:t>-</w:t>
      </w:r>
      <w:r>
        <w:rPr>
          <w:rFonts w:ascii="Corbel" w:hAnsi="Corbel"/>
          <w:sz w:val="23"/>
          <w:szCs w:val="23"/>
        </w:rPr>
        <w:t>rehabilitation costs</w:t>
      </w:r>
      <w:r w:rsidR="00CE136A">
        <w:rPr>
          <w:rFonts w:ascii="Corbel" w:hAnsi="Corbel"/>
          <w:sz w:val="23"/>
          <w:szCs w:val="23"/>
        </w:rPr>
        <w:t>;</w:t>
      </w:r>
    </w:p>
    <w:p w14:paraId="4AE2626C" w14:textId="77777777" w:rsidR="00A32EA1" w:rsidRPr="00BB2A70" w:rsidRDefault="002339C9" w:rsidP="007146FA">
      <w:pPr>
        <w:pStyle w:val="ListParagraph"/>
        <w:numPr>
          <w:ilvl w:val="0"/>
          <w:numId w:val="12"/>
        </w:numPr>
        <w:spacing w:after="200" w:line="276" w:lineRule="auto"/>
        <w:ind w:left="1134" w:hanging="567"/>
        <w:rPr>
          <w:rFonts w:ascii="Corbel" w:hAnsi="Corbel"/>
          <w:sz w:val="23"/>
          <w:szCs w:val="23"/>
        </w:rPr>
      </w:pPr>
      <w:r>
        <w:rPr>
          <w:rFonts w:ascii="Corbel" w:hAnsi="Corbel"/>
          <w:sz w:val="23"/>
          <w:szCs w:val="23"/>
        </w:rPr>
        <w:t>evidence to support</w:t>
      </w:r>
      <w:r w:rsidR="00A32EA1">
        <w:rPr>
          <w:rFonts w:ascii="Corbel" w:hAnsi="Corbel"/>
          <w:sz w:val="23"/>
          <w:szCs w:val="23"/>
        </w:rPr>
        <w:t xml:space="preserve"> each significant change in design</w:t>
      </w:r>
      <w:r w:rsidR="00AF6857">
        <w:rPr>
          <w:rFonts w:ascii="Corbel" w:hAnsi="Corbel"/>
          <w:sz w:val="23"/>
          <w:szCs w:val="23"/>
        </w:rPr>
        <w:t xml:space="preserve"> </w:t>
      </w:r>
      <w:r w:rsidR="00CE136A">
        <w:rPr>
          <w:rFonts w:ascii="Corbel" w:hAnsi="Corbel"/>
          <w:sz w:val="23"/>
          <w:szCs w:val="23"/>
        </w:rPr>
        <w:t xml:space="preserve">(if any) </w:t>
      </w:r>
      <w:r w:rsidR="00AF6857">
        <w:rPr>
          <w:rFonts w:ascii="Corbel" w:hAnsi="Corbel"/>
          <w:sz w:val="23"/>
          <w:szCs w:val="23"/>
        </w:rPr>
        <w:t xml:space="preserve">made </w:t>
      </w:r>
      <w:r w:rsidR="002C5D72">
        <w:rPr>
          <w:rFonts w:ascii="Corbel" w:hAnsi="Corbel"/>
          <w:sz w:val="23"/>
          <w:szCs w:val="23"/>
        </w:rPr>
        <w:t>between Stages 2 and</w:t>
      </w:r>
      <w:r>
        <w:rPr>
          <w:rFonts w:ascii="Corbel" w:hAnsi="Corbel"/>
          <w:sz w:val="23"/>
          <w:szCs w:val="23"/>
        </w:rPr>
        <w:t xml:space="preserve"> 2A</w:t>
      </w:r>
      <w:r w:rsidR="00A32EA1">
        <w:rPr>
          <w:rFonts w:ascii="Corbel" w:hAnsi="Corbel"/>
          <w:sz w:val="23"/>
          <w:szCs w:val="23"/>
        </w:rPr>
        <w:t xml:space="preserve">  (</w:t>
      </w:r>
      <w:r w:rsidR="002C5D72" w:rsidRPr="002330CD">
        <w:rPr>
          <w:rFonts w:ascii="Corbel" w:hAnsi="Corbel"/>
          <w:i/>
          <w:sz w:val="23"/>
          <w:szCs w:val="23"/>
        </w:rPr>
        <w:t>e.g.</w:t>
      </w:r>
      <w:r w:rsidR="002C5D72">
        <w:rPr>
          <w:rFonts w:ascii="Corbel" w:hAnsi="Corbel"/>
          <w:sz w:val="23"/>
          <w:szCs w:val="23"/>
        </w:rPr>
        <w:t xml:space="preserve"> </w:t>
      </w:r>
      <w:r w:rsidR="00A32EA1">
        <w:rPr>
          <w:rFonts w:ascii="Corbel" w:hAnsi="Corbel"/>
          <w:sz w:val="23"/>
          <w:szCs w:val="23"/>
        </w:rPr>
        <w:t>cost, benefit, risk)</w:t>
      </w:r>
      <w:r w:rsidR="00EF6965">
        <w:rPr>
          <w:rFonts w:ascii="Corbel" w:hAnsi="Corbel"/>
          <w:sz w:val="23"/>
          <w:szCs w:val="23"/>
        </w:rPr>
        <w:t>;</w:t>
      </w:r>
      <w:r w:rsidR="00A32EA1">
        <w:rPr>
          <w:rFonts w:ascii="Corbel" w:hAnsi="Corbel"/>
          <w:sz w:val="23"/>
          <w:szCs w:val="23"/>
        </w:rPr>
        <w:t xml:space="preserve"> </w:t>
      </w:r>
    </w:p>
    <w:p w14:paraId="69E69416" w14:textId="77777777" w:rsidR="004F3955" w:rsidRDefault="00A6525E" w:rsidP="007146FA">
      <w:pPr>
        <w:pStyle w:val="ListParagraph"/>
        <w:numPr>
          <w:ilvl w:val="0"/>
          <w:numId w:val="12"/>
        </w:numPr>
        <w:spacing w:after="200" w:line="276" w:lineRule="auto"/>
        <w:ind w:left="1134" w:hanging="567"/>
        <w:rPr>
          <w:rFonts w:ascii="Corbel" w:hAnsi="Corbel"/>
          <w:sz w:val="23"/>
          <w:szCs w:val="23"/>
        </w:rPr>
      </w:pPr>
      <w:r>
        <w:rPr>
          <w:rFonts w:ascii="Corbel" w:hAnsi="Corbel"/>
          <w:sz w:val="23"/>
          <w:szCs w:val="23"/>
        </w:rPr>
        <w:t>s</w:t>
      </w:r>
      <w:r w:rsidR="004F3955">
        <w:rPr>
          <w:rFonts w:ascii="Corbel" w:hAnsi="Corbel"/>
          <w:sz w:val="23"/>
          <w:szCs w:val="23"/>
        </w:rPr>
        <w:t>ource, quantities and cost estimate  of borrow material</w:t>
      </w:r>
      <w:r w:rsidR="00CE675A">
        <w:rPr>
          <w:rFonts w:ascii="Corbel" w:hAnsi="Corbel"/>
          <w:sz w:val="23"/>
          <w:szCs w:val="23"/>
        </w:rPr>
        <w:t>;</w:t>
      </w:r>
    </w:p>
    <w:p w14:paraId="4DCBFB70" w14:textId="77777777" w:rsidR="004F3955" w:rsidRDefault="00A6525E" w:rsidP="007146FA">
      <w:pPr>
        <w:pStyle w:val="ListParagraph"/>
        <w:numPr>
          <w:ilvl w:val="0"/>
          <w:numId w:val="12"/>
        </w:numPr>
        <w:spacing w:after="200" w:line="276" w:lineRule="auto"/>
        <w:ind w:left="1134" w:hanging="567"/>
        <w:rPr>
          <w:rFonts w:ascii="Corbel" w:hAnsi="Corbel"/>
          <w:sz w:val="23"/>
          <w:szCs w:val="23"/>
        </w:rPr>
      </w:pPr>
      <w:r>
        <w:rPr>
          <w:rFonts w:ascii="Corbel" w:hAnsi="Corbel"/>
          <w:sz w:val="23"/>
          <w:szCs w:val="23"/>
        </w:rPr>
        <w:t>c</w:t>
      </w:r>
      <w:r w:rsidR="004F3955">
        <w:rPr>
          <w:rFonts w:ascii="Corbel" w:hAnsi="Corbel"/>
          <w:sz w:val="23"/>
          <w:szCs w:val="23"/>
        </w:rPr>
        <w:t>onstruction/works plan</w:t>
      </w:r>
      <w:r w:rsidR="00CE675A">
        <w:rPr>
          <w:rFonts w:ascii="Corbel" w:hAnsi="Corbel"/>
          <w:sz w:val="23"/>
          <w:szCs w:val="23"/>
        </w:rPr>
        <w:t>;</w:t>
      </w:r>
    </w:p>
    <w:p w14:paraId="2579E3A9" w14:textId="77777777" w:rsidR="004F3955" w:rsidRDefault="00A6525E" w:rsidP="007146FA">
      <w:pPr>
        <w:pStyle w:val="ListParagraph"/>
        <w:numPr>
          <w:ilvl w:val="0"/>
          <w:numId w:val="12"/>
        </w:numPr>
        <w:spacing w:after="200" w:line="276" w:lineRule="auto"/>
        <w:ind w:left="1134" w:hanging="567"/>
        <w:rPr>
          <w:rFonts w:ascii="Corbel" w:hAnsi="Corbel"/>
          <w:sz w:val="23"/>
          <w:szCs w:val="23"/>
        </w:rPr>
      </w:pPr>
      <w:r>
        <w:rPr>
          <w:rFonts w:ascii="Corbel" w:hAnsi="Corbel"/>
          <w:sz w:val="23"/>
          <w:szCs w:val="23"/>
        </w:rPr>
        <w:t xml:space="preserve">basis </w:t>
      </w:r>
      <w:r w:rsidR="004F3955">
        <w:rPr>
          <w:rFonts w:ascii="Corbel" w:hAnsi="Corbel"/>
          <w:sz w:val="23"/>
          <w:szCs w:val="23"/>
        </w:rPr>
        <w:t>of capital cost estimate</w:t>
      </w:r>
      <w:r w:rsidR="00CE675A">
        <w:rPr>
          <w:rFonts w:ascii="Corbel" w:hAnsi="Corbel"/>
          <w:sz w:val="23"/>
          <w:szCs w:val="23"/>
        </w:rPr>
        <w:t>;</w:t>
      </w:r>
    </w:p>
    <w:p w14:paraId="501F9A6B" w14:textId="48D53F03" w:rsidR="004F3955" w:rsidRDefault="00E33522" w:rsidP="007146FA">
      <w:pPr>
        <w:pStyle w:val="ListParagraph"/>
        <w:numPr>
          <w:ilvl w:val="0"/>
          <w:numId w:val="12"/>
        </w:numPr>
        <w:spacing w:after="200" w:line="276" w:lineRule="auto"/>
        <w:ind w:left="1134" w:hanging="567"/>
        <w:rPr>
          <w:rFonts w:ascii="Corbel" w:hAnsi="Corbel"/>
          <w:sz w:val="23"/>
          <w:szCs w:val="23"/>
        </w:rPr>
      </w:pPr>
      <w:r>
        <w:rPr>
          <w:rFonts w:ascii="Corbel" w:hAnsi="Corbel"/>
          <w:sz w:val="23"/>
          <w:szCs w:val="23"/>
        </w:rPr>
        <w:t xml:space="preserve">in accordance with </w:t>
      </w:r>
      <w:r w:rsidR="006241EF">
        <w:rPr>
          <w:rFonts w:ascii="Corbel" w:hAnsi="Corbel"/>
          <w:sz w:val="23"/>
          <w:szCs w:val="23"/>
        </w:rPr>
        <w:t>1</w:t>
      </w:r>
      <w:r w:rsidR="00C97221">
        <w:rPr>
          <w:rFonts w:ascii="Corbel" w:hAnsi="Corbel"/>
          <w:sz w:val="23"/>
          <w:szCs w:val="23"/>
        </w:rPr>
        <w:t>6</w:t>
      </w:r>
      <w:r>
        <w:rPr>
          <w:rFonts w:ascii="Corbel" w:hAnsi="Corbel"/>
          <w:sz w:val="23"/>
          <w:szCs w:val="23"/>
        </w:rPr>
        <w:t xml:space="preserve">(c), </w:t>
      </w:r>
      <w:r w:rsidR="00A6525E">
        <w:rPr>
          <w:rFonts w:ascii="Corbel" w:hAnsi="Corbel"/>
          <w:sz w:val="23"/>
          <w:szCs w:val="23"/>
        </w:rPr>
        <w:t>s</w:t>
      </w:r>
      <w:r w:rsidR="004F3955">
        <w:rPr>
          <w:rFonts w:ascii="Corbel" w:hAnsi="Corbel"/>
          <w:sz w:val="23"/>
          <w:szCs w:val="23"/>
        </w:rPr>
        <w:t xml:space="preserve">takeholder engagement meeting and decision records, particularly with </w:t>
      </w:r>
      <w:r w:rsidR="00B03391">
        <w:rPr>
          <w:rFonts w:ascii="Corbel" w:hAnsi="Corbel"/>
          <w:sz w:val="23"/>
          <w:szCs w:val="23"/>
        </w:rPr>
        <w:t>traditional Aboriginal o</w:t>
      </w:r>
      <w:r w:rsidR="004F3955">
        <w:rPr>
          <w:rFonts w:ascii="Corbel" w:hAnsi="Corbel"/>
          <w:sz w:val="23"/>
          <w:szCs w:val="23"/>
        </w:rPr>
        <w:t>wners and their representative</w:t>
      </w:r>
      <w:r w:rsidR="00A6525E">
        <w:rPr>
          <w:rFonts w:ascii="Corbel" w:hAnsi="Corbel"/>
          <w:sz w:val="23"/>
          <w:szCs w:val="23"/>
        </w:rPr>
        <w:t xml:space="preserve"> body</w:t>
      </w:r>
      <w:r w:rsidR="00CE675A">
        <w:rPr>
          <w:rFonts w:ascii="Corbel" w:hAnsi="Corbel"/>
          <w:sz w:val="23"/>
          <w:szCs w:val="23"/>
        </w:rPr>
        <w:t>;</w:t>
      </w:r>
    </w:p>
    <w:p w14:paraId="6773D469" w14:textId="7D5E30F7" w:rsidR="004F3955" w:rsidRDefault="00977FC4" w:rsidP="007146FA">
      <w:pPr>
        <w:pStyle w:val="ListParagraph"/>
        <w:numPr>
          <w:ilvl w:val="0"/>
          <w:numId w:val="12"/>
        </w:numPr>
        <w:spacing w:after="200" w:line="276" w:lineRule="auto"/>
        <w:ind w:left="1134" w:hanging="567"/>
        <w:rPr>
          <w:rFonts w:ascii="Corbel" w:hAnsi="Corbel"/>
          <w:sz w:val="23"/>
          <w:szCs w:val="23"/>
        </w:rPr>
      </w:pPr>
      <w:r>
        <w:rPr>
          <w:rFonts w:ascii="Corbel" w:hAnsi="Corbel"/>
          <w:sz w:val="23"/>
          <w:szCs w:val="23"/>
        </w:rPr>
        <w:t xml:space="preserve">traditional </w:t>
      </w:r>
      <w:r w:rsidR="00C07B17">
        <w:rPr>
          <w:rFonts w:ascii="Corbel" w:hAnsi="Corbel"/>
          <w:sz w:val="23"/>
          <w:szCs w:val="23"/>
        </w:rPr>
        <w:t xml:space="preserve">Aboriginal </w:t>
      </w:r>
      <w:r w:rsidR="004F3955">
        <w:rPr>
          <w:rFonts w:ascii="Corbel" w:hAnsi="Corbel"/>
          <w:sz w:val="23"/>
          <w:szCs w:val="23"/>
        </w:rPr>
        <w:t xml:space="preserve"> </w:t>
      </w:r>
      <w:r>
        <w:rPr>
          <w:rFonts w:ascii="Corbel" w:hAnsi="Corbel"/>
          <w:sz w:val="23"/>
          <w:szCs w:val="23"/>
        </w:rPr>
        <w:t xml:space="preserve">owner </w:t>
      </w:r>
      <w:r w:rsidR="00A6525E">
        <w:rPr>
          <w:rFonts w:ascii="Corbel" w:hAnsi="Corbel"/>
          <w:sz w:val="23"/>
          <w:szCs w:val="23"/>
        </w:rPr>
        <w:t>e</w:t>
      </w:r>
      <w:r w:rsidR="004F3955">
        <w:rPr>
          <w:rFonts w:ascii="Corbel" w:hAnsi="Corbel"/>
          <w:sz w:val="23"/>
          <w:szCs w:val="23"/>
        </w:rPr>
        <w:t>mployment/</w:t>
      </w:r>
      <w:r w:rsidR="00A6525E">
        <w:rPr>
          <w:rFonts w:ascii="Corbel" w:hAnsi="Corbel"/>
          <w:sz w:val="23"/>
          <w:szCs w:val="23"/>
        </w:rPr>
        <w:t>p</w:t>
      </w:r>
      <w:r w:rsidR="004F3955">
        <w:rPr>
          <w:rFonts w:ascii="Corbel" w:hAnsi="Corbel"/>
          <w:sz w:val="23"/>
          <w:szCs w:val="23"/>
        </w:rPr>
        <w:t xml:space="preserve">articipation </w:t>
      </w:r>
      <w:r w:rsidR="00A6525E">
        <w:rPr>
          <w:rFonts w:ascii="Corbel" w:hAnsi="Corbel"/>
          <w:sz w:val="23"/>
          <w:szCs w:val="23"/>
        </w:rPr>
        <w:t>p</w:t>
      </w:r>
      <w:r w:rsidR="004F3955">
        <w:rPr>
          <w:rFonts w:ascii="Corbel" w:hAnsi="Corbel"/>
          <w:sz w:val="23"/>
          <w:szCs w:val="23"/>
        </w:rPr>
        <w:t>lan</w:t>
      </w:r>
      <w:r w:rsidR="00E62B03">
        <w:rPr>
          <w:rFonts w:ascii="Corbel" w:hAnsi="Corbel"/>
          <w:sz w:val="23"/>
          <w:szCs w:val="23"/>
        </w:rPr>
        <w:t xml:space="preserve"> – during</w:t>
      </w:r>
      <w:r w:rsidR="00FF6553">
        <w:rPr>
          <w:rFonts w:ascii="Corbel" w:hAnsi="Corbel"/>
          <w:sz w:val="23"/>
          <w:szCs w:val="23"/>
        </w:rPr>
        <w:t xml:space="preserve"> (Stage 3</w:t>
      </w:r>
      <w:r w:rsidR="00621CB2">
        <w:rPr>
          <w:rStyle w:val="FootnoteReference"/>
          <w:rFonts w:ascii="Corbel" w:hAnsi="Corbel"/>
          <w:sz w:val="23"/>
          <w:szCs w:val="23"/>
        </w:rPr>
        <w:footnoteReference w:id="8"/>
      </w:r>
      <w:r w:rsidR="00FF6553">
        <w:rPr>
          <w:rFonts w:ascii="Corbel" w:hAnsi="Corbel"/>
          <w:sz w:val="23"/>
          <w:szCs w:val="23"/>
        </w:rPr>
        <w:t>)</w:t>
      </w:r>
      <w:r w:rsidR="00E62B03">
        <w:rPr>
          <w:rFonts w:ascii="Corbel" w:hAnsi="Corbel"/>
          <w:sz w:val="23"/>
          <w:szCs w:val="23"/>
        </w:rPr>
        <w:t xml:space="preserve"> and post works</w:t>
      </w:r>
      <w:r w:rsidR="00FF6553">
        <w:rPr>
          <w:rFonts w:ascii="Corbel" w:hAnsi="Corbel"/>
          <w:sz w:val="23"/>
          <w:szCs w:val="23"/>
        </w:rPr>
        <w:t xml:space="preserve"> (Stage 4</w:t>
      </w:r>
      <w:r w:rsidR="00621CB2">
        <w:rPr>
          <w:rStyle w:val="FootnoteReference"/>
          <w:rFonts w:ascii="Corbel" w:hAnsi="Corbel"/>
          <w:sz w:val="23"/>
          <w:szCs w:val="23"/>
        </w:rPr>
        <w:footnoteReference w:id="9"/>
      </w:r>
      <w:r w:rsidR="00FF6553">
        <w:rPr>
          <w:rFonts w:ascii="Corbel" w:hAnsi="Corbel"/>
          <w:sz w:val="23"/>
          <w:szCs w:val="23"/>
        </w:rPr>
        <w:t>)</w:t>
      </w:r>
      <w:r w:rsidR="00CE675A">
        <w:rPr>
          <w:rFonts w:ascii="Corbel" w:hAnsi="Corbel"/>
          <w:sz w:val="23"/>
          <w:szCs w:val="23"/>
        </w:rPr>
        <w:t>;</w:t>
      </w:r>
    </w:p>
    <w:p w14:paraId="61A89C4E" w14:textId="77777777" w:rsidR="004F3955" w:rsidRDefault="00A6525E" w:rsidP="007146FA">
      <w:pPr>
        <w:pStyle w:val="ListParagraph"/>
        <w:numPr>
          <w:ilvl w:val="0"/>
          <w:numId w:val="12"/>
        </w:numPr>
        <w:spacing w:after="200" w:line="276" w:lineRule="auto"/>
        <w:ind w:left="1134" w:hanging="567"/>
        <w:rPr>
          <w:rFonts w:ascii="Corbel" w:hAnsi="Corbel"/>
          <w:sz w:val="23"/>
          <w:szCs w:val="23"/>
        </w:rPr>
      </w:pPr>
      <w:r>
        <w:rPr>
          <w:rFonts w:ascii="Corbel" w:hAnsi="Corbel"/>
          <w:sz w:val="23"/>
          <w:szCs w:val="23"/>
        </w:rPr>
        <w:t xml:space="preserve">procurement </w:t>
      </w:r>
      <w:r w:rsidR="004F3955">
        <w:rPr>
          <w:rFonts w:ascii="Corbel" w:hAnsi="Corbel"/>
          <w:sz w:val="23"/>
          <w:szCs w:val="23"/>
        </w:rPr>
        <w:t>approach</w:t>
      </w:r>
      <w:r w:rsidR="00CE675A">
        <w:rPr>
          <w:rFonts w:ascii="Corbel" w:hAnsi="Corbel"/>
          <w:sz w:val="23"/>
          <w:szCs w:val="23"/>
        </w:rPr>
        <w:t>;</w:t>
      </w:r>
    </w:p>
    <w:p w14:paraId="1C814636" w14:textId="77777777" w:rsidR="004F3955" w:rsidRDefault="00A6525E" w:rsidP="007146FA">
      <w:pPr>
        <w:pStyle w:val="ListParagraph"/>
        <w:numPr>
          <w:ilvl w:val="0"/>
          <w:numId w:val="12"/>
        </w:numPr>
        <w:spacing w:after="200" w:line="276" w:lineRule="auto"/>
        <w:ind w:left="1134" w:hanging="567"/>
        <w:rPr>
          <w:rFonts w:ascii="Corbel" w:hAnsi="Corbel"/>
          <w:sz w:val="23"/>
          <w:szCs w:val="23"/>
        </w:rPr>
      </w:pPr>
      <w:r>
        <w:rPr>
          <w:rFonts w:ascii="Corbel" w:hAnsi="Corbel"/>
          <w:sz w:val="23"/>
          <w:szCs w:val="23"/>
        </w:rPr>
        <w:t>d</w:t>
      </w:r>
      <w:r w:rsidR="004F3955">
        <w:rPr>
          <w:rFonts w:ascii="Corbel" w:hAnsi="Corbel"/>
          <w:sz w:val="23"/>
          <w:szCs w:val="23"/>
        </w:rPr>
        <w:t>esign for key elements of the preferred option</w:t>
      </w:r>
      <w:r w:rsidR="00ED02CE">
        <w:rPr>
          <w:rFonts w:ascii="Corbel" w:hAnsi="Corbel"/>
          <w:sz w:val="23"/>
          <w:szCs w:val="23"/>
        </w:rPr>
        <w:t>;</w:t>
      </w:r>
    </w:p>
    <w:p w14:paraId="266F5258" w14:textId="77777777" w:rsidR="004F3955" w:rsidRPr="000023B9" w:rsidRDefault="00EF6965" w:rsidP="007146FA">
      <w:pPr>
        <w:pStyle w:val="ListParagraph"/>
        <w:numPr>
          <w:ilvl w:val="0"/>
          <w:numId w:val="12"/>
        </w:numPr>
        <w:shd w:val="clear" w:color="auto" w:fill="FFFFFF" w:themeFill="background1"/>
        <w:spacing w:after="200" w:line="276" w:lineRule="auto"/>
        <w:ind w:left="1134" w:hanging="567"/>
        <w:rPr>
          <w:rFonts w:ascii="Corbel" w:hAnsi="Corbel"/>
          <w:sz w:val="23"/>
          <w:szCs w:val="23"/>
        </w:rPr>
      </w:pPr>
      <w:r>
        <w:rPr>
          <w:rFonts w:ascii="Corbel" w:hAnsi="Corbel"/>
          <w:sz w:val="23"/>
          <w:szCs w:val="23"/>
        </w:rPr>
        <w:t xml:space="preserve">approach to water treatment </w:t>
      </w:r>
      <w:r w:rsidR="000023B9">
        <w:rPr>
          <w:rFonts w:ascii="Corbel" w:hAnsi="Corbel"/>
          <w:sz w:val="23"/>
          <w:szCs w:val="23"/>
        </w:rPr>
        <w:t>and management of waste streams</w:t>
      </w:r>
      <w:r w:rsidR="00C6682F" w:rsidRPr="000023B9">
        <w:rPr>
          <w:rFonts w:ascii="Corbel" w:hAnsi="Corbel"/>
          <w:sz w:val="23"/>
          <w:szCs w:val="23"/>
        </w:rPr>
        <w:t xml:space="preserve"> </w:t>
      </w:r>
      <w:r>
        <w:rPr>
          <w:rFonts w:ascii="Corbel" w:hAnsi="Corbel"/>
          <w:sz w:val="23"/>
          <w:szCs w:val="23"/>
        </w:rPr>
        <w:t xml:space="preserve">during construction of rehabilitation works </w:t>
      </w:r>
      <w:r w:rsidR="00ED02CE">
        <w:rPr>
          <w:rFonts w:ascii="Corbel" w:hAnsi="Corbel"/>
          <w:sz w:val="23"/>
          <w:szCs w:val="23"/>
        </w:rPr>
        <w:t xml:space="preserve">; </w:t>
      </w:r>
      <w:r w:rsidR="004F3955" w:rsidRPr="000023B9">
        <w:rPr>
          <w:rFonts w:ascii="Corbel" w:hAnsi="Corbel"/>
          <w:sz w:val="23"/>
          <w:szCs w:val="23"/>
        </w:rPr>
        <w:t xml:space="preserve"> </w:t>
      </w:r>
    </w:p>
    <w:p w14:paraId="17B6D3D0" w14:textId="77777777" w:rsidR="00DC36F9" w:rsidRDefault="00B6124F" w:rsidP="007146FA">
      <w:pPr>
        <w:pStyle w:val="ListParagraph"/>
        <w:numPr>
          <w:ilvl w:val="0"/>
          <w:numId w:val="12"/>
        </w:numPr>
        <w:spacing w:after="200" w:line="276" w:lineRule="auto"/>
        <w:ind w:left="1134" w:hanging="567"/>
        <w:rPr>
          <w:rFonts w:ascii="Corbel" w:hAnsi="Corbel"/>
          <w:sz w:val="23"/>
          <w:szCs w:val="23"/>
        </w:rPr>
      </w:pPr>
      <w:r>
        <w:rPr>
          <w:rFonts w:ascii="Corbel" w:hAnsi="Corbel"/>
          <w:sz w:val="23"/>
          <w:szCs w:val="23"/>
        </w:rPr>
        <w:t>c</w:t>
      </w:r>
      <w:r w:rsidR="004F3955" w:rsidRPr="00DC36F9">
        <w:rPr>
          <w:rFonts w:ascii="Corbel" w:hAnsi="Corbel"/>
          <w:sz w:val="23"/>
          <w:szCs w:val="23"/>
        </w:rPr>
        <w:t xml:space="preserve">apital </w:t>
      </w:r>
      <w:r>
        <w:rPr>
          <w:rFonts w:ascii="Corbel" w:hAnsi="Corbel"/>
          <w:sz w:val="23"/>
          <w:szCs w:val="23"/>
        </w:rPr>
        <w:t>c</w:t>
      </w:r>
      <w:r w:rsidR="004F3955" w:rsidRPr="00DC36F9">
        <w:rPr>
          <w:rFonts w:ascii="Corbel" w:hAnsi="Corbel"/>
          <w:sz w:val="23"/>
          <w:szCs w:val="23"/>
        </w:rPr>
        <w:t xml:space="preserve">ost </w:t>
      </w:r>
      <w:r>
        <w:rPr>
          <w:rFonts w:ascii="Corbel" w:hAnsi="Corbel"/>
          <w:sz w:val="23"/>
          <w:szCs w:val="23"/>
        </w:rPr>
        <w:t>p</w:t>
      </w:r>
      <w:r w:rsidR="004F3955" w:rsidRPr="00DC36F9">
        <w:rPr>
          <w:rFonts w:ascii="Corbel" w:hAnsi="Corbel"/>
          <w:sz w:val="23"/>
          <w:szCs w:val="23"/>
        </w:rPr>
        <w:t>lan</w:t>
      </w:r>
      <w:r w:rsidR="00EF6965">
        <w:rPr>
          <w:rStyle w:val="FootnoteReference"/>
          <w:rFonts w:ascii="Corbel" w:hAnsi="Corbel"/>
          <w:sz w:val="23"/>
          <w:szCs w:val="23"/>
        </w:rPr>
        <w:footnoteReference w:id="10"/>
      </w:r>
      <w:r w:rsidR="004F3955" w:rsidRPr="00DC36F9">
        <w:rPr>
          <w:rFonts w:ascii="Corbel" w:hAnsi="Corbel"/>
          <w:sz w:val="23"/>
          <w:szCs w:val="23"/>
        </w:rPr>
        <w:t xml:space="preserve"> for preferred option (</w:t>
      </w:r>
      <w:r w:rsidR="001F642D">
        <w:rPr>
          <w:rFonts w:ascii="Corbel" w:hAnsi="Corbel"/>
          <w:sz w:val="23"/>
          <w:szCs w:val="23"/>
        </w:rPr>
        <w:t>C</w:t>
      </w:r>
      <w:r w:rsidR="004F3955" w:rsidRPr="00DC36F9">
        <w:rPr>
          <w:rFonts w:ascii="Corbel" w:hAnsi="Corbel"/>
          <w:sz w:val="23"/>
          <w:szCs w:val="23"/>
        </w:rPr>
        <w:t xml:space="preserve">lass 3) </w:t>
      </w:r>
      <w:r w:rsidR="00DC36F9" w:rsidRPr="00DC36F9">
        <w:rPr>
          <w:rFonts w:ascii="Corbel" w:hAnsi="Corbel"/>
          <w:sz w:val="23"/>
          <w:szCs w:val="23"/>
        </w:rPr>
        <w:t>aligned with design procurement</w:t>
      </w:r>
      <w:r w:rsidR="00AC41F5">
        <w:rPr>
          <w:rFonts w:ascii="Corbel" w:hAnsi="Corbel"/>
          <w:sz w:val="23"/>
          <w:szCs w:val="23"/>
        </w:rPr>
        <w:t>,</w:t>
      </w:r>
      <w:r w:rsidR="00AC41F5" w:rsidRPr="00DC36F9">
        <w:rPr>
          <w:rFonts w:ascii="Corbel" w:hAnsi="Corbel"/>
          <w:sz w:val="23"/>
          <w:szCs w:val="23"/>
        </w:rPr>
        <w:t xml:space="preserve"> </w:t>
      </w:r>
      <w:r w:rsidR="00DC36F9" w:rsidRPr="00DC36F9">
        <w:rPr>
          <w:rFonts w:ascii="Corbel" w:hAnsi="Corbel"/>
          <w:sz w:val="23"/>
          <w:szCs w:val="23"/>
        </w:rPr>
        <w:t>governance, water treatment, work</w:t>
      </w:r>
      <w:r w:rsidR="00400F11">
        <w:rPr>
          <w:rFonts w:ascii="Corbel" w:hAnsi="Corbel"/>
          <w:sz w:val="23"/>
          <w:szCs w:val="23"/>
        </w:rPr>
        <w:t>force</w:t>
      </w:r>
      <w:r w:rsidR="00DC36F9" w:rsidRPr="00DC36F9">
        <w:rPr>
          <w:rFonts w:ascii="Corbel" w:hAnsi="Corbel"/>
          <w:sz w:val="23"/>
          <w:szCs w:val="23"/>
        </w:rPr>
        <w:t xml:space="preserve"> plan and value-engineered</w:t>
      </w:r>
      <w:r w:rsidR="002F1B98">
        <w:rPr>
          <w:rStyle w:val="FootnoteReference"/>
          <w:rFonts w:ascii="Corbel" w:hAnsi="Corbel"/>
          <w:sz w:val="23"/>
          <w:szCs w:val="23"/>
        </w:rPr>
        <w:footnoteReference w:id="11"/>
      </w:r>
      <w:r w:rsidR="001F642D">
        <w:rPr>
          <w:rFonts w:ascii="Corbel" w:hAnsi="Corbel"/>
          <w:sz w:val="23"/>
          <w:szCs w:val="23"/>
        </w:rPr>
        <w:t xml:space="preserve"> that can support a probabilistic cost estimation to P80; r</w:t>
      </w:r>
      <w:r w:rsidR="00DC36F9" w:rsidRPr="00DC36F9">
        <w:rPr>
          <w:rFonts w:ascii="Corbel" w:hAnsi="Corbel"/>
          <w:sz w:val="23"/>
          <w:szCs w:val="23"/>
        </w:rPr>
        <w:t>eview</w:t>
      </w:r>
      <w:r w:rsidR="001F642D">
        <w:rPr>
          <w:rFonts w:ascii="Corbel" w:hAnsi="Corbel"/>
          <w:sz w:val="23"/>
          <w:szCs w:val="23"/>
        </w:rPr>
        <w:t>ed</w:t>
      </w:r>
      <w:r w:rsidR="00DC36F9" w:rsidRPr="00DC36F9">
        <w:rPr>
          <w:rFonts w:ascii="Corbel" w:hAnsi="Corbel"/>
          <w:sz w:val="23"/>
          <w:szCs w:val="23"/>
        </w:rPr>
        <w:t xml:space="preserve"> by </w:t>
      </w:r>
      <w:r w:rsidR="001F642D">
        <w:rPr>
          <w:rFonts w:ascii="Corbel" w:hAnsi="Corbel"/>
          <w:sz w:val="23"/>
          <w:szCs w:val="23"/>
        </w:rPr>
        <w:t xml:space="preserve">an </w:t>
      </w:r>
      <w:r w:rsidR="004F3955" w:rsidRPr="00DC36F9">
        <w:rPr>
          <w:rFonts w:ascii="Corbel" w:hAnsi="Corbel"/>
          <w:sz w:val="23"/>
          <w:szCs w:val="23"/>
        </w:rPr>
        <w:t>independent estimator</w:t>
      </w:r>
      <w:r w:rsidR="00CE675A">
        <w:rPr>
          <w:rFonts w:ascii="Corbel" w:hAnsi="Corbel"/>
          <w:sz w:val="23"/>
          <w:szCs w:val="23"/>
        </w:rPr>
        <w:t>;</w:t>
      </w:r>
    </w:p>
    <w:p w14:paraId="69D616A4" w14:textId="77777777" w:rsidR="00A32EA1" w:rsidRDefault="00A32EA1" w:rsidP="007146FA">
      <w:pPr>
        <w:pStyle w:val="ListParagraph"/>
        <w:numPr>
          <w:ilvl w:val="0"/>
          <w:numId w:val="12"/>
        </w:numPr>
        <w:spacing w:after="200" w:line="276" w:lineRule="auto"/>
        <w:ind w:left="1134" w:hanging="567"/>
        <w:rPr>
          <w:rFonts w:ascii="Calibri" w:hAnsi="Calibri"/>
          <w:color w:val="002060"/>
          <w:sz w:val="22"/>
        </w:rPr>
      </w:pPr>
      <w:r w:rsidRPr="00A32EA1">
        <w:rPr>
          <w:rFonts w:ascii="Corbel" w:hAnsi="Corbel"/>
          <w:sz w:val="23"/>
          <w:szCs w:val="23"/>
        </w:rPr>
        <w:t>provide an updated cost comparison table for the five options identified during Stage 1 using where applicable cost d</w:t>
      </w:r>
      <w:r>
        <w:rPr>
          <w:rFonts w:ascii="Corbel" w:hAnsi="Corbel"/>
          <w:sz w:val="23"/>
          <w:szCs w:val="23"/>
        </w:rPr>
        <w:t>ata generated during Stage 2; w</w:t>
      </w:r>
      <w:r w:rsidRPr="00A32EA1">
        <w:rPr>
          <w:rFonts w:ascii="Corbel" w:hAnsi="Corbel"/>
          <w:sz w:val="23"/>
          <w:szCs w:val="23"/>
        </w:rPr>
        <w:t xml:space="preserve">here this is not applicable use </w:t>
      </w:r>
      <w:r w:rsidR="00CE136A">
        <w:rPr>
          <w:rFonts w:ascii="Corbel" w:hAnsi="Corbel"/>
          <w:sz w:val="23"/>
          <w:szCs w:val="23"/>
        </w:rPr>
        <w:t>Northern Territory Department of Primary Industry and Resources</w:t>
      </w:r>
      <w:r w:rsidRPr="00A32EA1">
        <w:rPr>
          <w:rFonts w:ascii="Corbel" w:hAnsi="Corbel"/>
          <w:sz w:val="23"/>
          <w:szCs w:val="23"/>
        </w:rPr>
        <w:t xml:space="preserve"> desktop generated co</w:t>
      </w:r>
      <w:r>
        <w:rPr>
          <w:rFonts w:ascii="Corbel" w:hAnsi="Corbel"/>
          <w:sz w:val="23"/>
          <w:szCs w:val="23"/>
        </w:rPr>
        <w:t>sts to complete the comparisons;</w:t>
      </w:r>
    </w:p>
    <w:p w14:paraId="552F83B2" w14:textId="77777777" w:rsidR="00BB2A70" w:rsidRDefault="00A6525E" w:rsidP="007146FA">
      <w:pPr>
        <w:pStyle w:val="ListParagraph"/>
        <w:numPr>
          <w:ilvl w:val="0"/>
          <w:numId w:val="12"/>
        </w:numPr>
        <w:spacing w:after="200" w:line="276" w:lineRule="auto"/>
        <w:ind w:left="1134" w:hanging="567"/>
        <w:rPr>
          <w:rFonts w:ascii="Corbel" w:hAnsi="Corbel"/>
          <w:sz w:val="23"/>
          <w:szCs w:val="23"/>
        </w:rPr>
      </w:pPr>
      <w:r>
        <w:rPr>
          <w:rFonts w:ascii="Corbel" w:hAnsi="Corbel"/>
          <w:sz w:val="23"/>
          <w:szCs w:val="23"/>
        </w:rPr>
        <w:t xml:space="preserve">program </w:t>
      </w:r>
      <w:r w:rsidR="00DC36F9">
        <w:rPr>
          <w:rFonts w:ascii="Corbel" w:hAnsi="Corbel"/>
          <w:sz w:val="23"/>
          <w:szCs w:val="23"/>
        </w:rPr>
        <w:t>for preferred option with Work Breakdown Structure</w:t>
      </w:r>
      <w:r w:rsidR="00BB2A70">
        <w:rPr>
          <w:rFonts w:ascii="Corbel" w:hAnsi="Corbel"/>
          <w:sz w:val="23"/>
          <w:szCs w:val="23"/>
        </w:rPr>
        <w:t>; and</w:t>
      </w:r>
    </w:p>
    <w:p w14:paraId="1ADC1B1C" w14:textId="77777777" w:rsidR="004F3955" w:rsidRDefault="00BB2A70" w:rsidP="007146FA">
      <w:pPr>
        <w:pStyle w:val="ListParagraph"/>
        <w:numPr>
          <w:ilvl w:val="0"/>
          <w:numId w:val="12"/>
        </w:numPr>
        <w:spacing w:after="200" w:line="276" w:lineRule="auto"/>
        <w:ind w:left="1134" w:hanging="567"/>
        <w:rPr>
          <w:rFonts w:ascii="Corbel" w:hAnsi="Corbel"/>
          <w:sz w:val="23"/>
          <w:szCs w:val="23"/>
        </w:rPr>
      </w:pPr>
      <w:r>
        <w:rPr>
          <w:rFonts w:ascii="Corbel" w:hAnsi="Corbel"/>
          <w:sz w:val="23"/>
          <w:szCs w:val="23"/>
        </w:rPr>
        <w:t>pr</w:t>
      </w:r>
      <w:r w:rsidR="00977FC4">
        <w:rPr>
          <w:rFonts w:ascii="Corbel" w:hAnsi="Corbel"/>
          <w:sz w:val="23"/>
          <w:szCs w:val="23"/>
        </w:rPr>
        <w:t>ocurement and contracting model.</w:t>
      </w:r>
    </w:p>
    <w:p w14:paraId="0908B3AD" w14:textId="77777777" w:rsidR="00C6682F" w:rsidRPr="00C6682F" w:rsidRDefault="00C6682F" w:rsidP="00C6682F">
      <w:pPr>
        <w:spacing w:after="200" w:line="276" w:lineRule="auto"/>
        <w:ind w:left="567"/>
        <w:rPr>
          <w:szCs w:val="23"/>
        </w:rPr>
      </w:pPr>
    </w:p>
    <w:sectPr w:rsidR="00C6682F" w:rsidRPr="00C6682F" w:rsidSect="00211A1D">
      <w:headerReference w:type="default" r:id="rId13"/>
      <w:footerReference w:type="default" r:id="rId14"/>
      <w:headerReference w:type="first" r:id="rId15"/>
      <w:footerReference w:type="first" r:id="rId16"/>
      <w:type w:val="oddPage"/>
      <w:pgSz w:w="11906" w:h="16838" w:code="9"/>
      <w:pgMar w:top="1134" w:right="1134" w:bottom="1134" w:left="1134" w:header="709" w:footer="709" w:gutter="0"/>
      <w:pgNumType w:start="1" w:chapStyle="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5E0FE" w14:textId="77777777" w:rsidR="004A53D9" w:rsidRDefault="004A53D9">
      <w:pPr>
        <w:spacing w:after="0" w:line="240" w:lineRule="auto"/>
      </w:pPr>
      <w:r>
        <w:separator/>
      </w:r>
    </w:p>
    <w:p w14:paraId="4D952EB0" w14:textId="77777777" w:rsidR="004A53D9" w:rsidRDefault="004A53D9"/>
  </w:endnote>
  <w:endnote w:type="continuationSeparator" w:id="0">
    <w:p w14:paraId="6F2CFB8A" w14:textId="77777777" w:rsidR="004A53D9" w:rsidRDefault="004A53D9">
      <w:pPr>
        <w:spacing w:after="0" w:line="240" w:lineRule="auto"/>
      </w:pPr>
      <w:r>
        <w:continuationSeparator/>
      </w:r>
    </w:p>
    <w:p w14:paraId="2BBAC2AA" w14:textId="77777777" w:rsidR="004A53D9" w:rsidRDefault="004A53D9"/>
  </w:endnote>
  <w:endnote w:type="continuationNotice" w:id="1">
    <w:p w14:paraId="7BC79FFB" w14:textId="77777777" w:rsidR="004A53D9" w:rsidRDefault="004A53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Zapf 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573590"/>
      <w:docPartObj>
        <w:docPartGallery w:val="Page Numbers (Bottom of Page)"/>
        <w:docPartUnique/>
      </w:docPartObj>
    </w:sdtPr>
    <w:sdtEndPr>
      <w:rPr>
        <w:noProof/>
      </w:rPr>
    </w:sdtEndPr>
    <w:sdtContent>
      <w:p w14:paraId="2619CE8E" w14:textId="2B125985" w:rsidR="0027474E" w:rsidRDefault="0027474E">
        <w:pPr>
          <w:pStyle w:val="Footer"/>
          <w:jc w:val="right"/>
        </w:pPr>
        <w:r>
          <w:t xml:space="preserve">Page </w:t>
        </w:r>
        <w:r>
          <w:fldChar w:fldCharType="begin"/>
        </w:r>
        <w:r>
          <w:instrText xml:space="preserve"> PAGE   \* MERGEFORMAT </w:instrText>
        </w:r>
        <w:r>
          <w:fldChar w:fldCharType="separate"/>
        </w:r>
        <w:r w:rsidR="002E39D5">
          <w:rPr>
            <w:noProof/>
          </w:rPr>
          <w:t>2</w:t>
        </w:r>
        <w:r>
          <w:rPr>
            <w:noProof/>
          </w:rPr>
          <w:fldChar w:fldCharType="end"/>
        </w:r>
      </w:p>
    </w:sdtContent>
  </w:sdt>
  <w:p w14:paraId="4715E824" w14:textId="77777777" w:rsidR="0027474E" w:rsidRDefault="002747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EBFFF" w14:textId="38BE93CB" w:rsidR="0027474E" w:rsidRDefault="0027474E" w:rsidP="00211A1D">
    <w:pPr>
      <w:pStyle w:val="FooterEven"/>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E39D5">
      <w:rPr>
        <w:rStyle w:val="PageNumber"/>
        <w:noProof/>
      </w:rPr>
      <w:t>1</w:t>
    </w:r>
    <w:r>
      <w:rPr>
        <w:rStyle w:val="PageNumber"/>
      </w:rPr>
      <w:fldChar w:fldCharType="end"/>
    </w:r>
  </w:p>
  <w:p w14:paraId="4918A261" w14:textId="77777777" w:rsidR="0027474E" w:rsidRDefault="002747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359F7" w14:textId="77777777" w:rsidR="004A53D9" w:rsidRDefault="004A53D9">
      <w:pPr>
        <w:spacing w:after="0" w:line="240" w:lineRule="auto"/>
      </w:pPr>
      <w:r>
        <w:separator/>
      </w:r>
    </w:p>
    <w:p w14:paraId="195F1B32" w14:textId="77777777" w:rsidR="004A53D9" w:rsidRDefault="004A53D9"/>
  </w:footnote>
  <w:footnote w:type="continuationSeparator" w:id="0">
    <w:p w14:paraId="70A3050F" w14:textId="77777777" w:rsidR="004A53D9" w:rsidRDefault="004A53D9">
      <w:pPr>
        <w:spacing w:after="0" w:line="240" w:lineRule="auto"/>
      </w:pPr>
      <w:r>
        <w:continuationSeparator/>
      </w:r>
    </w:p>
    <w:p w14:paraId="3905FD9F" w14:textId="77777777" w:rsidR="004A53D9" w:rsidRDefault="004A53D9"/>
  </w:footnote>
  <w:footnote w:type="continuationNotice" w:id="1">
    <w:p w14:paraId="6681DD3F" w14:textId="77777777" w:rsidR="004A53D9" w:rsidRDefault="004A53D9">
      <w:pPr>
        <w:spacing w:after="0" w:line="240" w:lineRule="auto"/>
      </w:pPr>
    </w:p>
  </w:footnote>
  <w:footnote w:id="2">
    <w:p w14:paraId="1F11B885" w14:textId="77777777" w:rsidR="0027474E" w:rsidRDefault="0027474E" w:rsidP="00866B97">
      <w:pPr>
        <w:pStyle w:val="FootnoteText"/>
        <w:rPr>
          <w:lang w:val="en-US"/>
        </w:rPr>
      </w:pPr>
      <w:r>
        <w:rPr>
          <w:rStyle w:val="FootnoteReference"/>
        </w:rPr>
        <w:footnoteRef/>
      </w:r>
      <w:r>
        <w:t xml:space="preserve"> </w:t>
      </w:r>
      <w:hyperlink r:id="rId1" w:history="1">
        <w:r>
          <w:rPr>
            <w:rStyle w:val="Hyperlink"/>
            <w:i/>
          </w:rPr>
          <w:t>National Partnership Agreement on the Management of the Former Rum Jungle Mine Site</w:t>
        </w:r>
      </w:hyperlink>
      <w:r>
        <w:t>.</w:t>
      </w:r>
    </w:p>
  </w:footnote>
  <w:footnote w:id="3">
    <w:p w14:paraId="43C30179" w14:textId="36D97DD8" w:rsidR="002D19FD" w:rsidRPr="002D19FD" w:rsidRDefault="002D19FD">
      <w:pPr>
        <w:pStyle w:val="FootnoteText"/>
        <w:rPr>
          <w:lang w:val="en-US"/>
        </w:rPr>
      </w:pPr>
      <w:r>
        <w:rPr>
          <w:rStyle w:val="FootnoteReference"/>
        </w:rPr>
        <w:footnoteRef/>
      </w:r>
      <w:r>
        <w:t xml:space="preserve"> </w:t>
      </w:r>
      <w:r>
        <w:rPr>
          <w:lang w:val="en-US"/>
        </w:rPr>
        <w:t xml:space="preserve">Conceptual rehabilitation strategy is set out in the </w:t>
      </w:r>
      <w:hyperlink r:id="rId2" w:history="1">
        <w:r w:rsidRPr="002D19FD">
          <w:rPr>
            <w:rStyle w:val="Hyperlink"/>
            <w:i/>
            <w:lang w:val="en-US"/>
          </w:rPr>
          <w:t>Conceptual Rehabilitation Plan</w:t>
        </w:r>
      </w:hyperlink>
      <w:r>
        <w:rPr>
          <w:lang w:val="en-US"/>
        </w:rPr>
        <w:t xml:space="preserve"> (Northern Territory, May 2013).</w:t>
      </w:r>
    </w:p>
  </w:footnote>
  <w:footnote w:id="4">
    <w:p w14:paraId="05E078BF" w14:textId="77777777" w:rsidR="0027474E" w:rsidRDefault="0027474E" w:rsidP="00866B97">
      <w:pPr>
        <w:pStyle w:val="FootnoteText"/>
        <w:rPr>
          <w:sz w:val="18"/>
          <w:szCs w:val="18"/>
          <w:lang w:val="en-US"/>
        </w:rPr>
      </w:pPr>
      <w:r>
        <w:rPr>
          <w:rStyle w:val="FootnoteReference"/>
        </w:rPr>
        <w:footnoteRef/>
      </w:r>
      <w:r>
        <w:t xml:space="preserve"> </w:t>
      </w:r>
      <w:hyperlink r:id="rId3" w:history="1">
        <w:r>
          <w:rPr>
            <w:rStyle w:val="Hyperlink"/>
            <w:i/>
          </w:rPr>
          <w:t>Project Agreement for the Management of the Former Rum Jungle Mine Site (Stage 2)</w:t>
        </w:r>
      </w:hyperlink>
      <w:r>
        <w:t xml:space="preserve">.  </w:t>
      </w:r>
      <w:hyperlink r:id="rId4" w:history="1">
        <w:r>
          <w:rPr>
            <w:rStyle w:val="Hyperlink"/>
            <w:sz w:val="18"/>
            <w:szCs w:val="18"/>
          </w:rPr>
          <w:t>Amended 6 May 2016</w:t>
        </w:r>
      </w:hyperlink>
      <w:r>
        <w:rPr>
          <w:sz w:val="18"/>
          <w:szCs w:val="18"/>
        </w:rPr>
        <w:t>.</w:t>
      </w:r>
    </w:p>
  </w:footnote>
  <w:footnote w:id="5">
    <w:p w14:paraId="0F84F43B" w14:textId="77777777" w:rsidR="0027474E" w:rsidRDefault="0027474E" w:rsidP="00866B97">
      <w:pPr>
        <w:pStyle w:val="FootnoteText"/>
        <w:rPr>
          <w:lang w:val="en-US"/>
        </w:rPr>
      </w:pPr>
      <w:r>
        <w:rPr>
          <w:rStyle w:val="FootnoteReference"/>
        </w:rPr>
        <w:footnoteRef/>
      </w:r>
      <w:r>
        <w:t xml:space="preserve"> </w:t>
      </w:r>
      <w:hyperlink r:id="rId5" w:history="1">
        <w:r>
          <w:rPr>
            <w:rStyle w:val="Hyperlink"/>
            <w:i/>
          </w:rPr>
          <w:t>Project Agreement for the Management of the Former Rum Jungle Mine Site (Stage 2A)</w:t>
        </w:r>
      </w:hyperlink>
      <w:r>
        <w:t xml:space="preserve">. </w:t>
      </w:r>
    </w:p>
  </w:footnote>
  <w:footnote w:id="6">
    <w:p w14:paraId="35E99DE4" w14:textId="120858D7" w:rsidR="00776EFE" w:rsidRDefault="00776EFE">
      <w:pPr>
        <w:pStyle w:val="FootnoteText"/>
      </w:pPr>
      <w:r>
        <w:rPr>
          <w:rStyle w:val="FootnoteReference"/>
        </w:rPr>
        <w:footnoteRef/>
      </w:r>
      <w:r>
        <w:t xml:space="preserve"> </w:t>
      </w:r>
      <w:r w:rsidR="00273828">
        <w:t xml:space="preserve">Completed June 2018. </w:t>
      </w:r>
    </w:p>
  </w:footnote>
  <w:footnote w:id="7">
    <w:p w14:paraId="7A9A41CA" w14:textId="4EEDA58C" w:rsidR="0027474E" w:rsidRDefault="0027474E" w:rsidP="00BB6766">
      <w:pPr>
        <w:pStyle w:val="FootnoteText"/>
      </w:pPr>
      <w:r>
        <w:rPr>
          <w:rStyle w:val="FootnoteReference"/>
        </w:rPr>
        <w:footnoteRef/>
      </w:r>
      <w:r>
        <w:t xml:space="preserve"> </w:t>
      </w:r>
      <w:r w:rsidR="00A40348">
        <w:t xml:space="preserve">Draft and Supplementary Environmental Impact Statements must address the </w:t>
      </w:r>
      <w:hyperlink r:id="rId6" w:history="1">
        <w:r w:rsidRPr="00836EDC">
          <w:rPr>
            <w:rStyle w:val="Hyperlink"/>
          </w:rPr>
          <w:t>Terms of Reference for the Preparation of an Environmental Impact Statement  Rehabilitation of the Former Rum Jungle Mine Site (NT Environment Protection Authority, March 2017)</w:t>
        </w:r>
      </w:hyperlink>
    </w:p>
  </w:footnote>
  <w:footnote w:id="8">
    <w:p w14:paraId="10FE6B81" w14:textId="74A4147D" w:rsidR="00621CB2" w:rsidRDefault="00621CB2">
      <w:pPr>
        <w:pStyle w:val="FootnoteText"/>
      </w:pPr>
      <w:r>
        <w:rPr>
          <w:rStyle w:val="FootnoteReference"/>
        </w:rPr>
        <w:footnoteRef/>
      </w:r>
      <w:r>
        <w:t xml:space="preserve"> Stage 3 means period of rehabilitation works implementation and is subject to Stage 2A completion and Governments’ decisions.</w:t>
      </w:r>
    </w:p>
  </w:footnote>
  <w:footnote w:id="9">
    <w:p w14:paraId="218972A9" w14:textId="40E8C5D5" w:rsidR="00621CB2" w:rsidRDefault="00621CB2">
      <w:pPr>
        <w:pStyle w:val="FootnoteText"/>
      </w:pPr>
      <w:r>
        <w:rPr>
          <w:rStyle w:val="FootnoteReference"/>
        </w:rPr>
        <w:footnoteRef/>
      </w:r>
      <w:r>
        <w:t xml:space="preserve"> Stage 4 means post-rehabilitation period and is subject to Stage 3 completion and Governments’ decisions.</w:t>
      </w:r>
    </w:p>
  </w:footnote>
  <w:footnote w:id="10">
    <w:p w14:paraId="0ADAD1BB" w14:textId="77777777" w:rsidR="0027474E" w:rsidRDefault="0027474E">
      <w:pPr>
        <w:pStyle w:val="FootnoteText"/>
      </w:pPr>
      <w:r>
        <w:rPr>
          <w:rStyle w:val="FootnoteReference"/>
        </w:rPr>
        <w:footnoteRef/>
      </w:r>
      <w:r>
        <w:t xml:space="preserve"> Includes works, contingency and risk costs, and administrative costs.</w:t>
      </w:r>
    </w:p>
  </w:footnote>
  <w:footnote w:id="11">
    <w:p w14:paraId="07ACA36A" w14:textId="77777777" w:rsidR="0027474E" w:rsidRPr="00C6682F" w:rsidRDefault="0027474E" w:rsidP="002F1B98">
      <w:pPr>
        <w:rPr>
          <w:rFonts w:ascii="Calibri" w:hAnsi="Calibri"/>
          <w:i/>
          <w:iCs/>
          <w:color w:val="1F497D"/>
          <w:sz w:val="20"/>
        </w:rPr>
      </w:pPr>
      <w:r w:rsidRPr="00C6682F">
        <w:rPr>
          <w:rStyle w:val="FootnoteReference"/>
          <w:sz w:val="20"/>
        </w:rPr>
        <w:footnoteRef/>
      </w:r>
      <w:r w:rsidRPr="00C6682F">
        <w:rPr>
          <w:color w:val="auto"/>
          <w:sz w:val="20"/>
        </w:rPr>
        <w:t xml:space="preserve"> </w:t>
      </w:r>
      <w:r w:rsidRPr="00C6682F">
        <w:rPr>
          <w:iCs/>
          <w:color w:val="auto"/>
          <w:sz w:val="20"/>
        </w:rPr>
        <w:t>Value engineering is a process to examine all facets of a project to determine where capital and O&amp;M</w:t>
      </w:r>
      <w:r>
        <w:rPr>
          <w:iCs/>
          <w:color w:val="auto"/>
          <w:sz w:val="20"/>
        </w:rPr>
        <w:t xml:space="preserve"> (operation and maintenance)</w:t>
      </w:r>
      <w:r w:rsidRPr="00C6682F">
        <w:rPr>
          <w:iCs/>
          <w:color w:val="auto"/>
          <w:sz w:val="20"/>
        </w:rPr>
        <w:t xml:space="preserve"> costs can be reduced, while still delivering a project that produces the outputs desired by the Owner.  The process should always include life cycle cost analysis, and should not sacrifice quality for cost reduction.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3A46D" w14:textId="0D703D62" w:rsidR="0027474E" w:rsidRDefault="0027474E" w:rsidP="00DA16DB">
    <w:pPr>
      <w:pStyle w:val="HeaderOdd"/>
      <w:tabs>
        <w:tab w:val="num" w:pos="1134"/>
      </w:tabs>
      <w:rPr>
        <w:color w:val="800000"/>
      </w:rPr>
    </w:pPr>
    <w:r>
      <w:rPr>
        <w:color w:val="800000"/>
      </w:rPr>
      <w:t>Project Agreement for the Management of the Former Rum Jungle Mine Site (Stage 2A)</w:t>
    </w:r>
  </w:p>
  <w:p w14:paraId="60B7B4E6" w14:textId="77777777" w:rsidR="0027474E" w:rsidRDefault="0027474E" w:rsidP="001B19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5E8C3" w14:textId="77777777" w:rsidR="0027474E" w:rsidRPr="00751725" w:rsidRDefault="0027474E" w:rsidP="00211A1D">
    <w:pPr>
      <w:pStyle w:val="Header"/>
      <w:jc w:val="right"/>
    </w:pPr>
  </w:p>
  <w:p w14:paraId="4CEF4F5D" w14:textId="77777777" w:rsidR="0027474E" w:rsidRDefault="0027474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814EA84"/>
    <w:lvl w:ilvl="0">
      <w:start w:val="1"/>
      <w:numFmt w:val="bullet"/>
      <w:pStyle w:val="Normalnumbered"/>
      <w:lvlText w:val=""/>
      <w:lvlJc w:val="left"/>
      <w:pPr>
        <w:tabs>
          <w:tab w:val="num" w:pos="360"/>
        </w:tabs>
        <w:ind w:left="360" w:hanging="360"/>
      </w:pPr>
      <w:rPr>
        <w:rFonts w:ascii="Symbol" w:hAnsi="Symbol" w:hint="default"/>
      </w:rPr>
    </w:lvl>
  </w:abstractNum>
  <w:abstractNum w:abstractNumId="1" w15:restartNumberingAfterBreak="0">
    <w:nsid w:val="02202C73"/>
    <w:multiLevelType w:val="hybridMultilevel"/>
    <w:tmpl w:val="535C4BC8"/>
    <w:lvl w:ilvl="0" w:tplc="660EB736">
      <w:start w:val="1"/>
      <w:numFmt w:val="lowerLetter"/>
      <w:lvlText w:val="(%1)"/>
      <w:lvlJc w:val="left"/>
      <w:pPr>
        <w:ind w:left="928" w:hanging="360"/>
      </w:pPr>
      <w:rPr>
        <w:rFonts w:hint="default"/>
      </w:rPr>
    </w:lvl>
    <w:lvl w:ilvl="1" w:tplc="660EB736">
      <w:start w:val="1"/>
      <w:numFmt w:val="lowerLetter"/>
      <w:lvlText w:val="(%2)"/>
      <w:lvlJc w:val="left"/>
      <w:pPr>
        <w:ind w:left="1647" w:hanging="360"/>
      </w:pPr>
      <w:rPr>
        <w:rFonts w:hint="default"/>
      </w:r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 w15:restartNumberingAfterBreak="0">
    <w:nsid w:val="11F505D8"/>
    <w:multiLevelType w:val="multilevel"/>
    <w:tmpl w:val="596872B8"/>
    <w:name w:val="StandardNumberedList"/>
    <w:lvl w:ilvl="0">
      <w:start w:val="1"/>
      <w:numFmt w:val="decimal"/>
      <w:pStyle w:val="OutlineNumbered1"/>
      <w:lvlText w:val="%1."/>
      <w:lvlJc w:val="left"/>
      <w:pPr>
        <w:tabs>
          <w:tab w:val="num" w:pos="543"/>
        </w:tabs>
        <w:ind w:left="543" w:hanging="543"/>
      </w:pPr>
    </w:lvl>
    <w:lvl w:ilvl="1">
      <w:start w:val="1"/>
      <w:numFmt w:val="decimal"/>
      <w:pStyle w:val="OutlineNumbered2"/>
      <w:lvlText w:val="%1.%2."/>
      <w:lvlJc w:val="left"/>
      <w:pPr>
        <w:tabs>
          <w:tab w:val="num" w:pos="1086"/>
        </w:tabs>
        <w:ind w:left="1086" w:hanging="543"/>
      </w:pPr>
    </w:lvl>
    <w:lvl w:ilvl="2">
      <w:start w:val="1"/>
      <w:numFmt w:val="decimal"/>
      <w:pStyle w:val="OutlineNumbered3"/>
      <w:lvlText w:val="%1.%2.%3."/>
      <w:lvlJc w:val="left"/>
      <w:pPr>
        <w:tabs>
          <w:tab w:val="num" w:pos="1629"/>
        </w:tabs>
        <w:ind w:left="1629" w:hanging="543"/>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69E391E"/>
    <w:multiLevelType w:val="hybridMultilevel"/>
    <w:tmpl w:val="E1E00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2B3773"/>
    <w:multiLevelType w:val="hybridMultilevel"/>
    <w:tmpl w:val="AAD06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D20ED3"/>
    <w:multiLevelType w:val="hybridMultilevel"/>
    <w:tmpl w:val="C060DBF6"/>
    <w:lvl w:ilvl="0" w:tplc="660EB736">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341F64"/>
    <w:multiLevelType w:val="hybridMultilevel"/>
    <w:tmpl w:val="CE3EC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6C1343"/>
    <w:multiLevelType w:val="hybridMultilevel"/>
    <w:tmpl w:val="2D14AD20"/>
    <w:lvl w:ilvl="0" w:tplc="0B041BD0">
      <w:start w:val="1"/>
      <w:numFmt w:val="decimal"/>
      <w:lvlText w:val="%1."/>
      <w:lvlJc w:val="left"/>
      <w:pPr>
        <w:tabs>
          <w:tab w:val="num" w:pos="567"/>
        </w:tabs>
        <w:ind w:left="567" w:hanging="567"/>
      </w:pPr>
      <w:rPr>
        <w:rFonts w:cs="Times New Roman" w:hint="default"/>
        <w:b w:val="0"/>
        <w:color w:val="auto"/>
        <w:sz w:val="23"/>
        <w:szCs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1B678CA"/>
    <w:multiLevelType w:val="multilevel"/>
    <w:tmpl w:val="F0603C14"/>
    <w:name w:val="StandardBulletedList"/>
    <w:lvl w:ilvl="0">
      <w:start w:val="1"/>
      <w:numFmt w:val="bullet"/>
      <w:pStyle w:val="Bullet"/>
      <w:lvlText w:val="•"/>
      <w:lvlJc w:val="left"/>
      <w:pPr>
        <w:tabs>
          <w:tab w:val="num" w:pos="543"/>
        </w:tabs>
        <w:ind w:left="543" w:hanging="543"/>
      </w:pPr>
      <w:rPr>
        <w:rFonts w:ascii="Times New Roman" w:hAnsi="Times New Roman" w:cs="Times New Roman"/>
      </w:rPr>
    </w:lvl>
    <w:lvl w:ilvl="1">
      <w:start w:val="1"/>
      <w:numFmt w:val="bullet"/>
      <w:pStyle w:val="Dash"/>
      <w:lvlText w:val="–"/>
      <w:lvlJc w:val="left"/>
      <w:pPr>
        <w:tabs>
          <w:tab w:val="num" w:pos="1086"/>
        </w:tabs>
        <w:ind w:left="1086" w:hanging="543"/>
      </w:pPr>
      <w:rPr>
        <w:rFonts w:ascii="Times New Roman" w:hAnsi="Times New Roman" w:cs="Times New Roman"/>
      </w:rPr>
    </w:lvl>
    <w:lvl w:ilvl="2">
      <w:start w:val="1"/>
      <w:numFmt w:val="bullet"/>
      <w:pStyle w:val="DoubleDot"/>
      <w:lvlText w:val=":"/>
      <w:lvlJc w:val="left"/>
      <w:pPr>
        <w:tabs>
          <w:tab w:val="num" w:pos="1629"/>
        </w:tabs>
        <w:ind w:left="1629" w:hanging="543"/>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5CE0768"/>
    <w:multiLevelType w:val="hybridMultilevel"/>
    <w:tmpl w:val="9190AFEA"/>
    <w:lvl w:ilvl="0" w:tplc="0206F444">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54E077B4" w:tentative="1">
      <w:start w:val="1"/>
      <w:numFmt w:val="bullet"/>
      <w:lvlText w:val="o"/>
      <w:lvlJc w:val="left"/>
      <w:pPr>
        <w:tabs>
          <w:tab w:val="num" w:pos="1440"/>
        </w:tabs>
        <w:ind w:left="1440" w:hanging="360"/>
      </w:pPr>
      <w:rPr>
        <w:rFonts w:ascii="Courier New" w:hAnsi="Courier New" w:hint="default"/>
      </w:rPr>
    </w:lvl>
    <w:lvl w:ilvl="2" w:tplc="C0E6D21E" w:tentative="1">
      <w:start w:val="1"/>
      <w:numFmt w:val="bullet"/>
      <w:lvlText w:val=""/>
      <w:lvlJc w:val="left"/>
      <w:pPr>
        <w:tabs>
          <w:tab w:val="num" w:pos="2160"/>
        </w:tabs>
        <w:ind w:left="2160" w:hanging="360"/>
      </w:pPr>
      <w:rPr>
        <w:rFonts w:ascii="Wingdings" w:hAnsi="Wingdings" w:hint="default"/>
      </w:rPr>
    </w:lvl>
    <w:lvl w:ilvl="3" w:tplc="4964E6A6" w:tentative="1">
      <w:start w:val="1"/>
      <w:numFmt w:val="bullet"/>
      <w:lvlText w:val=""/>
      <w:lvlJc w:val="left"/>
      <w:pPr>
        <w:tabs>
          <w:tab w:val="num" w:pos="2880"/>
        </w:tabs>
        <w:ind w:left="2880" w:hanging="360"/>
      </w:pPr>
      <w:rPr>
        <w:rFonts w:ascii="Symbol" w:hAnsi="Symbol" w:hint="default"/>
      </w:rPr>
    </w:lvl>
    <w:lvl w:ilvl="4" w:tplc="1758C9A0" w:tentative="1">
      <w:start w:val="1"/>
      <w:numFmt w:val="bullet"/>
      <w:lvlText w:val="o"/>
      <w:lvlJc w:val="left"/>
      <w:pPr>
        <w:tabs>
          <w:tab w:val="num" w:pos="3600"/>
        </w:tabs>
        <w:ind w:left="3600" w:hanging="360"/>
      </w:pPr>
      <w:rPr>
        <w:rFonts w:ascii="Courier New" w:hAnsi="Courier New" w:hint="default"/>
      </w:rPr>
    </w:lvl>
    <w:lvl w:ilvl="5" w:tplc="918063DA" w:tentative="1">
      <w:start w:val="1"/>
      <w:numFmt w:val="bullet"/>
      <w:lvlText w:val=""/>
      <w:lvlJc w:val="left"/>
      <w:pPr>
        <w:tabs>
          <w:tab w:val="num" w:pos="4320"/>
        </w:tabs>
        <w:ind w:left="4320" w:hanging="360"/>
      </w:pPr>
      <w:rPr>
        <w:rFonts w:ascii="Wingdings" w:hAnsi="Wingdings" w:hint="default"/>
      </w:rPr>
    </w:lvl>
    <w:lvl w:ilvl="6" w:tplc="310CFC8A" w:tentative="1">
      <w:start w:val="1"/>
      <w:numFmt w:val="bullet"/>
      <w:lvlText w:val=""/>
      <w:lvlJc w:val="left"/>
      <w:pPr>
        <w:tabs>
          <w:tab w:val="num" w:pos="5040"/>
        </w:tabs>
        <w:ind w:left="5040" w:hanging="360"/>
      </w:pPr>
      <w:rPr>
        <w:rFonts w:ascii="Symbol" w:hAnsi="Symbol" w:hint="default"/>
      </w:rPr>
    </w:lvl>
    <w:lvl w:ilvl="7" w:tplc="C9C07C10" w:tentative="1">
      <w:start w:val="1"/>
      <w:numFmt w:val="bullet"/>
      <w:lvlText w:val="o"/>
      <w:lvlJc w:val="left"/>
      <w:pPr>
        <w:tabs>
          <w:tab w:val="num" w:pos="5760"/>
        </w:tabs>
        <w:ind w:left="5760" w:hanging="360"/>
      </w:pPr>
      <w:rPr>
        <w:rFonts w:ascii="Courier New" w:hAnsi="Courier New" w:hint="default"/>
      </w:rPr>
    </w:lvl>
    <w:lvl w:ilvl="8" w:tplc="F5929A1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B70749"/>
    <w:multiLevelType w:val="multilevel"/>
    <w:tmpl w:val="6E7E5430"/>
    <w:lvl w:ilvl="0">
      <w:start w:val="1"/>
      <w:numFmt w:val="lowerLetter"/>
      <w:lvlRestart w:val="0"/>
      <w:lvlText w:val="(%1)"/>
      <w:lvlJc w:val="left"/>
      <w:pPr>
        <w:tabs>
          <w:tab w:val="num" w:pos="1277"/>
        </w:tabs>
        <w:ind w:left="710"/>
      </w:pPr>
      <w:rPr>
        <w:rFonts w:cs="Times New Roman" w:hint="default"/>
        <w:b w:val="0"/>
        <w:i w:val="0"/>
        <w:color w:val="auto"/>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11" w15:restartNumberingAfterBreak="0">
    <w:nsid w:val="5EA80E56"/>
    <w:multiLevelType w:val="hybridMultilevel"/>
    <w:tmpl w:val="6B16B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46075A5"/>
    <w:multiLevelType w:val="hybridMultilevel"/>
    <w:tmpl w:val="33D86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8854AAC"/>
    <w:multiLevelType w:val="hybridMultilevel"/>
    <w:tmpl w:val="BCC2D2A6"/>
    <w:lvl w:ilvl="0" w:tplc="546052E2">
      <w:start w:val="1"/>
      <w:numFmt w:val="decimal"/>
      <w:lvlText w:val="%1."/>
      <w:lvlJc w:val="left"/>
      <w:pPr>
        <w:tabs>
          <w:tab w:val="num" w:pos="567"/>
        </w:tabs>
        <w:ind w:left="567" w:hanging="567"/>
      </w:pPr>
      <w:rPr>
        <w:rFonts w:cs="Times New Roman" w:hint="default"/>
        <w:b w:val="0"/>
        <w:color w:val="auto"/>
        <w:sz w:val="23"/>
        <w:szCs w:val="23"/>
      </w:rPr>
    </w:lvl>
    <w:lvl w:ilvl="1" w:tplc="660EB736">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15:restartNumberingAfterBreak="0">
    <w:nsid w:val="78EA0849"/>
    <w:multiLevelType w:val="hybridMultilevel"/>
    <w:tmpl w:val="1BC013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
  </w:num>
  <w:num w:numId="10">
    <w:abstractNumId w:val="1"/>
  </w:num>
  <w:num w:numId="11">
    <w:abstractNumId w:val="7"/>
  </w:num>
  <w:num w:numId="12">
    <w:abstractNumId w:val="5"/>
  </w:num>
  <w:num w:numId="13">
    <w:abstractNumId w:val="2"/>
  </w:num>
  <w:num w:numId="14">
    <w:abstractNumId w:val="11"/>
  </w:num>
  <w:num w:numId="15">
    <w:abstractNumId w:val="3"/>
  </w:num>
  <w:num w:numId="16">
    <w:abstractNumId w:val="0"/>
  </w:num>
  <w:num w:numId="17">
    <w:abstractNumId w:val="6"/>
  </w:num>
  <w:num w:numId="18">
    <w:abstractNumId w:val="0"/>
  </w:num>
  <w:num w:numId="19">
    <w:abstractNumId w:val="12"/>
  </w:num>
  <w:num w:numId="20">
    <w:abstractNumId w:val="0"/>
  </w:num>
  <w:num w:numId="21">
    <w:abstractNumId w:val="14"/>
  </w:num>
  <w:num w:numId="22">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056"/>
    <w:rsid w:val="00000D88"/>
    <w:rsid w:val="000021B4"/>
    <w:rsid w:val="000023B9"/>
    <w:rsid w:val="00002D03"/>
    <w:rsid w:val="00011295"/>
    <w:rsid w:val="00012BC2"/>
    <w:rsid w:val="00013B7A"/>
    <w:rsid w:val="000160B7"/>
    <w:rsid w:val="00016A94"/>
    <w:rsid w:val="0002329F"/>
    <w:rsid w:val="00027E20"/>
    <w:rsid w:val="00030B74"/>
    <w:rsid w:val="00031DFE"/>
    <w:rsid w:val="000339E5"/>
    <w:rsid w:val="000351A2"/>
    <w:rsid w:val="000352D8"/>
    <w:rsid w:val="00040300"/>
    <w:rsid w:val="00044EAE"/>
    <w:rsid w:val="00047CCC"/>
    <w:rsid w:val="000518A2"/>
    <w:rsid w:val="00053648"/>
    <w:rsid w:val="00056044"/>
    <w:rsid w:val="0006066F"/>
    <w:rsid w:val="00060A09"/>
    <w:rsid w:val="00061CDE"/>
    <w:rsid w:val="00063173"/>
    <w:rsid w:val="00064DFD"/>
    <w:rsid w:val="00065757"/>
    <w:rsid w:val="00066659"/>
    <w:rsid w:val="00073C71"/>
    <w:rsid w:val="00075026"/>
    <w:rsid w:val="00075952"/>
    <w:rsid w:val="00086655"/>
    <w:rsid w:val="00091679"/>
    <w:rsid w:val="00094592"/>
    <w:rsid w:val="0009681D"/>
    <w:rsid w:val="000A02E9"/>
    <w:rsid w:val="000A043B"/>
    <w:rsid w:val="000A3790"/>
    <w:rsid w:val="000C17B9"/>
    <w:rsid w:val="000C1A46"/>
    <w:rsid w:val="000C2895"/>
    <w:rsid w:val="000C3DCB"/>
    <w:rsid w:val="000C565E"/>
    <w:rsid w:val="000C6422"/>
    <w:rsid w:val="000C6832"/>
    <w:rsid w:val="000D119B"/>
    <w:rsid w:val="000D27F1"/>
    <w:rsid w:val="000D289D"/>
    <w:rsid w:val="000D3C5E"/>
    <w:rsid w:val="000D74D0"/>
    <w:rsid w:val="000D78CB"/>
    <w:rsid w:val="000E1088"/>
    <w:rsid w:val="000E23D8"/>
    <w:rsid w:val="000E27F4"/>
    <w:rsid w:val="000E2C44"/>
    <w:rsid w:val="000E5D04"/>
    <w:rsid w:val="000F0952"/>
    <w:rsid w:val="000F1467"/>
    <w:rsid w:val="000F169A"/>
    <w:rsid w:val="000F4582"/>
    <w:rsid w:val="000F524C"/>
    <w:rsid w:val="00100081"/>
    <w:rsid w:val="00102044"/>
    <w:rsid w:val="001020E1"/>
    <w:rsid w:val="00105CB0"/>
    <w:rsid w:val="00105DC0"/>
    <w:rsid w:val="0011056B"/>
    <w:rsid w:val="001110F9"/>
    <w:rsid w:val="00114184"/>
    <w:rsid w:val="001143E8"/>
    <w:rsid w:val="00115807"/>
    <w:rsid w:val="00117A4F"/>
    <w:rsid w:val="00122C3E"/>
    <w:rsid w:val="00123E80"/>
    <w:rsid w:val="001268A7"/>
    <w:rsid w:val="00127BA7"/>
    <w:rsid w:val="00134372"/>
    <w:rsid w:val="00136CA0"/>
    <w:rsid w:val="00142F81"/>
    <w:rsid w:val="001438F7"/>
    <w:rsid w:val="0014459E"/>
    <w:rsid w:val="001451C0"/>
    <w:rsid w:val="001460A6"/>
    <w:rsid w:val="0014633C"/>
    <w:rsid w:val="001507AF"/>
    <w:rsid w:val="00150B62"/>
    <w:rsid w:val="00152D4A"/>
    <w:rsid w:val="00157A5C"/>
    <w:rsid w:val="00160304"/>
    <w:rsid w:val="0016312F"/>
    <w:rsid w:val="0017095A"/>
    <w:rsid w:val="00172202"/>
    <w:rsid w:val="00174F78"/>
    <w:rsid w:val="0017663E"/>
    <w:rsid w:val="00184837"/>
    <w:rsid w:val="001866CD"/>
    <w:rsid w:val="00190EBE"/>
    <w:rsid w:val="00195387"/>
    <w:rsid w:val="00195CC9"/>
    <w:rsid w:val="00197A99"/>
    <w:rsid w:val="001A3BEC"/>
    <w:rsid w:val="001A53F8"/>
    <w:rsid w:val="001A5A7C"/>
    <w:rsid w:val="001A659E"/>
    <w:rsid w:val="001A7050"/>
    <w:rsid w:val="001A7971"/>
    <w:rsid w:val="001B1602"/>
    <w:rsid w:val="001B173C"/>
    <w:rsid w:val="001B191D"/>
    <w:rsid w:val="001B1936"/>
    <w:rsid w:val="001B1A8A"/>
    <w:rsid w:val="001B565C"/>
    <w:rsid w:val="001B5CDB"/>
    <w:rsid w:val="001B6357"/>
    <w:rsid w:val="001C2AFF"/>
    <w:rsid w:val="001D08F9"/>
    <w:rsid w:val="001D1B12"/>
    <w:rsid w:val="001D2E08"/>
    <w:rsid w:val="001E0FC4"/>
    <w:rsid w:val="001E2206"/>
    <w:rsid w:val="001F1873"/>
    <w:rsid w:val="001F1D6B"/>
    <w:rsid w:val="001F36B1"/>
    <w:rsid w:val="001F4DF1"/>
    <w:rsid w:val="001F642D"/>
    <w:rsid w:val="001F6636"/>
    <w:rsid w:val="001F7456"/>
    <w:rsid w:val="001F7ACC"/>
    <w:rsid w:val="00201A41"/>
    <w:rsid w:val="00203E54"/>
    <w:rsid w:val="0020618A"/>
    <w:rsid w:val="00207088"/>
    <w:rsid w:val="0021026A"/>
    <w:rsid w:val="00211A1D"/>
    <w:rsid w:val="002137B1"/>
    <w:rsid w:val="00213C1E"/>
    <w:rsid w:val="0021626B"/>
    <w:rsid w:val="00223DBE"/>
    <w:rsid w:val="002241B8"/>
    <w:rsid w:val="002241F7"/>
    <w:rsid w:val="00231D2A"/>
    <w:rsid w:val="002330CD"/>
    <w:rsid w:val="002339C9"/>
    <w:rsid w:val="00234FE3"/>
    <w:rsid w:val="00235B0F"/>
    <w:rsid w:val="002360D7"/>
    <w:rsid w:val="00236486"/>
    <w:rsid w:val="002427CF"/>
    <w:rsid w:val="002440B4"/>
    <w:rsid w:val="00245385"/>
    <w:rsid w:val="0024599F"/>
    <w:rsid w:val="00246C53"/>
    <w:rsid w:val="00247E54"/>
    <w:rsid w:val="002523F4"/>
    <w:rsid w:val="0025427B"/>
    <w:rsid w:val="002550EC"/>
    <w:rsid w:val="002600E8"/>
    <w:rsid w:val="00261F02"/>
    <w:rsid w:val="00263223"/>
    <w:rsid w:val="002638F8"/>
    <w:rsid w:val="0026452F"/>
    <w:rsid w:val="00265227"/>
    <w:rsid w:val="00265508"/>
    <w:rsid w:val="00266A5D"/>
    <w:rsid w:val="00267F60"/>
    <w:rsid w:val="00270217"/>
    <w:rsid w:val="00270283"/>
    <w:rsid w:val="00270E26"/>
    <w:rsid w:val="00271676"/>
    <w:rsid w:val="00272CF9"/>
    <w:rsid w:val="00273828"/>
    <w:rsid w:val="0027395A"/>
    <w:rsid w:val="002746C2"/>
    <w:rsid w:val="0027474E"/>
    <w:rsid w:val="0027559E"/>
    <w:rsid w:val="00276D01"/>
    <w:rsid w:val="00282061"/>
    <w:rsid w:val="002845BB"/>
    <w:rsid w:val="00286CA7"/>
    <w:rsid w:val="00286CE9"/>
    <w:rsid w:val="00286EF9"/>
    <w:rsid w:val="0029066B"/>
    <w:rsid w:val="002933CC"/>
    <w:rsid w:val="002934C2"/>
    <w:rsid w:val="002941EC"/>
    <w:rsid w:val="00297643"/>
    <w:rsid w:val="0029766D"/>
    <w:rsid w:val="002A0910"/>
    <w:rsid w:val="002A2D62"/>
    <w:rsid w:val="002A3170"/>
    <w:rsid w:val="002A351C"/>
    <w:rsid w:val="002A6364"/>
    <w:rsid w:val="002A7E25"/>
    <w:rsid w:val="002B134A"/>
    <w:rsid w:val="002B24A0"/>
    <w:rsid w:val="002B3ADC"/>
    <w:rsid w:val="002B7B5C"/>
    <w:rsid w:val="002B7C88"/>
    <w:rsid w:val="002C5D72"/>
    <w:rsid w:val="002C6A4D"/>
    <w:rsid w:val="002D00B5"/>
    <w:rsid w:val="002D19FD"/>
    <w:rsid w:val="002D39B5"/>
    <w:rsid w:val="002D4187"/>
    <w:rsid w:val="002D4FBF"/>
    <w:rsid w:val="002D7E2B"/>
    <w:rsid w:val="002E0EB7"/>
    <w:rsid w:val="002E39D5"/>
    <w:rsid w:val="002E4B30"/>
    <w:rsid w:val="002E6BD3"/>
    <w:rsid w:val="002E71AC"/>
    <w:rsid w:val="002E7618"/>
    <w:rsid w:val="002F062A"/>
    <w:rsid w:val="002F094E"/>
    <w:rsid w:val="002F1B98"/>
    <w:rsid w:val="00302813"/>
    <w:rsid w:val="00302B78"/>
    <w:rsid w:val="003064FE"/>
    <w:rsid w:val="00306D3C"/>
    <w:rsid w:val="00317486"/>
    <w:rsid w:val="0031784A"/>
    <w:rsid w:val="00320876"/>
    <w:rsid w:val="003213A6"/>
    <w:rsid w:val="00321C63"/>
    <w:rsid w:val="00323D2D"/>
    <w:rsid w:val="003265CA"/>
    <w:rsid w:val="00327592"/>
    <w:rsid w:val="0033003C"/>
    <w:rsid w:val="00330D81"/>
    <w:rsid w:val="0033449F"/>
    <w:rsid w:val="00334D4C"/>
    <w:rsid w:val="00345C46"/>
    <w:rsid w:val="00345D84"/>
    <w:rsid w:val="00352056"/>
    <w:rsid w:val="003525D7"/>
    <w:rsid w:val="003537A6"/>
    <w:rsid w:val="00354FAC"/>
    <w:rsid w:val="003605D9"/>
    <w:rsid w:val="00365423"/>
    <w:rsid w:val="00367A29"/>
    <w:rsid w:val="0037422D"/>
    <w:rsid w:val="00375AC0"/>
    <w:rsid w:val="00376FC1"/>
    <w:rsid w:val="0038112D"/>
    <w:rsid w:val="003831F1"/>
    <w:rsid w:val="003842FC"/>
    <w:rsid w:val="0038488C"/>
    <w:rsid w:val="003925B2"/>
    <w:rsid w:val="00393B02"/>
    <w:rsid w:val="00395610"/>
    <w:rsid w:val="003A650E"/>
    <w:rsid w:val="003B0418"/>
    <w:rsid w:val="003B22E3"/>
    <w:rsid w:val="003B41C3"/>
    <w:rsid w:val="003B4737"/>
    <w:rsid w:val="003B757F"/>
    <w:rsid w:val="003C7870"/>
    <w:rsid w:val="003C7ABB"/>
    <w:rsid w:val="003D007B"/>
    <w:rsid w:val="003D0BD7"/>
    <w:rsid w:val="003D2DCB"/>
    <w:rsid w:val="003D5563"/>
    <w:rsid w:val="003D5B2F"/>
    <w:rsid w:val="003D6E25"/>
    <w:rsid w:val="003E31A5"/>
    <w:rsid w:val="003F13F9"/>
    <w:rsid w:val="003F1CAE"/>
    <w:rsid w:val="003F35ED"/>
    <w:rsid w:val="003F41EF"/>
    <w:rsid w:val="00400578"/>
    <w:rsid w:val="00400F11"/>
    <w:rsid w:val="00402909"/>
    <w:rsid w:val="00403301"/>
    <w:rsid w:val="00405758"/>
    <w:rsid w:val="004063C4"/>
    <w:rsid w:val="004079AB"/>
    <w:rsid w:val="00414428"/>
    <w:rsid w:val="00420315"/>
    <w:rsid w:val="004219D5"/>
    <w:rsid w:val="00421D5F"/>
    <w:rsid w:val="004233A8"/>
    <w:rsid w:val="00431DAD"/>
    <w:rsid w:val="004343AC"/>
    <w:rsid w:val="00435DF7"/>
    <w:rsid w:val="00436058"/>
    <w:rsid w:val="00437B3D"/>
    <w:rsid w:val="00440537"/>
    <w:rsid w:val="00440BC7"/>
    <w:rsid w:val="00441678"/>
    <w:rsid w:val="00441703"/>
    <w:rsid w:val="00442820"/>
    <w:rsid w:val="00445006"/>
    <w:rsid w:val="00447137"/>
    <w:rsid w:val="004471AD"/>
    <w:rsid w:val="00452AD2"/>
    <w:rsid w:val="00454008"/>
    <w:rsid w:val="00455069"/>
    <w:rsid w:val="004552EA"/>
    <w:rsid w:val="00464115"/>
    <w:rsid w:val="004642AE"/>
    <w:rsid w:val="00464944"/>
    <w:rsid w:val="0046603B"/>
    <w:rsid w:val="00471210"/>
    <w:rsid w:val="0047646D"/>
    <w:rsid w:val="004765DA"/>
    <w:rsid w:val="00480865"/>
    <w:rsid w:val="00483342"/>
    <w:rsid w:val="0048436F"/>
    <w:rsid w:val="004844EE"/>
    <w:rsid w:val="00493EDD"/>
    <w:rsid w:val="004A059E"/>
    <w:rsid w:val="004A0DA7"/>
    <w:rsid w:val="004A2437"/>
    <w:rsid w:val="004A350D"/>
    <w:rsid w:val="004A53D9"/>
    <w:rsid w:val="004A6A5C"/>
    <w:rsid w:val="004A6B60"/>
    <w:rsid w:val="004B3EBB"/>
    <w:rsid w:val="004B4CB2"/>
    <w:rsid w:val="004C01C6"/>
    <w:rsid w:val="004C3C85"/>
    <w:rsid w:val="004C4A9A"/>
    <w:rsid w:val="004C6657"/>
    <w:rsid w:val="004C7C91"/>
    <w:rsid w:val="004D413B"/>
    <w:rsid w:val="004D7F54"/>
    <w:rsid w:val="004E0812"/>
    <w:rsid w:val="004E0B94"/>
    <w:rsid w:val="004E1994"/>
    <w:rsid w:val="004E39BE"/>
    <w:rsid w:val="004E3B57"/>
    <w:rsid w:val="004E7E5C"/>
    <w:rsid w:val="004F1047"/>
    <w:rsid w:val="004F1573"/>
    <w:rsid w:val="004F1741"/>
    <w:rsid w:val="004F20BE"/>
    <w:rsid w:val="004F3955"/>
    <w:rsid w:val="004F42F6"/>
    <w:rsid w:val="004F54B0"/>
    <w:rsid w:val="0050042E"/>
    <w:rsid w:val="00500C0C"/>
    <w:rsid w:val="00501750"/>
    <w:rsid w:val="005021D1"/>
    <w:rsid w:val="00502BC8"/>
    <w:rsid w:val="00505F0F"/>
    <w:rsid w:val="00507802"/>
    <w:rsid w:val="00512120"/>
    <w:rsid w:val="005132C5"/>
    <w:rsid w:val="005148BE"/>
    <w:rsid w:val="005158D9"/>
    <w:rsid w:val="00516713"/>
    <w:rsid w:val="005211D6"/>
    <w:rsid w:val="00521CA1"/>
    <w:rsid w:val="00527891"/>
    <w:rsid w:val="00530760"/>
    <w:rsid w:val="00531C18"/>
    <w:rsid w:val="00535165"/>
    <w:rsid w:val="00535CA9"/>
    <w:rsid w:val="00537657"/>
    <w:rsid w:val="00540BB4"/>
    <w:rsid w:val="00542BAC"/>
    <w:rsid w:val="00543525"/>
    <w:rsid w:val="00543E70"/>
    <w:rsid w:val="00544934"/>
    <w:rsid w:val="00556B69"/>
    <w:rsid w:val="0055770E"/>
    <w:rsid w:val="00561728"/>
    <w:rsid w:val="00561D27"/>
    <w:rsid w:val="00564F63"/>
    <w:rsid w:val="0056718E"/>
    <w:rsid w:val="00567739"/>
    <w:rsid w:val="0057436F"/>
    <w:rsid w:val="00574755"/>
    <w:rsid w:val="0057547B"/>
    <w:rsid w:val="00577AB9"/>
    <w:rsid w:val="00577BEB"/>
    <w:rsid w:val="00577CE0"/>
    <w:rsid w:val="0058079D"/>
    <w:rsid w:val="00580C01"/>
    <w:rsid w:val="0058287A"/>
    <w:rsid w:val="00583702"/>
    <w:rsid w:val="00584712"/>
    <w:rsid w:val="00584F38"/>
    <w:rsid w:val="00587438"/>
    <w:rsid w:val="005878DD"/>
    <w:rsid w:val="00591830"/>
    <w:rsid w:val="00591E77"/>
    <w:rsid w:val="00594E8F"/>
    <w:rsid w:val="005963D0"/>
    <w:rsid w:val="00596A7B"/>
    <w:rsid w:val="005A2981"/>
    <w:rsid w:val="005A3FED"/>
    <w:rsid w:val="005B0A9A"/>
    <w:rsid w:val="005B13C7"/>
    <w:rsid w:val="005B2EA8"/>
    <w:rsid w:val="005B359A"/>
    <w:rsid w:val="005B53D8"/>
    <w:rsid w:val="005C2E22"/>
    <w:rsid w:val="005C337A"/>
    <w:rsid w:val="005C4DD0"/>
    <w:rsid w:val="005C671B"/>
    <w:rsid w:val="005D22DB"/>
    <w:rsid w:val="005D56C6"/>
    <w:rsid w:val="005D6CA4"/>
    <w:rsid w:val="005D757E"/>
    <w:rsid w:val="005E2301"/>
    <w:rsid w:val="005E2F4B"/>
    <w:rsid w:val="005E5F38"/>
    <w:rsid w:val="005E7892"/>
    <w:rsid w:val="005F4848"/>
    <w:rsid w:val="005F4E25"/>
    <w:rsid w:val="005F79D3"/>
    <w:rsid w:val="005F7BAF"/>
    <w:rsid w:val="00601C63"/>
    <w:rsid w:val="00603634"/>
    <w:rsid w:val="006047DB"/>
    <w:rsid w:val="00604B69"/>
    <w:rsid w:val="006065FD"/>
    <w:rsid w:val="0061434C"/>
    <w:rsid w:val="006161F0"/>
    <w:rsid w:val="00617D39"/>
    <w:rsid w:val="00621CB2"/>
    <w:rsid w:val="00622FEA"/>
    <w:rsid w:val="006241EF"/>
    <w:rsid w:val="00624ECF"/>
    <w:rsid w:val="00626137"/>
    <w:rsid w:val="00630D2D"/>
    <w:rsid w:val="00641E1F"/>
    <w:rsid w:val="00643EBC"/>
    <w:rsid w:val="0064441C"/>
    <w:rsid w:val="0065048E"/>
    <w:rsid w:val="00652EC9"/>
    <w:rsid w:val="0066043E"/>
    <w:rsid w:val="0066057B"/>
    <w:rsid w:val="00660806"/>
    <w:rsid w:val="00661E4D"/>
    <w:rsid w:val="006645A8"/>
    <w:rsid w:val="0066570D"/>
    <w:rsid w:val="00665B70"/>
    <w:rsid w:val="00665D39"/>
    <w:rsid w:val="00665E91"/>
    <w:rsid w:val="00667714"/>
    <w:rsid w:val="0067014F"/>
    <w:rsid w:val="0067136C"/>
    <w:rsid w:val="00671424"/>
    <w:rsid w:val="00672317"/>
    <w:rsid w:val="00677A9C"/>
    <w:rsid w:val="00681250"/>
    <w:rsid w:val="0068256D"/>
    <w:rsid w:val="00682834"/>
    <w:rsid w:val="00684C57"/>
    <w:rsid w:val="006918C6"/>
    <w:rsid w:val="00691FC1"/>
    <w:rsid w:val="00691FF2"/>
    <w:rsid w:val="00694C97"/>
    <w:rsid w:val="00695DED"/>
    <w:rsid w:val="00697FDA"/>
    <w:rsid w:val="006A1001"/>
    <w:rsid w:val="006A1170"/>
    <w:rsid w:val="006A4E90"/>
    <w:rsid w:val="006A5498"/>
    <w:rsid w:val="006A6331"/>
    <w:rsid w:val="006A6D6F"/>
    <w:rsid w:val="006A7EE1"/>
    <w:rsid w:val="006B0919"/>
    <w:rsid w:val="006B47E0"/>
    <w:rsid w:val="006B7707"/>
    <w:rsid w:val="006C1815"/>
    <w:rsid w:val="006C290E"/>
    <w:rsid w:val="006C39E0"/>
    <w:rsid w:val="006C3F6D"/>
    <w:rsid w:val="006C5F5A"/>
    <w:rsid w:val="006D232F"/>
    <w:rsid w:val="006D2359"/>
    <w:rsid w:val="006D2AF6"/>
    <w:rsid w:val="006D4534"/>
    <w:rsid w:val="006D47CA"/>
    <w:rsid w:val="006D51D4"/>
    <w:rsid w:val="006D520C"/>
    <w:rsid w:val="006D64B6"/>
    <w:rsid w:val="006D7342"/>
    <w:rsid w:val="006E0D49"/>
    <w:rsid w:val="006E1A5F"/>
    <w:rsid w:val="006E41B5"/>
    <w:rsid w:val="006E5EBF"/>
    <w:rsid w:val="006F2426"/>
    <w:rsid w:val="006F3B49"/>
    <w:rsid w:val="006F44AE"/>
    <w:rsid w:val="006F51B1"/>
    <w:rsid w:val="006F51F5"/>
    <w:rsid w:val="006F5F53"/>
    <w:rsid w:val="006F6E77"/>
    <w:rsid w:val="006F76F1"/>
    <w:rsid w:val="006F7909"/>
    <w:rsid w:val="00704748"/>
    <w:rsid w:val="007067BB"/>
    <w:rsid w:val="00707064"/>
    <w:rsid w:val="007146FA"/>
    <w:rsid w:val="0071495D"/>
    <w:rsid w:val="00716071"/>
    <w:rsid w:val="007166AA"/>
    <w:rsid w:val="00723AB6"/>
    <w:rsid w:val="00724BF2"/>
    <w:rsid w:val="007305A3"/>
    <w:rsid w:val="00734B19"/>
    <w:rsid w:val="00734FA2"/>
    <w:rsid w:val="007354FF"/>
    <w:rsid w:val="00735943"/>
    <w:rsid w:val="00736744"/>
    <w:rsid w:val="00736B72"/>
    <w:rsid w:val="00743539"/>
    <w:rsid w:val="00744E6C"/>
    <w:rsid w:val="00745E78"/>
    <w:rsid w:val="00751282"/>
    <w:rsid w:val="00752D28"/>
    <w:rsid w:val="00753FE0"/>
    <w:rsid w:val="00761535"/>
    <w:rsid w:val="00764116"/>
    <w:rsid w:val="007676A9"/>
    <w:rsid w:val="0077116D"/>
    <w:rsid w:val="00774021"/>
    <w:rsid w:val="00775BF9"/>
    <w:rsid w:val="0077601E"/>
    <w:rsid w:val="007763BF"/>
    <w:rsid w:val="00776808"/>
    <w:rsid w:val="00776EFE"/>
    <w:rsid w:val="00781474"/>
    <w:rsid w:val="00782137"/>
    <w:rsid w:val="00786830"/>
    <w:rsid w:val="00787450"/>
    <w:rsid w:val="00796893"/>
    <w:rsid w:val="007A041C"/>
    <w:rsid w:val="007A08D5"/>
    <w:rsid w:val="007A299B"/>
    <w:rsid w:val="007A4DF1"/>
    <w:rsid w:val="007A6D7A"/>
    <w:rsid w:val="007B0C60"/>
    <w:rsid w:val="007B13FE"/>
    <w:rsid w:val="007B2275"/>
    <w:rsid w:val="007B2F61"/>
    <w:rsid w:val="007B4056"/>
    <w:rsid w:val="007C0633"/>
    <w:rsid w:val="007C0E9A"/>
    <w:rsid w:val="007C5D8C"/>
    <w:rsid w:val="007C71F8"/>
    <w:rsid w:val="007C74CB"/>
    <w:rsid w:val="007D0456"/>
    <w:rsid w:val="007D5A9F"/>
    <w:rsid w:val="007D7C40"/>
    <w:rsid w:val="007E5872"/>
    <w:rsid w:val="007F0146"/>
    <w:rsid w:val="007F1DA7"/>
    <w:rsid w:val="007F300A"/>
    <w:rsid w:val="007F3638"/>
    <w:rsid w:val="007F4425"/>
    <w:rsid w:val="007F557A"/>
    <w:rsid w:val="00801772"/>
    <w:rsid w:val="00803B62"/>
    <w:rsid w:val="00805304"/>
    <w:rsid w:val="00806BF0"/>
    <w:rsid w:val="00807A98"/>
    <w:rsid w:val="00810768"/>
    <w:rsid w:val="00810EE5"/>
    <w:rsid w:val="00811D0B"/>
    <w:rsid w:val="00814137"/>
    <w:rsid w:val="00815475"/>
    <w:rsid w:val="00816569"/>
    <w:rsid w:val="0082498C"/>
    <w:rsid w:val="008256B3"/>
    <w:rsid w:val="00827012"/>
    <w:rsid w:val="00830486"/>
    <w:rsid w:val="008307A9"/>
    <w:rsid w:val="008312ED"/>
    <w:rsid w:val="00833575"/>
    <w:rsid w:val="00835D10"/>
    <w:rsid w:val="00836EDC"/>
    <w:rsid w:val="008378F8"/>
    <w:rsid w:val="008409B1"/>
    <w:rsid w:val="008412E7"/>
    <w:rsid w:val="00841ED1"/>
    <w:rsid w:val="008420A4"/>
    <w:rsid w:val="008424BF"/>
    <w:rsid w:val="0084273A"/>
    <w:rsid w:val="00842AE4"/>
    <w:rsid w:val="00844115"/>
    <w:rsid w:val="00844343"/>
    <w:rsid w:val="00845A9A"/>
    <w:rsid w:val="008570B8"/>
    <w:rsid w:val="00862CFC"/>
    <w:rsid w:val="00866B97"/>
    <w:rsid w:val="00866FC1"/>
    <w:rsid w:val="008701BF"/>
    <w:rsid w:val="008716E8"/>
    <w:rsid w:val="0087381B"/>
    <w:rsid w:val="008802C1"/>
    <w:rsid w:val="00880E72"/>
    <w:rsid w:val="00882D13"/>
    <w:rsid w:val="008929A5"/>
    <w:rsid w:val="008947C3"/>
    <w:rsid w:val="00895A81"/>
    <w:rsid w:val="00895E70"/>
    <w:rsid w:val="00895FF8"/>
    <w:rsid w:val="00897EFB"/>
    <w:rsid w:val="008A19EC"/>
    <w:rsid w:val="008A55DA"/>
    <w:rsid w:val="008B03AF"/>
    <w:rsid w:val="008B061E"/>
    <w:rsid w:val="008B0B61"/>
    <w:rsid w:val="008B2B8B"/>
    <w:rsid w:val="008B4615"/>
    <w:rsid w:val="008B6A9D"/>
    <w:rsid w:val="008B784F"/>
    <w:rsid w:val="008C0D9C"/>
    <w:rsid w:val="008C10FF"/>
    <w:rsid w:val="008C1809"/>
    <w:rsid w:val="008C557E"/>
    <w:rsid w:val="008C756E"/>
    <w:rsid w:val="008D1ECF"/>
    <w:rsid w:val="008D29BC"/>
    <w:rsid w:val="008D5EB2"/>
    <w:rsid w:val="008D7CF6"/>
    <w:rsid w:val="008F1BBE"/>
    <w:rsid w:val="008F1C3D"/>
    <w:rsid w:val="008F2CB2"/>
    <w:rsid w:val="008F726B"/>
    <w:rsid w:val="009013E8"/>
    <w:rsid w:val="00902EDC"/>
    <w:rsid w:val="009033A7"/>
    <w:rsid w:val="009068B1"/>
    <w:rsid w:val="009120A5"/>
    <w:rsid w:val="009139A6"/>
    <w:rsid w:val="00913F69"/>
    <w:rsid w:val="009152ED"/>
    <w:rsid w:val="00916595"/>
    <w:rsid w:val="00916DEE"/>
    <w:rsid w:val="00917133"/>
    <w:rsid w:val="00924A6A"/>
    <w:rsid w:val="009264AD"/>
    <w:rsid w:val="00930EF0"/>
    <w:rsid w:val="009317C0"/>
    <w:rsid w:val="00932958"/>
    <w:rsid w:val="009342EC"/>
    <w:rsid w:val="00934EE4"/>
    <w:rsid w:val="009363ED"/>
    <w:rsid w:val="009422E3"/>
    <w:rsid w:val="009427A7"/>
    <w:rsid w:val="00945925"/>
    <w:rsid w:val="00946A0E"/>
    <w:rsid w:val="00947A77"/>
    <w:rsid w:val="00951464"/>
    <w:rsid w:val="00951B13"/>
    <w:rsid w:val="00952353"/>
    <w:rsid w:val="0095387A"/>
    <w:rsid w:val="00955CD2"/>
    <w:rsid w:val="00955DD6"/>
    <w:rsid w:val="009609DD"/>
    <w:rsid w:val="00962904"/>
    <w:rsid w:val="00972836"/>
    <w:rsid w:val="0097355D"/>
    <w:rsid w:val="009752DC"/>
    <w:rsid w:val="009753EE"/>
    <w:rsid w:val="00977FC4"/>
    <w:rsid w:val="00980241"/>
    <w:rsid w:val="009809C6"/>
    <w:rsid w:val="0098439D"/>
    <w:rsid w:val="0098451A"/>
    <w:rsid w:val="00985424"/>
    <w:rsid w:val="0098748A"/>
    <w:rsid w:val="00992246"/>
    <w:rsid w:val="009926D3"/>
    <w:rsid w:val="00992B2A"/>
    <w:rsid w:val="00994F28"/>
    <w:rsid w:val="00995012"/>
    <w:rsid w:val="009A6942"/>
    <w:rsid w:val="009A6E19"/>
    <w:rsid w:val="009B009C"/>
    <w:rsid w:val="009B2A61"/>
    <w:rsid w:val="009B4485"/>
    <w:rsid w:val="009B4EE7"/>
    <w:rsid w:val="009B7623"/>
    <w:rsid w:val="009C0424"/>
    <w:rsid w:val="009C35A5"/>
    <w:rsid w:val="009C36AD"/>
    <w:rsid w:val="009C54B7"/>
    <w:rsid w:val="009C6223"/>
    <w:rsid w:val="009D1FDB"/>
    <w:rsid w:val="009D66B4"/>
    <w:rsid w:val="009D7C7C"/>
    <w:rsid w:val="009E1EC2"/>
    <w:rsid w:val="009E7AD2"/>
    <w:rsid w:val="009F1637"/>
    <w:rsid w:val="009F4E90"/>
    <w:rsid w:val="009F5B1A"/>
    <w:rsid w:val="009F5FCA"/>
    <w:rsid w:val="00A01254"/>
    <w:rsid w:val="00A01837"/>
    <w:rsid w:val="00A02DF3"/>
    <w:rsid w:val="00A038C2"/>
    <w:rsid w:val="00A042B4"/>
    <w:rsid w:val="00A06F1E"/>
    <w:rsid w:val="00A10821"/>
    <w:rsid w:val="00A10DD5"/>
    <w:rsid w:val="00A10E58"/>
    <w:rsid w:val="00A110AA"/>
    <w:rsid w:val="00A1276A"/>
    <w:rsid w:val="00A12BFF"/>
    <w:rsid w:val="00A142E5"/>
    <w:rsid w:val="00A1531D"/>
    <w:rsid w:val="00A158A8"/>
    <w:rsid w:val="00A16D0C"/>
    <w:rsid w:val="00A220D4"/>
    <w:rsid w:val="00A2368E"/>
    <w:rsid w:val="00A238F9"/>
    <w:rsid w:val="00A24702"/>
    <w:rsid w:val="00A265F2"/>
    <w:rsid w:val="00A274BE"/>
    <w:rsid w:val="00A275A1"/>
    <w:rsid w:val="00A3058F"/>
    <w:rsid w:val="00A326C8"/>
    <w:rsid w:val="00A32EA1"/>
    <w:rsid w:val="00A3598D"/>
    <w:rsid w:val="00A40348"/>
    <w:rsid w:val="00A41CE0"/>
    <w:rsid w:val="00A461F5"/>
    <w:rsid w:val="00A46404"/>
    <w:rsid w:val="00A476E8"/>
    <w:rsid w:val="00A508C2"/>
    <w:rsid w:val="00A51E11"/>
    <w:rsid w:val="00A60C81"/>
    <w:rsid w:val="00A62B8E"/>
    <w:rsid w:val="00A63569"/>
    <w:rsid w:val="00A6525E"/>
    <w:rsid w:val="00A653B5"/>
    <w:rsid w:val="00A70D49"/>
    <w:rsid w:val="00A71377"/>
    <w:rsid w:val="00A74BBC"/>
    <w:rsid w:val="00A7791C"/>
    <w:rsid w:val="00A84692"/>
    <w:rsid w:val="00A93107"/>
    <w:rsid w:val="00A9394B"/>
    <w:rsid w:val="00A93A66"/>
    <w:rsid w:val="00AA0360"/>
    <w:rsid w:val="00AA0710"/>
    <w:rsid w:val="00AA2C3A"/>
    <w:rsid w:val="00AA512F"/>
    <w:rsid w:val="00AB0930"/>
    <w:rsid w:val="00AB0B38"/>
    <w:rsid w:val="00AB1341"/>
    <w:rsid w:val="00AB4A24"/>
    <w:rsid w:val="00AB512C"/>
    <w:rsid w:val="00AB7A19"/>
    <w:rsid w:val="00AC1FD9"/>
    <w:rsid w:val="00AC41F5"/>
    <w:rsid w:val="00AC43BB"/>
    <w:rsid w:val="00AC4BAD"/>
    <w:rsid w:val="00AC59C9"/>
    <w:rsid w:val="00AC7966"/>
    <w:rsid w:val="00AD09BB"/>
    <w:rsid w:val="00AD0EC0"/>
    <w:rsid w:val="00AD47C0"/>
    <w:rsid w:val="00AD5F7B"/>
    <w:rsid w:val="00AD7584"/>
    <w:rsid w:val="00AD7CCC"/>
    <w:rsid w:val="00AE281A"/>
    <w:rsid w:val="00AE31CE"/>
    <w:rsid w:val="00AE47EF"/>
    <w:rsid w:val="00AE49EF"/>
    <w:rsid w:val="00AE6397"/>
    <w:rsid w:val="00AE6E8F"/>
    <w:rsid w:val="00AE7A24"/>
    <w:rsid w:val="00AF54CE"/>
    <w:rsid w:val="00AF6857"/>
    <w:rsid w:val="00B03133"/>
    <w:rsid w:val="00B03391"/>
    <w:rsid w:val="00B03ACF"/>
    <w:rsid w:val="00B04945"/>
    <w:rsid w:val="00B055E0"/>
    <w:rsid w:val="00B073FB"/>
    <w:rsid w:val="00B11172"/>
    <w:rsid w:val="00B11D06"/>
    <w:rsid w:val="00B12F59"/>
    <w:rsid w:val="00B14E4E"/>
    <w:rsid w:val="00B15E6D"/>
    <w:rsid w:val="00B16806"/>
    <w:rsid w:val="00B20A7C"/>
    <w:rsid w:val="00B21B72"/>
    <w:rsid w:val="00B26988"/>
    <w:rsid w:val="00B27975"/>
    <w:rsid w:val="00B30C3D"/>
    <w:rsid w:val="00B4462A"/>
    <w:rsid w:val="00B447FF"/>
    <w:rsid w:val="00B45DCC"/>
    <w:rsid w:val="00B45E7E"/>
    <w:rsid w:val="00B4637F"/>
    <w:rsid w:val="00B465DB"/>
    <w:rsid w:val="00B47B2F"/>
    <w:rsid w:val="00B523B5"/>
    <w:rsid w:val="00B547D8"/>
    <w:rsid w:val="00B579F9"/>
    <w:rsid w:val="00B6124F"/>
    <w:rsid w:val="00B64820"/>
    <w:rsid w:val="00B667C9"/>
    <w:rsid w:val="00B672A4"/>
    <w:rsid w:val="00B679B8"/>
    <w:rsid w:val="00B7287D"/>
    <w:rsid w:val="00B83018"/>
    <w:rsid w:val="00B83C9A"/>
    <w:rsid w:val="00B8637B"/>
    <w:rsid w:val="00B867F1"/>
    <w:rsid w:val="00B95130"/>
    <w:rsid w:val="00BA1BC3"/>
    <w:rsid w:val="00BA37BE"/>
    <w:rsid w:val="00BA3B5F"/>
    <w:rsid w:val="00BA67EA"/>
    <w:rsid w:val="00BA6F10"/>
    <w:rsid w:val="00BA6F23"/>
    <w:rsid w:val="00BA7085"/>
    <w:rsid w:val="00BB0540"/>
    <w:rsid w:val="00BB06A1"/>
    <w:rsid w:val="00BB2A70"/>
    <w:rsid w:val="00BB3D35"/>
    <w:rsid w:val="00BB54B9"/>
    <w:rsid w:val="00BB6766"/>
    <w:rsid w:val="00BB73DF"/>
    <w:rsid w:val="00BC14F4"/>
    <w:rsid w:val="00BC33C9"/>
    <w:rsid w:val="00BC5A6F"/>
    <w:rsid w:val="00BD0248"/>
    <w:rsid w:val="00BD1B60"/>
    <w:rsid w:val="00BE0F63"/>
    <w:rsid w:val="00BE1476"/>
    <w:rsid w:val="00BE19A7"/>
    <w:rsid w:val="00BE1B46"/>
    <w:rsid w:val="00BE3F0F"/>
    <w:rsid w:val="00BE5226"/>
    <w:rsid w:val="00BE56C4"/>
    <w:rsid w:val="00BE5ED3"/>
    <w:rsid w:val="00BF20E1"/>
    <w:rsid w:val="00BF262A"/>
    <w:rsid w:val="00BF64FC"/>
    <w:rsid w:val="00BF775F"/>
    <w:rsid w:val="00C01810"/>
    <w:rsid w:val="00C05D8C"/>
    <w:rsid w:val="00C07B17"/>
    <w:rsid w:val="00C1233A"/>
    <w:rsid w:val="00C128E6"/>
    <w:rsid w:val="00C12D4B"/>
    <w:rsid w:val="00C137B9"/>
    <w:rsid w:val="00C14536"/>
    <w:rsid w:val="00C16E3A"/>
    <w:rsid w:val="00C17E89"/>
    <w:rsid w:val="00C216DE"/>
    <w:rsid w:val="00C2181D"/>
    <w:rsid w:val="00C222CC"/>
    <w:rsid w:val="00C2259A"/>
    <w:rsid w:val="00C24F35"/>
    <w:rsid w:val="00C260E4"/>
    <w:rsid w:val="00C267BB"/>
    <w:rsid w:val="00C27586"/>
    <w:rsid w:val="00C305E9"/>
    <w:rsid w:val="00C321F3"/>
    <w:rsid w:val="00C3293F"/>
    <w:rsid w:val="00C3474F"/>
    <w:rsid w:val="00C34A74"/>
    <w:rsid w:val="00C35FC8"/>
    <w:rsid w:val="00C3735A"/>
    <w:rsid w:val="00C37C43"/>
    <w:rsid w:val="00C436D0"/>
    <w:rsid w:val="00C4624D"/>
    <w:rsid w:val="00C477FA"/>
    <w:rsid w:val="00C50203"/>
    <w:rsid w:val="00C512ED"/>
    <w:rsid w:val="00C52402"/>
    <w:rsid w:val="00C53AB2"/>
    <w:rsid w:val="00C564EB"/>
    <w:rsid w:val="00C60F01"/>
    <w:rsid w:val="00C6306B"/>
    <w:rsid w:val="00C64775"/>
    <w:rsid w:val="00C64F10"/>
    <w:rsid w:val="00C65C15"/>
    <w:rsid w:val="00C6611B"/>
    <w:rsid w:val="00C66278"/>
    <w:rsid w:val="00C6682F"/>
    <w:rsid w:val="00C6791A"/>
    <w:rsid w:val="00C71919"/>
    <w:rsid w:val="00C72738"/>
    <w:rsid w:val="00C757BA"/>
    <w:rsid w:val="00C763C6"/>
    <w:rsid w:val="00C76D3A"/>
    <w:rsid w:val="00C83792"/>
    <w:rsid w:val="00C86EE7"/>
    <w:rsid w:val="00C87A96"/>
    <w:rsid w:val="00C90E21"/>
    <w:rsid w:val="00C91A9D"/>
    <w:rsid w:val="00C922D4"/>
    <w:rsid w:val="00C931B4"/>
    <w:rsid w:val="00C94947"/>
    <w:rsid w:val="00C97221"/>
    <w:rsid w:val="00C97EE0"/>
    <w:rsid w:val="00CA12AB"/>
    <w:rsid w:val="00CA2619"/>
    <w:rsid w:val="00CA338D"/>
    <w:rsid w:val="00CA3ABC"/>
    <w:rsid w:val="00CA5ABD"/>
    <w:rsid w:val="00CA6DE1"/>
    <w:rsid w:val="00CA71A6"/>
    <w:rsid w:val="00CB26A5"/>
    <w:rsid w:val="00CB477A"/>
    <w:rsid w:val="00CC3577"/>
    <w:rsid w:val="00CC47A7"/>
    <w:rsid w:val="00CC56B8"/>
    <w:rsid w:val="00CC5F18"/>
    <w:rsid w:val="00CC6BDE"/>
    <w:rsid w:val="00CD0156"/>
    <w:rsid w:val="00CD1EC6"/>
    <w:rsid w:val="00CD4F9A"/>
    <w:rsid w:val="00CD5565"/>
    <w:rsid w:val="00CD63C5"/>
    <w:rsid w:val="00CE094B"/>
    <w:rsid w:val="00CE136A"/>
    <w:rsid w:val="00CE3F59"/>
    <w:rsid w:val="00CE527A"/>
    <w:rsid w:val="00CE675A"/>
    <w:rsid w:val="00CE7371"/>
    <w:rsid w:val="00CE7D77"/>
    <w:rsid w:val="00CF3062"/>
    <w:rsid w:val="00CF3DCA"/>
    <w:rsid w:val="00CF3FF9"/>
    <w:rsid w:val="00CF4D9E"/>
    <w:rsid w:val="00CF6DFC"/>
    <w:rsid w:val="00D13F66"/>
    <w:rsid w:val="00D1599F"/>
    <w:rsid w:val="00D15A64"/>
    <w:rsid w:val="00D15AE2"/>
    <w:rsid w:val="00D17572"/>
    <w:rsid w:val="00D216FC"/>
    <w:rsid w:val="00D23543"/>
    <w:rsid w:val="00D23A71"/>
    <w:rsid w:val="00D240AB"/>
    <w:rsid w:val="00D2616F"/>
    <w:rsid w:val="00D315BC"/>
    <w:rsid w:val="00D32D49"/>
    <w:rsid w:val="00D32FFE"/>
    <w:rsid w:val="00D356D9"/>
    <w:rsid w:val="00D40EA9"/>
    <w:rsid w:val="00D41DD1"/>
    <w:rsid w:val="00D445CD"/>
    <w:rsid w:val="00D45BD9"/>
    <w:rsid w:val="00D509A9"/>
    <w:rsid w:val="00D5199A"/>
    <w:rsid w:val="00D51A37"/>
    <w:rsid w:val="00D52493"/>
    <w:rsid w:val="00D555F2"/>
    <w:rsid w:val="00D571DA"/>
    <w:rsid w:val="00D57531"/>
    <w:rsid w:val="00D60219"/>
    <w:rsid w:val="00D61DDF"/>
    <w:rsid w:val="00D6247D"/>
    <w:rsid w:val="00D6446B"/>
    <w:rsid w:val="00D70B47"/>
    <w:rsid w:val="00D74F76"/>
    <w:rsid w:val="00D8286F"/>
    <w:rsid w:val="00D86185"/>
    <w:rsid w:val="00D92B35"/>
    <w:rsid w:val="00D93C92"/>
    <w:rsid w:val="00D9617A"/>
    <w:rsid w:val="00DA0803"/>
    <w:rsid w:val="00DA16DB"/>
    <w:rsid w:val="00DA409F"/>
    <w:rsid w:val="00DA517C"/>
    <w:rsid w:val="00DA5518"/>
    <w:rsid w:val="00DA5D9B"/>
    <w:rsid w:val="00DA7DF2"/>
    <w:rsid w:val="00DB00C3"/>
    <w:rsid w:val="00DB1208"/>
    <w:rsid w:val="00DB2AF1"/>
    <w:rsid w:val="00DB2E23"/>
    <w:rsid w:val="00DB334B"/>
    <w:rsid w:val="00DB3538"/>
    <w:rsid w:val="00DB4881"/>
    <w:rsid w:val="00DB4EF6"/>
    <w:rsid w:val="00DB64F9"/>
    <w:rsid w:val="00DC0F92"/>
    <w:rsid w:val="00DC36F9"/>
    <w:rsid w:val="00DC3B4C"/>
    <w:rsid w:val="00DC3E21"/>
    <w:rsid w:val="00DC46EC"/>
    <w:rsid w:val="00DC5A62"/>
    <w:rsid w:val="00DC6008"/>
    <w:rsid w:val="00DC75C8"/>
    <w:rsid w:val="00DD2343"/>
    <w:rsid w:val="00DD3A15"/>
    <w:rsid w:val="00DD52C0"/>
    <w:rsid w:val="00DD5EA6"/>
    <w:rsid w:val="00DD6818"/>
    <w:rsid w:val="00DD7567"/>
    <w:rsid w:val="00DE2579"/>
    <w:rsid w:val="00DE25B2"/>
    <w:rsid w:val="00DE35E4"/>
    <w:rsid w:val="00DE3A1B"/>
    <w:rsid w:val="00DE66B4"/>
    <w:rsid w:val="00DE699F"/>
    <w:rsid w:val="00DF13D7"/>
    <w:rsid w:val="00DF1E3D"/>
    <w:rsid w:val="00DF5C25"/>
    <w:rsid w:val="00DF7A30"/>
    <w:rsid w:val="00DF7CC8"/>
    <w:rsid w:val="00E01EC1"/>
    <w:rsid w:val="00E05E94"/>
    <w:rsid w:val="00E05EDB"/>
    <w:rsid w:val="00E061E0"/>
    <w:rsid w:val="00E10DBB"/>
    <w:rsid w:val="00E11F80"/>
    <w:rsid w:val="00E23420"/>
    <w:rsid w:val="00E2347D"/>
    <w:rsid w:val="00E254F3"/>
    <w:rsid w:val="00E26553"/>
    <w:rsid w:val="00E2692D"/>
    <w:rsid w:val="00E31B6A"/>
    <w:rsid w:val="00E31EC5"/>
    <w:rsid w:val="00E33522"/>
    <w:rsid w:val="00E33ACA"/>
    <w:rsid w:val="00E37C3B"/>
    <w:rsid w:val="00E42C6E"/>
    <w:rsid w:val="00E4320F"/>
    <w:rsid w:val="00E45606"/>
    <w:rsid w:val="00E51089"/>
    <w:rsid w:val="00E543C8"/>
    <w:rsid w:val="00E54AAB"/>
    <w:rsid w:val="00E55C37"/>
    <w:rsid w:val="00E55C98"/>
    <w:rsid w:val="00E57E44"/>
    <w:rsid w:val="00E62490"/>
    <w:rsid w:val="00E62B03"/>
    <w:rsid w:val="00E656BC"/>
    <w:rsid w:val="00E65E16"/>
    <w:rsid w:val="00E664ED"/>
    <w:rsid w:val="00E70889"/>
    <w:rsid w:val="00E71E9A"/>
    <w:rsid w:val="00E7412D"/>
    <w:rsid w:val="00E75B6F"/>
    <w:rsid w:val="00E769B1"/>
    <w:rsid w:val="00E81330"/>
    <w:rsid w:val="00E84795"/>
    <w:rsid w:val="00E94C2C"/>
    <w:rsid w:val="00EA1104"/>
    <w:rsid w:val="00EA1F04"/>
    <w:rsid w:val="00EA447D"/>
    <w:rsid w:val="00EA55E9"/>
    <w:rsid w:val="00EA595D"/>
    <w:rsid w:val="00EB3258"/>
    <w:rsid w:val="00EB32FA"/>
    <w:rsid w:val="00EB3585"/>
    <w:rsid w:val="00EB37D0"/>
    <w:rsid w:val="00EB3FAB"/>
    <w:rsid w:val="00EB5F2F"/>
    <w:rsid w:val="00EB78F2"/>
    <w:rsid w:val="00EC02B4"/>
    <w:rsid w:val="00EC055F"/>
    <w:rsid w:val="00EC18DB"/>
    <w:rsid w:val="00EC1A4E"/>
    <w:rsid w:val="00EC2CCA"/>
    <w:rsid w:val="00EC327D"/>
    <w:rsid w:val="00ED02CE"/>
    <w:rsid w:val="00ED29BF"/>
    <w:rsid w:val="00ED4826"/>
    <w:rsid w:val="00ED78EF"/>
    <w:rsid w:val="00ED79F3"/>
    <w:rsid w:val="00EE05EC"/>
    <w:rsid w:val="00EE1018"/>
    <w:rsid w:val="00EE2463"/>
    <w:rsid w:val="00EF1400"/>
    <w:rsid w:val="00EF19F2"/>
    <w:rsid w:val="00EF2781"/>
    <w:rsid w:val="00EF27D6"/>
    <w:rsid w:val="00EF3A39"/>
    <w:rsid w:val="00EF4FF0"/>
    <w:rsid w:val="00EF6965"/>
    <w:rsid w:val="00EF6F23"/>
    <w:rsid w:val="00F026DF"/>
    <w:rsid w:val="00F03B16"/>
    <w:rsid w:val="00F04825"/>
    <w:rsid w:val="00F0540D"/>
    <w:rsid w:val="00F0620F"/>
    <w:rsid w:val="00F0712D"/>
    <w:rsid w:val="00F1134F"/>
    <w:rsid w:val="00F150EC"/>
    <w:rsid w:val="00F17757"/>
    <w:rsid w:val="00F17FF1"/>
    <w:rsid w:val="00F255D0"/>
    <w:rsid w:val="00F26337"/>
    <w:rsid w:val="00F26724"/>
    <w:rsid w:val="00F27923"/>
    <w:rsid w:val="00F32D75"/>
    <w:rsid w:val="00F35FEE"/>
    <w:rsid w:val="00F4106D"/>
    <w:rsid w:val="00F43C3C"/>
    <w:rsid w:val="00F4567D"/>
    <w:rsid w:val="00F46F5C"/>
    <w:rsid w:val="00F5298D"/>
    <w:rsid w:val="00F54308"/>
    <w:rsid w:val="00F6561E"/>
    <w:rsid w:val="00F6574A"/>
    <w:rsid w:val="00F67E0F"/>
    <w:rsid w:val="00F70633"/>
    <w:rsid w:val="00F70ABD"/>
    <w:rsid w:val="00F712FC"/>
    <w:rsid w:val="00F71819"/>
    <w:rsid w:val="00F71ABB"/>
    <w:rsid w:val="00F72385"/>
    <w:rsid w:val="00F73932"/>
    <w:rsid w:val="00F73D38"/>
    <w:rsid w:val="00F81D25"/>
    <w:rsid w:val="00F8241F"/>
    <w:rsid w:val="00F84C19"/>
    <w:rsid w:val="00F85030"/>
    <w:rsid w:val="00F94B45"/>
    <w:rsid w:val="00F9682B"/>
    <w:rsid w:val="00FB0339"/>
    <w:rsid w:val="00FB1070"/>
    <w:rsid w:val="00FB4132"/>
    <w:rsid w:val="00FB5D07"/>
    <w:rsid w:val="00FB6419"/>
    <w:rsid w:val="00FC0585"/>
    <w:rsid w:val="00FC1A46"/>
    <w:rsid w:val="00FD2310"/>
    <w:rsid w:val="00FD31E4"/>
    <w:rsid w:val="00FD5958"/>
    <w:rsid w:val="00FD7336"/>
    <w:rsid w:val="00FD766E"/>
    <w:rsid w:val="00FD794E"/>
    <w:rsid w:val="00FD7FB1"/>
    <w:rsid w:val="00FE159F"/>
    <w:rsid w:val="00FE5278"/>
    <w:rsid w:val="00FF0889"/>
    <w:rsid w:val="00FF113D"/>
    <w:rsid w:val="00FF32D8"/>
    <w:rsid w:val="00FF50F8"/>
    <w:rsid w:val="00FF54CE"/>
    <w:rsid w:val="00FF6553"/>
    <w:rsid w:val="00FF733E"/>
    <w:rsid w:val="00FF7C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8BDB56"/>
  <w15:docId w15:val="{F6B566F1-2732-42BC-B5DE-E11628D62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056"/>
    <w:pPr>
      <w:spacing w:after="240" w:line="260" w:lineRule="exact"/>
      <w:jc w:val="both"/>
    </w:pPr>
    <w:rPr>
      <w:rFonts w:ascii="Corbel" w:eastAsia="Times New Roman" w:hAnsi="Corbel" w:cs="Times New Roman"/>
      <w:color w:val="000000"/>
      <w:sz w:val="23"/>
      <w:szCs w:val="20"/>
      <w:lang w:eastAsia="en-AU"/>
    </w:rPr>
  </w:style>
  <w:style w:type="paragraph" w:styleId="Heading1">
    <w:name w:val="heading 1"/>
    <w:basedOn w:val="Normal"/>
    <w:next w:val="Normal"/>
    <w:link w:val="Heading1Char"/>
    <w:uiPriority w:val="9"/>
    <w:qFormat/>
    <w:rsid w:val="007B4056"/>
    <w:pPr>
      <w:keepNext/>
      <w:spacing w:before="480" w:after="180" w:line="240" w:lineRule="auto"/>
      <w:jc w:val="left"/>
      <w:outlineLvl w:val="0"/>
    </w:pPr>
    <w:rPr>
      <w:rFonts w:ascii="Consolas" w:hAnsi="Consolas" w:cs="Arial"/>
      <w:bCs/>
      <w:caps/>
      <w:color w:val="3D4B67"/>
      <w:kern w:val="32"/>
      <w:sz w:val="32"/>
      <w:szCs w:val="36"/>
    </w:rPr>
  </w:style>
  <w:style w:type="paragraph" w:styleId="Heading2">
    <w:name w:val="heading 2"/>
    <w:basedOn w:val="Normal"/>
    <w:next w:val="Normal"/>
    <w:link w:val="Heading2Char"/>
    <w:uiPriority w:val="99"/>
    <w:qFormat/>
    <w:rsid w:val="007B4056"/>
    <w:pPr>
      <w:keepNext/>
      <w:spacing w:before="180" w:after="120" w:line="240" w:lineRule="auto"/>
      <w:jc w:val="left"/>
      <w:outlineLvl w:val="1"/>
    </w:pPr>
    <w:rPr>
      <w:rFonts w:cs="Arial"/>
      <w:b/>
      <w:bCs/>
      <w:iCs/>
      <w:color w:val="3D4B67"/>
      <w:sz w:val="29"/>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4056"/>
    <w:rPr>
      <w:rFonts w:ascii="Consolas" w:eastAsia="Times New Roman" w:hAnsi="Consolas" w:cs="Arial"/>
      <w:bCs/>
      <w:caps/>
      <w:color w:val="3D4B67"/>
      <w:kern w:val="32"/>
      <w:sz w:val="32"/>
      <w:szCs w:val="36"/>
      <w:lang w:eastAsia="en-AU"/>
    </w:rPr>
  </w:style>
  <w:style w:type="character" w:customStyle="1" w:styleId="Heading2Char">
    <w:name w:val="Heading 2 Char"/>
    <w:basedOn w:val="DefaultParagraphFont"/>
    <w:link w:val="Heading2"/>
    <w:uiPriority w:val="99"/>
    <w:rsid w:val="007B4056"/>
    <w:rPr>
      <w:rFonts w:ascii="Corbel" w:eastAsia="Times New Roman" w:hAnsi="Corbel" w:cs="Arial"/>
      <w:b/>
      <w:bCs/>
      <w:iCs/>
      <w:color w:val="3D4B67"/>
      <w:sz w:val="29"/>
      <w:szCs w:val="28"/>
      <w:lang w:eastAsia="en-AU"/>
    </w:rPr>
  </w:style>
  <w:style w:type="paragraph" w:customStyle="1" w:styleId="SingleParagraph">
    <w:name w:val="Single Paragraph"/>
    <w:basedOn w:val="Normal"/>
    <w:rsid w:val="007B4056"/>
    <w:pPr>
      <w:spacing w:after="0"/>
    </w:pPr>
  </w:style>
  <w:style w:type="paragraph" w:customStyle="1" w:styleId="AlphaParagraph">
    <w:name w:val="Alpha Paragraph"/>
    <w:basedOn w:val="Normal"/>
    <w:link w:val="AlphaParagraphCharChar"/>
    <w:rsid w:val="007B4056"/>
    <w:pPr>
      <w:tabs>
        <w:tab w:val="num" w:pos="0"/>
        <w:tab w:val="num" w:pos="283"/>
        <w:tab w:val="num" w:pos="567"/>
        <w:tab w:val="num" w:pos="1134"/>
        <w:tab w:val="num" w:pos="1418"/>
        <w:tab w:val="num" w:pos="1701"/>
      </w:tabs>
      <w:ind w:left="567" w:hanging="363"/>
    </w:pPr>
  </w:style>
  <w:style w:type="character" w:customStyle="1" w:styleId="Bold">
    <w:name w:val="Bold"/>
    <w:rsid w:val="007B4056"/>
    <w:rPr>
      <w:b/>
    </w:rPr>
  </w:style>
  <w:style w:type="paragraph" w:customStyle="1" w:styleId="CoverTitleMain">
    <w:name w:val="Cover Title Main"/>
    <w:basedOn w:val="Normal"/>
    <w:next w:val="Normal"/>
    <w:rsid w:val="007B4056"/>
    <w:pPr>
      <w:keepNext/>
      <w:spacing w:after="0" w:line="240" w:lineRule="auto"/>
      <w:jc w:val="left"/>
    </w:pPr>
    <w:rPr>
      <w:rFonts w:ascii="Consolas" w:hAnsi="Consolas"/>
      <w:caps/>
      <w:color w:val="3D4B67"/>
      <w:sz w:val="84"/>
    </w:rPr>
  </w:style>
  <w:style w:type="paragraph" w:customStyle="1" w:styleId="FooterEven">
    <w:name w:val="Footer Even"/>
    <w:basedOn w:val="Footer"/>
    <w:rsid w:val="007B4056"/>
    <w:pPr>
      <w:tabs>
        <w:tab w:val="clear" w:pos="4513"/>
        <w:tab w:val="clear" w:pos="9026"/>
      </w:tabs>
      <w:jc w:val="left"/>
    </w:pPr>
    <w:rPr>
      <w:color w:val="3D4B67"/>
      <w:sz w:val="18"/>
    </w:rPr>
  </w:style>
  <w:style w:type="paragraph" w:customStyle="1" w:styleId="FooterOdd">
    <w:name w:val="Footer Odd"/>
    <w:basedOn w:val="Footer"/>
    <w:rsid w:val="007B4056"/>
    <w:pPr>
      <w:tabs>
        <w:tab w:val="clear" w:pos="4513"/>
        <w:tab w:val="clear" w:pos="9026"/>
      </w:tabs>
      <w:jc w:val="right"/>
    </w:pPr>
    <w:rPr>
      <w:color w:val="3D4B67"/>
      <w:sz w:val="18"/>
    </w:rPr>
  </w:style>
  <w:style w:type="paragraph" w:styleId="Header">
    <w:name w:val="header"/>
    <w:basedOn w:val="Normal"/>
    <w:link w:val="HeaderChar"/>
    <w:uiPriority w:val="99"/>
    <w:rsid w:val="007B4056"/>
    <w:pPr>
      <w:keepNext/>
      <w:spacing w:after="0" w:line="240" w:lineRule="auto"/>
      <w:jc w:val="left"/>
    </w:pPr>
    <w:rPr>
      <w:color w:val="3D4B67"/>
      <w:sz w:val="18"/>
    </w:rPr>
  </w:style>
  <w:style w:type="character" w:customStyle="1" w:styleId="HeaderChar">
    <w:name w:val="Header Char"/>
    <w:basedOn w:val="DefaultParagraphFont"/>
    <w:link w:val="Header"/>
    <w:uiPriority w:val="99"/>
    <w:rsid w:val="007B4056"/>
    <w:rPr>
      <w:rFonts w:ascii="Corbel" w:eastAsia="Times New Roman" w:hAnsi="Corbel" w:cs="Times New Roman"/>
      <w:color w:val="3D4B67"/>
      <w:sz w:val="18"/>
      <w:szCs w:val="20"/>
      <w:lang w:eastAsia="en-AU"/>
    </w:rPr>
  </w:style>
  <w:style w:type="paragraph" w:customStyle="1" w:styleId="HeaderOdd">
    <w:name w:val="Header Odd"/>
    <w:basedOn w:val="Header"/>
    <w:rsid w:val="007B4056"/>
    <w:pPr>
      <w:jc w:val="right"/>
    </w:pPr>
  </w:style>
  <w:style w:type="character" w:styleId="CommentReference">
    <w:name w:val="annotation reference"/>
    <w:basedOn w:val="DefaultParagraphFont"/>
    <w:uiPriority w:val="99"/>
    <w:semiHidden/>
    <w:rsid w:val="007B4056"/>
    <w:rPr>
      <w:rFonts w:cs="Times New Roman"/>
      <w:sz w:val="16"/>
    </w:rPr>
  </w:style>
  <w:style w:type="paragraph" w:styleId="CommentText">
    <w:name w:val="annotation text"/>
    <w:basedOn w:val="Normal"/>
    <w:link w:val="CommentTextChar"/>
    <w:uiPriority w:val="99"/>
    <w:semiHidden/>
    <w:rsid w:val="007B4056"/>
  </w:style>
  <w:style w:type="character" w:customStyle="1" w:styleId="CommentTextChar">
    <w:name w:val="Comment Text Char"/>
    <w:basedOn w:val="DefaultParagraphFont"/>
    <w:link w:val="CommentText"/>
    <w:uiPriority w:val="99"/>
    <w:semiHidden/>
    <w:rsid w:val="007B4056"/>
    <w:rPr>
      <w:rFonts w:ascii="Corbel" w:eastAsia="Times New Roman" w:hAnsi="Corbel" w:cs="Times New Roman"/>
      <w:color w:val="000000"/>
      <w:sz w:val="23"/>
      <w:szCs w:val="20"/>
      <w:lang w:eastAsia="en-AU"/>
    </w:rPr>
  </w:style>
  <w:style w:type="paragraph" w:customStyle="1" w:styleId="Normalnumbered">
    <w:name w:val="Normal numbered"/>
    <w:basedOn w:val="Normal"/>
    <w:link w:val="NormalnumberedChar"/>
    <w:rsid w:val="007B4056"/>
    <w:pPr>
      <w:numPr>
        <w:numId w:val="1"/>
      </w:numPr>
    </w:pPr>
  </w:style>
  <w:style w:type="paragraph" w:customStyle="1" w:styleId="Abstract">
    <w:name w:val="Abstract"/>
    <w:basedOn w:val="Normal"/>
    <w:rsid w:val="007B4056"/>
    <w:pPr>
      <w:spacing w:before="240" w:line="240" w:lineRule="auto"/>
    </w:pPr>
    <w:rPr>
      <w:rFonts w:ascii="Consolas" w:hAnsi="Consolas"/>
      <w:color w:val="3D4B67"/>
      <w:sz w:val="20"/>
      <w:szCs w:val="26"/>
    </w:rPr>
  </w:style>
  <w:style w:type="paragraph" w:styleId="Title">
    <w:name w:val="Title"/>
    <w:basedOn w:val="Normal"/>
    <w:next w:val="Subtitle"/>
    <w:link w:val="TitleChar"/>
    <w:uiPriority w:val="10"/>
    <w:qFormat/>
    <w:rsid w:val="007B4056"/>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rsid w:val="007B4056"/>
    <w:rPr>
      <w:rFonts w:ascii="Corbel" w:eastAsia="Times New Roman" w:hAnsi="Corbel" w:cs="Times New Roman"/>
      <w:color w:val="3D4B67"/>
      <w:sz w:val="72"/>
      <w:szCs w:val="48"/>
      <w:lang w:eastAsia="ja-JP"/>
    </w:rPr>
  </w:style>
  <w:style w:type="paragraph" w:customStyle="1" w:styleId="Signed">
    <w:name w:val="Signed"/>
    <w:basedOn w:val="Normal"/>
    <w:rsid w:val="007B4056"/>
    <w:pPr>
      <w:spacing w:after="120" w:line="240" w:lineRule="auto"/>
    </w:pPr>
    <w:rPr>
      <w:rFonts w:ascii="Book Antiqua" w:hAnsi="Book Antiqua"/>
      <w:bCs/>
      <w:i/>
      <w:sz w:val="22"/>
    </w:rPr>
  </w:style>
  <w:style w:type="paragraph" w:customStyle="1" w:styleId="AgreementHeading">
    <w:name w:val="AgreementHeading"/>
    <w:basedOn w:val="Normal"/>
    <w:next w:val="Normal"/>
    <w:rsid w:val="007B4056"/>
    <w:pPr>
      <w:tabs>
        <w:tab w:val="num" w:pos="1134"/>
      </w:tabs>
      <w:spacing w:before="120" w:after="120" w:line="240" w:lineRule="auto"/>
      <w:ind w:left="1560"/>
      <w:jc w:val="left"/>
    </w:pPr>
    <w:rPr>
      <w:rFonts w:ascii="Consolas" w:hAnsi="Consolas"/>
      <w:color w:val="3D4B67"/>
      <w:sz w:val="30"/>
      <w:szCs w:val="32"/>
      <w:lang w:eastAsia="ja-JP"/>
    </w:rPr>
  </w:style>
  <w:style w:type="character" w:styleId="PageNumber">
    <w:name w:val="page number"/>
    <w:basedOn w:val="DefaultParagraphFont"/>
    <w:uiPriority w:val="99"/>
    <w:rsid w:val="007B4056"/>
    <w:rPr>
      <w:rFonts w:cs="Times New Roman"/>
    </w:rPr>
  </w:style>
  <w:style w:type="paragraph" w:customStyle="1" w:styleId="Position">
    <w:name w:val="Position"/>
    <w:basedOn w:val="Normal"/>
    <w:rsid w:val="007B4056"/>
    <w:pPr>
      <w:spacing w:after="120"/>
    </w:pPr>
    <w:rPr>
      <w:bCs/>
      <w:sz w:val="20"/>
    </w:rPr>
  </w:style>
  <w:style w:type="character" w:customStyle="1" w:styleId="SignedBold">
    <w:name w:val="SignedBold"/>
    <w:rsid w:val="007B4056"/>
    <w:rPr>
      <w:b/>
      <w:i/>
    </w:rPr>
  </w:style>
  <w:style w:type="paragraph" w:customStyle="1" w:styleId="LineForSignature">
    <w:name w:val="LineForSignature"/>
    <w:basedOn w:val="Normal"/>
    <w:rsid w:val="007B4056"/>
    <w:pPr>
      <w:tabs>
        <w:tab w:val="left" w:leader="underscore" w:pos="3686"/>
      </w:tabs>
      <w:spacing w:before="360" w:after="60"/>
    </w:pPr>
    <w:rPr>
      <w:rFonts w:ascii="Book Antiqua" w:hAnsi="Book Antiqua"/>
      <w:color w:val="C0C0C0"/>
      <w:lang w:val="en-GB"/>
    </w:rPr>
  </w:style>
  <w:style w:type="paragraph" w:customStyle="1" w:styleId="AgreementParties">
    <w:name w:val="AgreementParties"/>
    <w:rsid w:val="007B4056"/>
    <w:pPr>
      <w:numPr>
        <w:numId w:val="3"/>
      </w:numPr>
      <w:spacing w:before="120" w:after="120" w:line="240" w:lineRule="auto"/>
    </w:pPr>
    <w:rPr>
      <w:rFonts w:ascii="Consolas" w:eastAsia="Times New Roman" w:hAnsi="Consolas" w:cs="Times New Roman"/>
      <w:color w:val="3D4B67"/>
      <w:sz w:val="30"/>
      <w:szCs w:val="32"/>
      <w:lang w:eastAsia="ja-JP"/>
    </w:rPr>
  </w:style>
  <w:style w:type="character" w:customStyle="1" w:styleId="NormalnumberedChar">
    <w:name w:val="Normal numbered Char"/>
    <w:link w:val="Normalnumbered"/>
    <w:locked/>
    <w:rsid w:val="007B4056"/>
    <w:rPr>
      <w:rFonts w:ascii="Corbel" w:eastAsia="Times New Roman" w:hAnsi="Corbel" w:cs="Times New Roman"/>
      <w:color w:val="000000"/>
      <w:sz w:val="23"/>
      <w:szCs w:val="20"/>
      <w:lang w:eastAsia="en-AU"/>
    </w:rPr>
  </w:style>
  <w:style w:type="character" w:customStyle="1" w:styleId="AlphaParagraphCharChar">
    <w:name w:val="Alpha Paragraph Char Char"/>
    <w:link w:val="AlphaParagraph"/>
    <w:locked/>
    <w:rsid w:val="007B4056"/>
    <w:rPr>
      <w:rFonts w:ascii="Corbel" w:eastAsia="Times New Roman" w:hAnsi="Corbel" w:cs="Times New Roman"/>
      <w:color w:val="000000"/>
      <w:sz w:val="23"/>
      <w:szCs w:val="20"/>
      <w:lang w:eastAsia="en-AU"/>
    </w:rPr>
  </w:style>
  <w:style w:type="paragraph" w:styleId="ListParagraph">
    <w:name w:val="List Paragraph"/>
    <w:basedOn w:val="Normal"/>
    <w:link w:val="ListParagraphChar"/>
    <w:uiPriority w:val="34"/>
    <w:qFormat/>
    <w:rsid w:val="007B4056"/>
    <w:pPr>
      <w:spacing w:after="0" w:line="240" w:lineRule="auto"/>
      <w:ind w:left="720"/>
      <w:jc w:val="left"/>
    </w:pPr>
    <w:rPr>
      <w:rFonts w:ascii="Times New Roman" w:hAnsi="Times New Roman"/>
      <w:color w:val="auto"/>
      <w:sz w:val="24"/>
      <w:szCs w:val="24"/>
    </w:rPr>
  </w:style>
  <w:style w:type="paragraph" w:styleId="Footer">
    <w:name w:val="footer"/>
    <w:basedOn w:val="Normal"/>
    <w:link w:val="FooterChar"/>
    <w:uiPriority w:val="99"/>
    <w:unhideWhenUsed/>
    <w:rsid w:val="007B40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056"/>
    <w:rPr>
      <w:rFonts w:ascii="Corbel" w:eastAsia="Times New Roman" w:hAnsi="Corbel" w:cs="Times New Roman"/>
      <w:color w:val="000000"/>
      <w:sz w:val="23"/>
      <w:szCs w:val="20"/>
      <w:lang w:eastAsia="en-AU"/>
    </w:rPr>
  </w:style>
  <w:style w:type="paragraph" w:styleId="Subtitle">
    <w:name w:val="Subtitle"/>
    <w:basedOn w:val="Normal"/>
    <w:next w:val="Normal"/>
    <w:link w:val="SubtitleChar"/>
    <w:uiPriority w:val="11"/>
    <w:qFormat/>
    <w:rsid w:val="007B405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B4056"/>
    <w:rPr>
      <w:rFonts w:asciiTheme="majorHAnsi" w:eastAsiaTheme="majorEastAsia" w:hAnsiTheme="majorHAnsi" w:cstheme="majorBidi"/>
      <w:i/>
      <w:iCs/>
      <w:color w:val="4F81BD" w:themeColor="accent1"/>
      <w:spacing w:val="15"/>
      <w:sz w:val="24"/>
      <w:szCs w:val="24"/>
      <w:lang w:eastAsia="en-AU"/>
    </w:rPr>
  </w:style>
  <w:style w:type="paragraph" w:styleId="BalloonText">
    <w:name w:val="Balloon Text"/>
    <w:basedOn w:val="Normal"/>
    <w:link w:val="BalloonTextChar"/>
    <w:uiPriority w:val="99"/>
    <w:semiHidden/>
    <w:unhideWhenUsed/>
    <w:rsid w:val="007B4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056"/>
    <w:rPr>
      <w:rFonts w:ascii="Tahoma" w:eastAsia="Times New Roman" w:hAnsi="Tahoma" w:cs="Tahoma"/>
      <w:color w:val="000000"/>
      <w:sz w:val="16"/>
      <w:szCs w:val="16"/>
      <w:lang w:eastAsia="en-AU"/>
    </w:rPr>
  </w:style>
  <w:style w:type="paragraph" w:styleId="CommentSubject">
    <w:name w:val="annotation subject"/>
    <w:basedOn w:val="CommentText"/>
    <w:next w:val="CommentText"/>
    <w:link w:val="CommentSubjectChar"/>
    <w:uiPriority w:val="99"/>
    <w:semiHidden/>
    <w:unhideWhenUsed/>
    <w:rsid w:val="005D22DB"/>
    <w:pPr>
      <w:spacing w:line="240" w:lineRule="auto"/>
    </w:pPr>
    <w:rPr>
      <w:b/>
      <w:bCs/>
      <w:sz w:val="20"/>
    </w:rPr>
  </w:style>
  <w:style w:type="character" w:customStyle="1" w:styleId="CommentSubjectChar">
    <w:name w:val="Comment Subject Char"/>
    <w:basedOn w:val="CommentTextChar"/>
    <w:link w:val="CommentSubject"/>
    <w:uiPriority w:val="99"/>
    <w:semiHidden/>
    <w:rsid w:val="005D22DB"/>
    <w:rPr>
      <w:rFonts w:ascii="Corbel" w:eastAsia="Times New Roman" w:hAnsi="Corbel" w:cs="Times New Roman"/>
      <w:b/>
      <w:bCs/>
      <w:color w:val="000000"/>
      <w:sz w:val="20"/>
      <w:szCs w:val="20"/>
      <w:lang w:eastAsia="en-AU"/>
    </w:rPr>
  </w:style>
  <w:style w:type="paragraph" w:styleId="Revision">
    <w:name w:val="Revision"/>
    <w:hidden/>
    <w:uiPriority w:val="99"/>
    <w:semiHidden/>
    <w:rsid w:val="00AE7A24"/>
    <w:pPr>
      <w:spacing w:after="0" w:line="240" w:lineRule="auto"/>
    </w:pPr>
    <w:rPr>
      <w:rFonts w:ascii="Corbel" w:eastAsia="Times New Roman" w:hAnsi="Corbel" w:cs="Times New Roman"/>
      <w:color w:val="000000"/>
      <w:sz w:val="23"/>
      <w:szCs w:val="20"/>
      <w:lang w:eastAsia="en-AU"/>
    </w:rPr>
  </w:style>
  <w:style w:type="paragraph" w:styleId="FootnoteText">
    <w:name w:val="footnote text"/>
    <w:basedOn w:val="Normal"/>
    <w:link w:val="FootnoteTextChar"/>
    <w:semiHidden/>
    <w:unhideWhenUsed/>
    <w:rsid w:val="00704748"/>
    <w:pPr>
      <w:spacing w:after="0" w:line="240" w:lineRule="auto"/>
    </w:pPr>
    <w:rPr>
      <w:sz w:val="20"/>
    </w:rPr>
  </w:style>
  <w:style w:type="character" w:customStyle="1" w:styleId="FootnoteTextChar">
    <w:name w:val="Footnote Text Char"/>
    <w:basedOn w:val="DefaultParagraphFont"/>
    <w:link w:val="FootnoteText"/>
    <w:semiHidden/>
    <w:rsid w:val="00704748"/>
    <w:rPr>
      <w:rFonts w:ascii="Corbel" w:eastAsia="Times New Roman" w:hAnsi="Corbel" w:cs="Times New Roman"/>
      <w:color w:val="000000"/>
      <w:sz w:val="20"/>
      <w:szCs w:val="20"/>
      <w:lang w:eastAsia="en-AU"/>
    </w:rPr>
  </w:style>
  <w:style w:type="character" w:styleId="FootnoteReference">
    <w:name w:val="footnote reference"/>
    <w:basedOn w:val="DefaultParagraphFont"/>
    <w:semiHidden/>
    <w:unhideWhenUsed/>
    <w:rsid w:val="00704748"/>
    <w:rPr>
      <w:vertAlign w:val="superscript"/>
    </w:rPr>
  </w:style>
  <w:style w:type="paragraph" w:customStyle="1" w:styleId="Bullet">
    <w:name w:val="Bullet"/>
    <w:basedOn w:val="Normal"/>
    <w:link w:val="BulletChar"/>
    <w:rsid w:val="00C321F3"/>
    <w:pPr>
      <w:numPr>
        <w:numId w:val="8"/>
      </w:numPr>
      <w:spacing w:before="120"/>
    </w:pPr>
    <w:rPr>
      <w:b/>
      <w:szCs w:val="23"/>
    </w:rPr>
  </w:style>
  <w:style w:type="character" w:customStyle="1" w:styleId="BulletChar">
    <w:name w:val="Bullet Char"/>
    <w:basedOn w:val="Heading2Char"/>
    <w:link w:val="Bullet"/>
    <w:rsid w:val="00C321F3"/>
    <w:rPr>
      <w:rFonts w:ascii="Corbel" w:eastAsia="Times New Roman" w:hAnsi="Corbel" w:cs="Times New Roman"/>
      <w:b/>
      <w:bCs w:val="0"/>
      <w:iCs w:val="0"/>
      <w:color w:val="000000"/>
      <w:sz w:val="23"/>
      <w:szCs w:val="23"/>
      <w:lang w:eastAsia="en-AU"/>
    </w:rPr>
  </w:style>
  <w:style w:type="paragraph" w:customStyle="1" w:styleId="Dash">
    <w:name w:val="Dash"/>
    <w:basedOn w:val="Normal"/>
    <w:link w:val="DashChar"/>
    <w:rsid w:val="00C321F3"/>
    <w:pPr>
      <w:numPr>
        <w:ilvl w:val="1"/>
        <w:numId w:val="8"/>
      </w:numPr>
      <w:spacing w:before="120"/>
    </w:pPr>
    <w:rPr>
      <w:b/>
      <w:szCs w:val="23"/>
    </w:rPr>
  </w:style>
  <w:style w:type="character" w:customStyle="1" w:styleId="DashChar">
    <w:name w:val="Dash Char"/>
    <w:basedOn w:val="Heading2Char"/>
    <w:link w:val="Dash"/>
    <w:rsid w:val="00C321F3"/>
    <w:rPr>
      <w:rFonts w:ascii="Corbel" w:eastAsia="Times New Roman" w:hAnsi="Corbel" w:cs="Times New Roman"/>
      <w:b/>
      <w:bCs w:val="0"/>
      <w:iCs w:val="0"/>
      <w:color w:val="000000"/>
      <w:sz w:val="23"/>
      <w:szCs w:val="23"/>
      <w:lang w:eastAsia="en-AU"/>
    </w:rPr>
  </w:style>
  <w:style w:type="paragraph" w:customStyle="1" w:styleId="DoubleDot">
    <w:name w:val="Double Dot"/>
    <w:basedOn w:val="Normal"/>
    <w:link w:val="DoubleDotChar"/>
    <w:rsid w:val="00C321F3"/>
    <w:pPr>
      <w:numPr>
        <w:ilvl w:val="2"/>
        <w:numId w:val="8"/>
      </w:numPr>
      <w:spacing w:before="120"/>
    </w:pPr>
    <w:rPr>
      <w:b/>
      <w:szCs w:val="23"/>
    </w:rPr>
  </w:style>
  <w:style w:type="character" w:customStyle="1" w:styleId="DoubleDotChar">
    <w:name w:val="Double Dot Char"/>
    <w:basedOn w:val="Heading2Char"/>
    <w:link w:val="DoubleDot"/>
    <w:rsid w:val="00C321F3"/>
    <w:rPr>
      <w:rFonts w:ascii="Corbel" w:eastAsia="Times New Roman" w:hAnsi="Corbel" w:cs="Times New Roman"/>
      <w:b/>
      <w:bCs w:val="0"/>
      <w:iCs w:val="0"/>
      <w:color w:val="000000"/>
      <w:sz w:val="23"/>
      <w:szCs w:val="23"/>
      <w:lang w:eastAsia="en-AU"/>
    </w:rPr>
  </w:style>
  <w:style w:type="character" w:styleId="Hyperlink">
    <w:name w:val="Hyperlink"/>
    <w:basedOn w:val="DefaultParagraphFont"/>
    <w:uiPriority w:val="99"/>
    <w:unhideWhenUsed/>
    <w:rsid w:val="00ED78EF"/>
    <w:rPr>
      <w:color w:val="0000FF" w:themeColor="hyperlink"/>
      <w:u w:val="single"/>
    </w:rPr>
  </w:style>
  <w:style w:type="character" w:styleId="FollowedHyperlink">
    <w:name w:val="FollowedHyperlink"/>
    <w:basedOn w:val="DefaultParagraphFont"/>
    <w:uiPriority w:val="99"/>
    <w:semiHidden/>
    <w:unhideWhenUsed/>
    <w:rsid w:val="00CC5F18"/>
    <w:rPr>
      <w:color w:val="800080" w:themeColor="followedHyperlink"/>
      <w:u w:val="single"/>
    </w:rPr>
  </w:style>
  <w:style w:type="table" w:styleId="TableGrid">
    <w:name w:val="Table Grid"/>
    <w:basedOn w:val="TableNormal"/>
    <w:uiPriority w:val="59"/>
    <w:rsid w:val="00947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947A7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51">
    <w:name w:val="Grid Table 4 - Accent 51"/>
    <w:basedOn w:val="TableNormal"/>
    <w:uiPriority w:val="49"/>
    <w:rsid w:val="006F242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11">
    <w:name w:val="List Table 1 Light - Accent 11"/>
    <w:basedOn w:val="TableNormal"/>
    <w:uiPriority w:val="46"/>
    <w:rsid w:val="006F242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7Colorful-Accent11">
    <w:name w:val="Grid Table 7 Colorful - Accent 11"/>
    <w:basedOn w:val="TableNormal"/>
    <w:uiPriority w:val="52"/>
    <w:rsid w:val="006F242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6Colorful-Accent11">
    <w:name w:val="Grid Table 6 Colorful - Accent 11"/>
    <w:basedOn w:val="TableNormal"/>
    <w:uiPriority w:val="51"/>
    <w:rsid w:val="006F242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1Light-Accent11">
    <w:name w:val="Grid Table 1 Light - Accent 11"/>
    <w:basedOn w:val="TableNormal"/>
    <w:uiPriority w:val="46"/>
    <w:rsid w:val="006F242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OutlineNumbered1">
    <w:name w:val="Outline Numbered 1"/>
    <w:basedOn w:val="Normal"/>
    <w:link w:val="OutlineNumbered1Char"/>
    <w:rsid w:val="0027395A"/>
    <w:pPr>
      <w:numPr>
        <w:numId w:val="13"/>
      </w:numPr>
    </w:pPr>
    <w:rPr>
      <w:szCs w:val="23"/>
    </w:rPr>
  </w:style>
  <w:style w:type="character" w:customStyle="1" w:styleId="ListParagraphChar">
    <w:name w:val="List Paragraph Char"/>
    <w:basedOn w:val="DefaultParagraphFont"/>
    <w:link w:val="ListParagraph"/>
    <w:uiPriority w:val="34"/>
    <w:rsid w:val="0027395A"/>
    <w:rPr>
      <w:rFonts w:ascii="Times New Roman" w:eastAsia="Times New Roman" w:hAnsi="Times New Roman" w:cs="Times New Roman"/>
      <w:sz w:val="24"/>
      <w:szCs w:val="24"/>
      <w:lang w:eastAsia="en-AU"/>
    </w:rPr>
  </w:style>
  <w:style w:type="character" w:customStyle="1" w:styleId="OutlineNumbered1Char">
    <w:name w:val="Outline Numbered 1 Char"/>
    <w:basedOn w:val="ListParagraphChar"/>
    <w:link w:val="OutlineNumbered1"/>
    <w:rsid w:val="0027395A"/>
    <w:rPr>
      <w:rFonts w:ascii="Corbel" w:eastAsia="Times New Roman" w:hAnsi="Corbel" w:cs="Times New Roman"/>
      <w:color w:val="000000"/>
      <w:sz w:val="23"/>
      <w:szCs w:val="23"/>
      <w:lang w:eastAsia="en-AU"/>
    </w:rPr>
  </w:style>
  <w:style w:type="paragraph" w:customStyle="1" w:styleId="OutlineNumbered2">
    <w:name w:val="Outline Numbered 2"/>
    <w:basedOn w:val="Normal"/>
    <w:link w:val="OutlineNumbered2Char"/>
    <w:rsid w:val="0027395A"/>
    <w:pPr>
      <w:numPr>
        <w:ilvl w:val="1"/>
        <w:numId w:val="13"/>
      </w:numPr>
    </w:pPr>
    <w:rPr>
      <w:szCs w:val="23"/>
    </w:rPr>
  </w:style>
  <w:style w:type="character" w:customStyle="1" w:styleId="OutlineNumbered2Char">
    <w:name w:val="Outline Numbered 2 Char"/>
    <w:basedOn w:val="ListParagraphChar"/>
    <w:link w:val="OutlineNumbered2"/>
    <w:rsid w:val="0027395A"/>
    <w:rPr>
      <w:rFonts w:ascii="Corbel" w:eastAsia="Times New Roman" w:hAnsi="Corbel" w:cs="Times New Roman"/>
      <w:color w:val="000000"/>
      <w:sz w:val="23"/>
      <w:szCs w:val="23"/>
      <w:lang w:eastAsia="en-AU"/>
    </w:rPr>
  </w:style>
  <w:style w:type="paragraph" w:customStyle="1" w:styleId="OutlineNumbered3">
    <w:name w:val="Outline Numbered 3"/>
    <w:basedOn w:val="Normal"/>
    <w:link w:val="OutlineNumbered3Char"/>
    <w:rsid w:val="0027395A"/>
    <w:pPr>
      <w:numPr>
        <w:ilvl w:val="2"/>
        <w:numId w:val="13"/>
      </w:numPr>
    </w:pPr>
    <w:rPr>
      <w:szCs w:val="23"/>
    </w:rPr>
  </w:style>
  <w:style w:type="character" w:customStyle="1" w:styleId="OutlineNumbered3Char">
    <w:name w:val="Outline Numbered 3 Char"/>
    <w:basedOn w:val="ListParagraphChar"/>
    <w:link w:val="OutlineNumbered3"/>
    <w:rsid w:val="0027395A"/>
    <w:rPr>
      <w:rFonts w:ascii="Corbel" w:eastAsia="Times New Roman" w:hAnsi="Corbel" w:cs="Times New Roman"/>
      <w:color w:val="000000"/>
      <w:sz w:val="23"/>
      <w:szCs w:val="23"/>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617464">
      <w:bodyDiv w:val="1"/>
      <w:marLeft w:val="0"/>
      <w:marRight w:val="0"/>
      <w:marTop w:val="0"/>
      <w:marBottom w:val="0"/>
      <w:divBdr>
        <w:top w:val="none" w:sz="0" w:space="0" w:color="auto"/>
        <w:left w:val="none" w:sz="0" w:space="0" w:color="auto"/>
        <w:bottom w:val="none" w:sz="0" w:space="0" w:color="auto"/>
        <w:right w:val="none" w:sz="0" w:space="0" w:color="auto"/>
      </w:divBdr>
    </w:div>
    <w:div w:id="283387969">
      <w:bodyDiv w:val="1"/>
      <w:marLeft w:val="0"/>
      <w:marRight w:val="0"/>
      <w:marTop w:val="0"/>
      <w:marBottom w:val="0"/>
      <w:divBdr>
        <w:top w:val="none" w:sz="0" w:space="0" w:color="auto"/>
        <w:left w:val="none" w:sz="0" w:space="0" w:color="auto"/>
        <w:bottom w:val="none" w:sz="0" w:space="0" w:color="auto"/>
        <w:right w:val="none" w:sz="0" w:space="0" w:color="auto"/>
      </w:divBdr>
    </w:div>
    <w:div w:id="295140340">
      <w:bodyDiv w:val="1"/>
      <w:marLeft w:val="0"/>
      <w:marRight w:val="0"/>
      <w:marTop w:val="0"/>
      <w:marBottom w:val="0"/>
      <w:divBdr>
        <w:top w:val="none" w:sz="0" w:space="0" w:color="auto"/>
        <w:left w:val="none" w:sz="0" w:space="0" w:color="auto"/>
        <w:bottom w:val="none" w:sz="0" w:space="0" w:color="auto"/>
        <w:right w:val="none" w:sz="0" w:space="0" w:color="auto"/>
      </w:divBdr>
    </w:div>
    <w:div w:id="1141537637">
      <w:bodyDiv w:val="1"/>
      <w:marLeft w:val="0"/>
      <w:marRight w:val="0"/>
      <w:marTop w:val="0"/>
      <w:marBottom w:val="0"/>
      <w:divBdr>
        <w:top w:val="none" w:sz="0" w:space="0" w:color="auto"/>
        <w:left w:val="none" w:sz="0" w:space="0" w:color="auto"/>
        <w:bottom w:val="none" w:sz="0" w:space="0" w:color="auto"/>
        <w:right w:val="none" w:sz="0" w:space="0" w:color="auto"/>
      </w:divBdr>
    </w:div>
    <w:div w:id="1381511666">
      <w:bodyDiv w:val="1"/>
      <w:marLeft w:val="0"/>
      <w:marRight w:val="0"/>
      <w:marTop w:val="0"/>
      <w:marBottom w:val="0"/>
      <w:divBdr>
        <w:top w:val="none" w:sz="0" w:space="0" w:color="auto"/>
        <w:left w:val="none" w:sz="0" w:space="0" w:color="auto"/>
        <w:bottom w:val="none" w:sz="0" w:space="0" w:color="auto"/>
        <w:right w:val="none" w:sz="0" w:space="0" w:color="auto"/>
      </w:divBdr>
    </w:div>
    <w:div w:id="1384983914">
      <w:bodyDiv w:val="1"/>
      <w:marLeft w:val="0"/>
      <w:marRight w:val="0"/>
      <w:marTop w:val="0"/>
      <w:marBottom w:val="0"/>
      <w:divBdr>
        <w:top w:val="none" w:sz="0" w:space="0" w:color="auto"/>
        <w:left w:val="none" w:sz="0" w:space="0" w:color="auto"/>
        <w:bottom w:val="none" w:sz="0" w:space="0" w:color="auto"/>
        <w:right w:val="none" w:sz="0" w:space="0" w:color="auto"/>
      </w:divBdr>
    </w:div>
    <w:div w:id="1579513881">
      <w:bodyDiv w:val="1"/>
      <w:marLeft w:val="0"/>
      <w:marRight w:val="0"/>
      <w:marTop w:val="0"/>
      <w:marBottom w:val="0"/>
      <w:divBdr>
        <w:top w:val="none" w:sz="0" w:space="0" w:color="auto"/>
        <w:left w:val="none" w:sz="0" w:space="0" w:color="auto"/>
        <w:bottom w:val="none" w:sz="0" w:space="0" w:color="auto"/>
        <w:right w:val="none" w:sz="0" w:space="0" w:color="auto"/>
      </w:divBdr>
    </w:div>
    <w:div w:id="1638222963">
      <w:bodyDiv w:val="1"/>
      <w:marLeft w:val="0"/>
      <w:marRight w:val="0"/>
      <w:marTop w:val="0"/>
      <w:marBottom w:val="0"/>
      <w:divBdr>
        <w:top w:val="none" w:sz="0" w:space="0" w:color="auto"/>
        <w:left w:val="none" w:sz="0" w:space="0" w:color="auto"/>
        <w:bottom w:val="none" w:sz="0" w:space="0" w:color="auto"/>
        <w:right w:val="none" w:sz="0" w:space="0" w:color="auto"/>
      </w:divBdr>
    </w:div>
    <w:div w:id="191739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inance.gov.au/sites/default/files/rmg-502-guidance-for-the-two-stage-capital-works-approval-process-for-australian-government-construction-project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federalfinancialrelations.gov.au/content/npa/environment/project-agreement/past/mgmt-rum-jungle-mine-stage-2-PA.pdf" TargetMode="External"/><Relationship Id="rId2" Type="http://schemas.openxmlformats.org/officeDocument/2006/relationships/hyperlink" Target="https://dpir.nt.gov.au/__data/assets/pdf_file/0007/261493/Rum_Jungle_Conceptual_Rehabilitation_Plan.pdf" TargetMode="External"/><Relationship Id="rId1" Type="http://schemas.openxmlformats.org/officeDocument/2006/relationships/hyperlink" Target="http://www.federalfinancialrelations.gov.au/content/npa/environment/national-partnership/past/renewable_remote_power_national_partnership.pdf" TargetMode="External"/><Relationship Id="rId6" Type="http://schemas.openxmlformats.org/officeDocument/2006/relationships/hyperlink" Target="https://ntepa.nt.gov.au/__data/assets/pdf_file/0005/407957/rum_jungle_terms_referenceM.pdf" TargetMode="External"/><Relationship Id="rId5" Type="http://schemas.openxmlformats.org/officeDocument/2006/relationships/hyperlink" Target="http://www.federalfinancialrelations.gov.au/content/npa/environment/project-agreement/mgmt-rum-jungle-mine-stage-2-PA.pdf" TargetMode="External"/><Relationship Id="rId4" Type="http://schemas.openxmlformats.org/officeDocument/2006/relationships/hyperlink" Target="http://www.federalfinancialrelations.gov.au/content/npa/environment/project-agreement/mgmt-rum-jungle-mine-stage-2-P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Value>
    </TaxCatchAll>
    <_dlc_DocId xmlns="0f563589-9cf9-4143-b1eb-fb0534803d38">2020FG-64-73901</_dlc_DocId>
    <_dlc_DocIdUrl xmlns="0f563589-9cf9-4143-b1eb-fb0534803d38">
      <Url>http://tweb/sites/fg/csrd/_layouts/15/DocIdRedir.aspx?ID=2020FG-64-73901</Url>
      <Description>2020FG-64-73901</Description>
    </_dlc_DocIdUr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documentManagement>
</p:properties>
</file>

<file path=customXml/item2.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28473" ma:contentTypeDescription=" " ma:contentTypeScope="" ma:versionID="6523796210e4f710ed569f981a392509">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7.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13C51655-DF85-40AA-9EC1-D932999B4993}">
  <ds:schemaRefs>
    <ds:schemaRef ds:uri="http://purl.org/dc/terms/"/>
    <ds:schemaRef ds:uri="http://schemas.microsoft.com/sharepoint/v4"/>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e950eb60-a35e-4b14-88a9-41f408f74491"/>
    <ds:schemaRef ds:uri="http://schemas.microsoft.com/office/2006/metadata/properties"/>
    <ds:schemaRef ds:uri="f7542fce-ffe0-493b-b9b7-89db4158a116"/>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46315C9C-FD3B-4103-B5FA-8A925C060D67}"/>
</file>

<file path=customXml/itemProps3.xml><?xml version="1.0" encoding="utf-8"?>
<ds:datastoreItem xmlns:ds="http://schemas.openxmlformats.org/officeDocument/2006/customXml" ds:itemID="{AE66798C-8AA8-4D7E-BCBE-4C15EE0C2BAC}">
  <ds:schemaRefs>
    <ds:schemaRef ds:uri="http://schemas.microsoft.com/sharepoint/v3/contenttype/forms"/>
  </ds:schemaRefs>
</ds:datastoreItem>
</file>

<file path=customXml/itemProps4.xml><?xml version="1.0" encoding="utf-8"?>
<ds:datastoreItem xmlns:ds="http://schemas.openxmlformats.org/officeDocument/2006/customXml" ds:itemID="{07B76F4D-08A5-43C4-8077-A5AFC7E45A24}"/>
</file>

<file path=customXml/itemProps5.xml><?xml version="1.0" encoding="utf-8"?>
<ds:datastoreItem xmlns:ds="http://schemas.openxmlformats.org/officeDocument/2006/customXml" ds:itemID="{8FC0807D-7B44-462E-8A15-CA109D3E8537}">
  <ds:schemaRefs>
    <ds:schemaRef ds:uri="http://schemas.openxmlformats.org/officeDocument/2006/bibliography"/>
  </ds:schemaRefs>
</ds:datastoreItem>
</file>

<file path=customXml/itemProps6.xml><?xml version="1.0" encoding="utf-8"?>
<ds:datastoreItem xmlns:ds="http://schemas.openxmlformats.org/officeDocument/2006/customXml" ds:itemID="{3EDD51FE-B059-4D5B-A2C6-06E82483457B}"/>
</file>

<file path=customXml/itemProps7.xml><?xml version="1.0" encoding="utf-8"?>
<ds:datastoreItem xmlns:ds="http://schemas.openxmlformats.org/officeDocument/2006/customXml" ds:itemID="{43CF46DA-6801-491B-9755-25A76BCA6FA2}"/>
</file>

<file path=docProps/app.xml><?xml version="1.0" encoding="utf-8"?>
<Properties xmlns="http://schemas.openxmlformats.org/officeDocument/2006/extended-properties" xmlns:vt="http://schemas.openxmlformats.org/officeDocument/2006/docPropsVTypes">
  <Template>Normal</Template>
  <TotalTime>0</TotalTime>
  <Pages>13</Pages>
  <Words>2897</Words>
  <Characters>16515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Project agreement for the management of the former Rum Jungle mine site (Stage 2A)</vt:lpstr>
    </vt:vector>
  </TitlesOfParts>
  <Company>Australian Government - The Treasury</Company>
  <LinksUpToDate>false</LinksUpToDate>
  <CharactersWithSpaces>19374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agreement for the management of the former Rum Jungle mine site (Stage 2A)</dc:title>
  <dc:creator>CFFR</dc:creator>
  <cp:lastModifiedBy>Leitch, Virginia</cp:lastModifiedBy>
  <cp:revision>2</cp:revision>
  <cp:lastPrinted>2019-01-31T00:24:00Z</cp:lastPrinted>
  <dcterms:created xsi:type="dcterms:W3CDTF">2019-05-22T02:20:00Z</dcterms:created>
  <dcterms:modified xsi:type="dcterms:W3CDTF">2019-05-22T02:20:00Z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0x010100348D01E61E107C4DA4B97E380EA20D47005CDF45B49E80F24CAD80DFC012154DA9</vt:lpwstr>
  </property>
  <property fmtid="{D5CDD505-2E9C-101B-9397-08002B2CF9AE}" pid="3" name="DocHub_Year">
    <vt:lpwstr>433;#2018-19|fdef151b-f514-4f40-b4c7-d447508f4095</vt:lpwstr>
  </property>
  <property fmtid="{D5CDD505-2E9C-101B-9397-08002B2CF9AE}" pid="4" name="DocHub_DocumentType">
    <vt:lpwstr>58;#Agreement|c6630c04-0bc4-43ff-8b03-b6b33ea18931</vt:lpwstr>
  </property>
  <property fmtid="{D5CDD505-2E9C-101B-9397-08002B2CF9AE}" pid="5" name="DocHub_SecurityClassification">
    <vt:lpwstr>3;#UNCLASSIFIED|6106d03b-a1a0-4e30-9d91-d5e9fb4314f9</vt:lpwstr>
  </property>
  <property fmtid="{D5CDD505-2E9C-101B-9397-08002B2CF9AE}" pid="6" name="DocHub_Keywords">
    <vt:lpwstr>1574;#Rum Jungle|b0e32c72-d729-4bbb-8d81-2e1a839dcaca;#1519;#NPA|f3d0b17e-e6a7-4e53-ba56-a016f6b0add3</vt:lpwstr>
  </property>
  <property fmtid="{D5CDD505-2E9C-101B-9397-08002B2CF9AE}" pid="7" name="DocHub_WorkActivity">
    <vt:lpwstr>719;#Financial Management|101c3016-8f4a-46f5-b4bf-c377f53fdcf5</vt:lpwstr>
  </property>
  <property fmtid="{D5CDD505-2E9C-101B-9397-08002B2CF9AE}" pid="8" name="TSYRecordClass">
    <vt:lpwstr>2;#TSY RA-8748 - Retain as national archives|243f2231-dbfc-4282-b24a-c9b768286bd0</vt:lpwstr>
  </property>
  <property fmtid="{D5CDD505-2E9C-101B-9397-08002B2CF9AE}" pid="9" name="RecordPoint_WorkflowType">
    <vt:lpwstr>ActiveSubmitStub</vt:lpwstr>
  </property>
  <property fmtid="{D5CDD505-2E9C-101B-9397-08002B2CF9AE}" pid="10" name="RecordPoint_ActiveItemUniqueId">
    <vt:lpwstr>{8f5c8529-4c80-4b2c-9c83-fe4c45f2eb62}</vt:lpwstr>
  </property>
  <property fmtid="{D5CDD505-2E9C-101B-9397-08002B2CF9AE}" pid="11" name="RecordPoint_ActiveItemWebId">
    <vt:lpwstr>{a4589788-615f-4b8b-8296-7f9f6dfbab44}</vt:lpwstr>
  </property>
  <property fmtid="{D5CDD505-2E9C-101B-9397-08002B2CF9AE}" pid="12" name="RecordPoint_ActiveItemSiteId">
    <vt:lpwstr>{a3a280d1-e8f1-4ce7-94f0-aaa2322da0dd}</vt:lpwstr>
  </property>
  <property fmtid="{D5CDD505-2E9C-101B-9397-08002B2CF9AE}" pid="13" name="RecordPoint_ActiveItemListId">
    <vt:lpwstr>{4435c73b-6585-4bc2-a76a-5d21b1a02e06}</vt:lpwstr>
  </property>
  <property fmtid="{D5CDD505-2E9C-101B-9397-08002B2CF9AE}" pid="14" name="RecordPoint_RecordNumberSubmitted">
    <vt:lpwstr>R0002260098</vt:lpwstr>
  </property>
  <property fmtid="{D5CDD505-2E9C-101B-9397-08002B2CF9AE}" pid="15" name="RecordPoint_SubmissionCompleted">
    <vt:lpwstr>2020-05-04T09:12:41.9131128+10:00</vt:lpwstr>
  </property>
  <property fmtid="{D5CDD505-2E9C-101B-9397-08002B2CF9AE}" pid="16" name="_NewReviewCycle">
    <vt:lpwstr/>
  </property>
  <property fmtid="{D5CDD505-2E9C-101B-9397-08002B2CF9AE}" pid="17" name="_dlc_DocIdItemGuid">
    <vt:lpwstr>8f5c8529-4c80-4b2c-9c83-fe4c45f2eb62</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ies>
</file>