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1" w:type="pct"/>
        <w:tblLook w:val="01E0" w:firstRow="1" w:lastRow="1" w:firstColumn="1" w:lastColumn="1" w:noHBand="0" w:noVBand="0"/>
      </w:tblPr>
      <w:tblGrid>
        <w:gridCol w:w="1514"/>
        <w:gridCol w:w="8342"/>
      </w:tblGrid>
      <w:tr w:rsidR="00094AC7" w14:paraId="5403B3B9" w14:textId="77777777" w:rsidTr="006F3900">
        <w:tc>
          <w:tcPr>
            <w:tcW w:w="5000" w:type="pct"/>
            <w:gridSpan w:val="2"/>
          </w:tcPr>
          <w:p w14:paraId="0CBD44C3" w14:textId="4A7E2A16" w:rsidR="00B651AA" w:rsidRPr="00B651AA" w:rsidRDefault="00094AC7" w:rsidP="000C15EA">
            <w:pPr>
              <w:pStyle w:val="CoverTitleMain"/>
              <w:rPr>
                <w:sz w:val="78"/>
                <w:szCs w:val="78"/>
              </w:rPr>
            </w:pPr>
            <w:bookmarkStart w:id="0" w:name="_GoBack"/>
            <w:bookmarkEnd w:id="0"/>
            <w:r w:rsidRPr="00B651AA">
              <w:rPr>
                <w:sz w:val="78"/>
                <w:szCs w:val="78"/>
              </w:rPr>
              <w:t xml:space="preserve">Project AGreement </w:t>
            </w:r>
            <w:r w:rsidR="003E1667">
              <w:rPr>
                <w:sz w:val="78"/>
                <w:szCs w:val="78"/>
              </w:rPr>
              <w:t xml:space="preserve">FOR ENCOURAGING </w:t>
            </w:r>
            <w:r w:rsidR="00980FD0">
              <w:rPr>
                <w:sz w:val="78"/>
                <w:szCs w:val="78"/>
              </w:rPr>
              <w:t xml:space="preserve">MORE </w:t>
            </w:r>
            <w:r w:rsidR="003E1667">
              <w:rPr>
                <w:sz w:val="78"/>
                <w:szCs w:val="78"/>
              </w:rPr>
              <w:t xml:space="preserve">CLINICAL TRIALS </w:t>
            </w:r>
            <w:r w:rsidR="0041465F">
              <w:rPr>
                <w:sz w:val="78"/>
                <w:szCs w:val="78"/>
              </w:rPr>
              <w:t>IN AUSTRALIA</w:t>
            </w:r>
          </w:p>
        </w:tc>
      </w:tr>
      <w:tr w:rsidR="00094AC7" w14:paraId="1476C9B4" w14:textId="77777777" w:rsidTr="006F3900">
        <w:tc>
          <w:tcPr>
            <w:tcW w:w="768" w:type="pct"/>
          </w:tcPr>
          <w:p w14:paraId="2D12939B" w14:textId="77777777" w:rsidR="00094AC7" w:rsidRDefault="00094AC7" w:rsidP="006F3900">
            <w:pPr>
              <w:pStyle w:val="SingleParagraph"/>
              <w:tabs>
                <w:tab w:val="num" w:pos="1134"/>
              </w:tabs>
              <w:spacing w:after="240"/>
              <w:ind w:left="1134" w:hanging="567"/>
            </w:pPr>
          </w:p>
        </w:tc>
        <w:tc>
          <w:tcPr>
            <w:tcW w:w="4232" w:type="pct"/>
          </w:tcPr>
          <w:p w14:paraId="3CB55B27" w14:textId="77777777" w:rsidR="00094AC7" w:rsidRDefault="00094AC7" w:rsidP="006F3900">
            <w:pPr>
              <w:pStyle w:val="SingleParagraph"/>
              <w:tabs>
                <w:tab w:val="num" w:pos="1134"/>
              </w:tabs>
              <w:spacing w:after="240"/>
              <w:ind w:left="1134" w:hanging="567"/>
            </w:pPr>
          </w:p>
        </w:tc>
      </w:tr>
      <w:tr w:rsidR="00094AC7" w14:paraId="2E82E829" w14:textId="77777777" w:rsidTr="006F3900">
        <w:tc>
          <w:tcPr>
            <w:tcW w:w="768" w:type="pct"/>
          </w:tcPr>
          <w:p w14:paraId="2C24AC66" w14:textId="77777777" w:rsidR="00094AC7" w:rsidRDefault="00094AC7" w:rsidP="006F3900">
            <w:pPr>
              <w:pStyle w:val="SingleParagraph"/>
              <w:tabs>
                <w:tab w:val="num" w:pos="1134"/>
              </w:tabs>
              <w:spacing w:after="240"/>
              <w:ind w:left="1134" w:hanging="567"/>
            </w:pPr>
          </w:p>
        </w:tc>
        <w:tc>
          <w:tcPr>
            <w:tcW w:w="4232" w:type="pct"/>
          </w:tcPr>
          <w:p w14:paraId="15F68CC4" w14:textId="77777777" w:rsidR="00094AC7" w:rsidRPr="001E74D0" w:rsidRDefault="00094AC7" w:rsidP="006F3900">
            <w:pPr>
              <w:pStyle w:val="SingleParagraph"/>
              <w:tabs>
                <w:tab w:val="num" w:pos="1134"/>
              </w:tabs>
              <w:spacing w:after="240"/>
              <w:ind w:left="1134" w:hanging="567"/>
            </w:pPr>
          </w:p>
        </w:tc>
      </w:tr>
      <w:tr w:rsidR="003E1667" w14:paraId="04BC6D02" w14:textId="77777777" w:rsidTr="006F3900">
        <w:tc>
          <w:tcPr>
            <w:tcW w:w="5000" w:type="pct"/>
            <w:gridSpan w:val="2"/>
          </w:tcPr>
          <w:p w14:paraId="6F114622" w14:textId="77777777" w:rsidR="003E1667" w:rsidRDefault="003E1667" w:rsidP="006F3900">
            <w:pPr>
              <w:pStyle w:val="AgreementHeading"/>
              <w:ind w:hanging="567"/>
            </w:pPr>
            <w:r>
              <w:t>An agreement between:</w:t>
            </w:r>
          </w:p>
        </w:tc>
      </w:tr>
      <w:tr w:rsidR="003E1667" w:rsidRPr="001E74D0" w14:paraId="615DF73B" w14:textId="77777777" w:rsidTr="00E77D6D">
        <w:tc>
          <w:tcPr>
            <w:tcW w:w="5000" w:type="pct"/>
            <w:gridSpan w:val="2"/>
          </w:tcPr>
          <w:p w14:paraId="4BAE935C" w14:textId="77777777" w:rsidR="003E1667" w:rsidRDefault="003E1667" w:rsidP="006F3900">
            <w:pPr>
              <w:pStyle w:val="AgreementParties"/>
              <w:ind w:firstLine="426"/>
            </w:pPr>
            <w:r>
              <w:t xml:space="preserve">the </w:t>
            </w:r>
            <w:r>
              <w:rPr>
                <w:rStyle w:val="Bold"/>
              </w:rPr>
              <w:t>Commonwealth of Australia;</w:t>
            </w:r>
            <w:r>
              <w:t xml:space="preserve"> and</w:t>
            </w:r>
          </w:p>
          <w:p w14:paraId="0357FBA7" w14:textId="77777777" w:rsidR="003E1667" w:rsidRPr="001E74D0" w:rsidRDefault="003E1667" w:rsidP="006F3900">
            <w:pPr>
              <w:pStyle w:val="AgreementParties"/>
              <w:ind w:firstLine="426"/>
            </w:pPr>
            <w:r>
              <w:t xml:space="preserve">the </w:t>
            </w:r>
            <w:r>
              <w:rPr>
                <w:rStyle w:val="Bold"/>
              </w:rPr>
              <w:t xml:space="preserve">States and Territories </w:t>
            </w:r>
            <w:r w:rsidRPr="00DE36EB">
              <w:rPr>
                <w:rStyle w:val="Bold"/>
              </w:rPr>
              <w:t>of</w:t>
            </w:r>
          </w:p>
        </w:tc>
      </w:tr>
      <w:tr w:rsidR="003E1667" w:rsidRPr="00EB7EDA" w14:paraId="5E69856C" w14:textId="77777777" w:rsidTr="00E77D6D">
        <w:tc>
          <w:tcPr>
            <w:tcW w:w="5000" w:type="pct"/>
            <w:gridSpan w:val="2"/>
            <w:tcBorders>
              <w:left w:val="nil"/>
            </w:tcBorders>
          </w:tcPr>
          <w:p w14:paraId="6CE269CC" w14:textId="77777777" w:rsidR="003E1667" w:rsidRDefault="003E1667" w:rsidP="006F3900">
            <w:pPr>
              <w:pStyle w:val="StatesList"/>
              <w:numPr>
                <w:ilvl w:val="0"/>
                <w:numId w:val="7"/>
              </w:numPr>
              <w:ind w:firstLine="284"/>
            </w:pPr>
            <w:r>
              <w:t>New South Wales,</w:t>
            </w:r>
          </w:p>
          <w:p w14:paraId="4501AF5F" w14:textId="77777777" w:rsidR="003E1667" w:rsidRDefault="003E1667" w:rsidP="006F3900">
            <w:pPr>
              <w:pStyle w:val="StatesList"/>
              <w:numPr>
                <w:ilvl w:val="0"/>
                <w:numId w:val="7"/>
              </w:numPr>
              <w:ind w:firstLine="284"/>
            </w:pPr>
            <w:r>
              <w:t>Victoria,</w:t>
            </w:r>
          </w:p>
          <w:p w14:paraId="6CB19784" w14:textId="77777777" w:rsidR="003E1667" w:rsidRDefault="003E1667" w:rsidP="006F3900">
            <w:pPr>
              <w:pStyle w:val="StatesList"/>
              <w:numPr>
                <w:ilvl w:val="0"/>
                <w:numId w:val="7"/>
              </w:numPr>
              <w:ind w:firstLine="284"/>
            </w:pPr>
            <w:r>
              <w:t>Queensland,</w:t>
            </w:r>
          </w:p>
          <w:p w14:paraId="740E9225" w14:textId="77777777" w:rsidR="003E1667" w:rsidRDefault="003E1667" w:rsidP="006F3900">
            <w:pPr>
              <w:pStyle w:val="StatesList"/>
              <w:numPr>
                <w:ilvl w:val="0"/>
                <w:numId w:val="7"/>
              </w:numPr>
              <w:ind w:firstLine="284"/>
            </w:pPr>
            <w:r>
              <w:t>Western Australia,</w:t>
            </w:r>
          </w:p>
          <w:p w14:paraId="6E09848F" w14:textId="77777777" w:rsidR="003E1667" w:rsidRDefault="003E1667" w:rsidP="006F3900">
            <w:pPr>
              <w:pStyle w:val="StatesList"/>
              <w:numPr>
                <w:ilvl w:val="0"/>
                <w:numId w:val="7"/>
              </w:numPr>
              <w:ind w:firstLine="284"/>
            </w:pPr>
            <w:r>
              <w:t>South Australia,</w:t>
            </w:r>
          </w:p>
          <w:p w14:paraId="7E2F4A2C" w14:textId="77777777" w:rsidR="003E1667" w:rsidRDefault="003E1667" w:rsidP="006F3900">
            <w:pPr>
              <w:pStyle w:val="StatesList"/>
              <w:numPr>
                <w:ilvl w:val="0"/>
                <w:numId w:val="7"/>
              </w:numPr>
              <w:ind w:firstLine="284"/>
            </w:pPr>
            <w:r>
              <w:t>Tasmania,</w:t>
            </w:r>
          </w:p>
          <w:p w14:paraId="773D6D4C" w14:textId="2EDCB55E" w:rsidR="003E1667" w:rsidRDefault="003E1667" w:rsidP="006F3900">
            <w:pPr>
              <w:pStyle w:val="StatesList"/>
              <w:numPr>
                <w:ilvl w:val="0"/>
                <w:numId w:val="7"/>
              </w:numPr>
              <w:ind w:firstLine="284"/>
            </w:pPr>
            <w:r>
              <w:t>t</w:t>
            </w:r>
            <w:r w:rsidR="00E77D6D">
              <w:t xml:space="preserve">he Australian Capital Territory, </w:t>
            </w:r>
            <w:r>
              <w:t>and</w:t>
            </w:r>
          </w:p>
          <w:p w14:paraId="0A96EB6F" w14:textId="350982C0" w:rsidR="003E1667" w:rsidRDefault="00187023" w:rsidP="006F3900">
            <w:pPr>
              <w:pStyle w:val="StatesList"/>
              <w:numPr>
                <w:ilvl w:val="0"/>
                <w:numId w:val="7"/>
              </w:numPr>
              <w:ind w:firstLine="284"/>
            </w:pPr>
            <w:proofErr w:type="gramStart"/>
            <w:r>
              <w:t>the</w:t>
            </w:r>
            <w:proofErr w:type="gramEnd"/>
            <w:r>
              <w:t xml:space="preserve"> Northern Territory.</w:t>
            </w:r>
          </w:p>
          <w:p w14:paraId="5AD2A750" w14:textId="77777777" w:rsidR="003E1667" w:rsidRPr="00EB7EDA" w:rsidRDefault="003E1667" w:rsidP="006F3900">
            <w:pPr>
              <w:rPr>
                <w:i/>
              </w:rPr>
            </w:pPr>
          </w:p>
        </w:tc>
      </w:tr>
      <w:tr w:rsidR="00094AC7" w14:paraId="08D9871C" w14:textId="77777777" w:rsidTr="006F3900">
        <w:tc>
          <w:tcPr>
            <w:tcW w:w="5000" w:type="pct"/>
            <w:gridSpan w:val="2"/>
          </w:tcPr>
          <w:p w14:paraId="11306684" w14:textId="77777777" w:rsidR="00094AC7" w:rsidRDefault="00094AC7" w:rsidP="006F3900">
            <w:pPr>
              <w:pStyle w:val="BodyTextIndent"/>
              <w:tabs>
                <w:tab w:val="left" w:pos="567"/>
              </w:tabs>
              <w:suppressAutoHyphens/>
              <w:snapToGrid w:val="0"/>
              <w:spacing w:before="120" w:after="0"/>
              <w:ind w:left="567"/>
            </w:pPr>
          </w:p>
        </w:tc>
      </w:tr>
      <w:tr w:rsidR="00094AC7" w14:paraId="37A2D7A2" w14:textId="77777777" w:rsidTr="006F3900">
        <w:tc>
          <w:tcPr>
            <w:tcW w:w="5000" w:type="pct"/>
            <w:gridSpan w:val="2"/>
            <w:shd w:val="clear" w:color="auto" w:fill="auto"/>
          </w:tcPr>
          <w:p w14:paraId="1C20F6A5" w14:textId="5ED0AE56" w:rsidR="00094AC7" w:rsidRPr="004756C4" w:rsidRDefault="00094AC7" w:rsidP="000D635B">
            <w:pPr>
              <w:pStyle w:val="Abstract"/>
            </w:pPr>
            <w:r w:rsidRPr="004756C4">
              <w:t>The output</w:t>
            </w:r>
            <w:r w:rsidR="00D03FCB" w:rsidRPr="004756C4">
              <w:t>s</w:t>
            </w:r>
            <w:r w:rsidRPr="004756C4">
              <w:t xml:space="preserve"> of t</w:t>
            </w:r>
            <w:r w:rsidR="007E37FC" w:rsidRPr="004756C4">
              <w:t>his project will be</w:t>
            </w:r>
            <w:r w:rsidR="008F33F3" w:rsidRPr="004756C4">
              <w:t xml:space="preserve"> </w:t>
            </w:r>
            <w:r w:rsidR="000C15EA">
              <w:t xml:space="preserve">the </w:t>
            </w:r>
            <w:r w:rsidR="008F33F3" w:rsidRPr="004756C4">
              <w:t>redesign</w:t>
            </w:r>
            <w:r w:rsidRPr="004756C4">
              <w:t xml:space="preserve"> of </w:t>
            </w:r>
            <w:r w:rsidR="008F33F3" w:rsidRPr="004756C4">
              <w:t>clinical trial</w:t>
            </w:r>
            <w:r w:rsidR="006F2333" w:rsidRPr="004756C4">
              <w:t>s</w:t>
            </w:r>
            <w:r w:rsidR="008F33F3" w:rsidRPr="004756C4">
              <w:t xml:space="preserve"> systems</w:t>
            </w:r>
            <w:r w:rsidR="00B84A06">
              <w:t>.</w:t>
            </w:r>
          </w:p>
        </w:tc>
      </w:tr>
    </w:tbl>
    <w:p w14:paraId="7D372476" w14:textId="32C22AA5" w:rsidR="00094AC7" w:rsidRDefault="00B30B18" w:rsidP="00356D1E">
      <w:pPr>
        <w:pStyle w:val="Title"/>
        <w:pageBreakBefore/>
        <w:spacing w:after="240"/>
      </w:pPr>
      <w:r>
        <w:lastRenderedPageBreak/>
        <w:t xml:space="preserve">Project Agreement for </w:t>
      </w:r>
      <w:r w:rsidR="00E77D6D">
        <w:t>E</w:t>
      </w:r>
      <w:r w:rsidR="003E1667">
        <w:t xml:space="preserve">ncouraging </w:t>
      </w:r>
      <w:r w:rsidR="00E77D6D">
        <w:t>M</w:t>
      </w:r>
      <w:r w:rsidR="00980FD0">
        <w:t xml:space="preserve">ore </w:t>
      </w:r>
      <w:r w:rsidR="00E77D6D">
        <w:t>C</w:t>
      </w:r>
      <w:r w:rsidR="003E1667">
        <w:t xml:space="preserve">linical </w:t>
      </w:r>
      <w:r w:rsidR="00E77D6D">
        <w:t>T</w:t>
      </w:r>
      <w:r w:rsidR="003E1667">
        <w:t>rials in Australia</w:t>
      </w:r>
    </w:p>
    <w:p w14:paraId="620EDDBD" w14:textId="77777777" w:rsidR="00094AC7" w:rsidRPr="004B2EF6" w:rsidRDefault="00094AC7" w:rsidP="00094AC7">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CF0284">
        <w:t>overview</w:t>
      </w:r>
    </w:p>
    <w:p w14:paraId="6F5D8F32" w14:textId="77777777" w:rsidR="00094AC7" w:rsidRPr="00C02C52" w:rsidRDefault="00094AC7" w:rsidP="00C612C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134"/>
          <w:tab w:val="clear" w:pos="1418"/>
        </w:tabs>
      </w:pPr>
      <w:r w:rsidRPr="004B1F38">
        <w:rPr>
          <w:color w:val="auto"/>
        </w:rPr>
        <w:t xml:space="preserve">This </w:t>
      </w:r>
      <w:r>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Pr="00DE36EB">
        <w:rPr>
          <w:color w:val="auto"/>
        </w:rPr>
        <w:t>(IGA FFR) and should be read in conjunction with that Agreement and its Schedules, which provide information in relation to performance reporting and payment arrangements under the IGA FFR.</w:t>
      </w:r>
    </w:p>
    <w:p w14:paraId="734B74CF" w14:textId="77777777" w:rsidR="00C02C52" w:rsidRPr="00C02C52" w:rsidRDefault="00C02C52" w:rsidP="00C02C52">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7FB7091" w14:textId="77777777" w:rsidR="00E77D6D" w:rsidRDefault="00C02C52" w:rsidP="00B67C0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134"/>
          <w:tab w:val="clear" w:pos="1418"/>
        </w:tabs>
      </w:pPr>
      <w:r w:rsidRPr="00CF0284">
        <w:t xml:space="preserve">This Agreement will </w:t>
      </w:r>
      <w:r w:rsidR="00E77D6D">
        <w:t>encourage more clinical trials in Australia by supporting:</w:t>
      </w:r>
    </w:p>
    <w:p w14:paraId="121F55E5" w14:textId="587D81FB" w:rsidR="00EC730A" w:rsidRDefault="00DC63D9" w:rsidP="00DC63D9">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 w:val="clear" w:pos="567"/>
          <w:tab w:val="clear" w:pos="1134"/>
          <w:tab w:val="clear" w:pos="1418"/>
        </w:tabs>
      </w:pPr>
      <w:r>
        <w:tab/>
        <w:t>(a)</w:t>
      </w:r>
      <w:r>
        <w:tab/>
        <w:t xml:space="preserve">the </w:t>
      </w:r>
      <w:r w:rsidRPr="00CF0284">
        <w:t>redesign of clinical trials systems</w:t>
      </w:r>
      <w:r>
        <w:t>,</w:t>
      </w:r>
      <w:r w:rsidRPr="00CF0284">
        <w:t xml:space="preserve"> with a focus on </w:t>
      </w:r>
      <w:r>
        <w:t xml:space="preserve">the </w:t>
      </w:r>
      <w:r w:rsidRPr="00CF0284">
        <w:t xml:space="preserve">establishment of central </w:t>
      </w:r>
      <w:r w:rsidR="000D635B">
        <w:tab/>
      </w:r>
      <w:r w:rsidR="000D635B">
        <w:tab/>
      </w:r>
      <w:r w:rsidR="000D635B">
        <w:tab/>
      </w:r>
      <w:r w:rsidRPr="00CF0284">
        <w:t xml:space="preserve">coordination units to better organise </w:t>
      </w:r>
      <w:r>
        <w:t xml:space="preserve">clinical trials </w:t>
      </w:r>
      <w:r w:rsidRPr="00CF0284">
        <w:t xml:space="preserve">sites, streamline clinical trials </w:t>
      </w:r>
      <w:r w:rsidR="000D635B">
        <w:tab/>
      </w:r>
      <w:r w:rsidR="000D635B">
        <w:tab/>
      </w:r>
      <w:r w:rsidR="000D635B">
        <w:tab/>
      </w:r>
      <w:r w:rsidRPr="00CF0284">
        <w:t>processes and</w:t>
      </w:r>
      <w:r>
        <w:t xml:space="preserve"> make it easier to c</w:t>
      </w:r>
      <w:r w:rsidRPr="00CF0284">
        <w:t xml:space="preserve">onduct and participate in safe, high quality </w:t>
      </w:r>
      <w:r>
        <w:tab/>
      </w:r>
      <w:r w:rsidRPr="00CF0284">
        <w:t xml:space="preserve">clinical </w:t>
      </w:r>
      <w:r w:rsidR="000D635B">
        <w:tab/>
      </w:r>
      <w:r w:rsidR="000D635B">
        <w:tab/>
      </w:r>
      <w:r w:rsidR="000D635B">
        <w:tab/>
      </w:r>
      <w:r w:rsidRPr="004756C4">
        <w:t>trials</w:t>
      </w:r>
      <w:r w:rsidR="00EC730A">
        <w:t>;</w:t>
      </w:r>
      <w:r w:rsidR="00BD6EFA">
        <w:t xml:space="preserve"> and new networks and partnerships;</w:t>
      </w:r>
    </w:p>
    <w:p w14:paraId="3D559E95" w14:textId="77777777" w:rsidR="00EC730A" w:rsidRDefault="00EC730A" w:rsidP="00DC63D9">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 w:val="clear" w:pos="567"/>
          <w:tab w:val="clear" w:pos="1134"/>
          <w:tab w:val="clear" w:pos="1418"/>
        </w:tabs>
        <w:rPr>
          <w:bCs/>
        </w:rPr>
      </w:pPr>
      <w:r>
        <w:tab/>
        <w:t>(b)</w:t>
      </w:r>
      <w:r>
        <w:tab/>
      </w:r>
      <w:proofErr w:type="gramStart"/>
      <w:r>
        <w:rPr>
          <w:bCs/>
        </w:rPr>
        <w:t>new</w:t>
      </w:r>
      <w:proofErr w:type="gramEnd"/>
      <w:r>
        <w:rPr>
          <w:bCs/>
        </w:rPr>
        <w:t xml:space="preserve"> and enhanced clinical trial data collection and reporting;</w:t>
      </w:r>
    </w:p>
    <w:p w14:paraId="5E053358" w14:textId="4C807859" w:rsidR="00DC63D9" w:rsidRDefault="00EC730A" w:rsidP="00DC63D9">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 w:val="clear" w:pos="567"/>
          <w:tab w:val="clear" w:pos="1134"/>
          <w:tab w:val="clear" w:pos="1418"/>
        </w:tabs>
      </w:pPr>
      <w:r>
        <w:rPr>
          <w:bCs/>
        </w:rPr>
        <w:tab/>
        <w:t>(c)</w:t>
      </w:r>
      <w:r>
        <w:rPr>
          <w:bCs/>
        </w:rPr>
        <w:tab/>
      </w:r>
      <w:proofErr w:type="gramStart"/>
      <w:r>
        <w:t>improvements</w:t>
      </w:r>
      <w:proofErr w:type="gramEnd"/>
      <w:r>
        <w:t xml:space="preserve"> to</w:t>
      </w:r>
      <w:r w:rsidRPr="00744A8F">
        <w:t xml:space="preserve"> core hospital governance arrangements</w:t>
      </w:r>
      <w:r w:rsidR="00026C73">
        <w:t>;</w:t>
      </w:r>
      <w:r>
        <w:t xml:space="preserve"> </w:t>
      </w:r>
      <w:r w:rsidR="00DC63D9">
        <w:t>and</w:t>
      </w:r>
    </w:p>
    <w:p w14:paraId="69F2840F" w14:textId="05B82840" w:rsidR="00DC63D9" w:rsidRDefault="00EC730A" w:rsidP="00DC63D9">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 w:val="clear" w:pos="567"/>
          <w:tab w:val="clear" w:pos="1134"/>
          <w:tab w:val="clear" w:pos="1418"/>
        </w:tabs>
      </w:pPr>
      <w:r>
        <w:tab/>
        <w:t>(d</w:t>
      </w:r>
      <w:r w:rsidR="00DC63D9">
        <w:t>)</w:t>
      </w:r>
      <w:r w:rsidR="00DC63D9">
        <w:tab/>
      </w:r>
      <w:proofErr w:type="gramStart"/>
      <w:r w:rsidR="00DC63D9">
        <w:t>a</w:t>
      </w:r>
      <w:proofErr w:type="gramEnd"/>
      <w:r w:rsidR="00DC63D9" w:rsidRPr="004756C4">
        <w:t xml:space="preserve"> consistent and cohesive national approach to the conduct of clinical trials</w:t>
      </w:r>
      <w:r w:rsidR="00DC63D9">
        <w:t xml:space="preserve"> </w:t>
      </w:r>
      <w:r w:rsidR="0021151D">
        <w:t xml:space="preserve">in </w:t>
      </w:r>
      <w:r w:rsidR="0021151D">
        <w:tab/>
      </w:r>
      <w:r w:rsidR="0021151D">
        <w:tab/>
      </w:r>
      <w:r w:rsidR="0021151D">
        <w:tab/>
        <w:t xml:space="preserve">accordance with </w:t>
      </w:r>
      <w:r w:rsidR="0021151D" w:rsidRPr="00920EB6">
        <w:t xml:space="preserve">the Principles and </w:t>
      </w:r>
      <w:r w:rsidR="0021151D">
        <w:t>agreed</w:t>
      </w:r>
      <w:r w:rsidR="0021151D" w:rsidRPr="00920EB6">
        <w:t xml:space="preserve"> Priority Action Areas as endorsed by the </w:t>
      </w:r>
      <w:r w:rsidR="0021151D">
        <w:tab/>
      </w:r>
      <w:r w:rsidR="0021151D">
        <w:tab/>
      </w:r>
      <w:r w:rsidR="0021151D">
        <w:tab/>
      </w:r>
      <w:r w:rsidR="0021151D" w:rsidRPr="00920EB6">
        <w:t xml:space="preserve">Council of Australian Governments Health Council in </w:t>
      </w:r>
      <w:r w:rsidR="00EA3112">
        <w:t xml:space="preserve"> March </w:t>
      </w:r>
      <w:r w:rsidR="0021151D" w:rsidRPr="00920EB6">
        <w:t>2017</w:t>
      </w:r>
      <w:r w:rsidR="00DC63D9" w:rsidRPr="004756C4">
        <w:t>.</w:t>
      </w:r>
    </w:p>
    <w:p w14:paraId="4A8EDC98" w14:textId="77777777" w:rsidR="00094AC7" w:rsidRDefault="00094AC7" w:rsidP="00094AC7">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s>
        <w:ind w:left="0" w:firstLine="0"/>
        <w:jc w:val="left"/>
      </w:pPr>
      <w:r w:rsidRPr="0096732C">
        <w:rPr>
          <w:rFonts w:cs="Arial"/>
          <w:b/>
          <w:bCs/>
          <w:iCs/>
          <w:color w:val="3D4B67"/>
          <w:sz w:val="29"/>
          <w:szCs w:val="28"/>
        </w:rPr>
        <w:t>Reporting Arrangements</w:t>
      </w:r>
      <w:r>
        <w:t xml:space="preserve"> </w:t>
      </w:r>
    </w:p>
    <w:p w14:paraId="65B19586" w14:textId="77061A8C" w:rsidR="00094AC7" w:rsidRDefault="00094AC7" w:rsidP="0079459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134"/>
          <w:tab w:val="clear" w:pos="1418"/>
        </w:tabs>
      </w:pPr>
      <w:r>
        <w:t>The States will report annually against the agreed milestones during the operation of this Agreement, as set out in Part 4 – Project Milestones, Reporting and Payments.</w:t>
      </w:r>
    </w:p>
    <w:p w14:paraId="68C21B81" w14:textId="77777777" w:rsidR="00094AC7" w:rsidRPr="0096732C" w:rsidRDefault="00094AC7" w:rsidP="00094AC7">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s>
        <w:ind w:left="0" w:firstLine="0"/>
        <w:jc w:val="left"/>
        <w:rPr>
          <w:rFonts w:cs="Arial"/>
          <w:b/>
          <w:bCs/>
          <w:iCs/>
          <w:color w:val="3D4B67"/>
          <w:sz w:val="29"/>
          <w:szCs w:val="28"/>
        </w:rPr>
      </w:pPr>
      <w:r w:rsidRPr="0096732C">
        <w:rPr>
          <w:rFonts w:cs="Arial"/>
          <w:b/>
          <w:bCs/>
          <w:iCs/>
          <w:color w:val="3D4B67"/>
          <w:sz w:val="29"/>
          <w:szCs w:val="28"/>
        </w:rPr>
        <w:t xml:space="preserve">Financial Arrangements </w:t>
      </w:r>
    </w:p>
    <w:p w14:paraId="79A61E4B" w14:textId="35CA9E40" w:rsidR="00094AC7" w:rsidRDefault="00094AC7" w:rsidP="0079459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134"/>
          <w:tab w:val="clear" w:pos="1418"/>
        </w:tabs>
        <w:spacing w:after="0"/>
      </w:pPr>
      <w:r w:rsidRPr="007179FE">
        <w:t xml:space="preserve">The Commonwealth will provide </w:t>
      </w:r>
      <w:r>
        <w:t xml:space="preserve">an estimated total </w:t>
      </w:r>
      <w:r w:rsidRPr="007179FE">
        <w:t>finan</w:t>
      </w:r>
      <w:r w:rsidR="00B43FFB">
        <w:t>cial contribution to the States</w:t>
      </w:r>
      <w:r w:rsidR="00577718">
        <w:t xml:space="preserve"> </w:t>
      </w:r>
      <w:r>
        <w:t xml:space="preserve">of </w:t>
      </w:r>
      <w:r w:rsidR="00BD6EFA">
        <w:t xml:space="preserve">         </w:t>
      </w:r>
      <w:r>
        <w:t>$</w:t>
      </w:r>
      <w:r w:rsidR="00AF70FB">
        <w:t>7</w:t>
      </w:r>
      <w:r w:rsidR="009C6A96">
        <w:t xml:space="preserve"> million</w:t>
      </w:r>
      <w:r w:rsidR="00056E78">
        <w:t xml:space="preserve"> nationally</w:t>
      </w:r>
      <w:r>
        <w:t>, exclusive of GST</w:t>
      </w:r>
      <w:r w:rsidR="000C15EA">
        <w:t>,</w:t>
      </w:r>
      <w:r>
        <w:t xml:space="preserve"> in respect of this Agreement, as set out </w:t>
      </w:r>
      <w:r w:rsidRPr="007179FE">
        <w:t xml:space="preserve">in </w:t>
      </w:r>
      <w:r>
        <w:t>Part 5 – Financial Arrangements</w:t>
      </w:r>
      <w:r w:rsidRPr="007179FE">
        <w:t>.</w:t>
      </w:r>
    </w:p>
    <w:p w14:paraId="74E51BCE" w14:textId="77777777" w:rsidR="009C6A96" w:rsidRPr="004B1F38" w:rsidRDefault="009C6A96" w:rsidP="009C6A96">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283"/>
          <w:tab w:val="clear" w:pos="567"/>
          <w:tab w:val="clear" w:pos="1134"/>
          <w:tab w:val="clear" w:pos="1418"/>
        </w:tabs>
        <w:ind w:left="0" w:firstLine="0"/>
        <w:jc w:val="left"/>
      </w:pPr>
    </w:p>
    <w:p w14:paraId="146891B8" w14:textId="77777777" w:rsidR="00094AC7" w:rsidRDefault="00094AC7" w:rsidP="00094AC7">
      <w:pPr>
        <w:pStyle w:val="Heading1"/>
      </w:pPr>
      <w:r>
        <w:t>Part 1 — Formalities</w:t>
      </w:r>
    </w:p>
    <w:p w14:paraId="0AAAF845" w14:textId="0F1FD041" w:rsidR="00094AC7" w:rsidRDefault="00094AC7" w:rsidP="00C612CE">
      <w:pPr>
        <w:pStyle w:val="Normalnumbered"/>
        <w:numPr>
          <w:ilvl w:val="0"/>
          <w:numId w:val="10"/>
        </w:numPr>
        <w:tabs>
          <w:tab w:val="clear" w:pos="1134"/>
          <w:tab w:val="clear" w:pos="1418"/>
        </w:tabs>
      </w:pPr>
      <w:r>
        <w:t>This Agreement</w:t>
      </w:r>
      <w:r w:rsidR="00D2367D">
        <w:t xml:space="preserve"> and </w:t>
      </w:r>
      <w:r w:rsidR="00862D65" w:rsidRPr="00A33A2F">
        <w:rPr>
          <w:color w:val="auto"/>
        </w:rPr>
        <w:t>its</w:t>
      </w:r>
      <w:r w:rsidR="00D2367D" w:rsidRPr="00A33A2F">
        <w:rPr>
          <w:color w:val="auto"/>
        </w:rPr>
        <w:t xml:space="preserve"> bilateral </w:t>
      </w:r>
      <w:r w:rsidR="00862D65" w:rsidRPr="00A33A2F">
        <w:rPr>
          <w:color w:val="auto"/>
        </w:rPr>
        <w:t>S</w:t>
      </w:r>
      <w:r w:rsidR="00D2367D" w:rsidRPr="00A33A2F">
        <w:rPr>
          <w:color w:val="auto"/>
        </w:rPr>
        <w:t>chedules</w:t>
      </w:r>
      <w:r w:rsidRPr="00A33A2F">
        <w:rPr>
          <w:color w:val="auto"/>
        </w:rPr>
        <w:t xml:space="preserve"> </w:t>
      </w:r>
      <w:r>
        <w:t>constitute the entire agreement for this project.</w:t>
      </w:r>
    </w:p>
    <w:p w14:paraId="5C0319ED" w14:textId="77777777" w:rsidR="00094AC7" w:rsidRDefault="00094AC7" w:rsidP="00094AC7">
      <w:pPr>
        <w:pStyle w:val="Heading2"/>
      </w:pPr>
      <w:r>
        <w:t>Parties to this Agreement</w:t>
      </w:r>
    </w:p>
    <w:p w14:paraId="7E066F09" w14:textId="49CCAD1F" w:rsidR="00094AC7" w:rsidRPr="007B4B03" w:rsidRDefault="00094AC7" w:rsidP="009F66BE">
      <w:pPr>
        <w:pStyle w:val="Normalnumbered"/>
        <w:numPr>
          <w:ilvl w:val="0"/>
          <w:numId w:val="10"/>
        </w:numPr>
        <w:tabs>
          <w:tab w:val="clear" w:pos="1134"/>
          <w:tab w:val="clear" w:pos="1418"/>
        </w:tabs>
      </w:pPr>
      <w:r w:rsidRPr="003012DA">
        <w:t xml:space="preserve">This </w:t>
      </w:r>
      <w:r>
        <w:t xml:space="preserve">Agreement </w:t>
      </w:r>
      <w:r w:rsidRPr="003012DA">
        <w:t>is between the Commonwealth of Australia (the</w:t>
      </w:r>
      <w:r>
        <w:t xml:space="preserve"> Commonwealth</w:t>
      </w:r>
      <w:r w:rsidRPr="003012DA">
        <w:t xml:space="preserve">) </w:t>
      </w:r>
      <w:r w:rsidRPr="005D333E">
        <w:t>and</w:t>
      </w:r>
      <w:r w:rsidR="009D3E3A" w:rsidRPr="005D333E">
        <w:t xml:space="preserve"> </w:t>
      </w:r>
      <w:r w:rsidR="00583BFB">
        <w:t>the States</w:t>
      </w:r>
      <w:r w:rsidR="002D5480">
        <w:t xml:space="preserve"> and Territories (the States)</w:t>
      </w:r>
      <w:r w:rsidR="00EC730A">
        <w:t>.</w:t>
      </w:r>
    </w:p>
    <w:p w14:paraId="57DEB995" w14:textId="77777777" w:rsidR="00094AC7" w:rsidRDefault="00094AC7" w:rsidP="00094AC7">
      <w:pPr>
        <w:pStyle w:val="Heading2"/>
      </w:pPr>
      <w:r>
        <w:lastRenderedPageBreak/>
        <w:t>Term of the Agreement</w:t>
      </w:r>
    </w:p>
    <w:p w14:paraId="16827900" w14:textId="6C14C5F2" w:rsidR="00094AC7" w:rsidRPr="00DE36EB" w:rsidRDefault="00094AC7" w:rsidP="00C612CE">
      <w:pPr>
        <w:pStyle w:val="Normalnumbered"/>
        <w:numPr>
          <w:ilvl w:val="0"/>
          <w:numId w:val="10"/>
        </w:numPr>
        <w:tabs>
          <w:tab w:val="clear" w:pos="1134"/>
          <w:tab w:val="clear" w:pos="1418"/>
        </w:tabs>
      </w:pPr>
      <w:r w:rsidRPr="00DE36EB">
        <w:t>This Agreement will commence a</w:t>
      </w:r>
      <w:r w:rsidR="009D3E3A">
        <w:t xml:space="preserve">s soon as the Commonwealth and </w:t>
      </w:r>
      <w:r w:rsidRPr="00DE36EB">
        <w:t xml:space="preserve">one other Party sign </w:t>
      </w:r>
      <w:r w:rsidR="00B84A06">
        <w:t>it</w:t>
      </w:r>
      <w:r>
        <w:t xml:space="preserve"> </w:t>
      </w:r>
      <w:r w:rsidRPr="00DE36EB">
        <w:t xml:space="preserve">and will expire on </w:t>
      </w:r>
      <w:r w:rsidR="009D3E3A">
        <w:t>30 June 2021</w:t>
      </w:r>
      <w:r w:rsidRPr="00DE36EB">
        <w:t xml:space="preserve"> or on completion of the project, including final performance reporting and processing of final payments against milestones, unless terminated earlier or extended as agreed in writing by the Parties.</w:t>
      </w:r>
    </w:p>
    <w:p w14:paraId="2668AFBF" w14:textId="0831F20E" w:rsidR="00094AC7" w:rsidRPr="009E093C" w:rsidRDefault="00094AC7" w:rsidP="00094AC7">
      <w:pPr>
        <w:pStyle w:val="Heading2"/>
        <w:ind w:right="-568"/>
        <w:rPr>
          <w:b w:val="0"/>
          <w:sz w:val="23"/>
          <w:szCs w:val="23"/>
        </w:rPr>
      </w:pPr>
      <w:r w:rsidRPr="00784439">
        <w:rPr>
          <w:rFonts w:ascii="Consolas" w:hAnsi="Consolas"/>
          <w:b w:val="0"/>
          <w:iCs w:val="0"/>
          <w:caps/>
          <w:kern w:val="32"/>
          <w:sz w:val="32"/>
          <w:szCs w:val="36"/>
        </w:rPr>
        <w:t>Part 2 — Project outpu</w:t>
      </w:r>
      <w:r w:rsidR="00C05D6B">
        <w:rPr>
          <w:rFonts w:ascii="Consolas" w:hAnsi="Consolas"/>
          <w:b w:val="0"/>
          <w:iCs w:val="0"/>
          <w:caps/>
          <w:kern w:val="32"/>
          <w:sz w:val="32"/>
          <w:szCs w:val="36"/>
        </w:rPr>
        <w:t>t</w:t>
      </w:r>
    </w:p>
    <w:p w14:paraId="192AF573" w14:textId="648D155B" w:rsidR="00094AC7" w:rsidRDefault="00C05D6B" w:rsidP="00094AC7">
      <w:pPr>
        <w:pStyle w:val="Heading2"/>
      </w:pPr>
      <w:r>
        <w:t>Output</w:t>
      </w:r>
    </w:p>
    <w:p w14:paraId="2017060F" w14:textId="36DF2F69" w:rsidR="00B63184" w:rsidRPr="00CF0284" w:rsidRDefault="00094AC7" w:rsidP="00B63184">
      <w:pPr>
        <w:pStyle w:val="Normalnumbered"/>
        <w:numPr>
          <w:ilvl w:val="0"/>
          <w:numId w:val="10"/>
        </w:numPr>
        <w:tabs>
          <w:tab w:val="clear" w:pos="1134"/>
          <w:tab w:val="clear" w:pos="1418"/>
        </w:tabs>
        <w:spacing w:before="240"/>
        <w:jc w:val="left"/>
      </w:pPr>
      <w:r w:rsidRPr="00CF0284">
        <w:t>The ou</w:t>
      </w:r>
      <w:r w:rsidR="00C60EAF">
        <w:t>tput</w:t>
      </w:r>
      <w:r w:rsidR="00376957" w:rsidRPr="00CF0284">
        <w:t xml:space="preserve"> of this Agr</w:t>
      </w:r>
      <w:r w:rsidR="00CF0284" w:rsidRPr="00CF0284">
        <w:t>eement</w:t>
      </w:r>
      <w:r w:rsidR="00B63184" w:rsidRPr="00CF0284">
        <w:t xml:space="preserve"> </w:t>
      </w:r>
      <w:r w:rsidR="00376957" w:rsidRPr="00CF0284">
        <w:t xml:space="preserve">will </w:t>
      </w:r>
      <w:r w:rsidR="003612C4">
        <w:t>be</w:t>
      </w:r>
      <w:r w:rsidR="00330118">
        <w:t xml:space="preserve"> the </w:t>
      </w:r>
      <w:r w:rsidR="00330118" w:rsidRPr="00CF0284">
        <w:t>redesign of clinical trials systems</w:t>
      </w:r>
      <w:r w:rsidR="00330118">
        <w:t xml:space="preserve"> through</w:t>
      </w:r>
      <w:r w:rsidR="00767A5A" w:rsidRPr="00CF0284">
        <w:t>:</w:t>
      </w:r>
    </w:p>
    <w:p w14:paraId="2E5039A7" w14:textId="4D46A98D" w:rsidR="00094AC7" w:rsidRPr="009F66BE" w:rsidRDefault="007179D3" w:rsidP="009F66BE">
      <w:pPr>
        <w:pStyle w:val="AlphaParagraph"/>
        <w:numPr>
          <w:ilvl w:val="0"/>
          <w:numId w:val="19"/>
        </w:numPr>
        <w:tabs>
          <w:tab w:val="clear" w:pos="567"/>
          <w:tab w:val="clear" w:pos="1418"/>
          <w:tab w:val="clear" w:pos="1701"/>
        </w:tabs>
        <w:ind w:left="1134" w:hanging="567"/>
      </w:pPr>
      <w:r>
        <w:t xml:space="preserve">establishing </w:t>
      </w:r>
      <w:r w:rsidR="00330118">
        <w:t xml:space="preserve">new and enhanced </w:t>
      </w:r>
      <w:r w:rsidR="003612C4" w:rsidRPr="00CF0284">
        <w:t>central coordination units</w:t>
      </w:r>
      <w:r w:rsidR="003612C4">
        <w:t xml:space="preserve"> or equivalent </w:t>
      </w:r>
      <w:r w:rsidR="003914D9">
        <w:t xml:space="preserve">that </w:t>
      </w:r>
      <w:r w:rsidR="00BE2296" w:rsidRPr="009F66BE">
        <w:t>will</w:t>
      </w:r>
      <w:r w:rsidR="00767A5A" w:rsidRPr="009F66BE">
        <w:t>:</w:t>
      </w:r>
    </w:p>
    <w:p w14:paraId="45FAEB99" w14:textId="77777777" w:rsidR="00381BE6" w:rsidRPr="00381BE6" w:rsidRDefault="00381BE6" w:rsidP="00381BE6">
      <w:pPr>
        <w:pStyle w:val="AlphaParagraph"/>
        <w:numPr>
          <w:ilvl w:val="0"/>
          <w:numId w:val="45"/>
        </w:numPr>
        <w:tabs>
          <w:tab w:val="clear" w:pos="283"/>
          <w:tab w:val="clear" w:pos="567"/>
          <w:tab w:val="clear" w:pos="1134"/>
          <w:tab w:val="clear" w:pos="1418"/>
          <w:tab w:val="clear" w:pos="1701"/>
        </w:tabs>
        <w:spacing w:after="120"/>
        <w:ind w:left="1701" w:hanging="567"/>
      </w:pPr>
      <w:r w:rsidRPr="00381BE6">
        <w:t>play a key ‘gateway’ role for sponsors, investigators, referrers and participants accessing and navigating trials;</w:t>
      </w:r>
    </w:p>
    <w:p w14:paraId="462D3721" w14:textId="311ED0BE" w:rsidR="00381BE6" w:rsidRPr="00381BE6" w:rsidRDefault="00381BE6" w:rsidP="00381BE6">
      <w:pPr>
        <w:pStyle w:val="AlphaParagraph"/>
        <w:numPr>
          <w:ilvl w:val="0"/>
          <w:numId w:val="45"/>
        </w:numPr>
        <w:tabs>
          <w:tab w:val="clear" w:pos="283"/>
          <w:tab w:val="clear" w:pos="567"/>
          <w:tab w:val="clear" w:pos="1134"/>
          <w:tab w:val="clear" w:pos="1418"/>
          <w:tab w:val="clear" w:pos="1701"/>
        </w:tabs>
        <w:spacing w:after="120"/>
        <w:ind w:left="1701" w:hanging="567"/>
      </w:pPr>
      <w:r w:rsidRPr="00381BE6">
        <w:t>reduce the administrative load on trial sites through the provision and/or facilitation of key trial operational functions (e.g., feasibility assessment, ethics clearance, site authorisation, trial governance, insurance and contract management);</w:t>
      </w:r>
    </w:p>
    <w:p w14:paraId="58E64C4A" w14:textId="77777777" w:rsidR="0021381B" w:rsidRDefault="00381BE6" w:rsidP="00381BE6">
      <w:pPr>
        <w:pStyle w:val="AlphaParagraph"/>
        <w:numPr>
          <w:ilvl w:val="0"/>
          <w:numId w:val="45"/>
        </w:numPr>
        <w:tabs>
          <w:tab w:val="clear" w:pos="283"/>
          <w:tab w:val="clear" w:pos="567"/>
          <w:tab w:val="clear" w:pos="1134"/>
          <w:tab w:val="clear" w:pos="1418"/>
          <w:tab w:val="clear" w:pos="1701"/>
        </w:tabs>
        <w:spacing w:after="120"/>
        <w:ind w:left="1701" w:hanging="567"/>
      </w:pPr>
      <w:r w:rsidRPr="00381BE6">
        <w:t xml:space="preserve">act as central points for communication, training and education; </w:t>
      </w:r>
    </w:p>
    <w:p w14:paraId="4FA8D211" w14:textId="7579D40C" w:rsidR="00381BE6" w:rsidRPr="00381BE6" w:rsidRDefault="0021381B" w:rsidP="00381BE6">
      <w:pPr>
        <w:pStyle w:val="AlphaParagraph"/>
        <w:numPr>
          <w:ilvl w:val="0"/>
          <w:numId w:val="45"/>
        </w:numPr>
        <w:tabs>
          <w:tab w:val="clear" w:pos="283"/>
          <w:tab w:val="clear" w:pos="567"/>
          <w:tab w:val="clear" w:pos="1134"/>
          <w:tab w:val="clear" w:pos="1418"/>
          <w:tab w:val="clear" w:pos="1701"/>
        </w:tabs>
        <w:spacing w:after="120"/>
        <w:ind w:left="1701" w:hanging="567"/>
      </w:pPr>
      <w:r>
        <w:t xml:space="preserve">support patient recruitment and </w:t>
      </w:r>
      <w:r w:rsidR="00EA3112">
        <w:t xml:space="preserve">the </w:t>
      </w:r>
      <w:r>
        <w:t>conduct of clinical trials;</w:t>
      </w:r>
    </w:p>
    <w:p w14:paraId="61AC0614" w14:textId="69E3BCA0" w:rsidR="00BD77E4" w:rsidRDefault="00381BE6" w:rsidP="00381BE6">
      <w:pPr>
        <w:pStyle w:val="AlphaParagraph"/>
        <w:numPr>
          <w:ilvl w:val="0"/>
          <w:numId w:val="45"/>
        </w:numPr>
        <w:tabs>
          <w:tab w:val="clear" w:pos="283"/>
          <w:tab w:val="clear" w:pos="567"/>
          <w:tab w:val="clear" w:pos="1134"/>
          <w:tab w:val="clear" w:pos="1418"/>
          <w:tab w:val="clear" w:pos="1701"/>
        </w:tabs>
        <w:spacing w:after="120"/>
        <w:ind w:left="1701" w:hanging="567"/>
      </w:pPr>
      <w:r w:rsidRPr="00381BE6">
        <w:t>support the clinical trial workforce through building capacity and capability, ensuring quality control and pooling resources to provide career pathways and professional development</w:t>
      </w:r>
      <w:r w:rsidR="00767A5A" w:rsidRPr="009F66BE">
        <w:t>;</w:t>
      </w:r>
      <w:r w:rsidR="00BD77E4">
        <w:t xml:space="preserve"> and</w:t>
      </w:r>
    </w:p>
    <w:p w14:paraId="40A0B42B" w14:textId="7AE35CDA" w:rsidR="009E3C07" w:rsidRDefault="00BD77E4" w:rsidP="0036683C">
      <w:pPr>
        <w:pStyle w:val="AlphaParagraph"/>
        <w:numPr>
          <w:ilvl w:val="0"/>
          <w:numId w:val="45"/>
        </w:numPr>
        <w:tabs>
          <w:tab w:val="clear" w:pos="283"/>
          <w:tab w:val="clear" w:pos="567"/>
          <w:tab w:val="clear" w:pos="1134"/>
          <w:tab w:val="clear" w:pos="1418"/>
          <w:tab w:val="clear" w:pos="1701"/>
        </w:tabs>
        <w:spacing w:after="120"/>
        <w:ind w:left="1701" w:hanging="567"/>
      </w:pPr>
      <w:r>
        <w:t>w</w:t>
      </w:r>
      <w:r w:rsidRPr="00CF0284">
        <w:t xml:space="preserve">ork </w:t>
      </w:r>
      <w:r>
        <w:t xml:space="preserve">across jurisdictions </w:t>
      </w:r>
      <w:r w:rsidRPr="00CF0284">
        <w:t>towards a consistent and cohesive national approach to the conduct of clinical trials</w:t>
      </w:r>
      <w:r w:rsidR="001C16FD">
        <w:t>,</w:t>
      </w:r>
      <w:r w:rsidR="00C60EAF">
        <w:t xml:space="preserve"> including </w:t>
      </w:r>
      <w:r w:rsidR="00BD6EFA">
        <w:t>implementing agreed standards</w:t>
      </w:r>
      <w:r w:rsidR="00E4282D">
        <w:t>;</w:t>
      </w:r>
    </w:p>
    <w:p w14:paraId="375F8AB4" w14:textId="30FB90A0" w:rsidR="00336C6D" w:rsidRPr="00336C6D" w:rsidRDefault="007179D3" w:rsidP="003612C4">
      <w:pPr>
        <w:pStyle w:val="AlphaParagraph"/>
        <w:numPr>
          <w:ilvl w:val="0"/>
          <w:numId w:val="19"/>
        </w:numPr>
        <w:tabs>
          <w:tab w:val="clear" w:pos="567"/>
          <w:tab w:val="clear" w:pos="1418"/>
          <w:tab w:val="clear" w:pos="1701"/>
        </w:tabs>
        <w:ind w:left="1134" w:hanging="567"/>
      </w:pPr>
      <w:r>
        <w:rPr>
          <w:bCs/>
        </w:rPr>
        <w:t xml:space="preserve">implementing </w:t>
      </w:r>
      <w:r w:rsidR="009E3C07">
        <w:rPr>
          <w:bCs/>
        </w:rPr>
        <w:t>n</w:t>
      </w:r>
      <w:r w:rsidR="00FA7551">
        <w:rPr>
          <w:bCs/>
        </w:rPr>
        <w:t>ew and enhanced</w:t>
      </w:r>
      <w:r w:rsidR="00336C6D">
        <w:rPr>
          <w:bCs/>
        </w:rPr>
        <w:t xml:space="preserve"> clinical tr</w:t>
      </w:r>
      <w:r w:rsidR="00FA7551">
        <w:rPr>
          <w:bCs/>
        </w:rPr>
        <w:t xml:space="preserve">ial data collection </w:t>
      </w:r>
      <w:r w:rsidR="00336C6D">
        <w:rPr>
          <w:bCs/>
        </w:rPr>
        <w:t xml:space="preserve">and reporting </w:t>
      </w:r>
      <w:r w:rsidR="00336C6D" w:rsidRPr="0084035A">
        <w:rPr>
          <w:bCs/>
        </w:rPr>
        <w:t>t</w:t>
      </w:r>
      <w:r w:rsidR="00FA7551">
        <w:rPr>
          <w:bCs/>
        </w:rPr>
        <w:t>o</w:t>
      </w:r>
      <w:r w:rsidR="00D85BE9">
        <w:rPr>
          <w:bCs/>
        </w:rPr>
        <w:t xml:space="preserve"> </w:t>
      </w:r>
      <w:r w:rsidR="009E3C07">
        <w:rPr>
          <w:bCs/>
        </w:rPr>
        <w:t>inform</w:t>
      </w:r>
      <w:r w:rsidR="00D85BE9">
        <w:rPr>
          <w:bCs/>
        </w:rPr>
        <w:t xml:space="preserve"> systems improvement</w:t>
      </w:r>
      <w:r w:rsidR="00600FF6">
        <w:rPr>
          <w:bCs/>
        </w:rPr>
        <w:t xml:space="preserve"> with interoperability and data flow </w:t>
      </w:r>
      <w:r w:rsidR="005E265D">
        <w:rPr>
          <w:bCs/>
        </w:rPr>
        <w:t>capability</w:t>
      </w:r>
      <w:r w:rsidR="00CF0284">
        <w:rPr>
          <w:bCs/>
        </w:rPr>
        <w:t xml:space="preserve">, </w:t>
      </w:r>
      <w:r w:rsidR="009E3C07">
        <w:rPr>
          <w:bCs/>
        </w:rPr>
        <w:t xml:space="preserve">and contribute to better sector knowledge, </w:t>
      </w:r>
      <w:r w:rsidR="00CF0284">
        <w:rPr>
          <w:bCs/>
        </w:rPr>
        <w:t xml:space="preserve">recruitment and </w:t>
      </w:r>
      <w:r w:rsidR="009E3C07">
        <w:rPr>
          <w:bCs/>
        </w:rPr>
        <w:t xml:space="preserve">overall </w:t>
      </w:r>
      <w:r w:rsidR="00CF0284">
        <w:rPr>
          <w:bCs/>
        </w:rPr>
        <w:t>sector</w:t>
      </w:r>
      <w:r w:rsidR="00336C6D" w:rsidRPr="0084035A">
        <w:rPr>
          <w:bCs/>
        </w:rPr>
        <w:t xml:space="preserve"> performance</w:t>
      </w:r>
      <w:r w:rsidR="009E3C07">
        <w:rPr>
          <w:bCs/>
        </w:rPr>
        <w:t xml:space="preserve"> including through</w:t>
      </w:r>
      <w:r w:rsidR="003612C4">
        <w:rPr>
          <w:bCs/>
        </w:rPr>
        <w:t>:</w:t>
      </w:r>
    </w:p>
    <w:p w14:paraId="6758FF0B" w14:textId="567B2BEF" w:rsidR="00336C6D" w:rsidRDefault="00AA7182" w:rsidP="009E3C07">
      <w:pPr>
        <w:pStyle w:val="AlphaParagraph"/>
        <w:numPr>
          <w:ilvl w:val="0"/>
          <w:numId w:val="47"/>
        </w:numPr>
        <w:tabs>
          <w:tab w:val="clear" w:pos="283"/>
          <w:tab w:val="clear" w:pos="567"/>
          <w:tab w:val="clear" w:pos="1134"/>
          <w:tab w:val="clear" w:pos="1418"/>
          <w:tab w:val="clear" w:pos="1701"/>
        </w:tabs>
        <w:spacing w:after="120"/>
        <w:ind w:left="1701" w:hanging="567"/>
      </w:pPr>
      <w:r>
        <w:t>i</w:t>
      </w:r>
      <w:r w:rsidR="001C67F4" w:rsidRPr="00CF0284">
        <w:t>mplementation and continued expansion of</w:t>
      </w:r>
      <w:r w:rsidR="00336C6D" w:rsidRPr="00CF0284">
        <w:t xml:space="preserve"> clinical trials metrics collection including</w:t>
      </w:r>
      <w:r w:rsidR="00336C6D">
        <w:t xml:space="preserve"> </w:t>
      </w:r>
      <w:r w:rsidR="009E3C07">
        <w:t>those</w:t>
      </w:r>
      <w:r w:rsidR="00336C6D">
        <w:t xml:space="preserve"> agreed under the Framework for National Aggregate Statistics</w:t>
      </w:r>
      <w:r w:rsidR="0036683C">
        <w:t xml:space="preserve"> (NAS)</w:t>
      </w:r>
      <w:r w:rsidR="00381BE6">
        <w:t>;</w:t>
      </w:r>
      <w:r w:rsidR="00AA7919">
        <w:t xml:space="preserve"> and</w:t>
      </w:r>
    </w:p>
    <w:p w14:paraId="33C6D6E0" w14:textId="0E0F367F" w:rsidR="0025175C" w:rsidRPr="00EF52ED" w:rsidRDefault="00AA7182" w:rsidP="009E3C07">
      <w:pPr>
        <w:pStyle w:val="AlphaParagraph"/>
        <w:numPr>
          <w:ilvl w:val="0"/>
          <w:numId w:val="47"/>
        </w:numPr>
        <w:tabs>
          <w:tab w:val="clear" w:pos="283"/>
          <w:tab w:val="clear" w:pos="567"/>
          <w:tab w:val="clear" w:pos="1134"/>
          <w:tab w:val="clear" w:pos="1418"/>
          <w:tab w:val="clear" w:pos="1701"/>
        </w:tabs>
        <w:spacing w:after="120"/>
        <w:ind w:left="1701" w:hanging="567"/>
      </w:pPr>
      <w:r>
        <w:t xml:space="preserve">ongoing </w:t>
      </w:r>
      <w:r w:rsidR="00336C6D">
        <w:t xml:space="preserve">submission of agreed metrics to </w:t>
      </w:r>
      <w:r w:rsidR="009E3C07">
        <w:t xml:space="preserve">the </w:t>
      </w:r>
      <w:r w:rsidR="00336C6D">
        <w:t>national data collection</w:t>
      </w:r>
      <w:r w:rsidR="009E3C07">
        <w:t xml:space="preserve"> in accordance with the </w:t>
      </w:r>
      <w:r w:rsidR="0036683C">
        <w:t>Framework for NAS</w:t>
      </w:r>
      <w:r w:rsidR="00AA7919">
        <w:t>;</w:t>
      </w:r>
      <w:r w:rsidR="00E4282D">
        <w:t xml:space="preserve"> </w:t>
      </w:r>
    </w:p>
    <w:p w14:paraId="4CE5ECFE" w14:textId="578DD76D" w:rsidR="00515776" w:rsidRDefault="0021381B" w:rsidP="0021381B">
      <w:pPr>
        <w:pStyle w:val="AlphaParagraph"/>
        <w:numPr>
          <w:ilvl w:val="0"/>
          <w:numId w:val="19"/>
        </w:numPr>
        <w:tabs>
          <w:tab w:val="clear" w:pos="283"/>
          <w:tab w:val="clear" w:pos="567"/>
          <w:tab w:val="clear" w:pos="1134"/>
          <w:tab w:val="clear" w:pos="1418"/>
          <w:tab w:val="clear" w:pos="1701"/>
          <w:tab w:val="num" w:pos="1276"/>
        </w:tabs>
        <w:ind w:left="1134" w:hanging="567"/>
      </w:pPr>
      <w:r>
        <w:t xml:space="preserve">establishing and maintaining </w:t>
      </w:r>
      <w:r w:rsidR="00515776">
        <w:t>new networks and partnerships</w:t>
      </w:r>
      <w:r w:rsidR="00515776" w:rsidRPr="00515776">
        <w:t xml:space="preserve"> within and between jurisdictions, </w:t>
      </w:r>
      <w:r w:rsidR="00515776">
        <w:t xml:space="preserve">clinical trial networks, </w:t>
      </w:r>
      <w:r w:rsidR="00515776" w:rsidRPr="00515776">
        <w:t xml:space="preserve">communities of practice </w:t>
      </w:r>
      <w:r w:rsidR="00515776">
        <w:t>(</w:t>
      </w:r>
      <w:proofErr w:type="spellStart"/>
      <w:r w:rsidR="00515776">
        <w:t>eg</w:t>
      </w:r>
      <w:proofErr w:type="spellEnd"/>
      <w:r w:rsidR="00515776">
        <w:t xml:space="preserve">. oncology, working with ATSI groups) </w:t>
      </w:r>
      <w:r w:rsidR="00515776" w:rsidRPr="00515776">
        <w:t>and registries</w:t>
      </w:r>
      <w:r>
        <w:t>; and</w:t>
      </w:r>
    </w:p>
    <w:p w14:paraId="3597432A" w14:textId="32E778B7" w:rsidR="00003295" w:rsidRDefault="007179D3" w:rsidP="00003295">
      <w:pPr>
        <w:pStyle w:val="AlphaParagraph"/>
        <w:numPr>
          <w:ilvl w:val="0"/>
          <w:numId w:val="19"/>
        </w:numPr>
        <w:tabs>
          <w:tab w:val="clear" w:pos="567"/>
          <w:tab w:val="clear" w:pos="1418"/>
          <w:tab w:val="clear" w:pos="1701"/>
        </w:tabs>
        <w:ind w:left="1134" w:hanging="567"/>
      </w:pPr>
      <w:proofErr w:type="gramStart"/>
      <w:r>
        <w:t>e</w:t>
      </w:r>
      <w:r w:rsidR="00CF0284">
        <w:t>mbed</w:t>
      </w:r>
      <w:r w:rsidR="00A469F9">
        <w:t>ding</w:t>
      </w:r>
      <w:proofErr w:type="gramEnd"/>
      <w:r w:rsidR="00556D87">
        <w:t xml:space="preserve"> r</w:t>
      </w:r>
      <w:r w:rsidR="00744A8F" w:rsidRPr="00744A8F">
        <w:t xml:space="preserve">esearch and clinical trials </w:t>
      </w:r>
      <w:r w:rsidR="00744A8F">
        <w:t>p</w:t>
      </w:r>
      <w:r w:rsidR="00556D87">
        <w:t>rocesses</w:t>
      </w:r>
      <w:r w:rsidR="00744A8F">
        <w:t xml:space="preserve"> </w:t>
      </w:r>
      <w:r w:rsidR="00744A8F" w:rsidRPr="00744A8F">
        <w:t>into core hospital governance arrangements</w:t>
      </w:r>
      <w:r w:rsidR="00744A8F">
        <w:t>.</w:t>
      </w:r>
    </w:p>
    <w:p w14:paraId="4BD5E86D" w14:textId="2A1F1A6B" w:rsidR="00EB58A6" w:rsidRPr="00A33A2F" w:rsidRDefault="00003295" w:rsidP="00862D65">
      <w:pPr>
        <w:pStyle w:val="Normalnumbered"/>
        <w:numPr>
          <w:ilvl w:val="0"/>
          <w:numId w:val="10"/>
        </w:numPr>
        <w:tabs>
          <w:tab w:val="clear" w:pos="1134"/>
          <w:tab w:val="clear" w:pos="1418"/>
        </w:tabs>
        <w:spacing w:before="240"/>
        <w:jc w:val="left"/>
        <w:rPr>
          <w:color w:val="auto"/>
        </w:rPr>
      </w:pPr>
      <w:r w:rsidRPr="00A33A2F">
        <w:rPr>
          <w:color w:val="auto"/>
        </w:rPr>
        <w:t>The States are collectively responsible for delivering these outputs, which reflect the revitalised clinical trials agenda endorsed by Health Ministers in March 2017. In support of these outputs, each jurisdiction is responsible for delivering the projects agreed in its bilateral Schedule to this Agreement.</w:t>
      </w:r>
    </w:p>
    <w:p w14:paraId="7BCD7633" w14:textId="77777777" w:rsidR="00094AC7" w:rsidRDefault="00094AC7" w:rsidP="00094AC7">
      <w:pPr>
        <w:pStyle w:val="Heading1"/>
      </w:pPr>
      <w:r>
        <w:lastRenderedPageBreak/>
        <w:t>Part 3 — roles and responsibilities of each party</w:t>
      </w:r>
    </w:p>
    <w:p w14:paraId="143C8D5F" w14:textId="77777777" w:rsidR="006073F2" w:rsidRDefault="006073F2" w:rsidP="006073F2">
      <w:pPr>
        <w:pStyle w:val="Heading2"/>
      </w:pPr>
      <w:r w:rsidRPr="00814590">
        <w:t>Role of the Commonwealth</w:t>
      </w:r>
    </w:p>
    <w:p w14:paraId="72083F50" w14:textId="77777777" w:rsidR="006073F2" w:rsidRDefault="006073F2" w:rsidP="00C612CE">
      <w:pPr>
        <w:pStyle w:val="Normalnumbered"/>
        <w:numPr>
          <w:ilvl w:val="0"/>
          <w:numId w:val="10"/>
        </w:numPr>
        <w:tabs>
          <w:tab w:val="clear" w:pos="1134"/>
          <w:tab w:val="clear" w:pos="1418"/>
        </w:tabs>
        <w:jc w:val="left"/>
      </w:pPr>
      <w:r>
        <w:t>The Commonwealth will be responsible for:</w:t>
      </w:r>
    </w:p>
    <w:p w14:paraId="4171DD0B" w14:textId="7E89365D" w:rsidR="006073F2" w:rsidRPr="009F66BE" w:rsidRDefault="006073F2" w:rsidP="009F66BE">
      <w:pPr>
        <w:pStyle w:val="AlphaParagraph"/>
        <w:numPr>
          <w:ilvl w:val="0"/>
          <w:numId w:val="20"/>
        </w:numPr>
        <w:tabs>
          <w:tab w:val="clear" w:pos="567"/>
          <w:tab w:val="clear" w:pos="1418"/>
          <w:tab w:val="clear" w:pos="1701"/>
        </w:tabs>
        <w:ind w:left="1134" w:hanging="567"/>
      </w:pPr>
      <w:r w:rsidRPr="009F66BE">
        <w:rPr>
          <w:color w:val="auto"/>
        </w:rPr>
        <w:t>monitoring</w:t>
      </w:r>
      <w:r w:rsidRPr="009F66BE">
        <w:t xml:space="preserve"> and assessing achievemen</w:t>
      </w:r>
      <w:r w:rsidR="000A04B3" w:rsidRPr="009F66BE">
        <w:t>t against milestones in the implementation</w:t>
      </w:r>
      <w:r w:rsidRPr="009F66BE">
        <w:t xml:space="preserve"> of </w:t>
      </w:r>
      <w:r w:rsidR="0042346A">
        <w:t xml:space="preserve">this </w:t>
      </w:r>
      <w:r w:rsidR="00600FF6">
        <w:t xml:space="preserve">Agreement </w:t>
      </w:r>
      <w:r w:rsidRPr="009F66BE">
        <w:t>to ensure that outputs are delivered within the agreed timeframe; and</w:t>
      </w:r>
    </w:p>
    <w:p w14:paraId="4839C7F0" w14:textId="77777777" w:rsidR="006073F2" w:rsidRPr="000614F9" w:rsidRDefault="006073F2" w:rsidP="00C612CE">
      <w:pPr>
        <w:pStyle w:val="AlphaParagraph"/>
        <w:numPr>
          <w:ilvl w:val="0"/>
          <w:numId w:val="15"/>
        </w:numPr>
        <w:tabs>
          <w:tab w:val="clear" w:pos="567"/>
          <w:tab w:val="clear" w:pos="1418"/>
          <w:tab w:val="clear" w:pos="1701"/>
        </w:tabs>
        <w:ind w:left="1134" w:hanging="567"/>
        <w:rPr>
          <w:color w:val="auto"/>
        </w:rPr>
      </w:pPr>
      <w:proofErr w:type="gramStart"/>
      <w:r>
        <w:rPr>
          <w:color w:val="auto"/>
        </w:rPr>
        <w:t>providing</w:t>
      </w:r>
      <w:proofErr w:type="gramEnd"/>
      <w:r>
        <w:rPr>
          <w:color w:val="auto"/>
        </w:rPr>
        <w:t xml:space="preserve"> </w:t>
      </w:r>
      <w:r w:rsidRPr="004B6083">
        <w:rPr>
          <w:color w:val="auto"/>
        </w:rPr>
        <w:t xml:space="preserve">a consequent financial contribution to the States to support the </w:t>
      </w:r>
      <w:r w:rsidRPr="000614F9">
        <w:t>implementation</w:t>
      </w:r>
      <w:r w:rsidRPr="004B6083">
        <w:rPr>
          <w:color w:val="auto"/>
        </w:rPr>
        <w:t xml:space="preserve"> of thi</w:t>
      </w:r>
      <w:r>
        <w:rPr>
          <w:color w:val="auto"/>
        </w:rPr>
        <w:t>s Agreement.</w:t>
      </w:r>
    </w:p>
    <w:p w14:paraId="6BB80CF7" w14:textId="352A7106" w:rsidR="006073F2" w:rsidRPr="00751725" w:rsidRDefault="00EC730A" w:rsidP="006073F2">
      <w:pPr>
        <w:pStyle w:val="Heading2"/>
      </w:pPr>
      <w:r>
        <w:t>Role of the States</w:t>
      </w:r>
    </w:p>
    <w:p w14:paraId="0ED64436" w14:textId="77777777" w:rsidR="006073F2" w:rsidRDefault="006073F2" w:rsidP="00C612CE">
      <w:pPr>
        <w:pStyle w:val="Normalnumbered"/>
        <w:numPr>
          <w:ilvl w:val="0"/>
          <w:numId w:val="10"/>
        </w:numPr>
        <w:tabs>
          <w:tab w:val="clear" w:pos="1134"/>
          <w:tab w:val="clear" w:pos="1418"/>
        </w:tabs>
        <w:jc w:val="left"/>
      </w:pPr>
      <w:r w:rsidRPr="00751725">
        <w:t xml:space="preserve">The States </w:t>
      </w:r>
      <w:r>
        <w:t>will be responsible for:</w:t>
      </w:r>
    </w:p>
    <w:p w14:paraId="4D03956C" w14:textId="21A4573E" w:rsidR="006073F2" w:rsidRDefault="006073F2" w:rsidP="00C612CE">
      <w:pPr>
        <w:pStyle w:val="AlphaParagraph"/>
        <w:numPr>
          <w:ilvl w:val="0"/>
          <w:numId w:val="21"/>
        </w:numPr>
        <w:tabs>
          <w:tab w:val="clear" w:pos="567"/>
          <w:tab w:val="clear" w:pos="1418"/>
          <w:tab w:val="clear" w:pos="1701"/>
        </w:tabs>
        <w:rPr>
          <w:color w:val="auto"/>
        </w:rPr>
      </w:pPr>
      <w:r w:rsidRPr="00516881">
        <w:rPr>
          <w:color w:val="auto"/>
        </w:rPr>
        <w:t>all aspects of delivering on the project output</w:t>
      </w:r>
      <w:r w:rsidR="00B67C06">
        <w:rPr>
          <w:color w:val="auto"/>
        </w:rPr>
        <w:t>s set out in this Agreement;</w:t>
      </w:r>
    </w:p>
    <w:p w14:paraId="047129FB" w14:textId="4724858F" w:rsidR="002F7C65" w:rsidRDefault="001336FC" w:rsidP="00C612CE">
      <w:pPr>
        <w:pStyle w:val="AlphaParagraph"/>
        <w:numPr>
          <w:ilvl w:val="0"/>
          <w:numId w:val="21"/>
        </w:numPr>
        <w:tabs>
          <w:tab w:val="clear" w:pos="283"/>
          <w:tab w:val="clear" w:pos="567"/>
          <w:tab w:val="clear" w:pos="1418"/>
          <w:tab w:val="clear" w:pos="1701"/>
        </w:tabs>
        <w:ind w:left="1134" w:hanging="567"/>
        <w:rPr>
          <w:color w:val="auto"/>
        </w:rPr>
      </w:pPr>
      <w:r w:rsidRPr="002F7C65">
        <w:rPr>
          <w:color w:val="auto"/>
        </w:rPr>
        <w:t>developing Project Plans in consultation with the Commonwealth</w:t>
      </w:r>
      <w:r w:rsidR="00360018" w:rsidRPr="002F7C65">
        <w:rPr>
          <w:color w:val="auto"/>
        </w:rPr>
        <w:t xml:space="preserve"> and</w:t>
      </w:r>
      <w:r w:rsidRPr="002F7C65">
        <w:rPr>
          <w:color w:val="auto"/>
        </w:rPr>
        <w:t xml:space="preserve"> in accordance with clau</w:t>
      </w:r>
      <w:r w:rsidR="00486B15" w:rsidRPr="002F7C65">
        <w:rPr>
          <w:color w:val="auto"/>
        </w:rPr>
        <w:t>ses 1</w:t>
      </w:r>
      <w:r w:rsidR="00966D03">
        <w:rPr>
          <w:color w:val="auto"/>
        </w:rPr>
        <w:t>2</w:t>
      </w:r>
      <w:r w:rsidR="00486B15" w:rsidRPr="002F7C65">
        <w:rPr>
          <w:color w:val="auto"/>
        </w:rPr>
        <w:t xml:space="preserve"> and 1</w:t>
      </w:r>
      <w:r w:rsidR="00966D03">
        <w:rPr>
          <w:color w:val="auto"/>
        </w:rPr>
        <w:t>3</w:t>
      </w:r>
      <w:r w:rsidR="00486B15" w:rsidRPr="002F7C65">
        <w:rPr>
          <w:color w:val="auto"/>
        </w:rPr>
        <w:t xml:space="preserve"> of this Agreement; and</w:t>
      </w:r>
    </w:p>
    <w:p w14:paraId="4A26D37E" w14:textId="1224B5FA" w:rsidR="006073F2" w:rsidRPr="002F7C65" w:rsidRDefault="006073F2" w:rsidP="00C612CE">
      <w:pPr>
        <w:pStyle w:val="AlphaParagraph"/>
        <w:numPr>
          <w:ilvl w:val="0"/>
          <w:numId w:val="21"/>
        </w:numPr>
        <w:tabs>
          <w:tab w:val="clear" w:pos="283"/>
          <w:tab w:val="clear" w:pos="567"/>
          <w:tab w:val="clear" w:pos="1418"/>
          <w:tab w:val="clear" w:pos="1701"/>
        </w:tabs>
        <w:ind w:left="1134" w:hanging="567"/>
        <w:rPr>
          <w:color w:val="auto"/>
        </w:rPr>
      </w:pPr>
      <w:proofErr w:type="gramStart"/>
      <w:r w:rsidRPr="002F7C65">
        <w:rPr>
          <w:color w:val="auto"/>
        </w:rPr>
        <w:t>reporting</w:t>
      </w:r>
      <w:proofErr w:type="gramEnd"/>
      <w:r w:rsidRPr="002F7C65">
        <w:rPr>
          <w:color w:val="auto"/>
        </w:rPr>
        <w:t xml:space="preserve"> on the delivery of outputs as set out in Part 4 – Project Mil</w:t>
      </w:r>
      <w:r w:rsidR="00B10792" w:rsidRPr="002F7C65">
        <w:rPr>
          <w:color w:val="auto"/>
        </w:rPr>
        <w:t xml:space="preserve">estones, Reporting and Payments and the schedules </w:t>
      </w:r>
      <w:r w:rsidR="00037936" w:rsidRPr="002F7C65">
        <w:rPr>
          <w:color w:val="auto"/>
        </w:rPr>
        <w:t>to</w:t>
      </w:r>
      <w:r w:rsidR="00B10792" w:rsidRPr="002F7C65">
        <w:rPr>
          <w:color w:val="auto"/>
        </w:rPr>
        <w:t xml:space="preserve"> this Agreement.</w:t>
      </w:r>
    </w:p>
    <w:p w14:paraId="03B14D8A" w14:textId="77777777" w:rsidR="001336FC" w:rsidRPr="001336FC" w:rsidRDefault="001336FC" w:rsidP="001336FC">
      <w:pPr>
        <w:pStyle w:val="Heading2"/>
      </w:pPr>
      <w:r>
        <w:t>Shared roles</w:t>
      </w:r>
    </w:p>
    <w:p w14:paraId="46A3B1DE" w14:textId="342DA872" w:rsidR="00FA7304" w:rsidRDefault="00FA7304" w:rsidP="00920EB6">
      <w:pPr>
        <w:pStyle w:val="Normalnumbered"/>
        <w:numPr>
          <w:ilvl w:val="0"/>
          <w:numId w:val="10"/>
        </w:numPr>
        <w:tabs>
          <w:tab w:val="clear" w:pos="1134"/>
          <w:tab w:val="clear" w:pos="1418"/>
        </w:tabs>
        <w:jc w:val="left"/>
      </w:pPr>
      <w:r>
        <w:t>The Commonwealth and the States will be responsible for:</w:t>
      </w:r>
    </w:p>
    <w:p w14:paraId="64A1F47F" w14:textId="10F29D23" w:rsidR="00FA7304" w:rsidRDefault="00FA7304" w:rsidP="0042346A">
      <w:pPr>
        <w:pStyle w:val="Normalnumbered"/>
        <w:numPr>
          <w:ilvl w:val="1"/>
          <w:numId w:val="10"/>
        </w:numPr>
        <w:tabs>
          <w:tab w:val="clear" w:pos="567"/>
          <w:tab w:val="clear" w:pos="1440"/>
          <w:tab w:val="left" w:pos="1134"/>
        </w:tabs>
        <w:ind w:left="1134" w:hanging="567"/>
      </w:pPr>
      <w:r>
        <w:t>developing and agreeing bilateral schedules to this Agreement which set out milestones, reporting and payment arrangements in accordance with Part 4 – Project Milestones, Reporting and Payments;</w:t>
      </w:r>
    </w:p>
    <w:p w14:paraId="25643930" w14:textId="563BFE88" w:rsidR="00966D03" w:rsidRDefault="00966D03" w:rsidP="0042346A">
      <w:pPr>
        <w:pStyle w:val="Normalnumbered"/>
        <w:numPr>
          <w:ilvl w:val="1"/>
          <w:numId w:val="10"/>
        </w:numPr>
        <w:tabs>
          <w:tab w:val="clear" w:pos="567"/>
          <w:tab w:val="clear" w:pos="1440"/>
          <w:tab w:val="left" w:pos="1134"/>
        </w:tabs>
        <w:ind w:left="1134" w:hanging="567"/>
      </w:pPr>
      <w:r>
        <w:t>agreeing Project Plans in accordance with clause</w:t>
      </w:r>
      <w:r w:rsidR="00BE760E">
        <w:t>s 11 and 13</w:t>
      </w:r>
      <w:r>
        <w:t xml:space="preserve"> of this Agreement;</w:t>
      </w:r>
    </w:p>
    <w:p w14:paraId="1CE3464B" w14:textId="13AFA99B" w:rsidR="0042346A" w:rsidRDefault="0042346A" w:rsidP="0042346A">
      <w:pPr>
        <w:pStyle w:val="Normalnumbered"/>
        <w:numPr>
          <w:ilvl w:val="1"/>
          <w:numId w:val="10"/>
        </w:numPr>
        <w:tabs>
          <w:tab w:val="clear" w:pos="567"/>
          <w:tab w:val="clear" w:pos="1440"/>
          <w:tab w:val="left" w:pos="1134"/>
        </w:tabs>
        <w:ind w:left="1134" w:hanging="567"/>
      </w:pPr>
      <w:r w:rsidRPr="004756C4">
        <w:t>work</w:t>
      </w:r>
      <w:r>
        <w:t>ing</w:t>
      </w:r>
      <w:r w:rsidRPr="004756C4">
        <w:t xml:space="preserve"> with the Australian Commission on Safety and Quality in Healthcare (ACSQHC) to develop a governance framework </w:t>
      </w:r>
      <w:r>
        <w:t>for</w:t>
      </w:r>
      <w:r w:rsidRPr="004756C4">
        <w:t xml:space="preserve"> clinical trials in public hospitals to ensure governance processes are robust and meet appropriate standards</w:t>
      </w:r>
      <w:r>
        <w:t>; and</w:t>
      </w:r>
    </w:p>
    <w:p w14:paraId="2876F2D4" w14:textId="63BC56E1" w:rsidR="00B67C06" w:rsidRPr="004756C4" w:rsidRDefault="00094AC7" w:rsidP="0042346A">
      <w:pPr>
        <w:pStyle w:val="Normalnumbered"/>
        <w:numPr>
          <w:ilvl w:val="1"/>
          <w:numId w:val="10"/>
        </w:numPr>
        <w:tabs>
          <w:tab w:val="clear" w:pos="567"/>
          <w:tab w:val="clear" w:pos="1440"/>
          <w:tab w:val="left" w:pos="1134"/>
        </w:tabs>
        <w:ind w:left="1134" w:hanging="567"/>
      </w:pPr>
      <w:proofErr w:type="gramStart"/>
      <w:r w:rsidRPr="00920EB6">
        <w:t>meet</w:t>
      </w:r>
      <w:r w:rsidR="00FA7304">
        <w:t>ing</w:t>
      </w:r>
      <w:proofErr w:type="gramEnd"/>
      <w:r w:rsidRPr="00920EB6">
        <w:t xml:space="preserve"> the requirements of Schedule E, Clause 26 of the IGA FFR, by ensuring that prior agreement is reached on the nature and content of any events, announcements, promotional material or publicity relating to activities under this Agreement, and that the roles of both Parties will be acknowledged and recognised appropriately</w:t>
      </w:r>
      <w:r w:rsidR="0042346A">
        <w:t>.</w:t>
      </w:r>
    </w:p>
    <w:p w14:paraId="31A78D15" w14:textId="77777777" w:rsidR="00021ABC" w:rsidRPr="004756C4" w:rsidRDefault="00021ABC" w:rsidP="00021ABC">
      <w:pPr>
        <w:pStyle w:val="Heading2"/>
      </w:pPr>
      <w:r w:rsidRPr="004756C4">
        <w:t>Project Plans</w:t>
      </w:r>
    </w:p>
    <w:p w14:paraId="03DC2F2E" w14:textId="77777777" w:rsidR="00021ABC" w:rsidRPr="004756C4" w:rsidRDefault="00021ABC" w:rsidP="00021ABC">
      <w:pPr>
        <w:pStyle w:val="Normalnumbered"/>
        <w:numPr>
          <w:ilvl w:val="0"/>
          <w:numId w:val="10"/>
        </w:numPr>
        <w:tabs>
          <w:tab w:val="clear" w:pos="1134"/>
          <w:tab w:val="clear" w:pos="1418"/>
        </w:tabs>
        <w:jc w:val="left"/>
      </w:pPr>
      <w:r w:rsidRPr="004756C4">
        <w:t>Within two months of the execution of this Agreement the Commonwealth and the States will agree to Project Plans that will set out each State’s strategy for delivering on the outputs of this Agreement.</w:t>
      </w:r>
    </w:p>
    <w:p w14:paraId="310AB54E" w14:textId="5FB90760" w:rsidR="00021ABC" w:rsidRPr="004756C4" w:rsidRDefault="00021ABC" w:rsidP="00021ABC">
      <w:pPr>
        <w:pStyle w:val="Normalnumbered"/>
        <w:numPr>
          <w:ilvl w:val="0"/>
          <w:numId w:val="10"/>
        </w:numPr>
        <w:tabs>
          <w:tab w:val="clear" w:pos="1134"/>
          <w:tab w:val="clear" w:pos="1418"/>
        </w:tabs>
        <w:jc w:val="left"/>
      </w:pPr>
      <w:r w:rsidRPr="004756C4">
        <w:t xml:space="preserve">Project </w:t>
      </w:r>
      <w:r w:rsidR="00600FF6">
        <w:t>P</w:t>
      </w:r>
      <w:r w:rsidRPr="004756C4">
        <w:t>lans will be flexible documents that may be varied to acc</w:t>
      </w:r>
      <w:r>
        <w:t xml:space="preserve">ommodate changed circumstances. </w:t>
      </w:r>
      <w:r w:rsidRPr="004756C4">
        <w:t xml:space="preserve"> Any variations to Project Plans that impact on milestones and payments under this Agreement will be subject to arrangements set out in clause 2</w:t>
      </w:r>
      <w:r w:rsidR="00600FF6">
        <w:t>5</w:t>
      </w:r>
      <w:r w:rsidRPr="004756C4">
        <w:t xml:space="preserve"> of this Agreement.</w:t>
      </w:r>
      <w:r>
        <w:t xml:space="preserve"> </w:t>
      </w:r>
      <w:r w:rsidRPr="004756C4">
        <w:t xml:space="preserve"> Other variations or updates to Project Plans are subject to the agreement of senior Commonwealth and State officials.</w:t>
      </w:r>
    </w:p>
    <w:p w14:paraId="0606659D" w14:textId="77777777" w:rsidR="005D4187" w:rsidRDefault="005D4187" w:rsidP="00003295">
      <w:pPr>
        <w:pStyle w:val="Heading1"/>
        <w:keepNext w:val="0"/>
      </w:pPr>
    </w:p>
    <w:p w14:paraId="764E899A" w14:textId="0072A81F" w:rsidR="00094AC7" w:rsidRPr="00814590" w:rsidRDefault="00094AC7" w:rsidP="00003295">
      <w:pPr>
        <w:pStyle w:val="Heading1"/>
        <w:keepNext w:val="0"/>
      </w:pPr>
      <w:r w:rsidRPr="00814590">
        <w:lastRenderedPageBreak/>
        <w:t>Part 4 — P</w:t>
      </w:r>
      <w:r>
        <w:t>roject</w:t>
      </w:r>
      <w:r w:rsidRPr="00814590">
        <w:t xml:space="preserve"> </w:t>
      </w:r>
      <w:r>
        <w:t xml:space="preserve">milestones, </w:t>
      </w:r>
      <w:r w:rsidRPr="00814590">
        <w:t>reporting</w:t>
      </w:r>
      <w:r>
        <w:t xml:space="preserve"> and Payments</w:t>
      </w:r>
    </w:p>
    <w:p w14:paraId="65ACD2BA" w14:textId="6A2D59BA" w:rsidR="00402044" w:rsidRDefault="00B12789" w:rsidP="00C22418">
      <w:pPr>
        <w:pStyle w:val="Normalnumbered"/>
        <w:numPr>
          <w:ilvl w:val="0"/>
          <w:numId w:val="10"/>
        </w:numPr>
        <w:tabs>
          <w:tab w:val="clear" w:pos="1134"/>
          <w:tab w:val="clear" w:pos="1418"/>
        </w:tabs>
        <w:jc w:val="left"/>
      </w:pPr>
      <w:r>
        <w:t>T</w:t>
      </w:r>
      <w:r w:rsidR="00402044" w:rsidRPr="009F66BE">
        <w:t>he milestones for the project, th</w:t>
      </w:r>
      <w:r w:rsidR="00821B95">
        <w:t>eir relationship to the outputs</w:t>
      </w:r>
      <w:r w:rsidR="00402044">
        <w:t xml:space="preserve">, </w:t>
      </w:r>
      <w:r>
        <w:t xml:space="preserve">expected completion dates, </w:t>
      </w:r>
      <w:r w:rsidR="00402044">
        <w:t>relevant reporting dates and expected payments to be made</w:t>
      </w:r>
      <w:r>
        <w:t xml:space="preserve"> are set out in bilateral schedules to this Agreement</w:t>
      </w:r>
      <w:r w:rsidR="00402044">
        <w:t xml:space="preserve">. </w:t>
      </w:r>
      <w:r w:rsidR="00966D03">
        <w:t xml:space="preserve"> </w:t>
      </w:r>
      <w:r w:rsidR="00402044">
        <w:t>The Commonwealth will make pay</w:t>
      </w:r>
      <w:r w:rsidR="00367C93">
        <w:t xml:space="preserve">ments subject to the </w:t>
      </w:r>
      <w:r>
        <w:t xml:space="preserve">performance </w:t>
      </w:r>
      <w:r w:rsidR="00402044">
        <w:t xml:space="preserve">reports demonstrating the relevant </w:t>
      </w:r>
      <w:r w:rsidR="00402044" w:rsidRPr="00B12789">
        <w:rPr>
          <w:szCs w:val="23"/>
        </w:rPr>
        <w:t>milestone</w:t>
      </w:r>
      <w:r w:rsidR="00367C93" w:rsidRPr="00B12789">
        <w:rPr>
          <w:szCs w:val="23"/>
        </w:rPr>
        <w:t>s</w:t>
      </w:r>
      <w:r w:rsidR="00402044" w:rsidRPr="00B12789">
        <w:rPr>
          <w:szCs w:val="23"/>
        </w:rPr>
        <w:t xml:space="preserve"> </w:t>
      </w:r>
      <w:r w:rsidR="00367C93">
        <w:t>have</w:t>
      </w:r>
      <w:r w:rsidR="00402044">
        <w:t xml:space="preserve"> been met.</w:t>
      </w:r>
    </w:p>
    <w:p w14:paraId="6A666F5A" w14:textId="287179EB" w:rsidR="00B12789" w:rsidRPr="00C2017C" w:rsidRDefault="00C2017C" w:rsidP="00C2017C">
      <w:pPr>
        <w:pStyle w:val="ListParagraph"/>
        <w:numPr>
          <w:ilvl w:val="0"/>
          <w:numId w:val="10"/>
        </w:numPr>
        <w:rPr>
          <w:rFonts w:ascii="Corbel" w:hAnsi="Corbel"/>
          <w:color w:val="000000"/>
          <w:sz w:val="23"/>
          <w:szCs w:val="20"/>
        </w:rPr>
      </w:pPr>
      <w:r w:rsidRPr="00C2017C">
        <w:rPr>
          <w:rFonts w:ascii="Corbel" w:hAnsi="Corbel"/>
          <w:color w:val="000000"/>
          <w:sz w:val="23"/>
          <w:szCs w:val="20"/>
        </w:rPr>
        <w:t xml:space="preserve">If a milestone is met in advance of the due date, where the relevant performance report demonstrates that the milestone has been met, the Commonwealth may make the associated payment earlier than scheduled provided it falls within the same financial year </w:t>
      </w:r>
      <w:r w:rsidR="00966D03">
        <w:rPr>
          <w:rFonts w:ascii="Corbel" w:hAnsi="Corbel"/>
          <w:color w:val="000000"/>
          <w:sz w:val="23"/>
          <w:szCs w:val="20"/>
        </w:rPr>
        <w:t>as the original milestone date.</w:t>
      </w:r>
    </w:p>
    <w:p w14:paraId="22AA902F" w14:textId="77777777" w:rsidR="00094AC7" w:rsidRDefault="00094AC7" w:rsidP="00094AC7">
      <w:pPr>
        <w:pStyle w:val="Heading2"/>
      </w:pPr>
      <w:r>
        <w:t>Reporting arrangements</w:t>
      </w:r>
    </w:p>
    <w:p w14:paraId="046A18D2" w14:textId="448C6A1F" w:rsidR="00094AC7" w:rsidRDefault="00094AC7" w:rsidP="00920EB6">
      <w:pPr>
        <w:pStyle w:val="Normalnumbered"/>
        <w:numPr>
          <w:ilvl w:val="0"/>
          <w:numId w:val="10"/>
        </w:numPr>
        <w:tabs>
          <w:tab w:val="clear" w:pos="1134"/>
          <w:tab w:val="clear" w:pos="1418"/>
        </w:tabs>
        <w:jc w:val="left"/>
      </w:pPr>
      <w:r w:rsidRPr="00920EB6">
        <w:t xml:space="preserve">The States will provide </w:t>
      </w:r>
      <w:r w:rsidR="00C2017C">
        <w:t xml:space="preserve">annual </w:t>
      </w:r>
      <w:r w:rsidR="00367C93">
        <w:t>p</w:t>
      </w:r>
      <w:r w:rsidR="00A2296B">
        <w:t>erformance</w:t>
      </w:r>
      <w:r w:rsidR="006A5D96" w:rsidRPr="00920EB6">
        <w:t xml:space="preserve"> </w:t>
      </w:r>
      <w:r w:rsidRPr="00920EB6">
        <w:t xml:space="preserve">reports in accordance with </w:t>
      </w:r>
      <w:r w:rsidR="00B43FFB" w:rsidRPr="00920EB6">
        <w:t xml:space="preserve">Schedules A </w:t>
      </w:r>
      <w:r w:rsidR="00A2296B">
        <w:t>-</w:t>
      </w:r>
      <w:r w:rsidR="00B43FFB" w:rsidRPr="00920EB6">
        <w:t xml:space="preserve"> H</w:t>
      </w:r>
      <w:r w:rsidR="006A598C" w:rsidRPr="00920EB6">
        <w:t xml:space="preserve"> </w:t>
      </w:r>
      <w:r w:rsidRPr="00920EB6">
        <w:t>during the operat</w:t>
      </w:r>
      <w:r w:rsidR="006A5D96" w:rsidRPr="00920EB6">
        <w:t>ion</w:t>
      </w:r>
      <w:r w:rsidR="00367C93">
        <w:t xml:space="preserve"> of the Agreement.  Each p</w:t>
      </w:r>
      <w:r w:rsidR="00A2296B">
        <w:t>e</w:t>
      </w:r>
      <w:r w:rsidR="00367C93">
        <w:t>r</w:t>
      </w:r>
      <w:r w:rsidR="00A2296B">
        <w:t>formance</w:t>
      </w:r>
      <w:r w:rsidRPr="00920EB6">
        <w:t xml:space="preserve"> report is to contain a description of actual performance in the period to date against the project milestones</w:t>
      </w:r>
      <w:r w:rsidR="006A598C" w:rsidRPr="00920EB6">
        <w:t xml:space="preserve">, and provide an update on activities undertaken as </w:t>
      </w:r>
      <w:r w:rsidR="00966D03">
        <w:t>outlined in each State’</w:t>
      </w:r>
      <w:r w:rsidR="00D03FCB" w:rsidRPr="00920EB6">
        <w:t xml:space="preserve">s </w:t>
      </w:r>
      <w:r w:rsidR="00367C93">
        <w:t>Project P</w:t>
      </w:r>
      <w:r w:rsidR="006A5D96" w:rsidRPr="00920EB6">
        <w:t>lan</w:t>
      </w:r>
      <w:r w:rsidRPr="00920EB6">
        <w:t>.</w:t>
      </w:r>
    </w:p>
    <w:p w14:paraId="2E4A4CBA" w14:textId="585CC76A" w:rsidR="00E77D6D" w:rsidRPr="00920EB6" w:rsidRDefault="00E77D6D" w:rsidP="00920EB6">
      <w:pPr>
        <w:pStyle w:val="Normalnumbered"/>
        <w:numPr>
          <w:ilvl w:val="0"/>
          <w:numId w:val="10"/>
        </w:numPr>
        <w:tabs>
          <w:tab w:val="clear" w:pos="1134"/>
          <w:tab w:val="clear" w:pos="1418"/>
        </w:tabs>
        <w:jc w:val="left"/>
      </w:pPr>
      <w:r>
        <w:t>Progress Reports will not be published however a consolidated summary of overall progress may be released periodically.</w:t>
      </w:r>
    </w:p>
    <w:p w14:paraId="7546D72D" w14:textId="77777777" w:rsidR="00094AC7" w:rsidRDefault="00094AC7" w:rsidP="00003295">
      <w:pPr>
        <w:pStyle w:val="Heading1"/>
        <w:keepNext w:val="0"/>
      </w:pPr>
      <w:r>
        <w:t>Part 5</w:t>
      </w:r>
      <w:r w:rsidRPr="00751725">
        <w:t xml:space="preserve"> — financial arrangements</w:t>
      </w:r>
    </w:p>
    <w:p w14:paraId="39B9BD9A" w14:textId="13BD4533" w:rsidR="00486B15" w:rsidRDefault="00094AC7" w:rsidP="00920EB6">
      <w:pPr>
        <w:pStyle w:val="Normalnumbered"/>
        <w:numPr>
          <w:ilvl w:val="0"/>
          <w:numId w:val="10"/>
        </w:numPr>
        <w:tabs>
          <w:tab w:val="clear" w:pos="1134"/>
          <w:tab w:val="clear" w:pos="1418"/>
        </w:tabs>
        <w:jc w:val="left"/>
      </w:pPr>
      <w:r w:rsidRPr="00920EB6">
        <w:t>The Commonwealth will provide an estimated total financial contribution to the States of</w:t>
      </w:r>
      <w:r w:rsidR="006A598C" w:rsidRPr="00920EB6">
        <w:t xml:space="preserve"> </w:t>
      </w:r>
      <w:r w:rsidRPr="00920EB6">
        <w:t>$</w:t>
      </w:r>
      <w:r w:rsidR="00B43FFB" w:rsidRPr="00920EB6">
        <w:t>7</w:t>
      </w:r>
      <w:r w:rsidR="00966D03">
        <w:t> </w:t>
      </w:r>
      <w:r w:rsidRPr="00920EB6">
        <w:t>mi</w:t>
      </w:r>
      <w:r w:rsidR="00966D03">
        <w:t>llion</w:t>
      </w:r>
      <w:r w:rsidRPr="00920EB6">
        <w:t xml:space="preserve"> respect of this Agreement. </w:t>
      </w:r>
      <w:r w:rsidR="00966D03">
        <w:t xml:space="preserve"> </w:t>
      </w:r>
      <w:r w:rsidRPr="00920EB6">
        <w:t>All payments are GST exclusive.</w:t>
      </w:r>
    </w:p>
    <w:p w14:paraId="4963791C" w14:textId="2EBBFE47" w:rsidR="0021381B" w:rsidRPr="00920EB6" w:rsidRDefault="0021381B" w:rsidP="00920EB6">
      <w:pPr>
        <w:pStyle w:val="Normalnumbered"/>
        <w:numPr>
          <w:ilvl w:val="0"/>
          <w:numId w:val="10"/>
        </w:numPr>
        <w:tabs>
          <w:tab w:val="clear" w:pos="1134"/>
          <w:tab w:val="clear" w:pos="1418"/>
        </w:tabs>
        <w:jc w:val="left"/>
      </w:pPr>
      <w:r>
        <w:t xml:space="preserve">The Commonwealth will provide $50,000 to each State </w:t>
      </w:r>
      <w:r w:rsidR="005A09CD">
        <w:t>on</w:t>
      </w:r>
      <w:r>
        <w:t xml:space="preserve"> </w:t>
      </w:r>
      <w:r w:rsidR="005A09CD">
        <w:t>signing of this A</w:t>
      </w:r>
      <w:r>
        <w:t xml:space="preserve">greement to </w:t>
      </w:r>
      <w:r w:rsidR="005A09CD">
        <w:t xml:space="preserve">assist with </w:t>
      </w:r>
      <w:r>
        <w:t xml:space="preserve">start-up costs associated with delivering the outputs of this </w:t>
      </w:r>
      <w:r w:rsidR="005A09CD">
        <w:t>A</w:t>
      </w:r>
      <w:r>
        <w:t xml:space="preserve">greement. </w:t>
      </w:r>
    </w:p>
    <w:p w14:paraId="25AB9823" w14:textId="77777777" w:rsidR="00486B15" w:rsidRPr="00920EB6" w:rsidRDefault="00094AC7" w:rsidP="00920EB6">
      <w:pPr>
        <w:pStyle w:val="Normalnumbered"/>
        <w:numPr>
          <w:ilvl w:val="0"/>
          <w:numId w:val="10"/>
        </w:numPr>
        <w:tabs>
          <w:tab w:val="clear" w:pos="1134"/>
          <w:tab w:val="clear" w:pos="1418"/>
        </w:tabs>
        <w:jc w:val="left"/>
      </w:pPr>
      <w:r>
        <w:t>T</w:t>
      </w:r>
      <w:r w:rsidRPr="002B7E1B">
        <w:t>he Commonwealth’s funding contribution will not be reduced where the States secure funding from other activity partners</w:t>
      </w:r>
      <w:r>
        <w:t>.</w:t>
      </w:r>
    </w:p>
    <w:p w14:paraId="42F82C5D" w14:textId="5C527DEA" w:rsidR="00094AC7" w:rsidRPr="00920EB6" w:rsidRDefault="00094AC7" w:rsidP="00920EB6">
      <w:pPr>
        <w:pStyle w:val="Normalnumbered"/>
        <w:numPr>
          <w:ilvl w:val="0"/>
          <w:numId w:val="10"/>
        </w:numPr>
        <w:tabs>
          <w:tab w:val="clear" w:pos="1134"/>
          <w:tab w:val="clear" w:pos="1418"/>
        </w:tabs>
        <w:jc w:val="left"/>
      </w:pPr>
      <w:r w:rsidRPr="00751725">
        <w:t>The Commonwealth</w:t>
      </w:r>
      <w:r>
        <w:t>’s</w:t>
      </w:r>
      <w:r w:rsidRPr="00751725">
        <w:t xml:space="preserve"> </w:t>
      </w:r>
      <w:r w:rsidR="00C2017C">
        <w:t xml:space="preserve">and the States’ </w:t>
      </w:r>
      <w:r>
        <w:t xml:space="preserve">estimated </w:t>
      </w:r>
      <w:r w:rsidRPr="00751725">
        <w:t>financial contribution</w:t>
      </w:r>
      <w:r>
        <w:t>s</w:t>
      </w:r>
      <w:r w:rsidRPr="00751725">
        <w:t xml:space="preserve"> to the operation of </w:t>
      </w:r>
      <w:r>
        <w:t xml:space="preserve">this Agreement, including through National Partnership payments to the States paid in accordance with </w:t>
      </w:r>
      <w:r w:rsidRPr="00920EB6">
        <w:rPr>
          <w:i/>
        </w:rPr>
        <w:t>Schedule D</w:t>
      </w:r>
      <w:r w:rsidRPr="00920EB6">
        <w:t xml:space="preserve"> — </w:t>
      </w:r>
      <w:r w:rsidRPr="002F7C65">
        <w:rPr>
          <w:i/>
        </w:rPr>
        <w:t>Payment Arrangements</w:t>
      </w:r>
      <w:r>
        <w:t xml:space="preserve"> of the IGA FFR, are shown in Table </w:t>
      </w:r>
      <w:r w:rsidR="006A598C">
        <w:t>1</w:t>
      </w:r>
      <w:r w:rsidRPr="00751725">
        <w:t>.</w:t>
      </w:r>
    </w:p>
    <w:p w14:paraId="45CAC7B9" w14:textId="1A9EC5D9" w:rsidR="00094AC7" w:rsidRPr="00966D03" w:rsidRDefault="00094AC7" w:rsidP="00966D03">
      <w:pPr>
        <w:pStyle w:val="Normalnumbered"/>
        <w:keepNext/>
        <w:keepLines/>
        <w:tabs>
          <w:tab w:val="clear" w:pos="283"/>
        </w:tabs>
        <w:spacing w:after="120"/>
        <w:ind w:left="0" w:firstLine="0"/>
        <w:rPr>
          <w:b/>
        </w:rPr>
      </w:pPr>
      <w:r>
        <w:rPr>
          <w:b/>
        </w:rPr>
        <w:lastRenderedPageBreak/>
        <w:t xml:space="preserve">Table </w:t>
      </w:r>
      <w:r w:rsidR="006A598C">
        <w:rPr>
          <w:b/>
        </w:rPr>
        <w:t>1</w:t>
      </w:r>
      <w:r w:rsidRPr="00E204BB">
        <w:rPr>
          <w:b/>
        </w:rPr>
        <w:t>: Estimated financial contributions</w:t>
      </w:r>
    </w:p>
    <w:tbl>
      <w:tblPr>
        <w:tblW w:w="9889" w:type="dxa"/>
        <w:tblLook w:val="01E0" w:firstRow="1" w:lastRow="1" w:firstColumn="1" w:lastColumn="1" w:noHBand="0" w:noVBand="0"/>
      </w:tblPr>
      <w:tblGrid>
        <w:gridCol w:w="3861"/>
        <w:gridCol w:w="1182"/>
        <w:gridCol w:w="1181"/>
        <w:gridCol w:w="1181"/>
        <w:gridCol w:w="1299"/>
        <w:gridCol w:w="1185"/>
      </w:tblGrid>
      <w:tr w:rsidR="00844223" w14:paraId="79604AEE" w14:textId="77777777" w:rsidTr="00FE1B2C">
        <w:trPr>
          <w:cantSplit/>
        </w:trPr>
        <w:tc>
          <w:tcPr>
            <w:tcW w:w="3861" w:type="dxa"/>
            <w:tcBorders>
              <w:top w:val="single" w:sz="4" w:space="0" w:color="000080"/>
            </w:tcBorders>
          </w:tcPr>
          <w:p w14:paraId="438AF032" w14:textId="4AE3C178" w:rsidR="00844223" w:rsidRPr="00C2711B" w:rsidRDefault="00524CAB" w:rsidP="00E21D0F">
            <w:pPr>
              <w:keepNext/>
              <w:keepLines/>
              <w:spacing w:before="40" w:after="40"/>
              <w:jc w:val="left"/>
              <w:rPr>
                <w:b/>
              </w:rPr>
            </w:pPr>
            <w:r>
              <w:rPr>
                <w:b/>
              </w:rPr>
              <w:t>($)</w:t>
            </w:r>
          </w:p>
        </w:tc>
        <w:tc>
          <w:tcPr>
            <w:tcW w:w="1182" w:type="dxa"/>
            <w:tcBorders>
              <w:top w:val="single" w:sz="4" w:space="0" w:color="000080"/>
              <w:bottom w:val="single" w:sz="4" w:space="0" w:color="000080"/>
            </w:tcBorders>
            <w:vAlign w:val="center"/>
          </w:tcPr>
          <w:p w14:paraId="442D94D1" w14:textId="77777777" w:rsidR="00844223" w:rsidRPr="00B30B18" w:rsidRDefault="00844223" w:rsidP="00E21D0F">
            <w:pPr>
              <w:keepNext/>
              <w:keepLines/>
              <w:spacing w:before="60" w:after="60"/>
            </w:pPr>
            <w:r w:rsidRPr="00B30B18">
              <w:t>2017-18</w:t>
            </w:r>
          </w:p>
        </w:tc>
        <w:tc>
          <w:tcPr>
            <w:tcW w:w="1181" w:type="dxa"/>
            <w:tcBorders>
              <w:top w:val="single" w:sz="4" w:space="0" w:color="000080"/>
              <w:bottom w:val="single" w:sz="4" w:space="0" w:color="000080"/>
            </w:tcBorders>
            <w:vAlign w:val="center"/>
          </w:tcPr>
          <w:p w14:paraId="23B2E9EC" w14:textId="77777777" w:rsidR="00844223" w:rsidRPr="00B30B18" w:rsidRDefault="00844223" w:rsidP="00E21D0F">
            <w:pPr>
              <w:keepNext/>
              <w:keepLines/>
              <w:spacing w:before="60" w:after="60"/>
            </w:pPr>
            <w:r w:rsidRPr="00B30B18">
              <w:t>2018-19</w:t>
            </w:r>
          </w:p>
        </w:tc>
        <w:tc>
          <w:tcPr>
            <w:tcW w:w="1181" w:type="dxa"/>
            <w:tcBorders>
              <w:top w:val="single" w:sz="4" w:space="0" w:color="000080"/>
              <w:bottom w:val="single" w:sz="4" w:space="0" w:color="000080"/>
            </w:tcBorders>
            <w:vAlign w:val="center"/>
          </w:tcPr>
          <w:p w14:paraId="21C4CDF7" w14:textId="77777777" w:rsidR="00844223" w:rsidRPr="00B30B18" w:rsidRDefault="00844223" w:rsidP="00E21D0F">
            <w:pPr>
              <w:keepNext/>
              <w:keepLines/>
              <w:spacing w:before="60" w:after="60"/>
            </w:pPr>
            <w:r w:rsidRPr="00B30B18">
              <w:t>2019-20</w:t>
            </w:r>
          </w:p>
        </w:tc>
        <w:tc>
          <w:tcPr>
            <w:tcW w:w="1299" w:type="dxa"/>
            <w:tcBorders>
              <w:top w:val="single" w:sz="4" w:space="0" w:color="000080"/>
              <w:bottom w:val="single" w:sz="4" w:space="0" w:color="000080"/>
            </w:tcBorders>
            <w:vAlign w:val="center"/>
          </w:tcPr>
          <w:p w14:paraId="161E3E4C" w14:textId="77777777" w:rsidR="00844223" w:rsidRPr="00B30B18" w:rsidRDefault="00844223" w:rsidP="00E21D0F">
            <w:pPr>
              <w:keepNext/>
              <w:keepLines/>
              <w:spacing w:before="60" w:after="60"/>
            </w:pPr>
            <w:r w:rsidRPr="00B30B18">
              <w:t>2020-21</w:t>
            </w:r>
          </w:p>
        </w:tc>
        <w:tc>
          <w:tcPr>
            <w:tcW w:w="1185" w:type="dxa"/>
            <w:tcBorders>
              <w:top w:val="single" w:sz="4" w:space="0" w:color="000080"/>
              <w:bottom w:val="single" w:sz="4" w:space="0" w:color="000080"/>
            </w:tcBorders>
          </w:tcPr>
          <w:p w14:paraId="21489A9D" w14:textId="77777777" w:rsidR="00844223" w:rsidRDefault="00844223" w:rsidP="00E21D0F">
            <w:pPr>
              <w:keepNext/>
              <w:keepLines/>
              <w:spacing w:before="40" w:after="40"/>
              <w:jc w:val="center"/>
            </w:pPr>
            <w:r>
              <w:t>Total</w:t>
            </w:r>
          </w:p>
        </w:tc>
      </w:tr>
      <w:tr w:rsidR="00844223" w14:paraId="2B5AFFA3" w14:textId="77777777" w:rsidTr="00FE1B2C">
        <w:trPr>
          <w:cantSplit/>
        </w:trPr>
        <w:tc>
          <w:tcPr>
            <w:tcW w:w="3861" w:type="dxa"/>
          </w:tcPr>
          <w:p w14:paraId="7E277AC0" w14:textId="77777777" w:rsidR="00844223" w:rsidRDefault="00844223" w:rsidP="00E21D0F">
            <w:pPr>
              <w:keepNext/>
              <w:keepLines/>
              <w:spacing w:before="60" w:after="60"/>
              <w:rPr>
                <w:b/>
              </w:rPr>
            </w:pPr>
            <w:r w:rsidRPr="005B4C1B">
              <w:rPr>
                <w:b/>
              </w:rPr>
              <w:t>Estimated total budget</w:t>
            </w:r>
          </w:p>
          <w:p w14:paraId="4B9D2657" w14:textId="77777777" w:rsidR="00844223" w:rsidRPr="005B4C1B" w:rsidRDefault="00844223" w:rsidP="00E21D0F">
            <w:pPr>
              <w:keepNext/>
              <w:keepLines/>
              <w:spacing w:before="60" w:after="60"/>
              <w:rPr>
                <w:b/>
              </w:rPr>
            </w:pPr>
          </w:p>
        </w:tc>
        <w:tc>
          <w:tcPr>
            <w:tcW w:w="1182" w:type="dxa"/>
            <w:tcBorders>
              <w:top w:val="single" w:sz="4" w:space="0" w:color="000080"/>
              <w:bottom w:val="single" w:sz="4" w:space="0" w:color="auto"/>
            </w:tcBorders>
            <w:vAlign w:val="center"/>
          </w:tcPr>
          <w:p w14:paraId="66D4A48E" w14:textId="717FF09A" w:rsidR="00844223" w:rsidRPr="00844223" w:rsidRDefault="00844223" w:rsidP="00E21D0F">
            <w:pPr>
              <w:keepNext/>
              <w:keepLines/>
              <w:spacing w:before="60" w:after="60"/>
              <w:jc w:val="right"/>
              <w:rPr>
                <w:b/>
              </w:rPr>
            </w:pPr>
            <w:r w:rsidRPr="00844223">
              <w:rPr>
                <w:b/>
              </w:rPr>
              <w:t>2,500,000</w:t>
            </w:r>
          </w:p>
        </w:tc>
        <w:tc>
          <w:tcPr>
            <w:tcW w:w="1181" w:type="dxa"/>
            <w:tcBorders>
              <w:top w:val="single" w:sz="4" w:space="0" w:color="000080"/>
              <w:bottom w:val="single" w:sz="4" w:space="0" w:color="auto"/>
            </w:tcBorders>
            <w:vAlign w:val="center"/>
          </w:tcPr>
          <w:p w14:paraId="06B9CA55" w14:textId="724AE8AD" w:rsidR="00844223" w:rsidRPr="00844223" w:rsidRDefault="00844223" w:rsidP="00E21D0F">
            <w:pPr>
              <w:keepNext/>
              <w:keepLines/>
              <w:spacing w:before="60" w:after="60"/>
              <w:jc w:val="right"/>
              <w:rPr>
                <w:b/>
              </w:rPr>
            </w:pPr>
            <w:r w:rsidRPr="00844223">
              <w:rPr>
                <w:b/>
              </w:rPr>
              <w:t>1,500,000</w:t>
            </w:r>
          </w:p>
        </w:tc>
        <w:tc>
          <w:tcPr>
            <w:tcW w:w="1181" w:type="dxa"/>
            <w:tcBorders>
              <w:top w:val="single" w:sz="4" w:space="0" w:color="000080"/>
              <w:bottom w:val="single" w:sz="4" w:space="0" w:color="auto"/>
            </w:tcBorders>
            <w:vAlign w:val="center"/>
          </w:tcPr>
          <w:p w14:paraId="2093E431" w14:textId="5D4E955F" w:rsidR="00844223" w:rsidRPr="00844223" w:rsidRDefault="00844223" w:rsidP="00E21D0F">
            <w:pPr>
              <w:keepNext/>
              <w:keepLines/>
              <w:spacing w:before="60" w:after="60"/>
              <w:jc w:val="right"/>
              <w:rPr>
                <w:b/>
              </w:rPr>
            </w:pPr>
            <w:r w:rsidRPr="00844223">
              <w:rPr>
                <w:b/>
              </w:rPr>
              <w:t>1,500,000</w:t>
            </w:r>
          </w:p>
        </w:tc>
        <w:tc>
          <w:tcPr>
            <w:tcW w:w="1299" w:type="dxa"/>
            <w:tcBorders>
              <w:top w:val="single" w:sz="4" w:space="0" w:color="000080"/>
              <w:bottom w:val="single" w:sz="4" w:space="0" w:color="auto"/>
            </w:tcBorders>
            <w:vAlign w:val="center"/>
          </w:tcPr>
          <w:p w14:paraId="64A5DFF3" w14:textId="6FC031A0" w:rsidR="00844223" w:rsidRPr="00844223" w:rsidRDefault="00844223" w:rsidP="00E21D0F">
            <w:pPr>
              <w:keepNext/>
              <w:keepLines/>
              <w:spacing w:before="60" w:after="60"/>
              <w:jc w:val="right"/>
              <w:rPr>
                <w:b/>
              </w:rPr>
            </w:pPr>
            <w:r w:rsidRPr="00844223">
              <w:rPr>
                <w:b/>
              </w:rPr>
              <w:t>1,5000,000</w:t>
            </w:r>
          </w:p>
        </w:tc>
        <w:tc>
          <w:tcPr>
            <w:tcW w:w="1185" w:type="dxa"/>
            <w:tcBorders>
              <w:top w:val="single" w:sz="4" w:space="0" w:color="000080"/>
              <w:bottom w:val="single" w:sz="4" w:space="0" w:color="auto"/>
            </w:tcBorders>
            <w:vAlign w:val="center"/>
          </w:tcPr>
          <w:p w14:paraId="4A8D574D" w14:textId="23EEA7C1" w:rsidR="00844223" w:rsidRPr="00844223" w:rsidRDefault="00844223" w:rsidP="00E21D0F">
            <w:pPr>
              <w:keepNext/>
              <w:keepLines/>
              <w:spacing w:before="60" w:after="60"/>
              <w:jc w:val="right"/>
              <w:rPr>
                <w:b/>
              </w:rPr>
            </w:pPr>
            <w:r w:rsidRPr="00844223">
              <w:rPr>
                <w:b/>
              </w:rPr>
              <w:t>7,000,000</w:t>
            </w:r>
          </w:p>
        </w:tc>
      </w:tr>
      <w:tr w:rsidR="00844223" w:rsidRPr="00844223" w14:paraId="720202E6" w14:textId="77777777" w:rsidTr="00FE1B2C">
        <w:tblPrEx>
          <w:tblLook w:val="04A0" w:firstRow="1" w:lastRow="0" w:firstColumn="1" w:lastColumn="0" w:noHBand="0" w:noVBand="1"/>
        </w:tblPrEx>
        <w:trPr>
          <w:trHeight w:val="315"/>
        </w:trPr>
        <w:tc>
          <w:tcPr>
            <w:tcW w:w="3861" w:type="dxa"/>
            <w:tcBorders>
              <w:top w:val="nil"/>
            </w:tcBorders>
            <w:shd w:val="clear" w:color="000000" w:fill="FFFFFF"/>
            <w:vAlign w:val="center"/>
            <w:hideMark/>
          </w:tcPr>
          <w:p w14:paraId="5D0DE1CF" w14:textId="77777777" w:rsidR="00844223" w:rsidRPr="00402044" w:rsidRDefault="00844223" w:rsidP="00E21D0F">
            <w:pPr>
              <w:keepNext/>
              <w:keepLines/>
              <w:spacing w:before="60" w:after="60"/>
              <w:rPr>
                <w:b/>
              </w:rPr>
            </w:pPr>
            <w:r w:rsidRPr="00402044">
              <w:rPr>
                <w:b/>
              </w:rPr>
              <w:t>New South Wales</w:t>
            </w:r>
          </w:p>
        </w:tc>
        <w:tc>
          <w:tcPr>
            <w:tcW w:w="1182" w:type="dxa"/>
            <w:tcBorders>
              <w:top w:val="single" w:sz="4" w:space="0" w:color="auto"/>
              <w:left w:val="nil"/>
            </w:tcBorders>
            <w:shd w:val="clear" w:color="000000" w:fill="FFFFFF"/>
            <w:noWrap/>
            <w:vAlign w:val="center"/>
            <w:hideMark/>
          </w:tcPr>
          <w:p w14:paraId="789CBAFB" w14:textId="77777777" w:rsidR="00844223" w:rsidRPr="00844223" w:rsidRDefault="00844223" w:rsidP="00E21D0F">
            <w:pPr>
              <w:keepNext/>
              <w:keepLines/>
              <w:spacing w:before="60" w:after="60"/>
              <w:jc w:val="right"/>
            </w:pPr>
            <w:r w:rsidRPr="00844223">
              <w:t>500,240</w:t>
            </w:r>
          </w:p>
        </w:tc>
        <w:tc>
          <w:tcPr>
            <w:tcW w:w="1181" w:type="dxa"/>
            <w:tcBorders>
              <w:top w:val="single" w:sz="4" w:space="0" w:color="auto"/>
            </w:tcBorders>
            <w:shd w:val="clear" w:color="000000" w:fill="FFFFFF"/>
            <w:noWrap/>
            <w:vAlign w:val="center"/>
            <w:hideMark/>
          </w:tcPr>
          <w:p w14:paraId="2FBE27E5" w14:textId="77777777" w:rsidR="00844223" w:rsidRPr="00844223" w:rsidRDefault="00844223" w:rsidP="00E21D0F">
            <w:pPr>
              <w:keepNext/>
              <w:keepLines/>
              <w:spacing w:before="60" w:after="60"/>
              <w:jc w:val="right"/>
            </w:pPr>
            <w:r w:rsidRPr="00844223">
              <w:t>300,020</w:t>
            </w:r>
          </w:p>
        </w:tc>
        <w:tc>
          <w:tcPr>
            <w:tcW w:w="1181" w:type="dxa"/>
            <w:tcBorders>
              <w:top w:val="single" w:sz="4" w:space="0" w:color="auto"/>
            </w:tcBorders>
            <w:shd w:val="clear" w:color="000000" w:fill="FFFFFF"/>
            <w:noWrap/>
            <w:vAlign w:val="center"/>
            <w:hideMark/>
          </w:tcPr>
          <w:p w14:paraId="2D0D47A5" w14:textId="77777777" w:rsidR="00844223" w:rsidRPr="00844223" w:rsidRDefault="00844223" w:rsidP="00E21D0F">
            <w:pPr>
              <w:keepNext/>
              <w:keepLines/>
              <w:spacing w:before="60" w:after="60"/>
              <w:jc w:val="right"/>
            </w:pPr>
            <w:r w:rsidRPr="00844223">
              <w:t>300,020</w:t>
            </w:r>
          </w:p>
        </w:tc>
        <w:tc>
          <w:tcPr>
            <w:tcW w:w="1299" w:type="dxa"/>
            <w:tcBorders>
              <w:top w:val="single" w:sz="4" w:space="0" w:color="auto"/>
            </w:tcBorders>
            <w:shd w:val="clear" w:color="000000" w:fill="FFFFFF"/>
            <w:noWrap/>
            <w:vAlign w:val="center"/>
            <w:hideMark/>
          </w:tcPr>
          <w:p w14:paraId="71825B68" w14:textId="77777777" w:rsidR="00844223" w:rsidRPr="00844223" w:rsidRDefault="00844223" w:rsidP="00E21D0F">
            <w:pPr>
              <w:keepNext/>
              <w:keepLines/>
              <w:spacing w:before="60" w:after="60"/>
              <w:jc w:val="right"/>
            </w:pPr>
            <w:r w:rsidRPr="00844223">
              <w:t>300,020</w:t>
            </w:r>
          </w:p>
        </w:tc>
        <w:tc>
          <w:tcPr>
            <w:tcW w:w="1185" w:type="dxa"/>
            <w:tcBorders>
              <w:top w:val="single" w:sz="4" w:space="0" w:color="auto"/>
            </w:tcBorders>
            <w:shd w:val="clear" w:color="000000" w:fill="FFFFFF"/>
            <w:noWrap/>
            <w:vAlign w:val="center"/>
            <w:hideMark/>
          </w:tcPr>
          <w:p w14:paraId="30F99626" w14:textId="77777777" w:rsidR="00844223" w:rsidRPr="00844223" w:rsidRDefault="00844223" w:rsidP="00E21D0F">
            <w:pPr>
              <w:keepNext/>
              <w:keepLines/>
              <w:spacing w:before="60" w:after="60"/>
              <w:jc w:val="right"/>
            </w:pPr>
            <w:r w:rsidRPr="00844223">
              <w:t>1,400,300</w:t>
            </w:r>
          </w:p>
        </w:tc>
      </w:tr>
      <w:tr w:rsidR="00844223" w:rsidRPr="00844223" w14:paraId="504A961E"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52361C40" w14:textId="77777777" w:rsidR="00844223" w:rsidRPr="00B30B18" w:rsidRDefault="00844223" w:rsidP="00E21D0F">
            <w:pPr>
              <w:keepNext/>
              <w:keepLines/>
              <w:spacing w:before="60" w:after="60"/>
              <w:rPr>
                <w:b/>
              </w:rPr>
            </w:pPr>
            <w:r>
              <w:rPr>
                <w:b/>
              </w:rPr>
              <w:t>Victoria</w:t>
            </w:r>
          </w:p>
        </w:tc>
        <w:tc>
          <w:tcPr>
            <w:tcW w:w="1182" w:type="dxa"/>
            <w:tcBorders>
              <w:top w:val="nil"/>
              <w:left w:val="nil"/>
            </w:tcBorders>
            <w:shd w:val="clear" w:color="auto" w:fill="auto"/>
            <w:noWrap/>
            <w:vAlign w:val="center"/>
            <w:hideMark/>
          </w:tcPr>
          <w:p w14:paraId="00E6B645" w14:textId="77777777" w:rsidR="00844223" w:rsidRPr="00844223" w:rsidRDefault="00844223" w:rsidP="00E21D0F">
            <w:pPr>
              <w:keepNext/>
              <w:keepLines/>
              <w:spacing w:before="60" w:after="60"/>
              <w:jc w:val="right"/>
            </w:pPr>
            <w:r w:rsidRPr="00844223">
              <w:t>357,100</w:t>
            </w:r>
          </w:p>
        </w:tc>
        <w:tc>
          <w:tcPr>
            <w:tcW w:w="1181" w:type="dxa"/>
            <w:tcBorders>
              <w:top w:val="nil"/>
            </w:tcBorders>
            <w:shd w:val="clear" w:color="auto" w:fill="auto"/>
            <w:noWrap/>
            <w:vAlign w:val="center"/>
            <w:hideMark/>
          </w:tcPr>
          <w:p w14:paraId="2DEB2193" w14:textId="77777777" w:rsidR="00844223" w:rsidRPr="00844223" w:rsidRDefault="00844223" w:rsidP="00E21D0F">
            <w:pPr>
              <w:keepNext/>
              <w:keepLines/>
              <w:spacing w:before="60" w:after="60"/>
              <w:jc w:val="right"/>
            </w:pPr>
            <w:r w:rsidRPr="00844223">
              <w:t>214,300</w:t>
            </w:r>
          </w:p>
        </w:tc>
        <w:tc>
          <w:tcPr>
            <w:tcW w:w="1181" w:type="dxa"/>
            <w:tcBorders>
              <w:top w:val="nil"/>
            </w:tcBorders>
            <w:shd w:val="clear" w:color="auto" w:fill="auto"/>
            <w:noWrap/>
            <w:vAlign w:val="center"/>
            <w:hideMark/>
          </w:tcPr>
          <w:p w14:paraId="3073DA33" w14:textId="77777777" w:rsidR="00844223" w:rsidRPr="00844223" w:rsidRDefault="00844223" w:rsidP="00E21D0F">
            <w:pPr>
              <w:keepNext/>
              <w:keepLines/>
              <w:spacing w:before="60" w:after="60"/>
              <w:jc w:val="right"/>
            </w:pPr>
            <w:r w:rsidRPr="00844223">
              <w:t>214,300</w:t>
            </w:r>
          </w:p>
        </w:tc>
        <w:tc>
          <w:tcPr>
            <w:tcW w:w="1299" w:type="dxa"/>
            <w:tcBorders>
              <w:top w:val="nil"/>
            </w:tcBorders>
            <w:shd w:val="clear" w:color="auto" w:fill="auto"/>
            <w:noWrap/>
            <w:vAlign w:val="center"/>
            <w:hideMark/>
          </w:tcPr>
          <w:p w14:paraId="678694AE" w14:textId="77777777" w:rsidR="00844223" w:rsidRPr="00844223" w:rsidRDefault="00844223" w:rsidP="00E21D0F">
            <w:pPr>
              <w:keepNext/>
              <w:keepLines/>
              <w:spacing w:before="60" w:after="60"/>
              <w:jc w:val="right"/>
            </w:pPr>
            <w:r w:rsidRPr="00844223">
              <w:t>214,300</w:t>
            </w:r>
          </w:p>
        </w:tc>
        <w:tc>
          <w:tcPr>
            <w:tcW w:w="1185" w:type="dxa"/>
            <w:tcBorders>
              <w:top w:val="nil"/>
            </w:tcBorders>
            <w:shd w:val="clear" w:color="auto" w:fill="auto"/>
            <w:noWrap/>
            <w:vAlign w:val="center"/>
            <w:hideMark/>
          </w:tcPr>
          <w:p w14:paraId="3102B79C" w14:textId="77777777" w:rsidR="00844223" w:rsidRPr="00844223" w:rsidRDefault="00844223" w:rsidP="00E21D0F">
            <w:pPr>
              <w:keepNext/>
              <w:keepLines/>
              <w:spacing w:before="60" w:after="60"/>
              <w:jc w:val="right"/>
            </w:pPr>
            <w:r w:rsidRPr="00844223">
              <w:t>1,000,000</w:t>
            </w:r>
          </w:p>
        </w:tc>
      </w:tr>
      <w:tr w:rsidR="00844223" w:rsidRPr="00844223" w14:paraId="5FEC775F"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586DCA73" w14:textId="77777777" w:rsidR="00844223" w:rsidRPr="00B30B18" w:rsidRDefault="00844223" w:rsidP="00E21D0F">
            <w:pPr>
              <w:keepNext/>
              <w:keepLines/>
              <w:spacing w:before="60" w:after="60"/>
              <w:rPr>
                <w:b/>
              </w:rPr>
            </w:pPr>
            <w:r>
              <w:rPr>
                <w:b/>
              </w:rPr>
              <w:t>Queensland</w:t>
            </w:r>
          </w:p>
        </w:tc>
        <w:tc>
          <w:tcPr>
            <w:tcW w:w="1182" w:type="dxa"/>
            <w:tcBorders>
              <w:top w:val="nil"/>
              <w:left w:val="nil"/>
            </w:tcBorders>
            <w:shd w:val="clear" w:color="auto" w:fill="auto"/>
            <w:noWrap/>
            <w:vAlign w:val="center"/>
            <w:hideMark/>
          </w:tcPr>
          <w:p w14:paraId="06FC778C" w14:textId="77777777" w:rsidR="00844223" w:rsidRPr="00844223" w:rsidRDefault="00844223" w:rsidP="00E21D0F">
            <w:pPr>
              <w:keepNext/>
              <w:keepLines/>
              <w:spacing w:before="60" w:after="60"/>
              <w:jc w:val="right"/>
            </w:pPr>
            <w:r w:rsidRPr="00844223">
              <w:t>428,520</w:t>
            </w:r>
          </w:p>
        </w:tc>
        <w:tc>
          <w:tcPr>
            <w:tcW w:w="1181" w:type="dxa"/>
            <w:tcBorders>
              <w:top w:val="nil"/>
            </w:tcBorders>
            <w:shd w:val="clear" w:color="auto" w:fill="auto"/>
            <w:noWrap/>
            <w:vAlign w:val="center"/>
            <w:hideMark/>
          </w:tcPr>
          <w:p w14:paraId="1E82DA34" w14:textId="77777777" w:rsidR="00844223" w:rsidRPr="00844223" w:rsidRDefault="00844223" w:rsidP="00E21D0F">
            <w:pPr>
              <w:keepNext/>
              <w:keepLines/>
              <w:spacing w:before="60" w:after="60"/>
              <w:jc w:val="right"/>
            </w:pPr>
            <w:r w:rsidRPr="00844223">
              <w:t>257,160</w:t>
            </w:r>
          </w:p>
        </w:tc>
        <w:tc>
          <w:tcPr>
            <w:tcW w:w="1181" w:type="dxa"/>
            <w:tcBorders>
              <w:top w:val="nil"/>
            </w:tcBorders>
            <w:shd w:val="clear" w:color="auto" w:fill="auto"/>
            <w:noWrap/>
            <w:vAlign w:val="center"/>
            <w:hideMark/>
          </w:tcPr>
          <w:p w14:paraId="1CF9B40A" w14:textId="77777777" w:rsidR="00844223" w:rsidRPr="00844223" w:rsidRDefault="00844223" w:rsidP="00E21D0F">
            <w:pPr>
              <w:keepNext/>
              <w:keepLines/>
              <w:spacing w:before="60" w:after="60"/>
              <w:jc w:val="right"/>
            </w:pPr>
            <w:r w:rsidRPr="00844223">
              <w:t>257,160</w:t>
            </w:r>
          </w:p>
        </w:tc>
        <w:tc>
          <w:tcPr>
            <w:tcW w:w="1299" w:type="dxa"/>
            <w:tcBorders>
              <w:top w:val="nil"/>
            </w:tcBorders>
            <w:shd w:val="clear" w:color="auto" w:fill="auto"/>
            <w:noWrap/>
            <w:vAlign w:val="center"/>
            <w:hideMark/>
          </w:tcPr>
          <w:p w14:paraId="327CB17C" w14:textId="77777777" w:rsidR="00844223" w:rsidRPr="00844223" w:rsidRDefault="00844223" w:rsidP="00E21D0F">
            <w:pPr>
              <w:keepNext/>
              <w:keepLines/>
              <w:spacing w:before="60" w:after="60"/>
              <w:jc w:val="right"/>
            </w:pPr>
            <w:r w:rsidRPr="00844223">
              <w:t>257,160</w:t>
            </w:r>
          </w:p>
        </w:tc>
        <w:tc>
          <w:tcPr>
            <w:tcW w:w="1185" w:type="dxa"/>
            <w:tcBorders>
              <w:top w:val="nil"/>
            </w:tcBorders>
            <w:shd w:val="clear" w:color="auto" w:fill="auto"/>
            <w:noWrap/>
            <w:vAlign w:val="center"/>
            <w:hideMark/>
          </w:tcPr>
          <w:p w14:paraId="74B1B151" w14:textId="77777777" w:rsidR="00844223" w:rsidRPr="00844223" w:rsidRDefault="00844223" w:rsidP="00E21D0F">
            <w:pPr>
              <w:keepNext/>
              <w:keepLines/>
              <w:spacing w:before="60" w:after="60"/>
              <w:jc w:val="right"/>
            </w:pPr>
            <w:r w:rsidRPr="00844223">
              <w:t>1,200,000</w:t>
            </w:r>
          </w:p>
        </w:tc>
      </w:tr>
      <w:tr w:rsidR="00844223" w:rsidRPr="00844223" w14:paraId="272EA4D9"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0DAC5699" w14:textId="77777777" w:rsidR="00844223" w:rsidRPr="00B30B18" w:rsidRDefault="00844223" w:rsidP="00E21D0F">
            <w:pPr>
              <w:keepNext/>
              <w:keepLines/>
              <w:spacing w:before="60" w:after="60"/>
              <w:rPr>
                <w:b/>
              </w:rPr>
            </w:pPr>
            <w:r>
              <w:rPr>
                <w:b/>
              </w:rPr>
              <w:t>Western Australia</w:t>
            </w:r>
          </w:p>
        </w:tc>
        <w:tc>
          <w:tcPr>
            <w:tcW w:w="1182" w:type="dxa"/>
            <w:tcBorders>
              <w:top w:val="nil"/>
              <w:left w:val="nil"/>
            </w:tcBorders>
            <w:shd w:val="clear" w:color="auto" w:fill="auto"/>
            <w:noWrap/>
            <w:vAlign w:val="center"/>
            <w:hideMark/>
          </w:tcPr>
          <w:p w14:paraId="2782F251" w14:textId="77777777" w:rsidR="00844223" w:rsidRPr="00844223" w:rsidRDefault="00844223" w:rsidP="00E21D0F">
            <w:pPr>
              <w:keepNext/>
              <w:keepLines/>
              <w:spacing w:before="60" w:after="60"/>
              <w:jc w:val="right"/>
            </w:pPr>
            <w:r w:rsidRPr="00844223">
              <w:t>357,100</w:t>
            </w:r>
          </w:p>
        </w:tc>
        <w:tc>
          <w:tcPr>
            <w:tcW w:w="1181" w:type="dxa"/>
            <w:tcBorders>
              <w:top w:val="nil"/>
            </w:tcBorders>
            <w:shd w:val="clear" w:color="auto" w:fill="auto"/>
            <w:noWrap/>
            <w:vAlign w:val="center"/>
            <w:hideMark/>
          </w:tcPr>
          <w:p w14:paraId="6596D2E2" w14:textId="77777777" w:rsidR="00844223" w:rsidRPr="00844223" w:rsidRDefault="00844223" w:rsidP="00E21D0F">
            <w:pPr>
              <w:keepNext/>
              <w:keepLines/>
              <w:spacing w:before="60" w:after="60"/>
              <w:jc w:val="right"/>
            </w:pPr>
            <w:r w:rsidRPr="00844223">
              <w:t>214,300</w:t>
            </w:r>
          </w:p>
        </w:tc>
        <w:tc>
          <w:tcPr>
            <w:tcW w:w="1181" w:type="dxa"/>
            <w:tcBorders>
              <w:top w:val="nil"/>
            </w:tcBorders>
            <w:shd w:val="clear" w:color="auto" w:fill="auto"/>
            <w:noWrap/>
            <w:vAlign w:val="center"/>
            <w:hideMark/>
          </w:tcPr>
          <w:p w14:paraId="6625108D" w14:textId="77777777" w:rsidR="00844223" w:rsidRPr="00844223" w:rsidRDefault="00844223" w:rsidP="00E21D0F">
            <w:pPr>
              <w:keepNext/>
              <w:keepLines/>
              <w:spacing w:before="60" w:after="60"/>
              <w:jc w:val="right"/>
            </w:pPr>
            <w:r w:rsidRPr="00844223">
              <w:t>214,300</w:t>
            </w:r>
          </w:p>
        </w:tc>
        <w:tc>
          <w:tcPr>
            <w:tcW w:w="1299" w:type="dxa"/>
            <w:tcBorders>
              <w:top w:val="nil"/>
            </w:tcBorders>
            <w:shd w:val="clear" w:color="auto" w:fill="auto"/>
            <w:noWrap/>
            <w:vAlign w:val="center"/>
            <w:hideMark/>
          </w:tcPr>
          <w:p w14:paraId="36F8D301" w14:textId="77777777" w:rsidR="00844223" w:rsidRPr="00844223" w:rsidRDefault="00844223" w:rsidP="00E21D0F">
            <w:pPr>
              <w:keepNext/>
              <w:keepLines/>
              <w:spacing w:before="60" w:after="60"/>
              <w:jc w:val="right"/>
            </w:pPr>
            <w:r w:rsidRPr="00844223">
              <w:t>214,300</w:t>
            </w:r>
          </w:p>
        </w:tc>
        <w:tc>
          <w:tcPr>
            <w:tcW w:w="1185" w:type="dxa"/>
            <w:tcBorders>
              <w:top w:val="nil"/>
            </w:tcBorders>
            <w:shd w:val="clear" w:color="auto" w:fill="auto"/>
            <w:noWrap/>
            <w:vAlign w:val="center"/>
            <w:hideMark/>
          </w:tcPr>
          <w:p w14:paraId="02C3A8C8" w14:textId="77777777" w:rsidR="00844223" w:rsidRPr="00844223" w:rsidRDefault="00844223" w:rsidP="00E21D0F">
            <w:pPr>
              <w:keepNext/>
              <w:keepLines/>
              <w:spacing w:before="60" w:after="60"/>
              <w:jc w:val="right"/>
            </w:pPr>
            <w:r w:rsidRPr="00844223">
              <w:t>1,000,000</w:t>
            </w:r>
          </w:p>
        </w:tc>
      </w:tr>
      <w:tr w:rsidR="00844223" w:rsidRPr="00844223" w14:paraId="7F7FE228"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4376E869" w14:textId="77777777" w:rsidR="00844223" w:rsidRPr="00B30B18" w:rsidRDefault="00844223" w:rsidP="00E21D0F">
            <w:pPr>
              <w:keepNext/>
              <w:keepLines/>
              <w:spacing w:before="60" w:after="60"/>
              <w:rPr>
                <w:b/>
              </w:rPr>
            </w:pPr>
            <w:r>
              <w:rPr>
                <w:b/>
              </w:rPr>
              <w:t>South Australia</w:t>
            </w:r>
          </w:p>
        </w:tc>
        <w:tc>
          <w:tcPr>
            <w:tcW w:w="1182" w:type="dxa"/>
            <w:tcBorders>
              <w:top w:val="nil"/>
              <w:left w:val="nil"/>
            </w:tcBorders>
            <w:shd w:val="clear" w:color="auto" w:fill="auto"/>
            <w:noWrap/>
            <w:vAlign w:val="center"/>
            <w:hideMark/>
          </w:tcPr>
          <w:p w14:paraId="43BECAE0" w14:textId="77777777" w:rsidR="00844223" w:rsidRPr="00844223" w:rsidRDefault="00844223" w:rsidP="00E21D0F">
            <w:pPr>
              <w:keepNext/>
              <w:keepLines/>
              <w:spacing w:before="60" w:after="60"/>
              <w:jc w:val="right"/>
            </w:pPr>
            <w:r w:rsidRPr="00844223">
              <w:t>241,043</w:t>
            </w:r>
          </w:p>
        </w:tc>
        <w:tc>
          <w:tcPr>
            <w:tcW w:w="1181" w:type="dxa"/>
            <w:tcBorders>
              <w:top w:val="nil"/>
            </w:tcBorders>
            <w:shd w:val="clear" w:color="auto" w:fill="auto"/>
            <w:noWrap/>
            <w:vAlign w:val="center"/>
            <w:hideMark/>
          </w:tcPr>
          <w:p w14:paraId="0979DF33" w14:textId="77777777" w:rsidR="00844223" w:rsidRPr="00844223" w:rsidRDefault="00844223" w:rsidP="00E21D0F">
            <w:pPr>
              <w:keepNext/>
              <w:keepLines/>
              <w:spacing w:before="60" w:after="60"/>
              <w:jc w:val="right"/>
            </w:pPr>
            <w:r w:rsidRPr="00844223">
              <w:t>144,653</w:t>
            </w:r>
          </w:p>
        </w:tc>
        <w:tc>
          <w:tcPr>
            <w:tcW w:w="1181" w:type="dxa"/>
            <w:tcBorders>
              <w:top w:val="nil"/>
            </w:tcBorders>
            <w:shd w:val="clear" w:color="auto" w:fill="auto"/>
            <w:noWrap/>
            <w:vAlign w:val="center"/>
            <w:hideMark/>
          </w:tcPr>
          <w:p w14:paraId="2374699E" w14:textId="77777777" w:rsidR="00844223" w:rsidRPr="00844223" w:rsidRDefault="00844223" w:rsidP="00E21D0F">
            <w:pPr>
              <w:keepNext/>
              <w:keepLines/>
              <w:spacing w:before="60" w:after="60"/>
              <w:jc w:val="right"/>
            </w:pPr>
            <w:r w:rsidRPr="00844223">
              <w:t>144,653</w:t>
            </w:r>
          </w:p>
        </w:tc>
        <w:tc>
          <w:tcPr>
            <w:tcW w:w="1299" w:type="dxa"/>
            <w:tcBorders>
              <w:top w:val="nil"/>
            </w:tcBorders>
            <w:shd w:val="clear" w:color="auto" w:fill="auto"/>
            <w:noWrap/>
            <w:vAlign w:val="center"/>
            <w:hideMark/>
          </w:tcPr>
          <w:p w14:paraId="44048DD1" w14:textId="77777777" w:rsidR="00844223" w:rsidRPr="00844223" w:rsidRDefault="00844223" w:rsidP="00E21D0F">
            <w:pPr>
              <w:keepNext/>
              <w:keepLines/>
              <w:spacing w:before="60" w:after="60"/>
              <w:jc w:val="right"/>
            </w:pPr>
            <w:r w:rsidRPr="00844223">
              <w:t>144,653</w:t>
            </w:r>
          </w:p>
        </w:tc>
        <w:tc>
          <w:tcPr>
            <w:tcW w:w="1185" w:type="dxa"/>
            <w:tcBorders>
              <w:top w:val="nil"/>
            </w:tcBorders>
            <w:shd w:val="clear" w:color="auto" w:fill="auto"/>
            <w:noWrap/>
            <w:vAlign w:val="center"/>
            <w:hideMark/>
          </w:tcPr>
          <w:p w14:paraId="7DC16656" w14:textId="77777777" w:rsidR="00844223" w:rsidRPr="00844223" w:rsidRDefault="00844223" w:rsidP="00E21D0F">
            <w:pPr>
              <w:keepNext/>
              <w:keepLines/>
              <w:spacing w:before="60" w:after="60"/>
              <w:jc w:val="right"/>
            </w:pPr>
            <w:r w:rsidRPr="00844223">
              <w:t>675,000</w:t>
            </w:r>
          </w:p>
        </w:tc>
      </w:tr>
      <w:tr w:rsidR="00844223" w:rsidRPr="00844223" w14:paraId="2737AA45"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68140E8B" w14:textId="77777777" w:rsidR="00844223" w:rsidRPr="00B30B18" w:rsidRDefault="00844223" w:rsidP="00E21D0F">
            <w:pPr>
              <w:keepNext/>
              <w:keepLines/>
              <w:spacing w:before="60" w:after="60"/>
              <w:rPr>
                <w:b/>
              </w:rPr>
            </w:pPr>
            <w:r>
              <w:rPr>
                <w:b/>
              </w:rPr>
              <w:t>Tasmania</w:t>
            </w:r>
          </w:p>
        </w:tc>
        <w:tc>
          <w:tcPr>
            <w:tcW w:w="1182" w:type="dxa"/>
            <w:tcBorders>
              <w:top w:val="nil"/>
              <w:left w:val="nil"/>
            </w:tcBorders>
            <w:shd w:val="clear" w:color="auto" w:fill="auto"/>
            <w:noWrap/>
            <w:vAlign w:val="center"/>
            <w:hideMark/>
          </w:tcPr>
          <w:p w14:paraId="647EC7A1" w14:textId="77777777" w:rsidR="00844223" w:rsidRPr="00844223" w:rsidRDefault="00844223" w:rsidP="00E21D0F">
            <w:pPr>
              <w:keepNext/>
              <w:keepLines/>
              <w:spacing w:before="60" w:after="60"/>
              <w:jc w:val="right"/>
            </w:pPr>
            <w:r w:rsidRPr="00844223">
              <w:t>119,629</w:t>
            </w:r>
          </w:p>
        </w:tc>
        <w:tc>
          <w:tcPr>
            <w:tcW w:w="1181" w:type="dxa"/>
            <w:tcBorders>
              <w:top w:val="nil"/>
            </w:tcBorders>
            <w:shd w:val="clear" w:color="auto" w:fill="auto"/>
            <w:noWrap/>
            <w:vAlign w:val="center"/>
            <w:hideMark/>
          </w:tcPr>
          <w:p w14:paraId="6EBD6339" w14:textId="77777777" w:rsidR="00844223" w:rsidRPr="00844223" w:rsidRDefault="00844223" w:rsidP="00E21D0F">
            <w:pPr>
              <w:keepNext/>
              <w:keepLines/>
              <w:spacing w:before="60" w:after="60"/>
              <w:jc w:val="right"/>
            </w:pPr>
            <w:r w:rsidRPr="00844223">
              <w:t>71,791</w:t>
            </w:r>
          </w:p>
        </w:tc>
        <w:tc>
          <w:tcPr>
            <w:tcW w:w="1181" w:type="dxa"/>
            <w:tcBorders>
              <w:top w:val="nil"/>
            </w:tcBorders>
            <w:shd w:val="clear" w:color="auto" w:fill="auto"/>
            <w:noWrap/>
            <w:vAlign w:val="center"/>
            <w:hideMark/>
          </w:tcPr>
          <w:p w14:paraId="72946595" w14:textId="77777777" w:rsidR="00844223" w:rsidRPr="00844223" w:rsidRDefault="00844223" w:rsidP="00E21D0F">
            <w:pPr>
              <w:keepNext/>
              <w:keepLines/>
              <w:spacing w:before="60" w:after="60"/>
              <w:jc w:val="right"/>
            </w:pPr>
            <w:r w:rsidRPr="00844223">
              <w:t>71,791</w:t>
            </w:r>
          </w:p>
        </w:tc>
        <w:tc>
          <w:tcPr>
            <w:tcW w:w="1299" w:type="dxa"/>
            <w:tcBorders>
              <w:top w:val="nil"/>
            </w:tcBorders>
            <w:shd w:val="clear" w:color="auto" w:fill="auto"/>
            <w:noWrap/>
            <w:vAlign w:val="center"/>
            <w:hideMark/>
          </w:tcPr>
          <w:p w14:paraId="420A0A47" w14:textId="77777777" w:rsidR="00844223" w:rsidRPr="00844223" w:rsidRDefault="00844223" w:rsidP="00E21D0F">
            <w:pPr>
              <w:keepNext/>
              <w:keepLines/>
              <w:spacing w:before="60" w:after="60"/>
              <w:jc w:val="right"/>
            </w:pPr>
            <w:r w:rsidRPr="00844223">
              <w:t>71,791</w:t>
            </w:r>
          </w:p>
        </w:tc>
        <w:tc>
          <w:tcPr>
            <w:tcW w:w="1185" w:type="dxa"/>
            <w:tcBorders>
              <w:top w:val="nil"/>
            </w:tcBorders>
            <w:shd w:val="clear" w:color="auto" w:fill="auto"/>
            <w:noWrap/>
            <w:vAlign w:val="center"/>
            <w:hideMark/>
          </w:tcPr>
          <w:p w14:paraId="16391718" w14:textId="77777777" w:rsidR="00844223" w:rsidRPr="00844223" w:rsidRDefault="00844223" w:rsidP="00E21D0F">
            <w:pPr>
              <w:keepNext/>
              <w:keepLines/>
              <w:spacing w:before="60" w:after="60"/>
              <w:jc w:val="right"/>
            </w:pPr>
            <w:r w:rsidRPr="00844223">
              <w:t>335,000</w:t>
            </w:r>
          </w:p>
        </w:tc>
      </w:tr>
      <w:tr w:rsidR="00844223" w:rsidRPr="00844223" w14:paraId="6313DF51" w14:textId="77777777" w:rsidTr="00FE1B2C">
        <w:tblPrEx>
          <w:tblLook w:val="04A0" w:firstRow="1" w:lastRow="0" w:firstColumn="1" w:lastColumn="0" w:noHBand="0" w:noVBand="1"/>
        </w:tblPrEx>
        <w:trPr>
          <w:trHeight w:val="477"/>
        </w:trPr>
        <w:tc>
          <w:tcPr>
            <w:tcW w:w="3861" w:type="dxa"/>
            <w:tcBorders>
              <w:top w:val="nil"/>
            </w:tcBorders>
            <w:shd w:val="clear" w:color="000000" w:fill="FFFFFF"/>
            <w:vAlign w:val="center"/>
            <w:hideMark/>
          </w:tcPr>
          <w:p w14:paraId="188BB2A7" w14:textId="779220ED" w:rsidR="00844223" w:rsidRPr="00B30B18" w:rsidRDefault="00844223" w:rsidP="00FE1B2C">
            <w:pPr>
              <w:keepNext/>
              <w:keepLines/>
              <w:spacing w:before="60" w:after="60"/>
              <w:rPr>
                <w:b/>
              </w:rPr>
            </w:pPr>
            <w:r>
              <w:rPr>
                <w:b/>
              </w:rPr>
              <w:t>Australian Capital Territory</w:t>
            </w:r>
          </w:p>
        </w:tc>
        <w:tc>
          <w:tcPr>
            <w:tcW w:w="1182" w:type="dxa"/>
            <w:tcBorders>
              <w:top w:val="nil"/>
              <w:left w:val="nil"/>
            </w:tcBorders>
            <w:shd w:val="clear" w:color="000000" w:fill="FFFFFF"/>
            <w:noWrap/>
            <w:vAlign w:val="center"/>
            <w:hideMark/>
          </w:tcPr>
          <w:p w14:paraId="480B6AA6" w14:textId="2A50C494" w:rsidR="00844223" w:rsidRPr="00844223" w:rsidRDefault="00844223" w:rsidP="00FE1B2C">
            <w:pPr>
              <w:keepNext/>
              <w:keepLines/>
              <w:spacing w:before="60" w:after="60"/>
              <w:jc w:val="right"/>
            </w:pPr>
            <w:r w:rsidRPr="00844223">
              <w:t>255,327</w:t>
            </w:r>
          </w:p>
        </w:tc>
        <w:tc>
          <w:tcPr>
            <w:tcW w:w="1181" w:type="dxa"/>
            <w:tcBorders>
              <w:top w:val="nil"/>
            </w:tcBorders>
            <w:shd w:val="clear" w:color="000000" w:fill="FFFFFF"/>
            <w:noWrap/>
            <w:vAlign w:val="center"/>
            <w:hideMark/>
          </w:tcPr>
          <w:p w14:paraId="2367C277" w14:textId="674A594D" w:rsidR="00844223" w:rsidRPr="00844223" w:rsidRDefault="00844223" w:rsidP="00FE1B2C">
            <w:pPr>
              <w:keepNext/>
              <w:keepLines/>
              <w:spacing w:before="60" w:after="60"/>
              <w:jc w:val="right"/>
            </w:pPr>
            <w:r w:rsidRPr="00844223">
              <w:t>153,225</w:t>
            </w:r>
          </w:p>
        </w:tc>
        <w:tc>
          <w:tcPr>
            <w:tcW w:w="1181" w:type="dxa"/>
            <w:tcBorders>
              <w:top w:val="nil"/>
            </w:tcBorders>
            <w:shd w:val="clear" w:color="000000" w:fill="FFFFFF"/>
            <w:noWrap/>
            <w:vAlign w:val="center"/>
            <w:hideMark/>
          </w:tcPr>
          <w:p w14:paraId="225FE895" w14:textId="602E323E" w:rsidR="00844223" w:rsidRPr="00844223" w:rsidRDefault="00844223" w:rsidP="00FE1B2C">
            <w:pPr>
              <w:keepNext/>
              <w:keepLines/>
              <w:spacing w:before="60" w:after="60"/>
              <w:jc w:val="right"/>
            </w:pPr>
            <w:r w:rsidRPr="00844223">
              <w:t>153,225</w:t>
            </w:r>
          </w:p>
        </w:tc>
        <w:tc>
          <w:tcPr>
            <w:tcW w:w="1299" w:type="dxa"/>
            <w:tcBorders>
              <w:top w:val="nil"/>
            </w:tcBorders>
            <w:shd w:val="clear" w:color="000000" w:fill="FFFFFF"/>
            <w:noWrap/>
            <w:vAlign w:val="center"/>
            <w:hideMark/>
          </w:tcPr>
          <w:p w14:paraId="11149599" w14:textId="1088839F" w:rsidR="00844223" w:rsidRPr="00844223" w:rsidRDefault="00844223" w:rsidP="00FE1B2C">
            <w:pPr>
              <w:keepNext/>
              <w:keepLines/>
              <w:spacing w:before="60" w:after="60"/>
              <w:jc w:val="right"/>
            </w:pPr>
            <w:r w:rsidRPr="00844223">
              <w:t>153,225</w:t>
            </w:r>
          </w:p>
        </w:tc>
        <w:tc>
          <w:tcPr>
            <w:tcW w:w="1185" w:type="dxa"/>
            <w:tcBorders>
              <w:top w:val="nil"/>
            </w:tcBorders>
            <w:shd w:val="clear" w:color="000000" w:fill="FFFFFF"/>
            <w:noWrap/>
            <w:vAlign w:val="center"/>
            <w:hideMark/>
          </w:tcPr>
          <w:p w14:paraId="0A972284" w14:textId="0DDAC996" w:rsidR="00844223" w:rsidRPr="00844223" w:rsidRDefault="00844223" w:rsidP="00FE1B2C">
            <w:pPr>
              <w:keepNext/>
              <w:keepLines/>
              <w:spacing w:before="60" w:after="60"/>
              <w:jc w:val="right"/>
            </w:pPr>
            <w:r w:rsidRPr="00844223">
              <w:t>715,000</w:t>
            </w:r>
          </w:p>
        </w:tc>
      </w:tr>
      <w:tr w:rsidR="00FE1B2C" w:rsidRPr="00844223" w14:paraId="07E60E0C" w14:textId="77777777" w:rsidTr="00FE1B2C">
        <w:tblPrEx>
          <w:tblLook w:val="04A0" w:firstRow="1" w:lastRow="0" w:firstColumn="1" w:lastColumn="0" w:noHBand="0" w:noVBand="1"/>
        </w:tblPrEx>
        <w:trPr>
          <w:trHeight w:val="315"/>
        </w:trPr>
        <w:tc>
          <w:tcPr>
            <w:tcW w:w="3861" w:type="dxa"/>
            <w:tcBorders>
              <w:top w:val="nil"/>
            </w:tcBorders>
            <w:shd w:val="clear" w:color="000000" w:fill="FFFFFF"/>
            <w:vAlign w:val="center"/>
          </w:tcPr>
          <w:p w14:paraId="0713E036" w14:textId="42A33008" w:rsidR="00FE1B2C" w:rsidRDefault="00FE1B2C" w:rsidP="00E21D0F">
            <w:pPr>
              <w:keepNext/>
              <w:keepLines/>
              <w:spacing w:before="60" w:after="60"/>
              <w:rPr>
                <w:b/>
              </w:rPr>
            </w:pPr>
            <w:r w:rsidRPr="00B30B18">
              <w:rPr>
                <w:b/>
              </w:rPr>
              <w:t>Northern Territory</w:t>
            </w:r>
          </w:p>
        </w:tc>
        <w:tc>
          <w:tcPr>
            <w:tcW w:w="1182" w:type="dxa"/>
            <w:tcBorders>
              <w:top w:val="nil"/>
              <w:left w:val="nil"/>
            </w:tcBorders>
            <w:shd w:val="clear" w:color="000000" w:fill="FFFFFF"/>
            <w:noWrap/>
            <w:vAlign w:val="center"/>
          </w:tcPr>
          <w:p w14:paraId="208D3A75" w14:textId="232C0B16" w:rsidR="00FE1B2C" w:rsidRPr="00844223" w:rsidRDefault="00FE1B2C" w:rsidP="00E21D0F">
            <w:pPr>
              <w:keepNext/>
              <w:keepLines/>
              <w:spacing w:before="60" w:after="60"/>
              <w:jc w:val="right"/>
            </w:pPr>
            <w:r w:rsidRPr="00844223">
              <w:t>241,043</w:t>
            </w:r>
          </w:p>
        </w:tc>
        <w:tc>
          <w:tcPr>
            <w:tcW w:w="1181" w:type="dxa"/>
            <w:tcBorders>
              <w:top w:val="nil"/>
            </w:tcBorders>
            <w:shd w:val="clear" w:color="000000" w:fill="FFFFFF"/>
            <w:noWrap/>
            <w:vAlign w:val="center"/>
          </w:tcPr>
          <w:p w14:paraId="65084EE0" w14:textId="26CF6F84" w:rsidR="00FE1B2C" w:rsidRPr="00844223" w:rsidRDefault="00FE1B2C" w:rsidP="00E21D0F">
            <w:pPr>
              <w:keepNext/>
              <w:keepLines/>
              <w:spacing w:before="60" w:after="60"/>
              <w:jc w:val="right"/>
            </w:pPr>
            <w:r w:rsidRPr="00844223">
              <w:t>144,553</w:t>
            </w:r>
          </w:p>
        </w:tc>
        <w:tc>
          <w:tcPr>
            <w:tcW w:w="1181" w:type="dxa"/>
            <w:tcBorders>
              <w:top w:val="nil"/>
            </w:tcBorders>
            <w:shd w:val="clear" w:color="000000" w:fill="FFFFFF"/>
            <w:noWrap/>
            <w:vAlign w:val="center"/>
          </w:tcPr>
          <w:p w14:paraId="0AC6E64F" w14:textId="3C04E9B2" w:rsidR="00FE1B2C" w:rsidRPr="00844223" w:rsidRDefault="00FE1B2C" w:rsidP="00E21D0F">
            <w:pPr>
              <w:keepNext/>
              <w:keepLines/>
              <w:spacing w:before="60" w:after="60"/>
              <w:jc w:val="right"/>
            </w:pPr>
            <w:r w:rsidRPr="00844223">
              <w:t>144,553</w:t>
            </w:r>
          </w:p>
        </w:tc>
        <w:tc>
          <w:tcPr>
            <w:tcW w:w="1299" w:type="dxa"/>
            <w:tcBorders>
              <w:top w:val="nil"/>
            </w:tcBorders>
            <w:shd w:val="clear" w:color="000000" w:fill="FFFFFF"/>
            <w:noWrap/>
            <w:vAlign w:val="center"/>
          </w:tcPr>
          <w:p w14:paraId="0B7E0CA4" w14:textId="6C768E96" w:rsidR="00FE1B2C" w:rsidRPr="00844223" w:rsidRDefault="00FE1B2C" w:rsidP="00E21D0F">
            <w:pPr>
              <w:keepNext/>
              <w:keepLines/>
              <w:spacing w:before="60" w:after="60"/>
              <w:jc w:val="right"/>
            </w:pPr>
            <w:r w:rsidRPr="00844223">
              <w:t>144,553</w:t>
            </w:r>
          </w:p>
        </w:tc>
        <w:tc>
          <w:tcPr>
            <w:tcW w:w="1185" w:type="dxa"/>
            <w:tcBorders>
              <w:top w:val="nil"/>
            </w:tcBorders>
            <w:shd w:val="clear" w:color="000000" w:fill="FFFFFF"/>
            <w:noWrap/>
            <w:vAlign w:val="center"/>
          </w:tcPr>
          <w:p w14:paraId="7DB79BEF" w14:textId="5A3DEF00" w:rsidR="00FE1B2C" w:rsidRPr="00844223" w:rsidRDefault="00FE1B2C" w:rsidP="00E21D0F">
            <w:pPr>
              <w:keepNext/>
              <w:keepLines/>
              <w:spacing w:before="60" w:after="60"/>
              <w:jc w:val="right"/>
            </w:pPr>
            <w:r w:rsidRPr="00844223">
              <w:t>674,700</w:t>
            </w:r>
          </w:p>
        </w:tc>
      </w:tr>
      <w:tr w:rsidR="00FE1B2C" w:rsidRPr="005B4C1B" w14:paraId="2282CB5B" w14:textId="77777777" w:rsidTr="00FE1B2C">
        <w:tblPrEx>
          <w:tblLook w:val="04A0" w:firstRow="1" w:lastRow="0" w:firstColumn="1" w:lastColumn="0" w:noHBand="0" w:noVBand="1"/>
        </w:tblPrEx>
        <w:trPr>
          <w:trHeight w:val="315"/>
        </w:trPr>
        <w:tc>
          <w:tcPr>
            <w:tcW w:w="3861" w:type="dxa"/>
            <w:tcBorders>
              <w:top w:val="nil"/>
            </w:tcBorders>
            <w:shd w:val="clear" w:color="auto" w:fill="auto"/>
            <w:vAlign w:val="center"/>
            <w:hideMark/>
          </w:tcPr>
          <w:p w14:paraId="0C6B1D91" w14:textId="77777777" w:rsidR="00FE1B2C" w:rsidRPr="00B30B18" w:rsidRDefault="00FE1B2C" w:rsidP="00E21D0F">
            <w:pPr>
              <w:keepNext/>
              <w:keepLines/>
              <w:spacing w:before="60" w:after="60"/>
              <w:jc w:val="left"/>
            </w:pPr>
            <w:r w:rsidRPr="00B30B18">
              <w:t>Less estimated National Partnership Payments</w:t>
            </w:r>
          </w:p>
        </w:tc>
        <w:tc>
          <w:tcPr>
            <w:tcW w:w="1182" w:type="dxa"/>
            <w:tcBorders>
              <w:top w:val="nil"/>
              <w:left w:val="nil"/>
              <w:bottom w:val="single" w:sz="4" w:space="0" w:color="auto"/>
            </w:tcBorders>
            <w:shd w:val="clear" w:color="auto" w:fill="auto"/>
            <w:noWrap/>
            <w:vAlign w:val="center"/>
            <w:hideMark/>
          </w:tcPr>
          <w:p w14:paraId="0459EFD0" w14:textId="77777777" w:rsidR="00FE1B2C" w:rsidRPr="00B30B18" w:rsidRDefault="00FE1B2C" w:rsidP="00E21D0F">
            <w:pPr>
              <w:keepNext/>
              <w:keepLines/>
              <w:spacing w:before="60" w:after="60"/>
              <w:jc w:val="right"/>
            </w:pPr>
            <w:r>
              <w:t>2,500,000</w:t>
            </w:r>
          </w:p>
        </w:tc>
        <w:tc>
          <w:tcPr>
            <w:tcW w:w="1181" w:type="dxa"/>
            <w:tcBorders>
              <w:top w:val="nil"/>
              <w:bottom w:val="single" w:sz="4" w:space="0" w:color="auto"/>
            </w:tcBorders>
            <w:shd w:val="clear" w:color="auto" w:fill="auto"/>
            <w:noWrap/>
            <w:vAlign w:val="center"/>
            <w:hideMark/>
          </w:tcPr>
          <w:p w14:paraId="0951B184" w14:textId="77777777" w:rsidR="00FE1B2C" w:rsidRPr="00B30B18" w:rsidRDefault="00FE1B2C" w:rsidP="00E21D0F">
            <w:pPr>
              <w:keepNext/>
              <w:keepLines/>
              <w:spacing w:before="60" w:after="60"/>
              <w:jc w:val="right"/>
            </w:pPr>
            <w:r>
              <w:t>1,500,000</w:t>
            </w:r>
          </w:p>
        </w:tc>
        <w:tc>
          <w:tcPr>
            <w:tcW w:w="1181" w:type="dxa"/>
            <w:tcBorders>
              <w:top w:val="nil"/>
              <w:bottom w:val="single" w:sz="4" w:space="0" w:color="auto"/>
            </w:tcBorders>
            <w:shd w:val="clear" w:color="auto" w:fill="auto"/>
            <w:noWrap/>
            <w:vAlign w:val="center"/>
            <w:hideMark/>
          </w:tcPr>
          <w:p w14:paraId="1E13DC36" w14:textId="77777777" w:rsidR="00FE1B2C" w:rsidRPr="00B30B18" w:rsidRDefault="00FE1B2C" w:rsidP="00E21D0F">
            <w:pPr>
              <w:keepNext/>
              <w:keepLines/>
              <w:spacing w:before="60" w:after="60"/>
              <w:jc w:val="right"/>
            </w:pPr>
            <w:r>
              <w:t>1,500,000</w:t>
            </w:r>
          </w:p>
        </w:tc>
        <w:tc>
          <w:tcPr>
            <w:tcW w:w="1299" w:type="dxa"/>
            <w:tcBorders>
              <w:top w:val="nil"/>
              <w:bottom w:val="single" w:sz="4" w:space="0" w:color="auto"/>
            </w:tcBorders>
            <w:shd w:val="clear" w:color="auto" w:fill="auto"/>
            <w:noWrap/>
            <w:vAlign w:val="center"/>
            <w:hideMark/>
          </w:tcPr>
          <w:p w14:paraId="7AF3D37D" w14:textId="77777777" w:rsidR="00FE1B2C" w:rsidRPr="00B30B18" w:rsidRDefault="00FE1B2C" w:rsidP="00E21D0F">
            <w:pPr>
              <w:keepNext/>
              <w:keepLines/>
              <w:spacing w:before="60" w:after="60"/>
              <w:jc w:val="right"/>
            </w:pPr>
            <w:r>
              <w:t>1,5000,000</w:t>
            </w:r>
          </w:p>
        </w:tc>
        <w:tc>
          <w:tcPr>
            <w:tcW w:w="1185" w:type="dxa"/>
            <w:tcBorders>
              <w:top w:val="nil"/>
              <w:bottom w:val="single" w:sz="4" w:space="0" w:color="auto"/>
            </w:tcBorders>
            <w:shd w:val="clear" w:color="auto" w:fill="auto"/>
            <w:noWrap/>
            <w:vAlign w:val="center"/>
            <w:hideMark/>
          </w:tcPr>
          <w:p w14:paraId="77055460" w14:textId="77777777" w:rsidR="00FE1B2C" w:rsidRPr="00B30B18" w:rsidRDefault="00FE1B2C" w:rsidP="00E21D0F">
            <w:pPr>
              <w:keepNext/>
              <w:keepLines/>
              <w:spacing w:before="60" w:after="60"/>
              <w:jc w:val="right"/>
            </w:pPr>
            <w:r>
              <w:t>7,000,000</w:t>
            </w:r>
          </w:p>
        </w:tc>
      </w:tr>
      <w:tr w:rsidR="00FE1B2C" w14:paraId="53B570EE" w14:textId="77777777" w:rsidTr="00FE1B2C">
        <w:tblPrEx>
          <w:tblLook w:val="04A0" w:firstRow="1" w:lastRow="0" w:firstColumn="1" w:lastColumn="0" w:noHBand="0" w:noVBand="1"/>
        </w:tblPrEx>
        <w:trPr>
          <w:trHeight w:val="315"/>
        </w:trPr>
        <w:tc>
          <w:tcPr>
            <w:tcW w:w="3861" w:type="dxa"/>
            <w:tcBorders>
              <w:top w:val="nil"/>
              <w:bottom w:val="single" w:sz="4" w:space="0" w:color="auto"/>
            </w:tcBorders>
            <w:shd w:val="clear" w:color="auto" w:fill="auto"/>
            <w:vAlign w:val="center"/>
            <w:hideMark/>
          </w:tcPr>
          <w:p w14:paraId="0EC02BDE" w14:textId="6C56C5D0" w:rsidR="00FE1B2C" w:rsidRPr="00B30B18" w:rsidRDefault="00FE1B2C" w:rsidP="00E21D0F">
            <w:pPr>
              <w:keepNext/>
              <w:keepLines/>
              <w:spacing w:before="60" w:after="60"/>
              <w:jc w:val="left"/>
            </w:pPr>
            <w:r w:rsidRPr="00B30B18">
              <w:t>Balance of non-Commonwealth contributions</w:t>
            </w:r>
            <w:r w:rsidR="00600FF6" w:rsidRPr="00600FF6">
              <w:rPr>
                <w:vertAlign w:val="superscript"/>
              </w:rPr>
              <w:t>(a)</w:t>
            </w:r>
          </w:p>
        </w:tc>
        <w:tc>
          <w:tcPr>
            <w:tcW w:w="1182" w:type="dxa"/>
            <w:tcBorders>
              <w:top w:val="single" w:sz="4" w:space="0" w:color="auto"/>
              <w:left w:val="nil"/>
              <w:bottom w:val="single" w:sz="4" w:space="0" w:color="auto"/>
            </w:tcBorders>
            <w:shd w:val="clear" w:color="auto" w:fill="auto"/>
            <w:noWrap/>
            <w:vAlign w:val="center"/>
            <w:hideMark/>
          </w:tcPr>
          <w:p w14:paraId="7D5F93E6" w14:textId="77777777" w:rsidR="00FE1B2C" w:rsidRPr="00B30B18" w:rsidRDefault="00FE1B2C" w:rsidP="00E21D0F">
            <w:pPr>
              <w:keepNext/>
              <w:keepLines/>
              <w:spacing w:before="60" w:after="60"/>
              <w:jc w:val="right"/>
            </w:pPr>
            <w:r w:rsidRPr="00B30B18">
              <w:t>0.0</w:t>
            </w:r>
          </w:p>
        </w:tc>
        <w:tc>
          <w:tcPr>
            <w:tcW w:w="1181" w:type="dxa"/>
            <w:tcBorders>
              <w:top w:val="single" w:sz="4" w:space="0" w:color="auto"/>
              <w:bottom w:val="single" w:sz="4" w:space="0" w:color="auto"/>
            </w:tcBorders>
            <w:shd w:val="clear" w:color="auto" w:fill="auto"/>
            <w:noWrap/>
            <w:vAlign w:val="center"/>
            <w:hideMark/>
          </w:tcPr>
          <w:p w14:paraId="56B9DDDB" w14:textId="77777777" w:rsidR="00FE1B2C" w:rsidRPr="00B30B18" w:rsidRDefault="00FE1B2C" w:rsidP="00E21D0F">
            <w:pPr>
              <w:keepNext/>
              <w:keepLines/>
              <w:spacing w:before="60" w:after="60"/>
              <w:jc w:val="right"/>
            </w:pPr>
            <w:r w:rsidRPr="00B30B18">
              <w:t>0.0</w:t>
            </w:r>
          </w:p>
        </w:tc>
        <w:tc>
          <w:tcPr>
            <w:tcW w:w="1181" w:type="dxa"/>
            <w:tcBorders>
              <w:top w:val="single" w:sz="4" w:space="0" w:color="auto"/>
              <w:bottom w:val="single" w:sz="4" w:space="0" w:color="auto"/>
            </w:tcBorders>
            <w:shd w:val="clear" w:color="auto" w:fill="auto"/>
            <w:noWrap/>
            <w:vAlign w:val="center"/>
            <w:hideMark/>
          </w:tcPr>
          <w:p w14:paraId="33810BC7" w14:textId="77777777" w:rsidR="00FE1B2C" w:rsidRPr="00B30B18" w:rsidRDefault="00FE1B2C" w:rsidP="00E21D0F">
            <w:pPr>
              <w:keepNext/>
              <w:keepLines/>
              <w:spacing w:before="60" w:after="60"/>
              <w:jc w:val="right"/>
            </w:pPr>
            <w:r w:rsidRPr="00B30B18">
              <w:t>0.0</w:t>
            </w:r>
          </w:p>
        </w:tc>
        <w:tc>
          <w:tcPr>
            <w:tcW w:w="1299" w:type="dxa"/>
            <w:tcBorders>
              <w:top w:val="single" w:sz="4" w:space="0" w:color="auto"/>
              <w:bottom w:val="single" w:sz="4" w:space="0" w:color="auto"/>
            </w:tcBorders>
            <w:shd w:val="clear" w:color="auto" w:fill="auto"/>
            <w:noWrap/>
            <w:vAlign w:val="center"/>
            <w:hideMark/>
          </w:tcPr>
          <w:p w14:paraId="78AD9660" w14:textId="77777777" w:rsidR="00FE1B2C" w:rsidRPr="00B30B18" w:rsidRDefault="00FE1B2C" w:rsidP="00E21D0F">
            <w:pPr>
              <w:keepNext/>
              <w:keepLines/>
              <w:spacing w:before="60" w:after="60"/>
              <w:jc w:val="right"/>
            </w:pPr>
            <w:r w:rsidRPr="00B30B18">
              <w:t>0.0</w:t>
            </w:r>
          </w:p>
        </w:tc>
        <w:tc>
          <w:tcPr>
            <w:tcW w:w="1185" w:type="dxa"/>
            <w:tcBorders>
              <w:top w:val="single" w:sz="4" w:space="0" w:color="auto"/>
              <w:bottom w:val="single" w:sz="4" w:space="0" w:color="auto"/>
            </w:tcBorders>
            <w:shd w:val="clear" w:color="auto" w:fill="auto"/>
            <w:noWrap/>
            <w:vAlign w:val="center"/>
            <w:hideMark/>
          </w:tcPr>
          <w:p w14:paraId="366ECCD9" w14:textId="77777777" w:rsidR="00FE1B2C" w:rsidRPr="00B30B18" w:rsidRDefault="00FE1B2C" w:rsidP="00E21D0F">
            <w:pPr>
              <w:keepNext/>
              <w:keepLines/>
              <w:spacing w:before="60" w:after="60"/>
              <w:jc w:val="right"/>
            </w:pPr>
            <w:r w:rsidRPr="00B30B18">
              <w:t>0.0</w:t>
            </w:r>
          </w:p>
        </w:tc>
      </w:tr>
    </w:tbl>
    <w:p w14:paraId="53878FD9" w14:textId="2EA7D971" w:rsidR="006A598C" w:rsidRPr="003F4A38" w:rsidRDefault="00844223" w:rsidP="003F4A38">
      <w:pPr>
        <w:pStyle w:val="Normalnumbered"/>
        <w:tabs>
          <w:tab w:val="clear" w:pos="283"/>
          <w:tab w:val="clear" w:pos="567"/>
          <w:tab w:val="num" w:pos="284"/>
        </w:tabs>
        <w:spacing w:after="0" w:line="240" w:lineRule="auto"/>
        <w:ind w:left="284" w:hanging="284"/>
        <w:rPr>
          <w:sz w:val="20"/>
        </w:rPr>
      </w:pPr>
      <w:r w:rsidRPr="00755FD6">
        <w:rPr>
          <w:vertAlign w:val="superscript"/>
        </w:rPr>
        <w:t xml:space="preserve"> </w:t>
      </w:r>
      <w:r w:rsidR="00755FD6" w:rsidRPr="00755FD6">
        <w:rPr>
          <w:vertAlign w:val="superscript"/>
        </w:rPr>
        <w:t>(a)</w:t>
      </w:r>
      <w:r w:rsidR="00755FD6">
        <w:t xml:space="preserve"> </w:t>
      </w:r>
      <w:r w:rsidR="00755FD6" w:rsidRPr="00755FD6">
        <w:rPr>
          <w:sz w:val="20"/>
        </w:rPr>
        <w:t xml:space="preserve">States </w:t>
      </w:r>
      <w:r w:rsidR="00600FF6">
        <w:rPr>
          <w:sz w:val="20"/>
        </w:rPr>
        <w:t>are not required to</w:t>
      </w:r>
      <w:r w:rsidR="00755FD6" w:rsidRPr="00755FD6">
        <w:rPr>
          <w:sz w:val="20"/>
        </w:rPr>
        <w:t xml:space="preserve"> provide </w:t>
      </w:r>
      <w:r w:rsidR="003F4A38">
        <w:rPr>
          <w:sz w:val="20"/>
        </w:rPr>
        <w:t xml:space="preserve">financial and </w:t>
      </w:r>
      <w:r w:rsidR="00755FD6" w:rsidRPr="00755FD6">
        <w:rPr>
          <w:sz w:val="20"/>
        </w:rPr>
        <w:t>in-kind contributions</w:t>
      </w:r>
      <w:r w:rsidR="00600FF6">
        <w:rPr>
          <w:sz w:val="20"/>
        </w:rPr>
        <w:t xml:space="preserve"> under the terms</w:t>
      </w:r>
      <w:r w:rsidR="00755FD6" w:rsidRPr="00755FD6">
        <w:rPr>
          <w:sz w:val="20"/>
        </w:rPr>
        <w:t xml:space="preserve"> of this Agreement.</w:t>
      </w:r>
      <w:r w:rsidR="003F4A38">
        <w:rPr>
          <w:sz w:val="20"/>
        </w:rPr>
        <w:t xml:space="preserve"> </w:t>
      </w:r>
      <w:r w:rsidR="00600FF6">
        <w:rPr>
          <w:sz w:val="20"/>
        </w:rPr>
        <w:t>However, a</w:t>
      </w:r>
      <w:r w:rsidR="003F4A38" w:rsidRPr="003F4A38">
        <w:rPr>
          <w:sz w:val="20"/>
        </w:rPr>
        <w:t>s States are</w:t>
      </w:r>
      <w:r w:rsidR="003F4A38">
        <w:rPr>
          <w:sz w:val="20"/>
        </w:rPr>
        <w:t xml:space="preserve"> </w:t>
      </w:r>
      <w:r w:rsidR="003F4A38" w:rsidRPr="003F4A38">
        <w:rPr>
          <w:sz w:val="20"/>
        </w:rPr>
        <w:t xml:space="preserve">responsible for the provision of </w:t>
      </w:r>
      <w:r w:rsidR="00600FF6">
        <w:rPr>
          <w:sz w:val="20"/>
        </w:rPr>
        <w:t xml:space="preserve">public </w:t>
      </w:r>
      <w:r w:rsidR="003F4A38">
        <w:rPr>
          <w:sz w:val="20"/>
        </w:rPr>
        <w:t>hospital</w:t>
      </w:r>
      <w:r w:rsidR="003F4A38" w:rsidRPr="003F4A38">
        <w:rPr>
          <w:sz w:val="20"/>
        </w:rPr>
        <w:t xml:space="preserve"> services, they allocate their own source funding and provide in-kind contributions</w:t>
      </w:r>
      <w:r w:rsidR="003F4A38">
        <w:rPr>
          <w:sz w:val="20"/>
        </w:rPr>
        <w:t xml:space="preserve"> </w:t>
      </w:r>
      <w:r w:rsidR="003F4A38" w:rsidRPr="003F4A38">
        <w:rPr>
          <w:sz w:val="20"/>
        </w:rPr>
        <w:t xml:space="preserve">accordingly, including in support of </w:t>
      </w:r>
      <w:r w:rsidR="003F4A38">
        <w:rPr>
          <w:sz w:val="20"/>
        </w:rPr>
        <w:t>activities</w:t>
      </w:r>
      <w:r w:rsidR="003F4A38" w:rsidRPr="003F4A38">
        <w:rPr>
          <w:sz w:val="20"/>
        </w:rPr>
        <w:t xml:space="preserve"> funded under this Agreement.</w:t>
      </w:r>
    </w:p>
    <w:p w14:paraId="3EB5EF05" w14:textId="77777777" w:rsidR="00755FD6" w:rsidRDefault="00755FD6" w:rsidP="006A598C">
      <w:pPr>
        <w:pStyle w:val="Normalnumbered"/>
        <w:tabs>
          <w:tab w:val="clear" w:pos="283"/>
          <w:tab w:val="clear" w:pos="567"/>
          <w:tab w:val="clear" w:pos="1134"/>
          <w:tab w:val="clear" w:pos="1418"/>
        </w:tabs>
        <w:spacing w:after="0"/>
        <w:ind w:left="0" w:firstLine="0"/>
      </w:pPr>
    </w:p>
    <w:p w14:paraId="12A65E7D" w14:textId="77777777" w:rsidR="00094AC7" w:rsidRDefault="00094AC7" w:rsidP="00920EB6">
      <w:pPr>
        <w:pStyle w:val="Normalnumbered"/>
        <w:numPr>
          <w:ilvl w:val="0"/>
          <w:numId w:val="10"/>
        </w:numPr>
        <w:tabs>
          <w:tab w:val="clear" w:pos="1134"/>
          <w:tab w:val="clear" w:pos="1418"/>
        </w:tabs>
        <w:jc w:val="left"/>
      </w:pPr>
      <w:r w:rsidRPr="00C738BD">
        <w:t xml:space="preserve">Having regard to the agreed estimated costs of projects specified in </w:t>
      </w:r>
      <w:r>
        <w:t>this Agreement</w:t>
      </w:r>
      <w:r w:rsidRPr="00C738BD">
        <w:t>, a State or Territory will not be required to pay a refund to the Commonwealth if the actual cost of the project is less than the agreed</w:t>
      </w:r>
      <w:r>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13838F0B" w14:textId="77777777" w:rsidR="00094AC7" w:rsidRDefault="00094AC7" w:rsidP="00094AC7">
      <w:pPr>
        <w:pStyle w:val="Heading1"/>
      </w:pPr>
      <w:r>
        <w:t>Part 6 — governance arrangements</w:t>
      </w:r>
    </w:p>
    <w:p w14:paraId="3913643A" w14:textId="77777777" w:rsidR="00094AC7" w:rsidRDefault="00094AC7" w:rsidP="00094AC7">
      <w:pPr>
        <w:pStyle w:val="Heading2"/>
      </w:pPr>
      <w:r w:rsidRPr="006F096A">
        <w:t>Enforceability of the Agreement</w:t>
      </w:r>
    </w:p>
    <w:p w14:paraId="37F8C6A2" w14:textId="77777777" w:rsidR="00094AC7" w:rsidRPr="00C40EBC" w:rsidRDefault="00094AC7" w:rsidP="00920EB6">
      <w:pPr>
        <w:pStyle w:val="Normalnumbered"/>
        <w:numPr>
          <w:ilvl w:val="0"/>
          <w:numId w:val="10"/>
        </w:numPr>
        <w:tabs>
          <w:tab w:val="clear" w:pos="1134"/>
          <w:tab w:val="clear" w:pos="1418"/>
        </w:tabs>
        <w:jc w:val="left"/>
      </w:pPr>
      <w:r w:rsidRPr="00920EB6">
        <w:t>The Parties do not intend any of the provisions of this Agreement to be legally enforceable. However, that does not lessen the Parties’ commitment to this Agreement.</w:t>
      </w:r>
    </w:p>
    <w:p w14:paraId="5DE90C37" w14:textId="77777777" w:rsidR="00094AC7" w:rsidRDefault="00094AC7" w:rsidP="00094AC7">
      <w:pPr>
        <w:pStyle w:val="Heading2"/>
      </w:pPr>
      <w:r>
        <w:t>Variation of the Agreement</w:t>
      </w:r>
    </w:p>
    <w:p w14:paraId="5086923D" w14:textId="77777777" w:rsidR="00094AC7" w:rsidRPr="00DE36EB" w:rsidRDefault="00094AC7" w:rsidP="00920EB6">
      <w:pPr>
        <w:pStyle w:val="Normalnumbered"/>
        <w:numPr>
          <w:ilvl w:val="0"/>
          <w:numId w:val="10"/>
        </w:numPr>
        <w:tabs>
          <w:tab w:val="clear" w:pos="1134"/>
          <w:tab w:val="clear" w:pos="1418"/>
        </w:tabs>
        <w:jc w:val="left"/>
      </w:pPr>
      <w:r>
        <w:t xml:space="preserve">The Agreement may be amended at any time by agreement in writing by </w:t>
      </w:r>
      <w:r w:rsidRPr="00627788">
        <w:t>all t</w:t>
      </w:r>
      <w:r w:rsidRPr="00DE36EB">
        <w:t>he Parties.</w:t>
      </w:r>
    </w:p>
    <w:p w14:paraId="55A51C74" w14:textId="77777777" w:rsidR="00094AC7" w:rsidRPr="00DE36EB" w:rsidRDefault="00094AC7" w:rsidP="00920EB6">
      <w:pPr>
        <w:pStyle w:val="Normalnumbered"/>
        <w:numPr>
          <w:ilvl w:val="0"/>
          <w:numId w:val="10"/>
        </w:numPr>
        <w:tabs>
          <w:tab w:val="clear" w:pos="1134"/>
          <w:tab w:val="clear" w:pos="1418"/>
        </w:tabs>
        <w:jc w:val="left"/>
      </w:pPr>
      <w:r w:rsidRPr="00DE36EB">
        <w:t>Bilateral schedules to this Agreement that have no impact on other Parties may be amended at any time by agreement in writing by the relevant Commonwealth and State portfolio ministers.</w:t>
      </w:r>
    </w:p>
    <w:p w14:paraId="3A41765E" w14:textId="77777777" w:rsidR="00094AC7" w:rsidRDefault="00094AC7" w:rsidP="00920EB6">
      <w:pPr>
        <w:pStyle w:val="Normalnumbered"/>
        <w:numPr>
          <w:ilvl w:val="0"/>
          <w:numId w:val="10"/>
        </w:numPr>
        <w:tabs>
          <w:tab w:val="clear" w:pos="1134"/>
          <w:tab w:val="clear" w:pos="1418"/>
        </w:tabs>
        <w:jc w:val="left"/>
      </w:pPr>
      <w:r w:rsidRPr="00DE36EB">
        <w:t>A Party to the Agreement may terminate their part</w:t>
      </w:r>
      <w:r>
        <w:t>icipation in the Agreement at any time by notifying all Parties in writing.</w:t>
      </w:r>
    </w:p>
    <w:p w14:paraId="7C66C106" w14:textId="77777777" w:rsidR="00094AC7" w:rsidRDefault="00094AC7" w:rsidP="00094AC7">
      <w:pPr>
        <w:pStyle w:val="Heading2"/>
      </w:pPr>
      <w:r>
        <w:t>Delegations</w:t>
      </w:r>
    </w:p>
    <w:p w14:paraId="0D07EAF5" w14:textId="77777777" w:rsidR="00094AC7" w:rsidRDefault="00094AC7" w:rsidP="00920EB6">
      <w:pPr>
        <w:pStyle w:val="Normalnumbered"/>
        <w:numPr>
          <w:ilvl w:val="0"/>
          <w:numId w:val="10"/>
        </w:numPr>
        <w:tabs>
          <w:tab w:val="clear" w:pos="1134"/>
          <w:tab w:val="clear" w:pos="1418"/>
        </w:tabs>
        <w:jc w:val="left"/>
      </w:pPr>
      <w:r>
        <w:t>The Commonwealth Minister may delegate the assessment of performance against milestones and the authorisation of related project payments to senior Commonwealth officials, having regard to the financial and policy risks associated with those payments.</w:t>
      </w:r>
    </w:p>
    <w:p w14:paraId="03CD8283" w14:textId="77777777" w:rsidR="00094AC7" w:rsidRDefault="00094AC7" w:rsidP="00094AC7">
      <w:pPr>
        <w:pStyle w:val="Heading2"/>
      </w:pPr>
      <w:r>
        <w:lastRenderedPageBreak/>
        <w:t>Dispute resolution</w:t>
      </w:r>
    </w:p>
    <w:p w14:paraId="7E149655" w14:textId="77777777" w:rsidR="00094AC7" w:rsidRPr="00DE36EB" w:rsidRDefault="00627788" w:rsidP="00920EB6">
      <w:pPr>
        <w:pStyle w:val="Normalnumbered"/>
        <w:numPr>
          <w:ilvl w:val="0"/>
          <w:numId w:val="10"/>
        </w:numPr>
        <w:tabs>
          <w:tab w:val="clear" w:pos="1134"/>
          <w:tab w:val="clear" w:pos="1418"/>
        </w:tabs>
        <w:jc w:val="left"/>
      </w:pPr>
      <w:r w:rsidRPr="00DE36EB">
        <w:t xml:space="preserve"> </w:t>
      </w:r>
      <w:r w:rsidR="00094AC7" w:rsidRPr="00DE36EB">
        <w:t>Any Party may give notice to other Parties of a dispute under this Agreement.</w:t>
      </w:r>
    </w:p>
    <w:p w14:paraId="76D8244D" w14:textId="77777777" w:rsidR="00094AC7" w:rsidRPr="00DE36EB" w:rsidRDefault="00094AC7" w:rsidP="00920EB6">
      <w:pPr>
        <w:pStyle w:val="Normalnumbered"/>
        <w:numPr>
          <w:ilvl w:val="0"/>
          <w:numId w:val="10"/>
        </w:numPr>
        <w:tabs>
          <w:tab w:val="clear" w:pos="1134"/>
          <w:tab w:val="clear" w:pos="1418"/>
        </w:tabs>
        <w:jc w:val="left"/>
      </w:pPr>
      <w:r w:rsidRPr="00DE36EB">
        <w:t>Officials of relevant Parties will attempt to resolve any dispute in the first instance.</w:t>
      </w:r>
    </w:p>
    <w:p w14:paraId="5CF58DB0" w14:textId="77777777" w:rsidR="00094AC7" w:rsidRPr="00DE36EB" w:rsidRDefault="00094AC7" w:rsidP="00920EB6">
      <w:pPr>
        <w:pStyle w:val="Normalnumbered"/>
        <w:numPr>
          <w:ilvl w:val="0"/>
          <w:numId w:val="10"/>
        </w:numPr>
        <w:tabs>
          <w:tab w:val="clear" w:pos="1134"/>
          <w:tab w:val="clear" w:pos="1418"/>
        </w:tabs>
        <w:jc w:val="left"/>
      </w:pPr>
      <w:r w:rsidRPr="00DE36EB">
        <w:t>If a dispute cannot be resolved by officials, it may be escalated to the relevant Ministers.</w:t>
      </w:r>
    </w:p>
    <w:p w14:paraId="5349928C" w14:textId="77777777" w:rsidR="00D03FCB" w:rsidRDefault="004D1A9E" w:rsidP="00D03FCB">
      <w:pPr>
        <w:pStyle w:val="Heading2"/>
      </w:pPr>
      <w:r w:rsidRPr="004756C4">
        <w:t>Interpretation</w:t>
      </w:r>
    </w:p>
    <w:p w14:paraId="53C67D83" w14:textId="77777777" w:rsidR="000D635B" w:rsidRDefault="004D1A9E" w:rsidP="00920EB6">
      <w:pPr>
        <w:pStyle w:val="Normalnumbered"/>
        <w:numPr>
          <w:ilvl w:val="0"/>
          <w:numId w:val="10"/>
        </w:numPr>
        <w:tabs>
          <w:tab w:val="clear" w:pos="1134"/>
          <w:tab w:val="clear" w:pos="1418"/>
        </w:tabs>
        <w:jc w:val="left"/>
      </w:pPr>
      <w:r w:rsidRPr="00920EB6">
        <w:t>For</w:t>
      </w:r>
      <w:r w:rsidR="00213A6F">
        <w:t xml:space="preserve"> the purposes of this A</w:t>
      </w:r>
      <w:r w:rsidRPr="00920EB6">
        <w:t>greement</w:t>
      </w:r>
      <w:r w:rsidR="000D635B">
        <w:t>:</w:t>
      </w:r>
    </w:p>
    <w:p w14:paraId="4887D721" w14:textId="0EC9BC44" w:rsidR="004D1A9E" w:rsidRPr="00920EB6" w:rsidRDefault="000D635B" w:rsidP="000D635B">
      <w:pPr>
        <w:pStyle w:val="Normalnumbered"/>
        <w:numPr>
          <w:ilvl w:val="1"/>
          <w:numId w:val="10"/>
        </w:numPr>
        <w:tabs>
          <w:tab w:val="clear" w:pos="567"/>
          <w:tab w:val="clear" w:pos="1440"/>
          <w:tab w:val="left" w:pos="1134"/>
        </w:tabs>
        <w:ind w:left="1134" w:hanging="567"/>
      </w:pPr>
      <w:r>
        <w:t>A</w:t>
      </w:r>
      <w:r w:rsidR="004D1A9E" w:rsidRPr="00920EB6">
        <w:t xml:space="preserve">pproaches to clinical trials system redesign will be </w:t>
      </w:r>
      <w:r w:rsidR="0021151D">
        <w:t>in accordance</w:t>
      </w:r>
      <w:r w:rsidR="005C52A7">
        <w:t xml:space="preserve"> with </w:t>
      </w:r>
      <w:r w:rsidR="002D5480" w:rsidRPr="00920EB6">
        <w:t>the following P</w:t>
      </w:r>
      <w:r w:rsidR="004D1A9E" w:rsidRPr="00920EB6">
        <w:t xml:space="preserve">rinciples </w:t>
      </w:r>
      <w:r w:rsidR="002D5480" w:rsidRPr="00920EB6">
        <w:t xml:space="preserve">and </w:t>
      </w:r>
      <w:r w:rsidR="005C52A7">
        <w:t>agreed</w:t>
      </w:r>
      <w:r w:rsidR="002D5480" w:rsidRPr="00920EB6">
        <w:t xml:space="preserve"> Priority Action Areas </w:t>
      </w:r>
      <w:r w:rsidR="004D1A9E" w:rsidRPr="00920EB6">
        <w:t>as endorsed by the Council of Australian Governments Health Council</w:t>
      </w:r>
      <w:r w:rsidR="002D5480" w:rsidRPr="00920EB6">
        <w:t xml:space="preserve"> in </w:t>
      </w:r>
      <w:r w:rsidR="00BE760E">
        <w:t>Ma</w:t>
      </w:r>
      <w:r w:rsidR="005D4187">
        <w:t>rch</w:t>
      </w:r>
      <w:r w:rsidR="00BE760E">
        <w:t xml:space="preserve"> </w:t>
      </w:r>
      <w:r w:rsidR="002D5480" w:rsidRPr="00920EB6">
        <w:t>2017</w:t>
      </w:r>
      <w:r w:rsidR="004D1A9E" w:rsidRPr="00920EB6">
        <w:t>:</w:t>
      </w:r>
    </w:p>
    <w:p w14:paraId="1E54F7C3" w14:textId="77777777" w:rsidR="002D5480" w:rsidRPr="000D635B" w:rsidRDefault="002D5480" w:rsidP="000D635B">
      <w:pPr>
        <w:pStyle w:val="ListParagraph"/>
        <w:numPr>
          <w:ilvl w:val="0"/>
          <w:numId w:val="44"/>
        </w:numPr>
        <w:tabs>
          <w:tab w:val="clear" w:pos="1134"/>
          <w:tab w:val="num" w:pos="1701"/>
        </w:tabs>
        <w:spacing w:line="276" w:lineRule="auto"/>
        <w:ind w:left="1701"/>
        <w:contextualSpacing/>
        <w:rPr>
          <w:rFonts w:ascii="Corbel" w:hAnsi="Corbel"/>
          <w:color w:val="000000"/>
          <w:sz w:val="23"/>
          <w:szCs w:val="20"/>
        </w:rPr>
      </w:pPr>
      <w:r w:rsidRPr="000D635B">
        <w:rPr>
          <w:rFonts w:ascii="Corbel" w:hAnsi="Corbel"/>
          <w:color w:val="000000"/>
          <w:sz w:val="23"/>
          <w:szCs w:val="20"/>
        </w:rPr>
        <w:t>Principles</w:t>
      </w:r>
    </w:p>
    <w:p w14:paraId="3CB1C776" w14:textId="027E1349" w:rsidR="004D1A9E" w:rsidRPr="004756C4"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w:t>
      </w:r>
      <w:proofErr w:type="spellEnd"/>
      <w:proofErr w:type="gramEnd"/>
      <w:r>
        <w:rPr>
          <w:rFonts w:ascii="Corbel" w:hAnsi="Corbel"/>
          <w:color w:val="000000"/>
          <w:sz w:val="23"/>
          <w:szCs w:val="20"/>
        </w:rPr>
        <w:tab/>
      </w:r>
      <w:r w:rsidR="004D1A9E" w:rsidRPr="004756C4">
        <w:rPr>
          <w:rFonts w:ascii="Corbel" w:hAnsi="Corbel"/>
          <w:color w:val="000000"/>
          <w:sz w:val="23"/>
          <w:szCs w:val="20"/>
        </w:rPr>
        <w:t>The patient is at the centre of clinical trials.</w:t>
      </w:r>
    </w:p>
    <w:p w14:paraId="0B3DC89F" w14:textId="2B04EA0E" w:rsidR="004D1A9E" w:rsidRPr="004756C4"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w:t>
      </w:r>
      <w:proofErr w:type="spellEnd"/>
      <w:proofErr w:type="gramEnd"/>
      <w:r>
        <w:rPr>
          <w:rFonts w:ascii="Corbel" w:hAnsi="Corbel"/>
          <w:color w:val="000000"/>
          <w:sz w:val="23"/>
          <w:szCs w:val="20"/>
        </w:rPr>
        <w:tab/>
      </w:r>
      <w:r w:rsidR="004D1A9E" w:rsidRPr="004756C4">
        <w:rPr>
          <w:rFonts w:ascii="Corbel" w:hAnsi="Corbel"/>
          <w:color w:val="000000"/>
          <w:sz w:val="23"/>
          <w:szCs w:val="20"/>
        </w:rPr>
        <w:t>Research and clinical trials are essential health system activities.</w:t>
      </w:r>
    </w:p>
    <w:p w14:paraId="5C462B91" w14:textId="218D4349" w:rsidR="004D1A9E" w:rsidRPr="004756C4"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i.iii</w:t>
      </w:r>
      <w:proofErr w:type="spellEnd"/>
      <w:proofErr w:type="gramEnd"/>
      <w:r>
        <w:rPr>
          <w:rFonts w:ascii="Corbel" w:hAnsi="Corbel"/>
          <w:color w:val="000000"/>
          <w:sz w:val="23"/>
          <w:szCs w:val="20"/>
        </w:rPr>
        <w:tab/>
      </w:r>
      <w:r w:rsidR="004D1A9E" w:rsidRPr="004756C4">
        <w:rPr>
          <w:rFonts w:ascii="Corbel" w:hAnsi="Corbel"/>
          <w:color w:val="000000"/>
          <w:sz w:val="23"/>
          <w:szCs w:val="20"/>
        </w:rPr>
        <w:t>Clinical trials foster a culture of q</w:t>
      </w:r>
      <w:r>
        <w:rPr>
          <w:rFonts w:ascii="Corbel" w:hAnsi="Corbel"/>
          <w:color w:val="000000"/>
          <w:sz w:val="23"/>
          <w:szCs w:val="20"/>
        </w:rPr>
        <w:t>uality, safety and innovation.</w:t>
      </w:r>
    </w:p>
    <w:p w14:paraId="0B022F2C" w14:textId="17137B04" w:rsidR="004D1A9E" w:rsidRPr="004756C4" w:rsidRDefault="000D635B" w:rsidP="000D635B">
      <w:pPr>
        <w:pStyle w:val="ListParagraph"/>
        <w:spacing w:line="276" w:lineRule="auto"/>
        <w:ind w:left="1701" w:right="-285"/>
        <w:contextualSpacing/>
        <w:rPr>
          <w:rFonts w:ascii="Corbel" w:hAnsi="Corbel"/>
          <w:color w:val="000000"/>
          <w:sz w:val="23"/>
          <w:szCs w:val="20"/>
        </w:rPr>
      </w:pPr>
      <w:proofErr w:type="spellStart"/>
      <w:proofErr w:type="gramStart"/>
      <w:r>
        <w:rPr>
          <w:rFonts w:ascii="Corbel" w:hAnsi="Corbel"/>
          <w:color w:val="000000"/>
          <w:sz w:val="23"/>
          <w:szCs w:val="20"/>
        </w:rPr>
        <w:t>i.iv</w:t>
      </w:r>
      <w:proofErr w:type="spellEnd"/>
      <w:proofErr w:type="gramEnd"/>
      <w:r>
        <w:rPr>
          <w:rFonts w:ascii="Corbel" w:hAnsi="Corbel"/>
          <w:color w:val="000000"/>
          <w:sz w:val="23"/>
          <w:szCs w:val="20"/>
        </w:rPr>
        <w:tab/>
      </w:r>
      <w:r w:rsidR="004D1A9E" w:rsidRPr="004756C4">
        <w:rPr>
          <w:rFonts w:ascii="Corbel" w:hAnsi="Corbel"/>
          <w:color w:val="000000"/>
          <w:sz w:val="23"/>
          <w:szCs w:val="20"/>
        </w:rPr>
        <w:t>Access for patients must be made easier – participation, navigation and delivery.</w:t>
      </w:r>
    </w:p>
    <w:p w14:paraId="6DD86820" w14:textId="2D5C2BA7" w:rsidR="004D1A9E" w:rsidRPr="004756C4"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i.v</w:t>
      </w:r>
      <w:proofErr w:type="spellEnd"/>
      <w:proofErr w:type="gramEnd"/>
      <w:r>
        <w:rPr>
          <w:rFonts w:ascii="Corbel" w:hAnsi="Corbel"/>
          <w:color w:val="000000"/>
          <w:sz w:val="23"/>
          <w:szCs w:val="20"/>
        </w:rPr>
        <w:tab/>
      </w:r>
      <w:r w:rsidR="004D1A9E" w:rsidRPr="004756C4">
        <w:rPr>
          <w:rFonts w:ascii="Corbel" w:hAnsi="Corbel"/>
          <w:color w:val="000000"/>
          <w:sz w:val="23"/>
          <w:szCs w:val="20"/>
        </w:rPr>
        <w:t>Partnerships and collaboration are at the core of any success.</w:t>
      </w:r>
    </w:p>
    <w:p w14:paraId="221F75DC" w14:textId="51E6D670" w:rsidR="004D1A9E" w:rsidRPr="004756C4" w:rsidRDefault="000D635B" w:rsidP="000D635B">
      <w:pPr>
        <w:pStyle w:val="ListParagraph"/>
        <w:spacing w:line="276" w:lineRule="auto"/>
        <w:ind w:left="1701" w:right="-710"/>
        <w:contextualSpacing/>
        <w:rPr>
          <w:rFonts w:ascii="Corbel" w:hAnsi="Corbel"/>
          <w:color w:val="000000"/>
          <w:sz w:val="23"/>
          <w:szCs w:val="20"/>
        </w:rPr>
      </w:pPr>
      <w:proofErr w:type="gramStart"/>
      <w:r>
        <w:rPr>
          <w:rFonts w:ascii="Corbel" w:hAnsi="Corbel"/>
          <w:color w:val="000000"/>
          <w:sz w:val="23"/>
          <w:szCs w:val="20"/>
        </w:rPr>
        <w:t>i.vi</w:t>
      </w:r>
      <w:proofErr w:type="gramEnd"/>
      <w:r>
        <w:rPr>
          <w:rFonts w:ascii="Corbel" w:hAnsi="Corbel"/>
          <w:color w:val="000000"/>
          <w:sz w:val="23"/>
          <w:szCs w:val="20"/>
        </w:rPr>
        <w:tab/>
      </w:r>
      <w:r w:rsidR="004D1A9E" w:rsidRPr="004756C4">
        <w:rPr>
          <w:rFonts w:ascii="Corbel" w:hAnsi="Corbel"/>
          <w:color w:val="000000"/>
          <w:sz w:val="23"/>
          <w:szCs w:val="20"/>
        </w:rPr>
        <w:t>Workforce support is central - capacity, capability and predictability, career pathways.</w:t>
      </w:r>
    </w:p>
    <w:p w14:paraId="2BF9317F" w14:textId="3F2CECB7" w:rsidR="004D1A9E" w:rsidRDefault="000D635B" w:rsidP="00755FD6">
      <w:pPr>
        <w:pStyle w:val="ListParagraph"/>
        <w:spacing w:after="240"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i.vii</w:t>
      </w:r>
      <w:proofErr w:type="spellEnd"/>
      <w:proofErr w:type="gramEnd"/>
      <w:r>
        <w:rPr>
          <w:rFonts w:ascii="Corbel" w:hAnsi="Corbel"/>
          <w:color w:val="000000"/>
          <w:sz w:val="23"/>
          <w:szCs w:val="20"/>
        </w:rPr>
        <w:tab/>
      </w:r>
      <w:r w:rsidR="004D1A9E" w:rsidRPr="004756C4">
        <w:rPr>
          <w:rFonts w:ascii="Corbel" w:hAnsi="Corbel"/>
          <w:color w:val="000000"/>
          <w:sz w:val="23"/>
          <w:szCs w:val="20"/>
        </w:rPr>
        <w:t>Knowledge and transparency – KPIs, data, accountability, value offer.</w:t>
      </w:r>
    </w:p>
    <w:p w14:paraId="3F80A1FF" w14:textId="77777777" w:rsidR="00755FD6" w:rsidRPr="004756C4" w:rsidRDefault="00755FD6" w:rsidP="00755FD6">
      <w:pPr>
        <w:pStyle w:val="ListParagraph"/>
        <w:spacing w:after="240" w:line="276" w:lineRule="auto"/>
        <w:ind w:left="1701"/>
        <w:contextualSpacing/>
        <w:rPr>
          <w:rFonts w:ascii="Corbel" w:hAnsi="Corbel"/>
          <w:color w:val="000000"/>
          <w:sz w:val="23"/>
          <w:szCs w:val="20"/>
        </w:rPr>
      </w:pPr>
    </w:p>
    <w:p w14:paraId="3B0DD787" w14:textId="77777777" w:rsidR="002D5480" w:rsidRPr="000D635B" w:rsidRDefault="002D5480" w:rsidP="000D635B">
      <w:pPr>
        <w:pStyle w:val="ListParagraph"/>
        <w:numPr>
          <w:ilvl w:val="0"/>
          <w:numId w:val="44"/>
        </w:numPr>
        <w:tabs>
          <w:tab w:val="clear" w:pos="1134"/>
          <w:tab w:val="num" w:pos="1701"/>
        </w:tabs>
        <w:spacing w:line="276" w:lineRule="auto"/>
        <w:ind w:left="1701"/>
        <w:contextualSpacing/>
        <w:rPr>
          <w:rFonts w:ascii="Corbel" w:hAnsi="Corbel"/>
          <w:color w:val="000000"/>
          <w:sz w:val="23"/>
          <w:szCs w:val="20"/>
        </w:rPr>
      </w:pPr>
      <w:r w:rsidRPr="000D635B">
        <w:rPr>
          <w:rFonts w:ascii="Corbel" w:hAnsi="Corbel"/>
          <w:color w:val="000000"/>
          <w:sz w:val="23"/>
          <w:szCs w:val="20"/>
        </w:rPr>
        <w:t>Priority Action Areas</w:t>
      </w:r>
    </w:p>
    <w:p w14:paraId="1D121762" w14:textId="014D9CD3" w:rsidR="002D5480" w:rsidRPr="00213A6F"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w:t>
      </w:r>
      <w:proofErr w:type="spellEnd"/>
      <w:proofErr w:type="gramEnd"/>
      <w:r>
        <w:rPr>
          <w:rFonts w:ascii="Corbel" w:hAnsi="Corbel"/>
          <w:color w:val="000000"/>
          <w:sz w:val="23"/>
          <w:szCs w:val="20"/>
        </w:rPr>
        <w:tab/>
      </w:r>
      <w:r w:rsidR="002D5480" w:rsidRPr="00213A6F">
        <w:rPr>
          <w:rFonts w:ascii="Corbel" w:hAnsi="Corbel"/>
          <w:color w:val="000000"/>
          <w:sz w:val="23"/>
          <w:szCs w:val="20"/>
        </w:rPr>
        <w:t>Clinical Trials Coordination Units</w:t>
      </w:r>
      <w:r w:rsidR="00F118E9" w:rsidRPr="00213A6F">
        <w:rPr>
          <w:rFonts w:ascii="Corbel" w:hAnsi="Corbel"/>
          <w:color w:val="000000"/>
          <w:sz w:val="23"/>
          <w:szCs w:val="20"/>
        </w:rPr>
        <w:t>.</w:t>
      </w:r>
    </w:p>
    <w:p w14:paraId="5A17CD10" w14:textId="447309A9" w:rsidR="002D5480" w:rsidRPr="00213A6F"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ii.ii</w:t>
      </w:r>
      <w:proofErr w:type="spellEnd"/>
      <w:proofErr w:type="gramEnd"/>
      <w:r>
        <w:rPr>
          <w:rFonts w:ascii="Corbel" w:hAnsi="Corbel"/>
          <w:color w:val="000000"/>
          <w:sz w:val="23"/>
          <w:szCs w:val="20"/>
        </w:rPr>
        <w:tab/>
      </w:r>
      <w:r w:rsidR="00F118E9" w:rsidRPr="00213A6F">
        <w:rPr>
          <w:rFonts w:ascii="Corbel" w:hAnsi="Corbel"/>
          <w:color w:val="000000"/>
          <w:sz w:val="23"/>
          <w:szCs w:val="20"/>
        </w:rPr>
        <w:t xml:space="preserve">Clinical Trials </w:t>
      </w:r>
      <w:r w:rsidR="002D5480" w:rsidRPr="00213A6F">
        <w:rPr>
          <w:rFonts w:ascii="Corbel" w:hAnsi="Corbel"/>
          <w:color w:val="000000"/>
          <w:sz w:val="23"/>
          <w:szCs w:val="20"/>
        </w:rPr>
        <w:t>Networks and Partnerships</w:t>
      </w:r>
      <w:r w:rsidR="00F118E9" w:rsidRPr="00213A6F">
        <w:rPr>
          <w:rFonts w:ascii="Corbel" w:hAnsi="Corbel"/>
          <w:color w:val="000000"/>
          <w:sz w:val="23"/>
          <w:szCs w:val="20"/>
        </w:rPr>
        <w:t>.</w:t>
      </w:r>
    </w:p>
    <w:p w14:paraId="5E22BD12" w14:textId="0741366F" w:rsidR="002D5480" w:rsidRPr="00213A6F"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ii.iii</w:t>
      </w:r>
      <w:proofErr w:type="spellEnd"/>
      <w:proofErr w:type="gramEnd"/>
      <w:r>
        <w:rPr>
          <w:rFonts w:ascii="Corbel" w:hAnsi="Corbel"/>
          <w:color w:val="000000"/>
          <w:sz w:val="23"/>
          <w:szCs w:val="20"/>
        </w:rPr>
        <w:tab/>
      </w:r>
      <w:r w:rsidR="002D5480" w:rsidRPr="00213A6F">
        <w:rPr>
          <w:rFonts w:ascii="Corbel" w:hAnsi="Corbel"/>
          <w:color w:val="000000"/>
          <w:sz w:val="23"/>
          <w:szCs w:val="20"/>
        </w:rPr>
        <w:t>Enhancement of clinical trials data and knowledge systems</w:t>
      </w:r>
      <w:r w:rsidR="00F118E9" w:rsidRPr="00213A6F">
        <w:rPr>
          <w:rFonts w:ascii="Corbel" w:hAnsi="Corbel"/>
          <w:color w:val="000000"/>
          <w:sz w:val="23"/>
          <w:szCs w:val="20"/>
        </w:rPr>
        <w:t>.</w:t>
      </w:r>
    </w:p>
    <w:p w14:paraId="75BC48B5" w14:textId="71DBC19F" w:rsidR="00F118E9" w:rsidRPr="00213A6F" w:rsidRDefault="000D635B" w:rsidP="000D635B">
      <w:pPr>
        <w:pStyle w:val="ListParagraph"/>
        <w:spacing w:line="276" w:lineRule="auto"/>
        <w:ind w:left="1701"/>
        <w:contextualSpacing/>
        <w:rPr>
          <w:rFonts w:ascii="Corbel" w:hAnsi="Corbel"/>
          <w:color w:val="000000"/>
          <w:sz w:val="23"/>
          <w:szCs w:val="20"/>
        </w:rPr>
      </w:pPr>
      <w:proofErr w:type="spellStart"/>
      <w:proofErr w:type="gramStart"/>
      <w:r>
        <w:rPr>
          <w:rFonts w:ascii="Corbel" w:hAnsi="Corbel"/>
          <w:color w:val="000000"/>
          <w:sz w:val="23"/>
          <w:szCs w:val="20"/>
        </w:rPr>
        <w:t>ii.iv</w:t>
      </w:r>
      <w:proofErr w:type="spellEnd"/>
      <w:proofErr w:type="gramEnd"/>
      <w:r>
        <w:rPr>
          <w:rFonts w:ascii="Corbel" w:hAnsi="Corbel"/>
          <w:color w:val="000000"/>
          <w:sz w:val="23"/>
          <w:szCs w:val="20"/>
        </w:rPr>
        <w:tab/>
      </w:r>
      <w:r w:rsidR="00F118E9" w:rsidRPr="00213A6F">
        <w:rPr>
          <w:rFonts w:ascii="Corbel" w:hAnsi="Corbel"/>
          <w:color w:val="000000"/>
          <w:sz w:val="23"/>
          <w:szCs w:val="20"/>
        </w:rPr>
        <w:t>Research as essential health system business.</w:t>
      </w:r>
    </w:p>
    <w:p w14:paraId="533E3A8B" w14:textId="2F89B2AD" w:rsidR="00094AC7" w:rsidRDefault="000D635B" w:rsidP="000D635B">
      <w:pPr>
        <w:pStyle w:val="ListParagraph"/>
        <w:spacing w:line="276" w:lineRule="auto"/>
        <w:ind w:left="1701"/>
        <w:contextualSpacing/>
        <w:rPr>
          <w:rFonts w:ascii="Corbel" w:hAnsi="Corbel"/>
        </w:rPr>
      </w:pPr>
      <w:proofErr w:type="spellStart"/>
      <w:proofErr w:type="gramStart"/>
      <w:r>
        <w:rPr>
          <w:rFonts w:ascii="Corbel" w:hAnsi="Corbel"/>
          <w:color w:val="000000"/>
          <w:sz w:val="23"/>
          <w:szCs w:val="20"/>
        </w:rPr>
        <w:t>ii.v</w:t>
      </w:r>
      <w:proofErr w:type="spellEnd"/>
      <w:proofErr w:type="gramEnd"/>
      <w:r>
        <w:rPr>
          <w:rFonts w:ascii="Corbel" w:hAnsi="Corbel"/>
          <w:color w:val="000000"/>
          <w:sz w:val="23"/>
          <w:szCs w:val="20"/>
        </w:rPr>
        <w:tab/>
      </w:r>
      <w:r w:rsidR="00F118E9" w:rsidRPr="00213A6F">
        <w:rPr>
          <w:rFonts w:ascii="Corbel" w:hAnsi="Corbel"/>
          <w:color w:val="000000"/>
          <w:sz w:val="23"/>
          <w:szCs w:val="20"/>
        </w:rPr>
        <w:t xml:space="preserve">Introduce clinical trials </w:t>
      </w:r>
      <w:r w:rsidR="001336FC" w:rsidRPr="00213A6F">
        <w:rPr>
          <w:rFonts w:ascii="Corbel" w:hAnsi="Corbel"/>
          <w:color w:val="000000"/>
          <w:sz w:val="23"/>
          <w:szCs w:val="20"/>
        </w:rPr>
        <w:t>governance into A</w:t>
      </w:r>
      <w:r w:rsidR="00213A6F">
        <w:rPr>
          <w:rFonts w:ascii="Corbel" w:hAnsi="Corbel"/>
          <w:color w:val="000000"/>
          <w:sz w:val="23"/>
          <w:szCs w:val="20"/>
        </w:rPr>
        <w:t>ustralian Commission for Safety and</w:t>
      </w:r>
      <w:r>
        <w:rPr>
          <w:rFonts w:ascii="Corbel" w:hAnsi="Corbel"/>
          <w:color w:val="000000"/>
          <w:sz w:val="23"/>
          <w:szCs w:val="20"/>
        </w:rPr>
        <w:tab/>
      </w:r>
      <w:r w:rsidR="00213A6F">
        <w:rPr>
          <w:rFonts w:ascii="Corbel" w:hAnsi="Corbel"/>
          <w:color w:val="000000"/>
          <w:sz w:val="23"/>
          <w:szCs w:val="20"/>
        </w:rPr>
        <w:t>Quality in Health Care’s National Safety and Quality Standards</w:t>
      </w:r>
      <w:r w:rsidR="001336FC" w:rsidRPr="004756C4">
        <w:rPr>
          <w:rFonts w:ascii="Corbel" w:hAnsi="Corbel"/>
        </w:rPr>
        <w:t>.</w:t>
      </w:r>
    </w:p>
    <w:p w14:paraId="214677FB" w14:textId="77777777" w:rsidR="000D635B" w:rsidRDefault="000D635B" w:rsidP="000D635B">
      <w:pPr>
        <w:pStyle w:val="ListParagraph"/>
        <w:spacing w:line="276" w:lineRule="auto"/>
        <w:ind w:left="1701"/>
        <w:contextualSpacing/>
        <w:rPr>
          <w:rFonts w:ascii="Corbel" w:hAnsi="Corbel"/>
        </w:rPr>
      </w:pPr>
    </w:p>
    <w:p w14:paraId="2C010AFF" w14:textId="3DACC5EC" w:rsidR="000D635B" w:rsidRPr="006C5D13" w:rsidRDefault="000D635B" w:rsidP="000D635B">
      <w:pPr>
        <w:pStyle w:val="Normalnumbered"/>
        <w:numPr>
          <w:ilvl w:val="1"/>
          <w:numId w:val="10"/>
        </w:numPr>
        <w:tabs>
          <w:tab w:val="clear" w:pos="567"/>
          <w:tab w:val="clear" w:pos="1440"/>
          <w:tab w:val="left" w:pos="1134"/>
        </w:tabs>
        <w:ind w:left="1134" w:hanging="567"/>
        <w:rPr>
          <w:szCs w:val="23"/>
        </w:rPr>
      </w:pPr>
      <w:r w:rsidRPr="006C5D13">
        <w:rPr>
          <w:szCs w:val="23"/>
        </w:rPr>
        <w:t>The Framework for National Aggregate Statistics</w:t>
      </w:r>
      <w:r w:rsidR="00082149" w:rsidRPr="006C5D13">
        <w:rPr>
          <w:szCs w:val="23"/>
        </w:rPr>
        <w:t xml:space="preserve"> (NAS</w:t>
      </w:r>
      <w:r w:rsidR="006C5D13" w:rsidRPr="006C5D13">
        <w:rPr>
          <w:szCs w:val="23"/>
        </w:rPr>
        <w:t>) represents agreement by all s</w:t>
      </w:r>
      <w:r w:rsidR="00EF74F0">
        <w:rPr>
          <w:szCs w:val="23"/>
        </w:rPr>
        <w:t>tates</w:t>
      </w:r>
      <w:r w:rsidR="006C5D13" w:rsidRPr="006C5D13">
        <w:rPr>
          <w:szCs w:val="23"/>
        </w:rPr>
        <w:t xml:space="preserve"> on the essential metrics to monitor and drive improvements to clinical trials in Australia. </w:t>
      </w:r>
      <w:r w:rsidR="006C5D13" w:rsidRPr="006C5D13">
        <w:rPr>
          <w:bCs/>
          <w:szCs w:val="23"/>
          <w:lang w:val="en-US" w:eastAsia="ar-SA"/>
        </w:rPr>
        <w:t xml:space="preserve">The NAS Framework was endorsed by </w:t>
      </w:r>
      <w:r w:rsidR="006C5D13">
        <w:rPr>
          <w:bCs/>
          <w:szCs w:val="23"/>
          <w:lang w:val="en-US" w:eastAsia="ar-SA"/>
        </w:rPr>
        <w:t xml:space="preserve">the Council of Australian Governments </w:t>
      </w:r>
      <w:r w:rsidR="006C5D13" w:rsidRPr="006C5D13">
        <w:rPr>
          <w:bCs/>
          <w:szCs w:val="23"/>
          <w:lang w:val="en-US" w:eastAsia="ar-SA"/>
        </w:rPr>
        <w:t>Health Council in April 2015</w:t>
      </w:r>
      <w:r w:rsidR="00EF74F0">
        <w:rPr>
          <w:bCs/>
          <w:szCs w:val="23"/>
          <w:lang w:val="en-US" w:eastAsia="ar-SA"/>
        </w:rPr>
        <w:t>, including agreement that the NAS Framework would be refined over time to reflect changing priorities and data availability</w:t>
      </w:r>
      <w:r w:rsidR="006C5D13" w:rsidRPr="006C5D13">
        <w:rPr>
          <w:bCs/>
          <w:szCs w:val="23"/>
          <w:lang w:val="en-US" w:eastAsia="ar-SA"/>
        </w:rPr>
        <w:t>.</w:t>
      </w:r>
    </w:p>
    <w:p w14:paraId="6CA57DD3" w14:textId="096B4DF9" w:rsidR="000D635B" w:rsidRPr="004756C4" w:rsidRDefault="006C5D13" w:rsidP="000D635B">
      <w:pPr>
        <w:pStyle w:val="ListParagraph"/>
        <w:spacing w:line="276" w:lineRule="auto"/>
        <w:ind w:left="1701"/>
        <w:contextualSpacing/>
        <w:rPr>
          <w:rFonts w:ascii="Corbel" w:hAnsi="Corbel"/>
        </w:rPr>
        <w:sectPr w:rsidR="000D635B" w:rsidRPr="004756C4" w:rsidSect="008A2954">
          <w:headerReference w:type="even" r:id="rId15"/>
          <w:headerReference w:type="default" r:id="rId16"/>
          <w:footerReference w:type="even" r:id="rId17"/>
          <w:footerReference w:type="default" r:id="rId18"/>
          <w:footerReference w:type="first" r:id="rId19"/>
          <w:pgSz w:w="11906" w:h="16838" w:code="9"/>
          <w:pgMar w:top="1134" w:right="1134" w:bottom="1134" w:left="1134" w:header="709" w:footer="709" w:gutter="0"/>
          <w:pgNumType w:start="0"/>
          <w:cols w:space="708"/>
          <w:titlePg/>
          <w:docGrid w:linePitch="360"/>
        </w:sectPr>
      </w:pPr>
      <w:r w:rsidRPr="006C5D13">
        <w:t xml:space="preserve"> </w:t>
      </w:r>
      <w:r w:rsidRPr="00CF03D6">
        <w:t xml:space="preserve"> </w:t>
      </w:r>
    </w:p>
    <w:p w14:paraId="1558CAD4" w14:textId="77777777" w:rsidR="00094AC7" w:rsidRPr="00A50751" w:rsidRDefault="00094AC7" w:rsidP="00094AC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094AC7" w:rsidRPr="00A50751" w14:paraId="5B244668" w14:textId="77777777" w:rsidTr="006073F2">
        <w:trPr>
          <w:cantSplit/>
          <w:jc w:val="center"/>
        </w:trPr>
        <w:tc>
          <w:tcPr>
            <w:tcW w:w="4536" w:type="dxa"/>
          </w:tcPr>
          <w:p w14:paraId="0A69E2D0" w14:textId="77777777" w:rsidR="00094AC7" w:rsidRPr="004A0AE7" w:rsidRDefault="00094AC7" w:rsidP="006073F2">
            <w:pPr>
              <w:pStyle w:val="Signed"/>
            </w:pPr>
            <w:r>
              <w:rPr>
                <w:rStyle w:val="SignedBold"/>
              </w:rPr>
              <w:t>Signed</w:t>
            </w:r>
            <w:r w:rsidRPr="004A0AE7">
              <w:t xml:space="preserve"> for and on behalf of the</w:t>
            </w:r>
            <w:r>
              <w:t xml:space="preserve"> </w:t>
            </w:r>
            <w:r w:rsidRPr="004A0AE7">
              <w:t>Commonwealth of Australia by</w:t>
            </w:r>
          </w:p>
          <w:p w14:paraId="1B2EF718" w14:textId="77777777" w:rsidR="00094AC7" w:rsidRPr="00A50751" w:rsidRDefault="00094AC7" w:rsidP="006073F2">
            <w:pPr>
              <w:pStyle w:val="LineForSignature"/>
            </w:pPr>
            <w:r>
              <w:tab/>
            </w:r>
          </w:p>
          <w:p w14:paraId="73CA09AA" w14:textId="77777777" w:rsidR="00094AC7" w:rsidRDefault="00094AC7" w:rsidP="006073F2">
            <w:pPr>
              <w:pStyle w:val="SingleParagraph"/>
              <w:rPr>
                <w:rStyle w:val="Bold"/>
              </w:rPr>
            </w:pPr>
            <w:r>
              <w:rPr>
                <w:rStyle w:val="Bold"/>
              </w:rPr>
              <w:t>The Honourable</w:t>
            </w:r>
            <w:r w:rsidR="00E6312B">
              <w:rPr>
                <w:rStyle w:val="Bold"/>
              </w:rPr>
              <w:t xml:space="preserve"> Greg Hunt</w:t>
            </w:r>
            <w:r>
              <w:rPr>
                <w:rStyle w:val="Bold"/>
              </w:rPr>
              <w:t xml:space="preserve"> </w:t>
            </w:r>
            <w:r w:rsidR="00CB5EF0">
              <w:rPr>
                <w:rStyle w:val="Bold"/>
              </w:rPr>
              <w:t xml:space="preserve"> </w:t>
            </w:r>
            <w:r>
              <w:rPr>
                <w:rStyle w:val="Bold"/>
              </w:rPr>
              <w:t>MP</w:t>
            </w:r>
          </w:p>
          <w:p w14:paraId="28E1B692" w14:textId="77777777" w:rsidR="00094AC7" w:rsidRDefault="009476F8" w:rsidP="006073F2">
            <w:pPr>
              <w:pStyle w:val="Position"/>
              <w:rPr>
                <w:lang w:val="en-GB"/>
              </w:rPr>
            </w:pPr>
            <w:r>
              <w:rPr>
                <w:lang w:val="en-GB"/>
              </w:rPr>
              <w:t>Minister for Health</w:t>
            </w:r>
            <w:r w:rsidR="00094AC7">
              <w:rPr>
                <w:lang w:val="en-GB"/>
              </w:rPr>
              <w:t xml:space="preserve"> </w:t>
            </w:r>
          </w:p>
          <w:p w14:paraId="7625C398" w14:textId="77777777" w:rsidR="00094AC7" w:rsidRDefault="00094AC7" w:rsidP="006073F2">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21CDA624" w14:textId="77777777" w:rsidR="00094AC7" w:rsidRPr="00A50751" w:rsidRDefault="00094AC7" w:rsidP="006073F2">
            <w:pPr>
              <w:rPr>
                <w:rFonts w:ascii="Book Antiqua" w:hAnsi="Book Antiqua"/>
                <w:lang w:val="en-GB"/>
              </w:rPr>
            </w:pPr>
          </w:p>
        </w:tc>
        <w:tc>
          <w:tcPr>
            <w:tcW w:w="4536" w:type="dxa"/>
          </w:tcPr>
          <w:p w14:paraId="696B7995" w14:textId="77777777" w:rsidR="00094AC7" w:rsidRPr="00A50751" w:rsidRDefault="00094AC7" w:rsidP="00B24C58">
            <w:pPr>
              <w:rPr>
                <w:rFonts w:ascii="Book Antiqua" w:hAnsi="Book Antiqua"/>
                <w:lang w:val="en-GB"/>
              </w:rPr>
            </w:pPr>
          </w:p>
        </w:tc>
      </w:tr>
      <w:tr w:rsidR="00094AC7" w:rsidRPr="00A50751" w14:paraId="6D1490B3" w14:textId="77777777" w:rsidTr="006073F2">
        <w:trPr>
          <w:cantSplit/>
          <w:jc w:val="center"/>
        </w:trPr>
        <w:tc>
          <w:tcPr>
            <w:tcW w:w="4536" w:type="dxa"/>
          </w:tcPr>
          <w:p w14:paraId="19ADF899" w14:textId="77777777" w:rsidR="00094AC7" w:rsidRPr="00A50751" w:rsidRDefault="00094AC7" w:rsidP="006073F2">
            <w:pPr>
              <w:pStyle w:val="SingleParagraph"/>
              <w:rPr>
                <w:rFonts w:ascii="Book Antiqua" w:hAnsi="Book Antiqua"/>
                <w:lang w:val="en-GB"/>
              </w:rPr>
            </w:pPr>
          </w:p>
        </w:tc>
        <w:tc>
          <w:tcPr>
            <w:tcW w:w="284" w:type="dxa"/>
            <w:tcMar>
              <w:left w:w="0" w:type="dxa"/>
              <w:right w:w="0" w:type="dxa"/>
            </w:tcMar>
          </w:tcPr>
          <w:p w14:paraId="4226BFE0" w14:textId="77777777" w:rsidR="00094AC7" w:rsidRPr="00A50751" w:rsidRDefault="00094AC7" w:rsidP="006073F2">
            <w:pPr>
              <w:pStyle w:val="SingleParagraph"/>
              <w:rPr>
                <w:rFonts w:ascii="Book Antiqua" w:hAnsi="Book Antiqua"/>
                <w:lang w:val="en-GB"/>
              </w:rPr>
            </w:pPr>
          </w:p>
        </w:tc>
        <w:tc>
          <w:tcPr>
            <w:tcW w:w="4536" w:type="dxa"/>
          </w:tcPr>
          <w:p w14:paraId="639BDA5A" w14:textId="77777777" w:rsidR="00094AC7" w:rsidRPr="00A50751" w:rsidRDefault="00094AC7" w:rsidP="006073F2">
            <w:pPr>
              <w:pStyle w:val="SingleParagraph"/>
              <w:rPr>
                <w:rFonts w:ascii="Book Antiqua" w:hAnsi="Book Antiqua"/>
                <w:lang w:val="en-GB"/>
              </w:rPr>
            </w:pPr>
          </w:p>
        </w:tc>
      </w:tr>
      <w:tr w:rsidR="00094AC7" w:rsidRPr="00A50751" w14:paraId="4DA97D7E" w14:textId="77777777" w:rsidTr="006073F2">
        <w:trPr>
          <w:cantSplit/>
          <w:jc w:val="center"/>
        </w:trPr>
        <w:tc>
          <w:tcPr>
            <w:tcW w:w="4536" w:type="dxa"/>
          </w:tcPr>
          <w:p w14:paraId="49001358" w14:textId="77777777" w:rsidR="00094AC7" w:rsidRPr="004A0AE7" w:rsidRDefault="00094AC7" w:rsidP="006073F2">
            <w:pPr>
              <w:pStyle w:val="Signed"/>
            </w:pPr>
            <w:r>
              <w:rPr>
                <w:rStyle w:val="SignedBold"/>
              </w:rPr>
              <w:t>Signed</w:t>
            </w:r>
            <w:r w:rsidRPr="004A0AE7">
              <w:t xml:space="preserve"> for and on behalf of the</w:t>
            </w:r>
            <w:r>
              <w:t xml:space="preserve"> </w:t>
            </w:r>
            <w:r w:rsidRPr="004A0AE7">
              <w:br/>
              <w:t>State of New South Wales by</w:t>
            </w:r>
          </w:p>
          <w:p w14:paraId="22F2FB99" w14:textId="77777777" w:rsidR="00094AC7" w:rsidRPr="00A50751" w:rsidRDefault="00094AC7" w:rsidP="006073F2">
            <w:pPr>
              <w:pStyle w:val="LineForSignature"/>
            </w:pPr>
            <w:r w:rsidRPr="00A50751">
              <w:tab/>
            </w:r>
          </w:p>
          <w:p w14:paraId="5EAAF43F" w14:textId="77777777" w:rsidR="00094AC7" w:rsidRDefault="00094AC7" w:rsidP="006073F2">
            <w:pPr>
              <w:pStyle w:val="SingleParagraph"/>
              <w:rPr>
                <w:rStyle w:val="Bold"/>
              </w:rPr>
            </w:pPr>
            <w:r>
              <w:rPr>
                <w:rStyle w:val="Bold"/>
              </w:rPr>
              <w:t xml:space="preserve">The Honourable </w:t>
            </w:r>
            <w:r w:rsidR="00D87759">
              <w:rPr>
                <w:rStyle w:val="Bold"/>
              </w:rPr>
              <w:t xml:space="preserve">Brad Hazzard </w:t>
            </w:r>
            <w:r>
              <w:rPr>
                <w:rStyle w:val="Bold"/>
              </w:rPr>
              <w:t>MP</w:t>
            </w:r>
          </w:p>
          <w:p w14:paraId="5F6902A8" w14:textId="77777777" w:rsidR="00094AC7" w:rsidRDefault="00AE6FF8" w:rsidP="006073F2">
            <w:pPr>
              <w:pStyle w:val="Position"/>
              <w:rPr>
                <w:lang w:val="en-GB"/>
              </w:rPr>
            </w:pPr>
            <w:r>
              <w:rPr>
                <w:lang w:val="en-GB"/>
              </w:rPr>
              <w:t>Minister for Health</w:t>
            </w:r>
            <w:r w:rsidR="00094AC7">
              <w:rPr>
                <w:lang w:val="en-GB"/>
              </w:rPr>
              <w:t xml:space="preserve"> </w:t>
            </w:r>
          </w:p>
          <w:p w14:paraId="5A97C4D7" w14:textId="77777777" w:rsidR="00094AC7" w:rsidRPr="00A50751" w:rsidRDefault="00094AC7" w:rsidP="00DA54AF">
            <w:pPr>
              <w:pStyle w:val="SingleParagraph"/>
              <w:tabs>
                <w:tab w:val="num" w:pos="1134"/>
              </w:tabs>
              <w:spacing w:after="240"/>
              <w:rPr>
                <w:szCs w:val="22"/>
                <w:lang w:val="en-GB"/>
              </w:rPr>
            </w:pPr>
            <w:r>
              <w:rPr>
                <w:lang w:val="en-GB"/>
              </w:rPr>
              <w:t>[Day]  [Month]  [Year]</w:t>
            </w:r>
          </w:p>
        </w:tc>
        <w:tc>
          <w:tcPr>
            <w:tcW w:w="284" w:type="dxa"/>
            <w:tcMar>
              <w:left w:w="0" w:type="dxa"/>
              <w:right w:w="0" w:type="dxa"/>
            </w:tcMar>
          </w:tcPr>
          <w:p w14:paraId="0B6755D5" w14:textId="77777777" w:rsidR="00094AC7" w:rsidRPr="00A50751" w:rsidRDefault="00094AC7" w:rsidP="006073F2">
            <w:pPr>
              <w:rPr>
                <w:rFonts w:ascii="Book Antiqua" w:hAnsi="Book Antiqua"/>
                <w:lang w:val="en-GB"/>
              </w:rPr>
            </w:pPr>
          </w:p>
        </w:tc>
        <w:tc>
          <w:tcPr>
            <w:tcW w:w="4536" w:type="dxa"/>
          </w:tcPr>
          <w:p w14:paraId="16548B2C" w14:textId="77777777" w:rsidR="00B24C58" w:rsidRPr="004A0AE7" w:rsidRDefault="00B24C58" w:rsidP="00B24C58">
            <w:pPr>
              <w:pStyle w:val="Signed"/>
            </w:pPr>
            <w:r>
              <w:rPr>
                <w:rStyle w:val="SignedBold"/>
              </w:rPr>
              <w:t>Signed</w:t>
            </w:r>
            <w:r w:rsidRPr="004A0AE7">
              <w:t xml:space="preserve"> for and on behalf o</w:t>
            </w:r>
            <w:r w:rsidR="00DA54AF">
              <w:t>f the</w:t>
            </w:r>
            <w:r w:rsidR="00DA54AF">
              <w:br/>
              <w:t>State of Victoria</w:t>
            </w:r>
            <w:r w:rsidRPr="004A0AE7">
              <w:t xml:space="preserve"> by</w:t>
            </w:r>
          </w:p>
          <w:p w14:paraId="446BD2B4" w14:textId="77777777" w:rsidR="00B24C58" w:rsidRPr="00A50751" w:rsidRDefault="00B24C58" w:rsidP="00B24C58">
            <w:pPr>
              <w:pStyle w:val="LineForSignature"/>
            </w:pPr>
            <w:r w:rsidRPr="00A50751">
              <w:tab/>
            </w:r>
          </w:p>
          <w:p w14:paraId="777F144F" w14:textId="77777777" w:rsidR="00B24C58" w:rsidRDefault="00B24C58" w:rsidP="00B24C58">
            <w:pPr>
              <w:pStyle w:val="SingleParagraph"/>
              <w:rPr>
                <w:rStyle w:val="Bold"/>
              </w:rPr>
            </w:pPr>
            <w:r>
              <w:rPr>
                <w:rStyle w:val="Bold"/>
              </w:rPr>
              <w:t>The Honourable</w:t>
            </w:r>
            <w:r w:rsidR="00AE6FF8">
              <w:rPr>
                <w:rStyle w:val="Bold"/>
              </w:rPr>
              <w:t xml:space="preserve"> Jill Hennessy</w:t>
            </w:r>
            <w:r>
              <w:rPr>
                <w:rStyle w:val="Bold"/>
              </w:rPr>
              <w:t xml:space="preserve"> MP</w:t>
            </w:r>
          </w:p>
          <w:p w14:paraId="613B217E" w14:textId="77777777" w:rsidR="00B24C58" w:rsidRDefault="00AE6FF8" w:rsidP="00B24C58">
            <w:pPr>
              <w:pStyle w:val="Position"/>
              <w:rPr>
                <w:lang w:val="en-GB"/>
              </w:rPr>
            </w:pPr>
            <w:r>
              <w:rPr>
                <w:lang w:val="en-GB"/>
              </w:rPr>
              <w:t>Minister for Health</w:t>
            </w:r>
            <w:r w:rsidR="00B24C58">
              <w:rPr>
                <w:lang w:val="en-GB"/>
              </w:rPr>
              <w:t xml:space="preserve"> </w:t>
            </w:r>
          </w:p>
          <w:p w14:paraId="3480D649" w14:textId="77777777" w:rsidR="00094AC7" w:rsidRPr="00A50751" w:rsidRDefault="00B24C58" w:rsidP="00DA54AF">
            <w:pPr>
              <w:pStyle w:val="SingleParagraph"/>
              <w:tabs>
                <w:tab w:val="num" w:pos="1134"/>
              </w:tabs>
              <w:spacing w:after="240"/>
              <w:rPr>
                <w:lang w:val="en-GB"/>
              </w:rPr>
            </w:pPr>
            <w:r>
              <w:rPr>
                <w:lang w:val="en-GB"/>
              </w:rPr>
              <w:t>[Day]  [Month]  [Year]</w:t>
            </w:r>
          </w:p>
        </w:tc>
      </w:tr>
      <w:tr w:rsidR="00094AC7" w:rsidRPr="00A50751" w14:paraId="55FFA94D" w14:textId="77777777" w:rsidTr="006073F2">
        <w:trPr>
          <w:cantSplit/>
          <w:jc w:val="center"/>
        </w:trPr>
        <w:tc>
          <w:tcPr>
            <w:tcW w:w="4536" w:type="dxa"/>
          </w:tcPr>
          <w:p w14:paraId="7A4035D8" w14:textId="77777777" w:rsidR="00094AC7" w:rsidRPr="00A50751" w:rsidRDefault="00094AC7" w:rsidP="006073F2">
            <w:pPr>
              <w:pStyle w:val="SingleParagraph"/>
              <w:rPr>
                <w:rFonts w:ascii="Book Antiqua" w:hAnsi="Book Antiqua"/>
                <w:lang w:val="en-GB"/>
              </w:rPr>
            </w:pPr>
          </w:p>
        </w:tc>
        <w:tc>
          <w:tcPr>
            <w:tcW w:w="284" w:type="dxa"/>
            <w:tcMar>
              <w:left w:w="0" w:type="dxa"/>
              <w:right w:w="0" w:type="dxa"/>
            </w:tcMar>
          </w:tcPr>
          <w:p w14:paraId="0C5E8EF7" w14:textId="77777777" w:rsidR="00094AC7" w:rsidRPr="00A50751" w:rsidRDefault="00094AC7" w:rsidP="006073F2">
            <w:pPr>
              <w:pStyle w:val="SingleParagraph"/>
              <w:rPr>
                <w:rFonts w:ascii="Book Antiqua" w:hAnsi="Book Antiqua"/>
                <w:lang w:val="en-GB"/>
              </w:rPr>
            </w:pPr>
          </w:p>
        </w:tc>
        <w:tc>
          <w:tcPr>
            <w:tcW w:w="4536" w:type="dxa"/>
          </w:tcPr>
          <w:p w14:paraId="229F57FF" w14:textId="77777777" w:rsidR="00094AC7" w:rsidRPr="00A50751" w:rsidRDefault="00094AC7" w:rsidP="006073F2">
            <w:pPr>
              <w:pStyle w:val="SingleParagraph"/>
              <w:rPr>
                <w:rFonts w:ascii="Book Antiqua" w:hAnsi="Book Antiqua"/>
                <w:lang w:val="en-GB"/>
              </w:rPr>
            </w:pPr>
          </w:p>
        </w:tc>
      </w:tr>
      <w:tr w:rsidR="00094AC7" w:rsidRPr="00A50751" w14:paraId="7032B414" w14:textId="77777777" w:rsidTr="006073F2">
        <w:trPr>
          <w:cantSplit/>
          <w:jc w:val="center"/>
        </w:trPr>
        <w:tc>
          <w:tcPr>
            <w:tcW w:w="4536" w:type="dxa"/>
          </w:tcPr>
          <w:p w14:paraId="4C0EDCBE" w14:textId="77777777" w:rsidR="00DA54AF" w:rsidRPr="004A0AE7" w:rsidRDefault="00DA54AF" w:rsidP="00DA54AF">
            <w:pPr>
              <w:pStyle w:val="Signed"/>
            </w:pPr>
            <w:r>
              <w:rPr>
                <w:rStyle w:val="SignedBold"/>
              </w:rPr>
              <w:t>Signed</w:t>
            </w:r>
            <w:r w:rsidRPr="004A0AE7">
              <w:t xml:space="preserve"> for and on behalf of the</w:t>
            </w:r>
            <w:r w:rsidRPr="004A0AE7">
              <w:br/>
              <w:t>State of Queensland by</w:t>
            </w:r>
          </w:p>
          <w:p w14:paraId="713742D5" w14:textId="77777777" w:rsidR="00DA54AF" w:rsidRPr="00A50751" w:rsidRDefault="00DA54AF" w:rsidP="00DA54AF">
            <w:pPr>
              <w:pStyle w:val="LineForSignature"/>
            </w:pPr>
            <w:r w:rsidRPr="00A50751">
              <w:tab/>
            </w:r>
          </w:p>
          <w:p w14:paraId="700BCF1A" w14:textId="3D1C71C6" w:rsidR="00DA54AF" w:rsidRDefault="00DA54AF" w:rsidP="00DA54AF">
            <w:pPr>
              <w:pStyle w:val="SingleParagraph"/>
              <w:rPr>
                <w:b/>
              </w:rPr>
            </w:pPr>
            <w:r>
              <w:rPr>
                <w:b/>
              </w:rPr>
              <w:t xml:space="preserve">The Honourable </w:t>
            </w:r>
            <w:r w:rsidR="00264BFB">
              <w:rPr>
                <w:rStyle w:val="Bold"/>
              </w:rPr>
              <w:t>Steven Miles</w:t>
            </w:r>
            <w:r>
              <w:rPr>
                <w:rStyle w:val="Bold"/>
              </w:rPr>
              <w:t xml:space="preserve"> </w:t>
            </w:r>
            <w:r>
              <w:rPr>
                <w:b/>
              </w:rPr>
              <w:t>MP</w:t>
            </w:r>
          </w:p>
          <w:p w14:paraId="1014FDAD" w14:textId="77777777" w:rsidR="00DA54AF" w:rsidRDefault="00AE6FF8" w:rsidP="00DA54AF">
            <w:pPr>
              <w:pStyle w:val="Position"/>
              <w:rPr>
                <w:lang w:val="en-GB"/>
              </w:rPr>
            </w:pPr>
            <w:r>
              <w:rPr>
                <w:lang w:val="en-GB"/>
              </w:rPr>
              <w:t>Minister for Health</w:t>
            </w:r>
            <w:r w:rsidR="00DA54AF">
              <w:rPr>
                <w:lang w:val="en-GB"/>
              </w:rPr>
              <w:t xml:space="preserve"> </w:t>
            </w:r>
          </w:p>
          <w:p w14:paraId="1054989D" w14:textId="77777777" w:rsidR="00DA54AF" w:rsidRDefault="00DA54AF" w:rsidP="00DA54AF">
            <w:pPr>
              <w:pStyle w:val="Signed"/>
              <w:rPr>
                <w:lang w:val="en-GB"/>
              </w:rPr>
            </w:pPr>
            <w:r w:rsidRPr="00B00778" w:rsidDel="00542A8C">
              <w:rPr>
                <w:bCs w:val="0"/>
                <w:lang w:val="en-GB"/>
              </w:rPr>
              <w:t xml:space="preserve"> </w:t>
            </w:r>
            <w:r>
              <w:rPr>
                <w:lang w:val="en-GB"/>
              </w:rPr>
              <w:t>[Day]  [Month]  [Year]</w:t>
            </w:r>
          </w:p>
          <w:p w14:paraId="186F6C72" w14:textId="77777777" w:rsidR="00DA54AF" w:rsidRDefault="00DA54AF" w:rsidP="00DA54AF">
            <w:pPr>
              <w:pStyle w:val="Signed"/>
              <w:rPr>
                <w:lang w:val="en-GB"/>
              </w:rPr>
            </w:pPr>
          </w:p>
          <w:p w14:paraId="05A007BE" w14:textId="77777777" w:rsidR="00B24C58" w:rsidRPr="004A0AE7" w:rsidRDefault="00B24C58" w:rsidP="00DA54AF">
            <w:pPr>
              <w:pStyle w:val="Signed"/>
            </w:pPr>
            <w:r>
              <w:rPr>
                <w:rStyle w:val="SignedBold"/>
              </w:rPr>
              <w:t>Signed</w:t>
            </w:r>
            <w:r w:rsidRPr="004A0AE7">
              <w:t xml:space="preserve"> for and on behal</w:t>
            </w:r>
            <w:r w:rsidR="00DA54AF">
              <w:t>f of the</w:t>
            </w:r>
            <w:r w:rsidR="00DA54AF">
              <w:br/>
              <w:t>State of South Australia</w:t>
            </w:r>
            <w:r w:rsidRPr="004A0AE7">
              <w:t xml:space="preserve"> by</w:t>
            </w:r>
          </w:p>
          <w:p w14:paraId="6755AB95" w14:textId="77777777" w:rsidR="00B24C58" w:rsidRPr="00A50751" w:rsidRDefault="00B24C58" w:rsidP="00B24C58">
            <w:pPr>
              <w:pStyle w:val="LineForSignature"/>
            </w:pPr>
            <w:r w:rsidRPr="00A50751">
              <w:tab/>
            </w:r>
          </w:p>
          <w:p w14:paraId="5CA46FBC" w14:textId="6C48448F" w:rsidR="00B24C58" w:rsidRDefault="00B24C58" w:rsidP="005C5326">
            <w:pPr>
              <w:pStyle w:val="SingleParagraph"/>
              <w:jc w:val="left"/>
              <w:rPr>
                <w:rStyle w:val="Bold"/>
              </w:rPr>
            </w:pPr>
            <w:r>
              <w:rPr>
                <w:rStyle w:val="Bold"/>
              </w:rPr>
              <w:t xml:space="preserve">The Honourable </w:t>
            </w:r>
            <w:r w:rsidR="005C5326">
              <w:rPr>
                <w:rStyle w:val="Bold"/>
              </w:rPr>
              <w:t xml:space="preserve">Peter </w:t>
            </w:r>
            <w:proofErr w:type="spellStart"/>
            <w:r w:rsidR="005C5326">
              <w:rPr>
                <w:rStyle w:val="Bold"/>
              </w:rPr>
              <w:t>Malinauskas</w:t>
            </w:r>
            <w:proofErr w:type="spellEnd"/>
            <w:r w:rsidR="00CB73FC">
              <w:rPr>
                <w:rStyle w:val="Bold"/>
              </w:rPr>
              <w:t xml:space="preserve"> </w:t>
            </w:r>
            <w:r w:rsidR="00BE760E">
              <w:rPr>
                <w:rStyle w:val="Bold"/>
              </w:rPr>
              <w:t>MLC</w:t>
            </w:r>
          </w:p>
          <w:p w14:paraId="2B5F5BC3" w14:textId="4FFA9BB0" w:rsidR="00B24C58" w:rsidRDefault="00B24C58" w:rsidP="00B24C58">
            <w:pPr>
              <w:pStyle w:val="Position"/>
              <w:rPr>
                <w:lang w:val="en-GB"/>
              </w:rPr>
            </w:pPr>
            <w:r>
              <w:rPr>
                <w:lang w:val="en-GB"/>
              </w:rPr>
              <w:t xml:space="preserve">Minister for </w:t>
            </w:r>
            <w:r w:rsidR="005C5326">
              <w:rPr>
                <w:lang w:val="en-GB"/>
              </w:rPr>
              <w:t>Health</w:t>
            </w:r>
            <w:r>
              <w:rPr>
                <w:lang w:val="en-GB"/>
              </w:rPr>
              <w:t xml:space="preserve"> </w:t>
            </w:r>
          </w:p>
          <w:p w14:paraId="045000DD" w14:textId="77777777" w:rsidR="00094AC7" w:rsidRDefault="00B24C58" w:rsidP="00CB73FC">
            <w:pPr>
              <w:pStyle w:val="SingleParagraph"/>
              <w:tabs>
                <w:tab w:val="num" w:pos="1134"/>
              </w:tabs>
              <w:spacing w:after="240"/>
              <w:rPr>
                <w:lang w:val="en-GB"/>
              </w:rPr>
            </w:pPr>
            <w:r>
              <w:rPr>
                <w:lang w:val="en-GB"/>
              </w:rPr>
              <w:t>[Day]  [Month]  [Year]</w:t>
            </w:r>
          </w:p>
          <w:p w14:paraId="0C3DDA88" w14:textId="77777777" w:rsidR="00DA54AF" w:rsidRDefault="00DA54AF" w:rsidP="00B24C58">
            <w:pPr>
              <w:pStyle w:val="SingleParagraph"/>
              <w:tabs>
                <w:tab w:val="num" w:pos="1134"/>
              </w:tabs>
              <w:spacing w:after="240"/>
              <w:ind w:left="1134" w:hanging="567"/>
              <w:rPr>
                <w:lang w:val="en-GB"/>
              </w:rPr>
            </w:pPr>
          </w:p>
          <w:p w14:paraId="3BF54862" w14:textId="77777777" w:rsidR="00DA54AF" w:rsidRPr="004A0AE7" w:rsidRDefault="00DA54AF" w:rsidP="00DA54AF">
            <w:pPr>
              <w:pStyle w:val="Signed"/>
            </w:pPr>
            <w:r>
              <w:rPr>
                <w:rStyle w:val="SignedBold"/>
              </w:rPr>
              <w:t>Signed</w:t>
            </w:r>
            <w:r w:rsidRPr="004A0AE7">
              <w:t xml:space="preserve"> for and on behalf o</w:t>
            </w:r>
            <w:r w:rsidR="002069BE">
              <w:t>f the</w:t>
            </w:r>
            <w:r w:rsidR="002069BE">
              <w:br/>
              <w:t>State of Australian Capital Territory</w:t>
            </w:r>
            <w:r w:rsidRPr="004A0AE7">
              <w:t xml:space="preserve"> by</w:t>
            </w:r>
          </w:p>
          <w:p w14:paraId="4BE69B30" w14:textId="77777777" w:rsidR="00DA54AF" w:rsidRPr="00A50751" w:rsidRDefault="00DA54AF" w:rsidP="00DA54AF">
            <w:pPr>
              <w:pStyle w:val="LineForSignature"/>
            </w:pPr>
            <w:r w:rsidRPr="00A50751">
              <w:tab/>
            </w:r>
          </w:p>
          <w:p w14:paraId="68DC5421" w14:textId="77777777" w:rsidR="00DA54AF" w:rsidRDefault="00DA54AF" w:rsidP="00DA54AF">
            <w:pPr>
              <w:pStyle w:val="SingleParagraph"/>
              <w:rPr>
                <w:rStyle w:val="Bold"/>
              </w:rPr>
            </w:pPr>
            <w:r>
              <w:rPr>
                <w:rStyle w:val="Bold"/>
              </w:rPr>
              <w:t xml:space="preserve">The Honourable </w:t>
            </w:r>
            <w:proofErr w:type="spellStart"/>
            <w:r w:rsidR="00CB73FC">
              <w:rPr>
                <w:rStyle w:val="Bold"/>
              </w:rPr>
              <w:t>Meegan</w:t>
            </w:r>
            <w:proofErr w:type="spellEnd"/>
            <w:r w:rsidR="00CB73FC">
              <w:rPr>
                <w:rStyle w:val="Bold"/>
              </w:rPr>
              <w:t xml:space="preserve"> </w:t>
            </w:r>
            <w:proofErr w:type="spellStart"/>
            <w:r w:rsidR="00CB73FC">
              <w:rPr>
                <w:rStyle w:val="Bold"/>
              </w:rPr>
              <w:t>Fitzharris</w:t>
            </w:r>
            <w:proofErr w:type="spellEnd"/>
            <w:r w:rsidR="00CB73FC">
              <w:rPr>
                <w:rStyle w:val="Bold"/>
              </w:rPr>
              <w:t xml:space="preserve"> </w:t>
            </w:r>
            <w:r>
              <w:rPr>
                <w:rStyle w:val="Bold"/>
              </w:rPr>
              <w:t>MP</w:t>
            </w:r>
          </w:p>
          <w:p w14:paraId="67947211" w14:textId="77777777" w:rsidR="00DA54AF" w:rsidRDefault="00CB73FC" w:rsidP="00DA54AF">
            <w:pPr>
              <w:pStyle w:val="Position"/>
              <w:rPr>
                <w:lang w:val="en-GB"/>
              </w:rPr>
            </w:pPr>
            <w:r>
              <w:rPr>
                <w:lang w:val="en-GB"/>
              </w:rPr>
              <w:t>Minister for Health</w:t>
            </w:r>
            <w:r w:rsidR="00DA54AF">
              <w:rPr>
                <w:lang w:val="en-GB"/>
              </w:rPr>
              <w:t xml:space="preserve"> </w:t>
            </w:r>
          </w:p>
          <w:p w14:paraId="44E8EE96" w14:textId="77777777" w:rsidR="00DA54AF" w:rsidRPr="00A50751" w:rsidRDefault="00DA54AF" w:rsidP="00CB73FC">
            <w:pPr>
              <w:pStyle w:val="SingleParagraph"/>
              <w:tabs>
                <w:tab w:val="num" w:pos="1134"/>
              </w:tabs>
              <w:spacing w:after="240"/>
              <w:rPr>
                <w:lang w:val="en-GB"/>
              </w:rPr>
            </w:pPr>
            <w:r>
              <w:rPr>
                <w:lang w:val="en-GB"/>
              </w:rPr>
              <w:t>[Day]  [Month]  [Year]</w:t>
            </w:r>
          </w:p>
        </w:tc>
        <w:tc>
          <w:tcPr>
            <w:tcW w:w="284" w:type="dxa"/>
            <w:tcMar>
              <w:left w:w="0" w:type="dxa"/>
              <w:right w:w="0" w:type="dxa"/>
            </w:tcMar>
          </w:tcPr>
          <w:p w14:paraId="3715C65C" w14:textId="77777777" w:rsidR="00094AC7" w:rsidRPr="00A50751" w:rsidRDefault="00094AC7" w:rsidP="006073F2">
            <w:pPr>
              <w:rPr>
                <w:rFonts w:ascii="Book Antiqua" w:hAnsi="Book Antiqua"/>
                <w:lang w:val="en-GB"/>
              </w:rPr>
            </w:pPr>
          </w:p>
        </w:tc>
        <w:tc>
          <w:tcPr>
            <w:tcW w:w="4536" w:type="dxa"/>
          </w:tcPr>
          <w:p w14:paraId="59679767" w14:textId="77777777" w:rsidR="00DA54AF" w:rsidRPr="004A0AE7" w:rsidRDefault="00DA54AF" w:rsidP="00DA54AF">
            <w:pPr>
              <w:pStyle w:val="Signed"/>
            </w:pPr>
            <w:r>
              <w:rPr>
                <w:rStyle w:val="SignedBold"/>
              </w:rPr>
              <w:t>Signed</w:t>
            </w:r>
            <w:r w:rsidRPr="004A0AE7">
              <w:t xml:space="preserve"> for and on behalf of the</w:t>
            </w:r>
            <w:r w:rsidRPr="004A0AE7">
              <w:br/>
              <w:t>State of Western Australia by</w:t>
            </w:r>
          </w:p>
          <w:p w14:paraId="76283E67" w14:textId="77777777" w:rsidR="00DA54AF" w:rsidRPr="00A50751" w:rsidRDefault="00DA54AF" w:rsidP="00DA54AF">
            <w:pPr>
              <w:pStyle w:val="LineForSignature"/>
            </w:pPr>
            <w:r w:rsidRPr="00A50751">
              <w:tab/>
            </w:r>
          </w:p>
          <w:p w14:paraId="00EEFC85" w14:textId="77777777" w:rsidR="00DA54AF" w:rsidRDefault="00DA54AF" w:rsidP="00DA54AF">
            <w:pPr>
              <w:pStyle w:val="SingleParagraph"/>
              <w:rPr>
                <w:rStyle w:val="Bold"/>
              </w:rPr>
            </w:pPr>
            <w:r>
              <w:rPr>
                <w:rStyle w:val="Bold"/>
              </w:rPr>
              <w:t xml:space="preserve">The Honourable </w:t>
            </w:r>
            <w:r w:rsidR="00CB73FC">
              <w:rPr>
                <w:rStyle w:val="Bold"/>
              </w:rPr>
              <w:t>Roger Hugh Cook</w:t>
            </w:r>
            <w:r>
              <w:rPr>
                <w:rStyle w:val="Bold"/>
              </w:rPr>
              <w:t xml:space="preserve"> MP</w:t>
            </w:r>
          </w:p>
          <w:p w14:paraId="6B5A1A9C" w14:textId="77777777" w:rsidR="00DA54AF" w:rsidRDefault="00CB73FC" w:rsidP="00DA54AF">
            <w:pPr>
              <w:pStyle w:val="Position"/>
              <w:rPr>
                <w:lang w:val="en-GB"/>
              </w:rPr>
            </w:pPr>
            <w:r>
              <w:rPr>
                <w:lang w:val="en-GB"/>
              </w:rPr>
              <w:t>Minister for Health</w:t>
            </w:r>
            <w:r w:rsidR="00DA54AF">
              <w:rPr>
                <w:lang w:val="en-GB"/>
              </w:rPr>
              <w:t xml:space="preserve"> </w:t>
            </w:r>
          </w:p>
          <w:p w14:paraId="7ABBB786" w14:textId="77777777" w:rsidR="00DA54AF" w:rsidRDefault="00DA54AF" w:rsidP="00DA54AF">
            <w:pPr>
              <w:pStyle w:val="Signed"/>
              <w:rPr>
                <w:lang w:val="en-GB"/>
              </w:rPr>
            </w:pPr>
            <w:r w:rsidDel="00542A8C">
              <w:rPr>
                <w:lang w:val="en-GB"/>
              </w:rPr>
              <w:t xml:space="preserve"> </w:t>
            </w:r>
            <w:r>
              <w:rPr>
                <w:lang w:val="en-GB"/>
              </w:rPr>
              <w:t>[Day]  [Month]  [Year]</w:t>
            </w:r>
          </w:p>
          <w:p w14:paraId="0E7C87CB" w14:textId="77777777" w:rsidR="00DA54AF" w:rsidRDefault="00DA54AF" w:rsidP="00DA54AF">
            <w:pPr>
              <w:pStyle w:val="Signed"/>
              <w:rPr>
                <w:lang w:val="en-GB"/>
              </w:rPr>
            </w:pPr>
          </w:p>
          <w:p w14:paraId="5A7230D0" w14:textId="77777777" w:rsidR="002069BE" w:rsidRPr="004A0AE7" w:rsidRDefault="002069BE" w:rsidP="002069BE">
            <w:pPr>
              <w:pStyle w:val="Signed"/>
            </w:pPr>
            <w:r>
              <w:rPr>
                <w:rStyle w:val="SignedBold"/>
              </w:rPr>
              <w:t>Signed</w:t>
            </w:r>
            <w:r w:rsidRPr="004A0AE7">
              <w:t xml:space="preserve"> for and on behal</w:t>
            </w:r>
            <w:r>
              <w:t>f of the</w:t>
            </w:r>
            <w:r>
              <w:br/>
              <w:t>State of Tasmania</w:t>
            </w:r>
            <w:r w:rsidRPr="004A0AE7">
              <w:t xml:space="preserve"> by</w:t>
            </w:r>
          </w:p>
          <w:p w14:paraId="69C792FF" w14:textId="77777777" w:rsidR="002069BE" w:rsidRPr="00A50751" w:rsidRDefault="002069BE" w:rsidP="002069BE">
            <w:pPr>
              <w:pStyle w:val="LineForSignature"/>
            </w:pPr>
            <w:r w:rsidRPr="00A50751">
              <w:tab/>
            </w:r>
          </w:p>
          <w:p w14:paraId="285F2F02" w14:textId="77777777" w:rsidR="002069BE" w:rsidRDefault="002069BE" w:rsidP="002069BE">
            <w:pPr>
              <w:pStyle w:val="SingleParagraph"/>
              <w:rPr>
                <w:rStyle w:val="Bold"/>
              </w:rPr>
            </w:pPr>
            <w:r>
              <w:rPr>
                <w:rStyle w:val="Bold"/>
              </w:rPr>
              <w:t xml:space="preserve">The Honourable </w:t>
            </w:r>
            <w:r w:rsidR="00CB73FC">
              <w:rPr>
                <w:rStyle w:val="Bold"/>
              </w:rPr>
              <w:t xml:space="preserve">Michael Ferguson </w:t>
            </w:r>
            <w:r>
              <w:rPr>
                <w:rStyle w:val="Bold"/>
              </w:rPr>
              <w:t>MP</w:t>
            </w:r>
          </w:p>
          <w:p w14:paraId="669B288E" w14:textId="77777777" w:rsidR="002069BE" w:rsidRDefault="002069BE" w:rsidP="002069BE">
            <w:pPr>
              <w:pStyle w:val="Position"/>
              <w:rPr>
                <w:lang w:val="en-GB"/>
              </w:rPr>
            </w:pPr>
            <w:r>
              <w:rPr>
                <w:lang w:val="en-GB"/>
              </w:rPr>
              <w:t>Minister for</w:t>
            </w:r>
            <w:r w:rsidR="00CB73FC">
              <w:rPr>
                <w:lang w:val="en-GB"/>
              </w:rPr>
              <w:t xml:space="preserve"> Health</w:t>
            </w:r>
            <w:r>
              <w:rPr>
                <w:lang w:val="en-GB"/>
              </w:rPr>
              <w:t xml:space="preserve"> </w:t>
            </w:r>
          </w:p>
          <w:p w14:paraId="696FBEB4" w14:textId="77777777" w:rsidR="002069BE" w:rsidRDefault="002069BE" w:rsidP="00CB73FC">
            <w:pPr>
              <w:pStyle w:val="SingleParagraph"/>
              <w:tabs>
                <w:tab w:val="num" w:pos="1134"/>
              </w:tabs>
              <w:spacing w:after="240"/>
              <w:rPr>
                <w:lang w:val="en-GB"/>
              </w:rPr>
            </w:pPr>
            <w:r>
              <w:rPr>
                <w:lang w:val="en-GB"/>
              </w:rPr>
              <w:t>[Day]  [Month]  [Year]</w:t>
            </w:r>
          </w:p>
          <w:p w14:paraId="7EF3E78A" w14:textId="77777777" w:rsidR="00DA54AF" w:rsidRDefault="00DA54AF" w:rsidP="00B24C58">
            <w:pPr>
              <w:pStyle w:val="SingleParagraph"/>
              <w:tabs>
                <w:tab w:val="num" w:pos="1134"/>
              </w:tabs>
              <w:spacing w:after="240"/>
              <w:ind w:left="1134" w:hanging="567"/>
              <w:rPr>
                <w:lang w:val="en-GB"/>
              </w:rPr>
            </w:pPr>
          </w:p>
          <w:p w14:paraId="6E068567" w14:textId="77777777" w:rsidR="00DA54AF" w:rsidRPr="004A0AE7" w:rsidRDefault="00DA54AF" w:rsidP="00DA54AF">
            <w:pPr>
              <w:pStyle w:val="Signed"/>
            </w:pPr>
            <w:r>
              <w:rPr>
                <w:rStyle w:val="SignedBold"/>
              </w:rPr>
              <w:t>Signed</w:t>
            </w:r>
            <w:r w:rsidRPr="004A0AE7">
              <w:t xml:space="preserve"> for and on behalf o</w:t>
            </w:r>
            <w:r w:rsidR="002069BE">
              <w:t>f the</w:t>
            </w:r>
            <w:r w:rsidR="002069BE">
              <w:br/>
              <w:t xml:space="preserve">State of </w:t>
            </w:r>
            <w:r w:rsidR="002069BE" w:rsidRPr="004A0AE7">
              <w:t>Northern Territory</w:t>
            </w:r>
            <w:r w:rsidRPr="004A0AE7">
              <w:t xml:space="preserve"> by</w:t>
            </w:r>
          </w:p>
          <w:p w14:paraId="0B38AC65" w14:textId="77777777" w:rsidR="00DA54AF" w:rsidRPr="00A50751" w:rsidRDefault="00DA54AF" w:rsidP="00DA54AF">
            <w:pPr>
              <w:pStyle w:val="LineForSignature"/>
            </w:pPr>
            <w:r w:rsidRPr="00A50751">
              <w:tab/>
            </w:r>
          </w:p>
          <w:p w14:paraId="183A486E" w14:textId="77777777" w:rsidR="00DA54AF" w:rsidRDefault="00DA54AF" w:rsidP="00DA54AF">
            <w:pPr>
              <w:pStyle w:val="SingleParagraph"/>
              <w:rPr>
                <w:rStyle w:val="Bold"/>
              </w:rPr>
            </w:pPr>
            <w:r>
              <w:rPr>
                <w:rStyle w:val="Bold"/>
              </w:rPr>
              <w:t xml:space="preserve">The Honourable </w:t>
            </w:r>
            <w:r w:rsidR="00885CF2">
              <w:rPr>
                <w:rStyle w:val="Bold"/>
              </w:rPr>
              <w:t>Natasha</w:t>
            </w:r>
            <w:r w:rsidR="00CB73FC">
              <w:rPr>
                <w:rStyle w:val="Bold"/>
              </w:rPr>
              <w:t xml:space="preserve"> </w:t>
            </w:r>
            <w:proofErr w:type="spellStart"/>
            <w:r w:rsidR="00CB73FC">
              <w:rPr>
                <w:rStyle w:val="Bold"/>
              </w:rPr>
              <w:t>Fyles</w:t>
            </w:r>
            <w:proofErr w:type="spellEnd"/>
            <w:r w:rsidR="00CB73FC">
              <w:rPr>
                <w:rStyle w:val="Bold"/>
              </w:rPr>
              <w:t xml:space="preserve"> MLA</w:t>
            </w:r>
          </w:p>
          <w:p w14:paraId="0EF95E1C" w14:textId="77777777" w:rsidR="00DA54AF" w:rsidRDefault="00CB73FC" w:rsidP="00DA54AF">
            <w:pPr>
              <w:pStyle w:val="Position"/>
              <w:rPr>
                <w:lang w:val="en-GB"/>
              </w:rPr>
            </w:pPr>
            <w:r>
              <w:rPr>
                <w:lang w:val="en-GB"/>
              </w:rPr>
              <w:t>Minister for Health</w:t>
            </w:r>
            <w:r w:rsidR="00DA54AF">
              <w:rPr>
                <w:lang w:val="en-GB"/>
              </w:rPr>
              <w:t xml:space="preserve"> </w:t>
            </w:r>
          </w:p>
          <w:p w14:paraId="0F9C09DA" w14:textId="77777777" w:rsidR="00DA54AF" w:rsidRPr="00A50751" w:rsidRDefault="00DA54AF" w:rsidP="00CB73FC">
            <w:pPr>
              <w:pStyle w:val="SingleParagraph"/>
              <w:tabs>
                <w:tab w:val="num" w:pos="1134"/>
              </w:tabs>
              <w:spacing w:after="240"/>
              <w:rPr>
                <w:lang w:val="en-GB"/>
              </w:rPr>
            </w:pPr>
            <w:r>
              <w:rPr>
                <w:lang w:val="en-GB"/>
              </w:rPr>
              <w:t>[Day]  [Month]  [Year]</w:t>
            </w:r>
          </w:p>
        </w:tc>
      </w:tr>
      <w:tr w:rsidR="00094AC7" w:rsidRPr="00A50751" w14:paraId="1EE4C9D3" w14:textId="77777777" w:rsidTr="006073F2">
        <w:trPr>
          <w:cantSplit/>
          <w:jc w:val="center"/>
        </w:trPr>
        <w:tc>
          <w:tcPr>
            <w:tcW w:w="4536" w:type="dxa"/>
          </w:tcPr>
          <w:p w14:paraId="643352D5" w14:textId="77777777" w:rsidR="00094AC7" w:rsidRPr="00A50751" w:rsidRDefault="00094AC7" w:rsidP="006073F2">
            <w:pPr>
              <w:pStyle w:val="SingleParagraph"/>
              <w:rPr>
                <w:rFonts w:ascii="Book Antiqua" w:hAnsi="Book Antiqua"/>
                <w:lang w:val="en-GB"/>
              </w:rPr>
            </w:pPr>
          </w:p>
        </w:tc>
        <w:tc>
          <w:tcPr>
            <w:tcW w:w="284" w:type="dxa"/>
            <w:tcMar>
              <w:left w:w="0" w:type="dxa"/>
              <w:right w:w="0" w:type="dxa"/>
            </w:tcMar>
          </w:tcPr>
          <w:p w14:paraId="1FFDA10E" w14:textId="77777777" w:rsidR="00094AC7" w:rsidRPr="00A50751" w:rsidRDefault="00094AC7" w:rsidP="006073F2">
            <w:pPr>
              <w:pStyle w:val="SingleParagraph"/>
              <w:rPr>
                <w:rFonts w:ascii="Book Antiqua" w:hAnsi="Book Antiqua"/>
                <w:lang w:val="en-GB"/>
              </w:rPr>
            </w:pPr>
          </w:p>
        </w:tc>
        <w:tc>
          <w:tcPr>
            <w:tcW w:w="4536" w:type="dxa"/>
          </w:tcPr>
          <w:p w14:paraId="60184A3C" w14:textId="77777777" w:rsidR="00094AC7" w:rsidRPr="00A50751" w:rsidRDefault="00094AC7" w:rsidP="006073F2">
            <w:pPr>
              <w:pStyle w:val="SingleParagraph"/>
              <w:rPr>
                <w:rFonts w:ascii="Book Antiqua" w:hAnsi="Book Antiqua"/>
                <w:lang w:val="en-GB"/>
              </w:rPr>
            </w:pPr>
          </w:p>
        </w:tc>
      </w:tr>
    </w:tbl>
    <w:p w14:paraId="362EBA87" w14:textId="77777777" w:rsidR="00402044" w:rsidRDefault="00402044" w:rsidP="005B13AD">
      <w:pPr>
        <w:spacing w:after="0" w:line="240" w:lineRule="auto"/>
        <w:jc w:val="left"/>
        <w:rPr>
          <w:b/>
        </w:rPr>
      </w:pPr>
      <w:bookmarkStart w:id="1" w:name="top"/>
      <w:bookmarkEnd w:id="1"/>
    </w:p>
    <w:sectPr w:rsidR="00402044" w:rsidSect="005B13AD">
      <w:headerReference w:type="even" r:id="rId20"/>
      <w:headerReference w:type="default" r:id="rId21"/>
      <w:footerReference w:type="even" r:id="rId22"/>
      <w:headerReference w:type="first" r:id="rId23"/>
      <w:footerReference w:type="first" r:id="rId24"/>
      <w:pgSz w:w="11906" w:h="16838" w:code="9"/>
      <w:pgMar w:top="1134" w:right="1134" w:bottom="709" w:left="851" w:header="709" w:footer="709" w:gutter="0"/>
      <w:pgNumType w:start="8"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BAD1" w14:textId="77777777" w:rsidR="001F6201" w:rsidRDefault="001F6201">
      <w:r>
        <w:separator/>
      </w:r>
    </w:p>
  </w:endnote>
  <w:endnote w:type="continuationSeparator" w:id="0">
    <w:p w14:paraId="5B8E5749" w14:textId="77777777" w:rsidR="001F6201" w:rsidRDefault="001F6201">
      <w:r>
        <w:continuationSeparator/>
      </w:r>
    </w:p>
  </w:endnote>
  <w:endnote w:type="continuationNotice" w:id="1">
    <w:p w14:paraId="618C547B" w14:textId="77777777" w:rsidR="001F6201" w:rsidRDefault="001F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D873" w14:textId="77777777" w:rsidR="001E3A37" w:rsidRDefault="001E3A37">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AC8EBE" w14:textId="77777777" w:rsidR="001E3A37" w:rsidRDefault="001E3A37">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984A" w14:textId="77777777" w:rsidR="001E3A37" w:rsidRDefault="001E3A37" w:rsidP="00836AE6">
    <w:pPr>
      <w:pStyle w:val="FooterOdd"/>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A295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AF37" w14:textId="5C6A73F5" w:rsidR="001E3A37" w:rsidRDefault="001E3A37">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D533" w14:textId="77777777" w:rsidR="001E3A37" w:rsidRDefault="001E3A37" w:rsidP="008A7A45">
    <w:pPr>
      <w:pStyle w:val="FooterEven"/>
      <w:keepNext/>
      <w:tabs>
        <w:tab w:val="num" w:pos="1701"/>
      </w:tabs>
      <w:jc w:val="right"/>
      <w:rPr>
        <w:rStyle w:val="PageNumber"/>
      </w:rPr>
    </w:pPr>
    <w:r>
      <w:t xml:space="preserve">Page </w:t>
    </w:r>
  </w:p>
  <w:p w14:paraId="43B9E523" w14:textId="77777777" w:rsidR="001E3A37" w:rsidRDefault="001E3A37">
    <w:pPr>
      <w:pStyle w:val="FooterEven"/>
      <w:keepNext/>
      <w:tabs>
        <w:tab w:val="num" w:pos="17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EDF4" w14:textId="77777777" w:rsidR="005B13AD" w:rsidRDefault="005B13AD">
    <w:pPr>
      <w:pStyle w:val="FooterOdd"/>
      <w:keepNext/>
      <w:tabs>
        <w:tab w:val="num" w:pos="567"/>
      </w:tabs>
      <w:rPr>
        <w:rStyle w:val="PageNumber"/>
      </w:rPr>
    </w:pPr>
    <w:r>
      <w:t xml:space="preserve">Page </w:t>
    </w:r>
    <w:r>
      <w:rPr>
        <w:rStyle w:val="PageNumber"/>
      </w:rPr>
      <w:t>8</w:t>
    </w:r>
  </w:p>
  <w:p w14:paraId="76B6ACB0" w14:textId="77777777" w:rsidR="005B13AD" w:rsidRDefault="005B13AD">
    <w:pPr>
      <w:pStyle w:val="FooterOdd"/>
      <w:keepNext/>
      <w:tabs>
        <w:tab w:val="num" w:pos="5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1E06" w14:textId="77777777" w:rsidR="001F6201" w:rsidRDefault="001F6201">
      <w:r>
        <w:separator/>
      </w:r>
    </w:p>
  </w:footnote>
  <w:footnote w:type="continuationSeparator" w:id="0">
    <w:p w14:paraId="57B88217" w14:textId="77777777" w:rsidR="001F6201" w:rsidRDefault="001F6201">
      <w:r>
        <w:continuationSeparator/>
      </w:r>
    </w:p>
  </w:footnote>
  <w:footnote w:type="continuationNotice" w:id="1">
    <w:p w14:paraId="72E90945" w14:textId="77777777" w:rsidR="001F6201" w:rsidRDefault="001F62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E4BE" w14:textId="77777777" w:rsidR="001E3A37" w:rsidRPr="00814590" w:rsidRDefault="001E3A37">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43D7" w14:textId="4AA38560" w:rsidR="001E3A37" w:rsidRPr="00B30B18" w:rsidRDefault="001E3A37" w:rsidP="00B30B18">
    <w:pPr>
      <w:pStyle w:val="HeaderOdd"/>
      <w:tabs>
        <w:tab w:val="num" w:pos="1134"/>
      </w:tabs>
      <w:rPr>
        <w:color w:val="800000"/>
      </w:rPr>
    </w:pPr>
    <w:r w:rsidRPr="007652DB">
      <w:rPr>
        <w:b/>
        <w:color w:val="FF0000"/>
      </w:rPr>
      <w:t xml:space="preserve"> </w:t>
    </w:r>
    <w:r w:rsidRPr="00B30B18">
      <w:rPr>
        <w:color w:val="800000"/>
      </w:rPr>
      <w:t>P</w:t>
    </w:r>
    <w:r>
      <w:rPr>
        <w:color w:val="800000"/>
      </w:rPr>
      <w:t>roject Agreement for Encouraging More Clinical Trials in Australia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F10C" w14:textId="77777777" w:rsidR="001E3A37" w:rsidRPr="00624ACD" w:rsidRDefault="001E3A37" w:rsidP="00624A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E662" w14:textId="77777777" w:rsidR="001E3A37" w:rsidRPr="00B74B67" w:rsidRDefault="001E3A37" w:rsidP="00836AE6">
    <w:pPr>
      <w:pStyle w:val="Header"/>
      <w:keepNext w:val="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2D42" w14:textId="77777777" w:rsidR="001E3A37" w:rsidRPr="00751725" w:rsidRDefault="001E3A37" w:rsidP="00836AE6">
    <w:pPr>
      <w:pStyle w:val="Header"/>
      <w:keepNext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580"/>
    <w:multiLevelType w:val="hybridMultilevel"/>
    <w:tmpl w:val="3FE4865A"/>
    <w:lvl w:ilvl="0" w:tplc="01D0FFB4">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59021EF"/>
    <w:multiLevelType w:val="hybridMultilevel"/>
    <w:tmpl w:val="3BB04B4A"/>
    <w:lvl w:ilvl="0" w:tplc="97841C62">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0E312165"/>
    <w:multiLevelType w:val="hybridMultilevel"/>
    <w:tmpl w:val="8CA41BB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1EF2BD8"/>
    <w:multiLevelType w:val="hybridMultilevel"/>
    <w:tmpl w:val="65A2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6772FA"/>
    <w:multiLevelType w:val="hybridMultilevel"/>
    <w:tmpl w:val="84EAA744"/>
    <w:lvl w:ilvl="0" w:tplc="462687E4">
      <w:start w:val="2020"/>
      <w:numFmt w:val="bullet"/>
      <w:lvlText w:val="-"/>
      <w:lvlJc w:val="left"/>
      <w:pPr>
        <w:ind w:left="770" w:hanging="360"/>
      </w:pPr>
      <w:rPr>
        <w:rFonts w:ascii="Corbel" w:eastAsia="Times New Roman" w:hAnsi="Corbel" w:cs="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B14097"/>
    <w:multiLevelType w:val="hybridMultilevel"/>
    <w:tmpl w:val="A62EB222"/>
    <w:lvl w:ilvl="0" w:tplc="D5FA7150">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0">
    <w:nsid w:val="23511FDF"/>
    <w:multiLevelType w:val="hybridMultilevel"/>
    <w:tmpl w:val="BF247AB0"/>
    <w:lvl w:ilvl="0" w:tplc="0C09001B">
      <w:start w:val="1"/>
      <w:numFmt w:val="lowerRoman"/>
      <w:lvlText w:val="%1."/>
      <w:lvlJc w:val="right"/>
      <w:pPr>
        <w:ind w:left="1494" w:hanging="360"/>
      </w:pPr>
      <w:rPr>
        <w:rFont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nsid w:val="242904B0"/>
    <w:multiLevelType w:val="hybridMultilevel"/>
    <w:tmpl w:val="67386D92"/>
    <w:lvl w:ilvl="0" w:tplc="0C09000F">
      <w:start w:val="1"/>
      <w:numFmt w:val="decimal"/>
      <w:lvlText w:val="%1."/>
      <w:lvlJc w:val="left"/>
      <w:pPr>
        <w:tabs>
          <w:tab w:val="num" w:pos="1134"/>
        </w:tabs>
        <w:ind w:left="1134" w:hanging="567"/>
      </w:pPr>
      <w:rPr>
        <w:rFonts w:hint="default"/>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2">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56266D2"/>
    <w:multiLevelType w:val="hybridMultilevel"/>
    <w:tmpl w:val="B518D194"/>
    <w:lvl w:ilvl="0" w:tplc="EFF4EC58">
      <w:numFmt w:val="bullet"/>
      <w:lvlText w:val="-"/>
      <w:lvlJc w:val="left"/>
      <w:pPr>
        <w:ind w:left="1494" w:hanging="360"/>
      </w:pPr>
      <w:rPr>
        <w:rFonts w:ascii="Corbel" w:eastAsia="Times New Roman" w:hAnsi="Corbel"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27440C8B"/>
    <w:multiLevelType w:val="multilevel"/>
    <w:tmpl w:val="F2A403A2"/>
    <w:lvl w:ilvl="0">
      <w:start w:val="1"/>
      <w:numFmt w:val="bullet"/>
      <w:lvlRestart w:val="0"/>
      <w:pStyle w:val="Bullet"/>
      <w:lvlText w:val="•"/>
      <w:lvlJc w:val="left"/>
      <w:pPr>
        <w:tabs>
          <w:tab w:val="num" w:pos="566"/>
        </w:tabs>
        <w:ind w:left="566" w:hanging="283"/>
      </w:pPr>
      <w:rPr>
        <w:rFonts w:ascii="Times New Roman" w:hAnsi="Times New Roman"/>
        <w:b w:val="0"/>
        <w:i w:val="0"/>
      </w:rPr>
    </w:lvl>
    <w:lvl w:ilvl="1">
      <w:start w:val="1"/>
      <w:numFmt w:val="bullet"/>
      <w:pStyle w:val="Dash"/>
      <w:lvlText w:val="–"/>
      <w:lvlJc w:val="left"/>
      <w:pPr>
        <w:tabs>
          <w:tab w:val="num" w:pos="850"/>
        </w:tabs>
        <w:ind w:left="850" w:hanging="284"/>
      </w:pPr>
      <w:rPr>
        <w:rFonts w:ascii="Times New Roman" w:hAnsi="Times New Roman"/>
        <w:b w:val="0"/>
        <w:i w:val="0"/>
      </w:rPr>
    </w:lvl>
    <w:lvl w:ilvl="2">
      <w:start w:val="1"/>
      <w:numFmt w:val="bullet"/>
      <w:pStyle w:val="DoubleDo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5">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7">
    <w:nsid w:val="2BA34C07"/>
    <w:multiLevelType w:val="hybridMultilevel"/>
    <w:tmpl w:val="3732ED78"/>
    <w:lvl w:ilvl="0" w:tplc="4A2E3C64">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E776B8"/>
    <w:multiLevelType w:val="hybridMultilevel"/>
    <w:tmpl w:val="7B607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E27D04"/>
    <w:multiLevelType w:val="hybridMultilevel"/>
    <w:tmpl w:val="23BAF486"/>
    <w:lvl w:ilvl="0" w:tplc="AE56B93E">
      <w:numFmt w:val="bullet"/>
      <w:lvlText w:val="-"/>
      <w:lvlJc w:val="left"/>
      <w:pPr>
        <w:ind w:left="1494" w:hanging="360"/>
      </w:pPr>
      <w:rPr>
        <w:rFonts w:ascii="Corbel" w:eastAsia="Times New Roman" w:hAnsi="Corbel"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nsid w:val="339B0D56"/>
    <w:multiLevelType w:val="hybridMultilevel"/>
    <w:tmpl w:val="CAD617EA"/>
    <w:lvl w:ilvl="0" w:tplc="462687E4">
      <w:start w:val="2020"/>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8F785A"/>
    <w:multiLevelType w:val="hybridMultilevel"/>
    <w:tmpl w:val="DC0C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1A3467"/>
    <w:multiLevelType w:val="hybridMultilevel"/>
    <w:tmpl w:val="43FC8D18"/>
    <w:lvl w:ilvl="0" w:tplc="A086C094">
      <w:start w:val="1"/>
      <w:numFmt w:val="lowerRoman"/>
      <w:lvlText w:val="i.i%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nsid w:val="43E30CE9"/>
    <w:multiLevelType w:val="hybridMultilevel"/>
    <w:tmpl w:val="DBB8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6">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51B41EF9"/>
    <w:multiLevelType w:val="hybridMultilevel"/>
    <w:tmpl w:val="B7D4AF44"/>
    <w:lvl w:ilvl="0" w:tplc="0C09001B">
      <w:start w:val="1"/>
      <w:numFmt w:val="lowerRoman"/>
      <w:lvlText w:val="%1."/>
      <w:lvlJc w:val="right"/>
      <w:pPr>
        <w:tabs>
          <w:tab w:val="num" w:pos="1134"/>
        </w:tabs>
        <w:ind w:left="1134" w:hanging="567"/>
      </w:pPr>
      <w:rPr>
        <w:rFonts w:hint="default"/>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8">
    <w:nsid w:val="53B634AC"/>
    <w:multiLevelType w:val="hybridMultilevel"/>
    <w:tmpl w:val="F114398A"/>
    <w:lvl w:ilvl="0" w:tplc="1F848674">
      <w:start w:val="1"/>
      <w:numFmt w:val="lowerRoman"/>
      <w:lvlText w:val="%1."/>
      <w:lvlJc w:val="right"/>
      <w:pPr>
        <w:tabs>
          <w:tab w:val="num" w:pos="1134"/>
        </w:tabs>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F05EB7"/>
    <w:multiLevelType w:val="hybridMultilevel"/>
    <w:tmpl w:val="BF247AB0"/>
    <w:lvl w:ilvl="0" w:tplc="0C09001B">
      <w:start w:val="1"/>
      <w:numFmt w:val="lowerRoman"/>
      <w:lvlText w:val="%1."/>
      <w:lvlJc w:val="right"/>
      <w:pPr>
        <w:ind w:left="1494" w:hanging="360"/>
      </w:pPr>
      <w:rPr>
        <w:rFont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31">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3">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4">
    <w:nsid w:val="69B22CA0"/>
    <w:multiLevelType w:val="hybridMultilevel"/>
    <w:tmpl w:val="655E2AF6"/>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nsid w:val="6CE30198"/>
    <w:multiLevelType w:val="hybridMultilevel"/>
    <w:tmpl w:val="99DC2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617489"/>
    <w:multiLevelType w:val="hybridMultilevel"/>
    <w:tmpl w:val="F2428816"/>
    <w:lvl w:ilvl="0" w:tplc="E55CB1D0">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8">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9">
    <w:nsid w:val="76B72EB4"/>
    <w:multiLevelType w:val="hybridMultilevel"/>
    <w:tmpl w:val="9B18817A"/>
    <w:lvl w:ilvl="0" w:tplc="0C09000F">
      <w:start w:val="1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nsid w:val="78854AAC"/>
    <w:multiLevelType w:val="hybridMultilevel"/>
    <w:tmpl w:val="0E1EF11C"/>
    <w:lvl w:ilvl="0" w:tplc="FFFFFFFF">
      <w:start w:val="1"/>
      <w:numFmt w:val="decimal"/>
      <w:lvlText w:val="%1."/>
      <w:lvlJc w:val="left"/>
      <w:pPr>
        <w:tabs>
          <w:tab w:val="num" w:pos="567"/>
        </w:tabs>
        <w:ind w:left="567" w:hanging="567"/>
      </w:pPr>
      <w:rPr>
        <w:rFonts w:cs="Times New Roman" w:hint="default"/>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B664040"/>
    <w:multiLevelType w:val="multilevel"/>
    <w:tmpl w:val="5CC6A262"/>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nsid w:val="7CBC1748"/>
    <w:multiLevelType w:val="hybridMultilevel"/>
    <w:tmpl w:val="69C08CBE"/>
    <w:lvl w:ilvl="0" w:tplc="E4042942">
      <w:start w:val="1"/>
      <w:numFmt w:val="decimal"/>
      <w:lvlText w:val="%1."/>
      <w:lvlJc w:val="left"/>
      <w:pPr>
        <w:ind w:left="1572" w:hanging="360"/>
      </w:pPr>
      <w:rPr>
        <w:rFonts w:asciiTheme="minorHAnsi" w:eastAsia="Times New Roman" w:hAnsiTheme="minorHAnsi" w:cs="Times New Roman" w:hint="default"/>
        <w:b w:val="0"/>
        <w:i w:val="0"/>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3">
    <w:nsid w:val="7DEE6EAE"/>
    <w:multiLevelType w:val="multilevel"/>
    <w:tmpl w:val="04883A1A"/>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12"/>
  </w:num>
  <w:num w:numId="2">
    <w:abstractNumId w:val="26"/>
  </w:num>
  <w:num w:numId="3">
    <w:abstractNumId w:val="31"/>
  </w:num>
  <w:num w:numId="4">
    <w:abstractNumId w:val="6"/>
  </w:num>
  <w:num w:numId="5">
    <w:abstractNumId w:val="33"/>
  </w:num>
  <w:num w:numId="6">
    <w:abstractNumId w:val="14"/>
  </w:num>
  <w:num w:numId="7">
    <w:abstractNumId w:val="20"/>
  </w:num>
  <w:num w:numId="8">
    <w:abstractNumId w:val="7"/>
  </w:num>
  <w:num w:numId="9">
    <w:abstractNumId w:val="15"/>
  </w:num>
  <w:num w:numId="10">
    <w:abstractNumId w:val="40"/>
  </w:num>
  <w:num w:numId="11">
    <w:abstractNumId w:val="2"/>
  </w:num>
  <w:num w:numId="12">
    <w:abstractNumId w:val="30"/>
  </w:num>
  <w:num w:numId="13">
    <w:abstractNumId w:val="37"/>
  </w:num>
  <w:num w:numId="14">
    <w:abstractNumId w:val="25"/>
  </w:num>
  <w:num w:numId="15">
    <w:abstractNumId w:val="32"/>
  </w:num>
  <w:num w:numId="16">
    <w:abstractNumId w:val="38"/>
  </w:num>
  <w:num w:numId="17">
    <w:abstractNumId w:val="9"/>
  </w:num>
  <w:num w:numId="18">
    <w:abstractNumId w:val="16"/>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5"/>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42"/>
  </w:num>
  <w:num w:numId="27">
    <w:abstractNumId w:val="24"/>
  </w:num>
  <w:num w:numId="28">
    <w:abstractNumId w:val="22"/>
  </w:num>
  <w:num w:numId="29">
    <w:abstractNumId w:val="4"/>
  </w:num>
  <w:num w:numId="30">
    <w:abstractNumId w:val="18"/>
  </w:num>
  <w:num w:numId="31">
    <w:abstractNumId w:val="11"/>
  </w:num>
  <w:num w:numId="32">
    <w:abstractNumId w:val="3"/>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7"/>
  </w:num>
  <w:num w:numId="38">
    <w:abstractNumId w:val="36"/>
  </w:num>
  <w:num w:numId="39">
    <w:abstractNumId w:val="0"/>
  </w:num>
  <w:num w:numId="40">
    <w:abstractNumId w:val="21"/>
  </w:num>
  <w:num w:numId="41">
    <w:abstractNumId w:val="5"/>
  </w:num>
  <w:num w:numId="42">
    <w:abstractNumId w:val="34"/>
  </w:num>
  <w:num w:numId="43">
    <w:abstractNumId w:val="27"/>
  </w:num>
  <w:num w:numId="44">
    <w:abstractNumId w:val="28"/>
  </w:num>
  <w:num w:numId="45">
    <w:abstractNumId w:val="10"/>
  </w:num>
  <w:num w:numId="46">
    <w:abstractNumId w:val="23"/>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3295"/>
    <w:rsid w:val="00005A5D"/>
    <w:rsid w:val="000076D9"/>
    <w:rsid w:val="00012D05"/>
    <w:rsid w:val="0001634A"/>
    <w:rsid w:val="000203DD"/>
    <w:rsid w:val="00021708"/>
    <w:rsid w:val="00021ABC"/>
    <w:rsid w:val="0002266B"/>
    <w:rsid w:val="00026C6B"/>
    <w:rsid w:val="00026C73"/>
    <w:rsid w:val="000343F1"/>
    <w:rsid w:val="00036749"/>
    <w:rsid w:val="00036876"/>
    <w:rsid w:val="00037936"/>
    <w:rsid w:val="00051940"/>
    <w:rsid w:val="00056E78"/>
    <w:rsid w:val="0006051B"/>
    <w:rsid w:val="000614F9"/>
    <w:rsid w:val="0006451A"/>
    <w:rsid w:val="0006551D"/>
    <w:rsid w:val="00065679"/>
    <w:rsid w:val="0007004C"/>
    <w:rsid w:val="000724F6"/>
    <w:rsid w:val="00072791"/>
    <w:rsid w:val="00072FC7"/>
    <w:rsid w:val="00074611"/>
    <w:rsid w:val="0007785A"/>
    <w:rsid w:val="00080FB4"/>
    <w:rsid w:val="00082149"/>
    <w:rsid w:val="00086712"/>
    <w:rsid w:val="00087C75"/>
    <w:rsid w:val="000901B3"/>
    <w:rsid w:val="00091DF8"/>
    <w:rsid w:val="00093DD8"/>
    <w:rsid w:val="00094AC7"/>
    <w:rsid w:val="0009569D"/>
    <w:rsid w:val="00097794"/>
    <w:rsid w:val="000A04B3"/>
    <w:rsid w:val="000A0C9E"/>
    <w:rsid w:val="000A13ED"/>
    <w:rsid w:val="000A3DE5"/>
    <w:rsid w:val="000A5191"/>
    <w:rsid w:val="000B1873"/>
    <w:rsid w:val="000B4080"/>
    <w:rsid w:val="000B471A"/>
    <w:rsid w:val="000B59F0"/>
    <w:rsid w:val="000C15EA"/>
    <w:rsid w:val="000C3CA2"/>
    <w:rsid w:val="000C589E"/>
    <w:rsid w:val="000C714F"/>
    <w:rsid w:val="000D19D8"/>
    <w:rsid w:val="000D1C37"/>
    <w:rsid w:val="000D37CB"/>
    <w:rsid w:val="000D4377"/>
    <w:rsid w:val="000D43C1"/>
    <w:rsid w:val="000D56CC"/>
    <w:rsid w:val="000D635B"/>
    <w:rsid w:val="000D77F5"/>
    <w:rsid w:val="000E1B05"/>
    <w:rsid w:val="000E2F0A"/>
    <w:rsid w:val="000E365A"/>
    <w:rsid w:val="000E36B7"/>
    <w:rsid w:val="000E3C70"/>
    <w:rsid w:val="000E48C3"/>
    <w:rsid w:val="000E70D5"/>
    <w:rsid w:val="000E7D21"/>
    <w:rsid w:val="000F0880"/>
    <w:rsid w:val="000F1F97"/>
    <w:rsid w:val="000F47B5"/>
    <w:rsid w:val="000F6CF6"/>
    <w:rsid w:val="0010205E"/>
    <w:rsid w:val="00103FD6"/>
    <w:rsid w:val="001065EE"/>
    <w:rsid w:val="001108E9"/>
    <w:rsid w:val="00110F5D"/>
    <w:rsid w:val="00115166"/>
    <w:rsid w:val="001151F3"/>
    <w:rsid w:val="00115A97"/>
    <w:rsid w:val="00120F69"/>
    <w:rsid w:val="00122DBA"/>
    <w:rsid w:val="00123753"/>
    <w:rsid w:val="001262B5"/>
    <w:rsid w:val="00130342"/>
    <w:rsid w:val="00132587"/>
    <w:rsid w:val="001336FC"/>
    <w:rsid w:val="0013571B"/>
    <w:rsid w:val="00136B76"/>
    <w:rsid w:val="00136E72"/>
    <w:rsid w:val="001404A9"/>
    <w:rsid w:val="00140F43"/>
    <w:rsid w:val="00143C9B"/>
    <w:rsid w:val="001446AB"/>
    <w:rsid w:val="0014568A"/>
    <w:rsid w:val="00145D5C"/>
    <w:rsid w:val="00145DAB"/>
    <w:rsid w:val="00151133"/>
    <w:rsid w:val="00154E2D"/>
    <w:rsid w:val="00160506"/>
    <w:rsid w:val="001629FA"/>
    <w:rsid w:val="00166312"/>
    <w:rsid w:val="00167BB8"/>
    <w:rsid w:val="00173F81"/>
    <w:rsid w:val="00174C2A"/>
    <w:rsid w:val="00175FB9"/>
    <w:rsid w:val="001762BD"/>
    <w:rsid w:val="0017637D"/>
    <w:rsid w:val="00177A0A"/>
    <w:rsid w:val="00180F76"/>
    <w:rsid w:val="00183EAB"/>
    <w:rsid w:val="00185CC1"/>
    <w:rsid w:val="00187023"/>
    <w:rsid w:val="00187BEB"/>
    <w:rsid w:val="001931E8"/>
    <w:rsid w:val="00194232"/>
    <w:rsid w:val="00194587"/>
    <w:rsid w:val="001960DD"/>
    <w:rsid w:val="00196B4E"/>
    <w:rsid w:val="001977E9"/>
    <w:rsid w:val="001A1422"/>
    <w:rsid w:val="001A14C1"/>
    <w:rsid w:val="001A2E4A"/>
    <w:rsid w:val="001A3A9A"/>
    <w:rsid w:val="001A4093"/>
    <w:rsid w:val="001A48F9"/>
    <w:rsid w:val="001A79C1"/>
    <w:rsid w:val="001A7A15"/>
    <w:rsid w:val="001B19A0"/>
    <w:rsid w:val="001B1CA3"/>
    <w:rsid w:val="001B580E"/>
    <w:rsid w:val="001B7933"/>
    <w:rsid w:val="001C16FD"/>
    <w:rsid w:val="001C346E"/>
    <w:rsid w:val="001C3717"/>
    <w:rsid w:val="001C5CC5"/>
    <w:rsid w:val="001C67F4"/>
    <w:rsid w:val="001D0268"/>
    <w:rsid w:val="001D2C27"/>
    <w:rsid w:val="001D3CAD"/>
    <w:rsid w:val="001D4B0D"/>
    <w:rsid w:val="001D54F8"/>
    <w:rsid w:val="001D7F6C"/>
    <w:rsid w:val="001E20EC"/>
    <w:rsid w:val="001E3A37"/>
    <w:rsid w:val="001E40FA"/>
    <w:rsid w:val="001E4479"/>
    <w:rsid w:val="001E7173"/>
    <w:rsid w:val="001E74D0"/>
    <w:rsid w:val="001E7803"/>
    <w:rsid w:val="001F0656"/>
    <w:rsid w:val="001F1D48"/>
    <w:rsid w:val="001F410A"/>
    <w:rsid w:val="001F515F"/>
    <w:rsid w:val="001F60CF"/>
    <w:rsid w:val="001F6201"/>
    <w:rsid w:val="001F6F39"/>
    <w:rsid w:val="001F6FE8"/>
    <w:rsid w:val="0020144E"/>
    <w:rsid w:val="002032FB"/>
    <w:rsid w:val="00204C3B"/>
    <w:rsid w:val="00205E18"/>
    <w:rsid w:val="002069BE"/>
    <w:rsid w:val="002069F9"/>
    <w:rsid w:val="0020780F"/>
    <w:rsid w:val="0021042C"/>
    <w:rsid w:val="0021151D"/>
    <w:rsid w:val="00212869"/>
    <w:rsid w:val="0021381B"/>
    <w:rsid w:val="00213A6F"/>
    <w:rsid w:val="00214D6A"/>
    <w:rsid w:val="00221308"/>
    <w:rsid w:val="00222C97"/>
    <w:rsid w:val="00222F0F"/>
    <w:rsid w:val="00223CBB"/>
    <w:rsid w:val="002252EA"/>
    <w:rsid w:val="00225761"/>
    <w:rsid w:val="002265B1"/>
    <w:rsid w:val="00233835"/>
    <w:rsid w:val="00237DD5"/>
    <w:rsid w:val="00241EE9"/>
    <w:rsid w:val="00246F32"/>
    <w:rsid w:val="00247D45"/>
    <w:rsid w:val="0025175C"/>
    <w:rsid w:val="00251A6A"/>
    <w:rsid w:val="00253025"/>
    <w:rsid w:val="002539CC"/>
    <w:rsid w:val="00261ABA"/>
    <w:rsid w:val="00262033"/>
    <w:rsid w:val="00262E18"/>
    <w:rsid w:val="00264BFB"/>
    <w:rsid w:val="00282C25"/>
    <w:rsid w:val="002844E3"/>
    <w:rsid w:val="00284884"/>
    <w:rsid w:val="00285003"/>
    <w:rsid w:val="002869F5"/>
    <w:rsid w:val="00287DCC"/>
    <w:rsid w:val="00291CF1"/>
    <w:rsid w:val="00292587"/>
    <w:rsid w:val="00296517"/>
    <w:rsid w:val="002A143D"/>
    <w:rsid w:val="002A493A"/>
    <w:rsid w:val="002A4FAB"/>
    <w:rsid w:val="002A530A"/>
    <w:rsid w:val="002A5884"/>
    <w:rsid w:val="002A6981"/>
    <w:rsid w:val="002B7922"/>
    <w:rsid w:val="002B7E1B"/>
    <w:rsid w:val="002C06F5"/>
    <w:rsid w:val="002C2529"/>
    <w:rsid w:val="002C62B3"/>
    <w:rsid w:val="002C7620"/>
    <w:rsid w:val="002D122C"/>
    <w:rsid w:val="002D5480"/>
    <w:rsid w:val="002D74CB"/>
    <w:rsid w:val="002D7CF9"/>
    <w:rsid w:val="002D7D5F"/>
    <w:rsid w:val="002E051D"/>
    <w:rsid w:val="002E08EA"/>
    <w:rsid w:val="002E0D58"/>
    <w:rsid w:val="002E1100"/>
    <w:rsid w:val="002E17DE"/>
    <w:rsid w:val="002E222F"/>
    <w:rsid w:val="002E2DE2"/>
    <w:rsid w:val="002E4B66"/>
    <w:rsid w:val="002E68B2"/>
    <w:rsid w:val="002E6DAA"/>
    <w:rsid w:val="002F20DA"/>
    <w:rsid w:val="002F576E"/>
    <w:rsid w:val="002F5B29"/>
    <w:rsid w:val="002F5C6C"/>
    <w:rsid w:val="002F7C65"/>
    <w:rsid w:val="002F7E40"/>
    <w:rsid w:val="003012DA"/>
    <w:rsid w:val="00307C5C"/>
    <w:rsid w:val="00312D53"/>
    <w:rsid w:val="00313480"/>
    <w:rsid w:val="00313C98"/>
    <w:rsid w:val="00313FD9"/>
    <w:rsid w:val="003155BD"/>
    <w:rsid w:val="00316B69"/>
    <w:rsid w:val="003177B9"/>
    <w:rsid w:val="00321E0A"/>
    <w:rsid w:val="00322D0F"/>
    <w:rsid w:val="00323777"/>
    <w:rsid w:val="00323A2B"/>
    <w:rsid w:val="00323C97"/>
    <w:rsid w:val="00330118"/>
    <w:rsid w:val="00333506"/>
    <w:rsid w:val="00333A42"/>
    <w:rsid w:val="00336C6D"/>
    <w:rsid w:val="003372F6"/>
    <w:rsid w:val="00340A07"/>
    <w:rsid w:val="003410AA"/>
    <w:rsid w:val="00341B8E"/>
    <w:rsid w:val="00345766"/>
    <w:rsid w:val="00345D56"/>
    <w:rsid w:val="00352A6B"/>
    <w:rsid w:val="00352EC1"/>
    <w:rsid w:val="0035349E"/>
    <w:rsid w:val="00356D1E"/>
    <w:rsid w:val="00360018"/>
    <w:rsid w:val="003600B7"/>
    <w:rsid w:val="003604F3"/>
    <w:rsid w:val="00361054"/>
    <w:rsid w:val="0036119D"/>
    <w:rsid w:val="003612C4"/>
    <w:rsid w:val="00364CF3"/>
    <w:rsid w:val="0036683C"/>
    <w:rsid w:val="003675EF"/>
    <w:rsid w:val="00367C93"/>
    <w:rsid w:val="00367EAB"/>
    <w:rsid w:val="00370E78"/>
    <w:rsid w:val="00371358"/>
    <w:rsid w:val="00372573"/>
    <w:rsid w:val="0037410E"/>
    <w:rsid w:val="00376957"/>
    <w:rsid w:val="00377AB2"/>
    <w:rsid w:val="00381BE6"/>
    <w:rsid w:val="00383890"/>
    <w:rsid w:val="003877C3"/>
    <w:rsid w:val="003914D9"/>
    <w:rsid w:val="0039283B"/>
    <w:rsid w:val="00396EA4"/>
    <w:rsid w:val="003A1B32"/>
    <w:rsid w:val="003A2157"/>
    <w:rsid w:val="003A3363"/>
    <w:rsid w:val="003A3905"/>
    <w:rsid w:val="003A3CC1"/>
    <w:rsid w:val="003A5429"/>
    <w:rsid w:val="003A6635"/>
    <w:rsid w:val="003A6B0E"/>
    <w:rsid w:val="003A78C6"/>
    <w:rsid w:val="003B5562"/>
    <w:rsid w:val="003B6363"/>
    <w:rsid w:val="003B6E54"/>
    <w:rsid w:val="003B737F"/>
    <w:rsid w:val="003C2188"/>
    <w:rsid w:val="003E1667"/>
    <w:rsid w:val="003E6BA0"/>
    <w:rsid w:val="003E73DB"/>
    <w:rsid w:val="003F0ADC"/>
    <w:rsid w:val="003F1B39"/>
    <w:rsid w:val="003F4964"/>
    <w:rsid w:val="003F4A38"/>
    <w:rsid w:val="003F59E6"/>
    <w:rsid w:val="003F5BE6"/>
    <w:rsid w:val="003F6C00"/>
    <w:rsid w:val="004002F8"/>
    <w:rsid w:val="004009CD"/>
    <w:rsid w:val="00400FC1"/>
    <w:rsid w:val="00402044"/>
    <w:rsid w:val="004026E7"/>
    <w:rsid w:val="00402897"/>
    <w:rsid w:val="004120B1"/>
    <w:rsid w:val="004122A6"/>
    <w:rsid w:val="00412A1B"/>
    <w:rsid w:val="00413D64"/>
    <w:rsid w:val="0041421D"/>
    <w:rsid w:val="0041441E"/>
    <w:rsid w:val="0041465F"/>
    <w:rsid w:val="00414A5C"/>
    <w:rsid w:val="004156B4"/>
    <w:rsid w:val="0041697F"/>
    <w:rsid w:val="00420235"/>
    <w:rsid w:val="004223AA"/>
    <w:rsid w:val="00423104"/>
    <w:rsid w:val="0042346A"/>
    <w:rsid w:val="00426125"/>
    <w:rsid w:val="004267D3"/>
    <w:rsid w:val="00431404"/>
    <w:rsid w:val="00433E65"/>
    <w:rsid w:val="004356D5"/>
    <w:rsid w:val="0043679B"/>
    <w:rsid w:val="004374B2"/>
    <w:rsid w:val="00440CD5"/>
    <w:rsid w:val="00442AB8"/>
    <w:rsid w:val="004436EA"/>
    <w:rsid w:val="00446391"/>
    <w:rsid w:val="00450B39"/>
    <w:rsid w:val="00453BC6"/>
    <w:rsid w:val="00454498"/>
    <w:rsid w:val="00456C59"/>
    <w:rsid w:val="004571B4"/>
    <w:rsid w:val="004670C5"/>
    <w:rsid w:val="004756C4"/>
    <w:rsid w:val="00477931"/>
    <w:rsid w:val="00482D60"/>
    <w:rsid w:val="00486B15"/>
    <w:rsid w:val="00490198"/>
    <w:rsid w:val="0049022F"/>
    <w:rsid w:val="00490E28"/>
    <w:rsid w:val="004943DE"/>
    <w:rsid w:val="00496976"/>
    <w:rsid w:val="00497362"/>
    <w:rsid w:val="00497C77"/>
    <w:rsid w:val="004A0AE7"/>
    <w:rsid w:val="004A20CA"/>
    <w:rsid w:val="004A53B1"/>
    <w:rsid w:val="004A6062"/>
    <w:rsid w:val="004A673A"/>
    <w:rsid w:val="004A770F"/>
    <w:rsid w:val="004B0813"/>
    <w:rsid w:val="004B11FA"/>
    <w:rsid w:val="004B1F38"/>
    <w:rsid w:val="004B21C5"/>
    <w:rsid w:val="004B2EF6"/>
    <w:rsid w:val="004B34A6"/>
    <w:rsid w:val="004B5612"/>
    <w:rsid w:val="004B6083"/>
    <w:rsid w:val="004B6927"/>
    <w:rsid w:val="004B7E5C"/>
    <w:rsid w:val="004C36D4"/>
    <w:rsid w:val="004C3CC4"/>
    <w:rsid w:val="004C4D5E"/>
    <w:rsid w:val="004C579D"/>
    <w:rsid w:val="004C5B2C"/>
    <w:rsid w:val="004C6EAE"/>
    <w:rsid w:val="004D1265"/>
    <w:rsid w:val="004D1A9E"/>
    <w:rsid w:val="004D310E"/>
    <w:rsid w:val="004D378B"/>
    <w:rsid w:val="004D37D8"/>
    <w:rsid w:val="004D4B81"/>
    <w:rsid w:val="004E2881"/>
    <w:rsid w:val="004E293B"/>
    <w:rsid w:val="004F13D3"/>
    <w:rsid w:val="004F24F6"/>
    <w:rsid w:val="004F3B7F"/>
    <w:rsid w:val="004F3C06"/>
    <w:rsid w:val="004F64F4"/>
    <w:rsid w:val="004F6B2B"/>
    <w:rsid w:val="005005DF"/>
    <w:rsid w:val="00500AE2"/>
    <w:rsid w:val="0050181F"/>
    <w:rsid w:val="00505045"/>
    <w:rsid w:val="00510B96"/>
    <w:rsid w:val="00510ECF"/>
    <w:rsid w:val="00511501"/>
    <w:rsid w:val="00511B5B"/>
    <w:rsid w:val="00515776"/>
    <w:rsid w:val="00515AF2"/>
    <w:rsid w:val="0051640E"/>
    <w:rsid w:val="00516666"/>
    <w:rsid w:val="00516741"/>
    <w:rsid w:val="0051684E"/>
    <w:rsid w:val="00516881"/>
    <w:rsid w:val="005174B4"/>
    <w:rsid w:val="00523E87"/>
    <w:rsid w:val="00524CAB"/>
    <w:rsid w:val="00527ABC"/>
    <w:rsid w:val="005347B7"/>
    <w:rsid w:val="00537A4E"/>
    <w:rsid w:val="0054193D"/>
    <w:rsid w:val="00542A8C"/>
    <w:rsid w:val="00542D59"/>
    <w:rsid w:val="00543637"/>
    <w:rsid w:val="00543E42"/>
    <w:rsid w:val="00551D9C"/>
    <w:rsid w:val="005539F5"/>
    <w:rsid w:val="00554AAC"/>
    <w:rsid w:val="00554C6E"/>
    <w:rsid w:val="0055503F"/>
    <w:rsid w:val="00556D87"/>
    <w:rsid w:val="005572D7"/>
    <w:rsid w:val="0056000F"/>
    <w:rsid w:val="0056081A"/>
    <w:rsid w:val="00562901"/>
    <w:rsid w:val="00563797"/>
    <w:rsid w:val="005642BD"/>
    <w:rsid w:val="005651B5"/>
    <w:rsid w:val="00566234"/>
    <w:rsid w:val="00566A7B"/>
    <w:rsid w:val="00570B35"/>
    <w:rsid w:val="0057262B"/>
    <w:rsid w:val="00577718"/>
    <w:rsid w:val="005815B3"/>
    <w:rsid w:val="00582A03"/>
    <w:rsid w:val="00583BFB"/>
    <w:rsid w:val="005850AF"/>
    <w:rsid w:val="00587E37"/>
    <w:rsid w:val="005912FD"/>
    <w:rsid w:val="00593821"/>
    <w:rsid w:val="00596E88"/>
    <w:rsid w:val="005979C1"/>
    <w:rsid w:val="00597CBD"/>
    <w:rsid w:val="005A0969"/>
    <w:rsid w:val="005A09CD"/>
    <w:rsid w:val="005A476D"/>
    <w:rsid w:val="005A4F46"/>
    <w:rsid w:val="005B0DEF"/>
    <w:rsid w:val="005B13AD"/>
    <w:rsid w:val="005B16A0"/>
    <w:rsid w:val="005B2A03"/>
    <w:rsid w:val="005B4A71"/>
    <w:rsid w:val="005B4C1B"/>
    <w:rsid w:val="005C13C9"/>
    <w:rsid w:val="005C2684"/>
    <w:rsid w:val="005C2DDC"/>
    <w:rsid w:val="005C52A7"/>
    <w:rsid w:val="005C5326"/>
    <w:rsid w:val="005C5620"/>
    <w:rsid w:val="005C5D8C"/>
    <w:rsid w:val="005D29DB"/>
    <w:rsid w:val="005D333E"/>
    <w:rsid w:val="005D4187"/>
    <w:rsid w:val="005D41F9"/>
    <w:rsid w:val="005D6677"/>
    <w:rsid w:val="005D7CE3"/>
    <w:rsid w:val="005E265D"/>
    <w:rsid w:val="005E4143"/>
    <w:rsid w:val="005E4253"/>
    <w:rsid w:val="005E724B"/>
    <w:rsid w:val="005F2C47"/>
    <w:rsid w:val="005F2CDE"/>
    <w:rsid w:val="005F6D70"/>
    <w:rsid w:val="006001D1"/>
    <w:rsid w:val="00600FF6"/>
    <w:rsid w:val="00601DA8"/>
    <w:rsid w:val="00601F7C"/>
    <w:rsid w:val="00602298"/>
    <w:rsid w:val="00602EF7"/>
    <w:rsid w:val="00605B11"/>
    <w:rsid w:val="00606A7B"/>
    <w:rsid w:val="00606F11"/>
    <w:rsid w:val="006073F2"/>
    <w:rsid w:val="00607B03"/>
    <w:rsid w:val="0061059D"/>
    <w:rsid w:val="0061326F"/>
    <w:rsid w:val="00613E8B"/>
    <w:rsid w:val="00614393"/>
    <w:rsid w:val="006146F2"/>
    <w:rsid w:val="0061588E"/>
    <w:rsid w:val="00616D95"/>
    <w:rsid w:val="00623567"/>
    <w:rsid w:val="00624ACD"/>
    <w:rsid w:val="00627788"/>
    <w:rsid w:val="00631EB7"/>
    <w:rsid w:val="00634FE6"/>
    <w:rsid w:val="0064111D"/>
    <w:rsid w:val="006412B5"/>
    <w:rsid w:val="00641932"/>
    <w:rsid w:val="00644083"/>
    <w:rsid w:val="0064429B"/>
    <w:rsid w:val="0064477C"/>
    <w:rsid w:val="00650903"/>
    <w:rsid w:val="00660889"/>
    <w:rsid w:val="00661083"/>
    <w:rsid w:val="00662E03"/>
    <w:rsid w:val="00663DB4"/>
    <w:rsid w:val="00665F3E"/>
    <w:rsid w:val="00667443"/>
    <w:rsid w:val="006679C0"/>
    <w:rsid w:val="00673A68"/>
    <w:rsid w:val="00680ED5"/>
    <w:rsid w:val="00681956"/>
    <w:rsid w:val="00682FBA"/>
    <w:rsid w:val="00683370"/>
    <w:rsid w:val="00685BA6"/>
    <w:rsid w:val="006903F9"/>
    <w:rsid w:val="00690885"/>
    <w:rsid w:val="0069165D"/>
    <w:rsid w:val="006923C8"/>
    <w:rsid w:val="00693E4F"/>
    <w:rsid w:val="00696AB4"/>
    <w:rsid w:val="006976BF"/>
    <w:rsid w:val="006A05D7"/>
    <w:rsid w:val="006A0F7A"/>
    <w:rsid w:val="006A4628"/>
    <w:rsid w:val="006A598C"/>
    <w:rsid w:val="006A5D96"/>
    <w:rsid w:val="006A7C80"/>
    <w:rsid w:val="006B159F"/>
    <w:rsid w:val="006B25F1"/>
    <w:rsid w:val="006B3F39"/>
    <w:rsid w:val="006B4213"/>
    <w:rsid w:val="006B4801"/>
    <w:rsid w:val="006B4DF0"/>
    <w:rsid w:val="006B5352"/>
    <w:rsid w:val="006B5522"/>
    <w:rsid w:val="006C0425"/>
    <w:rsid w:val="006C1013"/>
    <w:rsid w:val="006C163A"/>
    <w:rsid w:val="006C228B"/>
    <w:rsid w:val="006C2931"/>
    <w:rsid w:val="006C2AE7"/>
    <w:rsid w:val="006C379E"/>
    <w:rsid w:val="006C4819"/>
    <w:rsid w:val="006C5D13"/>
    <w:rsid w:val="006C7EB2"/>
    <w:rsid w:val="006D1995"/>
    <w:rsid w:val="006D2E6B"/>
    <w:rsid w:val="006D466E"/>
    <w:rsid w:val="006D4B70"/>
    <w:rsid w:val="006D4C35"/>
    <w:rsid w:val="006D4D5B"/>
    <w:rsid w:val="006D4E11"/>
    <w:rsid w:val="006E33A1"/>
    <w:rsid w:val="006E3B48"/>
    <w:rsid w:val="006E6184"/>
    <w:rsid w:val="006E631B"/>
    <w:rsid w:val="006F0537"/>
    <w:rsid w:val="006F096A"/>
    <w:rsid w:val="006F22E3"/>
    <w:rsid w:val="006F2333"/>
    <w:rsid w:val="006F3095"/>
    <w:rsid w:val="006F3900"/>
    <w:rsid w:val="006F5455"/>
    <w:rsid w:val="006F5CB6"/>
    <w:rsid w:val="006F6C2C"/>
    <w:rsid w:val="006F79D3"/>
    <w:rsid w:val="00703194"/>
    <w:rsid w:val="00706E59"/>
    <w:rsid w:val="0070737C"/>
    <w:rsid w:val="00711229"/>
    <w:rsid w:val="00714A07"/>
    <w:rsid w:val="00715018"/>
    <w:rsid w:val="00716177"/>
    <w:rsid w:val="007179D3"/>
    <w:rsid w:val="00717F25"/>
    <w:rsid w:val="007201B1"/>
    <w:rsid w:val="00724E14"/>
    <w:rsid w:val="00725165"/>
    <w:rsid w:val="00725A31"/>
    <w:rsid w:val="00725AD5"/>
    <w:rsid w:val="007308F7"/>
    <w:rsid w:val="00731945"/>
    <w:rsid w:val="0073698D"/>
    <w:rsid w:val="00736C0B"/>
    <w:rsid w:val="00741EC7"/>
    <w:rsid w:val="00744028"/>
    <w:rsid w:val="00744A8F"/>
    <w:rsid w:val="00744E95"/>
    <w:rsid w:val="00746531"/>
    <w:rsid w:val="00751725"/>
    <w:rsid w:val="00752028"/>
    <w:rsid w:val="0075450A"/>
    <w:rsid w:val="00754E49"/>
    <w:rsid w:val="00755FD6"/>
    <w:rsid w:val="0075767C"/>
    <w:rsid w:val="0076017E"/>
    <w:rsid w:val="00760DB6"/>
    <w:rsid w:val="007652DB"/>
    <w:rsid w:val="007661AE"/>
    <w:rsid w:val="00766A51"/>
    <w:rsid w:val="00767A5A"/>
    <w:rsid w:val="00770E64"/>
    <w:rsid w:val="00771FFF"/>
    <w:rsid w:val="00772818"/>
    <w:rsid w:val="00772EED"/>
    <w:rsid w:val="0077685D"/>
    <w:rsid w:val="0077788E"/>
    <w:rsid w:val="007806D0"/>
    <w:rsid w:val="007841AF"/>
    <w:rsid w:val="00785ECA"/>
    <w:rsid w:val="00787E75"/>
    <w:rsid w:val="00791629"/>
    <w:rsid w:val="00794596"/>
    <w:rsid w:val="007955D4"/>
    <w:rsid w:val="007970E5"/>
    <w:rsid w:val="007A3157"/>
    <w:rsid w:val="007A4B4C"/>
    <w:rsid w:val="007A5155"/>
    <w:rsid w:val="007A6E20"/>
    <w:rsid w:val="007B10ED"/>
    <w:rsid w:val="007B175B"/>
    <w:rsid w:val="007B2B2E"/>
    <w:rsid w:val="007B2BC7"/>
    <w:rsid w:val="007B3BFC"/>
    <w:rsid w:val="007B4B03"/>
    <w:rsid w:val="007B6937"/>
    <w:rsid w:val="007C4F26"/>
    <w:rsid w:val="007C4F31"/>
    <w:rsid w:val="007C7E1D"/>
    <w:rsid w:val="007D55A7"/>
    <w:rsid w:val="007E37FC"/>
    <w:rsid w:val="007E5257"/>
    <w:rsid w:val="007E5391"/>
    <w:rsid w:val="007E715A"/>
    <w:rsid w:val="007E72B0"/>
    <w:rsid w:val="007F2081"/>
    <w:rsid w:val="007F4EF5"/>
    <w:rsid w:val="008077FC"/>
    <w:rsid w:val="00807AD8"/>
    <w:rsid w:val="00811800"/>
    <w:rsid w:val="00812E1C"/>
    <w:rsid w:val="00813CFF"/>
    <w:rsid w:val="00814590"/>
    <w:rsid w:val="00814667"/>
    <w:rsid w:val="008148E2"/>
    <w:rsid w:val="008156B7"/>
    <w:rsid w:val="00817D90"/>
    <w:rsid w:val="00820E02"/>
    <w:rsid w:val="008214A3"/>
    <w:rsid w:val="00821B95"/>
    <w:rsid w:val="00822355"/>
    <w:rsid w:val="0082332D"/>
    <w:rsid w:val="0082402C"/>
    <w:rsid w:val="0082422D"/>
    <w:rsid w:val="008252D9"/>
    <w:rsid w:val="00825FF5"/>
    <w:rsid w:val="008262F1"/>
    <w:rsid w:val="00827748"/>
    <w:rsid w:val="008311FA"/>
    <w:rsid w:val="008317EF"/>
    <w:rsid w:val="00832231"/>
    <w:rsid w:val="00832B00"/>
    <w:rsid w:val="00833385"/>
    <w:rsid w:val="00836AE6"/>
    <w:rsid w:val="00837A4A"/>
    <w:rsid w:val="008405D3"/>
    <w:rsid w:val="00841545"/>
    <w:rsid w:val="00841BD3"/>
    <w:rsid w:val="00844223"/>
    <w:rsid w:val="00844ED1"/>
    <w:rsid w:val="008457C4"/>
    <w:rsid w:val="00845BCC"/>
    <w:rsid w:val="0084750A"/>
    <w:rsid w:val="00851465"/>
    <w:rsid w:val="008514B8"/>
    <w:rsid w:val="00852ED8"/>
    <w:rsid w:val="0085330A"/>
    <w:rsid w:val="00853767"/>
    <w:rsid w:val="008550CA"/>
    <w:rsid w:val="0085533A"/>
    <w:rsid w:val="00855543"/>
    <w:rsid w:val="0085738D"/>
    <w:rsid w:val="00857C46"/>
    <w:rsid w:val="00862395"/>
    <w:rsid w:val="00862D65"/>
    <w:rsid w:val="008637D8"/>
    <w:rsid w:val="00864DD3"/>
    <w:rsid w:val="008708D6"/>
    <w:rsid w:val="00871DFD"/>
    <w:rsid w:val="008760D0"/>
    <w:rsid w:val="0088042F"/>
    <w:rsid w:val="00881317"/>
    <w:rsid w:val="008843EE"/>
    <w:rsid w:val="00884EB6"/>
    <w:rsid w:val="00885CF2"/>
    <w:rsid w:val="00896477"/>
    <w:rsid w:val="00896F5A"/>
    <w:rsid w:val="008A2954"/>
    <w:rsid w:val="008A3C37"/>
    <w:rsid w:val="008A5892"/>
    <w:rsid w:val="008A7A45"/>
    <w:rsid w:val="008B1840"/>
    <w:rsid w:val="008B4899"/>
    <w:rsid w:val="008B4AEB"/>
    <w:rsid w:val="008B70D3"/>
    <w:rsid w:val="008B73A2"/>
    <w:rsid w:val="008C0BBA"/>
    <w:rsid w:val="008C2450"/>
    <w:rsid w:val="008C3419"/>
    <w:rsid w:val="008C56F1"/>
    <w:rsid w:val="008C743F"/>
    <w:rsid w:val="008C7817"/>
    <w:rsid w:val="008C7F5B"/>
    <w:rsid w:val="008D079A"/>
    <w:rsid w:val="008D0CAE"/>
    <w:rsid w:val="008D2DCE"/>
    <w:rsid w:val="008D2F40"/>
    <w:rsid w:val="008D5B52"/>
    <w:rsid w:val="008E4209"/>
    <w:rsid w:val="008E48FC"/>
    <w:rsid w:val="008E55BD"/>
    <w:rsid w:val="008E7527"/>
    <w:rsid w:val="008F030C"/>
    <w:rsid w:val="008F2AD6"/>
    <w:rsid w:val="008F33F3"/>
    <w:rsid w:val="008F44F1"/>
    <w:rsid w:val="008F4BA8"/>
    <w:rsid w:val="008F5C07"/>
    <w:rsid w:val="008F696D"/>
    <w:rsid w:val="00901CF5"/>
    <w:rsid w:val="00901F53"/>
    <w:rsid w:val="00903381"/>
    <w:rsid w:val="009038B6"/>
    <w:rsid w:val="009042A3"/>
    <w:rsid w:val="0090618E"/>
    <w:rsid w:val="00911431"/>
    <w:rsid w:val="00911BDB"/>
    <w:rsid w:val="00913276"/>
    <w:rsid w:val="0091356E"/>
    <w:rsid w:val="00915F29"/>
    <w:rsid w:val="00920EB6"/>
    <w:rsid w:val="0092161A"/>
    <w:rsid w:val="009221DF"/>
    <w:rsid w:val="00922391"/>
    <w:rsid w:val="009224FD"/>
    <w:rsid w:val="00926520"/>
    <w:rsid w:val="0093296C"/>
    <w:rsid w:val="00935CC7"/>
    <w:rsid w:val="0094002F"/>
    <w:rsid w:val="00940416"/>
    <w:rsid w:val="0094129D"/>
    <w:rsid w:val="00942D4A"/>
    <w:rsid w:val="00944760"/>
    <w:rsid w:val="0094555D"/>
    <w:rsid w:val="00946A91"/>
    <w:rsid w:val="00946AE5"/>
    <w:rsid w:val="009476F8"/>
    <w:rsid w:val="00950865"/>
    <w:rsid w:val="00950DDB"/>
    <w:rsid w:val="00951B1F"/>
    <w:rsid w:val="00951BAD"/>
    <w:rsid w:val="0095223D"/>
    <w:rsid w:val="009526E4"/>
    <w:rsid w:val="00953AA1"/>
    <w:rsid w:val="00953FFC"/>
    <w:rsid w:val="00954B44"/>
    <w:rsid w:val="00966D03"/>
    <w:rsid w:val="00974706"/>
    <w:rsid w:val="00975EB5"/>
    <w:rsid w:val="00976B8F"/>
    <w:rsid w:val="00980FD0"/>
    <w:rsid w:val="00983DC2"/>
    <w:rsid w:val="00983DF0"/>
    <w:rsid w:val="00987B7C"/>
    <w:rsid w:val="0099742A"/>
    <w:rsid w:val="009A0446"/>
    <w:rsid w:val="009A062C"/>
    <w:rsid w:val="009A0BF0"/>
    <w:rsid w:val="009A309D"/>
    <w:rsid w:val="009A48AF"/>
    <w:rsid w:val="009A522D"/>
    <w:rsid w:val="009A7998"/>
    <w:rsid w:val="009B3F77"/>
    <w:rsid w:val="009B5132"/>
    <w:rsid w:val="009C166A"/>
    <w:rsid w:val="009C1CB6"/>
    <w:rsid w:val="009C6A96"/>
    <w:rsid w:val="009C6FFB"/>
    <w:rsid w:val="009C7EF5"/>
    <w:rsid w:val="009D0C93"/>
    <w:rsid w:val="009D2FAC"/>
    <w:rsid w:val="009D35B6"/>
    <w:rsid w:val="009D3E3A"/>
    <w:rsid w:val="009D48E6"/>
    <w:rsid w:val="009E1311"/>
    <w:rsid w:val="009E151E"/>
    <w:rsid w:val="009E16F9"/>
    <w:rsid w:val="009E2002"/>
    <w:rsid w:val="009E3C07"/>
    <w:rsid w:val="009E5DB6"/>
    <w:rsid w:val="009F0085"/>
    <w:rsid w:val="009F66BE"/>
    <w:rsid w:val="009F777E"/>
    <w:rsid w:val="009F7F52"/>
    <w:rsid w:val="00A0124B"/>
    <w:rsid w:val="00A01955"/>
    <w:rsid w:val="00A0202C"/>
    <w:rsid w:val="00A0227E"/>
    <w:rsid w:val="00A0603F"/>
    <w:rsid w:val="00A112E6"/>
    <w:rsid w:val="00A1224A"/>
    <w:rsid w:val="00A14966"/>
    <w:rsid w:val="00A15CAB"/>
    <w:rsid w:val="00A17CCB"/>
    <w:rsid w:val="00A211A9"/>
    <w:rsid w:val="00A2296B"/>
    <w:rsid w:val="00A2343B"/>
    <w:rsid w:val="00A2422A"/>
    <w:rsid w:val="00A26FC8"/>
    <w:rsid w:val="00A303A1"/>
    <w:rsid w:val="00A3234E"/>
    <w:rsid w:val="00A33A2F"/>
    <w:rsid w:val="00A34080"/>
    <w:rsid w:val="00A34CAF"/>
    <w:rsid w:val="00A36EA0"/>
    <w:rsid w:val="00A42386"/>
    <w:rsid w:val="00A469F9"/>
    <w:rsid w:val="00A50751"/>
    <w:rsid w:val="00A50E72"/>
    <w:rsid w:val="00A54BE7"/>
    <w:rsid w:val="00A564EB"/>
    <w:rsid w:val="00A56FA7"/>
    <w:rsid w:val="00A641C9"/>
    <w:rsid w:val="00A6500A"/>
    <w:rsid w:val="00A6719E"/>
    <w:rsid w:val="00A739F1"/>
    <w:rsid w:val="00A758DE"/>
    <w:rsid w:val="00A7597E"/>
    <w:rsid w:val="00A77C33"/>
    <w:rsid w:val="00A8189A"/>
    <w:rsid w:val="00A81EC4"/>
    <w:rsid w:val="00A8478F"/>
    <w:rsid w:val="00A858C4"/>
    <w:rsid w:val="00A90A97"/>
    <w:rsid w:val="00A9141E"/>
    <w:rsid w:val="00A97397"/>
    <w:rsid w:val="00A974CA"/>
    <w:rsid w:val="00AA01B2"/>
    <w:rsid w:val="00AA2CD5"/>
    <w:rsid w:val="00AA3BC8"/>
    <w:rsid w:val="00AA4F6C"/>
    <w:rsid w:val="00AA7182"/>
    <w:rsid w:val="00AA7919"/>
    <w:rsid w:val="00AB16AE"/>
    <w:rsid w:val="00AB19BF"/>
    <w:rsid w:val="00AB5773"/>
    <w:rsid w:val="00AB5801"/>
    <w:rsid w:val="00AB5A64"/>
    <w:rsid w:val="00AB6339"/>
    <w:rsid w:val="00AB6B78"/>
    <w:rsid w:val="00AB71A5"/>
    <w:rsid w:val="00AB75E7"/>
    <w:rsid w:val="00AB79E9"/>
    <w:rsid w:val="00AC49A8"/>
    <w:rsid w:val="00AC6B92"/>
    <w:rsid w:val="00AD04F4"/>
    <w:rsid w:val="00AD44E1"/>
    <w:rsid w:val="00AD4F86"/>
    <w:rsid w:val="00AD50E7"/>
    <w:rsid w:val="00AD576C"/>
    <w:rsid w:val="00AD670F"/>
    <w:rsid w:val="00AD6B23"/>
    <w:rsid w:val="00AD6C71"/>
    <w:rsid w:val="00AE1752"/>
    <w:rsid w:val="00AE1E4B"/>
    <w:rsid w:val="00AE1E54"/>
    <w:rsid w:val="00AE1FE4"/>
    <w:rsid w:val="00AE2394"/>
    <w:rsid w:val="00AE2AFD"/>
    <w:rsid w:val="00AE478A"/>
    <w:rsid w:val="00AE6D0F"/>
    <w:rsid w:val="00AE6FF8"/>
    <w:rsid w:val="00AF0C8D"/>
    <w:rsid w:val="00AF26CF"/>
    <w:rsid w:val="00AF70FB"/>
    <w:rsid w:val="00B0053D"/>
    <w:rsid w:val="00B00778"/>
    <w:rsid w:val="00B04782"/>
    <w:rsid w:val="00B04E8C"/>
    <w:rsid w:val="00B050C0"/>
    <w:rsid w:val="00B05642"/>
    <w:rsid w:val="00B06097"/>
    <w:rsid w:val="00B065ED"/>
    <w:rsid w:val="00B07109"/>
    <w:rsid w:val="00B10045"/>
    <w:rsid w:val="00B100DF"/>
    <w:rsid w:val="00B10792"/>
    <w:rsid w:val="00B10CAE"/>
    <w:rsid w:val="00B12190"/>
    <w:rsid w:val="00B12789"/>
    <w:rsid w:val="00B1294B"/>
    <w:rsid w:val="00B137C3"/>
    <w:rsid w:val="00B13801"/>
    <w:rsid w:val="00B16F83"/>
    <w:rsid w:val="00B171BB"/>
    <w:rsid w:val="00B2247A"/>
    <w:rsid w:val="00B24C58"/>
    <w:rsid w:val="00B25E60"/>
    <w:rsid w:val="00B30B18"/>
    <w:rsid w:val="00B33046"/>
    <w:rsid w:val="00B33A86"/>
    <w:rsid w:val="00B36551"/>
    <w:rsid w:val="00B36E9E"/>
    <w:rsid w:val="00B40E38"/>
    <w:rsid w:val="00B432C1"/>
    <w:rsid w:val="00B43FFB"/>
    <w:rsid w:val="00B44040"/>
    <w:rsid w:val="00B450AE"/>
    <w:rsid w:val="00B45605"/>
    <w:rsid w:val="00B45C9E"/>
    <w:rsid w:val="00B51ACE"/>
    <w:rsid w:val="00B56221"/>
    <w:rsid w:val="00B61167"/>
    <w:rsid w:val="00B623D7"/>
    <w:rsid w:val="00B62B3C"/>
    <w:rsid w:val="00B63184"/>
    <w:rsid w:val="00B651AA"/>
    <w:rsid w:val="00B66E7A"/>
    <w:rsid w:val="00B6735C"/>
    <w:rsid w:val="00B67C06"/>
    <w:rsid w:val="00B71AA0"/>
    <w:rsid w:val="00B72FEB"/>
    <w:rsid w:val="00B74B67"/>
    <w:rsid w:val="00B8096A"/>
    <w:rsid w:val="00B8167F"/>
    <w:rsid w:val="00B81F45"/>
    <w:rsid w:val="00B83868"/>
    <w:rsid w:val="00B84A06"/>
    <w:rsid w:val="00B84C7C"/>
    <w:rsid w:val="00B84DE2"/>
    <w:rsid w:val="00B859A2"/>
    <w:rsid w:val="00B91564"/>
    <w:rsid w:val="00B9206A"/>
    <w:rsid w:val="00B9279E"/>
    <w:rsid w:val="00BA0092"/>
    <w:rsid w:val="00BA1CFA"/>
    <w:rsid w:val="00BA2E2F"/>
    <w:rsid w:val="00BA31E1"/>
    <w:rsid w:val="00BA4284"/>
    <w:rsid w:val="00BA4BEA"/>
    <w:rsid w:val="00BA7091"/>
    <w:rsid w:val="00BB28B9"/>
    <w:rsid w:val="00BB721C"/>
    <w:rsid w:val="00BC1029"/>
    <w:rsid w:val="00BC2720"/>
    <w:rsid w:val="00BC4728"/>
    <w:rsid w:val="00BC4BF4"/>
    <w:rsid w:val="00BC60B3"/>
    <w:rsid w:val="00BD05BD"/>
    <w:rsid w:val="00BD205B"/>
    <w:rsid w:val="00BD5569"/>
    <w:rsid w:val="00BD6EFA"/>
    <w:rsid w:val="00BD7496"/>
    <w:rsid w:val="00BD77E4"/>
    <w:rsid w:val="00BE042D"/>
    <w:rsid w:val="00BE2296"/>
    <w:rsid w:val="00BE257A"/>
    <w:rsid w:val="00BE4802"/>
    <w:rsid w:val="00BE7212"/>
    <w:rsid w:val="00BE760E"/>
    <w:rsid w:val="00BE7E14"/>
    <w:rsid w:val="00BF250F"/>
    <w:rsid w:val="00BF2E96"/>
    <w:rsid w:val="00BF331F"/>
    <w:rsid w:val="00BF3617"/>
    <w:rsid w:val="00BF4ABA"/>
    <w:rsid w:val="00C00B90"/>
    <w:rsid w:val="00C02C52"/>
    <w:rsid w:val="00C053A4"/>
    <w:rsid w:val="00C056A8"/>
    <w:rsid w:val="00C05CC6"/>
    <w:rsid w:val="00C05D6B"/>
    <w:rsid w:val="00C068C7"/>
    <w:rsid w:val="00C069C7"/>
    <w:rsid w:val="00C073C2"/>
    <w:rsid w:val="00C1230E"/>
    <w:rsid w:val="00C12FA8"/>
    <w:rsid w:val="00C15141"/>
    <w:rsid w:val="00C160F4"/>
    <w:rsid w:val="00C2017C"/>
    <w:rsid w:val="00C2120D"/>
    <w:rsid w:val="00C21475"/>
    <w:rsid w:val="00C215E7"/>
    <w:rsid w:val="00C22418"/>
    <w:rsid w:val="00C233E9"/>
    <w:rsid w:val="00C26C5B"/>
    <w:rsid w:val="00C2711B"/>
    <w:rsid w:val="00C303B4"/>
    <w:rsid w:val="00C40C48"/>
    <w:rsid w:val="00C40EBC"/>
    <w:rsid w:val="00C4202E"/>
    <w:rsid w:val="00C42ACA"/>
    <w:rsid w:val="00C47E6A"/>
    <w:rsid w:val="00C50D56"/>
    <w:rsid w:val="00C5123D"/>
    <w:rsid w:val="00C51308"/>
    <w:rsid w:val="00C53750"/>
    <w:rsid w:val="00C539F8"/>
    <w:rsid w:val="00C53A47"/>
    <w:rsid w:val="00C54D38"/>
    <w:rsid w:val="00C57576"/>
    <w:rsid w:val="00C57BB9"/>
    <w:rsid w:val="00C606F6"/>
    <w:rsid w:val="00C6082E"/>
    <w:rsid w:val="00C60EAF"/>
    <w:rsid w:val="00C612CE"/>
    <w:rsid w:val="00C61699"/>
    <w:rsid w:val="00C62B02"/>
    <w:rsid w:val="00C62D7D"/>
    <w:rsid w:val="00C64908"/>
    <w:rsid w:val="00C705B5"/>
    <w:rsid w:val="00C7093C"/>
    <w:rsid w:val="00C738BD"/>
    <w:rsid w:val="00C73A9F"/>
    <w:rsid w:val="00C75D40"/>
    <w:rsid w:val="00C83627"/>
    <w:rsid w:val="00C83A67"/>
    <w:rsid w:val="00C84479"/>
    <w:rsid w:val="00C85E44"/>
    <w:rsid w:val="00C91B3E"/>
    <w:rsid w:val="00C92F94"/>
    <w:rsid w:val="00C95D81"/>
    <w:rsid w:val="00C960AA"/>
    <w:rsid w:val="00CA069C"/>
    <w:rsid w:val="00CA06E9"/>
    <w:rsid w:val="00CA121E"/>
    <w:rsid w:val="00CA501D"/>
    <w:rsid w:val="00CA55C4"/>
    <w:rsid w:val="00CA5B94"/>
    <w:rsid w:val="00CA693A"/>
    <w:rsid w:val="00CB1789"/>
    <w:rsid w:val="00CB1CB2"/>
    <w:rsid w:val="00CB44C4"/>
    <w:rsid w:val="00CB47FE"/>
    <w:rsid w:val="00CB4D35"/>
    <w:rsid w:val="00CB4D8A"/>
    <w:rsid w:val="00CB5EF0"/>
    <w:rsid w:val="00CB73FC"/>
    <w:rsid w:val="00CB7BD6"/>
    <w:rsid w:val="00CC0B99"/>
    <w:rsid w:val="00CC39B1"/>
    <w:rsid w:val="00CD526B"/>
    <w:rsid w:val="00CD5B93"/>
    <w:rsid w:val="00CD64D1"/>
    <w:rsid w:val="00CD7039"/>
    <w:rsid w:val="00CE19E2"/>
    <w:rsid w:val="00CE3B32"/>
    <w:rsid w:val="00CE6A08"/>
    <w:rsid w:val="00CE6C7C"/>
    <w:rsid w:val="00CE7C8C"/>
    <w:rsid w:val="00CF0284"/>
    <w:rsid w:val="00CF0826"/>
    <w:rsid w:val="00CF0D8A"/>
    <w:rsid w:val="00CF267F"/>
    <w:rsid w:val="00CF2ADD"/>
    <w:rsid w:val="00CF7DA0"/>
    <w:rsid w:val="00D01B48"/>
    <w:rsid w:val="00D027BF"/>
    <w:rsid w:val="00D0312C"/>
    <w:rsid w:val="00D03FCB"/>
    <w:rsid w:val="00D04614"/>
    <w:rsid w:val="00D050EF"/>
    <w:rsid w:val="00D0547A"/>
    <w:rsid w:val="00D1043B"/>
    <w:rsid w:val="00D129D3"/>
    <w:rsid w:val="00D1723F"/>
    <w:rsid w:val="00D2367D"/>
    <w:rsid w:val="00D26B64"/>
    <w:rsid w:val="00D30AA4"/>
    <w:rsid w:val="00D30CE5"/>
    <w:rsid w:val="00D3214E"/>
    <w:rsid w:val="00D3674A"/>
    <w:rsid w:val="00D4085D"/>
    <w:rsid w:val="00D40EC3"/>
    <w:rsid w:val="00D42F6F"/>
    <w:rsid w:val="00D43144"/>
    <w:rsid w:val="00D51386"/>
    <w:rsid w:val="00D52914"/>
    <w:rsid w:val="00D5485B"/>
    <w:rsid w:val="00D55591"/>
    <w:rsid w:val="00D57346"/>
    <w:rsid w:val="00D61911"/>
    <w:rsid w:val="00D625A7"/>
    <w:rsid w:val="00D677F9"/>
    <w:rsid w:val="00D729FA"/>
    <w:rsid w:val="00D7336A"/>
    <w:rsid w:val="00D73591"/>
    <w:rsid w:val="00D802FC"/>
    <w:rsid w:val="00D83D9E"/>
    <w:rsid w:val="00D8532B"/>
    <w:rsid w:val="00D85463"/>
    <w:rsid w:val="00D85BE9"/>
    <w:rsid w:val="00D87759"/>
    <w:rsid w:val="00D973A5"/>
    <w:rsid w:val="00DA54AF"/>
    <w:rsid w:val="00DA7233"/>
    <w:rsid w:val="00DB09CD"/>
    <w:rsid w:val="00DB4A35"/>
    <w:rsid w:val="00DC034A"/>
    <w:rsid w:val="00DC4D62"/>
    <w:rsid w:val="00DC50E5"/>
    <w:rsid w:val="00DC63D9"/>
    <w:rsid w:val="00DD0FAA"/>
    <w:rsid w:val="00DD348A"/>
    <w:rsid w:val="00DD7CD3"/>
    <w:rsid w:val="00DE4A6C"/>
    <w:rsid w:val="00DE64C1"/>
    <w:rsid w:val="00DF5BAB"/>
    <w:rsid w:val="00DF7BCD"/>
    <w:rsid w:val="00E01893"/>
    <w:rsid w:val="00E03DEE"/>
    <w:rsid w:val="00E10555"/>
    <w:rsid w:val="00E15329"/>
    <w:rsid w:val="00E16E0A"/>
    <w:rsid w:val="00E21771"/>
    <w:rsid w:val="00E220BC"/>
    <w:rsid w:val="00E25459"/>
    <w:rsid w:val="00E31096"/>
    <w:rsid w:val="00E33938"/>
    <w:rsid w:val="00E33DA2"/>
    <w:rsid w:val="00E33F03"/>
    <w:rsid w:val="00E34880"/>
    <w:rsid w:val="00E34C53"/>
    <w:rsid w:val="00E351B0"/>
    <w:rsid w:val="00E354D8"/>
    <w:rsid w:val="00E3658A"/>
    <w:rsid w:val="00E3706A"/>
    <w:rsid w:val="00E3738B"/>
    <w:rsid w:val="00E37446"/>
    <w:rsid w:val="00E4099E"/>
    <w:rsid w:val="00E4282D"/>
    <w:rsid w:val="00E42C51"/>
    <w:rsid w:val="00E456AA"/>
    <w:rsid w:val="00E5201F"/>
    <w:rsid w:val="00E53EA7"/>
    <w:rsid w:val="00E579FF"/>
    <w:rsid w:val="00E57FCB"/>
    <w:rsid w:val="00E623E0"/>
    <w:rsid w:val="00E6312B"/>
    <w:rsid w:val="00E63912"/>
    <w:rsid w:val="00E652E7"/>
    <w:rsid w:val="00E6698B"/>
    <w:rsid w:val="00E676FD"/>
    <w:rsid w:val="00E7195E"/>
    <w:rsid w:val="00E72F4A"/>
    <w:rsid w:val="00E77D6D"/>
    <w:rsid w:val="00E8067D"/>
    <w:rsid w:val="00E80693"/>
    <w:rsid w:val="00E82115"/>
    <w:rsid w:val="00E832FF"/>
    <w:rsid w:val="00E83448"/>
    <w:rsid w:val="00E86EBE"/>
    <w:rsid w:val="00E90C3D"/>
    <w:rsid w:val="00E92C8A"/>
    <w:rsid w:val="00E9346D"/>
    <w:rsid w:val="00E94DC5"/>
    <w:rsid w:val="00EA21BF"/>
    <w:rsid w:val="00EA2D85"/>
    <w:rsid w:val="00EA3112"/>
    <w:rsid w:val="00EA314E"/>
    <w:rsid w:val="00EA32CF"/>
    <w:rsid w:val="00EA594C"/>
    <w:rsid w:val="00EA622E"/>
    <w:rsid w:val="00EA7313"/>
    <w:rsid w:val="00EB18CA"/>
    <w:rsid w:val="00EB2E8A"/>
    <w:rsid w:val="00EB3A8C"/>
    <w:rsid w:val="00EB4275"/>
    <w:rsid w:val="00EB58A6"/>
    <w:rsid w:val="00EB6E34"/>
    <w:rsid w:val="00EB7EDA"/>
    <w:rsid w:val="00EC3E78"/>
    <w:rsid w:val="00EC5206"/>
    <w:rsid w:val="00EC5D22"/>
    <w:rsid w:val="00EC6191"/>
    <w:rsid w:val="00EC730A"/>
    <w:rsid w:val="00ED0175"/>
    <w:rsid w:val="00ED0AC8"/>
    <w:rsid w:val="00ED139E"/>
    <w:rsid w:val="00ED26BC"/>
    <w:rsid w:val="00ED4036"/>
    <w:rsid w:val="00ED6589"/>
    <w:rsid w:val="00EE041B"/>
    <w:rsid w:val="00EE3A79"/>
    <w:rsid w:val="00EE57AC"/>
    <w:rsid w:val="00EE74C4"/>
    <w:rsid w:val="00EE7D29"/>
    <w:rsid w:val="00EF52ED"/>
    <w:rsid w:val="00EF72D4"/>
    <w:rsid w:val="00EF74F0"/>
    <w:rsid w:val="00F00807"/>
    <w:rsid w:val="00F06783"/>
    <w:rsid w:val="00F118E9"/>
    <w:rsid w:val="00F11A23"/>
    <w:rsid w:val="00F12ACD"/>
    <w:rsid w:val="00F16589"/>
    <w:rsid w:val="00F1763A"/>
    <w:rsid w:val="00F2068C"/>
    <w:rsid w:val="00F2140A"/>
    <w:rsid w:val="00F23B45"/>
    <w:rsid w:val="00F24478"/>
    <w:rsid w:val="00F26258"/>
    <w:rsid w:val="00F2782E"/>
    <w:rsid w:val="00F3245D"/>
    <w:rsid w:val="00F34513"/>
    <w:rsid w:val="00F34E70"/>
    <w:rsid w:val="00F36B55"/>
    <w:rsid w:val="00F41CB7"/>
    <w:rsid w:val="00F4377A"/>
    <w:rsid w:val="00F46237"/>
    <w:rsid w:val="00F47765"/>
    <w:rsid w:val="00F540C5"/>
    <w:rsid w:val="00F549E4"/>
    <w:rsid w:val="00F562DF"/>
    <w:rsid w:val="00F63C02"/>
    <w:rsid w:val="00F6403E"/>
    <w:rsid w:val="00F72E93"/>
    <w:rsid w:val="00F740D1"/>
    <w:rsid w:val="00F755AE"/>
    <w:rsid w:val="00F76C87"/>
    <w:rsid w:val="00F77637"/>
    <w:rsid w:val="00F807EE"/>
    <w:rsid w:val="00F82328"/>
    <w:rsid w:val="00F8684A"/>
    <w:rsid w:val="00F94682"/>
    <w:rsid w:val="00F94C3D"/>
    <w:rsid w:val="00F94F6D"/>
    <w:rsid w:val="00F95D26"/>
    <w:rsid w:val="00F979C5"/>
    <w:rsid w:val="00FA06E8"/>
    <w:rsid w:val="00FA0CBF"/>
    <w:rsid w:val="00FA0E45"/>
    <w:rsid w:val="00FA2EC0"/>
    <w:rsid w:val="00FA64FD"/>
    <w:rsid w:val="00FA7304"/>
    <w:rsid w:val="00FA7551"/>
    <w:rsid w:val="00FB2958"/>
    <w:rsid w:val="00FB4200"/>
    <w:rsid w:val="00FB5750"/>
    <w:rsid w:val="00FB6A2E"/>
    <w:rsid w:val="00FC41E7"/>
    <w:rsid w:val="00FC6BDF"/>
    <w:rsid w:val="00FD1B8F"/>
    <w:rsid w:val="00FD4437"/>
    <w:rsid w:val="00FD78D7"/>
    <w:rsid w:val="00FE1B2C"/>
    <w:rsid w:val="00FE26A5"/>
    <w:rsid w:val="00FE7EF7"/>
    <w:rsid w:val="00FF12B7"/>
    <w:rsid w:val="00FF5029"/>
    <w:rsid w:val="00FF678A"/>
    <w:rsid w:val="00FF6926"/>
    <w:rsid w:val="00FF7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78A04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6"/>
      </w:numPr>
    </w:pPr>
  </w:style>
  <w:style w:type="paragraph" w:customStyle="1" w:styleId="Dash">
    <w:name w:val="Dash"/>
    <w:basedOn w:val="Normal"/>
    <w:rsid w:val="00D51386"/>
    <w:pPr>
      <w:numPr>
        <w:ilvl w:val="1"/>
        <w:numId w:val="6"/>
      </w:numPr>
    </w:pPr>
  </w:style>
  <w:style w:type="paragraph" w:customStyle="1" w:styleId="DoubleDot">
    <w:name w:val="Double Dot"/>
    <w:basedOn w:val="Normal"/>
    <w:rsid w:val="00D51386"/>
    <w:pPr>
      <w:numPr>
        <w:ilvl w:val="2"/>
        <w:numId w:val="6"/>
      </w:numPr>
    </w:pPr>
  </w:style>
  <w:style w:type="paragraph" w:customStyle="1" w:styleId="OutlineNumbered1">
    <w:name w:val="Outline Numbered 1"/>
    <w:basedOn w:val="Normal"/>
    <w:rsid w:val="00D51386"/>
    <w:pPr>
      <w:numPr>
        <w:numId w:val="1"/>
      </w:numPr>
    </w:pPr>
  </w:style>
  <w:style w:type="paragraph" w:customStyle="1" w:styleId="OutlineNumbered2">
    <w:name w:val="Outline Numbered 2"/>
    <w:basedOn w:val="Normal"/>
    <w:rsid w:val="00D51386"/>
    <w:pPr>
      <w:numPr>
        <w:ilvl w:val="1"/>
        <w:numId w:val="1"/>
      </w:numPr>
    </w:pPr>
  </w:style>
  <w:style w:type="paragraph" w:customStyle="1" w:styleId="OutlineNumbered3">
    <w:name w:val="Outline Numbered 3"/>
    <w:basedOn w:val="Normal"/>
    <w:rsid w:val="00D51386"/>
    <w:pPr>
      <w:numPr>
        <w:ilvl w:val="2"/>
        <w:numId w:val="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List Paragraph1,List Paragraph11,bullet point list"/>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D50E7"/>
    <w:rPr>
      <w:rFonts w:ascii="Corbel" w:hAnsi="Corbel"/>
      <w:color w:val="000000"/>
      <w:sz w:val="23"/>
    </w:rPr>
  </w:style>
  <w:style w:type="character" w:styleId="IntenseReference">
    <w:name w:val="Intense Reference"/>
    <w:basedOn w:val="DefaultParagraphFont"/>
    <w:uiPriority w:val="32"/>
    <w:qFormat/>
    <w:rsid w:val="0025175C"/>
    <w:rPr>
      <w:b/>
      <w:bCs/>
      <w:i/>
      <w:smallCaps/>
      <w:color w:val="C0504D" w:themeColor="accent2"/>
      <w:spacing w:val="5"/>
      <w:u w:val="none"/>
    </w:rPr>
  </w:style>
  <w:style w:type="character" w:customStyle="1" w:styleId="ListParagraphChar">
    <w:name w:val="List Paragraph Char"/>
    <w:aliases w:val="Recommendation Char,L Char,List Paragraph1 Char,List Paragraph11 Char,bullet point list Char"/>
    <w:basedOn w:val="DefaultParagraphFont"/>
    <w:link w:val="ListParagraph"/>
    <w:uiPriority w:val="34"/>
    <w:locked/>
    <w:rsid w:val="0025175C"/>
    <w:rPr>
      <w:sz w:val="24"/>
      <w:szCs w:val="24"/>
    </w:rPr>
  </w:style>
  <w:style w:type="paragraph" w:styleId="BodyTextIndent">
    <w:name w:val="Body Text Indent"/>
    <w:basedOn w:val="Normal"/>
    <w:link w:val="BodyTextIndentChar"/>
    <w:rsid w:val="00714A07"/>
    <w:pPr>
      <w:spacing w:after="120" w:line="240" w:lineRule="auto"/>
      <w:ind w:left="283"/>
      <w:jc w:val="left"/>
    </w:pPr>
    <w:rPr>
      <w:rFonts w:ascii="Times New Roman" w:hAnsi="Times New Roman"/>
      <w:color w:val="auto"/>
      <w:sz w:val="24"/>
    </w:rPr>
  </w:style>
  <w:style w:type="character" w:customStyle="1" w:styleId="BodyTextIndentChar">
    <w:name w:val="Body Text Indent Char"/>
    <w:basedOn w:val="DefaultParagraphFont"/>
    <w:link w:val="BodyTextIndent"/>
    <w:rsid w:val="00714A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6"/>
      </w:numPr>
    </w:pPr>
  </w:style>
  <w:style w:type="paragraph" w:customStyle="1" w:styleId="Dash">
    <w:name w:val="Dash"/>
    <w:basedOn w:val="Normal"/>
    <w:rsid w:val="00D51386"/>
    <w:pPr>
      <w:numPr>
        <w:ilvl w:val="1"/>
        <w:numId w:val="6"/>
      </w:numPr>
    </w:pPr>
  </w:style>
  <w:style w:type="paragraph" w:customStyle="1" w:styleId="DoubleDot">
    <w:name w:val="Double Dot"/>
    <w:basedOn w:val="Normal"/>
    <w:rsid w:val="00D51386"/>
    <w:pPr>
      <w:numPr>
        <w:ilvl w:val="2"/>
        <w:numId w:val="6"/>
      </w:numPr>
    </w:pPr>
  </w:style>
  <w:style w:type="paragraph" w:customStyle="1" w:styleId="OutlineNumbered1">
    <w:name w:val="Outline Numbered 1"/>
    <w:basedOn w:val="Normal"/>
    <w:rsid w:val="00D51386"/>
    <w:pPr>
      <w:numPr>
        <w:numId w:val="1"/>
      </w:numPr>
    </w:pPr>
  </w:style>
  <w:style w:type="paragraph" w:customStyle="1" w:styleId="OutlineNumbered2">
    <w:name w:val="Outline Numbered 2"/>
    <w:basedOn w:val="Normal"/>
    <w:rsid w:val="00D51386"/>
    <w:pPr>
      <w:numPr>
        <w:ilvl w:val="1"/>
        <w:numId w:val="1"/>
      </w:numPr>
    </w:pPr>
  </w:style>
  <w:style w:type="paragraph" w:customStyle="1" w:styleId="OutlineNumbered3">
    <w:name w:val="Outline Numbered 3"/>
    <w:basedOn w:val="Normal"/>
    <w:rsid w:val="00D51386"/>
    <w:pPr>
      <w:numPr>
        <w:ilvl w:val="2"/>
        <w:numId w:val="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List Paragraph1,List Paragraph11,bullet point list"/>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D50E7"/>
    <w:rPr>
      <w:rFonts w:ascii="Corbel" w:hAnsi="Corbel"/>
      <w:color w:val="000000"/>
      <w:sz w:val="23"/>
    </w:rPr>
  </w:style>
  <w:style w:type="character" w:styleId="IntenseReference">
    <w:name w:val="Intense Reference"/>
    <w:basedOn w:val="DefaultParagraphFont"/>
    <w:uiPriority w:val="32"/>
    <w:qFormat/>
    <w:rsid w:val="0025175C"/>
    <w:rPr>
      <w:b/>
      <w:bCs/>
      <w:i/>
      <w:smallCaps/>
      <w:color w:val="C0504D" w:themeColor="accent2"/>
      <w:spacing w:val="5"/>
      <w:u w:val="none"/>
    </w:rPr>
  </w:style>
  <w:style w:type="character" w:customStyle="1" w:styleId="ListParagraphChar">
    <w:name w:val="List Paragraph Char"/>
    <w:aliases w:val="Recommendation Char,L Char,List Paragraph1 Char,List Paragraph11 Char,bullet point list Char"/>
    <w:basedOn w:val="DefaultParagraphFont"/>
    <w:link w:val="ListParagraph"/>
    <w:uiPriority w:val="34"/>
    <w:locked/>
    <w:rsid w:val="0025175C"/>
    <w:rPr>
      <w:sz w:val="24"/>
      <w:szCs w:val="24"/>
    </w:rPr>
  </w:style>
  <w:style w:type="paragraph" w:styleId="BodyTextIndent">
    <w:name w:val="Body Text Indent"/>
    <w:basedOn w:val="Normal"/>
    <w:link w:val="BodyTextIndentChar"/>
    <w:rsid w:val="00714A07"/>
    <w:pPr>
      <w:spacing w:after="120" w:line="240" w:lineRule="auto"/>
      <w:ind w:left="283"/>
      <w:jc w:val="left"/>
    </w:pPr>
    <w:rPr>
      <w:rFonts w:ascii="Times New Roman" w:hAnsi="Times New Roman"/>
      <w:color w:val="auto"/>
      <w:sz w:val="24"/>
    </w:rPr>
  </w:style>
  <w:style w:type="character" w:customStyle="1" w:styleId="BodyTextIndentChar">
    <w:name w:val="Body Text Indent Char"/>
    <w:basedOn w:val="DefaultParagraphFont"/>
    <w:link w:val="BodyTextIndent"/>
    <w:rsid w:val="00714A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2492">
      <w:bodyDiv w:val="1"/>
      <w:marLeft w:val="0"/>
      <w:marRight w:val="0"/>
      <w:marTop w:val="0"/>
      <w:marBottom w:val="0"/>
      <w:divBdr>
        <w:top w:val="none" w:sz="0" w:space="0" w:color="auto"/>
        <w:left w:val="none" w:sz="0" w:space="0" w:color="auto"/>
        <w:bottom w:val="none" w:sz="0" w:space="0" w:color="auto"/>
        <w:right w:val="none" w:sz="0" w:space="0" w:color="auto"/>
      </w:divBdr>
    </w:div>
    <w:div w:id="293566495">
      <w:bodyDiv w:val="1"/>
      <w:marLeft w:val="0"/>
      <w:marRight w:val="0"/>
      <w:marTop w:val="0"/>
      <w:marBottom w:val="0"/>
      <w:divBdr>
        <w:top w:val="none" w:sz="0" w:space="0" w:color="auto"/>
        <w:left w:val="none" w:sz="0" w:space="0" w:color="auto"/>
        <w:bottom w:val="none" w:sz="0" w:space="0" w:color="auto"/>
        <w:right w:val="none" w:sz="0" w:space="0" w:color="auto"/>
      </w:divBdr>
    </w:div>
    <w:div w:id="383723532">
      <w:bodyDiv w:val="1"/>
      <w:marLeft w:val="0"/>
      <w:marRight w:val="0"/>
      <w:marTop w:val="0"/>
      <w:marBottom w:val="0"/>
      <w:divBdr>
        <w:top w:val="none" w:sz="0" w:space="0" w:color="auto"/>
        <w:left w:val="none" w:sz="0" w:space="0" w:color="auto"/>
        <w:bottom w:val="none" w:sz="0" w:space="0" w:color="auto"/>
        <w:right w:val="none" w:sz="0" w:space="0" w:color="auto"/>
      </w:divBdr>
    </w:div>
    <w:div w:id="693654763">
      <w:marLeft w:val="0"/>
      <w:marRight w:val="0"/>
      <w:marTop w:val="0"/>
      <w:marBottom w:val="0"/>
      <w:divBdr>
        <w:top w:val="none" w:sz="0" w:space="0" w:color="auto"/>
        <w:left w:val="none" w:sz="0" w:space="0" w:color="auto"/>
        <w:bottom w:val="none" w:sz="0" w:space="0" w:color="auto"/>
        <w:right w:val="none" w:sz="0" w:space="0" w:color="auto"/>
      </w:divBdr>
    </w:div>
    <w:div w:id="693654764">
      <w:marLeft w:val="0"/>
      <w:marRight w:val="0"/>
      <w:marTop w:val="0"/>
      <w:marBottom w:val="0"/>
      <w:divBdr>
        <w:top w:val="none" w:sz="0" w:space="0" w:color="auto"/>
        <w:left w:val="none" w:sz="0" w:space="0" w:color="auto"/>
        <w:bottom w:val="none" w:sz="0" w:space="0" w:color="auto"/>
        <w:right w:val="none" w:sz="0" w:space="0" w:color="auto"/>
      </w:divBdr>
    </w:div>
    <w:div w:id="693654765">
      <w:marLeft w:val="0"/>
      <w:marRight w:val="0"/>
      <w:marTop w:val="0"/>
      <w:marBottom w:val="0"/>
      <w:divBdr>
        <w:top w:val="none" w:sz="0" w:space="0" w:color="auto"/>
        <w:left w:val="none" w:sz="0" w:space="0" w:color="auto"/>
        <w:bottom w:val="none" w:sz="0" w:space="0" w:color="auto"/>
        <w:right w:val="none" w:sz="0" w:space="0" w:color="auto"/>
      </w:divBdr>
    </w:div>
    <w:div w:id="693654766">
      <w:marLeft w:val="0"/>
      <w:marRight w:val="0"/>
      <w:marTop w:val="0"/>
      <w:marBottom w:val="0"/>
      <w:divBdr>
        <w:top w:val="none" w:sz="0" w:space="0" w:color="auto"/>
        <w:left w:val="none" w:sz="0" w:space="0" w:color="auto"/>
        <w:bottom w:val="none" w:sz="0" w:space="0" w:color="auto"/>
        <w:right w:val="none" w:sz="0" w:space="0" w:color="auto"/>
      </w:divBdr>
    </w:div>
    <w:div w:id="1223371339">
      <w:bodyDiv w:val="1"/>
      <w:marLeft w:val="0"/>
      <w:marRight w:val="0"/>
      <w:marTop w:val="0"/>
      <w:marBottom w:val="0"/>
      <w:divBdr>
        <w:top w:val="none" w:sz="0" w:space="0" w:color="auto"/>
        <w:left w:val="none" w:sz="0" w:space="0" w:color="auto"/>
        <w:bottom w:val="none" w:sz="0" w:space="0" w:color="auto"/>
        <w:right w:val="none" w:sz="0" w:space="0" w:color="auto"/>
      </w:divBdr>
    </w:div>
    <w:div w:id="1845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2020FG-64-75235</_dlc_DocId>
    <_dlc_DocIdUrl xmlns="0f563589-9cf9-4143-b1eb-fb0534803d38">
      <Url>http://tweb/sites/fg/csrd/_layouts/15/DocIdRedir.aspx?ID=2020FG-64-75235</Url>
      <Description>2020FG-64-75235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C92A-F790-44B1-81E5-BF468B1C7642}"/>
</file>

<file path=customXml/itemProps2.xml><?xml version="1.0" encoding="utf-8"?>
<ds:datastoreItem xmlns:ds="http://schemas.openxmlformats.org/officeDocument/2006/customXml" ds:itemID="{E09F673D-46D6-49D8-96F9-64D1BBC28C3E}">
  <ds:schemaRefs>
    <ds:schemaRef ds:uri="http://schemas.microsoft.com/sharepoint/v3/contenttype/forms"/>
  </ds:schemaRefs>
</ds:datastoreItem>
</file>

<file path=customXml/itemProps3.xml><?xml version="1.0" encoding="utf-8"?>
<ds:datastoreItem xmlns:ds="http://schemas.openxmlformats.org/officeDocument/2006/customXml" ds:itemID="{DA03CEFF-69DF-4D51-93A8-0D995023D534}">
  <ds:schemaRefs>
    <ds:schemaRef ds:uri="http://purl.org/dc/terms/"/>
    <ds:schemaRef ds:uri="http://schemas.microsoft.com/office/2006/metadata/properties"/>
    <ds:schemaRef ds:uri="http://purl.org/dc/elements/1.1/"/>
    <ds:schemaRef ds:uri="http://schemas.microsoft.com/sharepoint/v3"/>
    <ds:schemaRef ds:uri="e544e5cc-ab70-42e1-849e-1a0f8bb1f4ef"/>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A0041100-6051-476D-9432-8DC1B15AE074}">
  <ds:schemaRefs>
    <ds:schemaRef ds:uri="office.server.policy"/>
  </ds:schemaRefs>
</ds:datastoreItem>
</file>

<file path=customXml/itemProps5.xml><?xml version="1.0" encoding="utf-8"?>
<ds:datastoreItem xmlns:ds="http://schemas.openxmlformats.org/officeDocument/2006/customXml" ds:itemID="{C6FDD937-A977-4275-84B9-304B0A0D0039}">
  <ds:schemaRefs>
    <ds:schemaRef ds:uri="http://schemas.microsoft.com/sharepoint/events"/>
  </ds:schemaRefs>
</ds:datastoreItem>
</file>

<file path=customXml/itemProps6.xml><?xml version="1.0" encoding="utf-8"?>
<ds:datastoreItem xmlns:ds="http://schemas.openxmlformats.org/officeDocument/2006/customXml" ds:itemID="{38D1A258-80F1-4BB4-AB32-9A3CFA8784E5}">
  <ds:schemaRefs>
    <ds:schemaRef ds:uri="Microsoft.SharePoint.Taxonomy.ContentTypeSync"/>
  </ds:schemaRefs>
</ds:datastoreItem>
</file>

<file path=customXml/itemProps7.xml><?xml version="1.0" encoding="utf-8"?>
<ds:datastoreItem xmlns:ds="http://schemas.openxmlformats.org/officeDocument/2006/customXml" ds:itemID="{D3ED5A3C-A5DC-4826-BE57-E2CE1DF8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6</TotalTime>
  <Pages>8</Pages>
  <Words>2222</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COAG agreements</vt:lpstr>
    </vt:vector>
  </TitlesOfParts>
  <Company>The Treasury</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agreements</dc:title>
  <dc:creator>Shanyn Sparreboom, 2824</dc:creator>
  <cp:keywords>A</cp:keywords>
  <cp:lastModifiedBy>Jegatheeswaran, Gerthika</cp:lastModifiedBy>
  <cp:revision>3</cp:revision>
  <cp:lastPrinted>2017-09-29T02:31:00Z</cp:lastPrinted>
  <dcterms:created xsi:type="dcterms:W3CDTF">2018-03-19T22:50:00Z</dcterms:created>
  <dcterms:modified xsi:type="dcterms:W3CDTF">2018-03-19T23:03:00Z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MSDOCTYPE">
    <vt:lpwstr/>
  </property>
  <property fmtid="{D5CDD505-2E9C-101B-9397-08002B2CF9AE}" pid="4" name="DraftType">
    <vt:lpwstr/>
  </property>
  <property fmtid="{D5CDD505-2E9C-101B-9397-08002B2CF9AE}" pid="5" name="WPLUSServerName">
    <vt:lpwstr/>
  </property>
  <property fmtid="{D5CDD505-2E9C-101B-9397-08002B2CF9AE}" pid="6" name="WPLUSDataBaseName">
    <vt:lpwstr/>
  </property>
  <property fmtid="{D5CDD505-2E9C-101B-9397-08002B2CF9AE}" pid="7" name="WPLUSDocumentUNID">
    <vt:lpwstr/>
  </property>
  <property fmtid="{D5CDD505-2E9C-101B-9397-08002B2CF9AE}" pid="8" name="NeverSavedToNT">
    <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_dlc_DocIdItemGuid">
    <vt:lpwstr>5906d83c-e941-4409-ad2e-328eb414996e</vt:lpwstr>
  </property>
  <property fmtid="{D5CDD505-2E9C-101B-9397-08002B2CF9AE}" pid="12" name="RecordPoint_WorkflowType">
    <vt:lpwstr>ActiveSubmitStub</vt:lpwstr>
  </property>
  <property fmtid="{D5CDD505-2E9C-101B-9397-08002B2CF9AE}" pid="13" name="RecordPoint_ActiveItemSiteId">
    <vt:lpwstr>{a3a280d1-e8f1-4ce7-94f0-aaa2322da0dd}</vt:lpwstr>
  </property>
  <property fmtid="{D5CDD505-2E9C-101B-9397-08002B2CF9AE}" pid="14" name="RecordPoint_ActiveItemListId">
    <vt:lpwstr>{4435c73b-6585-4bc2-a76a-5d21b1a02e06}</vt:lpwstr>
  </property>
  <property fmtid="{D5CDD505-2E9C-101B-9397-08002B2CF9AE}" pid="15" name="RecordPoint_ActiveItemUniqueId">
    <vt:lpwstr>{5906d83c-e941-4409-ad2e-328eb414996e}</vt:lpwstr>
  </property>
  <property fmtid="{D5CDD505-2E9C-101B-9397-08002B2CF9AE}" pid="16" name="RecordPoint_ActiveItemWebId">
    <vt:lpwstr>{a4589788-615f-4b8b-8296-7f9f6dfbab44}</vt:lpwstr>
  </property>
  <property fmtid="{D5CDD505-2E9C-101B-9397-08002B2CF9AE}" pid="17" name="RecordPoint_RecordNumberSubmitted">
    <vt:lpwstr>R0002277557</vt:lpwstr>
  </property>
  <property fmtid="{D5CDD505-2E9C-101B-9397-08002B2CF9AE}" pid="18" name="RecordPoint_SubmissionCompleted">
    <vt:lpwstr>2020-06-12T17:28:16.6589183+10:00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