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197C" w14:textId="77777777" w:rsidR="006342B5" w:rsidRDefault="00346E94" w:rsidP="00F91190">
      <w:pPr>
        <w:pStyle w:val="Title"/>
      </w:pPr>
      <w:bookmarkStart w:id="0" w:name="_GoBack"/>
      <w:bookmarkEnd w:id="0"/>
      <w:r>
        <w:t>Western Australia</w:t>
      </w:r>
    </w:p>
    <w:p w14:paraId="43E69784" w14:textId="77777777" w:rsidR="00F91190" w:rsidRPr="00F91190" w:rsidRDefault="00F91190" w:rsidP="00F91190">
      <w:pPr>
        <w:pStyle w:val="Subtitle"/>
      </w:pPr>
      <w:r>
        <w:t>Project agreement for ENCOURA</w:t>
      </w:r>
      <w:r w:rsidR="001F3F1D">
        <w:t>G</w:t>
      </w:r>
      <w:r>
        <w:t>ING MORE CLINICAL TRIALS IN AUSTRALIA</w:t>
      </w:r>
    </w:p>
    <w:p w14:paraId="004F8B42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>PART 1: PRELIMINARIES</w:t>
      </w:r>
    </w:p>
    <w:p w14:paraId="069E1076" w14:textId="77777777" w:rsidR="00F91190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B82557">
        <w:t xml:space="preserve">This </w:t>
      </w:r>
      <w:r>
        <w:t>Sch</w:t>
      </w:r>
      <w:r w:rsidRPr="00B82557">
        <w:t>ed</w:t>
      </w:r>
      <w:r>
        <w:t xml:space="preserve">ule </w:t>
      </w:r>
      <w:r w:rsidR="005B2C86" w:rsidRPr="00B82557">
        <w:t xml:space="preserve">has been developed </w:t>
      </w:r>
      <w:r w:rsidR="005B2C86">
        <w:t>in accordance with</w:t>
      </w:r>
      <w:r w:rsidR="005B2C86" w:rsidRPr="00B82557">
        <w:t xml:space="preserve"> </w:t>
      </w:r>
      <w:r w:rsidR="005B2C86">
        <w:t>clause</w:t>
      </w:r>
      <w:r w:rsidR="005B2C86" w:rsidRPr="00B82557">
        <w:t xml:space="preserve"> </w:t>
      </w:r>
      <w:r w:rsidR="005B2C86">
        <w:t>12(a)</w:t>
      </w:r>
      <w:r w:rsidR="005B2C86" w:rsidRPr="00B82557">
        <w:t xml:space="preserve"> of the</w:t>
      </w:r>
      <w:r w:rsidR="005B2C86">
        <w:t xml:space="preserve"> Project Agreement for Encouraging More Clinical Trials in Australia and</w:t>
      </w:r>
      <w:r>
        <w:t xml:space="preserve"> </w:t>
      </w:r>
      <w:r w:rsidRPr="00B82557">
        <w:t>should be read in conju</w:t>
      </w:r>
      <w:r w:rsidR="005B2C86">
        <w:t>nction with that Agreement.</w:t>
      </w:r>
    </w:p>
    <w:p w14:paraId="78EA3C28" w14:textId="77777777" w:rsidR="00F91190" w:rsidRPr="00EA3664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EA3664">
        <w:t>This Schedule will commence as soon as it is agreed between the Commonwealth and</w:t>
      </w:r>
      <w:r>
        <w:t xml:space="preserve"> </w:t>
      </w:r>
      <w:r w:rsidR="001144F9">
        <w:t>Western Australia</w:t>
      </w:r>
      <w:r w:rsidRPr="00EA3664">
        <w:t xml:space="preserve"> </w:t>
      </w:r>
      <w:r>
        <w:t>and expire on 30 June 2021</w:t>
      </w:r>
      <w:r w:rsidRPr="00B572B0">
        <w:t xml:space="preserve"> or on completion of the project whichever is earlier, including final performance reporting and processing of final payments against milestones</w:t>
      </w:r>
      <w:r w:rsidRPr="00EA3664">
        <w:t>.</w:t>
      </w:r>
    </w:p>
    <w:p w14:paraId="4D12C912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 xml:space="preserve">PART </w:t>
      </w:r>
      <w:r w:rsidR="005B2C86">
        <w:t>2</w:t>
      </w:r>
      <w:r w:rsidRPr="00216E26">
        <w:t>: PROJECT MILESTONES, REPORTING AND PAYMENTS</w:t>
      </w:r>
    </w:p>
    <w:p w14:paraId="64B898DE" w14:textId="77777777" w:rsidR="00BC6610" w:rsidRPr="00BC6610" w:rsidRDefault="00960EF2" w:rsidP="00BC661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BC6610">
        <w:rPr>
          <w:color w:val="auto"/>
        </w:rPr>
        <w:t xml:space="preserve">In accordance with clause 12 of the Agreement, the Commonwealth and </w:t>
      </w:r>
      <w:r w:rsidR="001144F9" w:rsidRPr="00BC6610">
        <w:rPr>
          <w:color w:val="auto"/>
        </w:rPr>
        <w:t>Western Australia</w:t>
      </w:r>
      <w:r w:rsidRPr="00BC6610">
        <w:rPr>
          <w:color w:val="auto"/>
        </w:rPr>
        <w:t xml:space="preserve"> have agreed a Project Plan that sets out </w:t>
      </w:r>
      <w:r w:rsidR="001144F9" w:rsidRPr="00BC6610">
        <w:rPr>
          <w:color w:val="auto"/>
        </w:rPr>
        <w:t>Western Australia</w:t>
      </w:r>
      <w:r w:rsidRPr="00BC6610">
        <w:rPr>
          <w:color w:val="auto"/>
        </w:rPr>
        <w:t xml:space="preserve">’s strategy for delivering on the outputs of </w:t>
      </w:r>
      <w:r w:rsidR="005B2C86" w:rsidRPr="00BC6610">
        <w:rPr>
          <w:color w:val="auto"/>
        </w:rPr>
        <w:t>the</w:t>
      </w:r>
      <w:r w:rsidRPr="00BC6610">
        <w:rPr>
          <w:color w:val="auto"/>
        </w:rPr>
        <w:t xml:space="preserve"> Agreement.</w:t>
      </w:r>
    </w:p>
    <w:p w14:paraId="18CD7AFB" w14:textId="39DC2CE2" w:rsidR="005B2C86" w:rsidRPr="00BC6610" w:rsidRDefault="00960EF2" w:rsidP="00BC661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BC6610">
        <w:rPr>
          <w:color w:val="auto"/>
        </w:rPr>
        <w:t xml:space="preserve">Consistent with the agreed Project Plan, </w:t>
      </w:r>
      <w:r w:rsidR="001144F9" w:rsidRPr="00BC6610">
        <w:rPr>
          <w:color w:val="auto"/>
        </w:rPr>
        <w:t>Western Australia</w:t>
      </w:r>
      <w:r w:rsidR="00232E16" w:rsidRPr="00BC6610">
        <w:rPr>
          <w:color w:val="auto"/>
        </w:rPr>
        <w:t xml:space="preserve"> will</w:t>
      </w:r>
      <w:r w:rsidR="00924BCA">
        <w:rPr>
          <w:color w:val="auto"/>
        </w:rPr>
        <w:t xml:space="preserve"> enhance its</w:t>
      </w:r>
      <w:r w:rsidR="00F95373">
        <w:rPr>
          <w:color w:val="auto"/>
        </w:rPr>
        <w:t xml:space="preserve"> state-wide</w:t>
      </w:r>
      <w:r w:rsidR="00333A55">
        <w:rPr>
          <w:color w:val="auto"/>
        </w:rPr>
        <w:t xml:space="preserve"> Clinical Trials and Data Management Centre (CTDMC) that will</w:t>
      </w:r>
      <w:r w:rsidR="005B2C86" w:rsidRPr="00BC6610">
        <w:rPr>
          <w:color w:val="auto"/>
        </w:rPr>
        <w:t>:</w:t>
      </w:r>
    </w:p>
    <w:p w14:paraId="1DF3AC1A" w14:textId="647AD415" w:rsidR="00F91190" w:rsidRPr="00BC6610" w:rsidRDefault="001144F9" w:rsidP="00A26CD4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BC6610">
        <w:rPr>
          <w:color w:val="auto"/>
        </w:rPr>
        <w:t>act as a central contact point and node for the conduct of national and international clinical trials, and provide new clinical trials patient data systems capability;</w:t>
      </w:r>
    </w:p>
    <w:p w14:paraId="59760628" w14:textId="7149B7BA" w:rsidR="00BA5AE8" w:rsidRDefault="001144F9" w:rsidP="00BA5AE8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BC6610">
        <w:rPr>
          <w:color w:val="auto"/>
        </w:rPr>
        <w:t>establish Clinical Trial Liaison Officers (CTLOs) within each of the four metropolitan public Health Service Providers (HSPs) to</w:t>
      </w:r>
      <w:r w:rsidR="00BA5AE8">
        <w:rPr>
          <w:color w:val="auto"/>
        </w:rPr>
        <w:t>:</w:t>
      </w:r>
    </w:p>
    <w:p w14:paraId="660D1B78" w14:textId="77777777" w:rsidR="00BA5AE8" w:rsidRDefault="001144F9" w:rsidP="00BA5AE8">
      <w:pPr>
        <w:pStyle w:val="Normalnumbered"/>
        <w:numPr>
          <w:ilvl w:val="0"/>
          <w:numId w:val="42"/>
        </w:numPr>
        <w:tabs>
          <w:tab w:val="clear" w:pos="567"/>
          <w:tab w:val="clear" w:pos="1134"/>
          <w:tab w:val="clear" w:pos="1418"/>
        </w:tabs>
        <w:ind w:left="1701" w:hanging="567"/>
        <w:jc w:val="left"/>
        <w:rPr>
          <w:color w:val="auto"/>
        </w:rPr>
      </w:pPr>
      <w:r w:rsidRPr="00BC6610">
        <w:rPr>
          <w:color w:val="auto"/>
        </w:rPr>
        <w:t>provide expert guidance and centralise support to individual hospitals to streamline processes;</w:t>
      </w:r>
    </w:p>
    <w:p w14:paraId="4FEAF52E" w14:textId="77777777" w:rsidR="00BA5AE8" w:rsidRDefault="001144F9" w:rsidP="00BA5AE8">
      <w:pPr>
        <w:pStyle w:val="Normalnumbered"/>
        <w:numPr>
          <w:ilvl w:val="0"/>
          <w:numId w:val="42"/>
        </w:numPr>
        <w:tabs>
          <w:tab w:val="clear" w:pos="567"/>
          <w:tab w:val="clear" w:pos="1134"/>
          <w:tab w:val="clear" w:pos="1418"/>
        </w:tabs>
        <w:ind w:left="1701" w:hanging="567"/>
        <w:jc w:val="left"/>
        <w:rPr>
          <w:color w:val="auto"/>
        </w:rPr>
      </w:pPr>
      <w:r w:rsidRPr="00BC6610">
        <w:rPr>
          <w:color w:val="auto"/>
        </w:rPr>
        <w:t>guide financial and contractual manageme</w:t>
      </w:r>
      <w:r w:rsidR="00BA5AE8">
        <w:rPr>
          <w:color w:val="auto"/>
        </w:rPr>
        <w:t>nt and patient recruitment; and</w:t>
      </w:r>
    </w:p>
    <w:p w14:paraId="539B40FD" w14:textId="341A4EDC" w:rsidR="00BA5AE8" w:rsidRDefault="001144F9" w:rsidP="00BA5AE8">
      <w:pPr>
        <w:pStyle w:val="Normalnumbered"/>
        <w:numPr>
          <w:ilvl w:val="0"/>
          <w:numId w:val="42"/>
        </w:numPr>
        <w:tabs>
          <w:tab w:val="clear" w:pos="567"/>
          <w:tab w:val="clear" w:pos="1134"/>
          <w:tab w:val="clear" w:pos="1418"/>
        </w:tabs>
        <w:ind w:left="1701" w:hanging="567"/>
        <w:jc w:val="left"/>
        <w:rPr>
          <w:color w:val="auto"/>
        </w:rPr>
      </w:pPr>
      <w:r w:rsidRPr="00BC6610">
        <w:rPr>
          <w:color w:val="auto"/>
        </w:rPr>
        <w:t>support the efficient conduct, monitoring and reporting of trials</w:t>
      </w:r>
      <w:r w:rsidR="00BA5AE8">
        <w:rPr>
          <w:color w:val="auto"/>
        </w:rPr>
        <w:t>; and</w:t>
      </w:r>
    </w:p>
    <w:p w14:paraId="281E2EC6" w14:textId="2D2DF26A" w:rsidR="005B2C86" w:rsidRPr="00BC6610" w:rsidRDefault="001144F9" w:rsidP="00BA5AE8">
      <w:pPr>
        <w:pStyle w:val="Normalnumbered"/>
        <w:numPr>
          <w:ilvl w:val="0"/>
          <w:numId w:val="42"/>
        </w:numPr>
        <w:tabs>
          <w:tab w:val="clear" w:pos="567"/>
          <w:tab w:val="clear" w:pos="1134"/>
          <w:tab w:val="clear" w:pos="1418"/>
        </w:tabs>
        <w:ind w:left="1701" w:hanging="567"/>
        <w:jc w:val="left"/>
        <w:rPr>
          <w:color w:val="auto"/>
        </w:rPr>
      </w:pPr>
      <w:r w:rsidRPr="00BC6610">
        <w:rPr>
          <w:color w:val="auto"/>
        </w:rPr>
        <w:t>identify linkages across Health Services and liaise with the state-wide CTDMC</w:t>
      </w:r>
      <w:r w:rsidR="005B2C86" w:rsidRPr="00BC6610">
        <w:rPr>
          <w:color w:val="auto"/>
        </w:rPr>
        <w:t>;</w:t>
      </w:r>
      <w:r w:rsidR="00F20030">
        <w:rPr>
          <w:color w:val="auto"/>
        </w:rPr>
        <w:t xml:space="preserve"> and</w:t>
      </w:r>
    </w:p>
    <w:p w14:paraId="28F526CA" w14:textId="0D9E728F" w:rsidR="00BC6610" w:rsidRPr="00BC6610" w:rsidRDefault="00BC6610" w:rsidP="00A26CD4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BC6610">
        <w:rPr>
          <w:color w:val="auto"/>
        </w:rPr>
        <w:t xml:space="preserve">expand functionality </w:t>
      </w:r>
      <w:r w:rsidR="002619F8">
        <w:rPr>
          <w:color w:val="auto"/>
        </w:rPr>
        <w:t>of</w:t>
      </w:r>
      <w:r w:rsidRPr="00BC6610">
        <w:rPr>
          <w:color w:val="auto"/>
        </w:rPr>
        <w:t xml:space="preserve"> the W</w:t>
      </w:r>
      <w:r w:rsidR="00BA5AE8">
        <w:rPr>
          <w:color w:val="auto"/>
        </w:rPr>
        <w:t xml:space="preserve">estern </w:t>
      </w:r>
      <w:r w:rsidRPr="00BC6610">
        <w:rPr>
          <w:color w:val="auto"/>
        </w:rPr>
        <w:t>A</w:t>
      </w:r>
      <w:r w:rsidR="00BA5AE8">
        <w:rPr>
          <w:color w:val="auto"/>
        </w:rPr>
        <w:t>ustralian</w:t>
      </w:r>
      <w:r w:rsidRPr="00BC6610">
        <w:rPr>
          <w:color w:val="auto"/>
        </w:rPr>
        <w:t xml:space="preserve"> Research Governance Service that will facilitate first-time participation in national streamlining and data collection and reporting efforts</w:t>
      </w:r>
      <w:r w:rsidR="00F20030">
        <w:rPr>
          <w:color w:val="auto"/>
        </w:rPr>
        <w:t>.</w:t>
      </w:r>
    </w:p>
    <w:p w14:paraId="5FDDEA73" w14:textId="77777777" w:rsidR="00172858" w:rsidRPr="00BC6610" w:rsidRDefault="00172858" w:rsidP="00DB71E8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rPr>
          <w:color w:val="auto"/>
        </w:rPr>
      </w:pPr>
      <w:r w:rsidRPr="00BC6610">
        <w:rPr>
          <w:color w:val="auto"/>
        </w:rPr>
        <w:t xml:space="preserve">In accordance with </w:t>
      </w:r>
      <w:r w:rsidR="00960EF2" w:rsidRPr="00BC6610">
        <w:rPr>
          <w:color w:val="auto"/>
        </w:rPr>
        <w:t xml:space="preserve">clause </w:t>
      </w:r>
      <w:r w:rsidR="00B34603" w:rsidRPr="00BC6610">
        <w:rPr>
          <w:color w:val="auto"/>
        </w:rPr>
        <w:t xml:space="preserve">8 and </w:t>
      </w:r>
      <w:r w:rsidRPr="00BC6610">
        <w:rPr>
          <w:color w:val="auto"/>
        </w:rPr>
        <w:t>1</w:t>
      </w:r>
      <w:r w:rsidR="00B34603" w:rsidRPr="00BC6610">
        <w:rPr>
          <w:color w:val="auto"/>
        </w:rPr>
        <w:t>5</w:t>
      </w:r>
      <w:r w:rsidRPr="00BC6610">
        <w:rPr>
          <w:color w:val="auto"/>
        </w:rPr>
        <w:t xml:space="preserve"> of the Agreement, milestones, their relationship to outputs, expected completion dates, relevant reporting dates and expected payments are set out in Table 1.</w:t>
      </w:r>
    </w:p>
    <w:p w14:paraId="5F781A2A" w14:textId="77777777" w:rsidR="00CA74B8" w:rsidRPr="001144F9" w:rsidRDefault="00CA74B8" w:rsidP="00CA74B8">
      <w:pPr>
        <w:spacing w:after="0" w:line="240" w:lineRule="auto"/>
        <w:jc w:val="left"/>
        <w:rPr>
          <w:b/>
          <w:color w:val="FF0000"/>
        </w:rPr>
        <w:sectPr w:rsidR="00CA74B8" w:rsidRPr="001144F9" w:rsidSect="00EE235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1D9095AD" w14:textId="77777777" w:rsidR="00172858" w:rsidRPr="002619F8" w:rsidRDefault="00172858" w:rsidP="00464FDF">
      <w:pPr>
        <w:spacing w:after="120" w:line="240" w:lineRule="auto"/>
        <w:jc w:val="left"/>
        <w:rPr>
          <w:b/>
          <w:color w:val="auto"/>
        </w:rPr>
      </w:pPr>
      <w:r w:rsidRPr="002619F8">
        <w:rPr>
          <w:b/>
          <w:color w:val="auto"/>
        </w:rPr>
        <w:lastRenderedPageBreak/>
        <w:t>Table 1: Milestones, reporting and payment summary</w:t>
      </w:r>
    </w:p>
    <w:tbl>
      <w:tblPr>
        <w:tblW w:w="14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127"/>
        <w:gridCol w:w="1985"/>
        <w:gridCol w:w="1701"/>
        <w:gridCol w:w="1701"/>
      </w:tblGrid>
      <w:tr w:rsidR="002619F8" w:rsidRPr="002619F8" w14:paraId="5328D6C0" w14:textId="77777777" w:rsidTr="000D17C9">
        <w:trPr>
          <w:tblHeader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ECACE36" w14:textId="77777777" w:rsidR="000D17C9" w:rsidRPr="002619F8" w:rsidRDefault="000D17C9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strike/>
                <w:color w:val="auto"/>
                <w:sz w:val="23"/>
                <w:szCs w:val="23"/>
              </w:rPr>
            </w:pPr>
            <w:r w:rsidRPr="002619F8">
              <w:rPr>
                <w:bCs w:val="0"/>
                <w:color w:val="auto"/>
                <w:sz w:val="23"/>
                <w:szCs w:val="23"/>
              </w:rPr>
              <w:t>Outputs</w:t>
            </w:r>
          </w:p>
        </w:tc>
        <w:tc>
          <w:tcPr>
            <w:tcW w:w="878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555C894" w14:textId="77777777" w:rsidR="000D17C9" w:rsidRPr="002619F8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2619F8">
              <w:rPr>
                <w:b/>
                <w:color w:val="auto"/>
                <w:szCs w:val="23"/>
              </w:rPr>
              <w:t>Milestones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6FCC33C" w14:textId="77777777" w:rsidR="000D17C9" w:rsidRPr="002619F8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2619F8">
              <w:rPr>
                <w:b/>
                <w:color w:val="auto"/>
                <w:szCs w:val="23"/>
              </w:rPr>
              <w:t>Report</w:t>
            </w:r>
            <w:r w:rsidR="00EE235D" w:rsidRPr="002619F8">
              <w:rPr>
                <w:b/>
                <w:color w:val="auto"/>
                <w:szCs w:val="23"/>
              </w:rPr>
              <w:t>s</w:t>
            </w:r>
            <w:r w:rsidRPr="002619F8">
              <w:rPr>
                <w:b/>
                <w:color w:val="auto"/>
                <w:szCs w:val="23"/>
              </w:rPr>
              <w:t xml:space="preserve"> due</w:t>
            </w:r>
          </w:p>
          <w:p w14:paraId="39DABD19" w14:textId="77777777" w:rsidR="000D17C9" w:rsidRPr="002619F8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7953BEE" w14:textId="77777777" w:rsidR="000D17C9" w:rsidRPr="002619F8" w:rsidRDefault="000D17C9" w:rsidP="000D17C9">
            <w:pPr>
              <w:spacing w:after="0" w:line="240" w:lineRule="auto"/>
              <w:jc w:val="center"/>
              <w:rPr>
                <w:color w:val="auto"/>
              </w:rPr>
            </w:pPr>
            <w:r w:rsidRPr="002619F8">
              <w:rPr>
                <w:b/>
                <w:bCs/>
                <w:iCs/>
                <w:color w:val="auto"/>
                <w:szCs w:val="23"/>
              </w:rPr>
              <w:t>Payment</w:t>
            </w:r>
            <w:r w:rsidR="00EE235D" w:rsidRPr="002619F8">
              <w:rPr>
                <w:b/>
                <w:bCs/>
                <w:iCs/>
                <w:color w:val="auto"/>
                <w:szCs w:val="23"/>
              </w:rPr>
              <w:t>s</w:t>
            </w:r>
          </w:p>
        </w:tc>
      </w:tr>
      <w:tr w:rsidR="002619F8" w:rsidRPr="002619F8" w14:paraId="6E97BEE0" w14:textId="77777777" w:rsidTr="000D17C9">
        <w:trPr>
          <w:tblHeader/>
        </w:trPr>
        <w:tc>
          <w:tcPr>
            <w:tcW w:w="22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0C373EA" w14:textId="77777777" w:rsidR="00CA74B8" w:rsidRPr="002619F8" w:rsidRDefault="00CA74B8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542D4FD" w14:textId="77777777" w:rsidR="00CA74B8" w:rsidRPr="002619F8" w:rsidRDefault="000D17C9" w:rsidP="000D17C9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jc w:val="center"/>
              <w:rPr>
                <w:bCs w:val="0"/>
                <w:color w:val="auto"/>
                <w:sz w:val="23"/>
                <w:szCs w:val="23"/>
              </w:rPr>
            </w:pPr>
            <w:r w:rsidRPr="002619F8">
              <w:rPr>
                <w:bCs w:val="0"/>
                <w:color w:val="auto"/>
                <w:sz w:val="23"/>
                <w:szCs w:val="23"/>
              </w:rPr>
              <w:t>2017-18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FF1C6DA" w14:textId="77777777" w:rsidR="00CA74B8" w:rsidRPr="002619F8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2619F8">
              <w:rPr>
                <w:b/>
                <w:color w:val="auto"/>
                <w:szCs w:val="23"/>
              </w:rPr>
              <w:t>2018-19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96663F9" w14:textId="77777777" w:rsidR="00CA74B8" w:rsidRPr="002619F8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  <w:r w:rsidRPr="002619F8">
              <w:rPr>
                <w:b/>
                <w:bCs/>
                <w:iCs/>
                <w:color w:val="auto"/>
                <w:szCs w:val="23"/>
              </w:rPr>
              <w:t>2o19-20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18162BF0" w14:textId="77777777" w:rsidR="00CA74B8" w:rsidRPr="002619F8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2619F8">
              <w:rPr>
                <w:b/>
                <w:color w:val="auto"/>
                <w:szCs w:val="23"/>
              </w:rPr>
              <w:t>2020-21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5A05FEB" w14:textId="77777777" w:rsidR="00CA74B8" w:rsidRPr="002619F8" w:rsidRDefault="00CA74B8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48C8A06" w14:textId="77777777" w:rsidR="00CA74B8" w:rsidRPr="002619F8" w:rsidRDefault="00CA74B8" w:rsidP="000D17C9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</w:tr>
      <w:tr w:rsidR="00F10471" w:rsidRPr="001144F9" w14:paraId="77FBC3D0" w14:textId="77777777" w:rsidTr="00EE235D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E828824" w14:textId="77777777" w:rsidR="00964250" w:rsidRDefault="00964250" w:rsidP="0096425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new and enhanced central coordination unit in accordance with clause 8(a) of the Agreement.</w:t>
            </w:r>
          </w:p>
          <w:p w14:paraId="00ADB528" w14:textId="77777777" w:rsidR="00F10471" w:rsidRDefault="00F10471" w:rsidP="00A1594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</w:p>
          <w:p w14:paraId="230B7E79" w14:textId="77777777" w:rsidR="00F10471" w:rsidRPr="002619F8" w:rsidRDefault="00F10471" w:rsidP="00A1594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FFB19E" w14:textId="77777777" w:rsidR="00F10471" w:rsidRDefault="00F10471" w:rsidP="002619F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DF26F0">
              <w:rPr>
                <w:bCs/>
                <w:color w:val="auto"/>
                <w:sz w:val="20"/>
              </w:rPr>
              <w:t>E</w:t>
            </w:r>
            <w:r w:rsidRPr="00DF26F0">
              <w:rPr>
                <w:color w:val="auto"/>
                <w:sz w:val="20"/>
              </w:rPr>
              <w:t>stablish the state-wide Clinical Trials Data Systems Manager (CTDSM) role within CTDMC.</w:t>
            </w:r>
          </w:p>
          <w:p w14:paraId="0E4DA838" w14:textId="77777777" w:rsidR="00F10471" w:rsidRPr="00DF26F0" w:rsidRDefault="00F10471" w:rsidP="002619F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543B35CF" w14:textId="1B3F4169" w:rsidR="00F10471" w:rsidRPr="00DF26F0" w:rsidRDefault="00BA5AE8" w:rsidP="002619F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Finalise</w:t>
            </w:r>
            <w:r w:rsidR="00F10471" w:rsidRPr="00DF26F0">
              <w:rPr>
                <w:color w:val="auto"/>
                <w:sz w:val="20"/>
              </w:rPr>
              <w:t xml:space="preserve"> agreements </w:t>
            </w:r>
            <w:r w:rsidR="00F10471">
              <w:rPr>
                <w:color w:val="auto"/>
                <w:sz w:val="20"/>
              </w:rPr>
              <w:t xml:space="preserve">with HSPs </w:t>
            </w:r>
            <w:r w:rsidR="00F10471" w:rsidRPr="00DF26F0">
              <w:rPr>
                <w:color w:val="auto"/>
                <w:sz w:val="20"/>
              </w:rPr>
              <w:t>on establishment of CTLO roles.</w:t>
            </w:r>
          </w:p>
          <w:p w14:paraId="7E8C3700" w14:textId="77777777" w:rsidR="00F10471" w:rsidRPr="00DF26F0" w:rsidRDefault="00F10471" w:rsidP="002619F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6F9B4" w14:textId="7ED871F4" w:rsidR="00F10471" w:rsidRPr="00D20098" w:rsidRDefault="00BA5AE8" w:rsidP="00EE235D">
            <w:pPr>
              <w:spacing w:after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Finalise</w:t>
            </w:r>
            <w:r w:rsidR="00F10471" w:rsidRPr="00D20098">
              <w:rPr>
                <w:color w:val="auto"/>
                <w:sz w:val="20"/>
              </w:rPr>
              <w:t xml:space="preserve"> </w:t>
            </w:r>
          </w:p>
          <w:p w14:paraId="46464E39" w14:textId="5098A70F" w:rsidR="00F10471" w:rsidRPr="001144F9" w:rsidRDefault="00F10471" w:rsidP="00BA5AE8">
            <w:pPr>
              <w:spacing w:after="0"/>
              <w:jc w:val="left"/>
              <w:rPr>
                <w:color w:val="FF0000"/>
                <w:sz w:val="20"/>
              </w:rPr>
            </w:pPr>
            <w:r w:rsidRPr="00D20098">
              <w:rPr>
                <w:color w:val="auto"/>
                <w:sz w:val="20"/>
              </w:rPr>
              <w:t xml:space="preserve">CTDSM </w:t>
            </w:r>
            <w:r>
              <w:rPr>
                <w:color w:val="auto"/>
                <w:sz w:val="20"/>
              </w:rPr>
              <w:t xml:space="preserve">and CTLO </w:t>
            </w:r>
            <w:r w:rsidRPr="00D20098">
              <w:rPr>
                <w:color w:val="auto"/>
                <w:sz w:val="20"/>
              </w:rPr>
              <w:t>role</w:t>
            </w:r>
            <w:r>
              <w:rPr>
                <w:color w:val="auto"/>
                <w:sz w:val="20"/>
              </w:rPr>
              <w:t>s</w:t>
            </w:r>
            <w:r w:rsidRPr="00D20098">
              <w:rPr>
                <w:color w:val="auto"/>
                <w:sz w:val="20"/>
              </w:rPr>
              <w:t xml:space="preserve"> and </w:t>
            </w:r>
            <w:r w:rsidR="00BA5AE8">
              <w:rPr>
                <w:color w:val="auto"/>
                <w:sz w:val="20"/>
              </w:rPr>
              <w:t xml:space="preserve">deliver </w:t>
            </w:r>
            <w:r w:rsidRPr="00D20098">
              <w:rPr>
                <w:color w:val="auto"/>
                <w:sz w:val="20"/>
              </w:rPr>
              <w:t>expert guidance to WA research sector (as detailed in annual performance report).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3C6C3" w14:textId="77777777" w:rsidR="00F10471" w:rsidRPr="00E14D91" w:rsidRDefault="00F10471" w:rsidP="00DF26F0">
            <w:pPr>
              <w:spacing w:after="0"/>
              <w:jc w:val="left"/>
              <w:rPr>
                <w:color w:val="FF0000"/>
                <w:sz w:val="20"/>
              </w:rPr>
            </w:pPr>
            <w:r w:rsidRPr="00E14D91">
              <w:rPr>
                <w:color w:val="auto"/>
                <w:sz w:val="20"/>
              </w:rPr>
              <w:t>Delivery of preliminary analysis of the benefits of Clinical Trials and Data Management Centre (CTDMC) model, including CTDMC and CTLO roles</w:t>
            </w:r>
            <w:r>
              <w:rPr>
                <w:color w:val="auto"/>
                <w:sz w:val="20"/>
              </w:rPr>
              <w:t>, as part of initial business case planning to substantiate continuation.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CE973" w14:textId="77777777" w:rsidR="00F10471" w:rsidRPr="00E14D91" w:rsidRDefault="00F10471" w:rsidP="00442046">
            <w:pPr>
              <w:spacing w:after="0"/>
              <w:jc w:val="left"/>
              <w:rPr>
                <w:color w:val="auto"/>
                <w:sz w:val="20"/>
              </w:rPr>
            </w:pPr>
            <w:r w:rsidRPr="00E14D91">
              <w:rPr>
                <w:color w:val="auto"/>
                <w:sz w:val="20"/>
              </w:rPr>
              <w:t xml:space="preserve">Delivery of </w:t>
            </w:r>
            <w:r>
              <w:rPr>
                <w:color w:val="auto"/>
                <w:sz w:val="20"/>
              </w:rPr>
              <w:t xml:space="preserve">final reports on </w:t>
            </w:r>
            <w:r w:rsidRPr="00E14D91">
              <w:rPr>
                <w:color w:val="auto"/>
                <w:sz w:val="20"/>
              </w:rPr>
              <w:t>effective</w:t>
            </w:r>
            <w:r>
              <w:rPr>
                <w:color w:val="auto"/>
                <w:sz w:val="20"/>
              </w:rPr>
              <w:t>ness</w:t>
            </w:r>
            <w:r w:rsidRPr="00E14D91">
              <w:rPr>
                <w:color w:val="auto"/>
                <w:sz w:val="20"/>
              </w:rPr>
              <w:t xml:space="preserve"> and sustainab</w:t>
            </w:r>
            <w:r>
              <w:rPr>
                <w:color w:val="auto"/>
                <w:sz w:val="20"/>
              </w:rPr>
              <w:t>ility of</w:t>
            </w:r>
            <w:r w:rsidRPr="00E14D91">
              <w:rPr>
                <w:color w:val="auto"/>
                <w:sz w:val="20"/>
              </w:rPr>
              <w:t xml:space="preserve"> Clinical Trials and Data Management Centre (CTDMC) model, including CTDSM and CTLO roles</w:t>
            </w:r>
            <w:r>
              <w:rPr>
                <w:color w:val="auto"/>
                <w:sz w:val="20"/>
              </w:rPr>
              <w:t xml:space="preserve"> as part of business case to substantiate continuation.</w:t>
            </w:r>
          </w:p>
          <w:p w14:paraId="7274CCF9" w14:textId="77777777" w:rsidR="00F10471" w:rsidRPr="00E14D91" w:rsidRDefault="00F10471" w:rsidP="00E14D91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05E85164" w14:textId="422DD405" w:rsidR="00F10471" w:rsidRPr="001144F9" w:rsidRDefault="00F10471" w:rsidP="00BA5AE8">
            <w:pPr>
              <w:spacing w:after="0"/>
              <w:jc w:val="left"/>
              <w:rPr>
                <w:color w:val="FF0000"/>
                <w:sz w:val="20"/>
              </w:rPr>
            </w:pPr>
            <w:r w:rsidRPr="00E14D91">
              <w:rPr>
                <w:color w:val="auto"/>
                <w:sz w:val="20"/>
              </w:rPr>
              <w:t>Agreement</w:t>
            </w:r>
            <w:r>
              <w:rPr>
                <w:color w:val="auto"/>
                <w:sz w:val="20"/>
              </w:rPr>
              <w:t>s</w:t>
            </w:r>
            <w:r w:rsidRPr="00E14D91">
              <w:rPr>
                <w:color w:val="auto"/>
                <w:sz w:val="20"/>
              </w:rPr>
              <w:t xml:space="preserve"> </w:t>
            </w:r>
            <w:r w:rsidR="00BA5AE8">
              <w:rPr>
                <w:color w:val="auto"/>
                <w:sz w:val="20"/>
              </w:rPr>
              <w:t>finalised</w:t>
            </w:r>
            <w:r w:rsidR="00BA5AE8" w:rsidRPr="00E14D91">
              <w:rPr>
                <w:color w:val="auto"/>
                <w:sz w:val="20"/>
              </w:rPr>
              <w:t xml:space="preserve"> </w:t>
            </w:r>
            <w:r w:rsidRPr="00E14D91">
              <w:rPr>
                <w:color w:val="auto"/>
                <w:sz w:val="20"/>
              </w:rPr>
              <w:t>by HSPs on continuation of CTLO roles.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871037" w14:textId="64BD0760" w:rsidR="00F10471" w:rsidRPr="00AF4133" w:rsidRDefault="00E074A9" w:rsidP="000D17C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 May</w:t>
            </w:r>
            <w:r w:rsidR="00F10471" w:rsidRPr="00AF4133">
              <w:rPr>
                <w:color w:val="auto"/>
                <w:sz w:val="20"/>
              </w:rPr>
              <w:t xml:space="preserve"> 2018</w:t>
            </w:r>
          </w:p>
          <w:p w14:paraId="2485F23D" w14:textId="77777777" w:rsidR="00F10471" w:rsidRPr="00AF4133" w:rsidRDefault="00F10471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30 April 2019</w:t>
            </w:r>
          </w:p>
          <w:p w14:paraId="41AAC2FC" w14:textId="77777777" w:rsidR="00F10471" w:rsidRPr="00AF4133" w:rsidRDefault="00F10471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30 April 2020</w:t>
            </w:r>
          </w:p>
          <w:p w14:paraId="4F07198F" w14:textId="77777777" w:rsidR="00F10471" w:rsidRPr="00AF4133" w:rsidRDefault="00F10471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30 April 2021</w:t>
            </w:r>
          </w:p>
        </w:tc>
        <w:tc>
          <w:tcPr>
            <w:tcW w:w="1701" w:type="dxa"/>
            <w:vMerge w:val="restart"/>
            <w:vAlign w:val="center"/>
          </w:tcPr>
          <w:p w14:paraId="5E6C5EE2" w14:textId="77777777" w:rsidR="00F10471" w:rsidRPr="00AF4133" w:rsidRDefault="00F10471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$357,100</w:t>
            </w:r>
          </w:p>
          <w:p w14:paraId="7E80FF6E" w14:textId="77777777" w:rsidR="00F10471" w:rsidRPr="00AF4133" w:rsidRDefault="00F10471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$214,300</w:t>
            </w:r>
          </w:p>
          <w:p w14:paraId="35D41E6A" w14:textId="77777777" w:rsidR="00F10471" w:rsidRPr="00AF4133" w:rsidRDefault="00F10471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$214,300</w:t>
            </w:r>
          </w:p>
          <w:p w14:paraId="259FA14D" w14:textId="77777777" w:rsidR="00F10471" w:rsidRPr="00AF4133" w:rsidRDefault="00F10471" w:rsidP="00AF4133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AF4133">
              <w:rPr>
                <w:color w:val="auto"/>
                <w:sz w:val="20"/>
              </w:rPr>
              <w:t>$214,300</w:t>
            </w:r>
          </w:p>
        </w:tc>
      </w:tr>
      <w:tr w:rsidR="00F10471" w:rsidRPr="001144F9" w14:paraId="35841D7A" w14:textId="77777777" w:rsidTr="000D17C9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093EF49" w14:textId="77777777" w:rsidR="00F10471" w:rsidRPr="00D24D18" w:rsidRDefault="00964250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AD5065">
              <w:rPr>
                <w:bCs/>
                <w:color w:val="auto"/>
                <w:sz w:val="20"/>
              </w:rPr>
              <w:t>Implement new and enhanced clinical trial data collection and reporting, in accordance with clause 8(b)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4F8C94" w14:textId="77777777" w:rsidR="00F10471" w:rsidRPr="00D35E88" w:rsidRDefault="00F10471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D35E88">
              <w:rPr>
                <w:color w:val="auto"/>
                <w:sz w:val="20"/>
              </w:rPr>
              <w:t>Full contribution of data to the National Aggregate Statistics (NAS) 2017-18</w:t>
            </w:r>
            <w:r>
              <w:rPr>
                <w:color w:val="auto"/>
                <w:sz w:val="20"/>
              </w:rPr>
              <w:t xml:space="preserve">, </w:t>
            </w:r>
            <w:r w:rsidRPr="00D35E88">
              <w:rPr>
                <w:color w:val="auto"/>
                <w:sz w:val="20"/>
              </w:rPr>
              <w:t>as agreed by the Clinical Trials Project Reference Group (CTPRG).</w:t>
            </w:r>
          </w:p>
          <w:p w14:paraId="04D0C111" w14:textId="77777777" w:rsidR="00F10471" w:rsidRPr="00D35E88" w:rsidRDefault="00F10471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</w:p>
          <w:p w14:paraId="578B5E99" w14:textId="42D0CA7D" w:rsidR="00F10471" w:rsidRPr="001144F9" w:rsidRDefault="00F10471" w:rsidP="00E074A9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D35E88">
              <w:rPr>
                <w:color w:val="auto"/>
                <w:sz w:val="20"/>
              </w:rPr>
              <w:t xml:space="preserve">Enhanced </w:t>
            </w:r>
            <w:r w:rsidR="00964250">
              <w:rPr>
                <w:color w:val="auto"/>
                <w:sz w:val="20"/>
              </w:rPr>
              <w:t xml:space="preserve">WA </w:t>
            </w:r>
            <w:r w:rsidRPr="00D35E88">
              <w:rPr>
                <w:color w:val="auto"/>
                <w:sz w:val="20"/>
              </w:rPr>
              <w:t>Research Governance Service (RGS) IT data</w:t>
            </w:r>
            <w:r w:rsidR="00964250">
              <w:rPr>
                <w:color w:val="auto"/>
                <w:sz w:val="20"/>
              </w:rPr>
              <w:t xml:space="preserve"> functionality and</w:t>
            </w:r>
            <w:r w:rsidRPr="00D35E88">
              <w:rPr>
                <w:color w:val="auto"/>
                <w:sz w:val="20"/>
              </w:rPr>
              <w:t xml:space="preserve"> reporting capability, and </w:t>
            </w:r>
            <w:r w:rsidRPr="00D35E88">
              <w:rPr>
                <w:color w:val="auto"/>
                <w:sz w:val="20"/>
              </w:rPr>
              <w:lastRenderedPageBreak/>
              <w:t xml:space="preserve">data migration from local systems </w:t>
            </w:r>
            <w:r w:rsidR="00E074A9">
              <w:rPr>
                <w:color w:val="auto"/>
                <w:sz w:val="20"/>
              </w:rPr>
              <w:t>commenced</w:t>
            </w:r>
            <w:r w:rsidRPr="00D35E88">
              <w:rPr>
                <w:color w:val="auto"/>
                <w:sz w:val="20"/>
              </w:rPr>
              <w:t>.</w:t>
            </w:r>
            <w:r w:rsidRPr="00D35E88">
              <w:rPr>
                <w:color w:val="auto"/>
                <w:szCs w:val="23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900FB" w14:textId="6AB68E6D" w:rsidR="00F10471" w:rsidRPr="00BD570D" w:rsidRDefault="00F10471" w:rsidP="002C15FA">
            <w:pPr>
              <w:spacing w:after="0"/>
              <w:jc w:val="left"/>
              <w:rPr>
                <w:color w:val="auto"/>
                <w:sz w:val="20"/>
              </w:rPr>
            </w:pPr>
            <w:r w:rsidRPr="00BD570D">
              <w:rPr>
                <w:color w:val="auto"/>
                <w:sz w:val="20"/>
              </w:rPr>
              <w:lastRenderedPageBreak/>
              <w:t>Full contribution of data to the expanded NAS 2018-19, as agreed by the CTPRG.</w:t>
            </w:r>
          </w:p>
          <w:p w14:paraId="0C675828" w14:textId="77777777" w:rsidR="00F10471" w:rsidRPr="00BD570D" w:rsidRDefault="00F10471" w:rsidP="002C15FA">
            <w:pPr>
              <w:spacing w:after="0"/>
              <w:jc w:val="left"/>
              <w:rPr>
                <w:color w:val="auto"/>
                <w:sz w:val="20"/>
              </w:rPr>
            </w:pPr>
          </w:p>
          <w:p w14:paraId="73ADA822" w14:textId="77777777" w:rsidR="00F10471" w:rsidRPr="001144F9" w:rsidRDefault="00F10471" w:rsidP="00966F5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FF0000"/>
                <w:sz w:val="20"/>
              </w:rPr>
            </w:pPr>
            <w:r w:rsidRPr="00BD570D">
              <w:rPr>
                <w:color w:val="auto"/>
                <w:sz w:val="20"/>
              </w:rPr>
              <w:t>Clinical trials data collection processes embedded in RGS, and improved reporting capability.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1803A1" w14:textId="77777777" w:rsidR="00F10471" w:rsidRPr="000C2259" w:rsidRDefault="00F10471" w:rsidP="00851B44">
            <w:pPr>
              <w:jc w:val="left"/>
              <w:rPr>
                <w:color w:val="auto"/>
                <w:sz w:val="20"/>
              </w:rPr>
            </w:pPr>
            <w:r w:rsidRPr="000C2259">
              <w:rPr>
                <w:color w:val="auto"/>
                <w:sz w:val="20"/>
              </w:rPr>
              <w:t>Full contribution of data to the expanded NAS 2019-20, as agreed by the CTPRG.</w:t>
            </w:r>
          </w:p>
          <w:p w14:paraId="7C502B40" w14:textId="77777777" w:rsidR="00F10471" w:rsidRPr="000C2259" w:rsidRDefault="00F10471" w:rsidP="000C2259">
            <w:pPr>
              <w:jc w:val="left"/>
              <w:rPr>
                <w:color w:val="auto"/>
                <w:sz w:val="20"/>
              </w:rPr>
            </w:pPr>
            <w:r w:rsidRPr="000C2259">
              <w:rPr>
                <w:color w:val="auto"/>
                <w:sz w:val="20"/>
              </w:rPr>
              <w:t>Delivery of ad hoc reporting functionality for researchers and administrators.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82871" w14:textId="77777777" w:rsidR="00F10471" w:rsidRPr="000C2259" w:rsidRDefault="00F10471" w:rsidP="00464FDF">
            <w:pPr>
              <w:jc w:val="left"/>
              <w:rPr>
                <w:color w:val="auto"/>
                <w:sz w:val="20"/>
              </w:rPr>
            </w:pPr>
            <w:r w:rsidRPr="000C2259">
              <w:rPr>
                <w:color w:val="auto"/>
                <w:sz w:val="20"/>
              </w:rPr>
              <w:t>Full contribution of data to the expanded NAS 2020-21, as agreed by the CTPRG.</w:t>
            </w:r>
          </w:p>
          <w:p w14:paraId="2A544A00" w14:textId="77777777" w:rsidR="00F10471" w:rsidRPr="000C2259" w:rsidRDefault="00F10471" w:rsidP="00464FDF">
            <w:pPr>
              <w:jc w:val="left"/>
              <w:rPr>
                <w:color w:val="auto"/>
                <w:sz w:val="20"/>
              </w:rPr>
            </w:pPr>
            <w:r w:rsidRPr="000C2259">
              <w:rPr>
                <w:color w:val="auto"/>
                <w:sz w:val="20"/>
              </w:rPr>
              <w:t>Delivery of public searching capability for clinical trials in WA.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EA79865" w14:textId="77777777" w:rsidR="00F10471" w:rsidRPr="001144F9" w:rsidRDefault="00F10471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7E8E55F2" w14:textId="77777777" w:rsidR="00F10471" w:rsidRPr="001144F9" w:rsidRDefault="00F10471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F20030" w:rsidRPr="001144F9" w14:paraId="6C2D198D" w14:textId="77777777" w:rsidTr="004D7723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141B1A2" w14:textId="77777777" w:rsidR="00F20030" w:rsidRPr="001144F9" w:rsidRDefault="00F20030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FF0000"/>
                <w:sz w:val="20"/>
              </w:rPr>
            </w:pPr>
            <w:r w:rsidRPr="008C79BB">
              <w:rPr>
                <w:bCs/>
                <w:color w:val="auto"/>
                <w:sz w:val="20"/>
              </w:rPr>
              <w:lastRenderedPageBreak/>
              <w:t>Embed research and clinical trials processes in accordance with clause 8(d)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4853FE" w14:textId="77777777" w:rsidR="00F20030" w:rsidRPr="008C79BB" w:rsidRDefault="00F20030" w:rsidP="00F10471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8C79BB">
              <w:rPr>
                <w:sz w:val="20"/>
              </w:rPr>
              <w:t xml:space="preserve">Active engagement with the Clinical Trials Project Reference Group (CTPRG), Commonwealth and ACSQHC to develop </w:t>
            </w:r>
            <w:r>
              <w:rPr>
                <w:sz w:val="20"/>
              </w:rPr>
              <w:t>the</w:t>
            </w:r>
            <w:r w:rsidRPr="008C79BB">
              <w:rPr>
                <w:sz w:val="20"/>
              </w:rPr>
              <w:t xml:space="preserve"> Clinical Trials Governance Framework.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31CAFD55" w14:textId="77777777" w:rsidR="00F20030" w:rsidRPr="008C79BB" w:rsidRDefault="00F20030" w:rsidP="00F10471">
            <w:pPr>
              <w:spacing w:after="0"/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>Active engagement with CTPRG, Commonwealth and ACSQHC to develop the Clinical Trials Governance Framework.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3657959" w14:textId="77777777" w:rsidR="00F20030" w:rsidRPr="008C79BB" w:rsidRDefault="00F20030" w:rsidP="00F1047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>Active engagement with CTPRG, Commonwealth and ACSQHC to implement the Clinical Trials Governance Framework.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6ED3281" w14:textId="77777777" w:rsidR="00F20030" w:rsidRPr="001144F9" w:rsidRDefault="00F20030" w:rsidP="00F10471">
            <w:pPr>
              <w:jc w:val="left"/>
              <w:rPr>
                <w:color w:val="FF0000"/>
                <w:sz w:val="20"/>
              </w:rPr>
            </w:pPr>
            <w:r w:rsidRPr="008C79BB">
              <w:rPr>
                <w:sz w:val="20"/>
              </w:rPr>
              <w:t>Active engagement with CTPRG, Commonwealth and ACSQHC to implement the Clinical Trials Governance Framework.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4B783A4" w14:textId="77777777" w:rsidR="00F20030" w:rsidRPr="001144F9" w:rsidRDefault="00F20030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0F41D8F6" w14:textId="77777777" w:rsidR="00F20030" w:rsidRPr="001144F9" w:rsidRDefault="00F20030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</w:tbl>
    <w:p w14:paraId="193A1B4E" w14:textId="77777777" w:rsidR="000D17C9" w:rsidRPr="001144F9" w:rsidRDefault="000D17C9" w:rsidP="0094231D">
      <w:pPr>
        <w:pStyle w:val="Heading1"/>
        <w:rPr>
          <w:bCs w:val="0"/>
          <w:caps w:val="0"/>
          <w:color w:val="FF0000"/>
        </w:rPr>
        <w:sectPr w:rsidR="000D17C9" w:rsidRPr="001144F9" w:rsidSect="00EE235D">
          <w:pgSz w:w="16838" w:h="11906" w:orient="landscape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65363429" w14:textId="77777777" w:rsidR="0094231D" w:rsidRPr="001144F9" w:rsidRDefault="0094231D" w:rsidP="0094231D">
      <w:pPr>
        <w:pStyle w:val="Heading1"/>
        <w:rPr>
          <w:bCs w:val="0"/>
          <w:caps w:val="0"/>
          <w:color w:val="FF0000"/>
        </w:rPr>
      </w:pPr>
    </w:p>
    <w:p w14:paraId="6B7BE4E7" w14:textId="77777777" w:rsidR="002D60FE" w:rsidRPr="00F10471" w:rsidRDefault="002D60FE" w:rsidP="002D60FE">
      <w:pPr>
        <w:pStyle w:val="Heading1"/>
        <w:rPr>
          <w:b/>
          <w:caps w:val="0"/>
          <w:color w:val="auto"/>
        </w:rPr>
      </w:pPr>
      <w:r w:rsidRPr="00F10471">
        <w:rPr>
          <w:color w:val="auto"/>
        </w:rPr>
        <w:t>Sign off</w:t>
      </w:r>
    </w:p>
    <w:p w14:paraId="0B097439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color w:val="auto"/>
          <w:szCs w:val="23"/>
          <w:lang w:val="en-GB"/>
        </w:rPr>
        <w:t>The Parties have confirmed their commitment to this Schedule as follows:</w:t>
      </w:r>
    </w:p>
    <w:p w14:paraId="04BC5D64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b/>
          <w:color w:val="auto"/>
          <w:szCs w:val="23"/>
          <w:lang w:val="en-GB"/>
        </w:rPr>
        <w:t xml:space="preserve">Signed </w:t>
      </w:r>
      <w:r w:rsidRPr="00F10471">
        <w:rPr>
          <w:rFonts w:cs="Calibri"/>
          <w:i/>
          <w:color w:val="auto"/>
          <w:szCs w:val="23"/>
          <w:lang w:val="en-GB"/>
        </w:rPr>
        <w:t>for and on behalf of the Commonwealth</w:t>
      </w:r>
      <w:r w:rsidR="00487912">
        <w:rPr>
          <w:rFonts w:cs="Calibri"/>
          <w:i/>
          <w:color w:val="auto"/>
          <w:szCs w:val="23"/>
          <w:lang w:val="en-GB"/>
        </w:rPr>
        <w:t xml:space="preserve"> of Australia</w:t>
      </w:r>
      <w:r w:rsidRPr="00F10471">
        <w:rPr>
          <w:rFonts w:cs="Calibri"/>
          <w:i/>
          <w:color w:val="auto"/>
          <w:szCs w:val="23"/>
          <w:lang w:val="en-GB"/>
        </w:rPr>
        <w:t xml:space="preserve"> by</w:t>
      </w:r>
    </w:p>
    <w:p w14:paraId="49577F06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3CB0DDC6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6838D18A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66CB8873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color w:val="auto"/>
          <w:szCs w:val="23"/>
          <w:lang w:val="en-GB"/>
        </w:rPr>
        <w:t>__________________________________________</w:t>
      </w:r>
    </w:p>
    <w:p w14:paraId="293EA482" w14:textId="77777777" w:rsidR="002D60FE" w:rsidRPr="00F10471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F10471">
        <w:rPr>
          <w:rFonts w:cs="Calibri"/>
          <w:b/>
          <w:color w:val="auto"/>
          <w:szCs w:val="23"/>
          <w:lang w:val="en-GB"/>
        </w:rPr>
        <w:t xml:space="preserve">The </w:t>
      </w:r>
      <w:r w:rsidR="00487912">
        <w:rPr>
          <w:rFonts w:cs="Calibri"/>
          <w:b/>
          <w:color w:val="auto"/>
          <w:szCs w:val="23"/>
          <w:lang w:val="en-GB"/>
        </w:rPr>
        <w:t>Honourable Greg Hunt</w:t>
      </w:r>
      <w:r w:rsidRPr="00F10471">
        <w:rPr>
          <w:rFonts w:cs="Calibri"/>
          <w:b/>
          <w:color w:val="auto"/>
          <w:szCs w:val="23"/>
          <w:lang w:val="en-GB"/>
        </w:rPr>
        <w:t xml:space="preserve"> MP</w:t>
      </w:r>
    </w:p>
    <w:p w14:paraId="6339C4F3" w14:textId="77777777" w:rsidR="002D60FE" w:rsidRPr="00F10471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color w:val="auto"/>
          <w:szCs w:val="23"/>
          <w:lang w:val="en-GB"/>
        </w:rPr>
        <w:t>Minister for Health</w:t>
      </w:r>
    </w:p>
    <w:p w14:paraId="3A45812F" w14:textId="77777777" w:rsidR="002D60FE" w:rsidRPr="00F10471" w:rsidRDefault="00F679CB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1779B8ED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33B80F33" w14:textId="77777777" w:rsidR="002D60FE" w:rsidRPr="00F10471" w:rsidRDefault="002D60FE" w:rsidP="002D60FE">
      <w:pPr>
        <w:rPr>
          <w:rFonts w:cs="Calibri"/>
          <w:i/>
          <w:color w:val="auto"/>
          <w:szCs w:val="23"/>
          <w:lang w:val="en-GB"/>
        </w:rPr>
      </w:pPr>
      <w:r w:rsidRPr="00F10471">
        <w:rPr>
          <w:rFonts w:cs="Calibri"/>
          <w:b/>
          <w:color w:val="auto"/>
          <w:szCs w:val="23"/>
          <w:lang w:val="en-GB"/>
        </w:rPr>
        <w:t>Signed</w:t>
      </w:r>
      <w:r w:rsidRPr="00F10471">
        <w:rPr>
          <w:rFonts w:cs="Calibri"/>
          <w:color w:val="auto"/>
          <w:szCs w:val="23"/>
          <w:lang w:val="en-GB"/>
        </w:rPr>
        <w:t xml:space="preserve"> </w:t>
      </w:r>
      <w:r w:rsidRPr="00F10471">
        <w:rPr>
          <w:rFonts w:cs="Calibri"/>
          <w:i/>
          <w:color w:val="auto"/>
          <w:szCs w:val="23"/>
          <w:lang w:val="en-GB"/>
        </w:rPr>
        <w:t xml:space="preserve">for and on behalf of </w:t>
      </w:r>
      <w:r w:rsidR="00487912">
        <w:rPr>
          <w:rFonts w:cs="Calibri"/>
          <w:i/>
          <w:color w:val="auto"/>
          <w:szCs w:val="23"/>
          <w:lang w:val="en-GB"/>
        </w:rPr>
        <w:t>the State of Western Australia</w:t>
      </w:r>
      <w:r w:rsidRPr="00F10471">
        <w:rPr>
          <w:rFonts w:cs="Calibri"/>
          <w:i/>
          <w:color w:val="auto"/>
          <w:szCs w:val="23"/>
          <w:lang w:val="en-GB"/>
        </w:rPr>
        <w:t xml:space="preserve"> by</w:t>
      </w:r>
    </w:p>
    <w:p w14:paraId="372BECB9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2B253CD7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4E9BD075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</w:p>
    <w:p w14:paraId="4A98F5DD" w14:textId="77777777" w:rsidR="002D60FE" w:rsidRPr="00F10471" w:rsidRDefault="002D60FE" w:rsidP="002D60FE">
      <w:pPr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color w:val="auto"/>
          <w:szCs w:val="23"/>
          <w:lang w:val="en-GB"/>
        </w:rPr>
        <w:t>__________________________________________</w:t>
      </w:r>
    </w:p>
    <w:p w14:paraId="691D058F" w14:textId="77777777" w:rsidR="002D60FE" w:rsidRPr="00F10471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F10471">
        <w:rPr>
          <w:rFonts w:cs="Calibri"/>
          <w:b/>
          <w:color w:val="auto"/>
          <w:szCs w:val="23"/>
          <w:lang w:val="en-GB"/>
        </w:rPr>
        <w:t xml:space="preserve">The </w:t>
      </w:r>
      <w:r w:rsidR="00487912">
        <w:rPr>
          <w:rFonts w:cs="Calibri"/>
          <w:b/>
          <w:color w:val="auto"/>
          <w:szCs w:val="23"/>
          <w:lang w:val="en-GB"/>
        </w:rPr>
        <w:t>Honourable Roger Hugh Cook</w:t>
      </w:r>
      <w:r w:rsidRPr="00F10471">
        <w:rPr>
          <w:rFonts w:cs="Calibri"/>
          <w:b/>
          <w:color w:val="auto"/>
          <w:szCs w:val="23"/>
          <w:lang w:val="en-GB"/>
        </w:rPr>
        <w:t xml:space="preserve"> MP</w:t>
      </w:r>
    </w:p>
    <w:p w14:paraId="196B3CD5" w14:textId="77777777" w:rsidR="002D60FE" w:rsidRPr="00F10471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F10471">
        <w:rPr>
          <w:rFonts w:cs="Calibri"/>
          <w:color w:val="auto"/>
          <w:szCs w:val="23"/>
          <w:lang w:val="en-GB"/>
        </w:rPr>
        <w:t>Minister for Health</w:t>
      </w:r>
    </w:p>
    <w:p w14:paraId="420970D9" w14:textId="77777777" w:rsidR="002D60FE" w:rsidRPr="00F10471" w:rsidRDefault="00F679CB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7F3B1AE1" w14:textId="77777777" w:rsidR="002D60FE" w:rsidRPr="001144F9" w:rsidRDefault="002D60FE" w:rsidP="00402044">
      <w:pPr>
        <w:pStyle w:val="Normalnumbered"/>
        <w:tabs>
          <w:tab w:val="clear" w:pos="283"/>
          <w:tab w:val="clear" w:pos="567"/>
          <w:tab w:val="clear" w:pos="1134"/>
          <w:tab w:val="clear" w:pos="1418"/>
        </w:tabs>
        <w:ind w:left="0" w:firstLine="0"/>
        <w:rPr>
          <w:b/>
          <w:color w:val="FF0000"/>
        </w:rPr>
      </w:pPr>
    </w:p>
    <w:sectPr w:rsidR="002D60FE" w:rsidRPr="001144F9" w:rsidSect="00EE235D">
      <w:pgSz w:w="11906" w:h="16838" w:code="9"/>
      <w:pgMar w:top="1440" w:right="1440" w:bottom="1440" w:left="1440" w:header="709" w:footer="0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C431" w14:textId="77777777" w:rsidR="00E166D7" w:rsidRDefault="00E166D7">
      <w:r>
        <w:separator/>
      </w:r>
    </w:p>
  </w:endnote>
  <w:endnote w:type="continuationSeparator" w:id="0">
    <w:p w14:paraId="78B0D2E2" w14:textId="77777777" w:rsidR="00E166D7" w:rsidRDefault="00E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7D26" w14:textId="77777777" w:rsidR="00F559EF" w:rsidRDefault="00F559EF" w:rsidP="008A7A45">
    <w:pPr>
      <w:pStyle w:val="FooterEven"/>
      <w:keepNext/>
      <w:tabs>
        <w:tab w:val="num" w:pos="1701"/>
      </w:tabs>
      <w:jc w:val="right"/>
      <w:rPr>
        <w:rStyle w:val="PageNumber"/>
      </w:rPr>
    </w:pPr>
    <w:r>
      <w:t xml:space="preserve">Page </w:t>
    </w:r>
  </w:p>
  <w:p w14:paraId="52FB050D" w14:textId="77777777" w:rsidR="00F559EF" w:rsidRDefault="00F559EF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097B" w14:textId="43BBA09E" w:rsidR="00F51C97" w:rsidRDefault="00F51C97">
    <w:pPr>
      <w:pStyle w:val="Footer"/>
      <w:jc w:val="right"/>
    </w:pPr>
    <w:r>
      <w:t>S</w:t>
    </w:r>
    <w:r w:rsidR="00111954">
      <w:t>chedule D</w:t>
    </w:r>
    <w:r>
      <w:t xml:space="preserve"> </w:t>
    </w:r>
    <w:sdt>
      <w:sdtPr>
        <w:id w:val="-212591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3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7C873B" w14:textId="77777777" w:rsidR="00F51C97" w:rsidRDefault="00F51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2465B" w14:textId="5A743D11" w:rsidR="00F51C97" w:rsidRDefault="00F51C97">
        <w:pPr>
          <w:pStyle w:val="Footer"/>
          <w:jc w:val="right"/>
        </w:pPr>
        <w:r>
          <w:t xml:space="preserve">Schedule </w:t>
        </w:r>
        <w:r w:rsidR="00111954">
          <w:t>D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1B434" w14:textId="77777777" w:rsidR="00F51C97" w:rsidRDefault="00F5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3914" w14:textId="77777777" w:rsidR="00E166D7" w:rsidRDefault="00E166D7">
      <w:r>
        <w:separator/>
      </w:r>
    </w:p>
  </w:footnote>
  <w:footnote w:type="continuationSeparator" w:id="0">
    <w:p w14:paraId="3728D5E2" w14:textId="77777777" w:rsidR="00E166D7" w:rsidRDefault="00E1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5292" w14:textId="70758135" w:rsidR="00AF08B7" w:rsidRPr="00AF08B7" w:rsidRDefault="00AF08B7" w:rsidP="00AF08B7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 xml:space="preserve">Schedule </w:t>
    </w:r>
    <w:r w:rsidR="00111954">
      <w:rPr>
        <w:rFonts w:cs="Corbel"/>
        <w:color w:val="800000"/>
        <w:sz w:val="29"/>
        <w:szCs w:val="29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8"/>
    <w:multiLevelType w:val="hybridMultilevel"/>
    <w:tmpl w:val="4218E8B4"/>
    <w:lvl w:ilvl="0" w:tplc="0C09001B">
      <w:start w:val="1"/>
      <w:numFmt w:val="lowerRoman"/>
      <w:lvlText w:val="%1."/>
      <w:lvlJc w:val="righ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802C8C"/>
    <w:multiLevelType w:val="hybridMultilevel"/>
    <w:tmpl w:val="5C64CB40"/>
    <w:lvl w:ilvl="0" w:tplc="0C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801517A"/>
    <w:multiLevelType w:val="hybridMultilevel"/>
    <w:tmpl w:val="19F8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11EF2BD8"/>
    <w:multiLevelType w:val="hybridMultilevel"/>
    <w:tmpl w:val="65A2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EAC"/>
    <w:multiLevelType w:val="hybridMultilevel"/>
    <w:tmpl w:val="1200E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F786665"/>
    <w:multiLevelType w:val="hybridMultilevel"/>
    <w:tmpl w:val="032AC1E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0661889"/>
    <w:multiLevelType w:val="hybridMultilevel"/>
    <w:tmpl w:val="E986621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1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>
    <w:nsid w:val="256266D2"/>
    <w:multiLevelType w:val="hybridMultilevel"/>
    <w:tmpl w:val="B518D194"/>
    <w:lvl w:ilvl="0" w:tplc="EFF4EC58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4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2D6F33D3"/>
    <w:multiLevelType w:val="hybridMultilevel"/>
    <w:tmpl w:val="801C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7D04"/>
    <w:multiLevelType w:val="hybridMultilevel"/>
    <w:tmpl w:val="23BAF486"/>
    <w:lvl w:ilvl="0" w:tplc="AE56B93E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0475656"/>
    <w:multiLevelType w:val="hybridMultilevel"/>
    <w:tmpl w:val="525AD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358F785A"/>
    <w:multiLevelType w:val="hybridMultilevel"/>
    <w:tmpl w:val="DC0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158C0"/>
    <w:multiLevelType w:val="hybridMultilevel"/>
    <w:tmpl w:val="2B9A28AE"/>
    <w:lvl w:ilvl="0" w:tplc="EF344E8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66CE7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E30CE9"/>
    <w:multiLevelType w:val="hybridMultilevel"/>
    <w:tmpl w:val="DBB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5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6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9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0">
    <w:nsid w:val="63870B61"/>
    <w:multiLevelType w:val="hybridMultilevel"/>
    <w:tmpl w:val="6B005254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CE30198"/>
    <w:multiLevelType w:val="hybridMultilevel"/>
    <w:tmpl w:val="99DC2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3">
    <w:nsid w:val="761C52D8"/>
    <w:multiLevelType w:val="hybridMultilevel"/>
    <w:tmpl w:val="EBF6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5">
    <w:nsid w:val="78854AAC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664040"/>
    <w:multiLevelType w:val="multilevel"/>
    <w:tmpl w:val="5CC6A26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7">
    <w:nsid w:val="7CBC1748"/>
    <w:multiLevelType w:val="hybridMultilevel"/>
    <w:tmpl w:val="69C08CBE"/>
    <w:lvl w:ilvl="0" w:tplc="E4042942">
      <w:start w:val="1"/>
      <w:numFmt w:val="decimal"/>
      <w:lvlText w:val="%1."/>
      <w:lvlJc w:val="left"/>
      <w:pPr>
        <w:ind w:left="1572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>
    <w:nsid w:val="7DEE6EAE"/>
    <w:multiLevelType w:val="multilevel"/>
    <w:tmpl w:val="04883A1A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9">
    <w:nsid w:val="7FD72FE8"/>
    <w:multiLevelType w:val="hybridMultilevel"/>
    <w:tmpl w:val="028E50B2"/>
    <w:lvl w:ilvl="0" w:tplc="660EB7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6"/>
  </w:num>
  <w:num w:numId="5">
    <w:abstractNumId w:val="29"/>
  </w:num>
  <w:num w:numId="6">
    <w:abstractNumId w:val="13"/>
  </w:num>
  <w:num w:numId="7">
    <w:abstractNumId w:val="19"/>
  </w:num>
  <w:num w:numId="8">
    <w:abstractNumId w:val="7"/>
  </w:num>
  <w:num w:numId="9">
    <w:abstractNumId w:val="14"/>
  </w:num>
  <w:num w:numId="10">
    <w:abstractNumId w:val="35"/>
  </w:num>
  <w:num w:numId="11">
    <w:abstractNumId w:val="3"/>
  </w:num>
  <w:num w:numId="12">
    <w:abstractNumId w:val="26"/>
  </w:num>
  <w:num w:numId="13">
    <w:abstractNumId w:val="32"/>
  </w:num>
  <w:num w:numId="14">
    <w:abstractNumId w:val="24"/>
  </w:num>
  <w:num w:numId="15">
    <w:abstractNumId w:val="28"/>
  </w:num>
  <w:num w:numId="16">
    <w:abstractNumId w:val="34"/>
  </w:num>
  <w:num w:numId="17">
    <w:abstractNumId w:val="10"/>
  </w:num>
  <w:num w:numId="18">
    <w:abstractNumId w:val="1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0"/>
  </w:num>
  <w:num w:numId="29">
    <w:abstractNumId w:val="4"/>
  </w:num>
  <w:num w:numId="30">
    <w:abstractNumId w:val="2"/>
  </w:num>
  <w:num w:numId="31">
    <w:abstractNumId w:val="1"/>
  </w:num>
  <w:num w:numId="32">
    <w:abstractNumId w:val="33"/>
  </w:num>
  <w:num w:numId="33">
    <w:abstractNumId w:val="5"/>
  </w:num>
  <w:num w:numId="34">
    <w:abstractNumId w:val="18"/>
  </w:num>
  <w:num w:numId="35">
    <w:abstractNumId w:val="22"/>
  </w:num>
  <w:num w:numId="36">
    <w:abstractNumId w:val="39"/>
  </w:num>
  <w:num w:numId="37">
    <w:abstractNumId w:val="0"/>
  </w:num>
  <w:num w:numId="38">
    <w:abstractNumId w:val="9"/>
  </w:num>
  <w:num w:numId="39">
    <w:abstractNumId w:val="30"/>
  </w:num>
  <w:num w:numId="40">
    <w:abstractNumId w:val="21"/>
  </w:num>
  <w:num w:numId="41">
    <w:abstractNumId w:val="16"/>
  </w:num>
  <w:num w:numId="4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0779"/>
    <w:rsid w:val="00005A5D"/>
    <w:rsid w:val="000076D9"/>
    <w:rsid w:val="00012D05"/>
    <w:rsid w:val="00014378"/>
    <w:rsid w:val="0001634A"/>
    <w:rsid w:val="00021708"/>
    <w:rsid w:val="00026F6E"/>
    <w:rsid w:val="000343F1"/>
    <w:rsid w:val="00036749"/>
    <w:rsid w:val="00051940"/>
    <w:rsid w:val="00056E78"/>
    <w:rsid w:val="0006051B"/>
    <w:rsid w:val="000614F9"/>
    <w:rsid w:val="0006451A"/>
    <w:rsid w:val="0006551D"/>
    <w:rsid w:val="00065679"/>
    <w:rsid w:val="0007004C"/>
    <w:rsid w:val="000724F6"/>
    <w:rsid w:val="00072FC7"/>
    <w:rsid w:val="00074611"/>
    <w:rsid w:val="00080FB4"/>
    <w:rsid w:val="00085EDC"/>
    <w:rsid w:val="00086712"/>
    <w:rsid w:val="000901B3"/>
    <w:rsid w:val="000914AE"/>
    <w:rsid w:val="00091DF8"/>
    <w:rsid w:val="00093DD8"/>
    <w:rsid w:val="00094AC7"/>
    <w:rsid w:val="0009569D"/>
    <w:rsid w:val="00097794"/>
    <w:rsid w:val="000A04B3"/>
    <w:rsid w:val="000A0C9E"/>
    <w:rsid w:val="000A13ED"/>
    <w:rsid w:val="000A279F"/>
    <w:rsid w:val="000A3DE5"/>
    <w:rsid w:val="000A5191"/>
    <w:rsid w:val="000B2772"/>
    <w:rsid w:val="000B4080"/>
    <w:rsid w:val="000B471A"/>
    <w:rsid w:val="000B4C92"/>
    <w:rsid w:val="000B59F0"/>
    <w:rsid w:val="000B5C87"/>
    <w:rsid w:val="000C02FF"/>
    <w:rsid w:val="000C2259"/>
    <w:rsid w:val="000C3CA2"/>
    <w:rsid w:val="000C589E"/>
    <w:rsid w:val="000C6AA5"/>
    <w:rsid w:val="000C714F"/>
    <w:rsid w:val="000D17C9"/>
    <w:rsid w:val="000D19D8"/>
    <w:rsid w:val="000D1C37"/>
    <w:rsid w:val="000D23D7"/>
    <w:rsid w:val="000D37CB"/>
    <w:rsid w:val="000D4377"/>
    <w:rsid w:val="000D43C1"/>
    <w:rsid w:val="000D56CC"/>
    <w:rsid w:val="000E1B05"/>
    <w:rsid w:val="000E2039"/>
    <w:rsid w:val="000E365A"/>
    <w:rsid w:val="000E36B7"/>
    <w:rsid w:val="000E3C70"/>
    <w:rsid w:val="000E48C3"/>
    <w:rsid w:val="000E4E1E"/>
    <w:rsid w:val="000E68C6"/>
    <w:rsid w:val="000E70D5"/>
    <w:rsid w:val="000E7D21"/>
    <w:rsid w:val="000F0880"/>
    <w:rsid w:val="000F1F97"/>
    <w:rsid w:val="000F4224"/>
    <w:rsid w:val="000F6CF6"/>
    <w:rsid w:val="00103995"/>
    <w:rsid w:val="00103FD6"/>
    <w:rsid w:val="001065EE"/>
    <w:rsid w:val="001108E9"/>
    <w:rsid w:val="00110F5D"/>
    <w:rsid w:val="00111954"/>
    <w:rsid w:val="001144F9"/>
    <w:rsid w:val="00115166"/>
    <w:rsid w:val="00115A97"/>
    <w:rsid w:val="00120F69"/>
    <w:rsid w:val="00122DBA"/>
    <w:rsid w:val="00123753"/>
    <w:rsid w:val="00123A46"/>
    <w:rsid w:val="001262B5"/>
    <w:rsid w:val="00130342"/>
    <w:rsid w:val="00132587"/>
    <w:rsid w:val="0013571B"/>
    <w:rsid w:val="00136B76"/>
    <w:rsid w:val="00136E72"/>
    <w:rsid w:val="001404A9"/>
    <w:rsid w:val="0014055F"/>
    <w:rsid w:val="00140F43"/>
    <w:rsid w:val="00143C9B"/>
    <w:rsid w:val="001446AB"/>
    <w:rsid w:val="0014568A"/>
    <w:rsid w:val="00145D5C"/>
    <w:rsid w:val="00145DAB"/>
    <w:rsid w:val="00151133"/>
    <w:rsid w:val="00154E2D"/>
    <w:rsid w:val="00160506"/>
    <w:rsid w:val="001629FA"/>
    <w:rsid w:val="00166312"/>
    <w:rsid w:val="00167BB8"/>
    <w:rsid w:val="00171244"/>
    <w:rsid w:val="00172858"/>
    <w:rsid w:val="00173F81"/>
    <w:rsid w:val="00174C2A"/>
    <w:rsid w:val="00175FB9"/>
    <w:rsid w:val="001762BD"/>
    <w:rsid w:val="0017637D"/>
    <w:rsid w:val="00177A0A"/>
    <w:rsid w:val="00180F76"/>
    <w:rsid w:val="00183EAB"/>
    <w:rsid w:val="00185CC1"/>
    <w:rsid w:val="00187BEB"/>
    <w:rsid w:val="001931E8"/>
    <w:rsid w:val="00193972"/>
    <w:rsid w:val="00194232"/>
    <w:rsid w:val="00194587"/>
    <w:rsid w:val="001960DD"/>
    <w:rsid w:val="00196B4E"/>
    <w:rsid w:val="001977E9"/>
    <w:rsid w:val="001A1422"/>
    <w:rsid w:val="001A14C1"/>
    <w:rsid w:val="001A2E4A"/>
    <w:rsid w:val="001A3A9A"/>
    <w:rsid w:val="001A4093"/>
    <w:rsid w:val="001A79C1"/>
    <w:rsid w:val="001A7A15"/>
    <w:rsid w:val="001B19A0"/>
    <w:rsid w:val="001B1CA3"/>
    <w:rsid w:val="001B580E"/>
    <w:rsid w:val="001B7933"/>
    <w:rsid w:val="001C346E"/>
    <w:rsid w:val="001C3717"/>
    <w:rsid w:val="001C5CC5"/>
    <w:rsid w:val="001D0268"/>
    <w:rsid w:val="001D02A0"/>
    <w:rsid w:val="001D1DAA"/>
    <w:rsid w:val="001D2392"/>
    <w:rsid w:val="001D2C27"/>
    <w:rsid w:val="001D3CAD"/>
    <w:rsid w:val="001D4B0D"/>
    <w:rsid w:val="001D7F6C"/>
    <w:rsid w:val="001E20EC"/>
    <w:rsid w:val="001E40FA"/>
    <w:rsid w:val="001E4479"/>
    <w:rsid w:val="001E7173"/>
    <w:rsid w:val="001E74D0"/>
    <w:rsid w:val="001E7803"/>
    <w:rsid w:val="001F0656"/>
    <w:rsid w:val="001F1D48"/>
    <w:rsid w:val="001F3F1D"/>
    <w:rsid w:val="001F410A"/>
    <w:rsid w:val="001F515F"/>
    <w:rsid w:val="001F60CF"/>
    <w:rsid w:val="001F6F39"/>
    <w:rsid w:val="001F6FE8"/>
    <w:rsid w:val="0020144E"/>
    <w:rsid w:val="002032FB"/>
    <w:rsid w:val="00204C3B"/>
    <w:rsid w:val="00205E18"/>
    <w:rsid w:val="002069BE"/>
    <w:rsid w:val="002069F9"/>
    <w:rsid w:val="0020780F"/>
    <w:rsid w:val="00212869"/>
    <w:rsid w:val="00221308"/>
    <w:rsid w:val="00222C97"/>
    <w:rsid w:val="00222F0F"/>
    <w:rsid w:val="00223CBB"/>
    <w:rsid w:val="002252EA"/>
    <w:rsid w:val="00225761"/>
    <w:rsid w:val="002265B1"/>
    <w:rsid w:val="00231445"/>
    <w:rsid w:val="00232E16"/>
    <w:rsid w:val="00233835"/>
    <w:rsid w:val="00237DD5"/>
    <w:rsid w:val="0024037B"/>
    <w:rsid w:val="00241EE9"/>
    <w:rsid w:val="00246F32"/>
    <w:rsid w:val="00247D45"/>
    <w:rsid w:val="0025175C"/>
    <w:rsid w:val="00251A6A"/>
    <w:rsid w:val="00252DE3"/>
    <w:rsid w:val="00253025"/>
    <w:rsid w:val="002539CC"/>
    <w:rsid w:val="002619F8"/>
    <w:rsid w:val="00261ABA"/>
    <w:rsid w:val="00262033"/>
    <w:rsid w:val="00262E18"/>
    <w:rsid w:val="00272871"/>
    <w:rsid w:val="00281F5F"/>
    <w:rsid w:val="00282C25"/>
    <w:rsid w:val="0028384A"/>
    <w:rsid w:val="002844E3"/>
    <w:rsid w:val="00284884"/>
    <w:rsid w:val="00285003"/>
    <w:rsid w:val="00285D7A"/>
    <w:rsid w:val="002869F5"/>
    <w:rsid w:val="00287DCC"/>
    <w:rsid w:val="00287E81"/>
    <w:rsid w:val="00291CF1"/>
    <w:rsid w:val="00292587"/>
    <w:rsid w:val="00296517"/>
    <w:rsid w:val="002A143D"/>
    <w:rsid w:val="002A493A"/>
    <w:rsid w:val="002A4FAB"/>
    <w:rsid w:val="002A530A"/>
    <w:rsid w:val="002A5884"/>
    <w:rsid w:val="002A6981"/>
    <w:rsid w:val="002B0B30"/>
    <w:rsid w:val="002B7922"/>
    <w:rsid w:val="002B7E1B"/>
    <w:rsid w:val="002C15FA"/>
    <w:rsid w:val="002C2529"/>
    <w:rsid w:val="002C62B3"/>
    <w:rsid w:val="002C7620"/>
    <w:rsid w:val="002D122C"/>
    <w:rsid w:val="002D2849"/>
    <w:rsid w:val="002D2CC8"/>
    <w:rsid w:val="002D60FE"/>
    <w:rsid w:val="002D74CB"/>
    <w:rsid w:val="002D7CF9"/>
    <w:rsid w:val="002E08EA"/>
    <w:rsid w:val="002E0D58"/>
    <w:rsid w:val="002E1100"/>
    <w:rsid w:val="002E17DE"/>
    <w:rsid w:val="002E222F"/>
    <w:rsid w:val="002E2DE2"/>
    <w:rsid w:val="002E4B66"/>
    <w:rsid w:val="002E6DAA"/>
    <w:rsid w:val="002F20DA"/>
    <w:rsid w:val="002F576E"/>
    <w:rsid w:val="002F5B29"/>
    <w:rsid w:val="002F5C6C"/>
    <w:rsid w:val="002F7735"/>
    <w:rsid w:val="002F7E40"/>
    <w:rsid w:val="003012DA"/>
    <w:rsid w:val="00307C5C"/>
    <w:rsid w:val="00312D53"/>
    <w:rsid w:val="00313480"/>
    <w:rsid w:val="00313C98"/>
    <w:rsid w:val="00313FD9"/>
    <w:rsid w:val="003155BD"/>
    <w:rsid w:val="00316B69"/>
    <w:rsid w:val="003177B9"/>
    <w:rsid w:val="00321E0A"/>
    <w:rsid w:val="00322D0F"/>
    <w:rsid w:val="00323A2B"/>
    <w:rsid w:val="00323C97"/>
    <w:rsid w:val="0032432B"/>
    <w:rsid w:val="00332704"/>
    <w:rsid w:val="00333506"/>
    <w:rsid w:val="00333A42"/>
    <w:rsid w:val="00333A55"/>
    <w:rsid w:val="00336C6D"/>
    <w:rsid w:val="00340A07"/>
    <w:rsid w:val="003410AA"/>
    <w:rsid w:val="003411EF"/>
    <w:rsid w:val="00341B8E"/>
    <w:rsid w:val="00345D56"/>
    <w:rsid w:val="00346E94"/>
    <w:rsid w:val="00352A6B"/>
    <w:rsid w:val="00352EC1"/>
    <w:rsid w:val="0035349E"/>
    <w:rsid w:val="003600B7"/>
    <w:rsid w:val="003604F3"/>
    <w:rsid w:val="00361054"/>
    <w:rsid w:val="0036119D"/>
    <w:rsid w:val="00364CF3"/>
    <w:rsid w:val="003675EF"/>
    <w:rsid w:val="00367EAB"/>
    <w:rsid w:val="00370E78"/>
    <w:rsid w:val="00371358"/>
    <w:rsid w:val="00372573"/>
    <w:rsid w:val="0037410E"/>
    <w:rsid w:val="00376957"/>
    <w:rsid w:val="00377AB2"/>
    <w:rsid w:val="00383890"/>
    <w:rsid w:val="003877C3"/>
    <w:rsid w:val="0039283B"/>
    <w:rsid w:val="00393249"/>
    <w:rsid w:val="00396EA4"/>
    <w:rsid w:val="003A1528"/>
    <w:rsid w:val="003A1B32"/>
    <w:rsid w:val="003A2157"/>
    <w:rsid w:val="003A3363"/>
    <w:rsid w:val="003A3905"/>
    <w:rsid w:val="003A3CC1"/>
    <w:rsid w:val="003A4BEE"/>
    <w:rsid w:val="003A5429"/>
    <w:rsid w:val="003A6635"/>
    <w:rsid w:val="003A6B0E"/>
    <w:rsid w:val="003A78C6"/>
    <w:rsid w:val="003B5562"/>
    <w:rsid w:val="003B5764"/>
    <w:rsid w:val="003B6363"/>
    <w:rsid w:val="003B737F"/>
    <w:rsid w:val="003D058A"/>
    <w:rsid w:val="003E1667"/>
    <w:rsid w:val="003E19C4"/>
    <w:rsid w:val="003E4B29"/>
    <w:rsid w:val="003E6BA0"/>
    <w:rsid w:val="003E73DB"/>
    <w:rsid w:val="003F0ADC"/>
    <w:rsid w:val="003F1B39"/>
    <w:rsid w:val="003F59E6"/>
    <w:rsid w:val="003F5BE6"/>
    <w:rsid w:val="003F6C00"/>
    <w:rsid w:val="004002F8"/>
    <w:rsid w:val="00400FC1"/>
    <w:rsid w:val="00402044"/>
    <w:rsid w:val="004026E7"/>
    <w:rsid w:val="004048E7"/>
    <w:rsid w:val="004120B1"/>
    <w:rsid w:val="004122A6"/>
    <w:rsid w:val="00412A1B"/>
    <w:rsid w:val="0041336C"/>
    <w:rsid w:val="00413D64"/>
    <w:rsid w:val="0041421D"/>
    <w:rsid w:val="0041441E"/>
    <w:rsid w:val="00414A5C"/>
    <w:rsid w:val="004156B4"/>
    <w:rsid w:val="0041697F"/>
    <w:rsid w:val="00420235"/>
    <w:rsid w:val="004223AA"/>
    <w:rsid w:val="00423104"/>
    <w:rsid w:val="00425857"/>
    <w:rsid w:val="00426125"/>
    <w:rsid w:val="004267D3"/>
    <w:rsid w:val="004305B2"/>
    <w:rsid w:val="00431404"/>
    <w:rsid w:val="00433E65"/>
    <w:rsid w:val="0043679B"/>
    <w:rsid w:val="004374B2"/>
    <w:rsid w:val="00440CD5"/>
    <w:rsid w:val="00442046"/>
    <w:rsid w:val="00442AB8"/>
    <w:rsid w:val="004436EA"/>
    <w:rsid w:val="00446391"/>
    <w:rsid w:val="00450B39"/>
    <w:rsid w:val="00453BC6"/>
    <w:rsid w:val="00454498"/>
    <w:rsid w:val="0045481C"/>
    <w:rsid w:val="00456C59"/>
    <w:rsid w:val="004571B4"/>
    <w:rsid w:val="004614AE"/>
    <w:rsid w:val="00464FDF"/>
    <w:rsid w:val="004670C5"/>
    <w:rsid w:val="00470C57"/>
    <w:rsid w:val="00475ADD"/>
    <w:rsid w:val="00477931"/>
    <w:rsid w:val="00482D60"/>
    <w:rsid w:val="00487912"/>
    <w:rsid w:val="00490198"/>
    <w:rsid w:val="0049022F"/>
    <w:rsid w:val="00490B28"/>
    <w:rsid w:val="00490E28"/>
    <w:rsid w:val="00493F45"/>
    <w:rsid w:val="00495464"/>
    <w:rsid w:val="00497362"/>
    <w:rsid w:val="00497C77"/>
    <w:rsid w:val="004A0AE7"/>
    <w:rsid w:val="004A20CA"/>
    <w:rsid w:val="004A5852"/>
    <w:rsid w:val="004A6062"/>
    <w:rsid w:val="004A673A"/>
    <w:rsid w:val="004A770F"/>
    <w:rsid w:val="004B0813"/>
    <w:rsid w:val="004B1F38"/>
    <w:rsid w:val="004B21C5"/>
    <w:rsid w:val="004B2EF6"/>
    <w:rsid w:val="004B34A6"/>
    <w:rsid w:val="004B5612"/>
    <w:rsid w:val="004B6083"/>
    <w:rsid w:val="004B6927"/>
    <w:rsid w:val="004B7E5C"/>
    <w:rsid w:val="004C1118"/>
    <w:rsid w:val="004C36D4"/>
    <w:rsid w:val="004C3CC4"/>
    <w:rsid w:val="004C4D5E"/>
    <w:rsid w:val="004C579D"/>
    <w:rsid w:val="004C5B2C"/>
    <w:rsid w:val="004C660A"/>
    <w:rsid w:val="004C6EAE"/>
    <w:rsid w:val="004D310E"/>
    <w:rsid w:val="004D378B"/>
    <w:rsid w:val="004D37D8"/>
    <w:rsid w:val="004D4B81"/>
    <w:rsid w:val="004E2881"/>
    <w:rsid w:val="004E293B"/>
    <w:rsid w:val="004E6F6D"/>
    <w:rsid w:val="004E7CA5"/>
    <w:rsid w:val="004F13D3"/>
    <w:rsid w:val="004F13E6"/>
    <w:rsid w:val="004F3B7F"/>
    <w:rsid w:val="004F3C06"/>
    <w:rsid w:val="004F64F4"/>
    <w:rsid w:val="004F668D"/>
    <w:rsid w:val="004F6B2B"/>
    <w:rsid w:val="005005DF"/>
    <w:rsid w:val="00500AE2"/>
    <w:rsid w:val="0050181F"/>
    <w:rsid w:val="00505045"/>
    <w:rsid w:val="00510B96"/>
    <w:rsid w:val="00510ECF"/>
    <w:rsid w:val="00511501"/>
    <w:rsid w:val="00511B5B"/>
    <w:rsid w:val="00515AF2"/>
    <w:rsid w:val="0051640E"/>
    <w:rsid w:val="00516666"/>
    <w:rsid w:val="00516741"/>
    <w:rsid w:val="0051684E"/>
    <w:rsid w:val="00516881"/>
    <w:rsid w:val="005174B4"/>
    <w:rsid w:val="00523E87"/>
    <w:rsid w:val="00527ABC"/>
    <w:rsid w:val="00532CA1"/>
    <w:rsid w:val="005365CD"/>
    <w:rsid w:val="00537A4E"/>
    <w:rsid w:val="0054193D"/>
    <w:rsid w:val="00542A8C"/>
    <w:rsid w:val="00542D59"/>
    <w:rsid w:val="00543637"/>
    <w:rsid w:val="00543E42"/>
    <w:rsid w:val="005513B2"/>
    <w:rsid w:val="005515B2"/>
    <w:rsid w:val="00551D9C"/>
    <w:rsid w:val="005539F5"/>
    <w:rsid w:val="00554AAC"/>
    <w:rsid w:val="00554C6E"/>
    <w:rsid w:val="0055503F"/>
    <w:rsid w:val="005572D7"/>
    <w:rsid w:val="0056000F"/>
    <w:rsid w:val="0056081A"/>
    <w:rsid w:val="00562901"/>
    <w:rsid w:val="00563797"/>
    <w:rsid w:val="005651B5"/>
    <w:rsid w:val="005653D6"/>
    <w:rsid w:val="00566234"/>
    <w:rsid w:val="005667DA"/>
    <w:rsid w:val="00566A7B"/>
    <w:rsid w:val="00570B35"/>
    <w:rsid w:val="0057262B"/>
    <w:rsid w:val="00577718"/>
    <w:rsid w:val="00580684"/>
    <w:rsid w:val="005815B3"/>
    <w:rsid w:val="00582A03"/>
    <w:rsid w:val="005850AF"/>
    <w:rsid w:val="00587E37"/>
    <w:rsid w:val="00593821"/>
    <w:rsid w:val="00596E88"/>
    <w:rsid w:val="005979C1"/>
    <w:rsid w:val="00597CBD"/>
    <w:rsid w:val="005A0969"/>
    <w:rsid w:val="005A16E7"/>
    <w:rsid w:val="005A4F46"/>
    <w:rsid w:val="005B0DEF"/>
    <w:rsid w:val="005B16A0"/>
    <w:rsid w:val="005B2A03"/>
    <w:rsid w:val="005B2C86"/>
    <w:rsid w:val="005B4A71"/>
    <w:rsid w:val="005B4C1B"/>
    <w:rsid w:val="005C13C9"/>
    <w:rsid w:val="005C2684"/>
    <w:rsid w:val="005C2DDC"/>
    <w:rsid w:val="005C30B6"/>
    <w:rsid w:val="005C5620"/>
    <w:rsid w:val="005C5D8C"/>
    <w:rsid w:val="005C77DC"/>
    <w:rsid w:val="005D29DB"/>
    <w:rsid w:val="005D333E"/>
    <w:rsid w:val="005D36F4"/>
    <w:rsid w:val="005D41F9"/>
    <w:rsid w:val="005D6677"/>
    <w:rsid w:val="005D7CE3"/>
    <w:rsid w:val="005E266B"/>
    <w:rsid w:val="005E3D7E"/>
    <w:rsid w:val="005E4143"/>
    <w:rsid w:val="005E4253"/>
    <w:rsid w:val="005E599F"/>
    <w:rsid w:val="005E724B"/>
    <w:rsid w:val="005F2C47"/>
    <w:rsid w:val="005F2CDE"/>
    <w:rsid w:val="006001D1"/>
    <w:rsid w:val="00601DA8"/>
    <w:rsid w:val="00601F7C"/>
    <w:rsid w:val="00602298"/>
    <w:rsid w:val="00602EF7"/>
    <w:rsid w:val="00605B11"/>
    <w:rsid w:val="00606F11"/>
    <w:rsid w:val="006073F2"/>
    <w:rsid w:val="00607B03"/>
    <w:rsid w:val="0061059D"/>
    <w:rsid w:val="00611CBA"/>
    <w:rsid w:val="0061326F"/>
    <w:rsid w:val="00613E8B"/>
    <w:rsid w:val="00614393"/>
    <w:rsid w:val="006146F2"/>
    <w:rsid w:val="0061588E"/>
    <w:rsid w:val="00616D95"/>
    <w:rsid w:val="00622864"/>
    <w:rsid w:val="00623567"/>
    <w:rsid w:val="00624ACD"/>
    <w:rsid w:val="00627788"/>
    <w:rsid w:val="00627B74"/>
    <w:rsid w:val="00632EA8"/>
    <w:rsid w:val="006342B5"/>
    <w:rsid w:val="00634FE6"/>
    <w:rsid w:val="0064111D"/>
    <w:rsid w:val="006412B5"/>
    <w:rsid w:val="00641932"/>
    <w:rsid w:val="00644083"/>
    <w:rsid w:val="0064429B"/>
    <w:rsid w:val="0064477C"/>
    <w:rsid w:val="00650903"/>
    <w:rsid w:val="00651B3E"/>
    <w:rsid w:val="00661083"/>
    <w:rsid w:val="00662E03"/>
    <w:rsid w:val="00663DB4"/>
    <w:rsid w:val="00665F3E"/>
    <w:rsid w:val="00667237"/>
    <w:rsid w:val="00667443"/>
    <w:rsid w:val="006679C0"/>
    <w:rsid w:val="006702DA"/>
    <w:rsid w:val="00672B10"/>
    <w:rsid w:val="00673A68"/>
    <w:rsid w:val="00680ED5"/>
    <w:rsid w:val="00681184"/>
    <w:rsid w:val="00681956"/>
    <w:rsid w:val="00682233"/>
    <w:rsid w:val="00682FBA"/>
    <w:rsid w:val="00683370"/>
    <w:rsid w:val="00685BA6"/>
    <w:rsid w:val="006903F9"/>
    <w:rsid w:val="00690885"/>
    <w:rsid w:val="00690F8F"/>
    <w:rsid w:val="0069165D"/>
    <w:rsid w:val="006923C8"/>
    <w:rsid w:val="00696AB4"/>
    <w:rsid w:val="006976BF"/>
    <w:rsid w:val="006A05D7"/>
    <w:rsid w:val="006A0F7A"/>
    <w:rsid w:val="006A4628"/>
    <w:rsid w:val="006A598C"/>
    <w:rsid w:val="006B159F"/>
    <w:rsid w:val="006B25F1"/>
    <w:rsid w:val="006B3F39"/>
    <w:rsid w:val="006B4213"/>
    <w:rsid w:val="006B49C5"/>
    <w:rsid w:val="006B4DF0"/>
    <w:rsid w:val="006B5352"/>
    <w:rsid w:val="006B7300"/>
    <w:rsid w:val="006C0425"/>
    <w:rsid w:val="006C1013"/>
    <w:rsid w:val="006C163A"/>
    <w:rsid w:val="006C228B"/>
    <w:rsid w:val="006C2931"/>
    <w:rsid w:val="006C2AE7"/>
    <w:rsid w:val="006C4819"/>
    <w:rsid w:val="006C73F1"/>
    <w:rsid w:val="006C7EB2"/>
    <w:rsid w:val="006D2E6B"/>
    <w:rsid w:val="006D466E"/>
    <w:rsid w:val="006D4B70"/>
    <w:rsid w:val="006D4C35"/>
    <w:rsid w:val="006D4D5B"/>
    <w:rsid w:val="006D4E11"/>
    <w:rsid w:val="006E33A1"/>
    <w:rsid w:val="006E3B48"/>
    <w:rsid w:val="006E3F9F"/>
    <w:rsid w:val="006E6184"/>
    <w:rsid w:val="006E631B"/>
    <w:rsid w:val="006F0537"/>
    <w:rsid w:val="006F096A"/>
    <w:rsid w:val="006F22E3"/>
    <w:rsid w:val="006F2359"/>
    <w:rsid w:val="006F3095"/>
    <w:rsid w:val="006F32C6"/>
    <w:rsid w:val="006F5455"/>
    <w:rsid w:val="006F5CB6"/>
    <w:rsid w:val="006F6C2C"/>
    <w:rsid w:val="006F79D3"/>
    <w:rsid w:val="00703194"/>
    <w:rsid w:val="0070591E"/>
    <w:rsid w:val="00706E59"/>
    <w:rsid w:val="0070737C"/>
    <w:rsid w:val="00711229"/>
    <w:rsid w:val="007139E3"/>
    <w:rsid w:val="00714A07"/>
    <w:rsid w:val="00715018"/>
    <w:rsid w:val="00715D5F"/>
    <w:rsid w:val="00716177"/>
    <w:rsid w:val="00717711"/>
    <w:rsid w:val="00717F25"/>
    <w:rsid w:val="007201B1"/>
    <w:rsid w:val="00724E14"/>
    <w:rsid w:val="00725165"/>
    <w:rsid w:val="00725A31"/>
    <w:rsid w:val="00725AD5"/>
    <w:rsid w:val="007308F7"/>
    <w:rsid w:val="00731945"/>
    <w:rsid w:val="0073471D"/>
    <w:rsid w:val="0073698D"/>
    <w:rsid w:val="00736C0B"/>
    <w:rsid w:val="0073747A"/>
    <w:rsid w:val="00737546"/>
    <w:rsid w:val="00741EC7"/>
    <w:rsid w:val="00742ED8"/>
    <w:rsid w:val="00744028"/>
    <w:rsid w:val="00744A8F"/>
    <w:rsid w:val="00746531"/>
    <w:rsid w:val="00751725"/>
    <w:rsid w:val="00752028"/>
    <w:rsid w:val="0075450A"/>
    <w:rsid w:val="00754E49"/>
    <w:rsid w:val="007562C7"/>
    <w:rsid w:val="0076017E"/>
    <w:rsid w:val="00760DB6"/>
    <w:rsid w:val="007661AE"/>
    <w:rsid w:val="00766A51"/>
    <w:rsid w:val="00767A5A"/>
    <w:rsid w:val="00771FFF"/>
    <w:rsid w:val="00772818"/>
    <w:rsid w:val="00772EED"/>
    <w:rsid w:val="0077685D"/>
    <w:rsid w:val="0077788E"/>
    <w:rsid w:val="007806D0"/>
    <w:rsid w:val="00785ECA"/>
    <w:rsid w:val="00787E75"/>
    <w:rsid w:val="007901C4"/>
    <w:rsid w:val="00791629"/>
    <w:rsid w:val="00793B87"/>
    <w:rsid w:val="007955D4"/>
    <w:rsid w:val="007970E5"/>
    <w:rsid w:val="007A3157"/>
    <w:rsid w:val="007A4B4C"/>
    <w:rsid w:val="007A5155"/>
    <w:rsid w:val="007A6E20"/>
    <w:rsid w:val="007B10ED"/>
    <w:rsid w:val="007B175B"/>
    <w:rsid w:val="007B2B2E"/>
    <w:rsid w:val="007B2BC7"/>
    <w:rsid w:val="007B3BFC"/>
    <w:rsid w:val="007B4B03"/>
    <w:rsid w:val="007B6937"/>
    <w:rsid w:val="007C1891"/>
    <w:rsid w:val="007C4F31"/>
    <w:rsid w:val="007C7E1D"/>
    <w:rsid w:val="007D55A7"/>
    <w:rsid w:val="007D674A"/>
    <w:rsid w:val="007D682F"/>
    <w:rsid w:val="007D73FD"/>
    <w:rsid w:val="007E37FC"/>
    <w:rsid w:val="007E5257"/>
    <w:rsid w:val="007E5391"/>
    <w:rsid w:val="007E5B4F"/>
    <w:rsid w:val="007E5DE7"/>
    <w:rsid w:val="007E715A"/>
    <w:rsid w:val="007F2081"/>
    <w:rsid w:val="007F4EF5"/>
    <w:rsid w:val="008077FC"/>
    <w:rsid w:val="00807AD8"/>
    <w:rsid w:val="00811800"/>
    <w:rsid w:val="00812E1C"/>
    <w:rsid w:val="00813CFF"/>
    <w:rsid w:val="00814590"/>
    <w:rsid w:val="00814667"/>
    <w:rsid w:val="008148E2"/>
    <w:rsid w:val="008156B7"/>
    <w:rsid w:val="00817D90"/>
    <w:rsid w:val="00820E02"/>
    <w:rsid w:val="008214A3"/>
    <w:rsid w:val="00822355"/>
    <w:rsid w:val="0082332D"/>
    <w:rsid w:val="0082402C"/>
    <w:rsid w:val="0082422D"/>
    <w:rsid w:val="008252D9"/>
    <w:rsid w:val="008259B7"/>
    <w:rsid w:val="00825FF5"/>
    <w:rsid w:val="008262F1"/>
    <w:rsid w:val="008311FA"/>
    <w:rsid w:val="008317EF"/>
    <w:rsid w:val="00832231"/>
    <w:rsid w:val="00832B00"/>
    <w:rsid w:val="00833385"/>
    <w:rsid w:val="008358BD"/>
    <w:rsid w:val="00836AE6"/>
    <w:rsid w:val="00837A4A"/>
    <w:rsid w:val="00841545"/>
    <w:rsid w:val="00841BD3"/>
    <w:rsid w:val="008457C4"/>
    <w:rsid w:val="00845BCC"/>
    <w:rsid w:val="0084750A"/>
    <w:rsid w:val="00851465"/>
    <w:rsid w:val="008514B8"/>
    <w:rsid w:val="00852ED8"/>
    <w:rsid w:val="0085330A"/>
    <w:rsid w:val="00853767"/>
    <w:rsid w:val="008550CA"/>
    <w:rsid w:val="0085533A"/>
    <w:rsid w:val="00855543"/>
    <w:rsid w:val="00856F54"/>
    <w:rsid w:val="0085738D"/>
    <w:rsid w:val="00857C46"/>
    <w:rsid w:val="00860760"/>
    <w:rsid w:val="00862395"/>
    <w:rsid w:val="00864DD3"/>
    <w:rsid w:val="008708D6"/>
    <w:rsid w:val="00871DFD"/>
    <w:rsid w:val="008760D0"/>
    <w:rsid w:val="0088042F"/>
    <w:rsid w:val="00881317"/>
    <w:rsid w:val="008843EE"/>
    <w:rsid w:val="00884EB6"/>
    <w:rsid w:val="0088588F"/>
    <w:rsid w:val="008868DB"/>
    <w:rsid w:val="00896477"/>
    <w:rsid w:val="00896F5A"/>
    <w:rsid w:val="008A26DA"/>
    <w:rsid w:val="008A3C37"/>
    <w:rsid w:val="008A52D2"/>
    <w:rsid w:val="008A5892"/>
    <w:rsid w:val="008A7A45"/>
    <w:rsid w:val="008B1840"/>
    <w:rsid w:val="008B4899"/>
    <w:rsid w:val="008B4AEB"/>
    <w:rsid w:val="008B70D3"/>
    <w:rsid w:val="008B73A2"/>
    <w:rsid w:val="008C0BBA"/>
    <w:rsid w:val="008C2450"/>
    <w:rsid w:val="008C3419"/>
    <w:rsid w:val="008C56F1"/>
    <w:rsid w:val="008C743F"/>
    <w:rsid w:val="008C7817"/>
    <w:rsid w:val="008C79BB"/>
    <w:rsid w:val="008C7F5B"/>
    <w:rsid w:val="008D079A"/>
    <w:rsid w:val="008D0CAE"/>
    <w:rsid w:val="008D0EEB"/>
    <w:rsid w:val="008D2DCE"/>
    <w:rsid w:val="008D2F40"/>
    <w:rsid w:val="008D4131"/>
    <w:rsid w:val="008D5B52"/>
    <w:rsid w:val="008D5C52"/>
    <w:rsid w:val="008E4209"/>
    <w:rsid w:val="008E48FC"/>
    <w:rsid w:val="008E55BD"/>
    <w:rsid w:val="008E7527"/>
    <w:rsid w:val="008F030C"/>
    <w:rsid w:val="008F2AD6"/>
    <w:rsid w:val="008F33F3"/>
    <w:rsid w:val="008F44F1"/>
    <w:rsid w:val="008F4BA8"/>
    <w:rsid w:val="008F5C07"/>
    <w:rsid w:val="008F696D"/>
    <w:rsid w:val="00901CF5"/>
    <w:rsid w:val="00901F53"/>
    <w:rsid w:val="00903252"/>
    <w:rsid w:val="00903381"/>
    <w:rsid w:val="009038B6"/>
    <w:rsid w:val="009042A3"/>
    <w:rsid w:val="0090618E"/>
    <w:rsid w:val="00906E33"/>
    <w:rsid w:val="00911BDB"/>
    <w:rsid w:val="00913276"/>
    <w:rsid w:val="0091356E"/>
    <w:rsid w:val="00915F29"/>
    <w:rsid w:val="0092161A"/>
    <w:rsid w:val="009221DF"/>
    <w:rsid w:val="00922391"/>
    <w:rsid w:val="009224FD"/>
    <w:rsid w:val="00923FAD"/>
    <w:rsid w:val="009242DD"/>
    <w:rsid w:val="00924BCA"/>
    <w:rsid w:val="00926520"/>
    <w:rsid w:val="0093296C"/>
    <w:rsid w:val="00935CC7"/>
    <w:rsid w:val="0094002F"/>
    <w:rsid w:val="00940416"/>
    <w:rsid w:val="0094129D"/>
    <w:rsid w:val="0094231D"/>
    <w:rsid w:val="00942D4A"/>
    <w:rsid w:val="00944760"/>
    <w:rsid w:val="0094555D"/>
    <w:rsid w:val="00946A91"/>
    <w:rsid w:val="00946AE5"/>
    <w:rsid w:val="009476F8"/>
    <w:rsid w:val="00950865"/>
    <w:rsid w:val="00950DDB"/>
    <w:rsid w:val="00951B1F"/>
    <w:rsid w:val="00951BAD"/>
    <w:rsid w:val="0095223D"/>
    <w:rsid w:val="009526E4"/>
    <w:rsid w:val="00953AA1"/>
    <w:rsid w:val="00953FFC"/>
    <w:rsid w:val="00954B44"/>
    <w:rsid w:val="00955FC6"/>
    <w:rsid w:val="00960EF2"/>
    <w:rsid w:val="00964250"/>
    <w:rsid w:val="00966F57"/>
    <w:rsid w:val="009717A4"/>
    <w:rsid w:val="00973F5A"/>
    <w:rsid w:val="00974706"/>
    <w:rsid w:val="00975EB5"/>
    <w:rsid w:val="00976B8F"/>
    <w:rsid w:val="00980FD0"/>
    <w:rsid w:val="00983DC2"/>
    <w:rsid w:val="00983DF0"/>
    <w:rsid w:val="00990596"/>
    <w:rsid w:val="0099742A"/>
    <w:rsid w:val="00997867"/>
    <w:rsid w:val="009A0446"/>
    <w:rsid w:val="009A062C"/>
    <w:rsid w:val="009A309D"/>
    <w:rsid w:val="009A48AF"/>
    <w:rsid w:val="009A522D"/>
    <w:rsid w:val="009A7998"/>
    <w:rsid w:val="009B3F77"/>
    <w:rsid w:val="009B5132"/>
    <w:rsid w:val="009C166A"/>
    <w:rsid w:val="009C1CB6"/>
    <w:rsid w:val="009C28F1"/>
    <w:rsid w:val="009C33AE"/>
    <w:rsid w:val="009C6296"/>
    <w:rsid w:val="009C6A96"/>
    <w:rsid w:val="009C6FFB"/>
    <w:rsid w:val="009C7EF5"/>
    <w:rsid w:val="009D0C93"/>
    <w:rsid w:val="009D2FAC"/>
    <w:rsid w:val="009D35B6"/>
    <w:rsid w:val="009D3E3A"/>
    <w:rsid w:val="009D48E6"/>
    <w:rsid w:val="009E1311"/>
    <w:rsid w:val="009E151E"/>
    <w:rsid w:val="009E16F9"/>
    <w:rsid w:val="009E1EFD"/>
    <w:rsid w:val="009E2002"/>
    <w:rsid w:val="009E5DB6"/>
    <w:rsid w:val="009F0085"/>
    <w:rsid w:val="009F777E"/>
    <w:rsid w:val="009F7F52"/>
    <w:rsid w:val="00A0124B"/>
    <w:rsid w:val="00A0202C"/>
    <w:rsid w:val="00A0227E"/>
    <w:rsid w:val="00A0603F"/>
    <w:rsid w:val="00A075B8"/>
    <w:rsid w:val="00A112E6"/>
    <w:rsid w:val="00A1224A"/>
    <w:rsid w:val="00A14966"/>
    <w:rsid w:val="00A15940"/>
    <w:rsid w:val="00A15CAB"/>
    <w:rsid w:val="00A17CCB"/>
    <w:rsid w:val="00A211A9"/>
    <w:rsid w:val="00A22103"/>
    <w:rsid w:val="00A2343B"/>
    <w:rsid w:val="00A2422A"/>
    <w:rsid w:val="00A258D4"/>
    <w:rsid w:val="00A26CD4"/>
    <w:rsid w:val="00A26FC8"/>
    <w:rsid w:val="00A303A1"/>
    <w:rsid w:val="00A3234E"/>
    <w:rsid w:val="00A34080"/>
    <w:rsid w:val="00A36EA0"/>
    <w:rsid w:val="00A376E2"/>
    <w:rsid w:val="00A42386"/>
    <w:rsid w:val="00A459BA"/>
    <w:rsid w:val="00A50751"/>
    <w:rsid w:val="00A50E72"/>
    <w:rsid w:val="00A54BE7"/>
    <w:rsid w:val="00A564EB"/>
    <w:rsid w:val="00A56FA7"/>
    <w:rsid w:val="00A641C9"/>
    <w:rsid w:val="00A6500A"/>
    <w:rsid w:val="00A6719E"/>
    <w:rsid w:val="00A739F1"/>
    <w:rsid w:val="00A758DE"/>
    <w:rsid w:val="00A75D71"/>
    <w:rsid w:val="00A8189A"/>
    <w:rsid w:val="00A81EC4"/>
    <w:rsid w:val="00A8478F"/>
    <w:rsid w:val="00A858C4"/>
    <w:rsid w:val="00A90A97"/>
    <w:rsid w:val="00A9141E"/>
    <w:rsid w:val="00A97397"/>
    <w:rsid w:val="00A974CA"/>
    <w:rsid w:val="00AA01B2"/>
    <w:rsid w:val="00AA2CD5"/>
    <w:rsid w:val="00AA3BC8"/>
    <w:rsid w:val="00AA3D4B"/>
    <w:rsid w:val="00AA4F6C"/>
    <w:rsid w:val="00AB16AE"/>
    <w:rsid w:val="00AB19BF"/>
    <w:rsid w:val="00AB5773"/>
    <w:rsid w:val="00AB5801"/>
    <w:rsid w:val="00AB5A64"/>
    <w:rsid w:val="00AB6339"/>
    <w:rsid w:val="00AB6B78"/>
    <w:rsid w:val="00AB71A5"/>
    <w:rsid w:val="00AB75E7"/>
    <w:rsid w:val="00AB79E9"/>
    <w:rsid w:val="00AC6B92"/>
    <w:rsid w:val="00AD04F4"/>
    <w:rsid w:val="00AD4F86"/>
    <w:rsid w:val="00AD50E7"/>
    <w:rsid w:val="00AD576C"/>
    <w:rsid w:val="00AD670F"/>
    <w:rsid w:val="00AD6B23"/>
    <w:rsid w:val="00AD6C71"/>
    <w:rsid w:val="00AE1752"/>
    <w:rsid w:val="00AE1E4B"/>
    <w:rsid w:val="00AE1E54"/>
    <w:rsid w:val="00AE1FE4"/>
    <w:rsid w:val="00AE2394"/>
    <w:rsid w:val="00AE2AFD"/>
    <w:rsid w:val="00AE478A"/>
    <w:rsid w:val="00AE6D0F"/>
    <w:rsid w:val="00AE6FF8"/>
    <w:rsid w:val="00AF08B7"/>
    <w:rsid w:val="00AF0C8D"/>
    <w:rsid w:val="00AF1532"/>
    <w:rsid w:val="00AF26CF"/>
    <w:rsid w:val="00AF3129"/>
    <w:rsid w:val="00AF4133"/>
    <w:rsid w:val="00AF70FB"/>
    <w:rsid w:val="00B0053D"/>
    <w:rsid w:val="00B00778"/>
    <w:rsid w:val="00B04782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801"/>
    <w:rsid w:val="00B16F83"/>
    <w:rsid w:val="00B171BB"/>
    <w:rsid w:val="00B2247A"/>
    <w:rsid w:val="00B24C58"/>
    <w:rsid w:val="00B25E60"/>
    <w:rsid w:val="00B30B18"/>
    <w:rsid w:val="00B33046"/>
    <w:rsid w:val="00B3390B"/>
    <w:rsid w:val="00B34603"/>
    <w:rsid w:val="00B36551"/>
    <w:rsid w:val="00B36E9E"/>
    <w:rsid w:val="00B40E38"/>
    <w:rsid w:val="00B43FFB"/>
    <w:rsid w:val="00B44040"/>
    <w:rsid w:val="00B450AE"/>
    <w:rsid w:val="00B45605"/>
    <w:rsid w:val="00B45C9E"/>
    <w:rsid w:val="00B51ACE"/>
    <w:rsid w:val="00B57AFE"/>
    <w:rsid w:val="00B6193B"/>
    <w:rsid w:val="00B623D7"/>
    <w:rsid w:val="00B651AA"/>
    <w:rsid w:val="00B66E7A"/>
    <w:rsid w:val="00B71AA0"/>
    <w:rsid w:val="00B72FEB"/>
    <w:rsid w:val="00B74B67"/>
    <w:rsid w:val="00B76826"/>
    <w:rsid w:val="00B8096A"/>
    <w:rsid w:val="00B8167F"/>
    <w:rsid w:val="00B81F45"/>
    <w:rsid w:val="00B83868"/>
    <w:rsid w:val="00B84C7C"/>
    <w:rsid w:val="00B84DE2"/>
    <w:rsid w:val="00B859A2"/>
    <w:rsid w:val="00B91564"/>
    <w:rsid w:val="00B9206A"/>
    <w:rsid w:val="00B9279E"/>
    <w:rsid w:val="00BA0092"/>
    <w:rsid w:val="00BA1CFA"/>
    <w:rsid w:val="00BA2E2F"/>
    <w:rsid w:val="00BA4284"/>
    <w:rsid w:val="00BA4BEA"/>
    <w:rsid w:val="00BA5AE8"/>
    <w:rsid w:val="00BA7091"/>
    <w:rsid w:val="00BA7C3A"/>
    <w:rsid w:val="00BB28B9"/>
    <w:rsid w:val="00BB721C"/>
    <w:rsid w:val="00BC1029"/>
    <w:rsid w:val="00BC2720"/>
    <w:rsid w:val="00BC32C2"/>
    <w:rsid w:val="00BC4728"/>
    <w:rsid w:val="00BC4BF4"/>
    <w:rsid w:val="00BC60B3"/>
    <w:rsid w:val="00BC6610"/>
    <w:rsid w:val="00BD05BD"/>
    <w:rsid w:val="00BD205B"/>
    <w:rsid w:val="00BD5569"/>
    <w:rsid w:val="00BD570D"/>
    <w:rsid w:val="00BD7496"/>
    <w:rsid w:val="00BE042D"/>
    <w:rsid w:val="00BE2296"/>
    <w:rsid w:val="00BE257A"/>
    <w:rsid w:val="00BE4802"/>
    <w:rsid w:val="00BE7212"/>
    <w:rsid w:val="00BE7E14"/>
    <w:rsid w:val="00BF250F"/>
    <w:rsid w:val="00BF331F"/>
    <w:rsid w:val="00BF3617"/>
    <w:rsid w:val="00BF4ABA"/>
    <w:rsid w:val="00C00B90"/>
    <w:rsid w:val="00C053A4"/>
    <w:rsid w:val="00C05CC6"/>
    <w:rsid w:val="00C05D6B"/>
    <w:rsid w:val="00C068C7"/>
    <w:rsid w:val="00C069C7"/>
    <w:rsid w:val="00C073C2"/>
    <w:rsid w:val="00C1230E"/>
    <w:rsid w:val="00C12FA8"/>
    <w:rsid w:val="00C13331"/>
    <w:rsid w:val="00C15141"/>
    <w:rsid w:val="00C160F4"/>
    <w:rsid w:val="00C2120D"/>
    <w:rsid w:val="00C21475"/>
    <w:rsid w:val="00C215E7"/>
    <w:rsid w:val="00C233E9"/>
    <w:rsid w:val="00C26C5B"/>
    <w:rsid w:val="00C2711B"/>
    <w:rsid w:val="00C303B4"/>
    <w:rsid w:val="00C40C48"/>
    <w:rsid w:val="00C40EBC"/>
    <w:rsid w:val="00C4202E"/>
    <w:rsid w:val="00C42ACA"/>
    <w:rsid w:val="00C50D56"/>
    <w:rsid w:val="00C51308"/>
    <w:rsid w:val="00C539F8"/>
    <w:rsid w:val="00C53A47"/>
    <w:rsid w:val="00C54D38"/>
    <w:rsid w:val="00C57576"/>
    <w:rsid w:val="00C57BB9"/>
    <w:rsid w:val="00C606F6"/>
    <w:rsid w:val="00C6082E"/>
    <w:rsid w:val="00C612CE"/>
    <w:rsid w:val="00C61699"/>
    <w:rsid w:val="00C62B02"/>
    <w:rsid w:val="00C64908"/>
    <w:rsid w:val="00C705B5"/>
    <w:rsid w:val="00C7093C"/>
    <w:rsid w:val="00C71AC8"/>
    <w:rsid w:val="00C738BD"/>
    <w:rsid w:val="00C73A9F"/>
    <w:rsid w:val="00C75D40"/>
    <w:rsid w:val="00C83627"/>
    <w:rsid w:val="00C83A67"/>
    <w:rsid w:val="00C84479"/>
    <w:rsid w:val="00C85E44"/>
    <w:rsid w:val="00C91B3E"/>
    <w:rsid w:val="00C92F94"/>
    <w:rsid w:val="00C95D81"/>
    <w:rsid w:val="00C960AA"/>
    <w:rsid w:val="00CA069C"/>
    <w:rsid w:val="00CA06E9"/>
    <w:rsid w:val="00CA121E"/>
    <w:rsid w:val="00CA501D"/>
    <w:rsid w:val="00CA55C4"/>
    <w:rsid w:val="00CA5B94"/>
    <w:rsid w:val="00CA693A"/>
    <w:rsid w:val="00CA74B8"/>
    <w:rsid w:val="00CB1789"/>
    <w:rsid w:val="00CB1CB2"/>
    <w:rsid w:val="00CB3F79"/>
    <w:rsid w:val="00CB44C4"/>
    <w:rsid w:val="00CB47FE"/>
    <w:rsid w:val="00CB4D35"/>
    <w:rsid w:val="00CB4D8A"/>
    <w:rsid w:val="00CB5EF0"/>
    <w:rsid w:val="00CB73FC"/>
    <w:rsid w:val="00CB7BD6"/>
    <w:rsid w:val="00CC0B99"/>
    <w:rsid w:val="00CC1DCA"/>
    <w:rsid w:val="00CC39B1"/>
    <w:rsid w:val="00CD526B"/>
    <w:rsid w:val="00CD5B93"/>
    <w:rsid w:val="00CD64D1"/>
    <w:rsid w:val="00CD7039"/>
    <w:rsid w:val="00CD7114"/>
    <w:rsid w:val="00CE19E2"/>
    <w:rsid w:val="00CE21A9"/>
    <w:rsid w:val="00CE3B32"/>
    <w:rsid w:val="00CE3B9C"/>
    <w:rsid w:val="00CE5617"/>
    <w:rsid w:val="00CE6A08"/>
    <w:rsid w:val="00CE7C8C"/>
    <w:rsid w:val="00CF0826"/>
    <w:rsid w:val="00CF0D8A"/>
    <w:rsid w:val="00CF267F"/>
    <w:rsid w:val="00CF2ADD"/>
    <w:rsid w:val="00CF67B9"/>
    <w:rsid w:val="00CF7DA0"/>
    <w:rsid w:val="00D01B48"/>
    <w:rsid w:val="00D0312C"/>
    <w:rsid w:val="00D04614"/>
    <w:rsid w:val="00D050EF"/>
    <w:rsid w:val="00D1043B"/>
    <w:rsid w:val="00D129D3"/>
    <w:rsid w:val="00D15C52"/>
    <w:rsid w:val="00D1723F"/>
    <w:rsid w:val="00D20098"/>
    <w:rsid w:val="00D24D18"/>
    <w:rsid w:val="00D26B64"/>
    <w:rsid w:val="00D30AA4"/>
    <w:rsid w:val="00D30CE5"/>
    <w:rsid w:val="00D31625"/>
    <w:rsid w:val="00D3214E"/>
    <w:rsid w:val="00D32AAF"/>
    <w:rsid w:val="00D35E88"/>
    <w:rsid w:val="00D3674A"/>
    <w:rsid w:val="00D4085D"/>
    <w:rsid w:val="00D40EC3"/>
    <w:rsid w:val="00D43144"/>
    <w:rsid w:val="00D51386"/>
    <w:rsid w:val="00D52914"/>
    <w:rsid w:val="00D5485B"/>
    <w:rsid w:val="00D55591"/>
    <w:rsid w:val="00D57346"/>
    <w:rsid w:val="00D61911"/>
    <w:rsid w:val="00D625A7"/>
    <w:rsid w:val="00D677F9"/>
    <w:rsid w:val="00D729FA"/>
    <w:rsid w:val="00D7336A"/>
    <w:rsid w:val="00D73591"/>
    <w:rsid w:val="00D759CA"/>
    <w:rsid w:val="00D802FC"/>
    <w:rsid w:val="00D82E18"/>
    <w:rsid w:val="00D83D9E"/>
    <w:rsid w:val="00D8532B"/>
    <w:rsid w:val="00D85463"/>
    <w:rsid w:val="00D87759"/>
    <w:rsid w:val="00D90399"/>
    <w:rsid w:val="00D973A5"/>
    <w:rsid w:val="00DA54AF"/>
    <w:rsid w:val="00DA7233"/>
    <w:rsid w:val="00DB09CD"/>
    <w:rsid w:val="00DB4A35"/>
    <w:rsid w:val="00DB71E8"/>
    <w:rsid w:val="00DC034A"/>
    <w:rsid w:val="00DC0CE1"/>
    <w:rsid w:val="00DC45C4"/>
    <w:rsid w:val="00DC4D62"/>
    <w:rsid w:val="00DC50E5"/>
    <w:rsid w:val="00DD0FAA"/>
    <w:rsid w:val="00DE4A6C"/>
    <w:rsid w:val="00DE64C1"/>
    <w:rsid w:val="00DF26F0"/>
    <w:rsid w:val="00DF5BAB"/>
    <w:rsid w:val="00DF7BCD"/>
    <w:rsid w:val="00E01893"/>
    <w:rsid w:val="00E02D8B"/>
    <w:rsid w:val="00E03DEE"/>
    <w:rsid w:val="00E056CE"/>
    <w:rsid w:val="00E066CD"/>
    <w:rsid w:val="00E074A9"/>
    <w:rsid w:val="00E10555"/>
    <w:rsid w:val="00E14D91"/>
    <w:rsid w:val="00E166D7"/>
    <w:rsid w:val="00E16E0A"/>
    <w:rsid w:val="00E21771"/>
    <w:rsid w:val="00E220BC"/>
    <w:rsid w:val="00E25459"/>
    <w:rsid w:val="00E30DC7"/>
    <w:rsid w:val="00E31096"/>
    <w:rsid w:val="00E31CD0"/>
    <w:rsid w:val="00E33938"/>
    <w:rsid w:val="00E33F03"/>
    <w:rsid w:val="00E34880"/>
    <w:rsid w:val="00E351B0"/>
    <w:rsid w:val="00E354D8"/>
    <w:rsid w:val="00E3658A"/>
    <w:rsid w:val="00E3706A"/>
    <w:rsid w:val="00E3738B"/>
    <w:rsid w:val="00E37446"/>
    <w:rsid w:val="00E4099E"/>
    <w:rsid w:val="00E42C51"/>
    <w:rsid w:val="00E456AA"/>
    <w:rsid w:val="00E5201F"/>
    <w:rsid w:val="00E5365E"/>
    <w:rsid w:val="00E53EA7"/>
    <w:rsid w:val="00E579FF"/>
    <w:rsid w:val="00E57FCB"/>
    <w:rsid w:val="00E623E0"/>
    <w:rsid w:val="00E6312B"/>
    <w:rsid w:val="00E63912"/>
    <w:rsid w:val="00E652E7"/>
    <w:rsid w:val="00E6698B"/>
    <w:rsid w:val="00E676FD"/>
    <w:rsid w:val="00E7195E"/>
    <w:rsid w:val="00E72F4A"/>
    <w:rsid w:val="00E7316F"/>
    <w:rsid w:val="00E8067D"/>
    <w:rsid w:val="00E80693"/>
    <w:rsid w:val="00E82115"/>
    <w:rsid w:val="00E832FF"/>
    <w:rsid w:val="00E83448"/>
    <w:rsid w:val="00E848E3"/>
    <w:rsid w:val="00E86EBE"/>
    <w:rsid w:val="00E90C3D"/>
    <w:rsid w:val="00E92C8A"/>
    <w:rsid w:val="00E9346D"/>
    <w:rsid w:val="00E94B7B"/>
    <w:rsid w:val="00EA0A43"/>
    <w:rsid w:val="00EA21BF"/>
    <w:rsid w:val="00EA2D85"/>
    <w:rsid w:val="00EA314E"/>
    <w:rsid w:val="00EA3193"/>
    <w:rsid w:val="00EA32CF"/>
    <w:rsid w:val="00EA3556"/>
    <w:rsid w:val="00EA594C"/>
    <w:rsid w:val="00EA622E"/>
    <w:rsid w:val="00EA7313"/>
    <w:rsid w:val="00EB18CA"/>
    <w:rsid w:val="00EB2E8A"/>
    <w:rsid w:val="00EB3A8C"/>
    <w:rsid w:val="00EB4275"/>
    <w:rsid w:val="00EB6E34"/>
    <w:rsid w:val="00EB7EDA"/>
    <w:rsid w:val="00EC3E78"/>
    <w:rsid w:val="00EC5206"/>
    <w:rsid w:val="00EC5D22"/>
    <w:rsid w:val="00EC7936"/>
    <w:rsid w:val="00ED0175"/>
    <w:rsid w:val="00ED0AC8"/>
    <w:rsid w:val="00ED139E"/>
    <w:rsid w:val="00ED26BC"/>
    <w:rsid w:val="00ED4036"/>
    <w:rsid w:val="00ED6589"/>
    <w:rsid w:val="00EE041B"/>
    <w:rsid w:val="00EE235D"/>
    <w:rsid w:val="00EE3A79"/>
    <w:rsid w:val="00EE3CFB"/>
    <w:rsid w:val="00EE57AC"/>
    <w:rsid w:val="00EE74C4"/>
    <w:rsid w:val="00EE7D29"/>
    <w:rsid w:val="00EF52ED"/>
    <w:rsid w:val="00EF72D4"/>
    <w:rsid w:val="00F00807"/>
    <w:rsid w:val="00F00AA8"/>
    <w:rsid w:val="00F06783"/>
    <w:rsid w:val="00F10471"/>
    <w:rsid w:val="00F11A23"/>
    <w:rsid w:val="00F12ACD"/>
    <w:rsid w:val="00F16589"/>
    <w:rsid w:val="00F17379"/>
    <w:rsid w:val="00F20030"/>
    <w:rsid w:val="00F2068C"/>
    <w:rsid w:val="00F2140A"/>
    <w:rsid w:val="00F23B45"/>
    <w:rsid w:val="00F24478"/>
    <w:rsid w:val="00F24F70"/>
    <w:rsid w:val="00F2782E"/>
    <w:rsid w:val="00F3245D"/>
    <w:rsid w:val="00F34513"/>
    <w:rsid w:val="00F34E70"/>
    <w:rsid w:val="00F36B55"/>
    <w:rsid w:val="00F4377A"/>
    <w:rsid w:val="00F46237"/>
    <w:rsid w:val="00F47765"/>
    <w:rsid w:val="00F51C97"/>
    <w:rsid w:val="00F531F6"/>
    <w:rsid w:val="00F540C5"/>
    <w:rsid w:val="00F5476F"/>
    <w:rsid w:val="00F559EF"/>
    <w:rsid w:val="00F562DF"/>
    <w:rsid w:val="00F630A4"/>
    <w:rsid w:val="00F63DF8"/>
    <w:rsid w:val="00F6403E"/>
    <w:rsid w:val="00F679CB"/>
    <w:rsid w:val="00F72E93"/>
    <w:rsid w:val="00F755AE"/>
    <w:rsid w:val="00F75653"/>
    <w:rsid w:val="00F76C87"/>
    <w:rsid w:val="00F77637"/>
    <w:rsid w:val="00F807EE"/>
    <w:rsid w:val="00F8234A"/>
    <w:rsid w:val="00F8684A"/>
    <w:rsid w:val="00F91190"/>
    <w:rsid w:val="00F94682"/>
    <w:rsid w:val="00F94C3D"/>
    <w:rsid w:val="00F95373"/>
    <w:rsid w:val="00F9596F"/>
    <w:rsid w:val="00F95D26"/>
    <w:rsid w:val="00F979C5"/>
    <w:rsid w:val="00FA06E8"/>
    <w:rsid w:val="00FA0CBF"/>
    <w:rsid w:val="00FA0E45"/>
    <w:rsid w:val="00FA2EC0"/>
    <w:rsid w:val="00FA51A4"/>
    <w:rsid w:val="00FA64FD"/>
    <w:rsid w:val="00FA7551"/>
    <w:rsid w:val="00FB2958"/>
    <w:rsid w:val="00FB4200"/>
    <w:rsid w:val="00FB5750"/>
    <w:rsid w:val="00FB6A2E"/>
    <w:rsid w:val="00FC41E7"/>
    <w:rsid w:val="00FC6BDF"/>
    <w:rsid w:val="00FD090B"/>
    <w:rsid w:val="00FD4437"/>
    <w:rsid w:val="00FD5ED0"/>
    <w:rsid w:val="00FD78D7"/>
    <w:rsid w:val="00FE26A5"/>
    <w:rsid w:val="00FE7EF7"/>
    <w:rsid w:val="00FF12B7"/>
    <w:rsid w:val="00FF17A6"/>
    <w:rsid w:val="00FF1EF8"/>
    <w:rsid w:val="00FF5029"/>
    <w:rsid w:val="00FF678A"/>
    <w:rsid w:val="00FF6926"/>
    <w:rsid w:val="00FF6A80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845B0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2020FG-64-75243</_dlc_DocId>
    <_dlc_DocIdUrl xmlns="0f563589-9cf9-4143-b1eb-fb0534803d38">
      <Url>http://tweb/sites/fg/csrd/_layouts/15/DocIdRedir.aspx?ID=2020FG-64-75243</Url>
      <Description>2020FG-64-75243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334B-4F65-40B2-A4C9-0F28BFB5C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209DC9-C7D4-48E5-8717-1ACDCAD83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06902A-7D01-4D06-AB9F-FE76C0FCB75E}">
  <ds:schemaRefs>
    <ds:schemaRef ds:uri="http://www.w3.org/XML/1998/namespace"/>
    <ds:schemaRef ds:uri="http://schemas.microsoft.com/office/2006/metadata/properties"/>
    <ds:schemaRef ds:uri="http://schemas.microsoft.com/sharepoint/v4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544e5cc-ab70-42e1-849e-1a0f8bb1f4e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0BF627-6674-483C-9CFB-7EE521F85C96}"/>
</file>

<file path=customXml/itemProps5.xml><?xml version="1.0" encoding="utf-8"?>
<ds:datastoreItem xmlns:ds="http://schemas.openxmlformats.org/officeDocument/2006/customXml" ds:itemID="{D706C5E2-C727-4CDE-B627-FCF25CAD22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4A637A-5F8B-444B-B095-F788A4DFD56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7C345D7-8864-45B6-8094-38105FC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0</TotalTime>
  <Pages>4</Pages>
  <Words>722</Words>
  <Characters>4242</Characters>
  <Application>Microsoft Office Word</Application>
  <DocSecurity>4</DocSecurity>
  <Lines>212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agreements</vt:lpstr>
    </vt:vector>
  </TitlesOfParts>
  <Company>The Treasury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agreements</dc:title>
  <dc:creator>Shanyn Sparreboom, 2824</dc:creator>
  <cp:keywords>A</cp:keywords>
  <cp:lastModifiedBy>LEHOCZKY, Stephanie</cp:lastModifiedBy>
  <cp:revision>2</cp:revision>
  <cp:lastPrinted>2018-01-08T05:42:00Z</cp:lastPrinted>
  <dcterms:created xsi:type="dcterms:W3CDTF">2018-03-14T02:24:00Z</dcterms:created>
  <dcterms:modified xsi:type="dcterms:W3CDTF">2018-03-14T02:24:00Z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  <property fmtid="{D5CDD505-2E9C-101B-9397-08002B2CF9AE}" pid="9" name="ContentTypeId">
    <vt:lpwstr>0x010100348D01E61E107C4DA4B97E380EA20D47005CDF45B49E80F24CAD80DFC012154DA9</vt:lpwstr>
  </property>
  <property fmtid="{D5CDD505-2E9C-101B-9397-08002B2CF9AE}" pid="10" name="RecordPoint_ActiveItemUniqueId">
    <vt:lpwstr>{8117285e-0399-48a6-bd45-9a8f2b48d020}</vt:lpwstr>
  </property>
  <property fmtid="{D5CDD505-2E9C-101B-9397-08002B2CF9AE}" pid="11" name="RecordPoint_SubmissionCompleted">
    <vt:lpwstr>2020-06-12T18:07:36.9599494+10:00</vt:lpwstr>
  </property>
  <property fmtid="{D5CDD505-2E9C-101B-9397-08002B2CF9AE}" pid="12" name="TSYRecordClass">
    <vt:lpwstr>2;#TSY RA-8748 - Retain as national archives|243f2231-dbfc-4282-b24a-c9b768286bd0</vt:lpwstr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8117285e-0399-48a6-bd45-9a8f2b48d020</vt:lpwstr>
  </property>
  <property fmtid="{D5CDD505-2E9C-101B-9397-08002B2CF9AE}" pid="15" name="RecordPoint_ActiveItemListId">
    <vt:lpwstr>{4435c73b-6585-4bc2-a76a-5d21b1a02e06}</vt:lpwstr>
  </property>
  <property fmtid="{D5CDD505-2E9C-101B-9397-08002B2CF9AE}" pid="16" name="RecordPoint_ActiveItemWebId">
    <vt:lpwstr>{a4589788-615f-4b8b-8296-7f9f6dfbab44}</vt:lpwstr>
  </property>
  <property fmtid="{D5CDD505-2E9C-101B-9397-08002B2CF9AE}" pid="17" name="RecordPoint_ActiveItemSiteId">
    <vt:lpwstr>{a3a280d1-e8f1-4ce7-94f0-aaa2322da0dd}</vt:lpwstr>
  </property>
  <property fmtid="{D5CDD505-2E9C-101B-9397-08002B2CF9AE}" pid="18" name="RecordPoint_RecordNumberSubmitted">
    <vt:lpwstr>R0002277563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AdHocReviewCycleID">
    <vt:i4>237024306</vt:i4>
  </property>
  <property fmtid="{D5CDD505-2E9C-101B-9397-08002B2CF9AE}" pid="23" name="_EmailSubject">
    <vt:lpwstr>Bilateral Schedules [SEC=UNCLASSIFIED]</vt:lpwstr>
  </property>
  <property fmtid="{D5CDD505-2E9C-101B-9397-08002B2CF9AE}" pid="24" name="_AuthorEmail">
    <vt:lpwstr>Katrina.Gardiner@TREASURY.GOV.AU</vt:lpwstr>
  </property>
  <property fmtid="{D5CDD505-2E9C-101B-9397-08002B2CF9AE}" pid="25" name="_AuthorEmailDisplayName">
    <vt:lpwstr>Gardiner, Katrina</vt:lpwstr>
  </property>
  <property fmtid="{D5CDD505-2E9C-101B-9397-08002B2CF9AE}" pid="26" name="_ReviewingToolsShownOnce">
    <vt:lpwstr/>
  </property>
</Properties>
</file>