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28D8" w14:textId="31992954" w:rsidR="006342B5" w:rsidRDefault="004B475B" w:rsidP="00F91190">
      <w:pPr>
        <w:pStyle w:val="Title"/>
      </w:pPr>
      <w:r>
        <w:t>Tasmania</w:t>
      </w:r>
    </w:p>
    <w:p w14:paraId="30E29813" w14:textId="77777777" w:rsidR="00F91190" w:rsidRPr="00F91190" w:rsidRDefault="00F91190" w:rsidP="00F91190">
      <w:pPr>
        <w:pStyle w:val="Subtitle"/>
      </w:pPr>
      <w:r>
        <w:t>Project agreement for ENCOURA</w:t>
      </w:r>
      <w:r w:rsidR="001F3F1D">
        <w:t>G</w:t>
      </w:r>
      <w:r>
        <w:t>ING MORE CLINICAL TRIALS IN AUSTRALIA</w:t>
      </w:r>
    </w:p>
    <w:p w14:paraId="7FF0CDD1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>PART 1: PRELIMINARIES</w:t>
      </w:r>
    </w:p>
    <w:p w14:paraId="5414BE9D" w14:textId="77777777" w:rsidR="00F91190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B82557">
        <w:t xml:space="preserve">This </w:t>
      </w:r>
      <w:r>
        <w:t>Sch</w:t>
      </w:r>
      <w:r w:rsidRPr="00B82557">
        <w:t>ed</w:t>
      </w:r>
      <w:r>
        <w:t xml:space="preserve">ule </w:t>
      </w:r>
      <w:r w:rsidR="005B2C86" w:rsidRPr="00B82557">
        <w:t xml:space="preserve">has been developed </w:t>
      </w:r>
      <w:r w:rsidR="005B2C86">
        <w:t>in accordance with</w:t>
      </w:r>
      <w:r w:rsidR="005B2C86" w:rsidRPr="00B82557">
        <w:t xml:space="preserve"> </w:t>
      </w:r>
      <w:r w:rsidR="005B2C86">
        <w:t>clause</w:t>
      </w:r>
      <w:r w:rsidR="005B2C86" w:rsidRPr="00B82557">
        <w:t xml:space="preserve"> </w:t>
      </w:r>
      <w:r w:rsidR="005B2C86">
        <w:t>12(a)</w:t>
      </w:r>
      <w:r w:rsidR="005B2C86" w:rsidRPr="00B82557">
        <w:t xml:space="preserve"> of the</w:t>
      </w:r>
      <w:r w:rsidR="005B2C86">
        <w:t xml:space="preserve"> Project Agreement for Encouraging More Clinical Trials in Australia and</w:t>
      </w:r>
      <w:r>
        <w:t xml:space="preserve"> </w:t>
      </w:r>
      <w:r w:rsidRPr="00B82557">
        <w:t>should be read in conju</w:t>
      </w:r>
      <w:r w:rsidR="005B2C86">
        <w:t>nction with that Agreement.</w:t>
      </w:r>
    </w:p>
    <w:p w14:paraId="3AE17842" w14:textId="4BF93E67" w:rsidR="00F91190" w:rsidRPr="00EA3664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EA3664">
        <w:t>This Schedule will commence as soon as it is agreed between the Commonwealth and</w:t>
      </w:r>
      <w:r>
        <w:t xml:space="preserve"> </w:t>
      </w:r>
      <w:r w:rsidR="004C17C3">
        <w:t>Tasmania</w:t>
      </w:r>
      <w:r w:rsidR="0004601D">
        <w:t xml:space="preserve"> </w:t>
      </w:r>
      <w:r>
        <w:t>and expire</w:t>
      </w:r>
      <w:r w:rsidR="004505CB">
        <w:t>s</w:t>
      </w:r>
      <w:r>
        <w:t xml:space="preserve"> on 30 June 2021</w:t>
      </w:r>
      <w:r w:rsidRPr="00B572B0">
        <w:t xml:space="preserve"> or on completion of the project whichever is earlier, including final performance reporting and processing of final payments against milestones</w:t>
      </w:r>
      <w:r w:rsidRPr="00EA3664">
        <w:t>.</w:t>
      </w:r>
    </w:p>
    <w:p w14:paraId="76CF530A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 xml:space="preserve">PART </w:t>
      </w:r>
      <w:r w:rsidR="005B2C86">
        <w:t>2</w:t>
      </w:r>
      <w:r w:rsidRPr="00216E26">
        <w:t>: PROJECT MILESTONES, REPORTING AND PAYMENTS</w:t>
      </w:r>
    </w:p>
    <w:p w14:paraId="0AB1A963" w14:textId="51881B9E" w:rsidR="00F91190" w:rsidRPr="000C1D1B" w:rsidRDefault="00960EF2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3E19C4">
        <w:rPr>
          <w:color w:val="auto"/>
        </w:rPr>
        <w:t xml:space="preserve">In accordance with clause 12 of the Agreement, the Commonwealth and </w:t>
      </w:r>
      <w:r w:rsidR="004C17C3">
        <w:rPr>
          <w:color w:val="auto"/>
        </w:rPr>
        <w:t>T</w:t>
      </w:r>
      <w:r w:rsidR="00884790">
        <w:rPr>
          <w:color w:val="auto"/>
        </w:rPr>
        <w:t>asmania</w:t>
      </w:r>
      <w:bookmarkStart w:id="0" w:name="_GoBack"/>
      <w:bookmarkEnd w:id="0"/>
      <w:r w:rsidR="004505CB">
        <w:rPr>
          <w:color w:val="auto"/>
        </w:rPr>
        <w:t xml:space="preserve"> </w:t>
      </w:r>
      <w:r w:rsidRPr="00F91190">
        <w:t>have</w:t>
      </w:r>
      <w:r w:rsidRPr="003E19C4">
        <w:rPr>
          <w:color w:val="auto"/>
        </w:rPr>
        <w:t xml:space="preserve"> agreed a Project Plan that sets out </w:t>
      </w:r>
      <w:r w:rsidR="00E42B8D">
        <w:t>Tasmania</w:t>
      </w:r>
      <w:r w:rsidRPr="003E19C4">
        <w:rPr>
          <w:color w:val="auto"/>
        </w:rPr>
        <w:t xml:space="preserve">’s strategy for delivering on the outputs of </w:t>
      </w:r>
      <w:r w:rsidR="005B2C86">
        <w:rPr>
          <w:color w:val="auto"/>
        </w:rPr>
        <w:t>the</w:t>
      </w:r>
      <w:r w:rsidRPr="003E19C4">
        <w:rPr>
          <w:color w:val="auto"/>
        </w:rPr>
        <w:t xml:space="preserve"> </w:t>
      </w:r>
      <w:r w:rsidRPr="000C1D1B">
        <w:rPr>
          <w:color w:val="auto"/>
        </w:rPr>
        <w:t>Agreement.</w:t>
      </w:r>
    </w:p>
    <w:p w14:paraId="5CBBED17" w14:textId="13FBB285" w:rsidR="00517E81" w:rsidRPr="00574139" w:rsidRDefault="00960EF2" w:rsidP="00517E81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0C1D1B">
        <w:rPr>
          <w:color w:val="auto"/>
        </w:rPr>
        <w:t xml:space="preserve">Consistent with the agreed Project Plan, </w:t>
      </w:r>
      <w:r w:rsidR="00E42B8D">
        <w:t xml:space="preserve">Tasmania </w:t>
      </w:r>
      <w:r w:rsidR="00517E81">
        <w:rPr>
          <w:color w:val="auto"/>
        </w:rPr>
        <w:t xml:space="preserve">will </w:t>
      </w:r>
      <w:r w:rsidR="004505CB" w:rsidRPr="00574139">
        <w:rPr>
          <w:color w:val="auto"/>
        </w:rPr>
        <w:t>e</w:t>
      </w:r>
      <w:r w:rsidR="00574139" w:rsidRPr="00574139">
        <w:rPr>
          <w:color w:val="auto"/>
        </w:rPr>
        <w:t xml:space="preserve">stablish and embed a state-wide Research Governance Office (RGO) </w:t>
      </w:r>
      <w:r w:rsidR="00C772C7">
        <w:rPr>
          <w:color w:val="auto"/>
        </w:rPr>
        <w:t xml:space="preserve">within the Department of Health and Human Services (DHHS) </w:t>
      </w:r>
      <w:r w:rsidR="00517E81" w:rsidRPr="00574139">
        <w:rPr>
          <w:color w:val="auto"/>
        </w:rPr>
        <w:t>that will:</w:t>
      </w:r>
    </w:p>
    <w:p w14:paraId="3083790D" w14:textId="0DA579D1" w:rsidR="00517E81" w:rsidRPr="00574139" w:rsidRDefault="00574139" w:rsidP="00517E81">
      <w:pPr>
        <w:pStyle w:val="Normalnumbered"/>
        <w:numPr>
          <w:ilvl w:val="0"/>
          <w:numId w:val="41"/>
        </w:numPr>
        <w:jc w:val="left"/>
        <w:rPr>
          <w:color w:val="auto"/>
        </w:rPr>
      </w:pPr>
      <w:r w:rsidRPr="00574139">
        <w:rPr>
          <w:color w:val="auto"/>
        </w:rPr>
        <w:t>function as a central point of contact for sponsors, researchers, participants, research institutes and other stakeholders</w:t>
      </w:r>
      <w:r w:rsidR="00E42B8D">
        <w:rPr>
          <w:color w:val="auto"/>
        </w:rPr>
        <w:t xml:space="preserve"> supported by a Research Governance Framework and communication strategy</w:t>
      </w:r>
      <w:r w:rsidRPr="00574139">
        <w:rPr>
          <w:color w:val="auto"/>
        </w:rPr>
        <w:t>;</w:t>
      </w:r>
    </w:p>
    <w:p w14:paraId="3EC7BE91" w14:textId="6B80721B" w:rsidR="004505CB" w:rsidRPr="00574139" w:rsidRDefault="00574139" w:rsidP="00517E81">
      <w:pPr>
        <w:pStyle w:val="Normalnumbered"/>
        <w:numPr>
          <w:ilvl w:val="0"/>
          <w:numId w:val="41"/>
        </w:numPr>
        <w:jc w:val="left"/>
        <w:rPr>
          <w:color w:val="auto"/>
        </w:rPr>
      </w:pPr>
      <w:r w:rsidRPr="00574139">
        <w:rPr>
          <w:color w:val="auto"/>
        </w:rPr>
        <w:t>build on Tasmania’s existing single ethical review process</w:t>
      </w:r>
      <w:r>
        <w:rPr>
          <w:color w:val="auto"/>
        </w:rPr>
        <w:t>, and leverage off work that other jurisdictions have already undertaken,</w:t>
      </w:r>
      <w:r w:rsidRPr="00574139">
        <w:rPr>
          <w:color w:val="auto"/>
        </w:rPr>
        <w:t xml:space="preserve"> to develop a single system-wide Research </w:t>
      </w:r>
      <w:r w:rsidR="000E056F">
        <w:rPr>
          <w:color w:val="auto"/>
        </w:rPr>
        <w:t>Strategy</w:t>
      </w:r>
      <w:r w:rsidRPr="00574139">
        <w:rPr>
          <w:color w:val="auto"/>
        </w:rPr>
        <w:t xml:space="preserve"> </w:t>
      </w:r>
      <w:r w:rsidR="000E056F">
        <w:rPr>
          <w:color w:val="auto"/>
        </w:rPr>
        <w:t>and i</w:t>
      </w:r>
      <w:r w:rsidRPr="00574139">
        <w:rPr>
          <w:color w:val="auto"/>
        </w:rPr>
        <w:t>ntroduce unified processes across the state to improve system navigation, cohesion, streamlining and capacity</w:t>
      </w:r>
      <w:r w:rsidR="00177FD1" w:rsidRPr="00574139">
        <w:rPr>
          <w:color w:val="auto"/>
        </w:rPr>
        <w:t>;</w:t>
      </w:r>
    </w:p>
    <w:p w14:paraId="62014993" w14:textId="1D9E6BCF" w:rsidR="008D0231" w:rsidRPr="008D0231" w:rsidRDefault="008D0231" w:rsidP="008D0231">
      <w:pPr>
        <w:pStyle w:val="Default"/>
        <w:numPr>
          <w:ilvl w:val="0"/>
          <w:numId w:val="41"/>
        </w:numPr>
        <w:rPr>
          <w:color w:val="FF0000"/>
        </w:rPr>
      </w:pPr>
      <w:r w:rsidRPr="00193F0A">
        <w:rPr>
          <w:sz w:val="23"/>
          <w:szCs w:val="23"/>
        </w:rPr>
        <w:t>develop and implement a state-wide Information and Communication Technology (ICT) platform that will enhance clinical trial data, provide research governance management and external reporting, and support efficient translation of research outcomes into practice improvement</w:t>
      </w:r>
      <w:r>
        <w:rPr>
          <w:sz w:val="23"/>
          <w:szCs w:val="23"/>
        </w:rPr>
        <w:t>; and</w:t>
      </w:r>
    </w:p>
    <w:p w14:paraId="01DE20E3" w14:textId="77777777" w:rsidR="008D0231" w:rsidRPr="00193F0A" w:rsidRDefault="008D0231" w:rsidP="008D0231">
      <w:pPr>
        <w:pStyle w:val="Default"/>
        <w:ind w:left="927"/>
        <w:rPr>
          <w:color w:val="FF0000"/>
        </w:rPr>
      </w:pPr>
    </w:p>
    <w:p w14:paraId="66FC7303" w14:textId="54F9422B" w:rsidR="00193F0A" w:rsidRPr="008D0231" w:rsidRDefault="004505CB" w:rsidP="00193F0A">
      <w:pPr>
        <w:pStyle w:val="Normalnumbered"/>
        <w:numPr>
          <w:ilvl w:val="0"/>
          <w:numId w:val="41"/>
        </w:numPr>
        <w:jc w:val="left"/>
        <w:rPr>
          <w:color w:val="FF0000"/>
        </w:rPr>
      </w:pPr>
      <w:proofErr w:type="gramStart"/>
      <w:r w:rsidRPr="008D0231">
        <w:rPr>
          <w:color w:val="auto"/>
        </w:rPr>
        <w:t>establish</w:t>
      </w:r>
      <w:proofErr w:type="gramEnd"/>
      <w:r w:rsidRPr="008D0231">
        <w:rPr>
          <w:color w:val="auto"/>
        </w:rPr>
        <w:t xml:space="preserve"> </w:t>
      </w:r>
      <w:r w:rsidR="00574139" w:rsidRPr="008D0231">
        <w:rPr>
          <w:color w:val="auto"/>
        </w:rPr>
        <w:t xml:space="preserve">strategic linkages with </w:t>
      </w:r>
      <w:r w:rsidR="00C772C7" w:rsidRPr="008D0231">
        <w:rPr>
          <w:color w:val="auto"/>
        </w:rPr>
        <w:t xml:space="preserve">Ambulance Tasmania, the Tasmania Health Service (THS), the University of Tasmania (UTAS), </w:t>
      </w:r>
      <w:r w:rsidR="00574139" w:rsidRPr="008D0231">
        <w:rPr>
          <w:color w:val="auto"/>
        </w:rPr>
        <w:t>the Menzies Institute for Medical Research, the Clifford Craig Research Foundation</w:t>
      </w:r>
      <w:r w:rsidR="00C772C7" w:rsidRPr="008D0231">
        <w:rPr>
          <w:color w:val="auto"/>
        </w:rPr>
        <w:t xml:space="preserve"> and the Royal Hobart Hospital Research Foundation</w:t>
      </w:r>
      <w:r w:rsidR="008D0231" w:rsidRPr="008D0231">
        <w:rPr>
          <w:color w:val="auto"/>
        </w:rPr>
        <w:t>.</w:t>
      </w:r>
    </w:p>
    <w:p w14:paraId="31289E80" w14:textId="77777777" w:rsidR="00172858" w:rsidRPr="000C1D1B" w:rsidRDefault="00172858" w:rsidP="000C1D1B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67"/>
        <w:rPr>
          <w:color w:val="auto"/>
        </w:rPr>
      </w:pPr>
      <w:r w:rsidRPr="000C1D1B">
        <w:rPr>
          <w:color w:val="auto"/>
        </w:rPr>
        <w:t xml:space="preserve">In accordance with </w:t>
      </w:r>
      <w:r w:rsidR="00960EF2" w:rsidRPr="000C1D1B">
        <w:rPr>
          <w:color w:val="auto"/>
        </w:rPr>
        <w:t xml:space="preserve">clause </w:t>
      </w:r>
      <w:r w:rsidR="00B34603" w:rsidRPr="000C1D1B">
        <w:rPr>
          <w:color w:val="auto"/>
        </w:rPr>
        <w:t xml:space="preserve">8 and </w:t>
      </w:r>
      <w:r w:rsidRPr="000C1D1B">
        <w:rPr>
          <w:color w:val="auto"/>
        </w:rPr>
        <w:t>1</w:t>
      </w:r>
      <w:r w:rsidR="00B34603" w:rsidRPr="000C1D1B">
        <w:rPr>
          <w:color w:val="auto"/>
        </w:rPr>
        <w:t>5</w:t>
      </w:r>
      <w:r w:rsidRPr="000C1D1B">
        <w:rPr>
          <w:color w:val="auto"/>
        </w:rPr>
        <w:t xml:space="preserve"> of the Agreement, milestones, their relationship to outputs, expected completion dates, relevant reporting dates and expected payments are set out in Table 1.</w:t>
      </w:r>
    </w:p>
    <w:p w14:paraId="7E55730E" w14:textId="77777777" w:rsidR="00CA74B8" w:rsidRPr="0004601D" w:rsidRDefault="00CA74B8" w:rsidP="00CA74B8">
      <w:pPr>
        <w:spacing w:after="0" w:line="240" w:lineRule="auto"/>
        <w:jc w:val="left"/>
        <w:rPr>
          <w:b/>
          <w:color w:val="FF0000"/>
        </w:rPr>
        <w:sectPr w:rsidR="00CA74B8" w:rsidRPr="0004601D" w:rsidSect="00EE235D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2F2BE922" w14:textId="77777777" w:rsidR="00172858" w:rsidRPr="00A77DCF" w:rsidRDefault="00172858" w:rsidP="00464FDF">
      <w:pPr>
        <w:spacing w:after="120" w:line="240" w:lineRule="auto"/>
        <w:jc w:val="left"/>
        <w:rPr>
          <w:b/>
          <w:color w:val="auto"/>
        </w:rPr>
      </w:pPr>
      <w:r w:rsidRPr="00A77DCF">
        <w:rPr>
          <w:b/>
          <w:color w:val="auto"/>
        </w:rPr>
        <w:lastRenderedPageBreak/>
        <w:t>Table 1: Milestones, reporting and payment summary</w:t>
      </w:r>
    </w:p>
    <w:tbl>
      <w:tblPr>
        <w:tblW w:w="14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127"/>
        <w:gridCol w:w="1985"/>
        <w:gridCol w:w="1701"/>
        <w:gridCol w:w="1701"/>
      </w:tblGrid>
      <w:tr w:rsidR="00A77DCF" w:rsidRPr="00A77DCF" w14:paraId="6FC0E4AD" w14:textId="77777777" w:rsidTr="000D17C9">
        <w:trPr>
          <w:tblHeader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429B795F" w14:textId="77777777" w:rsidR="000D17C9" w:rsidRPr="00A77DCF" w:rsidRDefault="000D17C9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strike/>
                <w:color w:val="auto"/>
                <w:sz w:val="23"/>
                <w:szCs w:val="23"/>
              </w:rPr>
            </w:pPr>
            <w:r w:rsidRPr="00A77DCF">
              <w:rPr>
                <w:bCs w:val="0"/>
                <w:color w:val="auto"/>
                <w:sz w:val="23"/>
                <w:szCs w:val="23"/>
              </w:rPr>
              <w:t>Outputs</w:t>
            </w:r>
          </w:p>
        </w:tc>
        <w:tc>
          <w:tcPr>
            <w:tcW w:w="878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18BF7F1" w14:textId="77777777" w:rsidR="000D17C9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Milestones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1B3CEDD" w14:textId="77777777" w:rsidR="000D17C9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Report</w:t>
            </w:r>
            <w:r w:rsidR="00EE235D" w:rsidRPr="00A77DCF">
              <w:rPr>
                <w:b/>
                <w:color w:val="auto"/>
                <w:szCs w:val="23"/>
              </w:rPr>
              <w:t>s</w:t>
            </w:r>
            <w:r w:rsidRPr="00A77DCF">
              <w:rPr>
                <w:b/>
                <w:color w:val="auto"/>
                <w:szCs w:val="23"/>
              </w:rPr>
              <w:t xml:space="preserve"> due</w:t>
            </w:r>
          </w:p>
          <w:p w14:paraId="7A13C6DA" w14:textId="77777777" w:rsidR="000D17C9" w:rsidRPr="00A77DCF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3C09FD7" w14:textId="77777777" w:rsidR="000D17C9" w:rsidRPr="00A77DCF" w:rsidRDefault="000D17C9" w:rsidP="000D17C9">
            <w:pPr>
              <w:spacing w:after="0" w:line="240" w:lineRule="auto"/>
              <w:jc w:val="center"/>
              <w:rPr>
                <w:color w:val="auto"/>
              </w:rPr>
            </w:pPr>
            <w:r w:rsidRPr="00A77DCF">
              <w:rPr>
                <w:b/>
                <w:bCs/>
                <w:iCs/>
                <w:color w:val="auto"/>
                <w:szCs w:val="23"/>
              </w:rPr>
              <w:t>Payment</w:t>
            </w:r>
            <w:r w:rsidR="00EE235D" w:rsidRPr="00A77DCF">
              <w:rPr>
                <w:b/>
                <w:bCs/>
                <w:iCs/>
                <w:color w:val="auto"/>
                <w:szCs w:val="23"/>
              </w:rPr>
              <w:t>s</w:t>
            </w:r>
          </w:p>
        </w:tc>
      </w:tr>
      <w:tr w:rsidR="00A77DCF" w:rsidRPr="00A77DCF" w14:paraId="30D79BE1" w14:textId="77777777" w:rsidTr="000D17C9">
        <w:trPr>
          <w:tblHeader/>
        </w:trPr>
        <w:tc>
          <w:tcPr>
            <w:tcW w:w="223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611BE6D" w14:textId="77777777" w:rsidR="00CA74B8" w:rsidRPr="00A77DCF" w:rsidRDefault="00CA74B8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1C345ED" w14:textId="77777777" w:rsidR="00CA74B8" w:rsidRPr="00A77DCF" w:rsidRDefault="000D17C9" w:rsidP="000D17C9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jc w:val="center"/>
              <w:rPr>
                <w:bCs w:val="0"/>
                <w:color w:val="auto"/>
                <w:sz w:val="23"/>
                <w:szCs w:val="23"/>
              </w:rPr>
            </w:pPr>
            <w:r w:rsidRPr="00A77DCF">
              <w:rPr>
                <w:bCs w:val="0"/>
                <w:color w:val="auto"/>
                <w:sz w:val="23"/>
                <w:szCs w:val="23"/>
              </w:rPr>
              <w:t>2017-18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B5E3EE9" w14:textId="77777777" w:rsidR="00CA74B8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2018-19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9A031C3" w14:textId="77777777" w:rsidR="00CA74B8" w:rsidRPr="00A77DCF" w:rsidRDefault="000D17C9" w:rsidP="000D17C9">
            <w:pPr>
              <w:spacing w:after="0"/>
              <w:jc w:val="center"/>
              <w:rPr>
                <w:b/>
                <w:bCs/>
                <w:iCs/>
                <w:color w:val="auto"/>
                <w:szCs w:val="23"/>
              </w:rPr>
            </w:pPr>
            <w:r w:rsidRPr="00A77DCF">
              <w:rPr>
                <w:b/>
                <w:bCs/>
                <w:iCs/>
                <w:color w:val="auto"/>
                <w:szCs w:val="23"/>
              </w:rPr>
              <w:t>2o19-20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1A1CA67" w14:textId="77777777" w:rsidR="00CA74B8" w:rsidRPr="00A77DCF" w:rsidRDefault="000D17C9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  <w:r w:rsidRPr="00A77DCF">
              <w:rPr>
                <w:b/>
                <w:color w:val="auto"/>
                <w:szCs w:val="23"/>
              </w:rPr>
              <w:t>2020-21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6DE8C9D" w14:textId="77777777" w:rsidR="00CA74B8" w:rsidRPr="00A77DCF" w:rsidRDefault="00CA74B8" w:rsidP="000D17C9">
            <w:pPr>
              <w:spacing w:after="0"/>
              <w:jc w:val="center"/>
              <w:rPr>
                <w:b/>
                <w:color w:val="auto"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2C5298C" w14:textId="77777777" w:rsidR="00CA74B8" w:rsidRPr="00A77DCF" w:rsidRDefault="00CA74B8" w:rsidP="000D17C9">
            <w:pPr>
              <w:spacing w:after="0" w:line="240" w:lineRule="auto"/>
              <w:jc w:val="center"/>
              <w:rPr>
                <w:b/>
                <w:bCs/>
                <w:iCs/>
                <w:color w:val="auto"/>
                <w:szCs w:val="23"/>
              </w:rPr>
            </w:pPr>
          </w:p>
        </w:tc>
      </w:tr>
      <w:tr w:rsidR="00EF01A4" w:rsidRPr="0004601D" w14:paraId="377DA20D" w14:textId="77777777" w:rsidTr="00450B63">
        <w:trPr>
          <w:trHeight w:val="4265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A83CD2B" w14:textId="6BB2D5D0" w:rsidR="00EF01A4" w:rsidRPr="0004601D" w:rsidRDefault="00AD5065" w:rsidP="00AD5065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Establish new and enhanced central coordination unit in accordance with clause 8(a)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FFDCBB" w14:textId="415DC5C2" w:rsidR="003F25B0" w:rsidRPr="008F551F" w:rsidRDefault="008F551F" w:rsidP="008F551F">
            <w:pPr>
              <w:spacing w:after="0"/>
              <w:jc w:val="left"/>
              <w:rPr>
                <w:color w:val="auto"/>
                <w:sz w:val="20"/>
              </w:rPr>
            </w:pPr>
            <w:r w:rsidRPr="008F551F">
              <w:rPr>
                <w:color w:val="auto"/>
                <w:sz w:val="20"/>
              </w:rPr>
              <w:t xml:space="preserve">Complete a scoping analysis </w:t>
            </w:r>
            <w:r w:rsidR="008F4D3A">
              <w:rPr>
                <w:color w:val="auto"/>
                <w:sz w:val="20"/>
              </w:rPr>
              <w:t xml:space="preserve">of current stakeholders and activities </w:t>
            </w:r>
            <w:r w:rsidRPr="008F551F">
              <w:rPr>
                <w:color w:val="auto"/>
                <w:sz w:val="20"/>
              </w:rPr>
              <w:t>to inform e</w:t>
            </w:r>
            <w:r w:rsidR="003F25B0" w:rsidRPr="008F551F">
              <w:rPr>
                <w:color w:val="auto"/>
                <w:sz w:val="20"/>
              </w:rPr>
              <w:t>stablish</w:t>
            </w:r>
            <w:r w:rsidRPr="008F551F">
              <w:rPr>
                <w:color w:val="auto"/>
                <w:sz w:val="20"/>
              </w:rPr>
              <w:t>ment</w:t>
            </w:r>
            <w:r w:rsidR="003F25B0" w:rsidRPr="008F551F">
              <w:rPr>
                <w:color w:val="auto"/>
                <w:sz w:val="20"/>
              </w:rPr>
              <w:t xml:space="preserve"> </w:t>
            </w:r>
            <w:r w:rsidRPr="008F551F">
              <w:rPr>
                <w:color w:val="auto"/>
                <w:sz w:val="20"/>
              </w:rPr>
              <w:t>of</w:t>
            </w:r>
            <w:r w:rsidR="00C077E0" w:rsidRPr="008F551F">
              <w:rPr>
                <w:color w:val="auto"/>
                <w:sz w:val="20"/>
              </w:rPr>
              <w:t xml:space="preserve"> </w:t>
            </w:r>
            <w:r w:rsidR="003F25B0" w:rsidRPr="008F551F">
              <w:rPr>
                <w:color w:val="auto"/>
                <w:sz w:val="20"/>
              </w:rPr>
              <w:t xml:space="preserve">the state-wide Research Governance Office (RGO) </w:t>
            </w:r>
            <w:r w:rsidR="00CB0391" w:rsidRPr="008F551F">
              <w:rPr>
                <w:color w:val="auto"/>
                <w:sz w:val="20"/>
              </w:rPr>
              <w:t>in</w:t>
            </w:r>
            <w:r w:rsidR="003F25B0" w:rsidRPr="008F551F">
              <w:rPr>
                <w:color w:val="auto"/>
                <w:sz w:val="20"/>
              </w:rPr>
              <w:t xml:space="preserve"> the</w:t>
            </w:r>
            <w:r w:rsidR="00C077E0" w:rsidRPr="008F551F">
              <w:rPr>
                <w:color w:val="auto"/>
                <w:sz w:val="20"/>
              </w:rPr>
              <w:t xml:space="preserve"> </w:t>
            </w:r>
            <w:r w:rsidR="005B76D7" w:rsidRPr="008F551F">
              <w:rPr>
                <w:color w:val="auto"/>
                <w:sz w:val="20"/>
              </w:rPr>
              <w:t xml:space="preserve">Department of Health and Human Services (DHHS) </w:t>
            </w:r>
            <w:r w:rsidR="00C077E0" w:rsidRPr="008F551F">
              <w:rPr>
                <w:color w:val="auto"/>
                <w:sz w:val="20"/>
              </w:rPr>
              <w:t>as a central point of contact for all clinical trial sponsors, researchers, coordinators and participants entering TAS.</w:t>
            </w:r>
          </w:p>
          <w:p w14:paraId="4AC3B8AA" w14:textId="77777777" w:rsidR="003F25B0" w:rsidRDefault="003F25B0" w:rsidP="003F25B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FF0000"/>
                <w:sz w:val="20"/>
              </w:rPr>
            </w:pPr>
          </w:p>
          <w:p w14:paraId="4AFC7B0E" w14:textId="2BC97242" w:rsidR="00C077E0" w:rsidRPr="007D6B73" w:rsidRDefault="00C077E0" w:rsidP="008F551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FF0000"/>
                <w:sz w:val="20"/>
              </w:rPr>
            </w:pPr>
          </w:p>
          <w:p w14:paraId="548F21A8" w14:textId="77777777" w:rsidR="00C077E0" w:rsidRPr="007D6B73" w:rsidRDefault="00C077E0" w:rsidP="003F25B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color w:val="FF0000"/>
                <w:sz w:val="20"/>
              </w:rPr>
            </w:pPr>
          </w:p>
          <w:p w14:paraId="7B81DD40" w14:textId="5B892FE9" w:rsidR="00D873D5" w:rsidRPr="007D6B73" w:rsidRDefault="00D873D5" w:rsidP="006643B7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FF0000"/>
                <w:szCs w:val="23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0D3088" w14:textId="43138EA8" w:rsidR="008F551F" w:rsidRDefault="008F551F" w:rsidP="00450B63">
            <w:pPr>
              <w:spacing w:after="120" w:line="220" w:lineRule="exact"/>
              <w:jc w:val="left"/>
              <w:rPr>
                <w:color w:val="FF0000"/>
                <w:sz w:val="20"/>
              </w:rPr>
            </w:pPr>
            <w:r w:rsidRPr="003473D1">
              <w:rPr>
                <w:bCs/>
                <w:color w:val="auto"/>
                <w:sz w:val="20"/>
              </w:rPr>
              <w:t>E</w:t>
            </w:r>
            <w:r w:rsidRPr="003473D1">
              <w:rPr>
                <w:color w:val="auto"/>
                <w:sz w:val="20"/>
              </w:rPr>
              <w:t>stablish and publically launch the RGO.</w:t>
            </w:r>
          </w:p>
          <w:p w14:paraId="23D6E0F0" w14:textId="77777777" w:rsidR="00450B63" w:rsidRDefault="00710521" w:rsidP="00450B63">
            <w:pPr>
              <w:spacing w:after="120"/>
              <w:jc w:val="left"/>
              <w:rPr>
                <w:color w:val="auto"/>
                <w:sz w:val="20"/>
              </w:rPr>
            </w:pPr>
            <w:r w:rsidRPr="002040F0">
              <w:rPr>
                <w:color w:val="auto"/>
                <w:sz w:val="20"/>
              </w:rPr>
              <w:t xml:space="preserve">Complete a state-wide </w:t>
            </w:r>
            <w:r w:rsidR="005605A2" w:rsidRPr="002040F0">
              <w:rPr>
                <w:color w:val="auto"/>
                <w:sz w:val="20"/>
              </w:rPr>
              <w:t>R</w:t>
            </w:r>
            <w:r w:rsidRPr="002040F0">
              <w:rPr>
                <w:color w:val="auto"/>
                <w:sz w:val="20"/>
              </w:rPr>
              <w:t xml:space="preserve">esearch </w:t>
            </w:r>
            <w:r w:rsidR="005605A2" w:rsidRPr="002040F0">
              <w:rPr>
                <w:color w:val="auto"/>
                <w:sz w:val="20"/>
              </w:rPr>
              <w:t>G</w:t>
            </w:r>
            <w:r w:rsidRPr="002040F0">
              <w:rPr>
                <w:color w:val="auto"/>
                <w:sz w:val="20"/>
              </w:rPr>
              <w:t xml:space="preserve">overnance </w:t>
            </w:r>
            <w:r w:rsidR="005605A2" w:rsidRPr="002040F0">
              <w:rPr>
                <w:color w:val="auto"/>
                <w:sz w:val="20"/>
              </w:rPr>
              <w:t>Framework (RGF)</w:t>
            </w:r>
            <w:r w:rsidR="00FB3372" w:rsidRPr="002040F0">
              <w:rPr>
                <w:color w:val="auto"/>
                <w:sz w:val="20"/>
              </w:rPr>
              <w:t>,</w:t>
            </w:r>
            <w:r w:rsidR="00FB3372">
              <w:rPr>
                <w:color w:val="auto"/>
                <w:sz w:val="20"/>
              </w:rPr>
              <w:t xml:space="preserve"> including</w:t>
            </w:r>
            <w:r w:rsidR="00605AB6" w:rsidRPr="00605AB6">
              <w:rPr>
                <w:color w:val="auto"/>
                <w:sz w:val="20"/>
              </w:rPr>
              <w:t xml:space="preserve"> scoping of long term research governance resource requirements, </w:t>
            </w:r>
            <w:r w:rsidR="00FB3372">
              <w:rPr>
                <w:color w:val="auto"/>
                <w:sz w:val="20"/>
              </w:rPr>
              <w:t xml:space="preserve">to </w:t>
            </w:r>
            <w:r w:rsidR="003473D1" w:rsidRPr="003473D1">
              <w:rPr>
                <w:color w:val="auto"/>
                <w:sz w:val="20"/>
              </w:rPr>
              <w:t>inform development of a state-wide Research Strategy</w:t>
            </w:r>
            <w:r w:rsidRPr="003473D1">
              <w:rPr>
                <w:color w:val="auto"/>
                <w:sz w:val="20"/>
              </w:rPr>
              <w:t>.</w:t>
            </w:r>
          </w:p>
          <w:p w14:paraId="2DFFF133" w14:textId="77777777" w:rsidR="00450B63" w:rsidRDefault="008F4D3A" w:rsidP="00450B63">
            <w:pPr>
              <w:spacing w:after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Complete a state-wide </w:t>
            </w:r>
            <w:r w:rsidRPr="008F551F">
              <w:rPr>
                <w:color w:val="auto"/>
                <w:sz w:val="20"/>
              </w:rPr>
              <w:t>communication strategy</w:t>
            </w:r>
            <w:r>
              <w:rPr>
                <w:color w:val="auto"/>
                <w:sz w:val="20"/>
              </w:rPr>
              <w:t xml:space="preserve"> on the RGO’s scope, and stakeholder’s roles and responsibilities.</w:t>
            </w:r>
          </w:p>
          <w:p w14:paraId="6FD6FDCF" w14:textId="4ED50D50" w:rsidR="00EF01A4" w:rsidRPr="007D6B73" w:rsidRDefault="008F4D3A" w:rsidP="00450B63">
            <w:pPr>
              <w:spacing w:after="0"/>
              <w:jc w:val="left"/>
              <w:rPr>
                <w:color w:val="FF0000"/>
                <w:sz w:val="20"/>
              </w:rPr>
            </w:pPr>
            <w:r w:rsidRPr="00AB24C2">
              <w:rPr>
                <w:color w:val="auto"/>
                <w:sz w:val="20"/>
              </w:rPr>
              <w:t xml:space="preserve">Publication on the DHHS </w:t>
            </w:r>
            <w:r>
              <w:rPr>
                <w:color w:val="auto"/>
                <w:sz w:val="20"/>
              </w:rPr>
              <w:t>intranet (internal web</w:t>
            </w:r>
            <w:r w:rsidRPr="00AB24C2">
              <w:rPr>
                <w:color w:val="auto"/>
                <w:sz w:val="20"/>
              </w:rPr>
              <w:t>site</w:t>
            </w:r>
            <w:r>
              <w:rPr>
                <w:color w:val="auto"/>
                <w:sz w:val="20"/>
              </w:rPr>
              <w:t>)</w:t>
            </w:r>
            <w:r w:rsidRPr="00AB24C2">
              <w:rPr>
                <w:color w:val="auto"/>
                <w:sz w:val="20"/>
              </w:rPr>
              <w:t xml:space="preserve"> of state-wide RGF including SOPs and guidelines.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B7979B" w14:textId="44E44BCD" w:rsidR="002428B1" w:rsidRPr="003473D1" w:rsidRDefault="002428B1" w:rsidP="002428B1">
            <w:pPr>
              <w:spacing w:after="0"/>
              <w:jc w:val="left"/>
              <w:rPr>
                <w:color w:val="auto"/>
                <w:sz w:val="20"/>
              </w:rPr>
            </w:pPr>
            <w:r w:rsidRPr="003473D1">
              <w:rPr>
                <w:color w:val="auto"/>
                <w:sz w:val="20"/>
              </w:rPr>
              <w:t>Complete a</w:t>
            </w:r>
            <w:r w:rsidR="00286B6A">
              <w:rPr>
                <w:color w:val="auto"/>
                <w:sz w:val="20"/>
              </w:rPr>
              <w:t>nd publically launch a</w:t>
            </w:r>
            <w:r w:rsidRPr="003473D1">
              <w:rPr>
                <w:color w:val="auto"/>
                <w:sz w:val="20"/>
              </w:rPr>
              <w:t xml:space="preserve"> state-wide Research Strategy</w:t>
            </w:r>
            <w:r w:rsidR="00E66AB2">
              <w:rPr>
                <w:color w:val="auto"/>
                <w:sz w:val="20"/>
              </w:rPr>
              <w:t>, including partnership approaches between public and private research institutions</w:t>
            </w:r>
            <w:r w:rsidR="00555FEF">
              <w:rPr>
                <w:color w:val="auto"/>
                <w:sz w:val="20"/>
              </w:rPr>
              <w:t xml:space="preserve">, and approaches to </w:t>
            </w:r>
            <w:r w:rsidR="00555FEF">
              <w:rPr>
                <w:sz w:val="20"/>
              </w:rPr>
              <w:t>increase the clinical trial research capacity of sector staff.</w:t>
            </w:r>
          </w:p>
          <w:p w14:paraId="4D24A730" w14:textId="77777777" w:rsidR="002428B1" w:rsidRDefault="002428B1" w:rsidP="002A6B5E">
            <w:pPr>
              <w:spacing w:after="0"/>
              <w:jc w:val="left"/>
              <w:rPr>
                <w:color w:val="FF0000"/>
                <w:sz w:val="20"/>
              </w:rPr>
            </w:pPr>
          </w:p>
          <w:p w14:paraId="7C4798BA" w14:textId="1D4B456B" w:rsidR="0047349B" w:rsidRPr="007D6B73" w:rsidRDefault="0047349B" w:rsidP="00286B6A">
            <w:pPr>
              <w:spacing w:after="0"/>
              <w:jc w:val="left"/>
              <w:rPr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BB063D" w14:textId="6B605641" w:rsidR="00CB0391" w:rsidRPr="007D6B73" w:rsidRDefault="00CB0391" w:rsidP="00605AB6">
            <w:pPr>
              <w:spacing w:after="0"/>
              <w:jc w:val="left"/>
              <w:rPr>
                <w:color w:val="FF0000"/>
                <w:sz w:val="20"/>
              </w:rPr>
            </w:pPr>
            <w:r w:rsidRPr="00AB24C2">
              <w:rPr>
                <w:color w:val="auto"/>
                <w:sz w:val="20"/>
              </w:rPr>
              <w:t xml:space="preserve">Complete </w:t>
            </w:r>
            <w:r w:rsidR="00AB24C2" w:rsidRPr="00AB24C2">
              <w:rPr>
                <w:color w:val="auto"/>
                <w:sz w:val="20"/>
              </w:rPr>
              <w:t>public (external) reporting against the Research Strategy.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EB36F0" w14:textId="5AC96EF3" w:rsidR="00EF01A4" w:rsidRPr="004B4330" w:rsidRDefault="0010267F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15 May</w:t>
            </w:r>
            <w:r w:rsidR="00EF01A4" w:rsidRPr="004B4330">
              <w:rPr>
                <w:color w:val="auto"/>
                <w:sz w:val="20"/>
              </w:rPr>
              <w:t xml:space="preserve"> 2018</w:t>
            </w:r>
          </w:p>
          <w:p w14:paraId="00A77ACB" w14:textId="7CB234CB" w:rsidR="00EF01A4" w:rsidRPr="004B4330" w:rsidRDefault="0010267F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15 May</w:t>
            </w:r>
            <w:r w:rsidR="00EF01A4" w:rsidRPr="004B4330">
              <w:rPr>
                <w:color w:val="auto"/>
                <w:sz w:val="20"/>
              </w:rPr>
              <w:t xml:space="preserve"> 2019</w:t>
            </w:r>
          </w:p>
          <w:p w14:paraId="341E7CE9" w14:textId="5BA04BC0" w:rsidR="00EF01A4" w:rsidRPr="004B4330" w:rsidRDefault="0010267F" w:rsidP="000D17C9">
            <w:pPr>
              <w:spacing w:after="0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15 May</w:t>
            </w:r>
            <w:r w:rsidR="00EF01A4" w:rsidRPr="004B4330">
              <w:rPr>
                <w:color w:val="auto"/>
                <w:sz w:val="20"/>
              </w:rPr>
              <w:t xml:space="preserve"> 2020</w:t>
            </w:r>
          </w:p>
          <w:p w14:paraId="10AAD535" w14:textId="2F86F645" w:rsidR="00EF01A4" w:rsidRPr="004B4330" w:rsidRDefault="0010267F" w:rsidP="0010267F">
            <w:pPr>
              <w:spacing w:after="0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15 May</w:t>
            </w:r>
            <w:r w:rsidR="00EF01A4" w:rsidRPr="004B4330">
              <w:rPr>
                <w:color w:val="auto"/>
                <w:sz w:val="20"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14:paraId="5F471A0E" w14:textId="77777777" w:rsidR="004B4330" w:rsidRPr="004B4330" w:rsidRDefault="004B4330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  <w:p w14:paraId="04C21A14" w14:textId="13BA8B3F" w:rsidR="00EF01A4" w:rsidRPr="004B4330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$</w:t>
            </w:r>
            <w:r w:rsidR="004B4330" w:rsidRPr="004B4330">
              <w:rPr>
                <w:color w:val="auto"/>
                <w:sz w:val="20"/>
              </w:rPr>
              <w:t>119</w:t>
            </w:r>
            <w:r w:rsidR="00AD5065" w:rsidRPr="004B4330">
              <w:rPr>
                <w:color w:val="auto"/>
                <w:sz w:val="20"/>
              </w:rPr>
              <w:t>,</w:t>
            </w:r>
            <w:r w:rsidR="004B4330" w:rsidRPr="004B4330">
              <w:rPr>
                <w:color w:val="auto"/>
                <w:sz w:val="20"/>
              </w:rPr>
              <w:t>629</w:t>
            </w:r>
          </w:p>
          <w:p w14:paraId="256F157F" w14:textId="4E40C214" w:rsidR="00EF01A4" w:rsidRPr="004B4330" w:rsidRDefault="00EF01A4" w:rsidP="000D17C9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$</w:t>
            </w:r>
            <w:r w:rsidR="004B4330" w:rsidRPr="004B4330">
              <w:rPr>
                <w:color w:val="auto"/>
                <w:sz w:val="20"/>
              </w:rPr>
              <w:t>7</w:t>
            </w:r>
            <w:r w:rsidR="00AD5065" w:rsidRPr="004B4330">
              <w:rPr>
                <w:color w:val="auto"/>
                <w:sz w:val="20"/>
              </w:rPr>
              <w:t>1,</w:t>
            </w:r>
            <w:r w:rsidR="004B4330" w:rsidRPr="004B4330">
              <w:rPr>
                <w:color w:val="auto"/>
                <w:sz w:val="20"/>
              </w:rPr>
              <w:t>791</w:t>
            </w:r>
          </w:p>
          <w:p w14:paraId="781284AE" w14:textId="77777777" w:rsidR="004B4330" w:rsidRPr="004B4330" w:rsidRDefault="004B4330" w:rsidP="004B4330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$71,791</w:t>
            </w:r>
          </w:p>
          <w:p w14:paraId="1F2165B2" w14:textId="77777777" w:rsidR="004B4330" w:rsidRPr="004B4330" w:rsidRDefault="004B4330" w:rsidP="004B4330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  <w:r w:rsidRPr="004B4330">
              <w:rPr>
                <w:color w:val="auto"/>
                <w:sz w:val="20"/>
              </w:rPr>
              <w:t>$71,791</w:t>
            </w:r>
          </w:p>
          <w:p w14:paraId="3F017F4E" w14:textId="0E599E7A" w:rsidR="00EF01A4" w:rsidRPr="004B4330" w:rsidRDefault="00EF01A4" w:rsidP="00AD5065">
            <w:pPr>
              <w:spacing w:after="0" w:line="240" w:lineRule="auto"/>
              <w:jc w:val="center"/>
              <w:rPr>
                <w:color w:val="auto"/>
                <w:sz w:val="20"/>
              </w:rPr>
            </w:pPr>
          </w:p>
        </w:tc>
      </w:tr>
    </w:tbl>
    <w:p w14:paraId="01BA8F49" w14:textId="77777777" w:rsidR="00C36CC6" w:rsidRDefault="00C36CC6">
      <w:r>
        <w:br w:type="page"/>
      </w:r>
    </w:p>
    <w:tbl>
      <w:tblPr>
        <w:tblW w:w="144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127"/>
        <w:gridCol w:w="1985"/>
        <w:gridCol w:w="1701"/>
        <w:gridCol w:w="1701"/>
      </w:tblGrid>
      <w:tr w:rsidR="00EF01A4" w:rsidRPr="0004601D" w14:paraId="29212195" w14:textId="77777777" w:rsidTr="00710521">
        <w:trPr>
          <w:trHeight w:val="275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9BE8C42" w14:textId="051B41DE" w:rsidR="00EF01A4" w:rsidRPr="00D2270A" w:rsidRDefault="00AD5065" w:rsidP="00A26CD4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 w:rsidRPr="00AD5065">
              <w:rPr>
                <w:bCs/>
                <w:color w:val="auto"/>
                <w:sz w:val="20"/>
              </w:rPr>
              <w:lastRenderedPageBreak/>
              <w:t>Implement new and enhanced clinical trial data collection and reporting, in accordance with clause 8(b)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4ABD43" w14:textId="763497E6" w:rsidR="00EF01A4" w:rsidRPr="007D6B73" w:rsidRDefault="002040F0" w:rsidP="00710521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FF0000"/>
                <w:sz w:val="20"/>
              </w:rPr>
            </w:pPr>
            <w:r>
              <w:rPr>
                <w:color w:val="auto"/>
                <w:sz w:val="20"/>
              </w:rPr>
              <w:t>Nil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E0F8D" w14:textId="5D398F1C" w:rsidR="002040F0" w:rsidRDefault="002040F0" w:rsidP="00450B63">
            <w:pPr>
              <w:spacing w:after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Contribution of data to the expanded </w:t>
            </w:r>
            <w:r w:rsidR="00E42B8D" w:rsidRPr="00E42B8D">
              <w:rPr>
                <w:color w:val="auto"/>
                <w:sz w:val="20"/>
              </w:rPr>
              <w:t>National Aggregate Statistics</w:t>
            </w:r>
            <w:r w:rsidR="00E42B8D">
              <w:t xml:space="preserve"> (</w:t>
            </w:r>
            <w:r>
              <w:rPr>
                <w:color w:val="auto"/>
                <w:sz w:val="20"/>
              </w:rPr>
              <w:t>NAS</w:t>
            </w:r>
            <w:r w:rsidR="00E42B8D">
              <w:rPr>
                <w:color w:val="auto"/>
                <w:sz w:val="20"/>
              </w:rPr>
              <w:t>)</w:t>
            </w:r>
            <w:r>
              <w:rPr>
                <w:color w:val="auto"/>
                <w:sz w:val="20"/>
              </w:rPr>
              <w:t xml:space="preserve"> 2018-19, as agreed by the </w:t>
            </w:r>
            <w:r w:rsidR="00E42B8D" w:rsidRPr="00C077E0">
              <w:rPr>
                <w:color w:val="auto"/>
                <w:sz w:val="20"/>
              </w:rPr>
              <w:t xml:space="preserve">Clinical Trials Project Reference Group </w:t>
            </w:r>
            <w:r w:rsidR="00E42B8D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CTPRG</w:t>
            </w:r>
            <w:r w:rsidR="00E42B8D">
              <w:rPr>
                <w:color w:val="auto"/>
                <w:sz w:val="20"/>
              </w:rPr>
              <w:t>)</w:t>
            </w:r>
            <w:r>
              <w:rPr>
                <w:color w:val="auto"/>
                <w:sz w:val="20"/>
              </w:rPr>
              <w:t>.</w:t>
            </w:r>
          </w:p>
          <w:p w14:paraId="009E81A0" w14:textId="77777777" w:rsidR="00450B63" w:rsidRDefault="00AF6DED" w:rsidP="00450B63">
            <w:pPr>
              <w:spacing w:after="120"/>
              <w:jc w:val="left"/>
              <w:rPr>
                <w:color w:val="auto"/>
                <w:sz w:val="20"/>
              </w:rPr>
            </w:pPr>
            <w:r w:rsidRPr="00F07EE0">
              <w:rPr>
                <w:color w:val="auto"/>
                <w:sz w:val="20"/>
              </w:rPr>
              <w:t xml:space="preserve">Complete a scoping report of IT systems (including sub-site options) for </w:t>
            </w:r>
            <w:r w:rsidR="00FE75D4" w:rsidRPr="00F07EE0">
              <w:rPr>
                <w:color w:val="auto"/>
                <w:sz w:val="20"/>
              </w:rPr>
              <w:t xml:space="preserve">system-wide </w:t>
            </w:r>
            <w:r w:rsidR="00D77703" w:rsidRPr="00F07EE0">
              <w:rPr>
                <w:color w:val="auto"/>
                <w:sz w:val="20"/>
              </w:rPr>
              <w:t>research governance</w:t>
            </w:r>
            <w:r w:rsidRPr="00F07EE0">
              <w:rPr>
                <w:color w:val="auto"/>
                <w:sz w:val="20"/>
              </w:rPr>
              <w:t xml:space="preserve"> management and external reporting.</w:t>
            </w:r>
          </w:p>
          <w:p w14:paraId="759234E9" w14:textId="5BDF9038" w:rsidR="006B1FCD" w:rsidRPr="007D6B73" w:rsidRDefault="00AF6DED" w:rsidP="00450B63">
            <w:pPr>
              <w:spacing w:after="120"/>
              <w:jc w:val="left"/>
              <w:rPr>
                <w:color w:val="FF0000"/>
                <w:sz w:val="20"/>
              </w:rPr>
            </w:pPr>
            <w:r w:rsidRPr="00F07EE0">
              <w:rPr>
                <w:color w:val="auto"/>
                <w:sz w:val="20"/>
              </w:rPr>
              <w:t>Complete state</w:t>
            </w:r>
            <w:r w:rsidR="0017236F" w:rsidRPr="00F07EE0">
              <w:rPr>
                <w:color w:val="auto"/>
                <w:sz w:val="20"/>
              </w:rPr>
              <w:t>-</w:t>
            </w:r>
            <w:r w:rsidRPr="00F07EE0">
              <w:rPr>
                <w:color w:val="auto"/>
                <w:sz w:val="20"/>
              </w:rPr>
              <w:t xml:space="preserve">wide </w:t>
            </w:r>
            <w:r w:rsidR="0017236F" w:rsidRPr="00F07EE0">
              <w:rPr>
                <w:color w:val="auto"/>
                <w:sz w:val="20"/>
              </w:rPr>
              <w:t xml:space="preserve">and any required inter-state </w:t>
            </w:r>
            <w:r w:rsidRPr="00F07EE0">
              <w:rPr>
                <w:color w:val="auto"/>
                <w:sz w:val="20"/>
              </w:rPr>
              <w:t>agreement</w:t>
            </w:r>
            <w:r w:rsidR="009823B6" w:rsidRPr="00F07EE0">
              <w:rPr>
                <w:color w:val="auto"/>
                <w:sz w:val="20"/>
              </w:rPr>
              <w:t>s</w:t>
            </w:r>
            <w:r w:rsidRPr="00F07EE0">
              <w:rPr>
                <w:color w:val="auto"/>
                <w:sz w:val="20"/>
              </w:rPr>
              <w:t xml:space="preserve"> on the IT system.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04BA8C" w14:textId="77777777" w:rsidR="00EF01A4" w:rsidRPr="00F07EE0" w:rsidRDefault="00EF01A4" w:rsidP="00E40EF0">
            <w:pPr>
              <w:jc w:val="left"/>
              <w:rPr>
                <w:color w:val="auto"/>
                <w:sz w:val="20"/>
              </w:rPr>
            </w:pPr>
            <w:r w:rsidRPr="00F07EE0">
              <w:rPr>
                <w:color w:val="auto"/>
                <w:sz w:val="20"/>
              </w:rPr>
              <w:t>Full contribution of data to the expanded NAS 2019-20, as agreed by the CTPRG.</w:t>
            </w:r>
          </w:p>
          <w:p w14:paraId="21752F8E" w14:textId="25F99887" w:rsidR="00EF01A4" w:rsidRPr="007D6B73" w:rsidRDefault="00AF6DED" w:rsidP="00FE75D4">
            <w:pPr>
              <w:spacing w:after="0"/>
              <w:jc w:val="left"/>
              <w:rPr>
                <w:color w:val="FF0000"/>
                <w:sz w:val="20"/>
              </w:rPr>
            </w:pPr>
            <w:r w:rsidRPr="00F07EE0">
              <w:rPr>
                <w:color w:val="auto"/>
                <w:sz w:val="20"/>
              </w:rPr>
              <w:t xml:space="preserve">Implement the agreed </w:t>
            </w:r>
            <w:r w:rsidR="00FE75D4" w:rsidRPr="00F07EE0">
              <w:rPr>
                <w:color w:val="auto"/>
                <w:sz w:val="20"/>
              </w:rPr>
              <w:t>system-wide</w:t>
            </w:r>
            <w:r w:rsidRPr="00F07EE0">
              <w:rPr>
                <w:color w:val="auto"/>
                <w:sz w:val="20"/>
              </w:rPr>
              <w:t xml:space="preserve"> </w:t>
            </w:r>
            <w:r w:rsidR="00D77703" w:rsidRPr="00F07EE0">
              <w:rPr>
                <w:color w:val="auto"/>
                <w:sz w:val="20"/>
              </w:rPr>
              <w:t>research governance</w:t>
            </w:r>
            <w:r w:rsidRPr="00F07EE0">
              <w:rPr>
                <w:color w:val="auto"/>
                <w:sz w:val="20"/>
              </w:rPr>
              <w:t xml:space="preserve"> management and external reporting</w:t>
            </w:r>
            <w:r w:rsidR="009823B6" w:rsidRPr="00F07EE0">
              <w:rPr>
                <w:color w:val="auto"/>
                <w:sz w:val="20"/>
              </w:rPr>
              <w:t xml:space="preserve"> system</w:t>
            </w:r>
            <w:r w:rsidRPr="00F07EE0">
              <w:rPr>
                <w:color w:val="auto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BF0E6E3" w14:textId="1334A40D" w:rsidR="00EF01A4" w:rsidRPr="007D6B73" w:rsidRDefault="00EF01A4" w:rsidP="00710521">
            <w:pPr>
              <w:jc w:val="left"/>
              <w:rPr>
                <w:color w:val="FF0000"/>
                <w:sz w:val="20"/>
              </w:rPr>
            </w:pPr>
            <w:r w:rsidRPr="00F07EE0">
              <w:rPr>
                <w:color w:val="auto"/>
                <w:sz w:val="20"/>
              </w:rPr>
              <w:t>Full contribution of data to the expanded NAS 2020-21, as agreed by the CTPRG.</w:t>
            </w:r>
          </w:p>
        </w:tc>
        <w:tc>
          <w:tcPr>
            <w:tcW w:w="1701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14:paraId="43D67FDC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6F3FC42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EF01A4" w:rsidRPr="0004601D" w14:paraId="2E53E953" w14:textId="77777777" w:rsidTr="00450B63">
        <w:trPr>
          <w:trHeight w:val="40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7120E0B" w14:textId="4699BE94" w:rsidR="00EF01A4" w:rsidRPr="000504FF" w:rsidRDefault="00EF01A4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/>
                <w:color w:val="auto"/>
                <w:sz w:val="20"/>
              </w:rPr>
            </w:pPr>
            <w:r w:rsidRPr="000504FF">
              <w:rPr>
                <w:bCs/>
                <w:color w:val="auto"/>
                <w:sz w:val="20"/>
              </w:rPr>
              <w:t>Establish and maintain new networks and partnerships in accordance with clause 8(c) of the Agreement</w:t>
            </w:r>
            <w:r w:rsidRPr="000504FF">
              <w:rPr>
                <w:color w:val="auto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1AFB0" w14:textId="7A3EB0C9" w:rsidR="00C14295" w:rsidRPr="00F07EE0" w:rsidRDefault="001550CE" w:rsidP="00FE75D4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Nil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6EF2A" w14:textId="07290671" w:rsidR="00F07EE0" w:rsidRPr="00431E28" w:rsidRDefault="00F07EE0" w:rsidP="006B5759">
            <w:pPr>
              <w:spacing w:after="0"/>
              <w:jc w:val="left"/>
              <w:rPr>
                <w:color w:val="auto"/>
                <w:sz w:val="20"/>
              </w:rPr>
            </w:pPr>
            <w:r w:rsidRPr="00431E28">
              <w:rPr>
                <w:bCs/>
                <w:color w:val="auto"/>
                <w:sz w:val="20"/>
              </w:rPr>
              <w:t xml:space="preserve">Establish and maintain a Research Committee, to include </w:t>
            </w:r>
            <w:r w:rsidR="00E42B8D">
              <w:rPr>
                <w:bCs/>
                <w:color w:val="auto"/>
                <w:sz w:val="20"/>
              </w:rPr>
              <w:t>Tasmanian</w:t>
            </w:r>
            <w:r w:rsidR="00E42B8D" w:rsidRPr="00431E28">
              <w:rPr>
                <w:bCs/>
                <w:color w:val="auto"/>
                <w:sz w:val="20"/>
              </w:rPr>
              <w:t xml:space="preserve"> </w:t>
            </w:r>
            <w:r w:rsidRPr="00431E28">
              <w:rPr>
                <w:bCs/>
                <w:color w:val="auto"/>
                <w:sz w:val="20"/>
              </w:rPr>
              <w:t>stakeholders involved in research ethics and clinical trials governance processes.</w:t>
            </w:r>
          </w:p>
          <w:p w14:paraId="4161EF08" w14:textId="77777777" w:rsidR="00F07EE0" w:rsidRDefault="00F07EE0" w:rsidP="006B5759">
            <w:pPr>
              <w:spacing w:after="0"/>
              <w:jc w:val="left"/>
              <w:rPr>
                <w:color w:val="FF0000"/>
                <w:sz w:val="20"/>
              </w:rPr>
            </w:pPr>
          </w:p>
          <w:p w14:paraId="5DADB7CC" w14:textId="2AA292D5" w:rsidR="00EF01A4" w:rsidRPr="007D6B73" w:rsidRDefault="00EF01A4" w:rsidP="006B5759">
            <w:pPr>
              <w:spacing w:after="0"/>
              <w:jc w:val="left"/>
              <w:rPr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38E447" w14:textId="77777777" w:rsidR="00450B63" w:rsidRDefault="00F76131" w:rsidP="00450B63">
            <w:pPr>
              <w:spacing w:after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Full participation in the</w:t>
            </w:r>
            <w:r w:rsidR="00666898" w:rsidRPr="00091369">
              <w:rPr>
                <w:color w:val="auto"/>
                <w:sz w:val="20"/>
              </w:rPr>
              <w:t xml:space="preserve"> National Mutual Acceptance (NMA)</w:t>
            </w:r>
            <w:r w:rsidR="00D245A8">
              <w:rPr>
                <w:color w:val="auto"/>
                <w:sz w:val="20"/>
              </w:rPr>
              <w:t xml:space="preserve"> scheme</w:t>
            </w:r>
            <w:r w:rsidR="00666898" w:rsidRPr="00091369">
              <w:rPr>
                <w:color w:val="auto"/>
                <w:sz w:val="20"/>
              </w:rPr>
              <w:t>.</w:t>
            </w:r>
          </w:p>
          <w:p w14:paraId="1B8B4B58" w14:textId="3BA5CB07" w:rsidR="00CD45D4" w:rsidRDefault="00CD45D4" w:rsidP="00450B63">
            <w:pPr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Strengthened agreement with the Menzies Institute for Medical Research on collaborative strategic approaches.</w:t>
            </w:r>
          </w:p>
          <w:p w14:paraId="6C70E42C" w14:textId="19E1F403" w:rsidR="00EF01A4" w:rsidRPr="00091369" w:rsidRDefault="00450B63" w:rsidP="00CD45D4">
            <w:pPr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</w:t>
            </w:r>
            <w:r w:rsidR="005605A2" w:rsidRPr="00091369">
              <w:rPr>
                <w:color w:val="auto"/>
                <w:sz w:val="20"/>
              </w:rPr>
              <w:t xml:space="preserve">igned agreement with </w:t>
            </w:r>
            <w:r w:rsidR="005605A2" w:rsidRPr="00091369">
              <w:rPr>
                <w:rFonts w:cs="Arial"/>
                <w:color w:val="auto"/>
                <w:sz w:val="20"/>
              </w:rPr>
              <w:t xml:space="preserve">the Clifford Craig Research Foundation and the Royal Hobart Hospital Research Foundation </w:t>
            </w:r>
            <w:r w:rsidR="00CD45D4">
              <w:rPr>
                <w:color w:val="auto"/>
                <w:sz w:val="20"/>
              </w:rPr>
              <w:t>on collaborative strategic approaches</w:t>
            </w:r>
            <w:r w:rsidR="005605A2" w:rsidRPr="00091369">
              <w:rPr>
                <w:color w:val="auto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EE6EBC" w14:textId="375FDE4D" w:rsidR="00EF01A4" w:rsidRPr="007D6B73" w:rsidRDefault="002040F0" w:rsidP="00A075B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color w:val="FF0000"/>
                <w:sz w:val="20"/>
              </w:rPr>
            </w:pPr>
            <w:r>
              <w:rPr>
                <w:color w:val="auto"/>
                <w:sz w:val="20"/>
              </w:rPr>
              <w:t>Nil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31AFAC9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6D13DEB6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EF01A4" w:rsidRPr="0004601D" w14:paraId="73455900" w14:textId="77777777" w:rsidTr="006737E4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42ADCB5" w14:textId="77777777" w:rsidR="00EF01A4" w:rsidRPr="00C077E0" w:rsidRDefault="00EF01A4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color w:val="auto"/>
                <w:sz w:val="20"/>
              </w:rPr>
            </w:pPr>
            <w:r w:rsidRPr="00C077E0">
              <w:rPr>
                <w:bCs/>
                <w:color w:val="auto"/>
                <w:sz w:val="20"/>
              </w:rPr>
              <w:t>Embed research and clinical trials processes in accordance with clause 8(d) of the Agreement.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61F780" w14:textId="40DD0CB1" w:rsidR="00EF01A4" w:rsidRPr="00C077E0" w:rsidRDefault="00EF01A4" w:rsidP="00E42B8D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C077E0">
              <w:rPr>
                <w:color w:val="auto"/>
                <w:sz w:val="20"/>
              </w:rPr>
              <w:t xml:space="preserve">Active engagement with the </w:t>
            </w:r>
            <w:r w:rsidR="00C14295" w:rsidRPr="00C077E0">
              <w:rPr>
                <w:color w:val="auto"/>
                <w:sz w:val="20"/>
              </w:rPr>
              <w:t>CTPRG,</w:t>
            </w:r>
            <w:r w:rsidRPr="00C077E0">
              <w:rPr>
                <w:color w:val="auto"/>
                <w:sz w:val="20"/>
              </w:rPr>
              <w:t xml:space="preserve"> Commonwealth and ACSQHC to develop a draft Clinical Trials Governance Framework.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5860CAFB" w14:textId="77777777" w:rsidR="00EF01A4" w:rsidRPr="00C077E0" w:rsidRDefault="00EF01A4" w:rsidP="008329F1">
            <w:pPr>
              <w:spacing w:after="0"/>
              <w:jc w:val="left"/>
              <w:rPr>
                <w:color w:val="auto"/>
                <w:sz w:val="20"/>
              </w:rPr>
            </w:pPr>
            <w:r w:rsidRPr="00C077E0">
              <w:rPr>
                <w:color w:val="auto"/>
                <w:sz w:val="20"/>
              </w:rPr>
              <w:t>Active engagement with CTPRG, Commonwealth and ACSQHC to develop a draft Clinical Trials Governance Framework.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1457E517" w14:textId="77777777" w:rsidR="00EF01A4" w:rsidRPr="00C077E0" w:rsidRDefault="00EF01A4" w:rsidP="008329F1">
            <w:pPr>
              <w:jc w:val="left"/>
              <w:rPr>
                <w:color w:val="auto"/>
                <w:sz w:val="20"/>
              </w:rPr>
            </w:pPr>
            <w:r w:rsidRPr="00C077E0">
              <w:rPr>
                <w:color w:val="auto"/>
                <w:sz w:val="20"/>
              </w:rPr>
              <w:t>Active engagement with CTPRG, Commonwealth and ACSQHC to implement the national Clinical Trials Governance Framework.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0AFC5809" w14:textId="77777777" w:rsidR="00EF01A4" w:rsidRPr="00C077E0" w:rsidRDefault="00EF01A4" w:rsidP="008329F1">
            <w:pPr>
              <w:jc w:val="left"/>
              <w:rPr>
                <w:color w:val="auto"/>
                <w:sz w:val="20"/>
              </w:rPr>
            </w:pPr>
            <w:r w:rsidRPr="00C077E0">
              <w:rPr>
                <w:color w:val="auto"/>
                <w:sz w:val="20"/>
              </w:rPr>
              <w:t>Active engagement with CTPRG, Commonwealth and ACSQHC to implement the national Clinical Trials Governance Framework.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DC9F8FC" w14:textId="77777777" w:rsidR="00EF01A4" w:rsidRPr="0004601D" w:rsidRDefault="00EF01A4" w:rsidP="00851B44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14:paraId="1861995E" w14:textId="77777777" w:rsidR="00EF01A4" w:rsidRPr="0004601D" w:rsidRDefault="00EF01A4">
            <w:pPr>
              <w:spacing w:after="0" w:line="240" w:lineRule="auto"/>
              <w:jc w:val="left"/>
              <w:rPr>
                <w:color w:val="FF0000"/>
                <w:sz w:val="20"/>
              </w:rPr>
            </w:pPr>
          </w:p>
        </w:tc>
      </w:tr>
    </w:tbl>
    <w:p w14:paraId="46745B7F" w14:textId="77777777" w:rsidR="000D17C9" w:rsidRPr="0004601D" w:rsidRDefault="000D17C9" w:rsidP="0094231D">
      <w:pPr>
        <w:pStyle w:val="Heading1"/>
        <w:rPr>
          <w:bCs w:val="0"/>
          <w:caps w:val="0"/>
          <w:color w:val="FF0000"/>
        </w:rPr>
        <w:sectPr w:rsidR="000D17C9" w:rsidRPr="0004601D" w:rsidSect="00452814">
          <w:headerReference w:type="default" r:id="rId19"/>
          <w:footerReference w:type="first" r:id="rId20"/>
          <w:pgSz w:w="16838" w:h="11906" w:orient="landscape" w:code="9"/>
          <w:pgMar w:top="1440" w:right="1440" w:bottom="1440" w:left="1440" w:header="709" w:footer="0" w:gutter="0"/>
          <w:pgNumType w:start="2" w:chapStyle="9"/>
          <w:cols w:space="708"/>
          <w:titlePg/>
          <w:docGrid w:linePitch="360"/>
        </w:sectPr>
      </w:pPr>
    </w:p>
    <w:p w14:paraId="78E6F2C5" w14:textId="77777777" w:rsidR="0094231D" w:rsidRPr="0004601D" w:rsidRDefault="0094231D" w:rsidP="0094231D">
      <w:pPr>
        <w:pStyle w:val="Heading1"/>
        <w:rPr>
          <w:bCs w:val="0"/>
          <w:caps w:val="0"/>
          <w:color w:val="FF0000"/>
        </w:rPr>
      </w:pPr>
    </w:p>
    <w:p w14:paraId="4EFC7563" w14:textId="77777777" w:rsidR="002D60FE" w:rsidRPr="00EF01A4" w:rsidRDefault="002D60FE" w:rsidP="002D60FE">
      <w:pPr>
        <w:pStyle w:val="Heading1"/>
        <w:rPr>
          <w:b/>
          <w:caps w:val="0"/>
          <w:color w:val="auto"/>
        </w:rPr>
      </w:pPr>
      <w:r w:rsidRPr="00EF01A4">
        <w:rPr>
          <w:color w:val="auto"/>
        </w:rPr>
        <w:t>Sign off</w:t>
      </w:r>
    </w:p>
    <w:p w14:paraId="4630408A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The Parties have confirmed their commitment to this Schedule as follows:</w:t>
      </w:r>
    </w:p>
    <w:p w14:paraId="4428C559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 xml:space="preserve">Signed </w:t>
      </w:r>
      <w:r w:rsidRPr="00EF01A4">
        <w:rPr>
          <w:rFonts w:cs="Calibri"/>
          <w:i/>
          <w:color w:val="auto"/>
          <w:szCs w:val="23"/>
          <w:lang w:val="en-GB"/>
        </w:rPr>
        <w:t>for and on behalf of the Commonwealth</w:t>
      </w:r>
      <w:r w:rsidR="00EF01A4">
        <w:rPr>
          <w:rFonts w:cs="Calibri"/>
          <w:i/>
          <w:color w:val="auto"/>
          <w:szCs w:val="23"/>
          <w:lang w:val="en-GB"/>
        </w:rPr>
        <w:t xml:space="preserve"> of Australia</w:t>
      </w:r>
      <w:r w:rsidRPr="00EF01A4">
        <w:rPr>
          <w:rFonts w:cs="Calibri"/>
          <w:i/>
          <w:color w:val="auto"/>
          <w:szCs w:val="23"/>
          <w:lang w:val="en-GB"/>
        </w:rPr>
        <w:t xml:space="preserve"> by</w:t>
      </w:r>
    </w:p>
    <w:p w14:paraId="6B27D1A7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71A2EA34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1FFB45F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9B74E25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__________________________________________</w:t>
      </w:r>
    </w:p>
    <w:p w14:paraId="283DACAC" w14:textId="77777777" w:rsidR="002D60FE" w:rsidRPr="00EF01A4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>The</w:t>
      </w:r>
      <w:r w:rsidR="00EF01A4">
        <w:rPr>
          <w:rFonts w:cs="Calibri"/>
          <w:b/>
          <w:color w:val="auto"/>
          <w:szCs w:val="23"/>
          <w:lang w:val="en-GB"/>
        </w:rPr>
        <w:t xml:space="preserve"> Honourable Greg Hunt</w:t>
      </w:r>
      <w:r w:rsidRPr="00EF01A4">
        <w:rPr>
          <w:rFonts w:cs="Calibri"/>
          <w:b/>
          <w:color w:val="auto"/>
          <w:szCs w:val="23"/>
          <w:lang w:val="en-GB"/>
        </w:rPr>
        <w:t xml:space="preserve"> MP</w:t>
      </w:r>
    </w:p>
    <w:p w14:paraId="6116040C" w14:textId="77777777" w:rsidR="002D60FE" w:rsidRPr="00EF01A4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Minister for Health</w:t>
      </w:r>
    </w:p>
    <w:p w14:paraId="24A617BA" w14:textId="77777777" w:rsidR="002D60FE" w:rsidRPr="00EF01A4" w:rsidRDefault="00093CC8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12E90C78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1901F87" w14:textId="6A0B1C53" w:rsidR="002D60FE" w:rsidRPr="00EF01A4" w:rsidRDefault="002D60FE" w:rsidP="002D60FE">
      <w:pPr>
        <w:rPr>
          <w:rFonts w:cs="Calibri"/>
          <w:i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>Signed</w:t>
      </w:r>
      <w:r w:rsidRPr="00EF01A4">
        <w:rPr>
          <w:rFonts w:cs="Calibri"/>
          <w:color w:val="auto"/>
          <w:szCs w:val="23"/>
          <w:lang w:val="en-GB"/>
        </w:rPr>
        <w:t xml:space="preserve"> </w:t>
      </w:r>
      <w:r w:rsidRPr="00EF01A4">
        <w:rPr>
          <w:rFonts w:cs="Calibri"/>
          <w:i/>
          <w:color w:val="auto"/>
          <w:szCs w:val="23"/>
          <w:lang w:val="en-GB"/>
        </w:rPr>
        <w:t>for and on behalf of</w:t>
      </w:r>
      <w:r w:rsidR="00EF01A4">
        <w:rPr>
          <w:rFonts w:cs="Calibri"/>
          <w:i/>
          <w:color w:val="auto"/>
          <w:szCs w:val="23"/>
          <w:lang w:val="en-GB"/>
        </w:rPr>
        <w:t xml:space="preserve"> the State of </w:t>
      </w:r>
      <w:r w:rsidR="004C17C3">
        <w:rPr>
          <w:rFonts w:cs="Calibri"/>
          <w:i/>
          <w:color w:val="auto"/>
          <w:szCs w:val="23"/>
          <w:lang w:val="en-GB"/>
        </w:rPr>
        <w:t>Tasmania</w:t>
      </w:r>
      <w:r w:rsidRPr="00EF01A4">
        <w:rPr>
          <w:rFonts w:cs="Calibri"/>
          <w:i/>
          <w:color w:val="auto"/>
          <w:szCs w:val="23"/>
          <w:lang w:val="en-GB"/>
        </w:rPr>
        <w:t xml:space="preserve"> by</w:t>
      </w:r>
    </w:p>
    <w:p w14:paraId="61163FE7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2D9E7429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32DB0A4F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</w:p>
    <w:p w14:paraId="18274222" w14:textId="77777777" w:rsidR="002D60FE" w:rsidRPr="00EF01A4" w:rsidRDefault="002D60FE" w:rsidP="002D60FE">
      <w:pPr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__________________________________________</w:t>
      </w:r>
    </w:p>
    <w:p w14:paraId="3520C621" w14:textId="14FD3E1C" w:rsidR="002D60FE" w:rsidRPr="00EF01A4" w:rsidRDefault="002D60FE" w:rsidP="002D60FE">
      <w:pPr>
        <w:rPr>
          <w:rFonts w:cs="Calibri"/>
          <w:b/>
          <w:color w:val="auto"/>
          <w:szCs w:val="23"/>
          <w:lang w:val="en-GB"/>
        </w:rPr>
      </w:pPr>
      <w:r w:rsidRPr="00EF01A4">
        <w:rPr>
          <w:rFonts w:cs="Calibri"/>
          <w:b/>
          <w:color w:val="auto"/>
          <w:szCs w:val="23"/>
          <w:lang w:val="en-GB"/>
        </w:rPr>
        <w:t xml:space="preserve">The </w:t>
      </w:r>
      <w:r w:rsidR="00EF01A4">
        <w:rPr>
          <w:rFonts w:cs="Calibri"/>
          <w:b/>
          <w:color w:val="auto"/>
          <w:szCs w:val="23"/>
          <w:lang w:val="en-GB"/>
        </w:rPr>
        <w:t xml:space="preserve">Honourable </w:t>
      </w:r>
      <w:r w:rsidR="0057720D" w:rsidRPr="0057720D">
        <w:rPr>
          <w:rFonts w:cs="Calibri"/>
          <w:b/>
          <w:color w:val="auto"/>
          <w:szCs w:val="23"/>
          <w:lang w:val="en-GB"/>
        </w:rPr>
        <w:t>Michael Ferguson</w:t>
      </w:r>
      <w:r w:rsidRPr="0057720D">
        <w:rPr>
          <w:rFonts w:cs="Calibri"/>
          <w:b/>
          <w:color w:val="auto"/>
          <w:szCs w:val="23"/>
          <w:lang w:val="en-GB"/>
        </w:rPr>
        <w:t xml:space="preserve"> MP</w:t>
      </w:r>
    </w:p>
    <w:p w14:paraId="455DA72C" w14:textId="77777777" w:rsidR="002D60FE" w:rsidRPr="00EF01A4" w:rsidRDefault="002D60FE" w:rsidP="002D60FE">
      <w:pPr>
        <w:spacing w:after="120"/>
        <w:rPr>
          <w:rFonts w:cs="Calibri"/>
          <w:color w:val="auto"/>
          <w:szCs w:val="23"/>
          <w:lang w:val="en-GB"/>
        </w:rPr>
      </w:pPr>
      <w:r w:rsidRPr="00EF01A4">
        <w:rPr>
          <w:rFonts w:cs="Calibri"/>
          <w:color w:val="auto"/>
          <w:szCs w:val="23"/>
          <w:lang w:val="en-GB"/>
        </w:rPr>
        <w:t>Minister for Health</w:t>
      </w:r>
    </w:p>
    <w:p w14:paraId="34E30BE4" w14:textId="77777777" w:rsidR="002D60FE" w:rsidRPr="00EF01A4" w:rsidRDefault="00093CC8" w:rsidP="002D60FE">
      <w:pPr>
        <w:rPr>
          <w:rFonts w:cs="Calibri"/>
          <w:color w:val="auto"/>
          <w:szCs w:val="23"/>
          <w:lang w:val="en-GB"/>
        </w:rPr>
      </w:pPr>
      <w:r>
        <w:rPr>
          <w:rFonts w:cs="Calibri"/>
          <w:color w:val="auto"/>
          <w:szCs w:val="23"/>
          <w:lang w:val="en-GB"/>
        </w:rPr>
        <w:t xml:space="preserve">        /        /2018</w:t>
      </w:r>
    </w:p>
    <w:p w14:paraId="054BF98E" w14:textId="77777777" w:rsidR="002D60FE" w:rsidRPr="00EF01A4" w:rsidRDefault="002D60FE" w:rsidP="00402044">
      <w:pPr>
        <w:pStyle w:val="Normalnumbered"/>
        <w:tabs>
          <w:tab w:val="clear" w:pos="283"/>
          <w:tab w:val="clear" w:pos="567"/>
          <w:tab w:val="clear" w:pos="1134"/>
          <w:tab w:val="clear" w:pos="1418"/>
        </w:tabs>
        <w:ind w:left="0" w:firstLine="0"/>
        <w:rPr>
          <w:b/>
          <w:color w:val="auto"/>
        </w:rPr>
      </w:pPr>
    </w:p>
    <w:sectPr w:rsidR="002D60FE" w:rsidRPr="00EF01A4" w:rsidSect="00EE235D">
      <w:footerReference w:type="first" r:id="rId21"/>
      <w:pgSz w:w="11906" w:h="16838" w:code="9"/>
      <w:pgMar w:top="1440" w:right="1440" w:bottom="1440" w:left="1440" w:header="709" w:footer="0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3AF5B" w14:textId="77777777" w:rsidR="00CB4844" w:rsidRDefault="00CB4844">
      <w:r>
        <w:separator/>
      </w:r>
    </w:p>
  </w:endnote>
  <w:endnote w:type="continuationSeparator" w:id="0">
    <w:p w14:paraId="03B5C482" w14:textId="77777777" w:rsidR="00CB4844" w:rsidRDefault="00C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9D2FD" w14:textId="77777777" w:rsidR="00F559EF" w:rsidRDefault="00F559EF" w:rsidP="008A7A45">
    <w:pPr>
      <w:pStyle w:val="FooterEven"/>
      <w:keepNext/>
      <w:tabs>
        <w:tab w:val="num" w:pos="1701"/>
      </w:tabs>
      <w:jc w:val="right"/>
      <w:rPr>
        <w:rStyle w:val="PageNumber"/>
      </w:rPr>
    </w:pPr>
    <w:r>
      <w:t xml:space="preserve">Page </w:t>
    </w:r>
  </w:p>
  <w:p w14:paraId="6EC02D24" w14:textId="77777777" w:rsidR="00F559EF" w:rsidRDefault="00F559EF">
    <w:pPr>
      <w:pStyle w:val="FooterEven"/>
      <w:keepNext/>
      <w:tabs>
        <w:tab w:val="num" w:pos="17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68E4" w14:textId="48B96426" w:rsidR="00F51C97" w:rsidRDefault="00F51C97">
    <w:pPr>
      <w:pStyle w:val="Footer"/>
      <w:jc w:val="right"/>
    </w:pPr>
    <w:r>
      <w:t xml:space="preserve">Schedule </w:t>
    </w:r>
    <w:r w:rsidR="004C17C3">
      <w:t>F</w:t>
    </w:r>
    <w:sdt>
      <w:sdtPr>
        <w:id w:val="-2125912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814">
          <w:t xml:space="preserve"> </w:t>
        </w:r>
        <w:r w:rsidR="00452814">
          <w:fldChar w:fldCharType="begin"/>
        </w:r>
        <w:r w:rsidR="00452814">
          <w:instrText xml:space="preserve"> PAGE   \* MERGEFORMAT </w:instrText>
        </w:r>
        <w:r w:rsidR="00452814">
          <w:fldChar w:fldCharType="separate"/>
        </w:r>
        <w:r w:rsidR="00884790">
          <w:rPr>
            <w:noProof/>
          </w:rPr>
          <w:t>4</w:t>
        </w:r>
        <w:r w:rsidR="00452814">
          <w:rPr>
            <w:noProof/>
          </w:rPr>
          <w:fldChar w:fldCharType="end"/>
        </w:r>
      </w:sdtContent>
    </w:sdt>
  </w:p>
  <w:p w14:paraId="45D5A52E" w14:textId="77777777" w:rsidR="00F51C97" w:rsidRDefault="00F51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7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DD7D7" w14:textId="5397E195" w:rsidR="00F51C97" w:rsidRDefault="00F51C97">
        <w:pPr>
          <w:pStyle w:val="Footer"/>
          <w:jc w:val="right"/>
        </w:pPr>
        <w:r>
          <w:t xml:space="preserve">Schedule </w:t>
        </w:r>
        <w:r w:rsidR="004C17C3">
          <w:t>F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E479F" w14:textId="77777777" w:rsidR="00F51C97" w:rsidRDefault="00F51C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830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8DAFB" w14:textId="0C56F696" w:rsidR="00452814" w:rsidRDefault="00452814">
        <w:pPr>
          <w:pStyle w:val="Footer"/>
          <w:jc w:val="right"/>
        </w:pPr>
        <w:r>
          <w:t xml:space="preserve">Schedule 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7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5B349" w14:textId="77777777" w:rsidR="00452814" w:rsidRDefault="0045281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95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E8ACE" w14:textId="0B1A171B" w:rsidR="00452814" w:rsidRDefault="00452814">
        <w:pPr>
          <w:pStyle w:val="Footer"/>
          <w:jc w:val="right"/>
        </w:pPr>
        <w:r>
          <w:t>Schedule F5</w:t>
        </w:r>
      </w:p>
    </w:sdtContent>
  </w:sdt>
  <w:p w14:paraId="56AFE1F1" w14:textId="77777777" w:rsidR="00452814" w:rsidRDefault="00452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BF0D8" w14:textId="77777777" w:rsidR="00CB4844" w:rsidRDefault="00CB4844">
      <w:r>
        <w:separator/>
      </w:r>
    </w:p>
  </w:footnote>
  <w:footnote w:type="continuationSeparator" w:id="0">
    <w:p w14:paraId="4911F92A" w14:textId="77777777" w:rsidR="00CB4844" w:rsidRDefault="00CB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81C2" w14:textId="69C09C51" w:rsidR="00AF08B7" w:rsidRPr="00AF08B7" w:rsidRDefault="00AF08B7" w:rsidP="00AF08B7">
    <w:pPr>
      <w:pStyle w:val="Header"/>
      <w:jc w:val="right"/>
      <w:rPr>
        <w:sz w:val="29"/>
        <w:szCs w:val="29"/>
      </w:rPr>
    </w:pPr>
    <w:r w:rsidRPr="00AF08B7">
      <w:rPr>
        <w:rFonts w:cs="Corbel"/>
        <w:color w:val="800000"/>
        <w:sz w:val="29"/>
        <w:szCs w:val="29"/>
      </w:rPr>
      <w:t xml:space="preserve">Schedule </w:t>
    </w:r>
    <w:r w:rsidR="004C17C3">
      <w:rPr>
        <w:rFonts w:cs="Corbel"/>
        <w:color w:val="800000"/>
        <w:sz w:val="29"/>
        <w:szCs w:val="29"/>
      </w:rPr>
      <w:t>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F794E" w14:textId="77777777" w:rsidR="000E7AD4" w:rsidRPr="00AF08B7" w:rsidRDefault="000E7AD4" w:rsidP="000E7AD4">
    <w:pPr>
      <w:pStyle w:val="Header"/>
      <w:jc w:val="right"/>
      <w:rPr>
        <w:sz w:val="29"/>
        <w:szCs w:val="29"/>
      </w:rPr>
    </w:pPr>
    <w:r w:rsidRPr="00AF08B7">
      <w:rPr>
        <w:rFonts w:cs="Corbel"/>
        <w:color w:val="800000"/>
        <w:sz w:val="29"/>
        <w:szCs w:val="29"/>
      </w:rPr>
      <w:t xml:space="preserve">Schedule </w:t>
    </w:r>
    <w:r>
      <w:rPr>
        <w:rFonts w:cs="Corbel"/>
        <w:color w:val="800000"/>
        <w:sz w:val="29"/>
        <w:szCs w:val="29"/>
      </w:rPr>
      <w:t>F</w:t>
    </w:r>
  </w:p>
  <w:p w14:paraId="107340A6" w14:textId="77777777" w:rsidR="000E7AD4" w:rsidRPr="000E7AD4" w:rsidRDefault="000E7AD4" w:rsidP="000E7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B8"/>
    <w:multiLevelType w:val="hybridMultilevel"/>
    <w:tmpl w:val="4218E8B4"/>
    <w:lvl w:ilvl="0" w:tplc="0C09001B">
      <w:start w:val="1"/>
      <w:numFmt w:val="lowerRoman"/>
      <w:lvlText w:val="%1."/>
      <w:lvlJc w:val="righ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802C8C"/>
    <w:multiLevelType w:val="hybridMultilevel"/>
    <w:tmpl w:val="5C64CB40"/>
    <w:lvl w:ilvl="0" w:tplc="0C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801517A"/>
    <w:multiLevelType w:val="hybridMultilevel"/>
    <w:tmpl w:val="19F8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>
    <w:nsid w:val="11EF2BD8"/>
    <w:multiLevelType w:val="hybridMultilevel"/>
    <w:tmpl w:val="65A28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EAC"/>
    <w:multiLevelType w:val="hybridMultilevel"/>
    <w:tmpl w:val="1200E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7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0661889"/>
    <w:multiLevelType w:val="hybridMultilevel"/>
    <w:tmpl w:val="E9866218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>
    <w:nsid w:val="256266D2"/>
    <w:multiLevelType w:val="hybridMultilevel"/>
    <w:tmpl w:val="B518D194"/>
    <w:lvl w:ilvl="0" w:tplc="EFF4EC58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3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4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2DE27D04"/>
    <w:multiLevelType w:val="hybridMultilevel"/>
    <w:tmpl w:val="23BAF486"/>
    <w:lvl w:ilvl="0" w:tplc="AE56B93E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0475656"/>
    <w:multiLevelType w:val="hybridMultilevel"/>
    <w:tmpl w:val="801C2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58F785A"/>
    <w:multiLevelType w:val="hybridMultilevel"/>
    <w:tmpl w:val="DC0C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158C0"/>
    <w:multiLevelType w:val="hybridMultilevel"/>
    <w:tmpl w:val="2B9A28AE"/>
    <w:lvl w:ilvl="0" w:tplc="EF344E8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66CE7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E30CE9"/>
    <w:multiLevelType w:val="hybridMultilevel"/>
    <w:tmpl w:val="DBB8C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1682B"/>
    <w:multiLevelType w:val="hybridMultilevel"/>
    <w:tmpl w:val="C4742796"/>
    <w:lvl w:ilvl="0" w:tplc="8E48CAD4">
      <w:start w:val="1"/>
      <w:numFmt w:val="lowerLetter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4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5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7">
    <w:nsid w:val="59B70749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8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63870B61"/>
    <w:multiLevelType w:val="hybridMultilevel"/>
    <w:tmpl w:val="6B005254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CE30198"/>
    <w:multiLevelType w:val="hybridMultilevel"/>
    <w:tmpl w:val="99DC2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2">
    <w:nsid w:val="761C52D8"/>
    <w:multiLevelType w:val="hybridMultilevel"/>
    <w:tmpl w:val="EBF6B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4">
    <w:nsid w:val="78854AAC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664040"/>
    <w:multiLevelType w:val="multilevel"/>
    <w:tmpl w:val="5CC6A26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6">
    <w:nsid w:val="7CBC1748"/>
    <w:multiLevelType w:val="hybridMultilevel"/>
    <w:tmpl w:val="69C08CBE"/>
    <w:lvl w:ilvl="0" w:tplc="E4042942">
      <w:start w:val="1"/>
      <w:numFmt w:val="decimal"/>
      <w:lvlText w:val="%1."/>
      <w:lvlJc w:val="left"/>
      <w:pPr>
        <w:ind w:left="1572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>
    <w:nsid w:val="7DEE6EAE"/>
    <w:multiLevelType w:val="multilevel"/>
    <w:tmpl w:val="04883A1A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8">
    <w:nsid w:val="7F081E0E"/>
    <w:multiLevelType w:val="hybridMultilevel"/>
    <w:tmpl w:val="7882A0CA"/>
    <w:lvl w:ilvl="0" w:tplc="FA02EBDE">
      <w:start w:val="1"/>
      <w:numFmt w:val="lowerRoman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D72FE8"/>
    <w:multiLevelType w:val="hybridMultilevel"/>
    <w:tmpl w:val="028E50B2"/>
    <w:lvl w:ilvl="0" w:tplc="660EB7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6"/>
  </w:num>
  <w:num w:numId="5">
    <w:abstractNumId w:val="28"/>
  </w:num>
  <w:num w:numId="6">
    <w:abstractNumId w:val="12"/>
  </w:num>
  <w:num w:numId="7">
    <w:abstractNumId w:val="17"/>
  </w:num>
  <w:num w:numId="8">
    <w:abstractNumId w:val="7"/>
  </w:num>
  <w:num w:numId="9">
    <w:abstractNumId w:val="13"/>
  </w:num>
  <w:num w:numId="10">
    <w:abstractNumId w:val="34"/>
  </w:num>
  <w:num w:numId="11">
    <w:abstractNumId w:val="3"/>
  </w:num>
  <w:num w:numId="12">
    <w:abstractNumId w:val="25"/>
  </w:num>
  <w:num w:numId="13">
    <w:abstractNumId w:val="31"/>
  </w:num>
  <w:num w:numId="14">
    <w:abstractNumId w:val="23"/>
  </w:num>
  <w:num w:numId="15">
    <w:abstractNumId w:val="27"/>
  </w:num>
  <w:num w:numId="16">
    <w:abstractNumId w:val="33"/>
  </w:num>
  <w:num w:numId="17">
    <w:abstractNumId w:val="9"/>
  </w:num>
  <w:num w:numId="18">
    <w:abstractNumId w:val="1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0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36"/>
  </w:num>
  <w:num w:numId="27">
    <w:abstractNumId w:val="21"/>
  </w:num>
  <w:num w:numId="28">
    <w:abstractNumId w:val="18"/>
  </w:num>
  <w:num w:numId="29">
    <w:abstractNumId w:val="4"/>
  </w:num>
  <w:num w:numId="30">
    <w:abstractNumId w:val="2"/>
  </w:num>
  <w:num w:numId="31">
    <w:abstractNumId w:val="1"/>
  </w:num>
  <w:num w:numId="32">
    <w:abstractNumId w:val="32"/>
  </w:num>
  <w:num w:numId="33">
    <w:abstractNumId w:val="5"/>
  </w:num>
  <w:num w:numId="34">
    <w:abstractNumId w:val="16"/>
  </w:num>
  <w:num w:numId="35">
    <w:abstractNumId w:val="20"/>
  </w:num>
  <w:num w:numId="36">
    <w:abstractNumId w:val="39"/>
  </w:num>
  <w:num w:numId="37">
    <w:abstractNumId w:val="0"/>
  </w:num>
  <w:num w:numId="38">
    <w:abstractNumId w:val="8"/>
  </w:num>
  <w:num w:numId="39">
    <w:abstractNumId w:val="29"/>
  </w:num>
  <w:num w:numId="40">
    <w:abstractNumId w:val="19"/>
  </w:num>
  <w:num w:numId="41">
    <w:abstractNumId w:val="22"/>
  </w:num>
  <w:num w:numId="42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0779"/>
    <w:rsid w:val="00005A5D"/>
    <w:rsid w:val="000076D9"/>
    <w:rsid w:val="00012D05"/>
    <w:rsid w:val="00014378"/>
    <w:rsid w:val="0001634A"/>
    <w:rsid w:val="00021708"/>
    <w:rsid w:val="00026F6E"/>
    <w:rsid w:val="000343F1"/>
    <w:rsid w:val="00036749"/>
    <w:rsid w:val="000416EF"/>
    <w:rsid w:val="0004601D"/>
    <w:rsid w:val="0004776B"/>
    <w:rsid w:val="000504FF"/>
    <w:rsid w:val="00051940"/>
    <w:rsid w:val="00056E78"/>
    <w:rsid w:val="0006051B"/>
    <w:rsid w:val="000614F9"/>
    <w:rsid w:val="0006451A"/>
    <w:rsid w:val="0006551D"/>
    <w:rsid w:val="00065679"/>
    <w:rsid w:val="0007004C"/>
    <w:rsid w:val="000724F6"/>
    <w:rsid w:val="00072FC7"/>
    <w:rsid w:val="00074611"/>
    <w:rsid w:val="00080FB4"/>
    <w:rsid w:val="00085EDC"/>
    <w:rsid w:val="00086712"/>
    <w:rsid w:val="000901B3"/>
    <w:rsid w:val="00091369"/>
    <w:rsid w:val="000914AE"/>
    <w:rsid w:val="00091DF8"/>
    <w:rsid w:val="00093CC8"/>
    <w:rsid w:val="00093DD8"/>
    <w:rsid w:val="00094AC7"/>
    <w:rsid w:val="00094C74"/>
    <w:rsid w:val="0009569D"/>
    <w:rsid w:val="00097794"/>
    <w:rsid w:val="000A04B3"/>
    <w:rsid w:val="000A0C9E"/>
    <w:rsid w:val="000A13ED"/>
    <w:rsid w:val="000A279F"/>
    <w:rsid w:val="000A3DE5"/>
    <w:rsid w:val="000A5191"/>
    <w:rsid w:val="000B2772"/>
    <w:rsid w:val="000B4080"/>
    <w:rsid w:val="000B471A"/>
    <w:rsid w:val="000B4C92"/>
    <w:rsid w:val="000B59F0"/>
    <w:rsid w:val="000B5C87"/>
    <w:rsid w:val="000B7EB9"/>
    <w:rsid w:val="000C02FF"/>
    <w:rsid w:val="000C1D1B"/>
    <w:rsid w:val="000C3CA2"/>
    <w:rsid w:val="000C589E"/>
    <w:rsid w:val="000C6AA5"/>
    <w:rsid w:val="000C714F"/>
    <w:rsid w:val="000D17C9"/>
    <w:rsid w:val="000D19D8"/>
    <w:rsid w:val="000D1C37"/>
    <w:rsid w:val="000D23D7"/>
    <w:rsid w:val="000D37CB"/>
    <w:rsid w:val="000D4377"/>
    <w:rsid w:val="000D43C1"/>
    <w:rsid w:val="000D56CC"/>
    <w:rsid w:val="000E056F"/>
    <w:rsid w:val="000E1B05"/>
    <w:rsid w:val="000E2039"/>
    <w:rsid w:val="000E365A"/>
    <w:rsid w:val="000E36B7"/>
    <w:rsid w:val="000E3C70"/>
    <w:rsid w:val="000E48C3"/>
    <w:rsid w:val="000E4E1E"/>
    <w:rsid w:val="000E68C6"/>
    <w:rsid w:val="000E70D5"/>
    <w:rsid w:val="000E7AD4"/>
    <w:rsid w:val="000E7D21"/>
    <w:rsid w:val="000F0097"/>
    <w:rsid w:val="000F0880"/>
    <w:rsid w:val="000F1F97"/>
    <w:rsid w:val="000F4224"/>
    <w:rsid w:val="000F6CF6"/>
    <w:rsid w:val="0010267F"/>
    <w:rsid w:val="00103995"/>
    <w:rsid w:val="00103FD6"/>
    <w:rsid w:val="00105E9A"/>
    <w:rsid w:val="00106019"/>
    <w:rsid w:val="001065EE"/>
    <w:rsid w:val="001108E9"/>
    <w:rsid w:val="00110F5D"/>
    <w:rsid w:val="00115166"/>
    <w:rsid w:val="00115A97"/>
    <w:rsid w:val="00120F69"/>
    <w:rsid w:val="00122DBA"/>
    <w:rsid w:val="00123753"/>
    <w:rsid w:val="00123A46"/>
    <w:rsid w:val="001262B5"/>
    <w:rsid w:val="00130342"/>
    <w:rsid w:val="00132587"/>
    <w:rsid w:val="0013571B"/>
    <w:rsid w:val="00136B76"/>
    <w:rsid w:val="00136E72"/>
    <w:rsid w:val="001404A9"/>
    <w:rsid w:val="0014055F"/>
    <w:rsid w:val="00140F43"/>
    <w:rsid w:val="00143C9B"/>
    <w:rsid w:val="001446AB"/>
    <w:rsid w:val="0014568A"/>
    <w:rsid w:val="00145D5C"/>
    <w:rsid w:val="00145DAB"/>
    <w:rsid w:val="00151133"/>
    <w:rsid w:val="00154E2D"/>
    <w:rsid w:val="001550CE"/>
    <w:rsid w:val="00160506"/>
    <w:rsid w:val="001629FA"/>
    <w:rsid w:val="00164C47"/>
    <w:rsid w:val="00166312"/>
    <w:rsid w:val="00167BB8"/>
    <w:rsid w:val="00171244"/>
    <w:rsid w:val="0017236F"/>
    <w:rsid w:val="00172858"/>
    <w:rsid w:val="00173F81"/>
    <w:rsid w:val="00174C2A"/>
    <w:rsid w:val="00175FB9"/>
    <w:rsid w:val="001762BD"/>
    <w:rsid w:val="0017637D"/>
    <w:rsid w:val="00177A0A"/>
    <w:rsid w:val="00177FD1"/>
    <w:rsid w:val="00180F76"/>
    <w:rsid w:val="00183EAB"/>
    <w:rsid w:val="00185CC1"/>
    <w:rsid w:val="001876D6"/>
    <w:rsid w:val="00187BEB"/>
    <w:rsid w:val="00192C82"/>
    <w:rsid w:val="001931E8"/>
    <w:rsid w:val="00193972"/>
    <w:rsid w:val="00193F0A"/>
    <w:rsid w:val="00194232"/>
    <w:rsid w:val="00194587"/>
    <w:rsid w:val="001960DD"/>
    <w:rsid w:val="00196B4E"/>
    <w:rsid w:val="001977E9"/>
    <w:rsid w:val="001A1422"/>
    <w:rsid w:val="001A14C1"/>
    <w:rsid w:val="001A2E4A"/>
    <w:rsid w:val="001A3A9A"/>
    <w:rsid w:val="001A4093"/>
    <w:rsid w:val="001A79C1"/>
    <w:rsid w:val="001A7A15"/>
    <w:rsid w:val="001B19A0"/>
    <w:rsid w:val="001B1CA3"/>
    <w:rsid w:val="001B580E"/>
    <w:rsid w:val="001B7933"/>
    <w:rsid w:val="001C346E"/>
    <w:rsid w:val="001C3717"/>
    <w:rsid w:val="001C5CC5"/>
    <w:rsid w:val="001D0268"/>
    <w:rsid w:val="001D02A0"/>
    <w:rsid w:val="001D1DAA"/>
    <w:rsid w:val="001D2392"/>
    <w:rsid w:val="001D2C27"/>
    <w:rsid w:val="001D3CAD"/>
    <w:rsid w:val="001D4B0D"/>
    <w:rsid w:val="001D7F6C"/>
    <w:rsid w:val="001E20EC"/>
    <w:rsid w:val="001E40FA"/>
    <w:rsid w:val="001E4479"/>
    <w:rsid w:val="001E7173"/>
    <w:rsid w:val="001E74D0"/>
    <w:rsid w:val="001E7803"/>
    <w:rsid w:val="001F0656"/>
    <w:rsid w:val="001F1D48"/>
    <w:rsid w:val="001F3F1D"/>
    <w:rsid w:val="001F410A"/>
    <w:rsid w:val="001F515F"/>
    <w:rsid w:val="001F60CF"/>
    <w:rsid w:val="001F6F39"/>
    <w:rsid w:val="001F6FE8"/>
    <w:rsid w:val="0020144E"/>
    <w:rsid w:val="00202A48"/>
    <w:rsid w:val="002032FB"/>
    <w:rsid w:val="002040F0"/>
    <w:rsid w:val="00204C3B"/>
    <w:rsid w:val="00205E18"/>
    <w:rsid w:val="002069BE"/>
    <w:rsid w:val="002069F9"/>
    <w:rsid w:val="0020780F"/>
    <w:rsid w:val="00212869"/>
    <w:rsid w:val="00221308"/>
    <w:rsid w:val="00222C97"/>
    <w:rsid w:val="00222F0F"/>
    <w:rsid w:val="00223CBB"/>
    <w:rsid w:val="00223E09"/>
    <w:rsid w:val="002252EA"/>
    <w:rsid w:val="00225761"/>
    <w:rsid w:val="002265B1"/>
    <w:rsid w:val="00231445"/>
    <w:rsid w:val="00232E16"/>
    <w:rsid w:val="00233835"/>
    <w:rsid w:val="00237DD5"/>
    <w:rsid w:val="0024037B"/>
    <w:rsid w:val="00241EE9"/>
    <w:rsid w:val="002428B1"/>
    <w:rsid w:val="00244995"/>
    <w:rsid w:val="00246F32"/>
    <w:rsid w:val="00247D45"/>
    <w:rsid w:val="0025175C"/>
    <w:rsid w:val="00251A6A"/>
    <w:rsid w:val="00252DE3"/>
    <w:rsid w:val="00253025"/>
    <w:rsid w:val="002539CC"/>
    <w:rsid w:val="00261ABA"/>
    <w:rsid w:val="00262033"/>
    <w:rsid w:val="00262E18"/>
    <w:rsid w:val="00272871"/>
    <w:rsid w:val="00281F5F"/>
    <w:rsid w:val="00282C25"/>
    <w:rsid w:val="0028384A"/>
    <w:rsid w:val="002844E3"/>
    <w:rsid w:val="00284884"/>
    <w:rsid w:val="00285003"/>
    <w:rsid w:val="00285D7A"/>
    <w:rsid w:val="002869F5"/>
    <w:rsid w:val="00286B6A"/>
    <w:rsid w:val="00287DCC"/>
    <w:rsid w:val="00287E81"/>
    <w:rsid w:val="00291CF1"/>
    <w:rsid w:val="00292587"/>
    <w:rsid w:val="002957DE"/>
    <w:rsid w:val="00296517"/>
    <w:rsid w:val="002A143D"/>
    <w:rsid w:val="002A493A"/>
    <w:rsid w:val="002A4FAB"/>
    <w:rsid w:val="002A530A"/>
    <w:rsid w:val="002A5884"/>
    <w:rsid w:val="002A6981"/>
    <w:rsid w:val="002A6B5E"/>
    <w:rsid w:val="002B0B30"/>
    <w:rsid w:val="002B3D47"/>
    <w:rsid w:val="002B49A4"/>
    <w:rsid w:val="002B7922"/>
    <w:rsid w:val="002B7E1B"/>
    <w:rsid w:val="002C15FA"/>
    <w:rsid w:val="002C2529"/>
    <w:rsid w:val="002C62B3"/>
    <w:rsid w:val="002C7620"/>
    <w:rsid w:val="002D122C"/>
    <w:rsid w:val="002D2849"/>
    <w:rsid w:val="002D60FE"/>
    <w:rsid w:val="002D74CB"/>
    <w:rsid w:val="002D7CF9"/>
    <w:rsid w:val="002E08EA"/>
    <w:rsid w:val="002E0D58"/>
    <w:rsid w:val="002E1100"/>
    <w:rsid w:val="002E17DE"/>
    <w:rsid w:val="002E222F"/>
    <w:rsid w:val="002E2DE2"/>
    <w:rsid w:val="002E4B66"/>
    <w:rsid w:val="002E6DAA"/>
    <w:rsid w:val="002F20DA"/>
    <w:rsid w:val="002F576E"/>
    <w:rsid w:val="002F5865"/>
    <w:rsid w:val="002F5B29"/>
    <w:rsid w:val="002F5C6C"/>
    <w:rsid w:val="002F7735"/>
    <w:rsid w:val="002F7E40"/>
    <w:rsid w:val="003012DA"/>
    <w:rsid w:val="00307C5C"/>
    <w:rsid w:val="00312D53"/>
    <w:rsid w:val="00313480"/>
    <w:rsid w:val="00313C98"/>
    <w:rsid w:val="00313FD9"/>
    <w:rsid w:val="003155BD"/>
    <w:rsid w:val="00316B69"/>
    <w:rsid w:val="003177B9"/>
    <w:rsid w:val="00321E0A"/>
    <w:rsid w:val="00322D0F"/>
    <w:rsid w:val="00323A2B"/>
    <w:rsid w:val="00323C97"/>
    <w:rsid w:val="0032432B"/>
    <w:rsid w:val="00326BAA"/>
    <w:rsid w:val="00332704"/>
    <w:rsid w:val="00333506"/>
    <w:rsid w:val="00333A42"/>
    <w:rsid w:val="00336C6D"/>
    <w:rsid w:val="00340A07"/>
    <w:rsid w:val="003410AA"/>
    <w:rsid w:val="003411EF"/>
    <w:rsid w:val="00341B8E"/>
    <w:rsid w:val="00345D56"/>
    <w:rsid w:val="003473D1"/>
    <w:rsid w:val="00352A6B"/>
    <w:rsid w:val="00352EC1"/>
    <w:rsid w:val="0035349E"/>
    <w:rsid w:val="003600B7"/>
    <w:rsid w:val="003604F3"/>
    <w:rsid w:val="00361054"/>
    <w:rsid w:val="0036119D"/>
    <w:rsid w:val="00364CF3"/>
    <w:rsid w:val="003675EF"/>
    <w:rsid w:val="00367EAB"/>
    <w:rsid w:val="00370E78"/>
    <w:rsid w:val="00371358"/>
    <w:rsid w:val="00372573"/>
    <w:rsid w:val="0037410E"/>
    <w:rsid w:val="00376957"/>
    <w:rsid w:val="00377AB2"/>
    <w:rsid w:val="003820AE"/>
    <w:rsid w:val="00383890"/>
    <w:rsid w:val="003877C3"/>
    <w:rsid w:val="0039283B"/>
    <w:rsid w:val="00393249"/>
    <w:rsid w:val="00396EA4"/>
    <w:rsid w:val="003A1528"/>
    <w:rsid w:val="003A1B32"/>
    <w:rsid w:val="003A2157"/>
    <w:rsid w:val="003A3363"/>
    <w:rsid w:val="003A3905"/>
    <w:rsid w:val="003A3CC1"/>
    <w:rsid w:val="003A5429"/>
    <w:rsid w:val="003A6635"/>
    <w:rsid w:val="003A6B0E"/>
    <w:rsid w:val="003A78C6"/>
    <w:rsid w:val="003B2080"/>
    <w:rsid w:val="003B5562"/>
    <w:rsid w:val="003B5764"/>
    <w:rsid w:val="003B6363"/>
    <w:rsid w:val="003B737F"/>
    <w:rsid w:val="003D058A"/>
    <w:rsid w:val="003E1667"/>
    <w:rsid w:val="003E19C4"/>
    <w:rsid w:val="003E4B29"/>
    <w:rsid w:val="003E6BA0"/>
    <w:rsid w:val="003E73DB"/>
    <w:rsid w:val="003F0ADC"/>
    <w:rsid w:val="003F1B39"/>
    <w:rsid w:val="003F25B0"/>
    <w:rsid w:val="003F59E6"/>
    <w:rsid w:val="003F5BE6"/>
    <w:rsid w:val="003F6C00"/>
    <w:rsid w:val="003F7B35"/>
    <w:rsid w:val="004002F8"/>
    <w:rsid w:val="00400FC1"/>
    <w:rsid w:val="00402044"/>
    <w:rsid w:val="004026E7"/>
    <w:rsid w:val="004048E7"/>
    <w:rsid w:val="004120B1"/>
    <w:rsid w:val="004122A6"/>
    <w:rsid w:val="00412A1B"/>
    <w:rsid w:val="0041336C"/>
    <w:rsid w:val="00413D64"/>
    <w:rsid w:val="0041421D"/>
    <w:rsid w:val="0041441E"/>
    <w:rsid w:val="00414A5C"/>
    <w:rsid w:val="004156B4"/>
    <w:rsid w:val="0041697F"/>
    <w:rsid w:val="00420235"/>
    <w:rsid w:val="004223AA"/>
    <w:rsid w:val="00423104"/>
    <w:rsid w:val="00425857"/>
    <w:rsid w:val="00426125"/>
    <w:rsid w:val="004267D3"/>
    <w:rsid w:val="004305B2"/>
    <w:rsid w:val="00431404"/>
    <w:rsid w:val="00431E28"/>
    <w:rsid w:val="00433E65"/>
    <w:rsid w:val="0043679B"/>
    <w:rsid w:val="004374B2"/>
    <w:rsid w:val="00440CD5"/>
    <w:rsid w:val="00442046"/>
    <w:rsid w:val="00442AB8"/>
    <w:rsid w:val="004436EA"/>
    <w:rsid w:val="00446391"/>
    <w:rsid w:val="004505CB"/>
    <w:rsid w:val="00450B39"/>
    <w:rsid w:val="00450B63"/>
    <w:rsid w:val="00452814"/>
    <w:rsid w:val="00453BC6"/>
    <w:rsid w:val="00454498"/>
    <w:rsid w:val="0045481C"/>
    <w:rsid w:val="00456C59"/>
    <w:rsid w:val="004571B4"/>
    <w:rsid w:val="004614AE"/>
    <w:rsid w:val="00464FDF"/>
    <w:rsid w:val="004670C5"/>
    <w:rsid w:val="00470C57"/>
    <w:rsid w:val="00473210"/>
    <w:rsid w:val="0047349B"/>
    <w:rsid w:val="00475ADD"/>
    <w:rsid w:val="00477931"/>
    <w:rsid w:val="00482D60"/>
    <w:rsid w:val="00490198"/>
    <w:rsid w:val="0049022F"/>
    <w:rsid w:val="00490B28"/>
    <w:rsid w:val="00490E28"/>
    <w:rsid w:val="00493F45"/>
    <w:rsid w:val="00495464"/>
    <w:rsid w:val="00497362"/>
    <w:rsid w:val="00497C66"/>
    <w:rsid w:val="00497C77"/>
    <w:rsid w:val="004A0AE7"/>
    <w:rsid w:val="004A20CA"/>
    <w:rsid w:val="004A5852"/>
    <w:rsid w:val="004A6062"/>
    <w:rsid w:val="004A673A"/>
    <w:rsid w:val="004A770F"/>
    <w:rsid w:val="004B0813"/>
    <w:rsid w:val="004B1F38"/>
    <w:rsid w:val="004B21C5"/>
    <w:rsid w:val="004B2EF6"/>
    <w:rsid w:val="004B34A6"/>
    <w:rsid w:val="004B4330"/>
    <w:rsid w:val="004B475B"/>
    <w:rsid w:val="004B5612"/>
    <w:rsid w:val="004B6083"/>
    <w:rsid w:val="004B6927"/>
    <w:rsid w:val="004B7E5C"/>
    <w:rsid w:val="004C1118"/>
    <w:rsid w:val="004C17C3"/>
    <w:rsid w:val="004C36D4"/>
    <w:rsid w:val="004C3CC4"/>
    <w:rsid w:val="004C4D5E"/>
    <w:rsid w:val="004C579D"/>
    <w:rsid w:val="004C5B2C"/>
    <w:rsid w:val="004C660A"/>
    <w:rsid w:val="004C6EAE"/>
    <w:rsid w:val="004D310E"/>
    <w:rsid w:val="004D378B"/>
    <w:rsid w:val="004D37D8"/>
    <w:rsid w:val="004D4B81"/>
    <w:rsid w:val="004E2881"/>
    <w:rsid w:val="004E293B"/>
    <w:rsid w:val="004E6F6D"/>
    <w:rsid w:val="004E7CA5"/>
    <w:rsid w:val="004F13D3"/>
    <w:rsid w:val="004F13E6"/>
    <w:rsid w:val="004F3B7F"/>
    <w:rsid w:val="004F3C06"/>
    <w:rsid w:val="004F64F4"/>
    <w:rsid w:val="004F668D"/>
    <w:rsid w:val="004F6B2B"/>
    <w:rsid w:val="005005DF"/>
    <w:rsid w:val="00500AE2"/>
    <w:rsid w:val="005017B1"/>
    <w:rsid w:val="0050181F"/>
    <w:rsid w:val="00505045"/>
    <w:rsid w:val="00510B96"/>
    <w:rsid w:val="00510ECF"/>
    <w:rsid w:val="00511501"/>
    <w:rsid w:val="00511B5B"/>
    <w:rsid w:val="00515AF2"/>
    <w:rsid w:val="0051640E"/>
    <w:rsid w:val="00516666"/>
    <w:rsid w:val="00516741"/>
    <w:rsid w:val="0051684E"/>
    <w:rsid w:val="00516881"/>
    <w:rsid w:val="005174B4"/>
    <w:rsid w:val="00517E81"/>
    <w:rsid w:val="0052159E"/>
    <w:rsid w:val="00523E87"/>
    <w:rsid w:val="00527ABC"/>
    <w:rsid w:val="00532CA1"/>
    <w:rsid w:val="005365CD"/>
    <w:rsid w:val="00537A4E"/>
    <w:rsid w:val="0054193D"/>
    <w:rsid w:val="00542A8C"/>
    <w:rsid w:val="00542D59"/>
    <w:rsid w:val="00543637"/>
    <w:rsid w:val="00543E42"/>
    <w:rsid w:val="005515B2"/>
    <w:rsid w:val="00551D9C"/>
    <w:rsid w:val="005539F5"/>
    <w:rsid w:val="00554AAC"/>
    <w:rsid w:val="00554C6E"/>
    <w:rsid w:val="0055503F"/>
    <w:rsid w:val="00555FEF"/>
    <w:rsid w:val="005572D7"/>
    <w:rsid w:val="0056000F"/>
    <w:rsid w:val="005605A2"/>
    <w:rsid w:val="0056081A"/>
    <w:rsid w:val="00562901"/>
    <w:rsid w:val="00563797"/>
    <w:rsid w:val="005651B5"/>
    <w:rsid w:val="005653D6"/>
    <w:rsid w:val="00566234"/>
    <w:rsid w:val="005667DA"/>
    <w:rsid w:val="00566A7B"/>
    <w:rsid w:val="00570B35"/>
    <w:rsid w:val="0057262B"/>
    <w:rsid w:val="00574139"/>
    <w:rsid w:val="0057720D"/>
    <w:rsid w:val="00577718"/>
    <w:rsid w:val="00580684"/>
    <w:rsid w:val="005815B3"/>
    <w:rsid w:val="00582A03"/>
    <w:rsid w:val="005850AF"/>
    <w:rsid w:val="00587E37"/>
    <w:rsid w:val="00593821"/>
    <w:rsid w:val="00596E88"/>
    <w:rsid w:val="005979C1"/>
    <w:rsid w:val="00597CBD"/>
    <w:rsid w:val="005A0969"/>
    <w:rsid w:val="005A16E7"/>
    <w:rsid w:val="005A4F46"/>
    <w:rsid w:val="005B0DEF"/>
    <w:rsid w:val="005B16A0"/>
    <w:rsid w:val="005B2A03"/>
    <w:rsid w:val="005B2C86"/>
    <w:rsid w:val="005B4A71"/>
    <w:rsid w:val="005B4C1B"/>
    <w:rsid w:val="005B668E"/>
    <w:rsid w:val="005B76D7"/>
    <w:rsid w:val="005C13C9"/>
    <w:rsid w:val="005C2684"/>
    <w:rsid w:val="005C2DDC"/>
    <w:rsid w:val="005C30B6"/>
    <w:rsid w:val="005C5620"/>
    <w:rsid w:val="005C5D8C"/>
    <w:rsid w:val="005C77DC"/>
    <w:rsid w:val="005D29DB"/>
    <w:rsid w:val="005D333E"/>
    <w:rsid w:val="005D36F4"/>
    <w:rsid w:val="005D41F9"/>
    <w:rsid w:val="005D6677"/>
    <w:rsid w:val="005D7CE3"/>
    <w:rsid w:val="005E266B"/>
    <w:rsid w:val="005E3D7E"/>
    <w:rsid w:val="005E4143"/>
    <w:rsid w:val="005E4253"/>
    <w:rsid w:val="005E599F"/>
    <w:rsid w:val="005E724B"/>
    <w:rsid w:val="005F2C47"/>
    <w:rsid w:val="005F2CDE"/>
    <w:rsid w:val="006001D1"/>
    <w:rsid w:val="00601DA8"/>
    <w:rsid w:val="00601F7C"/>
    <w:rsid w:val="00602298"/>
    <w:rsid w:val="00602EF7"/>
    <w:rsid w:val="00605AB6"/>
    <w:rsid w:val="00605B11"/>
    <w:rsid w:val="00606F11"/>
    <w:rsid w:val="006073F2"/>
    <w:rsid w:val="00607B03"/>
    <w:rsid w:val="0061059D"/>
    <w:rsid w:val="00611CBA"/>
    <w:rsid w:val="0061326F"/>
    <w:rsid w:val="00613E8B"/>
    <w:rsid w:val="00614393"/>
    <w:rsid w:val="006146F2"/>
    <w:rsid w:val="0061588E"/>
    <w:rsid w:val="00616D95"/>
    <w:rsid w:val="00623567"/>
    <w:rsid w:val="00624ACD"/>
    <w:rsid w:val="00627788"/>
    <w:rsid w:val="00627B74"/>
    <w:rsid w:val="00632EA8"/>
    <w:rsid w:val="006342B5"/>
    <w:rsid w:val="00634FE6"/>
    <w:rsid w:val="0064111D"/>
    <w:rsid w:val="006412B5"/>
    <w:rsid w:val="00641932"/>
    <w:rsid w:val="00644083"/>
    <w:rsid w:val="0064429B"/>
    <w:rsid w:val="0064477C"/>
    <w:rsid w:val="006502E7"/>
    <w:rsid w:val="00650903"/>
    <w:rsid w:val="00651B3E"/>
    <w:rsid w:val="00656A68"/>
    <w:rsid w:val="00657FB4"/>
    <w:rsid w:val="00661083"/>
    <w:rsid w:val="00662E03"/>
    <w:rsid w:val="00663DB4"/>
    <w:rsid w:val="006643B7"/>
    <w:rsid w:val="00665F3E"/>
    <w:rsid w:val="00666898"/>
    <w:rsid w:val="00667443"/>
    <w:rsid w:val="006679C0"/>
    <w:rsid w:val="006702DA"/>
    <w:rsid w:val="00672B10"/>
    <w:rsid w:val="00673A68"/>
    <w:rsid w:val="00680ED5"/>
    <w:rsid w:val="00681184"/>
    <w:rsid w:val="00681956"/>
    <w:rsid w:val="00682233"/>
    <w:rsid w:val="00682FBA"/>
    <w:rsid w:val="00683370"/>
    <w:rsid w:val="00685BA6"/>
    <w:rsid w:val="006903F9"/>
    <w:rsid w:val="00690885"/>
    <w:rsid w:val="00690F8F"/>
    <w:rsid w:val="0069165D"/>
    <w:rsid w:val="006923C8"/>
    <w:rsid w:val="00696AB4"/>
    <w:rsid w:val="006976BF"/>
    <w:rsid w:val="006A05D7"/>
    <w:rsid w:val="006A0F7A"/>
    <w:rsid w:val="006A4628"/>
    <w:rsid w:val="006A598C"/>
    <w:rsid w:val="006B159F"/>
    <w:rsid w:val="006B1FCD"/>
    <w:rsid w:val="006B25F1"/>
    <w:rsid w:val="006B3F39"/>
    <w:rsid w:val="006B4213"/>
    <w:rsid w:val="006B4DF0"/>
    <w:rsid w:val="006B5352"/>
    <w:rsid w:val="006B5759"/>
    <w:rsid w:val="006B7300"/>
    <w:rsid w:val="006C0425"/>
    <w:rsid w:val="006C08EC"/>
    <w:rsid w:val="006C1013"/>
    <w:rsid w:val="006C163A"/>
    <w:rsid w:val="006C228B"/>
    <w:rsid w:val="006C2931"/>
    <w:rsid w:val="006C2AE7"/>
    <w:rsid w:val="006C4819"/>
    <w:rsid w:val="006C5D66"/>
    <w:rsid w:val="006C73F1"/>
    <w:rsid w:val="006C7EB2"/>
    <w:rsid w:val="006D2E6B"/>
    <w:rsid w:val="006D466E"/>
    <w:rsid w:val="006D4B70"/>
    <w:rsid w:val="006D4C35"/>
    <w:rsid w:val="006D4D5B"/>
    <w:rsid w:val="006D4E11"/>
    <w:rsid w:val="006E33A1"/>
    <w:rsid w:val="006E3B48"/>
    <w:rsid w:val="006E439B"/>
    <w:rsid w:val="006E6184"/>
    <w:rsid w:val="006E631B"/>
    <w:rsid w:val="006F0537"/>
    <w:rsid w:val="006F096A"/>
    <w:rsid w:val="006F22E3"/>
    <w:rsid w:val="006F2359"/>
    <w:rsid w:val="006F3095"/>
    <w:rsid w:val="006F32C6"/>
    <w:rsid w:val="006F5455"/>
    <w:rsid w:val="006F5CB6"/>
    <w:rsid w:val="006F6C2C"/>
    <w:rsid w:val="006F79D3"/>
    <w:rsid w:val="00703194"/>
    <w:rsid w:val="0070591E"/>
    <w:rsid w:val="00706E59"/>
    <w:rsid w:val="0070737C"/>
    <w:rsid w:val="00710521"/>
    <w:rsid w:val="00711229"/>
    <w:rsid w:val="00714A07"/>
    <w:rsid w:val="00715018"/>
    <w:rsid w:val="00715D5F"/>
    <w:rsid w:val="00716177"/>
    <w:rsid w:val="00717711"/>
    <w:rsid w:val="00717F25"/>
    <w:rsid w:val="007201B1"/>
    <w:rsid w:val="00724E14"/>
    <w:rsid w:val="00725165"/>
    <w:rsid w:val="00725A31"/>
    <w:rsid w:val="00725AD5"/>
    <w:rsid w:val="007308F7"/>
    <w:rsid w:val="00731945"/>
    <w:rsid w:val="0073471D"/>
    <w:rsid w:val="0073698D"/>
    <w:rsid w:val="00736C0B"/>
    <w:rsid w:val="0073747A"/>
    <w:rsid w:val="00737546"/>
    <w:rsid w:val="00741EC7"/>
    <w:rsid w:val="00742ED8"/>
    <w:rsid w:val="00744028"/>
    <w:rsid w:val="00744A8F"/>
    <w:rsid w:val="00746531"/>
    <w:rsid w:val="00751725"/>
    <w:rsid w:val="00752028"/>
    <w:rsid w:val="0075450A"/>
    <w:rsid w:val="00754E49"/>
    <w:rsid w:val="007562C7"/>
    <w:rsid w:val="0076017E"/>
    <w:rsid w:val="00760DB6"/>
    <w:rsid w:val="007661AE"/>
    <w:rsid w:val="00766A51"/>
    <w:rsid w:val="00767A5A"/>
    <w:rsid w:val="00771FFF"/>
    <w:rsid w:val="00772818"/>
    <w:rsid w:val="00772EED"/>
    <w:rsid w:val="0077685D"/>
    <w:rsid w:val="0077788E"/>
    <w:rsid w:val="007806D0"/>
    <w:rsid w:val="00785ECA"/>
    <w:rsid w:val="00787E75"/>
    <w:rsid w:val="007901C4"/>
    <w:rsid w:val="00791629"/>
    <w:rsid w:val="00793B87"/>
    <w:rsid w:val="007955D4"/>
    <w:rsid w:val="007970E5"/>
    <w:rsid w:val="007A3157"/>
    <w:rsid w:val="007A4B4C"/>
    <w:rsid w:val="007A5155"/>
    <w:rsid w:val="007A6E20"/>
    <w:rsid w:val="007B10ED"/>
    <w:rsid w:val="007B175B"/>
    <w:rsid w:val="007B2B2E"/>
    <w:rsid w:val="007B2BC7"/>
    <w:rsid w:val="007B3BFC"/>
    <w:rsid w:val="007B4957"/>
    <w:rsid w:val="007B4B03"/>
    <w:rsid w:val="007B6937"/>
    <w:rsid w:val="007C1891"/>
    <w:rsid w:val="007C4F31"/>
    <w:rsid w:val="007C7C71"/>
    <w:rsid w:val="007C7E1D"/>
    <w:rsid w:val="007D35EC"/>
    <w:rsid w:val="007D55A7"/>
    <w:rsid w:val="007D674A"/>
    <w:rsid w:val="007D682F"/>
    <w:rsid w:val="007D6B73"/>
    <w:rsid w:val="007D73FD"/>
    <w:rsid w:val="007E37FC"/>
    <w:rsid w:val="007E5257"/>
    <w:rsid w:val="007E5391"/>
    <w:rsid w:val="007E5B4F"/>
    <w:rsid w:val="007E5DE7"/>
    <w:rsid w:val="007E715A"/>
    <w:rsid w:val="007F2081"/>
    <w:rsid w:val="007F4EF5"/>
    <w:rsid w:val="008077FC"/>
    <w:rsid w:val="00807AD8"/>
    <w:rsid w:val="00811800"/>
    <w:rsid w:val="00812E1C"/>
    <w:rsid w:val="00813CFF"/>
    <w:rsid w:val="00814590"/>
    <w:rsid w:val="00814667"/>
    <w:rsid w:val="008148E2"/>
    <w:rsid w:val="008156B7"/>
    <w:rsid w:val="00817D90"/>
    <w:rsid w:val="00820E02"/>
    <w:rsid w:val="008214A3"/>
    <w:rsid w:val="00822355"/>
    <w:rsid w:val="0082332D"/>
    <w:rsid w:val="0082402C"/>
    <w:rsid w:val="0082422D"/>
    <w:rsid w:val="008252D9"/>
    <w:rsid w:val="008259B7"/>
    <w:rsid w:val="00825FF5"/>
    <w:rsid w:val="008262F1"/>
    <w:rsid w:val="008311FA"/>
    <w:rsid w:val="008317EF"/>
    <w:rsid w:val="00832231"/>
    <w:rsid w:val="008329F1"/>
    <w:rsid w:val="00832B00"/>
    <w:rsid w:val="00833385"/>
    <w:rsid w:val="00834AB8"/>
    <w:rsid w:val="008358BD"/>
    <w:rsid w:val="00836AE6"/>
    <w:rsid w:val="00837A4A"/>
    <w:rsid w:val="00841545"/>
    <w:rsid w:val="00841BD3"/>
    <w:rsid w:val="00841DF7"/>
    <w:rsid w:val="008457C4"/>
    <w:rsid w:val="00845BCC"/>
    <w:rsid w:val="0084750A"/>
    <w:rsid w:val="00851465"/>
    <w:rsid w:val="008514B8"/>
    <w:rsid w:val="00851E97"/>
    <w:rsid w:val="00852ED8"/>
    <w:rsid w:val="0085330A"/>
    <w:rsid w:val="00853767"/>
    <w:rsid w:val="008550CA"/>
    <w:rsid w:val="0085533A"/>
    <w:rsid w:val="00855543"/>
    <w:rsid w:val="00856F54"/>
    <w:rsid w:val="0085738D"/>
    <w:rsid w:val="00857C46"/>
    <w:rsid w:val="00860760"/>
    <w:rsid w:val="00862395"/>
    <w:rsid w:val="00864DD3"/>
    <w:rsid w:val="008708D6"/>
    <w:rsid w:val="00871DFD"/>
    <w:rsid w:val="00874E7C"/>
    <w:rsid w:val="008760D0"/>
    <w:rsid w:val="0088042F"/>
    <w:rsid w:val="00881317"/>
    <w:rsid w:val="0088171D"/>
    <w:rsid w:val="008843EE"/>
    <w:rsid w:val="00884790"/>
    <w:rsid w:val="00884EB6"/>
    <w:rsid w:val="0088588F"/>
    <w:rsid w:val="008868DB"/>
    <w:rsid w:val="00896477"/>
    <w:rsid w:val="00896F5A"/>
    <w:rsid w:val="008A26DA"/>
    <w:rsid w:val="008A3C37"/>
    <w:rsid w:val="008A52D2"/>
    <w:rsid w:val="008A5892"/>
    <w:rsid w:val="008A7A45"/>
    <w:rsid w:val="008B1840"/>
    <w:rsid w:val="008B4899"/>
    <w:rsid w:val="008B4AEB"/>
    <w:rsid w:val="008B63A0"/>
    <w:rsid w:val="008B70D3"/>
    <w:rsid w:val="008B73A2"/>
    <w:rsid w:val="008C0BBA"/>
    <w:rsid w:val="008C2450"/>
    <w:rsid w:val="008C3419"/>
    <w:rsid w:val="008C56F1"/>
    <w:rsid w:val="008C743F"/>
    <w:rsid w:val="008C7817"/>
    <w:rsid w:val="008C7F5B"/>
    <w:rsid w:val="008D0231"/>
    <w:rsid w:val="008D079A"/>
    <w:rsid w:val="008D0CAE"/>
    <w:rsid w:val="008D0EEB"/>
    <w:rsid w:val="008D2DCE"/>
    <w:rsid w:val="008D2F40"/>
    <w:rsid w:val="008D4131"/>
    <w:rsid w:val="008D5B52"/>
    <w:rsid w:val="008D5C52"/>
    <w:rsid w:val="008E4209"/>
    <w:rsid w:val="008E48FC"/>
    <w:rsid w:val="008E55BD"/>
    <w:rsid w:val="008E7527"/>
    <w:rsid w:val="008F030C"/>
    <w:rsid w:val="008F2AD6"/>
    <w:rsid w:val="008F33F3"/>
    <w:rsid w:val="008F44F1"/>
    <w:rsid w:val="008F4BA8"/>
    <w:rsid w:val="008F4D3A"/>
    <w:rsid w:val="008F551F"/>
    <w:rsid w:val="008F5C07"/>
    <w:rsid w:val="008F696D"/>
    <w:rsid w:val="00901CF5"/>
    <w:rsid w:val="00901F53"/>
    <w:rsid w:val="00903252"/>
    <w:rsid w:val="00903381"/>
    <w:rsid w:val="009038B6"/>
    <w:rsid w:val="009042A3"/>
    <w:rsid w:val="00904599"/>
    <w:rsid w:val="0090618E"/>
    <w:rsid w:val="00906507"/>
    <w:rsid w:val="00906E33"/>
    <w:rsid w:val="00911BDB"/>
    <w:rsid w:val="00913276"/>
    <w:rsid w:val="0091356E"/>
    <w:rsid w:val="00915F29"/>
    <w:rsid w:val="0092161A"/>
    <w:rsid w:val="009221DF"/>
    <w:rsid w:val="00922391"/>
    <w:rsid w:val="009224FD"/>
    <w:rsid w:val="00923FAD"/>
    <w:rsid w:val="009242DD"/>
    <w:rsid w:val="00926520"/>
    <w:rsid w:val="0093296C"/>
    <w:rsid w:val="00935CC7"/>
    <w:rsid w:val="0094002F"/>
    <w:rsid w:val="00940416"/>
    <w:rsid w:val="0094129D"/>
    <w:rsid w:val="0094231D"/>
    <w:rsid w:val="00942D4A"/>
    <w:rsid w:val="00944760"/>
    <w:rsid w:val="0094555D"/>
    <w:rsid w:val="00946A91"/>
    <w:rsid w:val="00946AE5"/>
    <w:rsid w:val="009476F8"/>
    <w:rsid w:val="00950865"/>
    <w:rsid w:val="00950DDB"/>
    <w:rsid w:val="00951B1F"/>
    <w:rsid w:val="00951BAD"/>
    <w:rsid w:val="0095223D"/>
    <w:rsid w:val="009526E4"/>
    <w:rsid w:val="00953AA1"/>
    <w:rsid w:val="00953AF9"/>
    <w:rsid w:val="00953FFC"/>
    <w:rsid w:val="00954B44"/>
    <w:rsid w:val="00955FC6"/>
    <w:rsid w:val="00960EF2"/>
    <w:rsid w:val="009717A4"/>
    <w:rsid w:val="00973F5A"/>
    <w:rsid w:val="00974706"/>
    <w:rsid w:val="00975EB5"/>
    <w:rsid w:val="00976B8F"/>
    <w:rsid w:val="00980FD0"/>
    <w:rsid w:val="009823B6"/>
    <w:rsid w:val="00983DC2"/>
    <w:rsid w:val="00983DF0"/>
    <w:rsid w:val="00990596"/>
    <w:rsid w:val="0099742A"/>
    <w:rsid w:val="00997867"/>
    <w:rsid w:val="009A0446"/>
    <w:rsid w:val="009A062C"/>
    <w:rsid w:val="009A309D"/>
    <w:rsid w:val="009A48AF"/>
    <w:rsid w:val="009A522D"/>
    <w:rsid w:val="009A7998"/>
    <w:rsid w:val="009B3F77"/>
    <w:rsid w:val="009B41A8"/>
    <w:rsid w:val="009B5132"/>
    <w:rsid w:val="009C166A"/>
    <w:rsid w:val="009C1CB6"/>
    <w:rsid w:val="009C33AE"/>
    <w:rsid w:val="009C6296"/>
    <w:rsid w:val="009C6A96"/>
    <w:rsid w:val="009C6FFB"/>
    <w:rsid w:val="009C7EF5"/>
    <w:rsid w:val="009D0C93"/>
    <w:rsid w:val="009D2FAC"/>
    <w:rsid w:val="009D35B6"/>
    <w:rsid w:val="009D3E3A"/>
    <w:rsid w:val="009D48E6"/>
    <w:rsid w:val="009E1311"/>
    <w:rsid w:val="009E151E"/>
    <w:rsid w:val="009E16F9"/>
    <w:rsid w:val="009E1EFD"/>
    <w:rsid w:val="009E2002"/>
    <w:rsid w:val="009E5DB6"/>
    <w:rsid w:val="009F0085"/>
    <w:rsid w:val="009F777E"/>
    <w:rsid w:val="009F7F52"/>
    <w:rsid w:val="00A0124B"/>
    <w:rsid w:val="00A0202C"/>
    <w:rsid w:val="00A0227E"/>
    <w:rsid w:val="00A0603F"/>
    <w:rsid w:val="00A075B8"/>
    <w:rsid w:val="00A112E6"/>
    <w:rsid w:val="00A1224A"/>
    <w:rsid w:val="00A14966"/>
    <w:rsid w:val="00A15CAB"/>
    <w:rsid w:val="00A17CCB"/>
    <w:rsid w:val="00A211A9"/>
    <w:rsid w:val="00A22103"/>
    <w:rsid w:val="00A2343B"/>
    <w:rsid w:val="00A2422A"/>
    <w:rsid w:val="00A258D4"/>
    <w:rsid w:val="00A26CD4"/>
    <w:rsid w:val="00A26FC8"/>
    <w:rsid w:val="00A303A1"/>
    <w:rsid w:val="00A3234E"/>
    <w:rsid w:val="00A34080"/>
    <w:rsid w:val="00A36EA0"/>
    <w:rsid w:val="00A376E2"/>
    <w:rsid w:val="00A42386"/>
    <w:rsid w:val="00A459BA"/>
    <w:rsid w:val="00A50751"/>
    <w:rsid w:val="00A50E72"/>
    <w:rsid w:val="00A54BE7"/>
    <w:rsid w:val="00A564EB"/>
    <w:rsid w:val="00A56FA7"/>
    <w:rsid w:val="00A641C9"/>
    <w:rsid w:val="00A6500A"/>
    <w:rsid w:val="00A6719E"/>
    <w:rsid w:val="00A739F1"/>
    <w:rsid w:val="00A758DE"/>
    <w:rsid w:val="00A77DCF"/>
    <w:rsid w:val="00A8189A"/>
    <w:rsid w:val="00A81EC4"/>
    <w:rsid w:val="00A8478F"/>
    <w:rsid w:val="00A858C4"/>
    <w:rsid w:val="00A90A97"/>
    <w:rsid w:val="00A9141E"/>
    <w:rsid w:val="00A97397"/>
    <w:rsid w:val="00A974CA"/>
    <w:rsid w:val="00AA01B2"/>
    <w:rsid w:val="00AA2CD5"/>
    <w:rsid w:val="00AA3BC8"/>
    <w:rsid w:val="00AA3D4B"/>
    <w:rsid w:val="00AA4F6C"/>
    <w:rsid w:val="00AB16AE"/>
    <w:rsid w:val="00AB19BF"/>
    <w:rsid w:val="00AB24C2"/>
    <w:rsid w:val="00AB5773"/>
    <w:rsid w:val="00AB5801"/>
    <w:rsid w:val="00AB5A64"/>
    <w:rsid w:val="00AB6339"/>
    <w:rsid w:val="00AB6B78"/>
    <w:rsid w:val="00AB71A5"/>
    <w:rsid w:val="00AB75E7"/>
    <w:rsid w:val="00AB79E9"/>
    <w:rsid w:val="00AC3386"/>
    <w:rsid w:val="00AC5A15"/>
    <w:rsid w:val="00AC6B92"/>
    <w:rsid w:val="00AD04F4"/>
    <w:rsid w:val="00AD4F86"/>
    <w:rsid w:val="00AD5065"/>
    <w:rsid w:val="00AD50E7"/>
    <w:rsid w:val="00AD576C"/>
    <w:rsid w:val="00AD670F"/>
    <w:rsid w:val="00AD6B23"/>
    <w:rsid w:val="00AD6C71"/>
    <w:rsid w:val="00AE1752"/>
    <w:rsid w:val="00AE1E4B"/>
    <w:rsid w:val="00AE1E54"/>
    <w:rsid w:val="00AE1FE4"/>
    <w:rsid w:val="00AE2394"/>
    <w:rsid w:val="00AE2AFD"/>
    <w:rsid w:val="00AE478A"/>
    <w:rsid w:val="00AE6D0F"/>
    <w:rsid w:val="00AE6FF8"/>
    <w:rsid w:val="00AF08B7"/>
    <w:rsid w:val="00AF0C8D"/>
    <w:rsid w:val="00AF1532"/>
    <w:rsid w:val="00AF26CF"/>
    <w:rsid w:val="00AF3129"/>
    <w:rsid w:val="00AF6DED"/>
    <w:rsid w:val="00AF70FB"/>
    <w:rsid w:val="00B0053D"/>
    <w:rsid w:val="00B00778"/>
    <w:rsid w:val="00B04782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3801"/>
    <w:rsid w:val="00B16F83"/>
    <w:rsid w:val="00B171BB"/>
    <w:rsid w:val="00B2247A"/>
    <w:rsid w:val="00B24C58"/>
    <w:rsid w:val="00B25E60"/>
    <w:rsid w:val="00B30B18"/>
    <w:rsid w:val="00B33046"/>
    <w:rsid w:val="00B3390B"/>
    <w:rsid w:val="00B34603"/>
    <w:rsid w:val="00B36551"/>
    <w:rsid w:val="00B36E9E"/>
    <w:rsid w:val="00B40E38"/>
    <w:rsid w:val="00B43FFB"/>
    <w:rsid w:val="00B44040"/>
    <w:rsid w:val="00B450AE"/>
    <w:rsid w:val="00B45605"/>
    <w:rsid w:val="00B45C9E"/>
    <w:rsid w:val="00B51ACE"/>
    <w:rsid w:val="00B57AFE"/>
    <w:rsid w:val="00B6193B"/>
    <w:rsid w:val="00B623D7"/>
    <w:rsid w:val="00B651AA"/>
    <w:rsid w:val="00B66E7A"/>
    <w:rsid w:val="00B71AA0"/>
    <w:rsid w:val="00B72FEB"/>
    <w:rsid w:val="00B74B67"/>
    <w:rsid w:val="00B76826"/>
    <w:rsid w:val="00B8096A"/>
    <w:rsid w:val="00B80A92"/>
    <w:rsid w:val="00B8167F"/>
    <w:rsid w:val="00B81F45"/>
    <w:rsid w:val="00B83868"/>
    <w:rsid w:val="00B84C7C"/>
    <w:rsid w:val="00B84DE2"/>
    <w:rsid w:val="00B859A2"/>
    <w:rsid w:val="00B91564"/>
    <w:rsid w:val="00B9206A"/>
    <w:rsid w:val="00B9279E"/>
    <w:rsid w:val="00BA0092"/>
    <w:rsid w:val="00BA1CFA"/>
    <w:rsid w:val="00BA258A"/>
    <w:rsid w:val="00BA2E2F"/>
    <w:rsid w:val="00BA4284"/>
    <w:rsid w:val="00BA4BEA"/>
    <w:rsid w:val="00BA7091"/>
    <w:rsid w:val="00BA7C3A"/>
    <w:rsid w:val="00BB18EC"/>
    <w:rsid w:val="00BB28B9"/>
    <w:rsid w:val="00BB721C"/>
    <w:rsid w:val="00BC1029"/>
    <w:rsid w:val="00BC2720"/>
    <w:rsid w:val="00BC32C2"/>
    <w:rsid w:val="00BC4728"/>
    <w:rsid w:val="00BC4BF4"/>
    <w:rsid w:val="00BC60B3"/>
    <w:rsid w:val="00BD05BD"/>
    <w:rsid w:val="00BD205B"/>
    <w:rsid w:val="00BD5569"/>
    <w:rsid w:val="00BD7496"/>
    <w:rsid w:val="00BE042D"/>
    <w:rsid w:val="00BE2296"/>
    <w:rsid w:val="00BE257A"/>
    <w:rsid w:val="00BE4802"/>
    <w:rsid w:val="00BE7212"/>
    <w:rsid w:val="00BE7E14"/>
    <w:rsid w:val="00BF250F"/>
    <w:rsid w:val="00BF331F"/>
    <w:rsid w:val="00BF3617"/>
    <w:rsid w:val="00BF4ABA"/>
    <w:rsid w:val="00C00B90"/>
    <w:rsid w:val="00C053A4"/>
    <w:rsid w:val="00C05CC6"/>
    <w:rsid w:val="00C05D6B"/>
    <w:rsid w:val="00C068C7"/>
    <w:rsid w:val="00C069C7"/>
    <w:rsid w:val="00C073C2"/>
    <w:rsid w:val="00C077E0"/>
    <w:rsid w:val="00C1018E"/>
    <w:rsid w:val="00C1228D"/>
    <w:rsid w:val="00C1230E"/>
    <w:rsid w:val="00C12FA8"/>
    <w:rsid w:val="00C13331"/>
    <w:rsid w:val="00C14295"/>
    <w:rsid w:val="00C15141"/>
    <w:rsid w:val="00C160F4"/>
    <w:rsid w:val="00C2120D"/>
    <w:rsid w:val="00C21475"/>
    <w:rsid w:val="00C215E7"/>
    <w:rsid w:val="00C233E9"/>
    <w:rsid w:val="00C26C5B"/>
    <w:rsid w:val="00C2711B"/>
    <w:rsid w:val="00C303B4"/>
    <w:rsid w:val="00C36CC6"/>
    <w:rsid w:val="00C40C48"/>
    <w:rsid w:val="00C40EBC"/>
    <w:rsid w:val="00C4202E"/>
    <w:rsid w:val="00C42ACA"/>
    <w:rsid w:val="00C50D56"/>
    <w:rsid w:val="00C51308"/>
    <w:rsid w:val="00C539F8"/>
    <w:rsid w:val="00C53A47"/>
    <w:rsid w:val="00C54D38"/>
    <w:rsid w:val="00C57576"/>
    <w:rsid w:val="00C57BB9"/>
    <w:rsid w:val="00C606F6"/>
    <w:rsid w:val="00C6082E"/>
    <w:rsid w:val="00C612CE"/>
    <w:rsid w:val="00C61699"/>
    <w:rsid w:val="00C62B02"/>
    <w:rsid w:val="00C64908"/>
    <w:rsid w:val="00C6628E"/>
    <w:rsid w:val="00C705B5"/>
    <w:rsid w:val="00C7093C"/>
    <w:rsid w:val="00C71AC8"/>
    <w:rsid w:val="00C738BD"/>
    <w:rsid w:val="00C73A9F"/>
    <w:rsid w:val="00C75D40"/>
    <w:rsid w:val="00C75F1B"/>
    <w:rsid w:val="00C772C7"/>
    <w:rsid w:val="00C83627"/>
    <w:rsid w:val="00C83A67"/>
    <w:rsid w:val="00C84479"/>
    <w:rsid w:val="00C85E44"/>
    <w:rsid w:val="00C91B3E"/>
    <w:rsid w:val="00C92F94"/>
    <w:rsid w:val="00C95D81"/>
    <w:rsid w:val="00C960AA"/>
    <w:rsid w:val="00CA069C"/>
    <w:rsid w:val="00CA06E9"/>
    <w:rsid w:val="00CA121E"/>
    <w:rsid w:val="00CA501D"/>
    <w:rsid w:val="00CA55C4"/>
    <w:rsid w:val="00CA5B94"/>
    <w:rsid w:val="00CA693A"/>
    <w:rsid w:val="00CA74B8"/>
    <w:rsid w:val="00CB0391"/>
    <w:rsid w:val="00CB1789"/>
    <w:rsid w:val="00CB1CB2"/>
    <w:rsid w:val="00CB3F79"/>
    <w:rsid w:val="00CB44C4"/>
    <w:rsid w:val="00CB47FE"/>
    <w:rsid w:val="00CB4844"/>
    <w:rsid w:val="00CB4D35"/>
    <w:rsid w:val="00CB4D8A"/>
    <w:rsid w:val="00CB5EF0"/>
    <w:rsid w:val="00CB73FC"/>
    <w:rsid w:val="00CB7BD6"/>
    <w:rsid w:val="00CC0ABA"/>
    <w:rsid w:val="00CC0B99"/>
    <w:rsid w:val="00CC1DCA"/>
    <w:rsid w:val="00CC39B1"/>
    <w:rsid w:val="00CD45D4"/>
    <w:rsid w:val="00CD526B"/>
    <w:rsid w:val="00CD5B93"/>
    <w:rsid w:val="00CD64D1"/>
    <w:rsid w:val="00CD7039"/>
    <w:rsid w:val="00CD7114"/>
    <w:rsid w:val="00CE19E2"/>
    <w:rsid w:val="00CE21A9"/>
    <w:rsid w:val="00CE3B32"/>
    <w:rsid w:val="00CE3B9C"/>
    <w:rsid w:val="00CE5617"/>
    <w:rsid w:val="00CE6A08"/>
    <w:rsid w:val="00CE7C8C"/>
    <w:rsid w:val="00CF0826"/>
    <w:rsid w:val="00CF0D8A"/>
    <w:rsid w:val="00CF267F"/>
    <w:rsid w:val="00CF2ADD"/>
    <w:rsid w:val="00CF67B9"/>
    <w:rsid w:val="00CF7DA0"/>
    <w:rsid w:val="00D01B48"/>
    <w:rsid w:val="00D0312C"/>
    <w:rsid w:val="00D04614"/>
    <w:rsid w:val="00D050EF"/>
    <w:rsid w:val="00D06DBE"/>
    <w:rsid w:val="00D1043B"/>
    <w:rsid w:val="00D129D3"/>
    <w:rsid w:val="00D15C52"/>
    <w:rsid w:val="00D1723F"/>
    <w:rsid w:val="00D2270A"/>
    <w:rsid w:val="00D245A8"/>
    <w:rsid w:val="00D259E3"/>
    <w:rsid w:val="00D26B64"/>
    <w:rsid w:val="00D30AA4"/>
    <w:rsid w:val="00D30CE5"/>
    <w:rsid w:val="00D31625"/>
    <w:rsid w:val="00D3214E"/>
    <w:rsid w:val="00D32AAF"/>
    <w:rsid w:val="00D3674A"/>
    <w:rsid w:val="00D4085D"/>
    <w:rsid w:val="00D40EC3"/>
    <w:rsid w:val="00D43144"/>
    <w:rsid w:val="00D51386"/>
    <w:rsid w:val="00D52914"/>
    <w:rsid w:val="00D5485B"/>
    <w:rsid w:val="00D55591"/>
    <w:rsid w:val="00D57346"/>
    <w:rsid w:val="00D61911"/>
    <w:rsid w:val="00D625A7"/>
    <w:rsid w:val="00D677F9"/>
    <w:rsid w:val="00D729FA"/>
    <w:rsid w:val="00D7336A"/>
    <w:rsid w:val="00D73591"/>
    <w:rsid w:val="00D759CA"/>
    <w:rsid w:val="00D77703"/>
    <w:rsid w:val="00D802FC"/>
    <w:rsid w:val="00D82E18"/>
    <w:rsid w:val="00D83D9E"/>
    <w:rsid w:val="00D8532B"/>
    <w:rsid w:val="00D85463"/>
    <w:rsid w:val="00D873D5"/>
    <w:rsid w:val="00D87759"/>
    <w:rsid w:val="00D90399"/>
    <w:rsid w:val="00D973A5"/>
    <w:rsid w:val="00DA54AF"/>
    <w:rsid w:val="00DA7233"/>
    <w:rsid w:val="00DB09CD"/>
    <w:rsid w:val="00DB4A35"/>
    <w:rsid w:val="00DC034A"/>
    <w:rsid w:val="00DC0CE1"/>
    <w:rsid w:val="00DC45C4"/>
    <w:rsid w:val="00DC4D62"/>
    <w:rsid w:val="00DC50E5"/>
    <w:rsid w:val="00DD0FAA"/>
    <w:rsid w:val="00DE4A6C"/>
    <w:rsid w:val="00DE64C1"/>
    <w:rsid w:val="00DF5BAB"/>
    <w:rsid w:val="00DF7BCD"/>
    <w:rsid w:val="00E01893"/>
    <w:rsid w:val="00E02D8B"/>
    <w:rsid w:val="00E03DEE"/>
    <w:rsid w:val="00E056CE"/>
    <w:rsid w:val="00E05ED5"/>
    <w:rsid w:val="00E066CD"/>
    <w:rsid w:val="00E10555"/>
    <w:rsid w:val="00E15510"/>
    <w:rsid w:val="00E16E0A"/>
    <w:rsid w:val="00E21771"/>
    <w:rsid w:val="00E220BC"/>
    <w:rsid w:val="00E25459"/>
    <w:rsid w:val="00E30DC7"/>
    <w:rsid w:val="00E31096"/>
    <w:rsid w:val="00E31CD0"/>
    <w:rsid w:val="00E33938"/>
    <w:rsid w:val="00E33F03"/>
    <w:rsid w:val="00E34880"/>
    <w:rsid w:val="00E351B0"/>
    <w:rsid w:val="00E354D8"/>
    <w:rsid w:val="00E3658A"/>
    <w:rsid w:val="00E3706A"/>
    <w:rsid w:val="00E3738B"/>
    <w:rsid w:val="00E37446"/>
    <w:rsid w:val="00E4099E"/>
    <w:rsid w:val="00E40EF0"/>
    <w:rsid w:val="00E42B8D"/>
    <w:rsid w:val="00E42C51"/>
    <w:rsid w:val="00E456AA"/>
    <w:rsid w:val="00E47F51"/>
    <w:rsid w:val="00E5201F"/>
    <w:rsid w:val="00E5365E"/>
    <w:rsid w:val="00E53EA7"/>
    <w:rsid w:val="00E5528A"/>
    <w:rsid w:val="00E579FF"/>
    <w:rsid w:val="00E57FCB"/>
    <w:rsid w:val="00E623E0"/>
    <w:rsid w:val="00E6312B"/>
    <w:rsid w:val="00E63912"/>
    <w:rsid w:val="00E652E7"/>
    <w:rsid w:val="00E6698B"/>
    <w:rsid w:val="00E66AB2"/>
    <w:rsid w:val="00E676FD"/>
    <w:rsid w:val="00E7195E"/>
    <w:rsid w:val="00E72F4A"/>
    <w:rsid w:val="00E7316F"/>
    <w:rsid w:val="00E8067D"/>
    <w:rsid w:val="00E80693"/>
    <w:rsid w:val="00E82115"/>
    <w:rsid w:val="00E832FF"/>
    <w:rsid w:val="00E83448"/>
    <w:rsid w:val="00E848E3"/>
    <w:rsid w:val="00E84E1E"/>
    <w:rsid w:val="00E86EBE"/>
    <w:rsid w:val="00E90C3D"/>
    <w:rsid w:val="00E92C8A"/>
    <w:rsid w:val="00E9346D"/>
    <w:rsid w:val="00E9475B"/>
    <w:rsid w:val="00E94B7B"/>
    <w:rsid w:val="00EA0A43"/>
    <w:rsid w:val="00EA21BF"/>
    <w:rsid w:val="00EA2D85"/>
    <w:rsid w:val="00EA314E"/>
    <w:rsid w:val="00EA3193"/>
    <w:rsid w:val="00EA32CF"/>
    <w:rsid w:val="00EA3556"/>
    <w:rsid w:val="00EA594C"/>
    <w:rsid w:val="00EA622E"/>
    <w:rsid w:val="00EA7313"/>
    <w:rsid w:val="00EB18CA"/>
    <w:rsid w:val="00EB2E8A"/>
    <w:rsid w:val="00EB3A8C"/>
    <w:rsid w:val="00EB4275"/>
    <w:rsid w:val="00EB6E34"/>
    <w:rsid w:val="00EB7EDA"/>
    <w:rsid w:val="00EC3E78"/>
    <w:rsid w:val="00EC5206"/>
    <w:rsid w:val="00EC5D22"/>
    <w:rsid w:val="00EC5F50"/>
    <w:rsid w:val="00EC7936"/>
    <w:rsid w:val="00ED0175"/>
    <w:rsid w:val="00ED0AC8"/>
    <w:rsid w:val="00ED139E"/>
    <w:rsid w:val="00ED26BC"/>
    <w:rsid w:val="00ED4036"/>
    <w:rsid w:val="00ED6589"/>
    <w:rsid w:val="00EE041B"/>
    <w:rsid w:val="00EE235D"/>
    <w:rsid w:val="00EE3A79"/>
    <w:rsid w:val="00EE57AC"/>
    <w:rsid w:val="00EE74C4"/>
    <w:rsid w:val="00EE7D29"/>
    <w:rsid w:val="00EF01A4"/>
    <w:rsid w:val="00EF04DF"/>
    <w:rsid w:val="00EF25E7"/>
    <w:rsid w:val="00EF52ED"/>
    <w:rsid w:val="00EF72D4"/>
    <w:rsid w:val="00F00807"/>
    <w:rsid w:val="00F00AA8"/>
    <w:rsid w:val="00F06783"/>
    <w:rsid w:val="00F07EE0"/>
    <w:rsid w:val="00F11A23"/>
    <w:rsid w:val="00F12ACD"/>
    <w:rsid w:val="00F16589"/>
    <w:rsid w:val="00F16A91"/>
    <w:rsid w:val="00F17379"/>
    <w:rsid w:val="00F2068C"/>
    <w:rsid w:val="00F2140A"/>
    <w:rsid w:val="00F23B45"/>
    <w:rsid w:val="00F24478"/>
    <w:rsid w:val="00F24F70"/>
    <w:rsid w:val="00F2782E"/>
    <w:rsid w:val="00F3245D"/>
    <w:rsid w:val="00F34513"/>
    <w:rsid w:val="00F34E70"/>
    <w:rsid w:val="00F36B55"/>
    <w:rsid w:val="00F4377A"/>
    <w:rsid w:val="00F46237"/>
    <w:rsid w:val="00F47765"/>
    <w:rsid w:val="00F51C97"/>
    <w:rsid w:val="00F531F6"/>
    <w:rsid w:val="00F540C5"/>
    <w:rsid w:val="00F5476F"/>
    <w:rsid w:val="00F559EF"/>
    <w:rsid w:val="00F562DF"/>
    <w:rsid w:val="00F630A4"/>
    <w:rsid w:val="00F63DF8"/>
    <w:rsid w:val="00F6403E"/>
    <w:rsid w:val="00F72E93"/>
    <w:rsid w:val="00F755AE"/>
    <w:rsid w:val="00F75653"/>
    <w:rsid w:val="00F76131"/>
    <w:rsid w:val="00F76C87"/>
    <w:rsid w:val="00F77637"/>
    <w:rsid w:val="00F807EE"/>
    <w:rsid w:val="00F8684A"/>
    <w:rsid w:val="00F91190"/>
    <w:rsid w:val="00F94682"/>
    <w:rsid w:val="00F94C3D"/>
    <w:rsid w:val="00F9596F"/>
    <w:rsid w:val="00F95D26"/>
    <w:rsid w:val="00F979C5"/>
    <w:rsid w:val="00FA06E8"/>
    <w:rsid w:val="00FA0CBF"/>
    <w:rsid w:val="00FA0E45"/>
    <w:rsid w:val="00FA29DF"/>
    <w:rsid w:val="00FA2EC0"/>
    <w:rsid w:val="00FA51A4"/>
    <w:rsid w:val="00FA64FD"/>
    <w:rsid w:val="00FA7551"/>
    <w:rsid w:val="00FB2958"/>
    <w:rsid w:val="00FB3372"/>
    <w:rsid w:val="00FB4200"/>
    <w:rsid w:val="00FB5750"/>
    <w:rsid w:val="00FB6A2E"/>
    <w:rsid w:val="00FC41E7"/>
    <w:rsid w:val="00FC6BDF"/>
    <w:rsid w:val="00FD090B"/>
    <w:rsid w:val="00FD4437"/>
    <w:rsid w:val="00FD5ED0"/>
    <w:rsid w:val="00FD78D7"/>
    <w:rsid w:val="00FE26A5"/>
    <w:rsid w:val="00FE75D4"/>
    <w:rsid w:val="00FE7EF7"/>
    <w:rsid w:val="00FF12B7"/>
    <w:rsid w:val="00FF17A6"/>
    <w:rsid w:val="00FF1EF8"/>
    <w:rsid w:val="00FF5029"/>
    <w:rsid w:val="00FF678A"/>
    <w:rsid w:val="00FF692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E3C64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2020FG-64-75247</_dlc_DocId>
    <_dlc_DocIdUrl xmlns="0f563589-9cf9-4143-b1eb-fb0534803d38">
      <Url>http://tweb/sites/fg/csrd/_layouts/15/DocIdRedir.aspx?ID=2020FG-64-75247</Url>
      <Description>2020FG-64-75247</Description>
    </_dlc_DocIdUrl>
  </documentManagement>
</p:propertie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902A-7D01-4D06-AB9F-FE76C0FCB75E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schemas.microsoft.com/sharepoint/v3"/>
    <ds:schemaRef ds:uri="e544e5cc-ab70-42e1-849e-1a0f8bb1f4e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209DC9-C7D4-48E5-8717-1ACDCAD839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EFE334B-4F65-40B2-A4C9-0F28BFB5C4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4A637A-5F8B-444B-B095-F788A4DFD56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706C5E2-C727-4CDE-B627-FCF25CAD22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5F8A1A-6566-49A2-9C23-8330D0191A36}"/>
</file>

<file path=customXml/itemProps7.xml><?xml version="1.0" encoding="utf-8"?>
<ds:datastoreItem xmlns:ds="http://schemas.openxmlformats.org/officeDocument/2006/customXml" ds:itemID="{6C014290-FEA1-4EBB-814C-48EF38F4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1</TotalTime>
  <Pages>5</Pages>
  <Words>826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agreements</vt:lpstr>
    </vt:vector>
  </TitlesOfParts>
  <Company>The Treasury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agreements</dc:title>
  <dc:creator>Shanyn Sparreboom, 2824</dc:creator>
  <cp:keywords>A</cp:keywords>
  <cp:lastModifiedBy>LEHOCZKY, Stephanie</cp:lastModifiedBy>
  <cp:revision>3</cp:revision>
  <cp:lastPrinted>2017-12-22T04:43:00Z</cp:lastPrinted>
  <dcterms:created xsi:type="dcterms:W3CDTF">2018-05-23T00:26:00Z</dcterms:created>
  <dcterms:modified xsi:type="dcterms:W3CDTF">2018-05-23T07:01:00Z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SDOCTYPE">
    <vt:lpwstr/>
  </property>
  <property fmtid="{D5CDD505-2E9C-101B-9397-08002B2CF9AE}" pid="4" name="DraftType">
    <vt:lpwstr/>
  </property>
  <property fmtid="{D5CDD505-2E9C-101B-9397-08002B2CF9AE}" pid="5" name="WPLUSServerName">
    <vt:lpwstr/>
  </property>
  <property fmtid="{D5CDD505-2E9C-101B-9397-08002B2CF9AE}" pid="6" name="WPLUSDataBaseName">
    <vt:lpwstr/>
  </property>
  <property fmtid="{D5CDD505-2E9C-101B-9397-08002B2CF9AE}" pid="7" name="WPLUSDocumentUNID">
    <vt:lpwstr/>
  </property>
  <property fmtid="{D5CDD505-2E9C-101B-9397-08002B2CF9AE}" pid="8" name="NeverSavedToNT">
    <vt:lpwstr/>
  </property>
  <property fmtid="{D5CDD505-2E9C-101B-9397-08002B2CF9AE}" pid="9" name="ContentTypeId">
    <vt:lpwstr>0x010100348D01E61E107C4DA4B97E380EA20D47005CDF45B49E80F24CAD80DFC012154DA9</vt:lpwstr>
  </property>
  <property fmtid="{D5CDD505-2E9C-101B-9397-08002B2CF9AE}" pid="10" name="RecordPoint_ActiveItemUniqueId">
    <vt:lpwstr>{63504ec7-f8fb-4a03-b7b1-ea4781afc964}</vt:lpwstr>
  </property>
  <property fmtid="{D5CDD505-2E9C-101B-9397-08002B2CF9AE}" pid="11" name="RecordPoint_SubmissionCompleted">
    <vt:lpwstr>2020-06-12T18:28:04.8765022+10:00</vt:lpwstr>
  </property>
  <property fmtid="{D5CDD505-2E9C-101B-9397-08002B2CF9AE}" pid="12" name="TSYRecordClass">
    <vt:lpwstr>2;#TSY RA-8748 - Retain as national archives|243f2231-dbfc-4282-b24a-c9b768286bd0</vt:lpwstr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63504ec7-f8fb-4a03-b7b1-ea4781afc964</vt:lpwstr>
  </property>
  <property fmtid="{D5CDD505-2E9C-101B-9397-08002B2CF9AE}" pid="15" name="RecordPoint_ActiveItemListId">
    <vt:lpwstr>{4435c73b-6585-4bc2-a76a-5d21b1a02e06}</vt:lpwstr>
  </property>
  <property fmtid="{D5CDD505-2E9C-101B-9397-08002B2CF9AE}" pid="16" name="RecordPoint_ActiveItemWebId">
    <vt:lpwstr>{a4589788-615f-4b8b-8296-7f9f6dfbab44}</vt:lpwstr>
  </property>
  <property fmtid="{D5CDD505-2E9C-101B-9397-08002B2CF9AE}" pid="17" name="RecordPoint_ActiveItemSiteId">
    <vt:lpwstr>{a3a280d1-e8f1-4ce7-94f0-aaa2322da0dd}</vt:lpwstr>
  </property>
  <property fmtid="{D5CDD505-2E9C-101B-9397-08002B2CF9AE}" pid="18" name="RecordPoint_RecordNumberSubmitted">
    <vt:lpwstr>R0002277567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