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512"/>
        <w:gridCol w:w="8342"/>
      </w:tblGrid>
      <w:tr w:rsidR="00814667" w14:paraId="7DF4ACD5" w14:textId="77777777">
        <w:tc>
          <w:tcPr>
            <w:tcW w:w="5000" w:type="pct"/>
            <w:gridSpan w:val="2"/>
          </w:tcPr>
          <w:p w14:paraId="2D1AF34D" w14:textId="77777777" w:rsidR="00814667" w:rsidRDefault="00BA4284" w:rsidP="00CE3B76">
            <w:pPr>
              <w:pStyle w:val="CoverTitleMain"/>
            </w:pPr>
            <w:r>
              <w:t>Project AGreement</w:t>
            </w:r>
            <w:r w:rsidR="00CE3B76">
              <w:t xml:space="preserve"> </w:t>
            </w:r>
            <w:r w:rsidR="00292587">
              <w:t>FOR</w:t>
            </w:r>
            <w:r w:rsidR="00CE3B76">
              <w:t xml:space="preserve"> </w:t>
            </w:r>
            <w:r w:rsidR="004D3A51">
              <w:t>the expa</w:t>
            </w:r>
            <w:bookmarkStart w:id="0" w:name="_GoBack"/>
            <w:bookmarkEnd w:id="0"/>
            <w:r w:rsidR="004D3A51">
              <w:t>nsion of the breastscreen australia program</w:t>
            </w:r>
          </w:p>
        </w:tc>
      </w:tr>
      <w:tr w:rsidR="00814667" w14:paraId="53E66702" w14:textId="77777777">
        <w:tc>
          <w:tcPr>
            <w:tcW w:w="767" w:type="pct"/>
          </w:tcPr>
          <w:p w14:paraId="2E975BBE" w14:textId="77777777" w:rsidR="00814667" w:rsidRDefault="00814667">
            <w:pPr>
              <w:pStyle w:val="SingleParagraph"/>
              <w:tabs>
                <w:tab w:val="num" w:pos="1134"/>
              </w:tabs>
              <w:spacing w:after="240"/>
              <w:ind w:left="1134" w:hanging="567"/>
            </w:pPr>
          </w:p>
        </w:tc>
        <w:tc>
          <w:tcPr>
            <w:tcW w:w="4233" w:type="pct"/>
          </w:tcPr>
          <w:p w14:paraId="7FA7654E" w14:textId="77777777" w:rsidR="00814667" w:rsidRDefault="00814667">
            <w:pPr>
              <w:pStyle w:val="SingleParagraph"/>
              <w:tabs>
                <w:tab w:val="num" w:pos="1134"/>
              </w:tabs>
              <w:spacing w:after="240"/>
              <w:ind w:left="1134" w:hanging="567"/>
            </w:pPr>
          </w:p>
        </w:tc>
      </w:tr>
      <w:tr w:rsidR="00814667" w14:paraId="4361D219" w14:textId="77777777">
        <w:tc>
          <w:tcPr>
            <w:tcW w:w="767" w:type="pct"/>
          </w:tcPr>
          <w:p w14:paraId="490A935D" w14:textId="77777777" w:rsidR="00814667" w:rsidRDefault="00814667">
            <w:pPr>
              <w:pStyle w:val="SingleParagraph"/>
              <w:tabs>
                <w:tab w:val="num" w:pos="1134"/>
              </w:tabs>
              <w:spacing w:after="240"/>
              <w:ind w:left="1134" w:hanging="567"/>
            </w:pPr>
          </w:p>
        </w:tc>
        <w:tc>
          <w:tcPr>
            <w:tcW w:w="4233" w:type="pct"/>
          </w:tcPr>
          <w:p w14:paraId="35C4363F" w14:textId="77777777" w:rsidR="00814667" w:rsidRPr="001E74D0" w:rsidRDefault="00814667">
            <w:pPr>
              <w:pStyle w:val="SingleParagraph"/>
              <w:tabs>
                <w:tab w:val="num" w:pos="1134"/>
              </w:tabs>
              <w:spacing w:after="240"/>
              <w:ind w:left="1134" w:hanging="567"/>
            </w:pPr>
          </w:p>
        </w:tc>
      </w:tr>
      <w:tr w:rsidR="00814667" w14:paraId="343AADEF" w14:textId="77777777">
        <w:tc>
          <w:tcPr>
            <w:tcW w:w="5000" w:type="pct"/>
            <w:gridSpan w:val="2"/>
          </w:tcPr>
          <w:p w14:paraId="1AC5E04D" w14:textId="77777777" w:rsidR="00814667" w:rsidRDefault="00814667">
            <w:pPr>
              <w:pStyle w:val="AgreementHeading"/>
              <w:tabs>
                <w:tab w:val="clear" w:pos="1134"/>
              </w:tabs>
            </w:pPr>
            <w:r>
              <w:t>An agreement between</w:t>
            </w:r>
            <w:r w:rsidR="00697494">
              <w:t>:</w:t>
            </w:r>
          </w:p>
        </w:tc>
      </w:tr>
      <w:tr w:rsidR="00814667" w14:paraId="3BA133C4" w14:textId="77777777">
        <w:tc>
          <w:tcPr>
            <w:tcW w:w="767" w:type="pct"/>
          </w:tcPr>
          <w:p w14:paraId="4A2F79FF" w14:textId="77777777" w:rsidR="00814667" w:rsidRPr="001E74D0" w:rsidRDefault="00814667">
            <w:pPr>
              <w:pStyle w:val="AgreementHeading"/>
              <w:tabs>
                <w:tab w:val="clear" w:pos="1134"/>
              </w:tabs>
              <w:ind w:left="522"/>
            </w:pPr>
          </w:p>
        </w:tc>
        <w:tc>
          <w:tcPr>
            <w:tcW w:w="4233" w:type="pct"/>
          </w:tcPr>
          <w:p w14:paraId="1A68131E"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25B21375" w14:textId="77777777" w:rsidR="00814667" w:rsidRPr="001E74D0" w:rsidRDefault="00814667" w:rsidP="00697494">
            <w:pPr>
              <w:pStyle w:val="AgreementParties"/>
            </w:pPr>
            <w:r>
              <w:t xml:space="preserve">the </w:t>
            </w:r>
            <w:r>
              <w:rPr>
                <w:rStyle w:val="Bold"/>
              </w:rPr>
              <w:t>States and Territorie</w:t>
            </w:r>
            <w:r w:rsidR="00DE5A04">
              <w:rPr>
                <w:rStyle w:val="Bold"/>
              </w:rPr>
              <w:t>s, being:</w:t>
            </w:r>
          </w:p>
        </w:tc>
      </w:tr>
      <w:tr w:rsidR="00814667" w14:paraId="1792F9C6" w14:textId="77777777">
        <w:tc>
          <w:tcPr>
            <w:tcW w:w="767" w:type="pct"/>
          </w:tcPr>
          <w:p w14:paraId="324BABE3" w14:textId="77777777" w:rsidR="00814667" w:rsidRDefault="00814667">
            <w:pPr>
              <w:pStyle w:val="SingleParagraph"/>
              <w:tabs>
                <w:tab w:val="num" w:pos="1134"/>
              </w:tabs>
              <w:spacing w:after="240"/>
              <w:ind w:left="1134" w:hanging="567"/>
            </w:pPr>
          </w:p>
        </w:tc>
        <w:tc>
          <w:tcPr>
            <w:tcW w:w="4233" w:type="pct"/>
            <w:tcBorders>
              <w:left w:val="nil"/>
            </w:tcBorders>
          </w:tcPr>
          <w:p w14:paraId="1C0DFA76" w14:textId="77777777" w:rsidR="00814667" w:rsidRDefault="00814667" w:rsidP="00603538">
            <w:pPr>
              <w:pStyle w:val="StatesList"/>
              <w:numPr>
                <w:ilvl w:val="0"/>
                <w:numId w:val="7"/>
              </w:numPr>
            </w:pPr>
            <w:r>
              <w:t>New South Wales</w:t>
            </w:r>
            <w:r w:rsidR="00697494">
              <w:t>,</w:t>
            </w:r>
          </w:p>
          <w:p w14:paraId="5F4E2FEC" w14:textId="77777777" w:rsidR="00814667" w:rsidRDefault="00814667" w:rsidP="00603538">
            <w:pPr>
              <w:pStyle w:val="StatesList"/>
              <w:numPr>
                <w:ilvl w:val="0"/>
                <w:numId w:val="7"/>
              </w:numPr>
            </w:pPr>
            <w:r>
              <w:t>Victoria</w:t>
            </w:r>
            <w:r w:rsidR="00697494">
              <w:t>,</w:t>
            </w:r>
          </w:p>
          <w:p w14:paraId="55914D45" w14:textId="77777777" w:rsidR="00814667" w:rsidRDefault="00814667" w:rsidP="00603538">
            <w:pPr>
              <w:pStyle w:val="StatesList"/>
              <w:numPr>
                <w:ilvl w:val="0"/>
                <w:numId w:val="7"/>
              </w:numPr>
            </w:pPr>
            <w:r>
              <w:t>Queensland</w:t>
            </w:r>
            <w:r w:rsidR="00697494">
              <w:t>,</w:t>
            </w:r>
          </w:p>
          <w:p w14:paraId="424E366B" w14:textId="77777777" w:rsidR="00814667" w:rsidRDefault="00814667" w:rsidP="00603538">
            <w:pPr>
              <w:pStyle w:val="StatesList"/>
              <w:numPr>
                <w:ilvl w:val="0"/>
                <w:numId w:val="7"/>
              </w:numPr>
            </w:pPr>
            <w:r>
              <w:t>Western Australia</w:t>
            </w:r>
            <w:r w:rsidR="00697494">
              <w:t>,</w:t>
            </w:r>
          </w:p>
          <w:p w14:paraId="4D8A855B" w14:textId="77777777" w:rsidR="00814667" w:rsidRDefault="00814667" w:rsidP="00603538">
            <w:pPr>
              <w:pStyle w:val="StatesList"/>
              <w:numPr>
                <w:ilvl w:val="0"/>
                <w:numId w:val="7"/>
              </w:numPr>
            </w:pPr>
            <w:r>
              <w:t>South Australia</w:t>
            </w:r>
            <w:r w:rsidR="00697494">
              <w:t>,</w:t>
            </w:r>
          </w:p>
          <w:p w14:paraId="562ACFC5" w14:textId="77777777" w:rsidR="00814667" w:rsidRDefault="00814667" w:rsidP="00603538">
            <w:pPr>
              <w:pStyle w:val="StatesList"/>
              <w:numPr>
                <w:ilvl w:val="0"/>
                <w:numId w:val="7"/>
              </w:numPr>
            </w:pPr>
            <w:r>
              <w:t>Tasmania</w:t>
            </w:r>
            <w:r w:rsidR="00697494">
              <w:t>,</w:t>
            </w:r>
          </w:p>
          <w:p w14:paraId="43719EFE" w14:textId="77777777" w:rsidR="00814667" w:rsidRDefault="004B6083" w:rsidP="00603538">
            <w:pPr>
              <w:pStyle w:val="StatesList"/>
              <w:numPr>
                <w:ilvl w:val="0"/>
                <w:numId w:val="7"/>
              </w:numPr>
            </w:pPr>
            <w:r>
              <w:t xml:space="preserve">the </w:t>
            </w:r>
            <w:r w:rsidR="00814667">
              <w:t>Australian Capital Territory</w:t>
            </w:r>
            <w:r w:rsidR="00697494">
              <w:t xml:space="preserve">, </w:t>
            </w:r>
            <w:r w:rsidR="00726DB5">
              <w:t>and</w:t>
            </w:r>
          </w:p>
          <w:p w14:paraId="78ED5BB9" w14:textId="77777777" w:rsidR="00814667" w:rsidRDefault="004B6083" w:rsidP="00603538">
            <w:pPr>
              <w:pStyle w:val="StatesList"/>
              <w:numPr>
                <w:ilvl w:val="0"/>
                <w:numId w:val="7"/>
              </w:numPr>
            </w:pPr>
            <w:proofErr w:type="gramStart"/>
            <w:r>
              <w:t>t</w:t>
            </w:r>
            <w:r w:rsidR="00814667">
              <w:t>he</w:t>
            </w:r>
            <w:proofErr w:type="gramEnd"/>
            <w:r w:rsidR="00814667">
              <w:t xml:space="preserve"> Northern Territory</w:t>
            </w:r>
            <w:r w:rsidR="00726DB5">
              <w:t>.</w:t>
            </w:r>
          </w:p>
          <w:p w14:paraId="44E4C629" w14:textId="77777777" w:rsidR="00EB7EDA" w:rsidRPr="00EB7EDA" w:rsidRDefault="00EB7EDA" w:rsidP="00F630EF">
            <w:pPr>
              <w:rPr>
                <w:i/>
              </w:rPr>
            </w:pPr>
          </w:p>
        </w:tc>
      </w:tr>
      <w:tr w:rsidR="00814667" w14:paraId="11173176" w14:textId="77777777">
        <w:tc>
          <w:tcPr>
            <w:tcW w:w="5000" w:type="pct"/>
            <w:gridSpan w:val="2"/>
          </w:tcPr>
          <w:p w14:paraId="7C84E376" w14:textId="77777777" w:rsidR="00814667" w:rsidRDefault="00814667">
            <w:pPr>
              <w:pStyle w:val="SingleParagraph"/>
              <w:tabs>
                <w:tab w:val="num" w:pos="1134"/>
              </w:tabs>
              <w:spacing w:after="240"/>
              <w:ind w:left="1134" w:hanging="567"/>
            </w:pPr>
          </w:p>
        </w:tc>
      </w:tr>
      <w:tr w:rsidR="00814667" w14:paraId="2553FCD2" w14:textId="77777777">
        <w:tc>
          <w:tcPr>
            <w:tcW w:w="5000" w:type="pct"/>
            <w:gridSpan w:val="2"/>
          </w:tcPr>
          <w:p w14:paraId="41D13EA1" w14:textId="4783B799" w:rsidR="00814667" w:rsidRDefault="00771FFF" w:rsidP="006A11A2">
            <w:pPr>
              <w:pStyle w:val="Abstract"/>
            </w:pPr>
            <w:r>
              <w:t>The output</w:t>
            </w:r>
            <w:r w:rsidR="0012607E">
              <w:t>s</w:t>
            </w:r>
            <w:r>
              <w:t xml:space="preserve"> of this project will </w:t>
            </w:r>
            <w:r w:rsidR="0012607E">
              <w:t>be the ongoing</w:t>
            </w:r>
            <w:r w:rsidR="00113385">
              <w:t xml:space="preserve"> </w:t>
            </w:r>
            <w:r w:rsidR="008B2B1A">
              <w:t xml:space="preserve">delivery of BreastScreen Australia services to </w:t>
            </w:r>
            <w:r w:rsidR="004D3A51">
              <w:t>women 70-74</w:t>
            </w:r>
            <w:r w:rsidR="008B2B1A">
              <w:t xml:space="preserve"> years of age</w:t>
            </w:r>
            <w:r w:rsidR="0012607E">
              <w:t xml:space="preserve"> and </w:t>
            </w:r>
            <w:r w:rsidR="006A5004">
              <w:t>increase</w:t>
            </w:r>
            <w:r w:rsidR="0012607E">
              <w:t xml:space="preserve"> of</w:t>
            </w:r>
            <w:r w:rsidR="008171B0" w:rsidRPr="00C5191B">
              <w:t xml:space="preserve"> the participation</w:t>
            </w:r>
            <w:r w:rsidR="00DA3050">
              <w:t xml:space="preserve"> </w:t>
            </w:r>
            <w:r w:rsidR="004219CD">
              <w:t>of</w:t>
            </w:r>
            <w:r w:rsidR="008171B0" w:rsidRPr="00C5191B">
              <w:t xml:space="preserve"> women 70- 74 years of age.</w:t>
            </w:r>
            <w:r w:rsidR="004D3A51" w:rsidRPr="004D5AE7">
              <w:t xml:space="preserve"> </w:t>
            </w:r>
          </w:p>
          <w:p w14:paraId="135C7A43" w14:textId="77777777" w:rsidR="00CD5D06" w:rsidRDefault="00CD5D06" w:rsidP="006A11A2">
            <w:pPr>
              <w:pStyle w:val="Abstract"/>
            </w:pPr>
          </w:p>
          <w:p w14:paraId="5DCB12A9" w14:textId="77777777" w:rsidR="00CD5D06" w:rsidRDefault="00CD5D06" w:rsidP="006A11A2">
            <w:pPr>
              <w:pStyle w:val="Abstract"/>
            </w:pPr>
          </w:p>
          <w:p w14:paraId="5297D1AF" w14:textId="77777777" w:rsidR="00CD5D06" w:rsidRDefault="00CD5D06" w:rsidP="006A11A2">
            <w:pPr>
              <w:pStyle w:val="Abstract"/>
            </w:pPr>
          </w:p>
        </w:tc>
      </w:tr>
    </w:tbl>
    <w:p w14:paraId="2216BA64" w14:textId="77777777" w:rsidR="00814667" w:rsidRPr="00DF6609" w:rsidRDefault="00FF5029">
      <w:pPr>
        <w:pStyle w:val="Title"/>
        <w:pageBreakBefore/>
        <w:rPr>
          <w:sz w:val="24"/>
          <w:szCs w:val="24"/>
        </w:rPr>
      </w:pPr>
      <w:r>
        <w:lastRenderedPageBreak/>
        <w:t xml:space="preserve">Project </w:t>
      </w:r>
      <w:r w:rsidR="00D7336A">
        <w:t>Agreement</w:t>
      </w:r>
      <w:r>
        <w:t xml:space="preserve"> </w:t>
      </w:r>
      <w:r w:rsidR="008B2B1A">
        <w:t>for the E</w:t>
      </w:r>
      <w:r w:rsidR="004D3A51">
        <w:t xml:space="preserve">xpansion of </w:t>
      </w:r>
      <w:r w:rsidR="001D6811">
        <w:t>the</w:t>
      </w:r>
      <w:r w:rsidR="004D3A51">
        <w:t xml:space="preserve"> BreastScreen Australia Program</w:t>
      </w:r>
    </w:p>
    <w:p w14:paraId="5CF94759"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623303F0" w14:textId="77777777" w:rsidR="00C960AA" w:rsidRPr="0096732C" w:rsidRDefault="00C960AA" w:rsidP="00603538">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5A2AE986" w14:textId="77777777" w:rsidR="0096732C" w:rsidRPr="00C5191B"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C5191B">
        <w:t>Purpose</w:t>
      </w:r>
    </w:p>
    <w:p w14:paraId="3B4DA3A1" w14:textId="34D59347" w:rsidR="0096732C" w:rsidRDefault="00852ED8" w:rsidP="00603538">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C5191B">
        <w:t xml:space="preserve">This </w:t>
      </w:r>
      <w:r w:rsidRPr="001B093E">
        <w:rPr>
          <w:color w:val="auto"/>
        </w:rPr>
        <w:t>Agreement</w:t>
      </w:r>
      <w:r w:rsidRPr="00C5191B">
        <w:t xml:space="preserve"> will </w:t>
      </w:r>
      <w:r w:rsidR="006146F2" w:rsidRPr="00C5191B">
        <w:t>support</w:t>
      </w:r>
      <w:r w:rsidR="001B093E">
        <w:t xml:space="preserve"> </w:t>
      </w:r>
      <w:r w:rsidR="0089419C">
        <w:t>t</w:t>
      </w:r>
      <w:r w:rsidR="006146F2" w:rsidRPr="00C5191B">
        <w:t xml:space="preserve">he </w:t>
      </w:r>
      <w:r w:rsidR="008171B0" w:rsidRPr="00C5191B">
        <w:t xml:space="preserve">continued </w:t>
      </w:r>
      <w:r w:rsidR="006146F2" w:rsidRPr="00C5191B">
        <w:t xml:space="preserve">delivery of </w:t>
      </w:r>
      <w:r w:rsidR="001B093E">
        <w:t xml:space="preserve">accredited </w:t>
      </w:r>
      <w:r w:rsidR="00C04786" w:rsidRPr="00C5191B">
        <w:t xml:space="preserve">BreastScreen Australia services to women 70-74 years of age to </w:t>
      </w:r>
      <w:r w:rsidR="00CE5AF1">
        <w:t>increase</w:t>
      </w:r>
      <w:r w:rsidR="008171B0" w:rsidRPr="00C5191B">
        <w:t xml:space="preserve"> the </w:t>
      </w:r>
      <w:r w:rsidR="003849C7" w:rsidRPr="00C5191B">
        <w:t xml:space="preserve">current </w:t>
      </w:r>
      <w:r w:rsidR="008171B0" w:rsidRPr="00C5191B">
        <w:t xml:space="preserve">participation </w:t>
      </w:r>
      <w:r w:rsidR="004219CD">
        <w:t>of</w:t>
      </w:r>
      <w:r w:rsidR="004219CD" w:rsidRPr="00C5191B">
        <w:t xml:space="preserve"> </w:t>
      </w:r>
      <w:r w:rsidR="008171B0" w:rsidRPr="00C5191B">
        <w:t>women 70- 74 years of age</w:t>
      </w:r>
      <w:r w:rsidR="001B093E">
        <w:t xml:space="preserve">, including through </w:t>
      </w:r>
      <w:r w:rsidR="008171B0" w:rsidRPr="00C5191B">
        <w:t xml:space="preserve">the delivery of recruitment </w:t>
      </w:r>
      <w:r w:rsidR="003849C7" w:rsidRPr="00C5191B">
        <w:t xml:space="preserve">activities to </w:t>
      </w:r>
      <w:r w:rsidR="00CE6176">
        <w:t>increase</w:t>
      </w:r>
      <w:r w:rsidR="00CE6176" w:rsidRPr="00C5191B">
        <w:t xml:space="preserve"> </w:t>
      </w:r>
      <w:r w:rsidR="003849C7" w:rsidRPr="00C5191B">
        <w:t xml:space="preserve">participation </w:t>
      </w:r>
      <w:r w:rsidR="00C5191B" w:rsidRPr="00C5191B">
        <w:t>of additional women</w:t>
      </w:r>
      <w:r w:rsidR="001B093E">
        <w:t xml:space="preserve"> </w:t>
      </w:r>
      <w:r w:rsidR="00C5191B" w:rsidRPr="00C5191B">
        <w:t xml:space="preserve">70- 74 years of age and </w:t>
      </w:r>
      <w:r w:rsidR="003849C7" w:rsidRPr="00C5191B">
        <w:t>by under-screened groups.</w:t>
      </w:r>
    </w:p>
    <w:p w14:paraId="2C8B2B2F"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72047FCA" w14:textId="77777777" w:rsidR="0096732C" w:rsidRDefault="0096732C" w:rsidP="00603538">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 xml:space="preserve">The States will report against the agreed milestones during the operation of this Agreement, as set out in Part 4 – Project Milestones, Reporting and Payments. </w:t>
      </w:r>
    </w:p>
    <w:p w14:paraId="31A760CB"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7D3921AF" w14:textId="77777777" w:rsidR="0096732C" w:rsidRPr="004B1F38" w:rsidRDefault="0096732C" w:rsidP="00603538">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 xml:space="preserve">financial contribution to the States </w:t>
      </w:r>
      <w:r w:rsidR="001B3EE5">
        <w:t xml:space="preserve">of </w:t>
      </w:r>
      <w:r w:rsidRPr="003849C7">
        <w:t>$</w:t>
      </w:r>
      <w:r w:rsidR="008656A7">
        <w:t>60.</w:t>
      </w:r>
      <w:r w:rsidR="00A31C96">
        <w:t>17</w:t>
      </w:r>
      <w:r w:rsidR="001B3EE5" w:rsidRPr="003849C7">
        <w:t> million</w:t>
      </w:r>
      <w:r w:rsidR="00F234AB" w:rsidRPr="003849C7">
        <w:t xml:space="preserve"> </w:t>
      </w:r>
      <w:r w:rsidR="008656A7">
        <w:t>(</w:t>
      </w:r>
      <w:r w:rsidR="00F234AB" w:rsidRPr="003849C7">
        <w:t>exclusive of GST</w:t>
      </w:r>
      <w:r w:rsidR="008656A7">
        <w:t>)</w:t>
      </w:r>
      <w:r w:rsidR="00EF33DE" w:rsidRPr="003849C7">
        <w:t xml:space="preserve"> </w:t>
      </w:r>
      <w:r w:rsidRPr="003849C7">
        <w:t>in</w:t>
      </w:r>
      <w:r>
        <w:t xml:space="preserve"> respect of this Agreement</w:t>
      </w:r>
      <w:r w:rsidR="00FC055C">
        <w:t>,</w:t>
      </w:r>
      <w:r>
        <w:t xml:space="preserve"> as set out </w:t>
      </w:r>
      <w:r w:rsidRPr="007179FE">
        <w:t xml:space="preserve">in </w:t>
      </w:r>
      <w:r>
        <w:t>Part 5 – Financial Arrangements</w:t>
      </w:r>
      <w:r w:rsidRPr="007179FE">
        <w:t>.</w:t>
      </w:r>
    </w:p>
    <w:p w14:paraId="13CE43E4" w14:textId="77777777" w:rsidR="00814667" w:rsidRDefault="00814667">
      <w:pPr>
        <w:pStyle w:val="Heading1"/>
      </w:pPr>
      <w:r>
        <w:t>Part 1 — Formalities</w:t>
      </w:r>
    </w:p>
    <w:p w14:paraId="6B0F4B55" w14:textId="77777777" w:rsidR="00804105" w:rsidRDefault="00804105" w:rsidP="00603538">
      <w:pPr>
        <w:pStyle w:val="Normalnumbered"/>
        <w:numPr>
          <w:ilvl w:val="0"/>
          <w:numId w:val="10"/>
        </w:numPr>
      </w:pPr>
      <w:r>
        <w:t>This Agreement constitutes the entire agreement for this project.</w:t>
      </w:r>
    </w:p>
    <w:p w14:paraId="44C9DCFC" w14:textId="77777777" w:rsidR="00814667" w:rsidRDefault="00814667">
      <w:pPr>
        <w:pStyle w:val="Heading2"/>
      </w:pPr>
      <w:r>
        <w:t>Parties to this Agreement</w:t>
      </w:r>
    </w:p>
    <w:p w14:paraId="0F2F98F9" w14:textId="77777777" w:rsidR="007B4B03" w:rsidRPr="007B4B03" w:rsidRDefault="00E7195E" w:rsidP="00603538">
      <w:pPr>
        <w:pStyle w:val="Normalnumbered"/>
        <w:numPr>
          <w:ilvl w:val="0"/>
          <w:numId w:val="10"/>
        </w:numPr>
      </w:pPr>
      <w:r w:rsidRPr="003012DA">
        <w:t xml:space="preserve">This </w:t>
      </w:r>
      <w:r w:rsidR="00E31096">
        <w:t xml:space="preserve">Agreement </w:t>
      </w:r>
      <w:r w:rsidRPr="003012DA">
        <w:t>is between the Commonwealth of Australia (the</w:t>
      </w:r>
      <w:r w:rsidR="00593821">
        <w:t xml:space="preserve"> Commonwealth</w:t>
      </w:r>
      <w:r w:rsidRPr="003012DA">
        <w:t>) and t</w:t>
      </w:r>
      <w:r w:rsidR="00593821">
        <w:t xml:space="preserve">he States and Territories (the </w:t>
      </w:r>
      <w:r w:rsidRPr="003012DA">
        <w:t>States)</w:t>
      </w:r>
      <w:r w:rsidR="00810C04">
        <w:t>.</w:t>
      </w:r>
    </w:p>
    <w:p w14:paraId="300C51BD" w14:textId="77777777" w:rsidR="00814667" w:rsidRDefault="00814667" w:rsidP="00C04786">
      <w:pPr>
        <w:pStyle w:val="Heading2"/>
      </w:pPr>
      <w:r>
        <w:t xml:space="preserve">Term of </w:t>
      </w:r>
      <w:r w:rsidRPr="00C04786">
        <w:t>the</w:t>
      </w:r>
      <w:r>
        <w:t xml:space="preserve"> Agreement</w:t>
      </w:r>
    </w:p>
    <w:p w14:paraId="63A88BDC" w14:textId="77777777" w:rsidR="00814667" w:rsidRPr="00DE36EB" w:rsidRDefault="00814667" w:rsidP="00603538">
      <w:pPr>
        <w:pStyle w:val="Normalnumbered"/>
        <w:numPr>
          <w:ilvl w:val="0"/>
          <w:numId w:val="10"/>
        </w:numPr>
      </w:pPr>
      <w:r w:rsidRPr="00DE36EB">
        <w:t>This Agreement will commence as soon as the Commonwealth and on</w:t>
      </w:r>
      <w:r w:rsidR="00C7093C" w:rsidRPr="00DE36EB">
        <w:t>e</w:t>
      </w:r>
      <w:r w:rsidRPr="00DE36EB">
        <w:t xml:space="preserve"> other Party</w:t>
      </w:r>
      <w:r w:rsidR="00726DB5" w:rsidRPr="00DE36EB">
        <w:t xml:space="preserve"> sign </w:t>
      </w:r>
      <w:r w:rsidR="0096732C">
        <w:t xml:space="preserve">it </w:t>
      </w:r>
      <w:r w:rsidRPr="00DE36EB">
        <w:t>and will expire on</w:t>
      </w:r>
      <w:r w:rsidR="00C7093C" w:rsidRPr="00DE36EB">
        <w:t xml:space="preserve"> </w:t>
      </w:r>
      <w:r w:rsidR="00113385">
        <w:t>30 June 2021</w:t>
      </w:r>
      <w:r w:rsidR="00284884" w:rsidRPr="00DE36EB">
        <w:t xml:space="preserve"> 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540A6CB5"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r w:rsidR="00810C04">
        <w:rPr>
          <w:rFonts w:ascii="Consolas" w:hAnsi="Consolas"/>
          <w:b w:val="0"/>
          <w:iCs w:val="0"/>
          <w:caps/>
          <w:kern w:val="32"/>
          <w:sz w:val="32"/>
          <w:szCs w:val="36"/>
        </w:rPr>
        <w:t>S</w:t>
      </w:r>
    </w:p>
    <w:p w14:paraId="2EF94A46" w14:textId="77777777" w:rsidR="00814667" w:rsidRPr="00C5191B" w:rsidRDefault="00814667">
      <w:pPr>
        <w:pStyle w:val="Heading2"/>
      </w:pPr>
      <w:r w:rsidRPr="00C5191B">
        <w:t>Output</w:t>
      </w:r>
      <w:r w:rsidR="00265AC9">
        <w:t>s</w:t>
      </w:r>
    </w:p>
    <w:p w14:paraId="2CA33633" w14:textId="77777777" w:rsidR="0085738D" w:rsidRPr="00CE5BD1" w:rsidRDefault="008656A7" w:rsidP="00603538">
      <w:pPr>
        <w:pStyle w:val="Normalnumbered"/>
        <w:numPr>
          <w:ilvl w:val="0"/>
          <w:numId w:val="10"/>
        </w:numPr>
        <w:jc w:val="left"/>
      </w:pPr>
      <w:r>
        <w:rPr>
          <w:color w:val="auto"/>
        </w:rPr>
        <w:t>T</w:t>
      </w:r>
      <w:r w:rsidR="003D6E62" w:rsidRPr="001B3EE5">
        <w:rPr>
          <w:color w:val="auto"/>
        </w:rPr>
        <w:t>he</w:t>
      </w:r>
      <w:r w:rsidR="003D6E62" w:rsidRPr="004D5AE7">
        <w:t xml:space="preserve"> </w:t>
      </w:r>
      <w:r w:rsidR="003D6E62" w:rsidRPr="00CE5BD1">
        <w:t xml:space="preserve">outputs </w:t>
      </w:r>
      <w:r w:rsidR="006F79D3" w:rsidRPr="00CE5BD1">
        <w:t>of this Agreement will be</w:t>
      </w:r>
      <w:r w:rsidR="00AF4B54">
        <w:t xml:space="preserve"> the delivery of</w:t>
      </w:r>
      <w:r w:rsidR="006F79D3" w:rsidRPr="00CE5BD1">
        <w:t>:</w:t>
      </w:r>
    </w:p>
    <w:p w14:paraId="0C63030B" w14:textId="77777777" w:rsidR="007964B3" w:rsidRPr="00CE5BD1" w:rsidRDefault="007964B3" w:rsidP="00603538">
      <w:pPr>
        <w:pStyle w:val="AlphaParagraph"/>
        <w:numPr>
          <w:ilvl w:val="0"/>
          <w:numId w:val="15"/>
        </w:numPr>
        <w:tabs>
          <w:tab w:val="clear" w:pos="283"/>
          <w:tab w:val="clear" w:pos="567"/>
          <w:tab w:val="clear" w:pos="1418"/>
          <w:tab w:val="clear" w:pos="1701"/>
        </w:tabs>
        <w:ind w:left="1134" w:hanging="567"/>
        <w:jc w:val="left"/>
      </w:pPr>
      <w:r w:rsidRPr="00CE5BD1">
        <w:t xml:space="preserve">BreastScreen Australia services for women 70-74 years of age in line with national BreastScreen Australia policy and the requirements of the BreastScreen Australia </w:t>
      </w:r>
      <w:r w:rsidR="003623FB">
        <w:t>N</w:t>
      </w:r>
      <w:r w:rsidR="00AF4B54">
        <w:t xml:space="preserve">ational </w:t>
      </w:r>
      <w:r w:rsidR="003623FB">
        <w:t>Accreditation S</w:t>
      </w:r>
      <w:r w:rsidRPr="00CE5BD1">
        <w:t>tandards;</w:t>
      </w:r>
    </w:p>
    <w:p w14:paraId="4D787F88" w14:textId="007FD739" w:rsidR="00814667" w:rsidRPr="00D435C1" w:rsidRDefault="00D92541" w:rsidP="00603538">
      <w:pPr>
        <w:pStyle w:val="AlphaParagraph"/>
        <w:numPr>
          <w:ilvl w:val="0"/>
          <w:numId w:val="15"/>
        </w:numPr>
        <w:tabs>
          <w:tab w:val="clear" w:pos="567"/>
          <w:tab w:val="clear" w:pos="1418"/>
          <w:tab w:val="clear" w:pos="1701"/>
        </w:tabs>
        <w:ind w:left="1134" w:hanging="567"/>
        <w:jc w:val="left"/>
      </w:pPr>
      <w:r w:rsidRPr="00D435C1">
        <w:t xml:space="preserve">recruitment activities to </w:t>
      </w:r>
      <w:r w:rsidR="00CE5AF1">
        <w:t>increase</w:t>
      </w:r>
      <w:r w:rsidRPr="00D435C1">
        <w:t xml:space="preserve"> </w:t>
      </w:r>
      <w:r w:rsidR="00CE5AF1">
        <w:t>the</w:t>
      </w:r>
      <w:r w:rsidRPr="00D435C1">
        <w:t xml:space="preserve"> current</w:t>
      </w:r>
      <w:r w:rsidR="00B0203A" w:rsidRPr="00D435C1">
        <w:t xml:space="preserve"> participation </w:t>
      </w:r>
      <w:r w:rsidRPr="00FA2436">
        <w:t>for</w:t>
      </w:r>
      <w:r w:rsidRPr="00D435C1">
        <w:t xml:space="preserve"> women aged 70 to 74, including activities to </w:t>
      </w:r>
      <w:r w:rsidR="00CE6176">
        <w:t xml:space="preserve">increase </w:t>
      </w:r>
      <w:r w:rsidRPr="00D435C1">
        <w:t>participation by under-screened groups, such as Aboriginal and Torres Strait Islander women, Culturally and Linguistically Diverse women</w:t>
      </w:r>
      <w:r w:rsidR="00EC7153" w:rsidRPr="00D435C1">
        <w:t xml:space="preserve">, and women in </w:t>
      </w:r>
      <w:r w:rsidR="00F6347E">
        <w:t>remote and very remote</w:t>
      </w:r>
      <w:r w:rsidR="00EC7153" w:rsidRPr="00D435C1">
        <w:t xml:space="preserve"> areas</w:t>
      </w:r>
      <w:r w:rsidRPr="00D435C1">
        <w:t>;</w:t>
      </w:r>
      <w:r w:rsidR="002E411C" w:rsidRPr="00D435C1">
        <w:t xml:space="preserve"> and</w:t>
      </w:r>
    </w:p>
    <w:p w14:paraId="22C169A3" w14:textId="77777777" w:rsidR="002549B4" w:rsidRPr="00D435C1" w:rsidRDefault="000A2703" w:rsidP="00603538">
      <w:pPr>
        <w:pStyle w:val="AlphaParagraph"/>
        <w:numPr>
          <w:ilvl w:val="0"/>
          <w:numId w:val="15"/>
        </w:numPr>
        <w:tabs>
          <w:tab w:val="clear" w:pos="283"/>
          <w:tab w:val="clear" w:pos="567"/>
          <w:tab w:val="clear" w:pos="1418"/>
          <w:tab w:val="clear" w:pos="1701"/>
        </w:tabs>
        <w:ind w:left="1134" w:hanging="567"/>
        <w:jc w:val="left"/>
      </w:pPr>
      <w:r w:rsidRPr="00D435C1">
        <w:t xml:space="preserve">activities to </w:t>
      </w:r>
      <w:r w:rsidR="00B114B6" w:rsidRPr="00D435C1">
        <w:t xml:space="preserve">support </w:t>
      </w:r>
      <w:r w:rsidR="003D6E62" w:rsidRPr="00D435C1">
        <w:t>BreastScreen Australia services, registries, accreditation and reporting functions</w:t>
      </w:r>
      <w:r w:rsidR="002549B4" w:rsidRPr="00D435C1">
        <w:t xml:space="preserve"> </w:t>
      </w:r>
      <w:r w:rsidR="00F80AB4" w:rsidRPr="00D435C1">
        <w:t xml:space="preserve">in line with </w:t>
      </w:r>
      <w:r w:rsidR="002549B4" w:rsidRPr="00D435C1">
        <w:t xml:space="preserve">the requirements of the BreastScreen Australia </w:t>
      </w:r>
      <w:r w:rsidR="003623FB">
        <w:t>N</w:t>
      </w:r>
      <w:r w:rsidR="00AF4B54">
        <w:t xml:space="preserve">ational </w:t>
      </w:r>
      <w:r w:rsidR="003623FB">
        <w:t>A</w:t>
      </w:r>
      <w:r w:rsidR="002549B4" w:rsidRPr="00D435C1">
        <w:t xml:space="preserve">ccreditation </w:t>
      </w:r>
      <w:r w:rsidR="003623FB">
        <w:t>s</w:t>
      </w:r>
      <w:r w:rsidR="002549B4" w:rsidRPr="00D435C1">
        <w:t>tandards</w:t>
      </w:r>
      <w:r w:rsidR="00AF4B54">
        <w:t>.</w:t>
      </w:r>
    </w:p>
    <w:p w14:paraId="70FE54E6" w14:textId="77777777" w:rsidR="008F44F1" w:rsidRPr="00D435C1" w:rsidRDefault="008F44F1">
      <w:pPr>
        <w:pStyle w:val="Heading1"/>
      </w:pPr>
      <w:r w:rsidRPr="00D435C1">
        <w:t>Part 3 — roles and responsibilities of each party</w:t>
      </w:r>
    </w:p>
    <w:p w14:paraId="680BEEB8" w14:textId="77777777" w:rsidR="008F44F1" w:rsidRDefault="008F44F1" w:rsidP="008F44F1">
      <w:pPr>
        <w:pStyle w:val="Heading2"/>
      </w:pPr>
      <w:r w:rsidRPr="00D435C1">
        <w:t>Role of the</w:t>
      </w:r>
      <w:r w:rsidRPr="00814590">
        <w:t xml:space="preserve"> Commonwealth</w:t>
      </w:r>
    </w:p>
    <w:p w14:paraId="2CD1E9BA" w14:textId="77777777" w:rsidR="008F44F1" w:rsidRDefault="008F44F1" w:rsidP="00603538">
      <w:pPr>
        <w:pStyle w:val="Normalnumbered"/>
        <w:numPr>
          <w:ilvl w:val="0"/>
          <w:numId w:val="10"/>
        </w:numPr>
        <w:jc w:val="left"/>
      </w:pPr>
      <w:r>
        <w:t>The Commonwealth will be responsible for:</w:t>
      </w:r>
    </w:p>
    <w:p w14:paraId="0C005918" w14:textId="77777777" w:rsidR="008F44F1" w:rsidRPr="000614F9" w:rsidRDefault="008F44F1" w:rsidP="00603538">
      <w:pPr>
        <w:pStyle w:val="AlphaParagraph"/>
        <w:numPr>
          <w:ilvl w:val="0"/>
          <w:numId w:val="19"/>
        </w:numPr>
        <w:tabs>
          <w:tab w:val="clear" w:pos="567"/>
          <w:tab w:val="clear" w:pos="1418"/>
          <w:tab w:val="clear" w:pos="1701"/>
        </w:tabs>
        <w:ind w:left="1134" w:hanging="567"/>
        <w:jc w:val="left"/>
      </w:pPr>
      <w:r w:rsidRPr="000614F9">
        <w:rPr>
          <w:color w:val="auto"/>
        </w:rPr>
        <w:t>monitoring</w:t>
      </w:r>
      <w:r w:rsidRPr="004B6083">
        <w:t xml:space="preserve"> and assessing achievement against milestones</w:t>
      </w:r>
      <w:r w:rsidR="0083687E">
        <w:t xml:space="preserve"> </w:t>
      </w:r>
      <w:r w:rsidRPr="004B6083">
        <w:t>in the delivery of the</w:t>
      </w:r>
      <w:r w:rsidR="003D6E62">
        <w:t xml:space="preserve"> BreastSc</w:t>
      </w:r>
      <w:r w:rsidR="00B0203A">
        <w:t xml:space="preserve">reen Australia program </w:t>
      </w:r>
      <w:r w:rsidR="004C2A06">
        <w:t>expansion</w:t>
      </w:r>
      <w:r w:rsidR="003D6E62">
        <w:t xml:space="preserve"> </w:t>
      </w:r>
      <w:r w:rsidRPr="000614F9">
        <w:rPr>
          <w:color w:val="auto"/>
        </w:rPr>
        <w:t>under</w:t>
      </w:r>
      <w:r w:rsidRPr="004B6083">
        <w:t xml:space="preserve"> this Agreement to ensure that outputs are delivered within the agreed timeframe; </w:t>
      </w:r>
    </w:p>
    <w:p w14:paraId="04669D01" w14:textId="77777777" w:rsidR="008F44F1" w:rsidRDefault="008F44F1" w:rsidP="00603538">
      <w:pPr>
        <w:pStyle w:val="AlphaParagraph"/>
        <w:numPr>
          <w:ilvl w:val="0"/>
          <w:numId w:val="15"/>
        </w:numPr>
        <w:tabs>
          <w:tab w:val="clear" w:pos="567"/>
          <w:tab w:val="clear" w:pos="1418"/>
          <w:tab w:val="clear" w:pos="1701"/>
        </w:tabs>
        <w:ind w:left="1134" w:hanging="567"/>
        <w:jc w:val="left"/>
        <w:rPr>
          <w:color w:val="auto"/>
        </w:rPr>
      </w:pPr>
      <w:r w:rsidRPr="004B6083">
        <w:rPr>
          <w:color w:val="auto"/>
        </w:rPr>
        <w:t xml:space="preserve">providing a consequent financial contribution to the States to support the </w:t>
      </w:r>
      <w:r w:rsidRPr="000614F9">
        <w:t>implementation</w:t>
      </w:r>
      <w:r w:rsidR="00DC6FA2">
        <w:rPr>
          <w:color w:val="auto"/>
        </w:rPr>
        <w:t xml:space="preserve"> of this Agreement, and</w:t>
      </w:r>
    </w:p>
    <w:p w14:paraId="6FA1D413" w14:textId="77777777" w:rsidR="00DC6FA2" w:rsidRDefault="00DC6FA2" w:rsidP="00B91748">
      <w:pPr>
        <w:pStyle w:val="Normalnumbered"/>
        <w:numPr>
          <w:ilvl w:val="0"/>
          <w:numId w:val="15"/>
        </w:numPr>
        <w:spacing w:after="120"/>
        <w:ind w:left="1134" w:hanging="567"/>
        <w:jc w:val="left"/>
      </w:pPr>
      <w:r>
        <w:t>Separate to this Agreement, the Commonwealth will fund an evaluation of the BreastScreen Australia expansion, in consultation with the States to inform the impact of the BreastScreen Australia expansion on women aged 70 to 74 years.</w:t>
      </w:r>
    </w:p>
    <w:p w14:paraId="2E51DD42" w14:textId="49AC9FA4" w:rsidR="004219CD" w:rsidRDefault="00B91748" w:rsidP="004219CD">
      <w:pPr>
        <w:pStyle w:val="Normalnumbered"/>
        <w:numPr>
          <w:ilvl w:val="0"/>
          <w:numId w:val="15"/>
        </w:numPr>
        <w:spacing w:after="120"/>
        <w:ind w:left="1134" w:hanging="567"/>
        <w:jc w:val="left"/>
      </w:pPr>
      <w:r>
        <w:t>The Commonwealth will engage</w:t>
      </w:r>
      <w:r w:rsidR="00914DE1">
        <w:t xml:space="preserve"> with</w:t>
      </w:r>
      <w:r>
        <w:t xml:space="preserve"> the States </w:t>
      </w:r>
      <w:r w:rsidR="000303B4">
        <w:t>on</w:t>
      </w:r>
      <w:r>
        <w:t xml:space="preserve"> input to the BreastScreen Australia </w:t>
      </w:r>
      <w:r w:rsidR="00EA5773">
        <w:t xml:space="preserve">expansion </w:t>
      </w:r>
      <w:r>
        <w:t>evaluation, including but not limited to:</w:t>
      </w:r>
    </w:p>
    <w:p w14:paraId="15A1E64D" w14:textId="77777777" w:rsidR="004219CD" w:rsidRDefault="00B91748" w:rsidP="004219CD">
      <w:pPr>
        <w:pStyle w:val="AlphaParagraph"/>
        <w:numPr>
          <w:ilvl w:val="0"/>
          <w:numId w:val="24"/>
        </w:numPr>
        <w:tabs>
          <w:tab w:val="clear" w:pos="283"/>
          <w:tab w:val="clear" w:pos="567"/>
          <w:tab w:val="clear" w:pos="1134"/>
          <w:tab w:val="clear" w:pos="1418"/>
        </w:tabs>
        <w:ind w:left="1701" w:hanging="567"/>
      </w:pPr>
      <w:r>
        <w:t>the draft and final evaluation methodology</w:t>
      </w:r>
      <w:r w:rsidR="004219CD">
        <w:t>;</w:t>
      </w:r>
    </w:p>
    <w:p w14:paraId="7F0CC9B9" w14:textId="77777777" w:rsidR="004219CD" w:rsidRDefault="000303B4" w:rsidP="004219CD">
      <w:pPr>
        <w:pStyle w:val="AlphaParagraph"/>
        <w:numPr>
          <w:ilvl w:val="0"/>
          <w:numId w:val="24"/>
        </w:numPr>
        <w:tabs>
          <w:tab w:val="clear" w:pos="283"/>
          <w:tab w:val="clear" w:pos="567"/>
          <w:tab w:val="clear" w:pos="1134"/>
          <w:tab w:val="clear" w:pos="1418"/>
        </w:tabs>
        <w:ind w:left="1701" w:hanging="567"/>
      </w:pPr>
      <w:r>
        <w:t xml:space="preserve">the </w:t>
      </w:r>
      <w:r w:rsidR="004565A3">
        <w:t>B</w:t>
      </w:r>
      <w:r>
        <w:t>reast</w:t>
      </w:r>
      <w:r w:rsidR="004565A3">
        <w:t>S</w:t>
      </w:r>
      <w:r>
        <w:t xml:space="preserve">creen </w:t>
      </w:r>
      <w:r w:rsidR="004565A3">
        <w:t>A</w:t>
      </w:r>
      <w:r>
        <w:t>ustralia</w:t>
      </w:r>
      <w:r w:rsidR="004565A3">
        <w:t xml:space="preserve"> s</w:t>
      </w:r>
      <w:r w:rsidR="00B91748">
        <w:t>takeholder</w:t>
      </w:r>
      <w:r w:rsidR="004565A3">
        <w:t xml:space="preserve"> engagement strategy</w:t>
      </w:r>
      <w:r w:rsidR="004219CD">
        <w:t xml:space="preserve"> including consumer interviews;</w:t>
      </w:r>
      <w:r w:rsidR="00914DE1">
        <w:t xml:space="preserve"> and</w:t>
      </w:r>
    </w:p>
    <w:p w14:paraId="28A3AF6D" w14:textId="77777777" w:rsidR="00B91748" w:rsidRDefault="00B91748" w:rsidP="004219CD">
      <w:pPr>
        <w:pStyle w:val="AlphaParagraph"/>
        <w:numPr>
          <w:ilvl w:val="0"/>
          <w:numId w:val="24"/>
        </w:numPr>
        <w:tabs>
          <w:tab w:val="clear" w:pos="283"/>
          <w:tab w:val="clear" w:pos="567"/>
          <w:tab w:val="clear" w:pos="1134"/>
          <w:tab w:val="clear" w:pos="1418"/>
        </w:tabs>
        <w:ind w:left="1701" w:hanging="567"/>
      </w:pPr>
      <w:proofErr w:type="gramStart"/>
      <w:r>
        <w:t>the</w:t>
      </w:r>
      <w:proofErr w:type="gramEnd"/>
      <w:r>
        <w:t xml:space="preserve"> final evaluation report.</w:t>
      </w:r>
    </w:p>
    <w:p w14:paraId="2A8DADC2" w14:textId="77777777" w:rsidR="008F44F1" w:rsidRPr="00751725" w:rsidRDefault="008F44F1" w:rsidP="008F44F1">
      <w:pPr>
        <w:pStyle w:val="Heading2"/>
      </w:pPr>
      <w:r w:rsidRPr="00751725">
        <w:t xml:space="preserve">Role of the States </w:t>
      </w:r>
      <w:r>
        <w:t>and Territories</w:t>
      </w:r>
    </w:p>
    <w:p w14:paraId="184FB80E" w14:textId="77777777" w:rsidR="008F44F1" w:rsidRPr="00751725" w:rsidRDefault="008F44F1" w:rsidP="00603538">
      <w:pPr>
        <w:pStyle w:val="Normalnumbered"/>
        <w:numPr>
          <w:ilvl w:val="0"/>
          <w:numId w:val="10"/>
        </w:numPr>
        <w:jc w:val="left"/>
      </w:pPr>
      <w:r w:rsidRPr="00751725">
        <w:t xml:space="preserve">The </w:t>
      </w:r>
      <w:r w:rsidR="00AF3869">
        <w:t xml:space="preserve">States </w:t>
      </w:r>
      <w:r>
        <w:t>will be responsible for</w:t>
      </w:r>
      <w:r w:rsidR="00545DF7">
        <w:t>:</w:t>
      </w:r>
    </w:p>
    <w:p w14:paraId="4554BCFD" w14:textId="77777777" w:rsidR="002F7494" w:rsidRDefault="002F7494" w:rsidP="002F7494">
      <w:pPr>
        <w:pStyle w:val="AlphaParagraph"/>
        <w:numPr>
          <w:ilvl w:val="0"/>
          <w:numId w:val="23"/>
        </w:numPr>
        <w:tabs>
          <w:tab w:val="clear" w:pos="283"/>
          <w:tab w:val="clear" w:pos="567"/>
          <w:tab w:val="clear" w:pos="1418"/>
          <w:tab w:val="clear" w:pos="1701"/>
        </w:tabs>
        <w:ind w:left="1134" w:hanging="567"/>
      </w:pPr>
      <w:r>
        <w:t>all aspects of delivering on the project outputs set out in this Agreement; and</w:t>
      </w:r>
    </w:p>
    <w:p w14:paraId="5EE30FD3" w14:textId="77777777" w:rsidR="00083E52" w:rsidRDefault="002F7494" w:rsidP="00083E52">
      <w:pPr>
        <w:pStyle w:val="AlphaParagraph"/>
        <w:numPr>
          <w:ilvl w:val="0"/>
          <w:numId w:val="23"/>
        </w:numPr>
        <w:tabs>
          <w:tab w:val="clear" w:pos="283"/>
          <w:tab w:val="clear" w:pos="567"/>
          <w:tab w:val="clear" w:pos="1418"/>
          <w:tab w:val="clear" w:pos="1701"/>
        </w:tabs>
        <w:ind w:left="1134" w:hanging="567"/>
      </w:pPr>
      <w:r w:rsidRPr="006B4DF0">
        <w:t xml:space="preserve">reporting on the delivery of </w:t>
      </w:r>
      <w:r>
        <w:t>outputs</w:t>
      </w:r>
      <w:r w:rsidRPr="006B4DF0">
        <w:t xml:space="preserve"> </w:t>
      </w:r>
      <w:r>
        <w:t>as set out in Part 4</w:t>
      </w:r>
      <w:r w:rsidRPr="006B4DF0">
        <w:t xml:space="preserve"> – P</w:t>
      </w:r>
      <w:r>
        <w:t>roject Mil</w:t>
      </w:r>
      <w:r w:rsidR="00083E52">
        <w:t>estones, Reporting and Payments; and</w:t>
      </w:r>
    </w:p>
    <w:p w14:paraId="47E2EA4B" w14:textId="5CDBD10C" w:rsidR="00914DE1" w:rsidRPr="00083E52" w:rsidRDefault="00914DE1" w:rsidP="00083E52">
      <w:pPr>
        <w:pStyle w:val="AlphaParagraph"/>
        <w:numPr>
          <w:ilvl w:val="0"/>
          <w:numId w:val="23"/>
        </w:numPr>
        <w:tabs>
          <w:tab w:val="clear" w:pos="283"/>
          <w:tab w:val="clear" w:pos="567"/>
          <w:tab w:val="clear" w:pos="1418"/>
          <w:tab w:val="clear" w:pos="1701"/>
        </w:tabs>
        <w:ind w:left="1134" w:hanging="567"/>
      </w:pPr>
      <w:proofErr w:type="gramStart"/>
      <w:r w:rsidRPr="00083E52">
        <w:rPr>
          <w:szCs w:val="23"/>
        </w:rPr>
        <w:t>cover</w:t>
      </w:r>
      <w:r w:rsidR="000303B4" w:rsidRPr="00083E52">
        <w:rPr>
          <w:szCs w:val="23"/>
        </w:rPr>
        <w:t>ing</w:t>
      </w:r>
      <w:proofErr w:type="gramEnd"/>
      <w:r w:rsidR="000303B4" w:rsidRPr="00083E52">
        <w:rPr>
          <w:szCs w:val="23"/>
        </w:rPr>
        <w:t xml:space="preserve"> </w:t>
      </w:r>
      <w:r w:rsidR="00F029B4" w:rsidRPr="00083E52">
        <w:rPr>
          <w:szCs w:val="23"/>
        </w:rPr>
        <w:t xml:space="preserve">costs </w:t>
      </w:r>
      <w:r w:rsidR="009C27B9" w:rsidRPr="00083E52">
        <w:rPr>
          <w:szCs w:val="23"/>
        </w:rPr>
        <w:t>associated with</w:t>
      </w:r>
      <w:r w:rsidR="00F029B4" w:rsidRPr="00083E52">
        <w:rPr>
          <w:szCs w:val="23"/>
        </w:rPr>
        <w:t xml:space="preserve"> </w:t>
      </w:r>
      <w:r w:rsidR="000303B4" w:rsidRPr="00083E52">
        <w:rPr>
          <w:szCs w:val="23"/>
        </w:rPr>
        <w:t>their</w:t>
      </w:r>
      <w:r w:rsidRPr="00083E52">
        <w:rPr>
          <w:szCs w:val="23"/>
        </w:rPr>
        <w:t xml:space="preserve"> participation</w:t>
      </w:r>
      <w:r w:rsidR="00F029B4" w:rsidRPr="00083E52">
        <w:rPr>
          <w:szCs w:val="23"/>
        </w:rPr>
        <w:t xml:space="preserve"> </w:t>
      </w:r>
      <w:r w:rsidRPr="00083E52">
        <w:rPr>
          <w:szCs w:val="23"/>
        </w:rPr>
        <w:t>in interviews</w:t>
      </w:r>
      <w:r w:rsidR="00D4440B">
        <w:rPr>
          <w:szCs w:val="23"/>
        </w:rPr>
        <w:t xml:space="preserve"> and reviewing the methodology</w:t>
      </w:r>
      <w:r w:rsidRPr="00083E52">
        <w:rPr>
          <w:szCs w:val="23"/>
        </w:rPr>
        <w:t xml:space="preserve"> for </w:t>
      </w:r>
      <w:r w:rsidR="00F029B4" w:rsidRPr="00083E52">
        <w:rPr>
          <w:szCs w:val="23"/>
        </w:rPr>
        <w:t xml:space="preserve">the BreastScreen Australia </w:t>
      </w:r>
      <w:r w:rsidR="00EA5773" w:rsidRPr="00083E52">
        <w:rPr>
          <w:szCs w:val="23"/>
        </w:rPr>
        <w:t xml:space="preserve">expansion </w:t>
      </w:r>
      <w:r w:rsidR="00F029B4" w:rsidRPr="00083E52">
        <w:rPr>
          <w:szCs w:val="23"/>
        </w:rPr>
        <w:t>evaluation</w:t>
      </w:r>
      <w:r w:rsidRPr="00083E52">
        <w:rPr>
          <w:szCs w:val="23"/>
        </w:rPr>
        <w:t>.</w:t>
      </w:r>
    </w:p>
    <w:p w14:paraId="67431483" w14:textId="77777777" w:rsidR="008F44F1" w:rsidRDefault="008F44F1" w:rsidP="008F44F1">
      <w:pPr>
        <w:pStyle w:val="Heading2"/>
      </w:pPr>
      <w:r>
        <w:lastRenderedPageBreak/>
        <w:t>Shared roles</w:t>
      </w:r>
    </w:p>
    <w:p w14:paraId="1376DA8E" w14:textId="77777777" w:rsidR="00083E52" w:rsidRDefault="00083E52" w:rsidP="00083E52">
      <w:pPr>
        <w:pStyle w:val="Normalnumbered"/>
        <w:numPr>
          <w:ilvl w:val="0"/>
          <w:numId w:val="10"/>
        </w:numPr>
        <w:jc w:val="left"/>
      </w:pPr>
      <w:r w:rsidRPr="00083E52">
        <w:rPr>
          <w:szCs w:val="23"/>
        </w:rPr>
        <w:t xml:space="preserve">The </w:t>
      </w:r>
      <w:r w:rsidRPr="00083E52">
        <w:t>Commonwealth</w:t>
      </w:r>
      <w:r w:rsidRPr="00083E52">
        <w:rPr>
          <w:szCs w:val="23"/>
        </w:rPr>
        <w:t xml:space="preserve"> and the States agree to be jointly responsible for</w:t>
      </w:r>
      <w:r>
        <w:rPr>
          <w:szCs w:val="23"/>
        </w:rPr>
        <w:t>, w</w:t>
      </w:r>
      <w:r w:rsidRPr="002F7494">
        <w:t>ithin one month of the execution</w:t>
      </w:r>
      <w:r w:rsidR="00D4336F">
        <w:t xml:space="preserve"> of this Agreement</w:t>
      </w:r>
      <w:r>
        <w:t xml:space="preserve">, agreeing </w:t>
      </w:r>
      <w:r w:rsidRPr="002F7494">
        <w:t>Project Plans</w:t>
      </w:r>
      <w:r>
        <w:t xml:space="preserve"> using the template at Attachment A</w:t>
      </w:r>
      <w:r w:rsidRPr="002F7494">
        <w:t xml:space="preserve"> that will set out each State’s strategy for delivering</w:t>
      </w:r>
      <w:r>
        <w:t xml:space="preserve"> the outputs of this Agreement.</w:t>
      </w:r>
    </w:p>
    <w:p w14:paraId="51AB41D1" w14:textId="77777777" w:rsidR="00083E52" w:rsidRDefault="00083E52" w:rsidP="00083E52">
      <w:pPr>
        <w:pStyle w:val="AlphaParagraph"/>
        <w:numPr>
          <w:ilvl w:val="0"/>
          <w:numId w:val="43"/>
        </w:numPr>
        <w:tabs>
          <w:tab w:val="clear" w:pos="283"/>
          <w:tab w:val="clear" w:pos="567"/>
          <w:tab w:val="clear" w:pos="1418"/>
          <w:tab w:val="clear" w:pos="1701"/>
        </w:tabs>
        <w:ind w:left="1134" w:hanging="567"/>
      </w:pPr>
      <w:r w:rsidRPr="002F7494">
        <w:t>Project Plans will be flexible documents that may be varied to accommodate changed circumstances. Other variations or updates to Project Plans are subject to the agreement of senior Commonwealth and State officials</w:t>
      </w:r>
      <w:r>
        <w:t>;</w:t>
      </w:r>
    </w:p>
    <w:p w14:paraId="3208CCAA" w14:textId="77777777" w:rsidR="00083E52" w:rsidRPr="002F7494" w:rsidRDefault="00083E52" w:rsidP="00083E52">
      <w:pPr>
        <w:pStyle w:val="AlphaParagraph"/>
        <w:numPr>
          <w:ilvl w:val="0"/>
          <w:numId w:val="43"/>
        </w:numPr>
        <w:tabs>
          <w:tab w:val="clear" w:pos="283"/>
          <w:tab w:val="clear" w:pos="567"/>
          <w:tab w:val="clear" w:pos="1418"/>
          <w:tab w:val="clear" w:pos="1701"/>
        </w:tabs>
        <w:ind w:left="1134" w:hanging="567"/>
      </w:pPr>
      <w:r>
        <w:t>Using the template at Attachment A, Project Plans will include:</w:t>
      </w:r>
    </w:p>
    <w:p w14:paraId="16A05227" w14:textId="77777777" w:rsidR="00083E52" w:rsidRDefault="00083E52" w:rsidP="00083E52">
      <w:pPr>
        <w:pStyle w:val="AlphaParagraph"/>
        <w:numPr>
          <w:ilvl w:val="0"/>
          <w:numId w:val="44"/>
        </w:numPr>
        <w:tabs>
          <w:tab w:val="clear" w:pos="283"/>
          <w:tab w:val="clear" w:pos="567"/>
          <w:tab w:val="clear" w:pos="1134"/>
          <w:tab w:val="clear" w:pos="1418"/>
          <w:tab w:val="clear" w:pos="1701"/>
        </w:tabs>
        <w:ind w:left="1701" w:hanging="567"/>
      </w:pPr>
      <w:r>
        <w:t xml:space="preserve">strategies to encourage </w:t>
      </w:r>
      <w:r w:rsidRPr="00AF522E">
        <w:t>women aged 70</w:t>
      </w:r>
      <w:r w:rsidRPr="00AF522E">
        <w:noBreakHyphen/>
        <w:t>74 years to participate in the BreastScreen Australia program;</w:t>
      </w:r>
    </w:p>
    <w:p w14:paraId="1F7C6515" w14:textId="77777777" w:rsidR="00083E52" w:rsidRDefault="00083E52" w:rsidP="00083E52">
      <w:pPr>
        <w:pStyle w:val="AlphaParagraph"/>
        <w:numPr>
          <w:ilvl w:val="0"/>
          <w:numId w:val="44"/>
        </w:numPr>
        <w:tabs>
          <w:tab w:val="clear" w:pos="283"/>
          <w:tab w:val="clear" w:pos="567"/>
          <w:tab w:val="clear" w:pos="1134"/>
          <w:tab w:val="clear" w:pos="1418"/>
        </w:tabs>
        <w:ind w:left="1701" w:hanging="567"/>
      </w:pPr>
      <w:r>
        <w:t>strategies to</w:t>
      </w:r>
      <w:r w:rsidRPr="00AF522E">
        <w:t xml:space="preserve"> </w:t>
      </w:r>
      <w:r>
        <w:t>increase</w:t>
      </w:r>
      <w:r w:rsidRPr="00AF522E">
        <w:t xml:space="preserve"> service delivery and system capacity to screen women aged 70 to 74 years</w:t>
      </w:r>
      <w:r>
        <w:t>;</w:t>
      </w:r>
    </w:p>
    <w:p w14:paraId="023E91FA" w14:textId="105A1814" w:rsidR="00083E52" w:rsidRDefault="00083E52" w:rsidP="00083E52">
      <w:pPr>
        <w:pStyle w:val="AlphaParagraph"/>
        <w:numPr>
          <w:ilvl w:val="0"/>
          <w:numId w:val="44"/>
        </w:numPr>
        <w:tabs>
          <w:tab w:val="clear" w:pos="283"/>
          <w:tab w:val="clear" w:pos="567"/>
          <w:tab w:val="clear" w:pos="1134"/>
          <w:tab w:val="clear" w:pos="1418"/>
        </w:tabs>
        <w:ind w:left="1701" w:hanging="567"/>
      </w:pPr>
      <w:r>
        <w:t>r</w:t>
      </w:r>
      <w:r w:rsidRPr="00AF522E">
        <w:t xml:space="preserve">ecruitment and support activities to </w:t>
      </w:r>
      <w:r>
        <w:t>increase</w:t>
      </w:r>
      <w:r w:rsidRPr="00AF522E">
        <w:t xml:space="preserve"> participation of women aged</w:t>
      </w:r>
      <w:r>
        <w:t xml:space="preserve"> </w:t>
      </w:r>
      <w:r w:rsidRPr="00AF522E">
        <w:t>70</w:t>
      </w:r>
      <w:r>
        <w:t xml:space="preserve"> </w:t>
      </w:r>
      <w:r w:rsidRPr="00AF522E">
        <w:t xml:space="preserve">to 74 years, </w:t>
      </w:r>
      <w:r w:rsidRPr="00D435C1">
        <w:t xml:space="preserve">Aboriginal and Torres Strait Islander women, Culturally and Linguistically Diverse women, and women in </w:t>
      </w:r>
      <w:r>
        <w:t>remote and very remote</w:t>
      </w:r>
      <w:r w:rsidRPr="00D435C1">
        <w:t xml:space="preserve"> areas</w:t>
      </w:r>
      <w:r w:rsidRPr="00AF522E">
        <w:t>;</w:t>
      </w:r>
      <w:r>
        <w:t xml:space="preserve"> and</w:t>
      </w:r>
    </w:p>
    <w:p w14:paraId="3572D1E7" w14:textId="77777777" w:rsidR="00083E52" w:rsidRDefault="00083E52" w:rsidP="00083E52">
      <w:pPr>
        <w:pStyle w:val="AlphaParagraph"/>
        <w:numPr>
          <w:ilvl w:val="0"/>
          <w:numId w:val="44"/>
        </w:numPr>
        <w:tabs>
          <w:tab w:val="clear" w:pos="283"/>
          <w:tab w:val="clear" w:pos="567"/>
          <w:tab w:val="clear" w:pos="1134"/>
          <w:tab w:val="clear" w:pos="1418"/>
        </w:tabs>
        <w:ind w:left="1701" w:hanging="567"/>
      </w:pPr>
      <w:r w:rsidRPr="00D435C1">
        <w:t xml:space="preserve">activities to support BreastScreen Australia services, registries, accreditation and reporting functions in line with the requirements of the BreastScreen Australia </w:t>
      </w:r>
      <w:r>
        <w:t>National Accreditation S</w:t>
      </w:r>
      <w:r w:rsidRPr="00D435C1">
        <w:t>tandards</w:t>
      </w:r>
      <w:r>
        <w:t>.</w:t>
      </w:r>
    </w:p>
    <w:p w14:paraId="10EB5999" w14:textId="77777777" w:rsidR="00083E52" w:rsidRPr="00506556" w:rsidRDefault="00083E52" w:rsidP="00083E52">
      <w:pPr>
        <w:pStyle w:val="Default"/>
        <w:numPr>
          <w:ilvl w:val="0"/>
          <w:numId w:val="10"/>
        </w:numPr>
        <w:spacing w:after="238"/>
        <w:rPr>
          <w:sz w:val="23"/>
          <w:szCs w:val="23"/>
        </w:rPr>
      </w:pPr>
      <w:r w:rsidRPr="00506556">
        <w:rPr>
          <w:sz w:val="23"/>
          <w:szCs w:val="23"/>
        </w:rPr>
        <w:t xml:space="preserve">The Commonwealth and the States </w:t>
      </w:r>
      <w:r>
        <w:rPr>
          <w:sz w:val="23"/>
          <w:szCs w:val="23"/>
        </w:rPr>
        <w:t>also agree to be jointly responsible for</w:t>
      </w:r>
      <w:r w:rsidRPr="00506556">
        <w:rPr>
          <w:sz w:val="23"/>
          <w:szCs w:val="23"/>
        </w:rPr>
        <w:t>:</w:t>
      </w:r>
    </w:p>
    <w:p w14:paraId="2FD9026C" w14:textId="77777777" w:rsidR="00083E52" w:rsidRPr="00506556" w:rsidRDefault="00083E52" w:rsidP="00083E52">
      <w:pPr>
        <w:pStyle w:val="AlphaParagraph"/>
        <w:numPr>
          <w:ilvl w:val="0"/>
          <w:numId w:val="20"/>
        </w:numPr>
        <w:tabs>
          <w:tab w:val="clear" w:pos="283"/>
          <w:tab w:val="clear" w:pos="567"/>
          <w:tab w:val="clear" w:pos="1134"/>
          <w:tab w:val="clear" w:pos="1418"/>
          <w:tab w:val="clear" w:pos="1701"/>
        </w:tabs>
        <w:ind w:left="1134" w:hanging="567"/>
        <w:jc w:val="left"/>
      </w:pPr>
      <w:r w:rsidRPr="00506556">
        <w:t xml:space="preserve">participating in consultations as appropriate regarding the implementation of this Agreement; </w:t>
      </w:r>
      <w:r>
        <w:t>and</w:t>
      </w:r>
    </w:p>
    <w:p w14:paraId="333EB9C9" w14:textId="77777777" w:rsidR="00083E52" w:rsidRDefault="00083E52" w:rsidP="00083E52">
      <w:pPr>
        <w:pStyle w:val="AlphaParagraph"/>
        <w:numPr>
          <w:ilvl w:val="0"/>
          <w:numId w:val="20"/>
        </w:numPr>
        <w:tabs>
          <w:tab w:val="clear" w:pos="283"/>
          <w:tab w:val="clear" w:pos="567"/>
          <w:tab w:val="clear" w:pos="1134"/>
          <w:tab w:val="clear" w:pos="1418"/>
          <w:tab w:val="clear" w:pos="1701"/>
        </w:tabs>
        <w:ind w:left="1134" w:hanging="567"/>
        <w:jc w:val="left"/>
      </w:pPr>
      <w:proofErr w:type="gramStart"/>
      <w:r w:rsidRPr="00506556">
        <w:t>undertaking</w:t>
      </w:r>
      <w:proofErr w:type="gramEnd"/>
      <w:r w:rsidRPr="00506556">
        <w:t xml:space="preserve"> evaluations and reviews of services and outputs delivered under this Agreement</w:t>
      </w:r>
      <w:r>
        <w:t>.</w:t>
      </w:r>
    </w:p>
    <w:p w14:paraId="086A119D" w14:textId="77777777" w:rsidR="008F44F1" w:rsidRDefault="008F44F1" w:rsidP="00603538">
      <w:pPr>
        <w:pStyle w:val="Normalnumbered"/>
        <w:numPr>
          <w:ilvl w:val="0"/>
          <w:numId w:val="10"/>
        </w:numPr>
        <w:spacing w:after="480"/>
        <w:jc w:val="left"/>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68327359"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728009D3" w14:textId="77777777" w:rsidR="00733AD3" w:rsidRDefault="00545DF7" w:rsidP="006A11A2">
      <w:pPr>
        <w:pStyle w:val="Normalnumbered"/>
        <w:widowControl w:val="0"/>
        <w:numPr>
          <w:ilvl w:val="0"/>
          <w:numId w:val="0"/>
        </w:numPr>
        <w:spacing w:after="0"/>
        <w:jc w:val="left"/>
      </w:pPr>
      <w:r w:rsidRPr="00DE36EB">
        <w:t>T</w:t>
      </w:r>
      <w:r w:rsidR="007C4F31" w:rsidRPr="00DE36EB">
        <w:t xml:space="preserve">able </w:t>
      </w:r>
      <w:r w:rsidRPr="00DE36EB">
        <w:t>1</w:t>
      </w:r>
      <w:r>
        <w:t xml:space="preserve"> </w:t>
      </w:r>
      <w:r w:rsidR="007C4F31">
        <w:t xml:space="preserve">summarises the milestones for the project, their relationship to the outputs, expected completion dates, relevant reporting dates and expected payments </w:t>
      </w:r>
      <w:r w:rsidR="0077685D">
        <w:t>to be made</w:t>
      </w:r>
      <w:r w:rsidR="00ED2AC4">
        <w:t>. The Commonwealth will mak</w:t>
      </w:r>
      <w:r w:rsidR="00B0203A">
        <w:t xml:space="preserve">e payments subject to the </w:t>
      </w:r>
      <w:r w:rsidR="00ED2AC4">
        <w:t xml:space="preserve">performance report demonstrating the relevant </w:t>
      </w:r>
      <w:r w:rsidR="00ED2AC4" w:rsidRPr="00733AD3">
        <w:rPr>
          <w:szCs w:val="23"/>
        </w:rPr>
        <w:t xml:space="preserve">milestone </w:t>
      </w:r>
      <w:r w:rsidR="00733AD3">
        <w:t>has been met.</w:t>
      </w:r>
    </w:p>
    <w:p w14:paraId="3505E474" w14:textId="77777777" w:rsidR="00733AD3" w:rsidRDefault="00733AD3" w:rsidP="006A11A2">
      <w:pPr>
        <w:pStyle w:val="Normalnumbered"/>
        <w:widowControl w:val="0"/>
        <w:numPr>
          <w:ilvl w:val="0"/>
          <w:numId w:val="0"/>
        </w:numPr>
        <w:spacing w:after="0"/>
        <w:jc w:val="left"/>
      </w:pPr>
    </w:p>
    <w:p w14:paraId="3E1A1945" w14:textId="77777777" w:rsidR="000303B4" w:rsidRDefault="000303B4">
      <w:pPr>
        <w:spacing w:after="0" w:line="240" w:lineRule="auto"/>
        <w:jc w:val="left"/>
        <w:rPr>
          <w:b/>
        </w:rPr>
      </w:pPr>
      <w:r>
        <w:rPr>
          <w:b/>
        </w:rPr>
        <w:br w:type="page"/>
      </w:r>
    </w:p>
    <w:p w14:paraId="0A4851D3" w14:textId="77777777" w:rsidR="001B0A55" w:rsidRPr="00733AD3" w:rsidRDefault="001B0A55" w:rsidP="000303B4">
      <w:pPr>
        <w:pStyle w:val="Normalnumbered"/>
        <w:widowControl w:val="0"/>
        <w:numPr>
          <w:ilvl w:val="0"/>
          <w:numId w:val="0"/>
        </w:numPr>
        <w:spacing w:after="0"/>
        <w:jc w:val="left"/>
        <w:rPr>
          <w:b/>
        </w:rPr>
      </w:pPr>
      <w:r w:rsidRPr="00733AD3">
        <w:rPr>
          <w:b/>
        </w:rPr>
        <w:lastRenderedPageBreak/>
        <w:t>Table 1: Performance requirements, reporting and payment summary</w:t>
      </w:r>
    </w:p>
    <w:tbl>
      <w:tblPr>
        <w:tblW w:w="523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52"/>
        <w:gridCol w:w="2978"/>
        <w:gridCol w:w="1557"/>
        <w:gridCol w:w="1702"/>
        <w:gridCol w:w="2124"/>
      </w:tblGrid>
      <w:tr w:rsidR="004D334F" w:rsidRPr="00C26C5B" w14:paraId="3D79386A" w14:textId="77777777" w:rsidTr="00D4440B">
        <w:trPr>
          <w:trHeight w:val="552"/>
          <w:tblHeader/>
        </w:trPr>
        <w:tc>
          <w:tcPr>
            <w:tcW w:w="946" w:type="pct"/>
            <w:tcBorders>
              <w:bottom w:val="single" w:sz="18" w:space="0" w:color="4F81BD"/>
            </w:tcBorders>
          </w:tcPr>
          <w:p w14:paraId="72037CA5" w14:textId="77777777" w:rsidR="002E5277" w:rsidRPr="00C26C5B" w:rsidRDefault="002E5277" w:rsidP="00D4440B">
            <w:pPr>
              <w:pStyle w:val="Heading2"/>
              <w:rPr>
                <w:bCs w:val="0"/>
                <w:sz w:val="24"/>
                <w:szCs w:val="24"/>
              </w:rPr>
            </w:pPr>
            <w:r>
              <w:rPr>
                <w:bCs w:val="0"/>
                <w:sz w:val="24"/>
                <w:szCs w:val="24"/>
              </w:rPr>
              <w:t>Output</w:t>
            </w:r>
            <w:r w:rsidR="001B0A55">
              <w:rPr>
                <w:bCs w:val="0"/>
                <w:sz w:val="24"/>
                <w:szCs w:val="24"/>
              </w:rPr>
              <w:t>s</w:t>
            </w:r>
          </w:p>
        </w:tc>
        <w:tc>
          <w:tcPr>
            <w:tcW w:w="1444" w:type="pct"/>
            <w:tcBorders>
              <w:bottom w:val="single" w:sz="18" w:space="0" w:color="4F81BD"/>
            </w:tcBorders>
          </w:tcPr>
          <w:p w14:paraId="0AD1A960" w14:textId="77777777" w:rsidR="002E5277" w:rsidRPr="00C26C5B" w:rsidRDefault="002E5277" w:rsidP="00D4440B">
            <w:pPr>
              <w:pStyle w:val="Heading2"/>
              <w:rPr>
                <w:bCs w:val="0"/>
                <w:sz w:val="24"/>
                <w:szCs w:val="24"/>
              </w:rPr>
            </w:pPr>
            <w:r w:rsidRPr="002E5277">
              <w:rPr>
                <w:bCs w:val="0"/>
                <w:sz w:val="24"/>
                <w:szCs w:val="24"/>
              </w:rPr>
              <w:t xml:space="preserve">Performance </w:t>
            </w:r>
            <w:r w:rsidR="00F53C58">
              <w:rPr>
                <w:bCs w:val="0"/>
                <w:sz w:val="24"/>
                <w:szCs w:val="24"/>
              </w:rPr>
              <w:t>requirements</w:t>
            </w:r>
          </w:p>
        </w:tc>
        <w:tc>
          <w:tcPr>
            <w:tcW w:w="755" w:type="pct"/>
            <w:tcBorders>
              <w:bottom w:val="single" w:sz="18" w:space="0" w:color="4F81BD"/>
            </w:tcBorders>
          </w:tcPr>
          <w:p w14:paraId="285B7CDA" w14:textId="77777777" w:rsidR="002E5277" w:rsidRPr="00DE36EB" w:rsidRDefault="002E5277" w:rsidP="00D4440B">
            <w:pPr>
              <w:pStyle w:val="Heading2"/>
              <w:rPr>
                <w:bCs w:val="0"/>
                <w:sz w:val="24"/>
                <w:szCs w:val="24"/>
              </w:rPr>
            </w:pPr>
            <w:r>
              <w:rPr>
                <w:bCs w:val="0"/>
                <w:sz w:val="24"/>
                <w:szCs w:val="24"/>
              </w:rPr>
              <w:t>Report Due</w:t>
            </w:r>
          </w:p>
        </w:tc>
        <w:tc>
          <w:tcPr>
            <w:tcW w:w="825" w:type="pct"/>
            <w:tcBorders>
              <w:bottom w:val="single" w:sz="18" w:space="0" w:color="4F81BD"/>
            </w:tcBorders>
          </w:tcPr>
          <w:p w14:paraId="58D17AC8" w14:textId="77777777" w:rsidR="002E5277" w:rsidRPr="002E5277" w:rsidRDefault="002E5277" w:rsidP="00D4440B">
            <w:pPr>
              <w:pStyle w:val="Heading2"/>
              <w:rPr>
                <w:bCs w:val="0"/>
                <w:sz w:val="24"/>
                <w:szCs w:val="24"/>
              </w:rPr>
            </w:pPr>
            <w:r w:rsidRPr="00DE36EB">
              <w:rPr>
                <w:bCs w:val="0"/>
                <w:sz w:val="24"/>
                <w:szCs w:val="24"/>
              </w:rPr>
              <w:t>Rep</w:t>
            </w:r>
            <w:r>
              <w:rPr>
                <w:bCs w:val="0"/>
                <w:sz w:val="24"/>
                <w:szCs w:val="24"/>
              </w:rPr>
              <w:t>o</w:t>
            </w:r>
            <w:r w:rsidRPr="00DE36EB">
              <w:rPr>
                <w:bCs w:val="0"/>
                <w:sz w:val="24"/>
                <w:szCs w:val="24"/>
              </w:rPr>
              <w:t>rt</w:t>
            </w:r>
            <w:r>
              <w:rPr>
                <w:bCs w:val="0"/>
                <w:sz w:val="24"/>
                <w:szCs w:val="24"/>
              </w:rPr>
              <w:t>ing Period</w:t>
            </w:r>
            <w:r w:rsidR="00271604">
              <w:rPr>
                <w:bCs w:val="0"/>
                <w:sz w:val="24"/>
                <w:szCs w:val="24"/>
              </w:rPr>
              <w:t xml:space="preserve"> </w:t>
            </w:r>
          </w:p>
        </w:tc>
        <w:tc>
          <w:tcPr>
            <w:tcW w:w="1030" w:type="pct"/>
            <w:tcBorders>
              <w:bottom w:val="single" w:sz="18" w:space="0" w:color="4F81BD"/>
            </w:tcBorders>
          </w:tcPr>
          <w:p w14:paraId="77601E59" w14:textId="77777777" w:rsidR="002E5277" w:rsidRPr="00C26C5B" w:rsidRDefault="001B0A55" w:rsidP="00D4440B">
            <w:pPr>
              <w:pStyle w:val="Heading2"/>
              <w:rPr>
                <w:bCs w:val="0"/>
                <w:sz w:val="24"/>
                <w:szCs w:val="24"/>
              </w:rPr>
            </w:pPr>
            <w:r>
              <w:rPr>
                <w:bCs w:val="0"/>
                <w:sz w:val="24"/>
                <w:szCs w:val="24"/>
              </w:rPr>
              <w:t>Annual p</w:t>
            </w:r>
            <w:r w:rsidR="002E5277" w:rsidRPr="002E5277">
              <w:rPr>
                <w:bCs w:val="0"/>
                <w:sz w:val="24"/>
                <w:szCs w:val="24"/>
              </w:rPr>
              <w:t>ayment</w:t>
            </w:r>
          </w:p>
        </w:tc>
      </w:tr>
      <w:tr w:rsidR="006C5B09" w:rsidRPr="00C26C5B" w14:paraId="0E502957" w14:textId="77777777" w:rsidTr="00D4440B">
        <w:trPr>
          <w:trHeight w:val="1171"/>
          <w:tblHeader/>
        </w:trPr>
        <w:tc>
          <w:tcPr>
            <w:tcW w:w="946" w:type="pct"/>
            <w:vMerge w:val="restart"/>
            <w:tcBorders>
              <w:top w:val="single" w:sz="18" w:space="0" w:color="4F81BD"/>
            </w:tcBorders>
          </w:tcPr>
          <w:p w14:paraId="6E760C8D" w14:textId="77777777" w:rsidR="006C5B09" w:rsidRDefault="006C5B09" w:rsidP="00D4440B">
            <w:pPr>
              <w:pStyle w:val="AlphaParagraph"/>
              <w:tabs>
                <w:tab w:val="clear" w:pos="0"/>
                <w:tab w:val="clear" w:pos="283"/>
                <w:tab w:val="clear" w:pos="567"/>
                <w:tab w:val="clear" w:pos="1134"/>
                <w:tab w:val="clear" w:pos="1418"/>
                <w:tab w:val="clear" w:pos="1701"/>
              </w:tabs>
              <w:ind w:left="0" w:firstLine="0"/>
              <w:jc w:val="left"/>
            </w:pPr>
            <w:r>
              <w:t>Screening, recruitment and support services in accordance with clause 8 of this Agreement</w:t>
            </w:r>
          </w:p>
          <w:p w14:paraId="41CC7974" w14:textId="77777777" w:rsidR="006C5B09" w:rsidRPr="00C26C5B" w:rsidRDefault="006C5B09" w:rsidP="00D4440B">
            <w:pPr>
              <w:pStyle w:val="Heading2"/>
              <w:rPr>
                <w:bCs w:val="0"/>
                <w:sz w:val="24"/>
                <w:szCs w:val="24"/>
              </w:rPr>
            </w:pPr>
          </w:p>
        </w:tc>
        <w:tc>
          <w:tcPr>
            <w:tcW w:w="1444" w:type="pct"/>
            <w:vMerge w:val="restart"/>
            <w:tcBorders>
              <w:top w:val="single" w:sz="18" w:space="0" w:color="4F81BD"/>
            </w:tcBorders>
          </w:tcPr>
          <w:p w14:paraId="5C5C371F" w14:textId="77777777" w:rsidR="006C5B09" w:rsidRPr="007900CD" w:rsidRDefault="00E35816" w:rsidP="00D4440B">
            <w:r>
              <w:t>1. Increase</w:t>
            </w:r>
            <w:r w:rsidR="006C5B09" w:rsidRPr="004B69F7">
              <w:t xml:space="preserve"> </w:t>
            </w:r>
            <w:r w:rsidR="000D620B">
              <w:t>in the level of</w:t>
            </w:r>
            <w:r w:rsidR="006C5B09" w:rsidRPr="004B69F7">
              <w:t xml:space="preserve"> screening activity</w:t>
            </w:r>
            <w:r w:rsidR="006C5B09">
              <w:t xml:space="preserve"> for women aged 70-74 years</w:t>
            </w:r>
            <w:r w:rsidR="001A6C70">
              <w:t>,</w:t>
            </w:r>
            <w:r w:rsidR="00CE5AF1">
              <w:t xml:space="preserve"> above the baseline in Table 2.</w:t>
            </w:r>
          </w:p>
          <w:p w14:paraId="58BB9440" w14:textId="77777777" w:rsidR="006C5B09" w:rsidRDefault="006C5B09" w:rsidP="00D4440B">
            <w:pPr>
              <w:rPr>
                <w:sz w:val="22"/>
                <w:szCs w:val="22"/>
              </w:rPr>
            </w:pPr>
          </w:p>
          <w:p w14:paraId="2F333BFC" w14:textId="6F704746" w:rsidR="006C5B09" w:rsidRPr="00CF302A" w:rsidRDefault="00C314DC" w:rsidP="00D4440B">
            <w:pPr>
              <w:jc w:val="left"/>
              <w:rPr>
                <w:color w:val="auto"/>
                <w:szCs w:val="23"/>
              </w:rPr>
            </w:pPr>
            <w:r>
              <w:rPr>
                <w:color w:val="auto"/>
                <w:szCs w:val="23"/>
              </w:rPr>
              <w:t>2.</w:t>
            </w:r>
            <w:r w:rsidR="006C5B09" w:rsidRPr="001B0A55">
              <w:rPr>
                <w:color w:val="auto"/>
                <w:szCs w:val="23"/>
              </w:rPr>
              <w:t xml:space="preserve">Delivery of recruitment and support activities </w:t>
            </w:r>
            <w:r w:rsidR="00CF302A" w:rsidRPr="00CF302A">
              <w:rPr>
                <w:color w:val="auto"/>
                <w:szCs w:val="23"/>
              </w:rPr>
              <w:t>for:</w:t>
            </w:r>
          </w:p>
          <w:p w14:paraId="3E95F269" w14:textId="77777777" w:rsidR="009510D1" w:rsidRPr="009510D1" w:rsidRDefault="00CF302A" w:rsidP="00D4440B">
            <w:pPr>
              <w:pStyle w:val="ListParagraph"/>
              <w:numPr>
                <w:ilvl w:val="0"/>
                <w:numId w:val="45"/>
              </w:numPr>
            </w:pPr>
            <w:r w:rsidRPr="00371E4B">
              <w:rPr>
                <w:rFonts w:ascii="Corbel" w:hAnsi="Corbel"/>
                <w:sz w:val="23"/>
                <w:szCs w:val="23"/>
              </w:rPr>
              <w:t>women aged 70 to 74; and</w:t>
            </w:r>
          </w:p>
          <w:p w14:paraId="63B244DF" w14:textId="2BC9D138" w:rsidR="00CF302A" w:rsidRPr="00CF302A" w:rsidRDefault="00CF302A" w:rsidP="00D4440B">
            <w:pPr>
              <w:pStyle w:val="ListParagraph"/>
              <w:numPr>
                <w:ilvl w:val="0"/>
                <w:numId w:val="45"/>
              </w:numPr>
            </w:pPr>
            <w:proofErr w:type="gramStart"/>
            <w:r w:rsidRPr="00371E4B">
              <w:rPr>
                <w:rFonts w:ascii="Corbel" w:hAnsi="Corbel"/>
                <w:sz w:val="23"/>
                <w:szCs w:val="23"/>
              </w:rPr>
              <w:t>women</w:t>
            </w:r>
            <w:proofErr w:type="gramEnd"/>
            <w:r w:rsidRPr="00371E4B">
              <w:rPr>
                <w:rFonts w:ascii="Corbel" w:hAnsi="Corbel"/>
                <w:sz w:val="23"/>
                <w:szCs w:val="23"/>
              </w:rPr>
              <w:t xml:space="preserve"> in under-screened groups.</w:t>
            </w:r>
          </w:p>
        </w:tc>
        <w:tc>
          <w:tcPr>
            <w:tcW w:w="755" w:type="pct"/>
            <w:tcBorders>
              <w:top w:val="single" w:sz="18" w:space="0" w:color="4F81BD"/>
              <w:bottom w:val="single" w:sz="18" w:space="0" w:color="4F81BD"/>
            </w:tcBorders>
            <w:shd w:val="clear" w:color="auto" w:fill="auto"/>
          </w:tcPr>
          <w:p w14:paraId="49090FB4" w14:textId="77777777" w:rsidR="006C5B09" w:rsidRPr="00F30D9D" w:rsidRDefault="006C5B09" w:rsidP="00D4440B">
            <w:pPr>
              <w:spacing w:after="480"/>
              <w:rPr>
                <w:color w:val="auto"/>
                <w:szCs w:val="23"/>
              </w:rPr>
            </w:pPr>
            <w:r w:rsidRPr="00F30D9D">
              <w:rPr>
                <w:color w:val="auto"/>
                <w:szCs w:val="23"/>
              </w:rPr>
              <w:t>31 May 2018</w:t>
            </w:r>
          </w:p>
          <w:p w14:paraId="7BAC4D6B" w14:textId="77777777" w:rsidR="006C5B09" w:rsidRPr="00F30D9D" w:rsidRDefault="006C5B09" w:rsidP="00D4440B">
            <w:pPr>
              <w:spacing w:after="480"/>
              <w:rPr>
                <w:b/>
              </w:rPr>
            </w:pPr>
          </w:p>
        </w:tc>
        <w:tc>
          <w:tcPr>
            <w:tcW w:w="825" w:type="pct"/>
            <w:tcBorders>
              <w:top w:val="single" w:sz="18" w:space="0" w:color="4F81BD"/>
              <w:bottom w:val="single" w:sz="18" w:space="0" w:color="4F81BD"/>
            </w:tcBorders>
            <w:shd w:val="clear" w:color="auto" w:fill="auto"/>
          </w:tcPr>
          <w:p w14:paraId="1C230AB1" w14:textId="40A24C4B" w:rsidR="006C5B09" w:rsidRDefault="006C5B09" w:rsidP="00D4440B">
            <w:pPr>
              <w:spacing w:after="480"/>
              <w:rPr>
                <w:b/>
                <w:color w:val="auto"/>
                <w:szCs w:val="23"/>
              </w:rPr>
            </w:pPr>
            <w:r w:rsidRPr="00F30D9D">
              <w:rPr>
                <w:color w:val="auto"/>
                <w:szCs w:val="23"/>
              </w:rPr>
              <w:t>1 July 2017 to 30 April 2018</w:t>
            </w:r>
            <w:r w:rsidR="00F30D9D">
              <w:rPr>
                <w:color w:val="auto"/>
                <w:szCs w:val="23"/>
              </w:rPr>
              <w:t xml:space="preserve"> - actuals</w:t>
            </w:r>
            <w:r w:rsidR="00D4440B">
              <w:rPr>
                <w:rStyle w:val="FootnoteReference"/>
                <w:color w:val="auto"/>
                <w:szCs w:val="23"/>
              </w:rPr>
              <w:footnoteReference w:id="2"/>
            </w:r>
          </w:p>
          <w:p w14:paraId="075DF5B5" w14:textId="0A1B18B2" w:rsidR="004565A3" w:rsidRPr="00F30D9D" w:rsidRDefault="004565A3" w:rsidP="00D4440B">
            <w:pPr>
              <w:pStyle w:val="ListParagraph"/>
              <w:ind w:left="34"/>
              <w:rPr>
                <w:rFonts w:ascii="Corbel" w:hAnsi="Corbel" w:cs="Arial"/>
                <w:bCs/>
                <w:iCs/>
                <w:sz w:val="23"/>
                <w:szCs w:val="23"/>
                <w:vertAlign w:val="superscript"/>
              </w:rPr>
            </w:pPr>
            <w:r w:rsidRPr="004565A3">
              <w:rPr>
                <w:rFonts w:ascii="Corbel" w:hAnsi="Corbel" w:cs="Arial"/>
                <w:bCs/>
                <w:iCs/>
                <w:sz w:val="23"/>
                <w:szCs w:val="23"/>
              </w:rPr>
              <w:t>1 May 2018 to 30</w:t>
            </w:r>
            <w:r w:rsidR="004F057A">
              <w:rPr>
                <w:rFonts w:ascii="Corbel" w:hAnsi="Corbel" w:cs="Arial"/>
                <w:bCs/>
                <w:iCs/>
                <w:sz w:val="23"/>
                <w:szCs w:val="23"/>
              </w:rPr>
              <w:t xml:space="preserve"> June</w:t>
            </w:r>
            <w:r w:rsidRPr="004565A3">
              <w:rPr>
                <w:rFonts w:ascii="Corbel" w:hAnsi="Corbel" w:cs="Arial"/>
                <w:bCs/>
                <w:iCs/>
                <w:sz w:val="23"/>
                <w:szCs w:val="23"/>
              </w:rPr>
              <w:t xml:space="preserve"> 2018</w:t>
            </w:r>
            <w:r w:rsidR="00CE42DA">
              <w:rPr>
                <w:rFonts w:ascii="Corbel" w:hAnsi="Corbel" w:cs="Arial"/>
                <w:bCs/>
                <w:iCs/>
                <w:sz w:val="23"/>
                <w:szCs w:val="23"/>
              </w:rPr>
              <w:t xml:space="preserve"> </w:t>
            </w:r>
            <w:r w:rsidR="00F30D9D">
              <w:rPr>
                <w:rFonts w:ascii="Corbel" w:hAnsi="Corbel" w:cs="Arial"/>
                <w:bCs/>
                <w:iCs/>
                <w:sz w:val="23"/>
                <w:szCs w:val="23"/>
              </w:rPr>
              <w:t>- estimates</w:t>
            </w:r>
            <w:r w:rsidR="00D4440B">
              <w:rPr>
                <w:rStyle w:val="FootnoteReference"/>
                <w:rFonts w:ascii="Corbel" w:hAnsi="Corbel"/>
                <w:bCs/>
                <w:iCs/>
                <w:sz w:val="23"/>
                <w:szCs w:val="23"/>
              </w:rPr>
              <w:footnoteReference w:id="3"/>
            </w:r>
          </w:p>
        </w:tc>
        <w:tc>
          <w:tcPr>
            <w:tcW w:w="1030" w:type="pct"/>
            <w:tcBorders>
              <w:top w:val="single" w:sz="18" w:space="0" w:color="4F81BD"/>
              <w:bottom w:val="single" w:sz="18" w:space="0" w:color="4F81BD"/>
            </w:tcBorders>
            <w:shd w:val="clear" w:color="auto" w:fill="auto"/>
          </w:tcPr>
          <w:p w14:paraId="3AA7C638" w14:textId="77777777" w:rsidR="006C5B09" w:rsidRPr="00583E64" w:rsidRDefault="00ED5F96" w:rsidP="00D4440B">
            <w:pPr>
              <w:spacing w:after="60"/>
              <w:jc w:val="left"/>
              <w:rPr>
                <w:color w:val="auto"/>
                <w:sz w:val="22"/>
                <w:szCs w:val="22"/>
                <w:lang w:val="fr-FR"/>
              </w:rPr>
            </w:pPr>
            <w:r>
              <w:rPr>
                <w:color w:val="auto"/>
                <w:sz w:val="22"/>
                <w:szCs w:val="22"/>
                <w:lang w:val="fr-FR"/>
              </w:rPr>
              <w:t>NSW - $ 4</w:t>
            </w:r>
            <w:proofErr w:type="gramStart"/>
            <w:r>
              <w:rPr>
                <w:color w:val="auto"/>
                <w:sz w:val="22"/>
                <w:szCs w:val="22"/>
                <w:lang w:val="fr-FR"/>
              </w:rPr>
              <w:t>,</w:t>
            </w:r>
            <w:r w:rsidR="00EB66EE">
              <w:rPr>
                <w:color w:val="auto"/>
                <w:sz w:val="22"/>
                <w:szCs w:val="22"/>
                <w:lang w:val="fr-FR"/>
              </w:rPr>
              <w:t>713,984</w:t>
            </w:r>
            <w:proofErr w:type="gramEnd"/>
          </w:p>
          <w:p w14:paraId="516C254A" w14:textId="77777777" w:rsidR="006C5B09" w:rsidRPr="00583E64" w:rsidRDefault="00ED5F96" w:rsidP="00D4440B">
            <w:pPr>
              <w:spacing w:after="60"/>
              <w:jc w:val="left"/>
              <w:rPr>
                <w:color w:val="auto"/>
                <w:sz w:val="22"/>
                <w:szCs w:val="22"/>
                <w:lang w:val="fr-FR"/>
              </w:rPr>
            </w:pPr>
            <w:r>
              <w:rPr>
                <w:color w:val="auto"/>
                <w:sz w:val="22"/>
                <w:szCs w:val="22"/>
                <w:lang w:val="fr-FR"/>
              </w:rPr>
              <w:t>Vic - $ 3</w:t>
            </w:r>
            <w:proofErr w:type="gramStart"/>
            <w:r>
              <w:rPr>
                <w:color w:val="auto"/>
                <w:sz w:val="22"/>
                <w:szCs w:val="22"/>
                <w:lang w:val="fr-FR"/>
              </w:rPr>
              <w:t>,704</w:t>
            </w:r>
            <w:r w:rsidR="00EB66EE">
              <w:rPr>
                <w:color w:val="auto"/>
                <w:sz w:val="22"/>
                <w:szCs w:val="22"/>
                <w:lang w:val="fr-FR"/>
              </w:rPr>
              <w:t>,055</w:t>
            </w:r>
            <w:proofErr w:type="gramEnd"/>
          </w:p>
          <w:p w14:paraId="3CDF64A5" w14:textId="77777777" w:rsidR="006C5B09" w:rsidRPr="00583E64" w:rsidRDefault="00ED5F96" w:rsidP="00D4440B">
            <w:pPr>
              <w:spacing w:after="60"/>
              <w:jc w:val="left"/>
              <w:rPr>
                <w:color w:val="auto"/>
                <w:sz w:val="22"/>
                <w:szCs w:val="22"/>
                <w:lang w:val="fr-FR"/>
              </w:rPr>
            </w:pPr>
            <w:proofErr w:type="spellStart"/>
            <w:r>
              <w:rPr>
                <w:color w:val="auto"/>
                <w:sz w:val="22"/>
                <w:szCs w:val="22"/>
                <w:lang w:val="fr-FR"/>
              </w:rPr>
              <w:t>Q</w:t>
            </w:r>
            <w:r w:rsidR="00EB66EE">
              <w:rPr>
                <w:color w:val="auto"/>
                <w:sz w:val="22"/>
                <w:szCs w:val="22"/>
                <w:lang w:val="fr-FR"/>
              </w:rPr>
              <w:t>ld</w:t>
            </w:r>
            <w:proofErr w:type="spellEnd"/>
            <w:r w:rsidR="00EB66EE">
              <w:rPr>
                <w:color w:val="auto"/>
                <w:sz w:val="22"/>
                <w:szCs w:val="22"/>
                <w:lang w:val="fr-FR"/>
              </w:rPr>
              <w:t xml:space="preserve"> - $ 2</w:t>
            </w:r>
            <w:proofErr w:type="gramStart"/>
            <w:r w:rsidR="00EB66EE">
              <w:rPr>
                <w:color w:val="auto"/>
                <w:sz w:val="22"/>
                <w:szCs w:val="22"/>
                <w:lang w:val="fr-FR"/>
              </w:rPr>
              <w:t>,956,178</w:t>
            </w:r>
            <w:proofErr w:type="gramEnd"/>
          </w:p>
          <w:p w14:paraId="6124E2D5" w14:textId="77777777" w:rsidR="006C5B09" w:rsidRPr="00583E64" w:rsidRDefault="00EB66EE" w:rsidP="00D4440B">
            <w:pPr>
              <w:spacing w:after="60"/>
              <w:jc w:val="left"/>
              <w:rPr>
                <w:color w:val="auto"/>
                <w:sz w:val="22"/>
                <w:szCs w:val="22"/>
                <w:lang w:val="fr-FR"/>
              </w:rPr>
            </w:pPr>
            <w:r>
              <w:rPr>
                <w:color w:val="auto"/>
                <w:sz w:val="22"/>
                <w:szCs w:val="22"/>
                <w:lang w:val="fr-FR"/>
              </w:rPr>
              <w:t>WA - $ 1</w:t>
            </w:r>
            <w:proofErr w:type="gramStart"/>
            <w:r>
              <w:rPr>
                <w:color w:val="auto"/>
                <w:sz w:val="22"/>
                <w:szCs w:val="22"/>
                <w:lang w:val="fr-FR"/>
              </w:rPr>
              <w:t>,595,865</w:t>
            </w:r>
            <w:proofErr w:type="gramEnd"/>
          </w:p>
          <w:p w14:paraId="5F1EFDDD" w14:textId="77777777" w:rsidR="006C5B09" w:rsidRPr="00583E64" w:rsidRDefault="005267DC" w:rsidP="00D4440B">
            <w:pPr>
              <w:spacing w:after="60"/>
              <w:jc w:val="left"/>
              <w:rPr>
                <w:color w:val="auto"/>
                <w:sz w:val="22"/>
                <w:szCs w:val="22"/>
                <w:lang w:val="fr-FR"/>
              </w:rPr>
            </w:pPr>
            <w:r>
              <w:rPr>
                <w:color w:val="auto"/>
                <w:sz w:val="22"/>
                <w:szCs w:val="22"/>
                <w:lang w:val="fr-FR"/>
              </w:rPr>
              <w:t>SA - $ 1</w:t>
            </w:r>
            <w:proofErr w:type="gramStart"/>
            <w:r>
              <w:rPr>
                <w:color w:val="auto"/>
                <w:sz w:val="22"/>
                <w:szCs w:val="22"/>
                <w:lang w:val="fr-FR"/>
              </w:rPr>
              <w:t>,04</w:t>
            </w:r>
            <w:r w:rsidR="00EB66EE">
              <w:rPr>
                <w:color w:val="auto"/>
                <w:sz w:val="22"/>
                <w:szCs w:val="22"/>
                <w:lang w:val="fr-FR"/>
              </w:rPr>
              <w:t>2,318</w:t>
            </w:r>
            <w:proofErr w:type="gramEnd"/>
          </w:p>
          <w:p w14:paraId="42FDE41F" w14:textId="77777777" w:rsidR="006C5B09" w:rsidRPr="00583E64" w:rsidRDefault="00EB66EE" w:rsidP="00D4440B">
            <w:pPr>
              <w:spacing w:after="60"/>
              <w:jc w:val="left"/>
              <w:rPr>
                <w:color w:val="auto"/>
                <w:sz w:val="22"/>
                <w:szCs w:val="22"/>
                <w:lang w:val="fr-FR"/>
              </w:rPr>
            </w:pPr>
            <w:r>
              <w:rPr>
                <w:color w:val="auto"/>
                <w:sz w:val="22"/>
                <w:szCs w:val="22"/>
                <w:lang w:val="fr-FR"/>
              </w:rPr>
              <w:t>Tas - $317,995</w:t>
            </w:r>
          </w:p>
          <w:p w14:paraId="21255520" w14:textId="77777777" w:rsidR="006C5B09" w:rsidRPr="00D46C66" w:rsidRDefault="00EB66EE" w:rsidP="00D4440B">
            <w:pPr>
              <w:spacing w:after="60"/>
              <w:jc w:val="left"/>
              <w:rPr>
                <w:color w:val="auto"/>
                <w:sz w:val="22"/>
                <w:szCs w:val="22"/>
              </w:rPr>
            </w:pPr>
            <w:r>
              <w:rPr>
                <w:color w:val="auto"/>
                <w:sz w:val="22"/>
                <w:szCs w:val="22"/>
              </w:rPr>
              <w:t>ACT - $ 241,441</w:t>
            </w:r>
          </w:p>
          <w:p w14:paraId="303F7AA0" w14:textId="77777777" w:rsidR="006C5B09" w:rsidRPr="0058549C" w:rsidRDefault="005267DC" w:rsidP="00D4440B">
            <w:pPr>
              <w:pStyle w:val="Heading2"/>
              <w:spacing w:before="0"/>
              <w:rPr>
                <w:b w:val="0"/>
                <w:bCs w:val="0"/>
                <w:sz w:val="24"/>
                <w:szCs w:val="24"/>
                <w:highlight w:val="yellow"/>
              </w:rPr>
            </w:pPr>
            <w:r>
              <w:rPr>
                <w:b w:val="0"/>
                <w:color w:val="auto"/>
                <w:sz w:val="22"/>
                <w:szCs w:val="22"/>
              </w:rPr>
              <w:t>NT - $ 1</w:t>
            </w:r>
            <w:r w:rsidR="00EB66EE">
              <w:rPr>
                <w:b w:val="0"/>
                <w:color w:val="auto"/>
                <w:sz w:val="22"/>
                <w:szCs w:val="22"/>
              </w:rPr>
              <w:t>50,164</w:t>
            </w:r>
          </w:p>
        </w:tc>
      </w:tr>
      <w:tr w:rsidR="006C5B09" w:rsidRPr="00C26C5B" w14:paraId="6B8639AA" w14:textId="77777777" w:rsidTr="00D4440B">
        <w:trPr>
          <w:trHeight w:val="1171"/>
          <w:tblHeader/>
        </w:trPr>
        <w:tc>
          <w:tcPr>
            <w:tcW w:w="946" w:type="pct"/>
            <w:vMerge/>
          </w:tcPr>
          <w:p w14:paraId="344EA095" w14:textId="77777777" w:rsidR="006C5B09" w:rsidRDefault="006C5B09" w:rsidP="00D4440B">
            <w:pPr>
              <w:pStyle w:val="AlphaParagraph"/>
              <w:tabs>
                <w:tab w:val="clear" w:pos="0"/>
                <w:tab w:val="clear" w:pos="283"/>
                <w:tab w:val="clear" w:pos="567"/>
                <w:tab w:val="clear" w:pos="1134"/>
                <w:tab w:val="clear" w:pos="1418"/>
                <w:tab w:val="clear" w:pos="1701"/>
              </w:tabs>
              <w:ind w:left="0" w:firstLine="0"/>
              <w:jc w:val="left"/>
            </w:pPr>
          </w:p>
        </w:tc>
        <w:tc>
          <w:tcPr>
            <w:tcW w:w="1444" w:type="pct"/>
            <w:vMerge/>
          </w:tcPr>
          <w:p w14:paraId="477353E3" w14:textId="77777777" w:rsidR="006C5B09" w:rsidRPr="004B69F7" w:rsidRDefault="006C5B09" w:rsidP="00D4440B">
            <w:pPr>
              <w:pStyle w:val="Default"/>
            </w:pPr>
          </w:p>
        </w:tc>
        <w:tc>
          <w:tcPr>
            <w:tcW w:w="755" w:type="pct"/>
            <w:tcBorders>
              <w:top w:val="single" w:sz="18" w:space="0" w:color="4F81BD"/>
              <w:bottom w:val="single" w:sz="18" w:space="0" w:color="4F81BD"/>
            </w:tcBorders>
            <w:shd w:val="clear" w:color="auto" w:fill="auto"/>
          </w:tcPr>
          <w:p w14:paraId="2E660A8D" w14:textId="77777777" w:rsidR="006C5B09" w:rsidRDefault="006C5B09" w:rsidP="00D4440B">
            <w:pPr>
              <w:spacing w:after="480"/>
              <w:rPr>
                <w:b/>
                <w:color w:val="auto"/>
                <w:szCs w:val="23"/>
              </w:rPr>
            </w:pPr>
            <w:r w:rsidRPr="00306FB3">
              <w:rPr>
                <w:color w:val="auto"/>
                <w:szCs w:val="23"/>
              </w:rPr>
              <w:t>31 May 2019</w:t>
            </w:r>
          </w:p>
          <w:p w14:paraId="1BAF89F5" w14:textId="77777777" w:rsidR="006C5B09" w:rsidRDefault="006C5B09" w:rsidP="00D4440B">
            <w:pPr>
              <w:pStyle w:val="Heading2"/>
              <w:spacing w:after="360"/>
              <w:rPr>
                <w:b w:val="0"/>
                <w:color w:val="auto"/>
                <w:sz w:val="23"/>
                <w:szCs w:val="23"/>
              </w:rPr>
            </w:pPr>
          </w:p>
        </w:tc>
        <w:tc>
          <w:tcPr>
            <w:tcW w:w="825" w:type="pct"/>
            <w:tcBorders>
              <w:top w:val="single" w:sz="18" w:space="0" w:color="4F81BD"/>
              <w:bottom w:val="single" w:sz="18" w:space="0" w:color="4F81BD"/>
            </w:tcBorders>
            <w:shd w:val="clear" w:color="auto" w:fill="auto"/>
          </w:tcPr>
          <w:p w14:paraId="384C4177" w14:textId="77777777" w:rsidR="006C5B09" w:rsidRDefault="006C5B09" w:rsidP="00D4440B">
            <w:pPr>
              <w:pStyle w:val="Heading2"/>
              <w:spacing w:before="0" w:after="0"/>
              <w:rPr>
                <w:b w:val="0"/>
                <w:color w:val="auto"/>
                <w:sz w:val="23"/>
                <w:szCs w:val="23"/>
              </w:rPr>
            </w:pPr>
            <w:r>
              <w:rPr>
                <w:b w:val="0"/>
                <w:color w:val="auto"/>
                <w:sz w:val="23"/>
                <w:szCs w:val="23"/>
              </w:rPr>
              <w:t>1 May 2018-</w:t>
            </w:r>
          </w:p>
          <w:p w14:paraId="60783451" w14:textId="77777777" w:rsidR="006C5B09" w:rsidRPr="00F30D9D" w:rsidRDefault="006C5B09" w:rsidP="00D4440B">
            <w:pPr>
              <w:spacing w:after="120"/>
              <w:rPr>
                <w:color w:val="auto"/>
                <w:szCs w:val="23"/>
              </w:rPr>
            </w:pPr>
            <w:r w:rsidRPr="0058549C">
              <w:rPr>
                <w:color w:val="auto"/>
                <w:szCs w:val="23"/>
              </w:rPr>
              <w:t>30 April 2019</w:t>
            </w:r>
            <w:r w:rsidR="00F30D9D">
              <w:rPr>
                <w:color w:val="auto"/>
                <w:szCs w:val="23"/>
              </w:rPr>
              <w:t xml:space="preserve"> – actuals</w:t>
            </w:r>
          </w:p>
        </w:tc>
        <w:tc>
          <w:tcPr>
            <w:tcW w:w="1030" w:type="pct"/>
            <w:tcBorders>
              <w:top w:val="single" w:sz="18" w:space="0" w:color="4F81BD"/>
              <w:bottom w:val="single" w:sz="18" w:space="0" w:color="4F81BD"/>
            </w:tcBorders>
            <w:shd w:val="clear" w:color="auto" w:fill="auto"/>
          </w:tcPr>
          <w:p w14:paraId="7E7BE934" w14:textId="77777777" w:rsidR="006C5B09" w:rsidRPr="00583E64" w:rsidRDefault="00EB66EE" w:rsidP="00D4440B">
            <w:pPr>
              <w:spacing w:after="60"/>
              <w:jc w:val="left"/>
              <w:rPr>
                <w:color w:val="auto"/>
                <w:sz w:val="22"/>
                <w:szCs w:val="22"/>
                <w:lang w:val="fr-FR"/>
              </w:rPr>
            </w:pPr>
            <w:r>
              <w:rPr>
                <w:color w:val="auto"/>
                <w:sz w:val="22"/>
                <w:szCs w:val="22"/>
                <w:lang w:val="fr-FR"/>
              </w:rPr>
              <w:t>NSW - $ 4</w:t>
            </w:r>
            <w:proofErr w:type="gramStart"/>
            <w:r>
              <w:rPr>
                <w:color w:val="auto"/>
                <w:sz w:val="22"/>
                <w:szCs w:val="22"/>
                <w:lang w:val="fr-FR"/>
              </w:rPr>
              <w:t>,780</w:t>
            </w:r>
            <w:r w:rsidR="006C5B09" w:rsidRPr="00583E64">
              <w:rPr>
                <w:color w:val="auto"/>
                <w:sz w:val="22"/>
                <w:szCs w:val="22"/>
                <w:lang w:val="fr-FR"/>
              </w:rPr>
              <w:t>,</w:t>
            </w:r>
            <w:r>
              <w:rPr>
                <w:color w:val="auto"/>
                <w:sz w:val="22"/>
                <w:szCs w:val="22"/>
                <w:lang w:val="fr-FR"/>
              </w:rPr>
              <w:t>266</w:t>
            </w:r>
            <w:proofErr w:type="gramEnd"/>
          </w:p>
          <w:p w14:paraId="72AE71AA" w14:textId="77777777" w:rsidR="00EB66EE" w:rsidRDefault="006C5B09" w:rsidP="00D4440B">
            <w:pPr>
              <w:spacing w:after="60"/>
              <w:jc w:val="left"/>
              <w:rPr>
                <w:color w:val="auto"/>
                <w:sz w:val="22"/>
                <w:szCs w:val="22"/>
                <w:lang w:val="fr-FR"/>
              </w:rPr>
            </w:pPr>
            <w:r w:rsidRPr="00583E64">
              <w:rPr>
                <w:color w:val="auto"/>
                <w:sz w:val="22"/>
                <w:szCs w:val="22"/>
                <w:lang w:val="fr-FR"/>
              </w:rPr>
              <w:t>Vic - $ 3</w:t>
            </w:r>
            <w:proofErr w:type="gramStart"/>
            <w:r w:rsidRPr="00583E64">
              <w:rPr>
                <w:color w:val="auto"/>
                <w:sz w:val="22"/>
                <w:szCs w:val="22"/>
                <w:lang w:val="fr-FR"/>
              </w:rPr>
              <w:t>,75</w:t>
            </w:r>
            <w:r w:rsidR="00EB66EE">
              <w:rPr>
                <w:color w:val="auto"/>
                <w:sz w:val="22"/>
                <w:szCs w:val="22"/>
                <w:lang w:val="fr-FR"/>
              </w:rPr>
              <w:t>6</w:t>
            </w:r>
            <w:r w:rsidRPr="00583E64">
              <w:rPr>
                <w:color w:val="auto"/>
                <w:sz w:val="22"/>
                <w:szCs w:val="22"/>
                <w:lang w:val="fr-FR"/>
              </w:rPr>
              <w:t>,</w:t>
            </w:r>
            <w:r w:rsidR="00DE639B">
              <w:rPr>
                <w:color w:val="auto"/>
                <w:sz w:val="22"/>
                <w:szCs w:val="22"/>
                <w:lang w:val="fr-FR"/>
              </w:rPr>
              <w:t>136</w:t>
            </w:r>
            <w:proofErr w:type="gramEnd"/>
          </w:p>
          <w:p w14:paraId="294B77AD" w14:textId="77777777" w:rsidR="006C5B09" w:rsidRPr="00583E64" w:rsidRDefault="00DE639B" w:rsidP="00D4440B">
            <w:pPr>
              <w:spacing w:after="60"/>
              <w:jc w:val="left"/>
              <w:rPr>
                <w:color w:val="auto"/>
                <w:sz w:val="22"/>
                <w:szCs w:val="22"/>
                <w:lang w:val="fr-FR"/>
              </w:rPr>
            </w:pPr>
            <w:proofErr w:type="spellStart"/>
            <w:r>
              <w:rPr>
                <w:color w:val="auto"/>
                <w:sz w:val="22"/>
                <w:szCs w:val="22"/>
                <w:lang w:val="fr-FR"/>
              </w:rPr>
              <w:t>Qld</w:t>
            </w:r>
            <w:proofErr w:type="spellEnd"/>
            <w:r>
              <w:rPr>
                <w:color w:val="auto"/>
                <w:sz w:val="22"/>
                <w:szCs w:val="22"/>
                <w:lang w:val="fr-FR"/>
              </w:rPr>
              <w:t xml:space="preserve"> - $ 2</w:t>
            </w:r>
            <w:proofErr w:type="gramStart"/>
            <w:r>
              <w:rPr>
                <w:color w:val="auto"/>
                <w:sz w:val="22"/>
                <w:szCs w:val="22"/>
                <w:lang w:val="fr-FR"/>
              </w:rPr>
              <w:t>,997,743</w:t>
            </w:r>
            <w:proofErr w:type="gramEnd"/>
          </w:p>
          <w:p w14:paraId="4F3AF77F" w14:textId="77777777" w:rsidR="006C5B09" w:rsidRPr="00583E64" w:rsidRDefault="00DE639B" w:rsidP="00D4440B">
            <w:pPr>
              <w:spacing w:after="60"/>
              <w:jc w:val="left"/>
              <w:rPr>
                <w:color w:val="auto"/>
                <w:sz w:val="22"/>
                <w:szCs w:val="22"/>
                <w:lang w:val="fr-FR"/>
              </w:rPr>
            </w:pPr>
            <w:r>
              <w:rPr>
                <w:color w:val="auto"/>
                <w:sz w:val="22"/>
                <w:szCs w:val="22"/>
                <w:lang w:val="fr-FR"/>
              </w:rPr>
              <w:t>WA - $ 1</w:t>
            </w:r>
            <w:proofErr w:type="gramStart"/>
            <w:r>
              <w:rPr>
                <w:color w:val="auto"/>
                <w:sz w:val="22"/>
                <w:szCs w:val="22"/>
                <w:lang w:val="fr-FR"/>
              </w:rPr>
              <w:t>,618,304</w:t>
            </w:r>
            <w:proofErr w:type="gramEnd"/>
          </w:p>
          <w:p w14:paraId="2435A033" w14:textId="77777777" w:rsidR="006C5B09" w:rsidRPr="00583E64" w:rsidRDefault="00DE639B" w:rsidP="00D4440B">
            <w:pPr>
              <w:spacing w:after="60"/>
              <w:jc w:val="left"/>
              <w:rPr>
                <w:color w:val="auto"/>
                <w:sz w:val="22"/>
                <w:szCs w:val="22"/>
                <w:lang w:val="fr-FR"/>
              </w:rPr>
            </w:pPr>
            <w:r>
              <w:rPr>
                <w:color w:val="auto"/>
                <w:sz w:val="22"/>
                <w:szCs w:val="22"/>
                <w:lang w:val="fr-FR"/>
              </w:rPr>
              <w:t>SA - $ 1</w:t>
            </w:r>
            <w:proofErr w:type="gramStart"/>
            <w:r>
              <w:rPr>
                <w:color w:val="auto"/>
                <w:sz w:val="22"/>
                <w:szCs w:val="22"/>
                <w:lang w:val="fr-FR"/>
              </w:rPr>
              <w:t>,056,973</w:t>
            </w:r>
            <w:proofErr w:type="gramEnd"/>
          </w:p>
          <w:p w14:paraId="384F8EEF" w14:textId="77777777" w:rsidR="006C5B09" w:rsidRPr="00583E64" w:rsidRDefault="00DE639B" w:rsidP="00D4440B">
            <w:pPr>
              <w:spacing w:after="60"/>
              <w:jc w:val="left"/>
              <w:rPr>
                <w:color w:val="auto"/>
                <w:sz w:val="22"/>
                <w:szCs w:val="22"/>
                <w:lang w:val="fr-FR"/>
              </w:rPr>
            </w:pPr>
            <w:r>
              <w:rPr>
                <w:color w:val="auto"/>
                <w:sz w:val="22"/>
                <w:szCs w:val="22"/>
                <w:lang w:val="fr-FR"/>
              </w:rPr>
              <w:t>Tas - $322,466</w:t>
            </w:r>
          </w:p>
          <w:p w14:paraId="5F2B2876" w14:textId="77777777" w:rsidR="00DE639B" w:rsidRDefault="006C5B09" w:rsidP="00D4440B">
            <w:pPr>
              <w:spacing w:after="60"/>
              <w:jc w:val="left"/>
              <w:rPr>
                <w:color w:val="auto"/>
                <w:sz w:val="22"/>
                <w:szCs w:val="22"/>
                <w:lang w:val="fr-FR"/>
              </w:rPr>
            </w:pPr>
            <w:r w:rsidRPr="006A11A2">
              <w:rPr>
                <w:color w:val="auto"/>
                <w:sz w:val="22"/>
                <w:szCs w:val="22"/>
                <w:lang w:val="fr-FR"/>
              </w:rPr>
              <w:t>ACT -</w:t>
            </w:r>
            <w:r w:rsidR="00DE639B">
              <w:rPr>
                <w:color w:val="auto"/>
                <w:sz w:val="22"/>
                <w:szCs w:val="22"/>
                <w:lang w:val="fr-FR"/>
              </w:rPr>
              <w:t xml:space="preserve"> $ 244</w:t>
            </w:r>
            <w:r w:rsidRPr="006A11A2">
              <w:rPr>
                <w:color w:val="auto"/>
                <w:sz w:val="22"/>
                <w:szCs w:val="22"/>
                <w:lang w:val="fr-FR"/>
              </w:rPr>
              <w:t>,</w:t>
            </w:r>
            <w:r w:rsidR="00DE639B">
              <w:rPr>
                <w:color w:val="auto"/>
                <w:sz w:val="22"/>
                <w:szCs w:val="22"/>
                <w:lang w:val="fr-FR"/>
              </w:rPr>
              <w:t>836</w:t>
            </w:r>
          </w:p>
          <w:p w14:paraId="15BC1534" w14:textId="1B1929D6" w:rsidR="006C5B09" w:rsidRPr="00D46C66" w:rsidRDefault="006C5B09" w:rsidP="00D4440B">
            <w:pPr>
              <w:spacing w:after="60"/>
              <w:jc w:val="left"/>
              <w:rPr>
                <w:color w:val="auto"/>
                <w:sz w:val="22"/>
                <w:szCs w:val="22"/>
              </w:rPr>
            </w:pPr>
            <w:r w:rsidRPr="006A11A2">
              <w:rPr>
                <w:color w:val="auto"/>
                <w:sz w:val="22"/>
                <w:szCs w:val="22"/>
                <w:lang w:val="fr-FR"/>
              </w:rPr>
              <w:t xml:space="preserve">NT - $ </w:t>
            </w:r>
            <w:r w:rsidR="00450688">
              <w:rPr>
                <w:color w:val="auto"/>
                <w:sz w:val="22"/>
                <w:szCs w:val="22"/>
                <w:lang w:val="fr-FR"/>
              </w:rPr>
              <w:t xml:space="preserve">152,276 </w:t>
            </w:r>
          </w:p>
        </w:tc>
      </w:tr>
      <w:tr w:rsidR="006C5B09" w:rsidRPr="00C26C5B" w14:paraId="62BAAC31" w14:textId="77777777" w:rsidTr="00D4440B">
        <w:trPr>
          <w:trHeight w:val="1171"/>
          <w:tblHeader/>
        </w:trPr>
        <w:tc>
          <w:tcPr>
            <w:tcW w:w="946" w:type="pct"/>
            <w:vMerge/>
          </w:tcPr>
          <w:p w14:paraId="175F1D6E" w14:textId="77777777" w:rsidR="006C5B09" w:rsidRDefault="006C5B09" w:rsidP="00D4440B">
            <w:pPr>
              <w:pStyle w:val="AlphaParagraph"/>
              <w:tabs>
                <w:tab w:val="clear" w:pos="0"/>
                <w:tab w:val="clear" w:pos="283"/>
                <w:tab w:val="clear" w:pos="567"/>
                <w:tab w:val="clear" w:pos="1134"/>
                <w:tab w:val="clear" w:pos="1418"/>
                <w:tab w:val="clear" w:pos="1701"/>
              </w:tabs>
              <w:ind w:left="0" w:firstLine="0"/>
              <w:jc w:val="left"/>
            </w:pPr>
          </w:p>
        </w:tc>
        <w:tc>
          <w:tcPr>
            <w:tcW w:w="1444" w:type="pct"/>
            <w:vMerge/>
          </w:tcPr>
          <w:p w14:paraId="36F8C361" w14:textId="77777777" w:rsidR="006C5B09" w:rsidRPr="004B69F7" w:rsidRDefault="006C5B09" w:rsidP="00D4440B">
            <w:pPr>
              <w:pStyle w:val="Default"/>
            </w:pPr>
          </w:p>
        </w:tc>
        <w:tc>
          <w:tcPr>
            <w:tcW w:w="755" w:type="pct"/>
            <w:tcBorders>
              <w:top w:val="single" w:sz="18" w:space="0" w:color="4F81BD"/>
              <w:bottom w:val="single" w:sz="18" w:space="0" w:color="4F81BD"/>
            </w:tcBorders>
            <w:shd w:val="clear" w:color="auto" w:fill="auto"/>
          </w:tcPr>
          <w:p w14:paraId="006C1F7B" w14:textId="77777777" w:rsidR="006C5B09" w:rsidRDefault="006C5B09" w:rsidP="00D4440B">
            <w:pPr>
              <w:spacing w:after="480"/>
              <w:rPr>
                <w:color w:val="auto"/>
                <w:szCs w:val="23"/>
              </w:rPr>
            </w:pPr>
            <w:r>
              <w:rPr>
                <w:color w:val="auto"/>
                <w:szCs w:val="23"/>
              </w:rPr>
              <w:t>29 May 2020</w:t>
            </w:r>
          </w:p>
          <w:p w14:paraId="4F0070D9" w14:textId="77777777" w:rsidR="006C5B09" w:rsidRDefault="006C5B09" w:rsidP="00D4440B">
            <w:pPr>
              <w:pStyle w:val="Heading2"/>
              <w:spacing w:after="360"/>
              <w:rPr>
                <w:b w:val="0"/>
                <w:color w:val="auto"/>
                <w:sz w:val="23"/>
                <w:szCs w:val="23"/>
              </w:rPr>
            </w:pPr>
          </w:p>
        </w:tc>
        <w:tc>
          <w:tcPr>
            <w:tcW w:w="825" w:type="pct"/>
            <w:tcBorders>
              <w:top w:val="single" w:sz="18" w:space="0" w:color="4F81BD"/>
              <w:bottom w:val="single" w:sz="18" w:space="0" w:color="4F81BD"/>
            </w:tcBorders>
            <w:shd w:val="clear" w:color="auto" w:fill="auto"/>
          </w:tcPr>
          <w:p w14:paraId="5EF61364" w14:textId="77777777" w:rsidR="006C5B09" w:rsidRDefault="006C5B09" w:rsidP="00D4440B">
            <w:pPr>
              <w:rPr>
                <w:color w:val="auto"/>
                <w:szCs w:val="23"/>
              </w:rPr>
            </w:pPr>
            <w:r>
              <w:rPr>
                <w:color w:val="auto"/>
                <w:szCs w:val="23"/>
              </w:rPr>
              <w:t>1 May 2019-30 April 2020</w:t>
            </w:r>
            <w:r w:rsidR="00F30D9D">
              <w:rPr>
                <w:color w:val="auto"/>
                <w:szCs w:val="23"/>
              </w:rPr>
              <w:t xml:space="preserve"> - actuals</w:t>
            </w:r>
          </w:p>
          <w:p w14:paraId="2152D17A" w14:textId="77777777" w:rsidR="006C5B09" w:rsidRDefault="006C5B09" w:rsidP="00D4440B">
            <w:pPr>
              <w:pStyle w:val="Heading2"/>
              <w:jc w:val="center"/>
              <w:rPr>
                <w:b w:val="0"/>
                <w:color w:val="auto"/>
                <w:sz w:val="23"/>
                <w:szCs w:val="23"/>
              </w:rPr>
            </w:pPr>
          </w:p>
        </w:tc>
        <w:tc>
          <w:tcPr>
            <w:tcW w:w="1030" w:type="pct"/>
            <w:tcBorders>
              <w:top w:val="single" w:sz="18" w:space="0" w:color="4F81BD"/>
              <w:bottom w:val="single" w:sz="18" w:space="0" w:color="4F81BD"/>
            </w:tcBorders>
            <w:shd w:val="clear" w:color="auto" w:fill="auto"/>
          </w:tcPr>
          <w:p w14:paraId="013AE940" w14:textId="77777777" w:rsidR="006C5B09" w:rsidRPr="00583E64" w:rsidRDefault="006C5B09" w:rsidP="00D4440B">
            <w:pPr>
              <w:spacing w:after="60"/>
              <w:jc w:val="left"/>
              <w:rPr>
                <w:color w:val="auto"/>
                <w:sz w:val="22"/>
                <w:szCs w:val="22"/>
                <w:lang w:val="fr-FR"/>
              </w:rPr>
            </w:pPr>
            <w:r w:rsidRPr="00583E64">
              <w:rPr>
                <w:color w:val="auto"/>
                <w:sz w:val="22"/>
                <w:szCs w:val="22"/>
                <w:lang w:val="fr-FR"/>
              </w:rPr>
              <w:t>NSW - $4</w:t>
            </w:r>
            <w:proofErr w:type="gramStart"/>
            <w:r w:rsidRPr="00583E64">
              <w:rPr>
                <w:color w:val="auto"/>
                <w:sz w:val="22"/>
                <w:szCs w:val="22"/>
                <w:lang w:val="fr-FR"/>
              </w:rPr>
              <w:t>,</w:t>
            </w:r>
            <w:r w:rsidR="00DE639B">
              <w:rPr>
                <w:color w:val="auto"/>
                <w:sz w:val="22"/>
                <w:szCs w:val="22"/>
                <w:lang w:val="fr-FR"/>
              </w:rPr>
              <w:t>851,670</w:t>
            </w:r>
            <w:proofErr w:type="gramEnd"/>
            <w:r w:rsidRPr="00583E64">
              <w:rPr>
                <w:color w:val="auto"/>
                <w:sz w:val="22"/>
                <w:szCs w:val="22"/>
                <w:lang w:val="fr-FR"/>
              </w:rPr>
              <w:t xml:space="preserve"> </w:t>
            </w:r>
          </w:p>
          <w:p w14:paraId="4C12EB01" w14:textId="77777777" w:rsidR="006C5B09" w:rsidRPr="00583E64" w:rsidRDefault="00DE639B" w:rsidP="00D4440B">
            <w:pPr>
              <w:spacing w:after="60"/>
              <w:jc w:val="left"/>
              <w:rPr>
                <w:color w:val="auto"/>
                <w:sz w:val="22"/>
                <w:szCs w:val="22"/>
                <w:lang w:val="fr-FR"/>
              </w:rPr>
            </w:pPr>
            <w:r>
              <w:rPr>
                <w:color w:val="auto"/>
                <w:sz w:val="22"/>
                <w:szCs w:val="22"/>
                <w:lang w:val="fr-FR"/>
              </w:rPr>
              <w:t>Vic - $ 3</w:t>
            </w:r>
            <w:proofErr w:type="gramStart"/>
            <w:r>
              <w:rPr>
                <w:color w:val="auto"/>
                <w:sz w:val="22"/>
                <w:szCs w:val="22"/>
                <w:lang w:val="fr-FR"/>
              </w:rPr>
              <w:t>,812,243</w:t>
            </w:r>
            <w:proofErr w:type="gramEnd"/>
          </w:p>
          <w:p w14:paraId="0CCE6C65" w14:textId="77777777" w:rsidR="006C5B09" w:rsidRPr="00583E64" w:rsidRDefault="00DE639B" w:rsidP="00D4440B">
            <w:pPr>
              <w:spacing w:after="60"/>
              <w:jc w:val="left"/>
              <w:rPr>
                <w:color w:val="auto"/>
                <w:sz w:val="22"/>
                <w:szCs w:val="22"/>
                <w:lang w:val="fr-FR"/>
              </w:rPr>
            </w:pPr>
            <w:proofErr w:type="spellStart"/>
            <w:r>
              <w:rPr>
                <w:color w:val="auto"/>
                <w:sz w:val="22"/>
                <w:szCs w:val="22"/>
                <w:lang w:val="fr-FR"/>
              </w:rPr>
              <w:t>Qld</w:t>
            </w:r>
            <w:proofErr w:type="spellEnd"/>
            <w:r>
              <w:rPr>
                <w:color w:val="auto"/>
                <w:sz w:val="22"/>
                <w:szCs w:val="22"/>
                <w:lang w:val="fr-FR"/>
              </w:rPr>
              <w:t xml:space="preserve"> - $3</w:t>
            </w:r>
            <w:proofErr w:type="gramStart"/>
            <w:r>
              <w:rPr>
                <w:color w:val="auto"/>
                <w:sz w:val="22"/>
                <w:szCs w:val="22"/>
                <w:lang w:val="fr-FR"/>
              </w:rPr>
              <w:t>,042,522</w:t>
            </w:r>
            <w:proofErr w:type="gramEnd"/>
          </w:p>
          <w:p w14:paraId="66211443" w14:textId="77777777" w:rsidR="006C5B09" w:rsidRPr="00583E64" w:rsidRDefault="00DE639B" w:rsidP="00D4440B">
            <w:pPr>
              <w:spacing w:after="60"/>
              <w:jc w:val="left"/>
              <w:rPr>
                <w:color w:val="auto"/>
                <w:sz w:val="22"/>
                <w:szCs w:val="22"/>
                <w:lang w:val="fr-FR"/>
              </w:rPr>
            </w:pPr>
            <w:r>
              <w:rPr>
                <w:color w:val="auto"/>
                <w:sz w:val="22"/>
                <w:szCs w:val="22"/>
                <w:lang w:val="fr-FR"/>
              </w:rPr>
              <w:t>WA - $ 1</w:t>
            </w:r>
            <w:proofErr w:type="gramStart"/>
            <w:r>
              <w:rPr>
                <w:color w:val="auto"/>
                <w:sz w:val="22"/>
                <w:szCs w:val="22"/>
                <w:lang w:val="fr-FR"/>
              </w:rPr>
              <w:t>,642,477</w:t>
            </w:r>
            <w:proofErr w:type="gramEnd"/>
          </w:p>
          <w:p w14:paraId="1E1349AD" w14:textId="77777777" w:rsidR="006C5B09" w:rsidRPr="00583E64" w:rsidRDefault="00DE639B" w:rsidP="00D4440B">
            <w:pPr>
              <w:spacing w:after="60"/>
              <w:jc w:val="left"/>
              <w:rPr>
                <w:color w:val="auto"/>
                <w:sz w:val="22"/>
                <w:szCs w:val="22"/>
                <w:lang w:val="fr-FR"/>
              </w:rPr>
            </w:pPr>
            <w:r>
              <w:rPr>
                <w:color w:val="auto"/>
                <w:sz w:val="22"/>
                <w:szCs w:val="22"/>
                <w:lang w:val="fr-FR"/>
              </w:rPr>
              <w:t>SA - $ 1</w:t>
            </w:r>
            <w:proofErr w:type="gramStart"/>
            <w:r>
              <w:rPr>
                <w:color w:val="auto"/>
                <w:sz w:val="22"/>
                <w:szCs w:val="22"/>
                <w:lang w:val="fr-FR"/>
              </w:rPr>
              <w:t>,072,762</w:t>
            </w:r>
            <w:proofErr w:type="gramEnd"/>
          </w:p>
          <w:p w14:paraId="64FE2492" w14:textId="77777777" w:rsidR="006C5B09" w:rsidRPr="00583E64" w:rsidRDefault="00DE639B" w:rsidP="00D4440B">
            <w:pPr>
              <w:spacing w:after="60"/>
              <w:jc w:val="left"/>
              <w:rPr>
                <w:color w:val="auto"/>
                <w:sz w:val="22"/>
                <w:szCs w:val="22"/>
                <w:lang w:val="fr-FR"/>
              </w:rPr>
            </w:pPr>
            <w:r>
              <w:rPr>
                <w:color w:val="auto"/>
                <w:sz w:val="22"/>
                <w:szCs w:val="22"/>
                <w:lang w:val="fr-FR"/>
              </w:rPr>
              <w:t>Tas - $327,283</w:t>
            </w:r>
          </w:p>
          <w:p w14:paraId="04CDF41F" w14:textId="77777777" w:rsidR="006C5B09" w:rsidRPr="006A11A2" w:rsidRDefault="00DE639B" w:rsidP="00D4440B">
            <w:pPr>
              <w:spacing w:after="60"/>
              <w:jc w:val="left"/>
              <w:rPr>
                <w:color w:val="auto"/>
                <w:sz w:val="22"/>
                <w:szCs w:val="22"/>
                <w:lang w:val="fr-FR"/>
              </w:rPr>
            </w:pPr>
            <w:r>
              <w:rPr>
                <w:color w:val="auto"/>
                <w:sz w:val="22"/>
                <w:szCs w:val="22"/>
                <w:lang w:val="fr-FR"/>
              </w:rPr>
              <w:t>ACT - $ 248</w:t>
            </w:r>
            <w:r w:rsidR="006C5B09" w:rsidRPr="006A11A2">
              <w:rPr>
                <w:color w:val="auto"/>
                <w:sz w:val="22"/>
                <w:szCs w:val="22"/>
                <w:lang w:val="fr-FR"/>
              </w:rPr>
              <w:t>,</w:t>
            </w:r>
            <w:r>
              <w:rPr>
                <w:color w:val="auto"/>
                <w:sz w:val="22"/>
                <w:szCs w:val="22"/>
                <w:lang w:val="fr-FR"/>
              </w:rPr>
              <w:t>493</w:t>
            </w:r>
          </w:p>
          <w:p w14:paraId="6C1AFF22" w14:textId="77777777" w:rsidR="006C5B09" w:rsidRPr="00D46C66" w:rsidRDefault="006C5B09" w:rsidP="00D4440B">
            <w:pPr>
              <w:spacing w:after="60"/>
              <w:jc w:val="left"/>
              <w:rPr>
                <w:color w:val="auto"/>
                <w:sz w:val="22"/>
                <w:szCs w:val="22"/>
              </w:rPr>
            </w:pPr>
            <w:r w:rsidRPr="006A11A2">
              <w:rPr>
                <w:color w:val="auto"/>
                <w:sz w:val="22"/>
                <w:szCs w:val="22"/>
                <w:lang w:val="fr-FR"/>
              </w:rPr>
              <w:t>NT - $ 15</w:t>
            </w:r>
            <w:r w:rsidR="00DE639B">
              <w:rPr>
                <w:color w:val="auto"/>
                <w:sz w:val="22"/>
                <w:szCs w:val="22"/>
                <w:lang w:val="fr-FR"/>
              </w:rPr>
              <w:t>4,550</w:t>
            </w:r>
          </w:p>
        </w:tc>
      </w:tr>
      <w:tr w:rsidR="006C5B09" w:rsidRPr="00C26C5B" w14:paraId="2046598D" w14:textId="77777777" w:rsidTr="00D4440B">
        <w:trPr>
          <w:trHeight w:val="1171"/>
          <w:tblHeader/>
        </w:trPr>
        <w:tc>
          <w:tcPr>
            <w:tcW w:w="946" w:type="pct"/>
            <w:vMerge/>
            <w:tcBorders>
              <w:bottom w:val="single" w:sz="18" w:space="0" w:color="4F81BD"/>
            </w:tcBorders>
          </w:tcPr>
          <w:p w14:paraId="2E6CC2C5" w14:textId="77777777" w:rsidR="006C5B09" w:rsidRDefault="006C5B09" w:rsidP="00D4440B">
            <w:pPr>
              <w:pStyle w:val="AlphaParagraph"/>
              <w:tabs>
                <w:tab w:val="clear" w:pos="0"/>
                <w:tab w:val="clear" w:pos="283"/>
                <w:tab w:val="clear" w:pos="567"/>
                <w:tab w:val="clear" w:pos="1134"/>
                <w:tab w:val="clear" w:pos="1418"/>
                <w:tab w:val="clear" w:pos="1701"/>
              </w:tabs>
              <w:ind w:left="0" w:firstLine="0"/>
              <w:jc w:val="left"/>
            </w:pPr>
          </w:p>
        </w:tc>
        <w:tc>
          <w:tcPr>
            <w:tcW w:w="1444" w:type="pct"/>
            <w:vMerge/>
            <w:tcBorders>
              <w:bottom w:val="single" w:sz="18" w:space="0" w:color="4F81BD"/>
            </w:tcBorders>
          </w:tcPr>
          <w:p w14:paraId="1D78D9C8" w14:textId="77777777" w:rsidR="006C5B09" w:rsidRPr="004B69F7" w:rsidRDefault="006C5B09" w:rsidP="00D4440B">
            <w:pPr>
              <w:pStyle w:val="Default"/>
            </w:pPr>
          </w:p>
        </w:tc>
        <w:tc>
          <w:tcPr>
            <w:tcW w:w="755" w:type="pct"/>
            <w:tcBorders>
              <w:top w:val="single" w:sz="18" w:space="0" w:color="4F81BD"/>
              <w:bottom w:val="single" w:sz="18" w:space="0" w:color="4F81BD"/>
            </w:tcBorders>
            <w:shd w:val="clear" w:color="auto" w:fill="auto"/>
          </w:tcPr>
          <w:p w14:paraId="40479BCF" w14:textId="77777777" w:rsidR="006C5B09" w:rsidRPr="001B0A55" w:rsidRDefault="006C5B09" w:rsidP="00D4440B">
            <w:r w:rsidRPr="00F1442F">
              <w:rPr>
                <w:color w:val="auto"/>
                <w:szCs w:val="23"/>
              </w:rPr>
              <w:t>31 May 2021</w:t>
            </w:r>
          </w:p>
          <w:p w14:paraId="163118FC" w14:textId="77777777" w:rsidR="006C5B09" w:rsidRDefault="006C5B09" w:rsidP="00D4440B">
            <w:pPr>
              <w:pStyle w:val="Heading2"/>
              <w:spacing w:after="360"/>
              <w:rPr>
                <w:b w:val="0"/>
                <w:color w:val="auto"/>
                <w:sz w:val="23"/>
                <w:szCs w:val="23"/>
              </w:rPr>
            </w:pPr>
          </w:p>
        </w:tc>
        <w:tc>
          <w:tcPr>
            <w:tcW w:w="825" w:type="pct"/>
            <w:tcBorders>
              <w:top w:val="single" w:sz="18" w:space="0" w:color="4F81BD"/>
              <w:bottom w:val="single" w:sz="18" w:space="0" w:color="4F81BD"/>
            </w:tcBorders>
            <w:shd w:val="clear" w:color="auto" w:fill="auto"/>
          </w:tcPr>
          <w:p w14:paraId="74984BA4" w14:textId="77777777" w:rsidR="006C5B09" w:rsidRDefault="006C5B09" w:rsidP="00D4440B">
            <w:pPr>
              <w:rPr>
                <w:color w:val="auto"/>
                <w:szCs w:val="23"/>
              </w:rPr>
            </w:pPr>
            <w:r>
              <w:rPr>
                <w:color w:val="auto"/>
                <w:szCs w:val="23"/>
              </w:rPr>
              <w:t>1 May 2020-30 April 2021</w:t>
            </w:r>
            <w:r w:rsidR="00F30D9D">
              <w:rPr>
                <w:color w:val="auto"/>
                <w:szCs w:val="23"/>
              </w:rPr>
              <w:t xml:space="preserve"> - actuals</w:t>
            </w:r>
          </w:p>
          <w:p w14:paraId="119AD974" w14:textId="77777777" w:rsidR="006C5B09" w:rsidRDefault="006C5B09" w:rsidP="00D4440B">
            <w:pPr>
              <w:pStyle w:val="Heading2"/>
              <w:jc w:val="center"/>
              <w:rPr>
                <w:b w:val="0"/>
                <w:color w:val="auto"/>
                <w:sz w:val="23"/>
                <w:szCs w:val="23"/>
              </w:rPr>
            </w:pPr>
          </w:p>
        </w:tc>
        <w:tc>
          <w:tcPr>
            <w:tcW w:w="1030" w:type="pct"/>
            <w:tcBorders>
              <w:top w:val="single" w:sz="18" w:space="0" w:color="4F81BD"/>
              <w:bottom w:val="single" w:sz="18" w:space="0" w:color="4F81BD"/>
            </w:tcBorders>
            <w:shd w:val="clear" w:color="auto" w:fill="auto"/>
          </w:tcPr>
          <w:p w14:paraId="7C94E8D1" w14:textId="77777777" w:rsidR="006C5B09" w:rsidRPr="00583E64" w:rsidRDefault="006C5B09" w:rsidP="00D4440B">
            <w:pPr>
              <w:spacing w:after="60"/>
              <w:jc w:val="left"/>
              <w:rPr>
                <w:color w:val="auto"/>
                <w:sz w:val="22"/>
                <w:szCs w:val="22"/>
                <w:lang w:val="fr-FR"/>
              </w:rPr>
            </w:pPr>
            <w:r w:rsidRPr="00583E64">
              <w:rPr>
                <w:color w:val="auto"/>
                <w:sz w:val="22"/>
                <w:szCs w:val="22"/>
                <w:lang w:val="fr-FR"/>
              </w:rPr>
              <w:t>NSW - $4</w:t>
            </w:r>
            <w:proofErr w:type="gramStart"/>
            <w:r w:rsidRPr="00583E64">
              <w:rPr>
                <w:color w:val="auto"/>
                <w:sz w:val="22"/>
                <w:szCs w:val="22"/>
                <w:lang w:val="fr-FR"/>
              </w:rPr>
              <w:t>,</w:t>
            </w:r>
            <w:r w:rsidR="00DE639B">
              <w:rPr>
                <w:color w:val="auto"/>
                <w:sz w:val="22"/>
                <w:szCs w:val="22"/>
                <w:lang w:val="fr-FR"/>
              </w:rPr>
              <w:t>919,553</w:t>
            </w:r>
            <w:proofErr w:type="gramEnd"/>
          </w:p>
          <w:p w14:paraId="77B4842C" w14:textId="77777777" w:rsidR="006C5B09" w:rsidRPr="00583E64" w:rsidRDefault="00DE639B" w:rsidP="00D4440B">
            <w:pPr>
              <w:spacing w:after="60"/>
              <w:jc w:val="left"/>
              <w:rPr>
                <w:color w:val="auto"/>
                <w:sz w:val="22"/>
                <w:szCs w:val="22"/>
                <w:lang w:val="fr-FR"/>
              </w:rPr>
            </w:pPr>
            <w:r>
              <w:rPr>
                <w:color w:val="auto"/>
                <w:sz w:val="22"/>
                <w:szCs w:val="22"/>
                <w:lang w:val="fr-FR"/>
              </w:rPr>
              <w:t>Vic - $ 3</w:t>
            </w:r>
            <w:proofErr w:type="gramStart"/>
            <w:r>
              <w:rPr>
                <w:color w:val="auto"/>
                <w:sz w:val="22"/>
                <w:szCs w:val="22"/>
                <w:lang w:val="fr-FR"/>
              </w:rPr>
              <w:t>,865,582</w:t>
            </w:r>
            <w:proofErr w:type="gramEnd"/>
          </w:p>
          <w:p w14:paraId="633F7B8D" w14:textId="77777777" w:rsidR="006C5B09" w:rsidRPr="00583E64" w:rsidRDefault="00DE639B" w:rsidP="00D4440B">
            <w:pPr>
              <w:spacing w:after="60"/>
              <w:jc w:val="left"/>
              <w:rPr>
                <w:color w:val="auto"/>
                <w:sz w:val="22"/>
                <w:szCs w:val="22"/>
                <w:lang w:val="fr-FR"/>
              </w:rPr>
            </w:pPr>
            <w:proofErr w:type="spellStart"/>
            <w:r>
              <w:rPr>
                <w:color w:val="auto"/>
                <w:sz w:val="22"/>
                <w:szCs w:val="22"/>
                <w:lang w:val="fr-FR"/>
              </w:rPr>
              <w:t>Qld</w:t>
            </w:r>
            <w:proofErr w:type="spellEnd"/>
            <w:r>
              <w:rPr>
                <w:color w:val="auto"/>
                <w:sz w:val="22"/>
                <w:szCs w:val="22"/>
                <w:lang w:val="fr-FR"/>
              </w:rPr>
              <w:t xml:space="preserve"> - $3</w:t>
            </w:r>
            <w:proofErr w:type="gramStart"/>
            <w:r>
              <w:rPr>
                <w:color w:val="auto"/>
                <w:sz w:val="22"/>
                <w:szCs w:val="22"/>
                <w:lang w:val="fr-FR"/>
              </w:rPr>
              <w:t>,085,091</w:t>
            </w:r>
            <w:proofErr w:type="gramEnd"/>
            <w:r w:rsidR="006C5B09" w:rsidRPr="00583E64">
              <w:rPr>
                <w:color w:val="auto"/>
                <w:sz w:val="22"/>
                <w:szCs w:val="22"/>
                <w:lang w:val="fr-FR"/>
              </w:rPr>
              <w:t xml:space="preserve"> </w:t>
            </w:r>
          </w:p>
          <w:p w14:paraId="1573BBE6" w14:textId="77777777" w:rsidR="006C5B09" w:rsidRPr="00583E64" w:rsidRDefault="00DE639B" w:rsidP="00D4440B">
            <w:pPr>
              <w:spacing w:after="60"/>
              <w:jc w:val="left"/>
              <w:rPr>
                <w:color w:val="auto"/>
                <w:sz w:val="22"/>
                <w:szCs w:val="22"/>
                <w:lang w:val="fr-FR"/>
              </w:rPr>
            </w:pPr>
            <w:r>
              <w:rPr>
                <w:color w:val="auto"/>
                <w:sz w:val="22"/>
                <w:szCs w:val="22"/>
                <w:lang w:val="fr-FR"/>
              </w:rPr>
              <w:t>WA - $ 1</w:t>
            </w:r>
            <w:proofErr w:type="gramStart"/>
            <w:r>
              <w:rPr>
                <w:color w:val="auto"/>
                <w:sz w:val="22"/>
                <w:szCs w:val="22"/>
                <w:lang w:val="fr-FR"/>
              </w:rPr>
              <w:t>,665,458</w:t>
            </w:r>
            <w:proofErr w:type="gramEnd"/>
          </w:p>
          <w:p w14:paraId="13FC1AB5" w14:textId="77777777" w:rsidR="006C5B09" w:rsidRPr="00583E64" w:rsidRDefault="00DE639B" w:rsidP="00D4440B">
            <w:pPr>
              <w:spacing w:after="60"/>
              <w:jc w:val="left"/>
              <w:rPr>
                <w:color w:val="auto"/>
                <w:sz w:val="22"/>
                <w:szCs w:val="22"/>
                <w:lang w:val="fr-FR"/>
              </w:rPr>
            </w:pPr>
            <w:r>
              <w:rPr>
                <w:color w:val="auto"/>
                <w:sz w:val="22"/>
                <w:szCs w:val="22"/>
                <w:lang w:val="fr-FR"/>
              </w:rPr>
              <w:t>SA - $ 1</w:t>
            </w:r>
            <w:proofErr w:type="gramStart"/>
            <w:r>
              <w:rPr>
                <w:color w:val="auto"/>
                <w:sz w:val="22"/>
                <w:szCs w:val="22"/>
                <w:lang w:val="fr-FR"/>
              </w:rPr>
              <w:t>,087,771</w:t>
            </w:r>
            <w:proofErr w:type="gramEnd"/>
          </w:p>
          <w:p w14:paraId="4999556A" w14:textId="77777777" w:rsidR="006C5B09" w:rsidRPr="00583E64" w:rsidRDefault="00DE639B" w:rsidP="00D4440B">
            <w:pPr>
              <w:spacing w:after="60"/>
              <w:jc w:val="left"/>
              <w:rPr>
                <w:color w:val="auto"/>
                <w:sz w:val="22"/>
                <w:szCs w:val="22"/>
                <w:lang w:val="fr-FR"/>
              </w:rPr>
            </w:pPr>
            <w:r>
              <w:rPr>
                <w:color w:val="auto"/>
                <w:sz w:val="22"/>
                <w:szCs w:val="22"/>
                <w:lang w:val="fr-FR"/>
              </w:rPr>
              <w:t>Tas - $331,862</w:t>
            </w:r>
          </w:p>
          <w:p w14:paraId="1A6E9E2C" w14:textId="77777777" w:rsidR="006C5B09" w:rsidRPr="006A11A2" w:rsidRDefault="00DE639B" w:rsidP="00D4440B">
            <w:pPr>
              <w:spacing w:after="60"/>
              <w:jc w:val="left"/>
              <w:rPr>
                <w:color w:val="auto"/>
                <w:sz w:val="22"/>
                <w:szCs w:val="22"/>
                <w:lang w:val="fr-FR"/>
              </w:rPr>
            </w:pPr>
            <w:r>
              <w:rPr>
                <w:color w:val="auto"/>
                <w:sz w:val="22"/>
                <w:szCs w:val="22"/>
                <w:lang w:val="fr-FR"/>
              </w:rPr>
              <w:t>ACT - $ 251,970</w:t>
            </w:r>
          </w:p>
          <w:p w14:paraId="20B6CF95" w14:textId="77777777" w:rsidR="006C5B09" w:rsidRPr="00D46C66" w:rsidRDefault="006C5B09" w:rsidP="00D4440B">
            <w:pPr>
              <w:spacing w:after="60"/>
              <w:jc w:val="left"/>
              <w:rPr>
                <w:color w:val="auto"/>
                <w:sz w:val="22"/>
                <w:szCs w:val="22"/>
              </w:rPr>
            </w:pPr>
            <w:r w:rsidRPr="006A11A2">
              <w:rPr>
                <w:color w:val="auto"/>
                <w:sz w:val="22"/>
                <w:szCs w:val="22"/>
                <w:lang w:val="fr-FR"/>
              </w:rPr>
              <w:t>NT - $ 15</w:t>
            </w:r>
            <w:r w:rsidR="00DE639B">
              <w:rPr>
                <w:color w:val="auto"/>
                <w:sz w:val="22"/>
                <w:szCs w:val="22"/>
                <w:lang w:val="fr-FR"/>
              </w:rPr>
              <w:t>6,713</w:t>
            </w:r>
          </w:p>
        </w:tc>
      </w:tr>
    </w:tbl>
    <w:p w14:paraId="3933DC5F" w14:textId="77777777" w:rsidR="00DF2A8C" w:rsidRDefault="009E39E3" w:rsidP="00DF2A8C">
      <w:pPr>
        <w:pStyle w:val="Heading2"/>
      </w:pPr>
      <w:r>
        <w:lastRenderedPageBreak/>
        <w:t>Baselines</w:t>
      </w:r>
    </w:p>
    <w:p w14:paraId="1599F7A4" w14:textId="2F66C5CB" w:rsidR="002162C2" w:rsidRDefault="00DF2A8C" w:rsidP="00603538">
      <w:pPr>
        <w:pStyle w:val="Normalnumbered"/>
        <w:numPr>
          <w:ilvl w:val="0"/>
          <w:numId w:val="10"/>
        </w:numPr>
        <w:spacing w:after="120"/>
        <w:jc w:val="left"/>
      </w:pPr>
      <w:r>
        <w:t xml:space="preserve">Participation for women aged 50-69 and 70-74 years will be monitored and reported in the annual Australian Institute of Health and Welfare (AIHW) </w:t>
      </w:r>
      <w:r>
        <w:rPr>
          <w:i/>
        </w:rPr>
        <w:t>Breast Screening in Australia</w:t>
      </w:r>
      <w:r>
        <w:t xml:space="preserve"> report.  </w:t>
      </w:r>
    </w:p>
    <w:p w14:paraId="4EBDFADC" w14:textId="666BFFB3" w:rsidR="001120AC" w:rsidRPr="001120AC" w:rsidRDefault="001120AC" w:rsidP="00603538">
      <w:pPr>
        <w:pStyle w:val="Normalnumbered"/>
        <w:numPr>
          <w:ilvl w:val="0"/>
          <w:numId w:val="10"/>
        </w:numPr>
        <w:spacing w:after="120"/>
        <w:jc w:val="left"/>
      </w:pPr>
      <w:r w:rsidRPr="001120AC">
        <w:t>The total baseline figures for the number of screened women aged 70-74</w:t>
      </w:r>
      <w:r>
        <w:t xml:space="preserve"> is</w:t>
      </w:r>
      <w:r w:rsidR="009E39E3">
        <w:t xml:space="preserve"> set out</w:t>
      </w:r>
      <w:r>
        <w:t xml:space="preserve"> in Table 2 of this </w:t>
      </w:r>
      <w:r w:rsidR="006A11A2">
        <w:t>A</w:t>
      </w:r>
      <w:r>
        <w:t xml:space="preserve">greement. </w:t>
      </w:r>
    </w:p>
    <w:p w14:paraId="694DB12C" w14:textId="77777777" w:rsidR="00DF2A8C" w:rsidRPr="0037043C" w:rsidRDefault="00DF2A8C" w:rsidP="00DF2A8C">
      <w:pPr>
        <w:pStyle w:val="Normalnumbered"/>
        <w:numPr>
          <w:ilvl w:val="0"/>
          <w:numId w:val="0"/>
        </w:numPr>
        <w:spacing w:before="120" w:after="60" w:line="240" w:lineRule="auto"/>
        <w:jc w:val="left"/>
        <w:rPr>
          <w:b/>
        </w:rPr>
      </w:pPr>
      <w:r w:rsidRPr="0037043C">
        <w:rPr>
          <w:b/>
        </w:rPr>
        <w:t xml:space="preserve">Table 2: </w:t>
      </w:r>
      <w:r w:rsidR="009E39E3">
        <w:rPr>
          <w:b/>
        </w:rPr>
        <w:t>Baselines</w:t>
      </w:r>
      <w:r w:rsidR="005E734C">
        <w:rPr>
          <w:b/>
        </w:rPr>
        <w:t xml:space="preserve"> for </w:t>
      </w:r>
      <w:r w:rsidRPr="0037043C">
        <w:rPr>
          <w:b/>
        </w:rPr>
        <w:t xml:space="preserve">women aged 70-74 years to be </w:t>
      </w:r>
      <w:proofErr w:type="gramStart"/>
      <w:r w:rsidRPr="0037043C">
        <w:rPr>
          <w:b/>
        </w:rPr>
        <w:t>screened</w:t>
      </w:r>
      <w:r w:rsidR="00D762C6" w:rsidRPr="00D762C6">
        <w:rPr>
          <w:b/>
          <w:vertAlign w:val="superscript"/>
        </w:rPr>
        <w:t>(</w:t>
      </w:r>
      <w:proofErr w:type="gramEnd"/>
      <w:r w:rsidR="00D762C6" w:rsidRPr="00D762C6">
        <w:rPr>
          <w:b/>
          <w:vertAlign w:val="superscript"/>
        </w:rPr>
        <w:t>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371"/>
      </w:tblGrid>
      <w:tr w:rsidR="00623AC7" w:rsidRPr="00C5191B" w14:paraId="78B6DAB3" w14:textId="77777777" w:rsidTr="00623AC7">
        <w:trPr>
          <w:trHeight w:val="521"/>
        </w:trPr>
        <w:tc>
          <w:tcPr>
            <w:tcW w:w="2269" w:type="dxa"/>
            <w:noWrap/>
            <w:hideMark/>
          </w:tcPr>
          <w:p w14:paraId="6492CA5C" w14:textId="77777777" w:rsidR="00623AC7" w:rsidRPr="00623AC7" w:rsidRDefault="00623AC7" w:rsidP="00623AC7">
            <w:pPr>
              <w:spacing w:after="0" w:line="240" w:lineRule="auto"/>
              <w:jc w:val="left"/>
              <w:rPr>
                <w:b/>
                <w:szCs w:val="23"/>
              </w:rPr>
            </w:pPr>
            <w:r w:rsidRPr="00623AC7">
              <w:rPr>
                <w:b/>
                <w:szCs w:val="23"/>
              </w:rPr>
              <w:t>Jurisdiction</w:t>
            </w:r>
          </w:p>
        </w:tc>
        <w:tc>
          <w:tcPr>
            <w:tcW w:w="7371" w:type="dxa"/>
          </w:tcPr>
          <w:p w14:paraId="6E6A2268" w14:textId="46AEA0F8" w:rsidR="00623AC7" w:rsidRPr="003623FB" w:rsidRDefault="00623AC7" w:rsidP="000303B4">
            <w:pPr>
              <w:spacing w:after="0" w:line="240" w:lineRule="auto"/>
              <w:jc w:val="center"/>
              <w:rPr>
                <w:b/>
                <w:bCs/>
                <w:color w:val="auto"/>
                <w:szCs w:val="23"/>
              </w:rPr>
            </w:pPr>
            <w:r w:rsidRPr="003623FB">
              <w:rPr>
                <w:b/>
                <w:bCs/>
                <w:color w:val="auto"/>
                <w:szCs w:val="23"/>
              </w:rPr>
              <w:t>Total baseline (AIHW 2014-15 data)</w:t>
            </w:r>
            <w:r w:rsidR="006E0ED4" w:rsidRPr="006E0ED4">
              <w:rPr>
                <w:b/>
                <w:bCs/>
                <w:color w:val="auto"/>
                <w:szCs w:val="23"/>
                <w:vertAlign w:val="superscript"/>
              </w:rPr>
              <w:t>(b)</w:t>
            </w:r>
          </w:p>
        </w:tc>
      </w:tr>
      <w:tr w:rsidR="00623AC7" w:rsidRPr="00C5191B" w14:paraId="7F911BB2" w14:textId="77777777" w:rsidTr="00623AC7">
        <w:trPr>
          <w:trHeight w:val="300"/>
        </w:trPr>
        <w:tc>
          <w:tcPr>
            <w:tcW w:w="2269" w:type="dxa"/>
            <w:noWrap/>
            <w:vAlign w:val="center"/>
            <w:hideMark/>
          </w:tcPr>
          <w:p w14:paraId="19F10D06" w14:textId="77777777" w:rsidR="00623AC7" w:rsidRPr="003623FB" w:rsidRDefault="00623AC7" w:rsidP="001120AC">
            <w:pPr>
              <w:spacing w:after="0" w:line="240" w:lineRule="auto"/>
              <w:jc w:val="left"/>
              <w:rPr>
                <w:color w:val="auto"/>
                <w:szCs w:val="23"/>
              </w:rPr>
            </w:pPr>
            <w:r w:rsidRPr="003623FB">
              <w:rPr>
                <w:color w:val="auto"/>
                <w:szCs w:val="23"/>
              </w:rPr>
              <w:t>NSW</w:t>
            </w:r>
          </w:p>
        </w:tc>
        <w:tc>
          <w:tcPr>
            <w:tcW w:w="7371" w:type="dxa"/>
            <w:vAlign w:val="bottom"/>
          </w:tcPr>
          <w:p w14:paraId="4F8D6CBB" w14:textId="77777777" w:rsidR="00623AC7" w:rsidRPr="003623FB" w:rsidRDefault="00623AC7" w:rsidP="006A11A2">
            <w:pPr>
              <w:spacing w:after="0" w:line="240" w:lineRule="auto"/>
              <w:jc w:val="center"/>
              <w:rPr>
                <w:iCs/>
                <w:color w:val="auto"/>
                <w:szCs w:val="23"/>
              </w:rPr>
            </w:pPr>
            <w:r w:rsidRPr="003623FB">
              <w:rPr>
                <w:iCs/>
                <w:color w:val="auto"/>
                <w:szCs w:val="23"/>
              </w:rPr>
              <w:t>33,280</w:t>
            </w:r>
          </w:p>
        </w:tc>
      </w:tr>
      <w:tr w:rsidR="00623AC7" w:rsidRPr="00C5191B" w14:paraId="5A9E0635" w14:textId="77777777" w:rsidTr="00623AC7">
        <w:trPr>
          <w:trHeight w:val="300"/>
        </w:trPr>
        <w:tc>
          <w:tcPr>
            <w:tcW w:w="2269" w:type="dxa"/>
            <w:noWrap/>
            <w:vAlign w:val="center"/>
            <w:hideMark/>
          </w:tcPr>
          <w:p w14:paraId="7CE06CBA" w14:textId="77777777" w:rsidR="00623AC7" w:rsidRPr="003623FB" w:rsidRDefault="00623AC7" w:rsidP="001120AC">
            <w:pPr>
              <w:spacing w:after="0" w:line="240" w:lineRule="auto"/>
              <w:jc w:val="left"/>
              <w:rPr>
                <w:color w:val="auto"/>
                <w:szCs w:val="23"/>
              </w:rPr>
            </w:pPr>
            <w:r w:rsidRPr="003623FB">
              <w:rPr>
                <w:color w:val="auto"/>
                <w:szCs w:val="23"/>
              </w:rPr>
              <w:t>Vic</w:t>
            </w:r>
          </w:p>
        </w:tc>
        <w:tc>
          <w:tcPr>
            <w:tcW w:w="7371" w:type="dxa"/>
            <w:vAlign w:val="bottom"/>
          </w:tcPr>
          <w:p w14:paraId="48B81F85" w14:textId="77777777" w:rsidR="00623AC7" w:rsidRPr="003623FB" w:rsidRDefault="00623AC7" w:rsidP="006A11A2">
            <w:pPr>
              <w:spacing w:after="0" w:line="240" w:lineRule="auto"/>
              <w:jc w:val="center"/>
              <w:rPr>
                <w:iCs/>
                <w:color w:val="auto"/>
                <w:szCs w:val="23"/>
              </w:rPr>
            </w:pPr>
            <w:r w:rsidRPr="003623FB">
              <w:rPr>
                <w:iCs/>
                <w:color w:val="auto"/>
                <w:szCs w:val="23"/>
              </w:rPr>
              <w:t>22,745</w:t>
            </w:r>
          </w:p>
        </w:tc>
      </w:tr>
      <w:tr w:rsidR="00623AC7" w:rsidRPr="00C5191B" w14:paraId="4C460613" w14:textId="77777777" w:rsidTr="00623AC7">
        <w:trPr>
          <w:trHeight w:val="300"/>
        </w:trPr>
        <w:tc>
          <w:tcPr>
            <w:tcW w:w="2269" w:type="dxa"/>
            <w:noWrap/>
            <w:vAlign w:val="center"/>
            <w:hideMark/>
          </w:tcPr>
          <w:p w14:paraId="7B6117BC" w14:textId="77777777" w:rsidR="00623AC7" w:rsidRPr="003623FB" w:rsidRDefault="00623AC7" w:rsidP="001120AC">
            <w:pPr>
              <w:spacing w:after="0" w:line="240" w:lineRule="auto"/>
              <w:jc w:val="left"/>
              <w:rPr>
                <w:color w:val="auto"/>
                <w:szCs w:val="23"/>
              </w:rPr>
            </w:pPr>
            <w:r w:rsidRPr="003623FB">
              <w:rPr>
                <w:color w:val="auto"/>
                <w:szCs w:val="23"/>
              </w:rPr>
              <w:t>Qld</w:t>
            </w:r>
          </w:p>
        </w:tc>
        <w:tc>
          <w:tcPr>
            <w:tcW w:w="7371" w:type="dxa"/>
            <w:vAlign w:val="bottom"/>
          </w:tcPr>
          <w:p w14:paraId="56D88A7F" w14:textId="77777777" w:rsidR="00623AC7" w:rsidRPr="003623FB" w:rsidRDefault="00623AC7" w:rsidP="006A11A2">
            <w:pPr>
              <w:spacing w:after="0" w:line="240" w:lineRule="auto"/>
              <w:jc w:val="center"/>
              <w:rPr>
                <w:iCs/>
                <w:color w:val="auto"/>
                <w:szCs w:val="23"/>
              </w:rPr>
            </w:pPr>
            <w:r w:rsidRPr="003623FB">
              <w:rPr>
                <w:iCs/>
                <w:color w:val="auto"/>
                <w:szCs w:val="23"/>
              </w:rPr>
              <w:t>23,176</w:t>
            </w:r>
          </w:p>
        </w:tc>
      </w:tr>
      <w:tr w:rsidR="00623AC7" w:rsidRPr="00C5191B" w14:paraId="620D6529" w14:textId="77777777" w:rsidTr="00623AC7">
        <w:trPr>
          <w:trHeight w:val="300"/>
        </w:trPr>
        <w:tc>
          <w:tcPr>
            <w:tcW w:w="2269" w:type="dxa"/>
            <w:noWrap/>
            <w:vAlign w:val="center"/>
            <w:hideMark/>
          </w:tcPr>
          <w:p w14:paraId="3563DBDF" w14:textId="77777777" w:rsidR="00623AC7" w:rsidRPr="003623FB" w:rsidRDefault="00623AC7" w:rsidP="001120AC">
            <w:pPr>
              <w:spacing w:after="0" w:line="240" w:lineRule="auto"/>
              <w:jc w:val="left"/>
              <w:rPr>
                <w:color w:val="auto"/>
                <w:szCs w:val="23"/>
              </w:rPr>
            </w:pPr>
            <w:r w:rsidRPr="003623FB">
              <w:rPr>
                <w:color w:val="auto"/>
                <w:szCs w:val="23"/>
              </w:rPr>
              <w:t>WA</w:t>
            </w:r>
          </w:p>
        </w:tc>
        <w:tc>
          <w:tcPr>
            <w:tcW w:w="7371" w:type="dxa"/>
            <w:vAlign w:val="bottom"/>
          </w:tcPr>
          <w:p w14:paraId="52F6D31A" w14:textId="77777777" w:rsidR="00623AC7" w:rsidRPr="003623FB" w:rsidRDefault="00623AC7" w:rsidP="006A11A2">
            <w:pPr>
              <w:spacing w:after="0" w:line="240" w:lineRule="auto"/>
              <w:jc w:val="center"/>
              <w:rPr>
                <w:iCs/>
                <w:color w:val="auto"/>
                <w:szCs w:val="23"/>
              </w:rPr>
            </w:pPr>
            <w:r w:rsidRPr="003623FB">
              <w:rPr>
                <w:iCs/>
                <w:color w:val="auto"/>
                <w:szCs w:val="23"/>
              </w:rPr>
              <w:t>11,454</w:t>
            </w:r>
          </w:p>
        </w:tc>
      </w:tr>
      <w:tr w:rsidR="00623AC7" w:rsidRPr="00C5191B" w14:paraId="410B8FFC" w14:textId="77777777" w:rsidTr="00623AC7">
        <w:trPr>
          <w:trHeight w:val="351"/>
        </w:trPr>
        <w:tc>
          <w:tcPr>
            <w:tcW w:w="2269" w:type="dxa"/>
            <w:noWrap/>
            <w:vAlign w:val="center"/>
            <w:hideMark/>
          </w:tcPr>
          <w:p w14:paraId="36EEB222" w14:textId="77777777" w:rsidR="00623AC7" w:rsidRPr="003623FB" w:rsidRDefault="00623AC7" w:rsidP="001120AC">
            <w:pPr>
              <w:spacing w:after="0" w:line="240" w:lineRule="auto"/>
              <w:jc w:val="left"/>
              <w:rPr>
                <w:color w:val="auto"/>
                <w:szCs w:val="23"/>
              </w:rPr>
            </w:pPr>
            <w:r w:rsidRPr="003623FB">
              <w:rPr>
                <w:color w:val="auto"/>
                <w:szCs w:val="23"/>
              </w:rPr>
              <w:t>SA</w:t>
            </w:r>
          </w:p>
        </w:tc>
        <w:tc>
          <w:tcPr>
            <w:tcW w:w="7371" w:type="dxa"/>
            <w:vAlign w:val="bottom"/>
          </w:tcPr>
          <w:p w14:paraId="7E348CD4" w14:textId="77777777" w:rsidR="00623AC7" w:rsidRPr="003623FB" w:rsidRDefault="00623AC7" w:rsidP="006A11A2">
            <w:pPr>
              <w:spacing w:after="0" w:line="240" w:lineRule="auto"/>
              <w:jc w:val="center"/>
              <w:rPr>
                <w:iCs/>
                <w:color w:val="auto"/>
                <w:szCs w:val="23"/>
              </w:rPr>
            </w:pPr>
            <w:r w:rsidRPr="003623FB">
              <w:rPr>
                <w:iCs/>
                <w:color w:val="auto"/>
                <w:szCs w:val="23"/>
              </w:rPr>
              <w:t>9,054</w:t>
            </w:r>
          </w:p>
        </w:tc>
      </w:tr>
      <w:tr w:rsidR="00623AC7" w:rsidRPr="00C5191B" w14:paraId="2A397CF3" w14:textId="77777777" w:rsidTr="00623AC7">
        <w:trPr>
          <w:trHeight w:val="300"/>
        </w:trPr>
        <w:tc>
          <w:tcPr>
            <w:tcW w:w="2269" w:type="dxa"/>
            <w:noWrap/>
            <w:vAlign w:val="center"/>
            <w:hideMark/>
          </w:tcPr>
          <w:p w14:paraId="739F90D5" w14:textId="77777777" w:rsidR="00623AC7" w:rsidRPr="003623FB" w:rsidRDefault="00623AC7" w:rsidP="001120AC">
            <w:pPr>
              <w:spacing w:after="0" w:line="240" w:lineRule="auto"/>
              <w:jc w:val="left"/>
              <w:rPr>
                <w:color w:val="auto"/>
                <w:szCs w:val="23"/>
              </w:rPr>
            </w:pPr>
            <w:proofErr w:type="spellStart"/>
            <w:r w:rsidRPr="003623FB">
              <w:rPr>
                <w:color w:val="auto"/>
                <w:szCs w:val="23"/>
              </w:rPr>
              <w:t>Tas</w:t>
            </w:r>
            <w:proofErr w:type="spellEnd"/>
          </w:p>
        </w:tc>
        <w:tc>
          <w:tcPr>
            <w:tcW w:w="7371" w:type="dxa"/>
            <w:vAlign w:val="bottom"/>
          </w:tcPr>
          <w:p w14:paraId="4B8436DC" w14:textId="77777777" w:rsidR="00623AC7" w:rsidRPr="003623FB" w:rsidRDefault="00623AC7" w:rsidP="006A11A2">
            <w:pPr>
              <w:spacing w:after="0" w:line="240" w:lineRule="auto"/>
              <w:jc w:val="center"/>
              <w:rPr>
                <w:iCs/>
                <w:color w:val="auto"/>
                <w:szCs w:val="23"/>
              </w:rPr>
            </w:pPr>
            <w:r w:rsidRPr="003623FB">
              <w:rPr>
                <w:iCs/>
                <w:color w:val="auto"/>
                <w:szCs w:val="23"/>
              </w:rPr>
              <w:t>2,982</w:t>
            </w:r>
          </w:p>
        </w:tc>
      </w:tr>
      <w:tr w:rsidR="00623AC7" w:rsidRPr="00C5191B" w14:paraId="0ECCE62D" w14:textId="77777777" w:rsidTr="00623AC7">
        <w:trPr>
          <w:trHeight w:val="300"/>
        </w:trPr>
        <w:tc>
          <w:tcPr>
            <w:tcW w:w="2269" w:type="dxa"/>
            <w:noWrap/>
            <w:vAlign w:val="center"/>
            <w:hideMark/>
          </w:tcPr>
          <w:p w14:paraId="7A7B46BF" w14:textId="77777777" w:rsidR="00623AC7" w:rsidRPr="003623FB" w:rsidRDefault="00623AC7" w:rsidP="001120AC">
            <w:pPr>
              <w:spacing w:after="0" w:line="240" w:lineRule="auto"/>
              <w:jc w:val="left"/>
              <w:rPr>
                <w:color w:val="auto"/>
                <w:szCs w:val="23"/>
              </w:rPr>
            </w:pPr>
            <w:r w:rsidRPr="003623FB">
              <w:rPr>
                <w:color w:val="auto"/>
                <w:szCs w:val="23"/>
              </w:rPr>
              <w:t>ACT</w:t>
            </w:r>
          </w:p>
        </w:tc>
        <w:tc>
          <w:tcPr>
            <w:tcW w:w="7371" w:type="dxa"/>
            <w:vAlign w:val="bottom"/>
          </w:tcPr>
          <w:p w14:paraId="665610BC" w14:textId="77777777" w:rsidR="00623AC7" w:rsidRPr="003623FB" w:rsidRDefault="00623AC7" w:rsidP="006A11A2">
            <w:pPr>
              <w:spacing w:after="0" w:line="240" w:lineRule="auto"/>
              <w:jc w:val="center"/>
              <w:rPr>
                <w:iCs/>
                <w:color w:val="auto"/>
                <w:szCs w:val="23"/>
              </w:rPr>
            </w:pPr>
            <w:r w:rsidRPr="003623FB">
              <w:rPr>
                <w:iCs/>
                <w:color w:val="auto"/>
                <w:szCs w:val="23"/>
              </w:rPr>
              <w:t>1,414</w:t>
            </w:r>
          </w:p>
        </w:tc>
      </w:tr>
      <w:tr w:rsidR="00623AC7" w:rsidRPr="00C5191B" w14:paraId="0C1CCDAE" w14:textId="77777777" w:rsidTr="00623AC7">
        <w:trPr>
          <w:trHeight w:val="300"/>
        </w:trPr>
        <w:tc>
          <w:tcPr>
            <w:tcW w:w="2269" w:type="dxa"/>
            <w:noWrap/>
            <w:vAlign w:val="center"/>
            <w:hideMark/>
          </w:tcPr>
          <w:p w14:paraId="65A6F2B5" w14:textId="77777777" w:rsidR="00623AC7" w:rsidRPr="003623FB" w:rsidRDefault="00623AC7" w:rsidP="001120AC">
            <w:pPr>
              <w:spacing w:after="0" w:line="240" w:lineRule="auto"/>
              <w:jc w:val="left"/>
              <w:rPr>
                <w:color w:val="auto"/>
                <w:szCs w:val="23"/>
              </w:rPr>
            </w:pPr>
            <w:r w:rsidRPr="003623FB">
              <w:rPr>
                <w:color w:val="auto"/>
                <w:szCs w:val="23"/>
              </w:rPr>
              <w:t>NT</w:t>
            </w:r>
          </w:p>
        </w:tc>
        <w:tc>
          <w:tcPr>
            <w:tcW w:w="7371" w:type="dxa"/>
            <w:vAlign w:val="bottom"/>
          </w:tcPr>
          <w:p w14:paraId="50BA09F5" w14:textId="77777777" w:rsidR="00623AC7" w:rsidRPr="003623FB" w:rsidRDefault="00623AC7" w:rsidP="006A11A2">
            <w:pPr>
              <w:spacing w:after="0" w:line="240" w:lineRule="auto"/>
              <w:jc w:val="center"/>
              <w:rPr>
                <w:iCs/>
                <w:color w:val="auto"/>
                <w:szCs w:val="23"/>
              </w:rPr>
            </w:pPr>
            <w:r w:rsidRPr="003623FB">
              <w:rPr>
                <w:iCs/>
                <w:color w:val="auto"/>
                <w:szCs w:val="23"/>
              </w:rPr>
              <w:t>247</w:t>
            </w:r>
          </w:p>
        </w:tc>
      </w:tr>
      <w:tr w:rsidR="00623AC7" w:rsidRPr="00C5191B" w14:paraId="135802B8" w14:textId="77777777" w:rsidTr="00623AC7">
        <w:trPr>
          <w:trHeight w:val="300"/>
        </w:trPr>
        <w:tc>
          <w:tcPr>
            <w:tcW w:w="2269" w:type="dxa"/>
            <w:noWrap/>
            <w:vAlign w:val="center"/>
            <w:hideMark/>
          </w:tcPr>
          <w:p w14:paraId="480B3F3D" w14:textId="77777777" w:rsidR="00623AC7" w:rsidRPr="003623FB" w:rsidRDefault="00623AC7" w:rsidP="001120AC">
            <w:pPr>
              <w:spacing w:after="0" w:line="240" w:lineRule="auto"/>
              <w:jc w:val="left"/>
              <w:rPr>
                <w:b/>
                <w:bCs/>
                <w:color w:val="auto"/>
                <w:szCs w:val="23"/>
              </w:rPr>
            </w:pPr>
            <w:r w:rsidRPr="003623FB">
              <w:rPr>
                <w:b/>
                <w:bCs/>
                <w:color w:val="auto"/>
                <w:szCs w:val="23"/>
              </w:rPr>
              <w:t>Total</w:t>
            </w:r>
          </w:p>
        </w:tc>
        <w:tc>
          <w:tcPr>
            <w:tcW w:w="7371" w:type="dxa"/>
          </w:tcPr>
          <w:p w14:paraId="7285D562" w14:textId="77777777" w:rsidR="00623AC7" w:rsidRPr="003623FB" w:rsidRDefault="00623AC7" w:rsidP="006A11A2">
            <w:pPr>
              <w:spacing w:after="0" w:line="240" w:lineRule="auto"/>
              <w:jc w:val="center"/>
              <w:rPr>
                <w:b/>
                <w:bCs/>
                <w:color w:val="auto"/>
                <w:szCs w:val="23"/>
              </w:rPr>
            </w:pPr>
            <w:r w:rsidRPr="003623FB">
              <w:rPr>
                <w:b/>
                <w:bCs/>
                <w:color w:val="auto"/>
                <w:szCs w:val="23"/>
              </w:rPr>
              <w:t>104,352</w:t>
            </w:r>
          </w:p>
        </w:tc>
      </w:tr>
    </w:tbl>
    <w:p w14:paraId="326D18E6" w14:textId="77777777" w:rsidR="00623AC7" w:rsidRPr="00F30D9D" w:rsidRDefault="00B64F4B" w:rsidP="00F30D9D">
      <w:pPr>
        <w:pStyle w:val="Heading2"/>
        <w:numPr>
          <w:ilvl w:val="0"/>
          <w:numId w:val="39"/>
        </w:numPr>
        <w:ind w:left="567" w:hanging="567"/>
        <w:rPr>
          <w:b w:val="0"/>
          <w:color w:val="auto"/>
          <w:sz w:val="20"/>
          <w:szCs w:val="20"/>
        </w:rPr>
      </w:pPr>
      <w:r w:rsidRPr="00F30D9D">
        <w:rPr>
          <w:b w:val="0"/>
          <w:color w:val="auto"/>
          <w:sz w:val="20"/>
          <w:szCs w:val="20"/>
        </w:rPr>
        <w:t xml:space="preserve">Includes Aboriginal and Torres Strait Islander women, </w:t>
      </w:r>
      <w:proofErr w:type="gramStart"/>
      <w:r w:rsidRPr="00F30D9D">
        <w:rPr>
          <w:b w:val="0"/>
          <w:color w:val="auto"/>
          <w:sz w:val="20"/>
          <w:szCs w:val="20"/>
        </w:rPr>
        <w:t>Culturally</w:t>
      </w:r>
      <w:proofErr w:type="gramEnd"/>
      <w:r w:rsidRPr="00F30D9D">
        <w:rPr>
          <w:b w:val="0"/>
          <w:color w:val="auto"/>
          <w:sz w:val="20"/>
          <w:szCs w:val="20"/>
        </w:rPr>
        <w:t xml:space="preserve"> and Linguistically Diverse women, and women in remote and very remote areas.</w:t>
      </w:r>
    </w:p>
    <w:p w14:paraId="1E60F10B" w14:textId="77777777" w:rsidR="006E0ED4" w:rsidRPr="00F30D9D" w:rsidRDefault="002738B9" w:rsidP="00F30D9D">
      <w:pPr>
        <w:pStyle w:val="ListParagraph"/>
        <w:numPr>
          <w:ilvl w:val="0"/>
          <w:numId w:val="39"/>
        </w:numPr>
        <w:ind w:left="567" w:hanging="567"/>
        <w:rPr>
          <w:rFonts w:ascii="Corbel" w:hAnsi="Corbel" w:cs="Arial"/>
          <w:bCs/>
          <w:iCs/>
          <w:sz w:val="20"/>
          <w:szCs w:val="20"/>
        </w:rPr>
      </w:pPr>
      <w:r w:rsidRPr="00F30D9D">
        <w:rPr>
          <w:rFonts w:ascii="Corbel" w:hAnsi="Corbel" w:cs="Arial"/>
          <w:bCs/>
          <w:iCs/>
          <w:sz w:val="20"/>
          <w:szCs w:val="20"/>
        </w:rPr>
        <w:t>Total b</w:t>
      </w:r>
      <w:r w:rsidR="006E0ED4" w:rsidRPr="00F30D9D">
        <w:rPr>
          <w:rFonts w:ascii="Corbel" w:hAnsi="Corbel" w:cs="Arial"/>
          <w:bCs/>
          <w:iCs/>
          <w:sz w:val="20"/>
          <w:szCs w:val="20"/>
        </w:rPr>
        <w:t xml:space="preserve">aseline </w:t>
      </w:r>
      <w:r w:rsidRPr="00F30D9D">
        <w:rPr>
          <w:rFonts w:ascii="Corbel" w:hAnsi="Corbel" w:cs="Arial"/>
          <w:bCs/>
          <w:iCs/>
          <w:sz w:val="20"/>
          <w:szCs w:val="20"/>
        </w:rPr>
        <w:t>figures are fixed over the life of the Project Agreement.</w:t>
      </w:r>
    </w:p>
    <w:p w14:paraId="080C0366" w14:textId="77777777" w:rsidR="00F3245D" w:rsidRPr="006A11A2" w:rsidRDefault="00F3245D" w:rsidP="00F3245D">
      <w:pPr>
        <w:pStyle w:val="Heading2"/>
      </w:pPr>
      <w:r w:rsidRPr="006A11A2">
        <w:t>Reporting arrangements</w:t>
      </w:r>
    </w:p>
    <w:p w14:paraId="4FEB0FB5" w14:textId="77777777" w:rsidR="00013D84" w:rsidRPr="00013D84" w:rsidRDefault="009E151E" w:rsidP="00603538">
      <w:pPr>
        <w:pStyle w:val="Normalnumbered"/>
        <w:numPr>
          <w:ilvl w:val="0"/>
          <w:numId w:val="10"/>
        </w:numPr>
        <w:spacing w:before="120" w:line="240" w:lineRule="auto"/>
        <w:rPr>
          <w:szCs w:val="23"/>
        </w:rPr>
      </w:pPr>
      <w:r>
        <w:t>The</w:t>
      </w:r>
      <w:r w:rsidR="00167BB8">
        <w:t xml:space="preserve"> </w:t>
      </w:r>
      <w:r w:rsidRPr="00DE36EB">
        <w:t>States</w:t>
      </w:r>
      <w:r w:rsidR="0095223D" w:rsidRPr="00DE36EB">
        <w:t xml:space="preserve"> </w:t>
      </w:r>
      <w:r>
        <w:t xml:space="preserve">will </w:t>
      </w:r>
      <w:r w:rsidR="0095223D">
        <w:t>provide</w:t>
      </w:r>
      <w:r w:rsidR="00013D84">
        <w:t>:</w:t>
      </w:r>
    </w:p>
    <w:p w14:paraId="07C680AD" w14:textId="77777777" w:rsidR="0005618B" w:rsidRPr="0005618B" w:rsidRDefault="0095223D" w:rsidP="00603538">
      <w:pPr>
        <w:pStyle w:val="Normalnumbered"/>
        <w:numPr>
          <w:ilvl w:val="0"/>
          <w:numId w:val="22"/>
        </w:numPr>
        <w:spacing w:before="120" w:line="240" w:lineRule="auto"/>
        <w:ind w:left="1134" w:hanging="567"/>
        <w:jc w:val="left"/>
        <w:rPr>
          <w:szCs w:val="23"/>
        </w:rPr>
      </w:pPr>
      <w:proofErr w:type="gramStart"/>
      <w:r>
        <w:t>performance</w:t>
      </w:r>
      <w:proofErr w:type="gramEnd"/>
      <w:r>
        <w:t xml:space="preserve"> reports in accordance with </w:t>
      </w:r>
      <w:r w:rsidR="00C2605C">
        <w:t>T</w:t>
      </w:r>
      <w:r>
        <w:t xml:space="preserve">able </w:t>
      </w:r>
      <w:r w:rsidR="00C2605C">
        <w:t>1</w:t>
      </w:r>
      <w:r w:rsidR="0005618B">
        <w:t xml:space="preserve"> and the template at Attachment B</w:t>
      </w:r>
      <w:r w:rsidR="00C2605C">
        <w:t xml:space="preserve"> </w:t>
      </w:r>
      <w:r w:rsidR="009E151E">
        <w:t>during</w:t>
      </w:r>
      <w:r w:rsidR="00C42ACA">
        <w:t xml:space="preserve"> </w:t>
      </w:r>
      <w:r w:rsidR="009E151E">
        <w:t>t</w:t>
      </w:r>
      <w:r w:rsidR="00515AF2">
        <w:t xml:space="preserve">he operation of the Agreement. </w:t>
      </w:r>
      <w:r>
        <w:t>Each performance report is to contai</w:t>
      </w:r>
      <w:r w:rsidR="00ED2AC4">
        <w:t>n</w:t>
      </w:r>
      <w:r w:rsidR="00CF302A">
        <w:t xml:space="preserve"> a description of</w:t>
      </w:r>
      <w:r w:rsidR="0005618B">
        <w:t>:</w:t>
      </w:r>
    </w:p>
    <w:p w14:paraId="6543323B" w14:textId="77777777" w:rsidR="0005618B" w:rsidRPr="00CF302A" w:rsidRDefault="00ED2AC4" w:rsidP="00603538">
      <w:pPr>
        <w:pStyle w:val="Normalnumbered"/>
        <w:numPr>
          <w:ilvl w:val="0"/>
          <w:numId w:val="25"/>
        </w:numPr>
        <w:spacing w:before="120" w:line="240" w:lineRule="auto"/>
        <w:ind w:left="1418" w:hanging="284"/>
        <w:jc w:val="left"/>
        <w:rPr>
          <w:szCs w:val="23"/>
        </w:rPr>
      </w:pPr>
      <w:r>
        <w:t xml:space="preserve">actual performance in the period to date against the </w:t>
      </w:r>
      <w:r w:rsidR="00C3762D">
        <w:t>baselines in Table 2</w:t>
      </w:r>
      <w:r w:rsidR="0005618B">
        <w:t>;</w:t>
      </w:r>
    </w:p>
    <w:p w14:paraId="5DEAE2EA" w14:textId="77777777" w:rsidR="00CF302A" w:rsidRPr="0005618B" w:rsidRDefault="00CF302A" w:rsidP="00603538">
      <w:pPr>
        <w:pStyle w:val="Normalnumbered"/>
        <w:numPr>
          <w:ilvl w:val="0"/>
          <w:numId w:val="25"/>
        </w:numPr>
        <w:spacing w:before="120" w:line="240" w:lineRule="auto"/>
        <w:ind w:left="1418" w:hanging="284"/>
        <w:jc w:val="left"/>
        <w:rPr>
          <w:szCs w:val="23"/>
        </w:rPr>
      </w:pPr>
      <w:r>
        <w:t>recruitment and support activities delivered for women aged 70 to 74 and women in under-screened groups; and</w:t>
      </w:r>
    </w:p>
    <w:p w14:paraId="171010EA" w14:textId="77777777" w:rsidR="00013D84" w:rsidRPr="00013D84" w:rsidRDefault="00A90DDE" w:rsidP="00603538">
      <w:pPr>
        <w:pStyle w:val="Normalnumbered"/>
        <w:numPr>
          <w:ilvl w:val="0"/>
          <w:numId w:val="25"/>
        </w:numPr>
        <w:spacing w:before="120" w:line="240" w:lineRule="auto"/>
        <w:ind w:left="1418" w:hanging="284"/>
        <w:jc w:val="left"/>
        <w:rPr>
          <w:szCs w:val="23"/>
        </w:rPr>
      </w:pPr>
      <w:r>
        <w:t>details of any matter(s) that have arisen which could adversely impact on the delivery of the output, and how the States propose to resolve these matters</w:t>
      </w:r>
      <w:r w:rsidR="00013D84">
        <w:t>; and</w:t>
      </w:r>
    </w:p>
    <w:p w14:paraId="5E6595AE" w14:textId="244B5012" w:rsidR="00AF522E" w:rsidRPr="00AF522E" w:rsidRDefault="00013D84" w:rsidP="00603538">
      <w:pPr>
        <w:pStyle w:val="Normalnumbered"/>
        <w:numPr>
          <w:ilvl w:val="0"/>
          <w:numId w:val="26"/>
        </w:numPr>
        <w:spacing w:before="120" w:line="240" w:lineRule="auto"/>
        <w:ind w:left="1134" w:hanging="567"/>
        <w:jc w:val="left"/>
        <w:rPr>
          <w:szCs w:val="23"/>
        </w:rPr>
      </w:pPr>
      <w:r>
        <w:t xml:space="preserve">a final performance report </w:t>
      </w:r>
      <w:r w:rsidR="00271604">
        <w:t xml:space="preserve"> with actual numbers </w:t>
      </w:r>
      <w:r>
        <w:t>for the 1 May 202</w:t>
      </w:r>
      <w:r w:rsidR="00AF522E">
        <w:t>1</w:t>
      </w:r>
      <w:r>
        <w:t xml:space="preserve"> to 30 </w:t>
      </w:r>
      <w:r w:rsidR="00AF522E">
        <w:t>June 2021</w:t>
      </w:r>
      <w:r>
        <w:t xml:space="preserve"> </w:t>
      </w:r>
      <w:r w:rsidR="00AF522E">
        <w:t>period</w:t>
      </w:r>
      <w:r w:rsidR="00D93D33">
        <w:t xml:space="preserve">, including </w:t>
      </w:r>
      <w:r w:rsidR="00EA5773">
        <w:t xml:space="preserve">details </w:t>
      </w:r>
      <w:r w:rsidR="00D93D33">
        <w:t>of recruitment and support activities on participation of women in under-screened groups,</w:t>
      </w:r>
      <w:r w:rsidR="00AF522E">
        <w:t xml:space="preserve"> by no later than 31</w:t>
      </w:r>
      <w:r w:rsidR="00B64F4B">
        <w:t> </w:t>
      </w:r>
      <w:r w:rsidR="00AF522E">
        <w:t>July 2021</w:t>
      </w:r>
      <w:r w:rsidR="00ED2AC4">
        <w:t>.</w:t>
      </w:r>
    </w:p>
    <w:p w14:paraId="7A2C28A5" w14:textId="77777777" w:rsidR="00ED2AC4" w:rsidRDefault="00AF522E" w:rsidP="00603538">
      <w:pPr>
        <w:pStyle w:val="Normalnumbered"/>
        <w:numPr>
          <w:ilvl w:val="0"/>
          <w:numId w:val="10"/>
        </w:numPr>
        <w:spacing w:before="120" w:line="240" w:lineRule="auto"/>
        <w:jc w:val="left"/>
        <w:rPr>
          <w:szCs w:val="23"/>
        </w:rPr>
      </w:pPr>
      <w:r>
        <w:rPr>
          <w:szCs w:val="23"/>
        </w:rPr>
        <w:t xml:space="preserve">Performance </w:t>
      </w:r>
      <w:r w:rsidR="00F80AB4">
        <w:rPr>
          <w:szCs w:val="23"/>
        </w:rPr>
        <w:t xml:space="preserve">reports will inform the </w:t>
      </w:r>
      <w:r w:rsidR="00F1442F">
        <w:rPr>
          <w:szCs w:val="23"/>
        </w:rPr>
        <w:t xml:space="preserve">evaluation of the </w:t>
      </w:r>
      <w:r w:rsidR="00215F48">
        <w:rPr>
          <w:szCs w:val="23"/>
        </w:rPr>
        <w:t>B</w:t>
      </w:r>
      <w:r w:rsidR="00F1442F">
        <w:rPr>
          <w:szCs w:val="23"/>
        </w:rPr>
        <w:t>reast</w:t>
      </w:r>
      <w:r w:rsidR="00215F48">
        <w:rPr>
          <w:szCs w:val="23"/>
        </w:rPr>
        <w:t>S</w:t>
      </w:r>
      <w:r w:rsidR="00F1442F">
        <w:rPr>
          <w:szCs w:val="23"/>
        </w:rPr>
        <w:t xml:space="preserve">creen </w:t>
      </w:r>
      <w:r w:rsidR="00215F48">
        <w:rPr>
          <w:szCs w:val="23"/>
        </w:rPr>
        <w:t>A</w:t>
      </w:r>
      <w:r w:rsidR="00F1442F">
        <w:rPr>
          <w:szCs w:val="23"/>
        </w:rPr>
        <w:t>ustralia</w:t>
      </w:r>
      <w:r w:rsidR="00215F48">
        <w:rPr>
          <w:szCs w:val="23"/>
        </w:rPr>
        <w:t xml:space="preserve"> </w:t>
      </w:r>
      <w:r w:rsidR="00D46C66">
        <w:rPr>
          <w:szCs w:val="23"/>
        </w:rPr>
        <w:t xml:space="preserve">expansion. </w:t>
      </w:r>
    </w:p>
    <w:p w14:paraId="0B204C7D" w14:textId="77777777" w:rsidR="00E76E73" w:rsidRPr="00E76E73" w:rsidRDefault="00E76E73" w:rsidP="00603538">
      <w:pPr>
        <w:pStyle w:val="Normalnumbered"/>
        <w:numPr>
          <w:ilvl w:val="0"/>
          <w:numId w:val="10"/>
        </w:numPr>
        <w:spacing w:before="240"/>
        <w:jc w:val="left"/>
      </w:pPr>
      <w:r w:rsidRPr="002826F1">
        <w:t xml:space="preserve">If </w:t>
      </w:r>
      <w:r w:rsidR="006A11A2">
        <w:t xml:space="preserve">performance </w:t>
      </w:r>
      <w:r w:rsidR="00F53C58">
        <w:t>requirements</w:t>
      </w:r>
      <w:r w:rsidRPr="002826F1">
        <w:t xml:space="preserve"> </w:t>
      </w:r>
      <w:r w:rsidR="006A11A2">
        <w:t>are</w:t>
      </w:r>
      <w:r w:rsidRPr="002826F1">
        <w:t xml:space="preserve"> met in advance of the due date, where the relevant performance report demonstrates that the</w:t>
      </w:r>
      <w:r w:rsidR="006A11A2">
        <w:t>y</w:t>
      </w:r>
      <w:r w:rsidR="00C3762D">
        <w:t xml:space="preserve"> </w:t>
      </w:r>
      <w:r w:rsidR="006A11A2">
        <w:t>have</w:t>
      </w:r>
      <w:r w:rsidRPr="002826F1">
        <w:t xml:space="preserve"> been met, the Commonwealth may make the associated payment earlier than scheduled provided it falls within the same financial year as the original </w:t>
      </w:r>
      <w:r w:rsidR="006A11A2">
        <w:t>due</w:t>
      </w:r>
      <w:r w:rsidRPr="002826F1">
        <w:t xml:space="preserve"> date. </w:t>
      </w:r>
    </w:p>
    <w:p w14:paraId="71230557" w14:textId="77777777" w:rsidR="008E7527" w:rsidRDefault="008E7527" w:rsidP="009E093C">
      <w:pPr>
        <w:pStyle w:val="Heading1"/>
      </w:pPr>
      <w:r>
        <w:lastRenderedPageBreak/>
        <w:t>Part 5</w:t>
      </w:r>
      <w:r w:rsidRPr="00751725">
        <w:t xml:space="preserve"> — financial arrangements</w:t>
      </w:r>
    </w:p>
    <w:p w14:paraId="6790C1B4" w14:textId="77777777" w:rsidR="008E7527" w:rsidRDefault="008E7527" w:rsidP="00603538">
      <w:pPr>
        <w:pStyle w:val="Normalnumbered"/>
        <w:numPr>
          <w:ilvl w:val="0"/>
          <w:numId w:val="10"/>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5172F5">
        <w:t xml:space="preserve">the States of </w:t>
      </w:r>
      <w:r w:rsidRPr="00CD526B">
        <w:t>$</w:t>
      </w:r>
      <w:r w:rsidR="0095485E">
        <w:t>60.</w:t>
      </w:r>
      <w:r w:rsidR="00EB66EE">
        <w:t>17</w:t>
      </w:r>
      <w:r w:rsidR="00E76E73">
        <w:t xml:space="preserve"> </w:t>
      </w:r>
      <w:r w:rsidR="005172F5">
        <w:t>m</w:t>
      </w:r>
      <w:r w:rsidR="006A11A2">
        <w:t>illion</w:t>
      </w:r>
      <w:r>
        <w:t xml:space="preserve"> in respect of this Agreement. </w:t>
      </w:r>
      <w:r w:rsidRPr="000E48C3">
        <w:t xml:space="preserve"> </w:t>
      </w:r>
      <w:r>
        <w:t>All payments are GST exclusive.</w:t>
      </w:r>
    </w:p>
    <w:p w14:paraId="37641432" w14:textId="77777777" w:rsidR="008E7527" w:rsidRDefault="005A5E7A" w:rsidP="00603538">
      <w:pPr>
        <w:pStyle w:val="Normalnumbered"/>
        <w:numPr>
          <w:ilvl w:val="0"/>
          <w:numId w:val="10"/>
        </w:numPr>
        <w:jc w:val="left"/>
      </w:pPr>
      <w:r>
        <w:t>T</w:t>
      </w:r>
      <w:r w:rsidR="008E7527" w:rsidRPr="002B7E1B">
        <w:t>he Commonwealth’s funding contribution will not be reduced where the States secure funding from other activity partners</w:t>
      </w:r>
      <w:r w:rsidR="002E144A">
        <w:t>.</w:t>
      </w:r>
    </w:p>
    <w:p w14:paraId="15679B08" w14:textId="77777777" w:rsidR="008E7527" w:rsidRPr="00751725" w:rsidRDefault="008E7527" w:rsidP="00603538">
      <w:pPr>
        <w:pStyle w:val="Normalnumbered"/>
        <w:keepNext/>
        <w:keepLines/>
        <w:numPr>
          <w:ilvl w:val="0"/>
          <w:numId w:val="10"/>
        </w:numPr>
        <w:jc w:val="left"/>
      </w:pPr>
      <w:r w:rsidRPr="00751725">
        <w:t>The Commonwealth</w:t>
      </w:r>
      <w:r>
        <w:t>’s</w:t>
      </w:r>
      <w:r w:rsidRPr="00751725">
        <w:t xml:space="preserve"> and the </w:t>
      </w:r>
      <w:r>
        <w:t>S</w:t>
      </w:r>
      <w:r w:rsidRPr="00751725">
        <w:t>tates</w:t>
      </w:r>
      <w:r w:rsidR="005172F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xml:space="preserve">, are shown in Table </w:t>
      </w:r>
      <w:r w:rsidR="005172F5">
        <w:t>3</w:t>
      </w:r>
      <w:r w:rsidRPr="00751725">
        <w:t>.</w:t>
      </w:r>
    </w:p>
    <w:p w14:paraId="42B345B7" w14:textId="77777777" w:rsidR="008E7527" w:rsidRPr="00790B5D" w:rsidRDefault="00E204BB" w:rsidP="00265AC9">
      <w:pPr>
        <w:pStyle w:val="Normalnumbered"/>
        <w:numPr>
          <w:ilvl w:val="0"/>
          <w:numId w:val="0"/>
        </w:numPr>
        <w:spacing w:after="120"/>
        <w:rPr>
          <w:b/>
        </w:rPr>
      </w:pPr>
      <w:r>
        <w:rPr>
          <w:b/>
        </w:rPr>
        <w:t xml:space="preserve">Table </w:t>
      </w:r>
      <w:r w:rsidR="005172F5">
        <w:rPr>
          <w:b/>
        </w:rPr>
        <w:t>3</w:t>
      </w:r>
      <w:r w:rsidR="008E7527" w:rsidRPr="00E204BB">
        <w:rPr>
          <w:b/>
        </w:rPr>
        <w:t>: Estimated financial contributions</w:t>
      </w:r>
    </w:p>
    <w:tbl>
      <w:tblPr>
        <w:tblW w:w="0" w:type="auto"/>
        <w:tblLook w:val="01E0" w:firstRow="1" w:lastRow="1" w:firstColumn="1" w:lastColumn="1" w:noHBand="0" w:noVBand="0"/>
      </w:tblPr>
      <w:tblGrid>
        <w:gridCol w:w="4786"/>
        <w:gridCol w:w="992"/>
        <w:gridCol w:w="993"/>
        <w:gridCol w:w="992"/>
        <w:gridCol w:w="992"/>
        <w:gridCol w:w="1099"/>
      </w:tblGrid>
      <w:tr w:rsidR="008E7527" w14:paraId="7516E50C" w14:textId="77777777" w:rsidTr="00660C79">
        <w:trPr>
          <w:cantSplit/>
        </w:trPr>
        <w:tc>
          <w:tcPr>
            <w:tcW w:w="4786" w:type="dxa"/>
            <w:tcBorders>
              <w:top w:val="single" w:sz="4" w:space="0" w:color="000080"/>
            </w:tcBorders>
          </w:tcPr>
          <w:p w14:paraId="72866614" w14:textId="77777777" w:rsidR="008E7527" w:rsidRPr="00C2711B" w:rsidRDefault="008E7527" w:rsidP="00AB71A5">
            <w:pPr>
              <w:keepNext/>
              <w:keepLines/>
              <w:spacing w:before="40" w:after="40"/>
              <w:jc w:val="left"/>
              <w:rPr>
                <w:b/>
              </w:rPr>
            </w:pPr>
            <w:r w:rsidRPr="00C2711B">
              <w:rPr>
                <w:b/>
              </w:rPr>
              <w:t>($ million)</w:t>
            </w:r>
          </w:p>
        </w:tc>
        <w:tc>
          <w:tcPr>
            <w:tcW w:w="992" w:type="dxa"/>
            <w:tcBorders>
              <w:top w:val="single" w:sz="4" w:space="0" w:color="000080"/>
              <w:bottom w:val="single" w:sz="4" w:space="0" w:color="000080"/>
            </w:tcBorders>
          </w:tcPr>
          <w:p w14:paraId="2906FCFC" w14:textId="77777777" w:rsidR="008E7527" w:rsidRPr="00C07A08" w:rsidRDefault="00D947BD" w:rsidP="00D947BD">
            <w:pPr>
              <w:keepNext/>
              <w:keepLines/>
              <w:spacing w:before="40" w:after="40"/>
              <w:jc w:val="right"/>
            </w:pPr>
            <w:r w:rsidRPr="00C07A08">
              <w:t>2017-18</w:t>
            </w:r>
          </w:p>
        </w:tc>
        <w:tc>
          <w:tcPr>
            <w:tcW w:w="993" w:type="dxa"/>
            <w:tcBorders>
              <w:top w:val="single" w:sz="4" w:space="0" w:color="000080"/>
              <w:bottom w:val="single" w:sz="4" w:space="0" w:color="000080"/>
            </w:tcBorders>
          </w:tcPr>
          <w:p w14:paraId="0C2422CC" w14:textId="77777777" w:rsidR="008E7527" w:rsidRDefault="00D947BD" w:rsidP="00D947BD">
            <w:pPr>
              <w:keepNext/>
              <w:keepLines/>
              <w:spacing w:before="40" w:after="40"/>
            </w:pPr>
            <w:r>
              <w:t>2018-19</w:t>
            </w:r>
          </w:p>
        </w:tc>
        <w:tc>
          <w:tcPr>
            <w:tcW w:w="992" w:type="dxa"/>
            <w:tcBorders>
              <w:top w:val="single" w:sz="4" w:space="0" w:color="000080"/>
              <w:bottom w:val="single" w:sz="4" w:space="0" w:color="000080"/>
            </w:tcBorders>
          </w:tcPr>
          <w:p w14:paraId="61579804" w14:textId="77777777" w:rsidR="008E7527" w:rsidRDefault="00D947BD" w:rsidP="00AB71A5">
            <w:pPr>
              <w:keepNext/>
              <w:keepLines/>
              <w:spacing w:before="40" w:after="40"/>
              <w:jc w:val="right"/>
            </w:pPr>
            <w:r>
              <w:t>2019-20</w:t>
            </w:r>
          </w:p>
        </w:tc>
        <w:tc>
          <w:tcPr>
            <w:tcW w:w="992" w:type="dxa"/>
            <w:tcBorders>
              <w:top w:val="single" w:sz="4" w:space="0" w:color="000080"/>
              <w:bottom w:val="single" w:sz="4" w:space="0" w:color="000080"/>
            </w:tcBorders>
          </w:tcPr>
          <w:p w14:paraId="786FBC39" w14:textId="77777777" w:rsidR="008E7527" w:rsidRDefault="00D947BD" w:rsidP="00AB71A5">
            <w:pPr>
              <w:keepNext/>
              <w:keepLines/>
              <w:spacing w:before="40" w:after="40"/>
              <w:jc w:val="right"/>
            </w:pPr>
            <w:r>
              <w:t>2020-21</w:t>
            </w:r>
          </w:p>
        </w:tc>
        <w:tc>
          <w:tcPr>
            <w:tcW w:w="1099" w:type="dxa"/>
            <w:tcBorders>
              <w:top w:val="single" w:sz="4" w:space="0" w:color="000080"/>
              <w:bottom w:val="single" w:sz="4" w:space="0" w:color="000080"/>
            </w:tcBorders>
          </w:tcPr>
          <w:p w14:paraId="7194D0B0" w14:textId="77777777" w:rsidR="008E7527" w:rsidRDefault="008E7527" w:rsidP="00AB71A5">
            <w:pPr>
              <w:keepNext/>
              <w:keepLines/>
              <w:spacing w:before="40" w:after="40"/>
              <w:jc w:val="right"/>
            </w:pPr>
            <w:r>
              <w:t>Total</w:t>
            </w:r>
          </w:p>
        </w:tc>
      </w:tr>
      <w:tr w:rsidR="008E7527" w14:paraId="3D5806CD" w14:textId="77777777" w:rsidTr="00660C79">
        <w:trPr>
          <w:cantSplit/>
        </w:trPr>
        <w:tc>
          <w:tcPr>
            <w:tcW w:w="4786" w:type="dxa"/>
          </w:tcPr>
          <w:p w14:paraId="0A5DF9F8" w14:textId="77777777" w:rsidR="008E7527" w:rsidRPr="005B4C1B" w:rsidRDefault="008E7527" w:rsidP="00AB71A5">
            <w:pPr>
              <w:keepNext/>
              <w:keepLines/>
              <w:spacing w:before="60" w:after="60"/>
              <w:rPr>
                <w:b/>
              </w:rPr>
            </w:pPr>
            <w:r w:rsidRPr="005B4C1B">
              <w:rPr>
                <w:b/>
              </w:rPr>
              <w:t>Estimated total budget</w:t>
            </w:r>
          </w:p>
        </w:tc>
        <w:tc>
          <w:tcPr>
            <w:tcW w:w="992" w:type="dxa"/>
            <w:tcBorders>
              <w:top w:val="single" w:sz="4" w:space="0" w:color="000080"/>
            </w:tcBorders>
          </w:tcPr>
          <w:p w14:paraId="524B5544" w14:textId="77777777" w:rsidR="008E7527" w:rsidRPr="00D46C66" w:rsidRDefault="0095485E" w:rsidP="00AB71A5">
            <w:pPr>
              <w:keepNext/>
              <w:keepLines/>
              <w:spacing w:before="40" w:after="40"/>
              <w:jc w:val="right"/>
              <w:rPr>
                <w:b/>
              </w:rPr>
            </w:pPr>
            <w:r w:rsidRPr="00D46C66">
              <w:rPr>
                <w:b/>
              </w:rPr>
              <w:t>15</w:t>
            </w:r>
            <w:r w:rsidR="0037043C" w:rsidRPr="00D46C66">
              <w:rPr>
                <w:b/>
              </w:rPr>
              <w:t>.7</w:t>
            </w:r>
          </w:p>
        </w:tc>
        <w:tc>
          <w:tcPr>
            <w:tcW w:w="993" w:type="dxa"/>
            <w:tcBorders>
              <w:top w:val="single" w:sz="4" w:space="0" w:color="000080"/>
            </w:tcBorders>
          </w:tcPr>
          <w:p w14:paraId="2F12F80E" w14:textId="77777777" w:rsidR="008E7527" w:rsidRPr="00D46C66" w:rsidRDefault="0095485E" w:rsidP="00AB71A5">
            <w:pPr>
              <w:keepNext/>
              <w:keepLines/>
              <w:spacing w:before="40" w:after="40"/>
              <w:jc w:val="right"/>
              <w:rPr>
                <w:b/>
              </w:rPr>
            </w:pPr>
            <w:r w:rsidRPr="00D46C66">
              <w:rPr>
                <w:b/>
              </w:rPr>
              <w:t>15</w:t>
            </w:r>
            <w:r w:rsidR="0037043C" w:rsidRPr="00D46C66">
              <w:rPr>
                <w:b/>
              </w:rPr>
              <w:t>.9</w:t>
            </w:r>
          </w:p>
        </w:tc>
        <w:tc>
          <w:tcPr>
            <w:tcW w:w="992" w:type="dxa"/>
            <w:tcBorders>
              <w:top w:val="single" w:sz="4" w:space="0" w:color="000080"/>
            </w:tcBorders>
          </w:tcPr>
          <w:p w14:paraId="05C30F93" w14:textId="77777777" w:rsidR="008E7527" w:rsidRPr="00A36CE7" w:rsidRDefault="0095485E" w:rsidP="00AB71A5">
            <w:pPr>
              <w:keepNext/>
              <w:keepLines/>
              <w:spacing w:before="40" w:after="40"/>
              <w:jc w:val="right"/>
              <w:rPr>
                <w:b/>
              </w:rPr>
            </w:pPr>
            <w:r w:rsidRPr="00A36CE7">
              <w:rPr>
                <w:b/>
              </w:rPr>
              <w:t>16</w:t>
            </w:r>
            <w:r w:rsidR="0037043C" w:rsidRPr="00A36CE7">
              <w:rPr>
                <w:b/>
              </w:rPr>
              <w:t>.</w:t>
            </w:r>
            <w:r w:rsidR="00A01D12" w:rsidRPr="00A36CE7">
              <w:rPr>
                <w:b/>
              </w:rPr>
              <w:t>1</w:t>
            </w:r>
          </w:p>
        </w:tc>
        <w:tc>
          <w:tcPr>
            <w:tcW w:w="992" w:type="dxa"/>
            <w:tcBorders>
              <w:top w:val="single" w:sz="4" w:space="0" w:color="000080"/>
            </w:tcBorders>
          </w:tcPr>
          <w:p w14:paraId="27392FC1" w14:textId="77777777" w:rsidR="008E7527" w:rsidRPr="00A36CE7" w:rsidRDefault="0095485E" w:rsidP="00AB71A5">
            <w:pPr>
              <w:keepNext/>
              <w:keepLines/>
              <w:spacing w:before="40" w:after="40"/>
              <w:jc w:val="right"/>
              <w:rPr>
                <w:b/>
              </w:rPr>
            </w:pPr>
            <w:r w:rsidRPr="00A36CE7">
              <w:rPr>
                <w:b/>
              </w:rPr>
              <w:t>16</w:t>
            </w:r>
            <w:r w:rsidR="0037043C" w:rsidRPr="00A36CE7">
              <w:rPr>
                <w:b/>
              </w:rPr>
              <w:t>.4</w:t>
            </w:r>
          </w:p>
        </w:tc>
        <w:tc>
          <w:tcPr>
            <w:tcW w:w="1099" w:type="dxa"/>
            <w:tcBorders>
              <w:top w:val="single" w:sz="4" w:space="0" w:color="000080"/>
            </w:tcBorders>
          </w:tcPr>
          <w:p w14:paraId="57E9BF2D" w14:textId="77777777" w:rsidR="008E7527" w:rsidRPr="005B4C1B" w:rsidRDefault="00A90BA5" w:rsidP="00AB71A5">
            <w:pPr>
              <w:keepNext/>
              <w:keepLines/>
              <w:spacing w:before="40" w:after="40"/>
              <w:jc w:val="right"/>
              <w:rPr>
                <w:b/>
              </w:rPr>
            </w:pPr>
            <w:r>
              <w:rPr>
                <w:b/>
              </w:rPr>
              <w:t>64</w:t>
            </w:r>
            <w:r w:rsidR="00D947BD">
              <w:rPr>
                <w:b/>
              </w:rPr>
              <w:t>.3</w:t>
            </w:r>
            <w:r w:rsidR="00D947BD" w:rsidRPr="00D947BD">
              <w:rPr>
                <w:b/>
                <w:vertAlign w:val="superscript"/>
              </w:rPr>
              <w:t>(a)</w:t>
            </w:r>
          </w:p>
        </w:tc>
      </w:tr>
      <w:tr w:rsidR="008E7527" w14:paraId="30E85D32" w14:textId="77777777" w:rsidTr="00660C79">
        <w:trPr>
          <w:cantSplit/>
        </w:trPr>
        <w:tc>
          <w:tcPr>
            <w:tcW w:w="4786" w:type="dxa"/>
          </w:tcPr>
          <w:p w14:paraId="7509BE10" w14:textId="77777777" w:rsidR="008E7527" w:rsidRDefault="008E7527" w:rsidP="00AB71A5">
            <w:pPr>
              <w:keepNext/>
              <w:keepLines/>
              <w:spacing w:before="60" w:after="60"/>
            </w:pPr>
            <w:r>
              <w:t>Less estimated National Partnership Payments</w:t>
            </w:r>
          </w:p>
          <w:p w14:paraId="11CD529E" w14:textId="77777777" w:rsidR="00D947BD" w:rsidRPr="004D1F58" w:rsidRDefault="00D947BD" w:rsidP="00824089">
            <w:pPr>
              <w:keepNext/>
              <w:keepLines/>
              <w:spacing w:before="60" w:afterLines="40" w:after="96"/>
              <w:ind w:left="709"/>
            </w:pPr>
            <w:r w:rsidRPr="004D1F58">
              <w:t>New South Wales</w:t>
            </w:r>
          </w:p>
          <w:p w14:paraId="0CE732F8" w14:textId="77777777" w:rsidR="00D947BD" w:rsidRPr="004D1F58" w:rsidRDefault="00D947BD" w:rsidP="00824089">
            <w:pPr>
              <w:keepNext/>
              <w:keepLines/>
              <w:spacing w:before="60" w:afterLines="40" w:after="96"/>
            </w:pPr>
            <w:r w:rsidRPr="004D1F58">
              <w:tab/>
              <w:t>Victoria</w:t>
            </w:r>
          </w:p>
          <w:p w14:paraId="1C9B1715" w14:textId="77777777" w:rsidR="00D947BD" w:rsidRPr="004D1F58" w:rsidRDefault="00D947BD" w:rsidP="00824089">
            <w:pPr>
              <w:keepNext/>
              <w:keepLines/>
              <w:spacing w:before="60" w:afterLines="40" w:after="96"/>
            </w:pPr>
            <w:r w:rsidRPr="004D1F58">
              <w:tab/>
              <w:t>Queensland</w:t>
            </w:r>
          </w:p>
          <w:p w14:paraId="04D142F2" w14:textId="77777777" w:rsidR="00D947BD" w:rsidRPr="004D1F58" w:rsidRDefault="00D947BD" w:rsidP="00824089">
            <w:pPr>
              <w:keepNext/>
              <w:keepLines/>
              <w:spacing w:before="60" w:afterLines="40" w:after="96"/>
              <w:jc w:val="left"/>
            </w:pPr>
            <w:r w:rsidRPr="004D1F58">
              <w:tab/>
              <w:t>Western Australia</w:t>
            </w:r>
            <w:r w:rsidRPr="004D1F58">
              <w:br/>
            </w:r>
            <w:r w:rsidRPr="004D1F58">
              <w:tab/>
              <w:t>South Australia</w:t>
            </w:r>
          </w:p>
          <w:p w14:paraId="6B01E7DF" w14:textId="77777777" w:rsidR="00D947BD" w:rsidRPr="004D1F58" w:rsidRDefault="00D947BD" w:rsidP="00824089">
            <w:pPr>
              <w:keepNext/>
              <w:keepLines/>
              <w:tabs>
                <w:tab w:val="left" w:pos="720"/>
                <w:tab w:val="left" w:pos="1440"/>
                <w:tab w:val="left" w:pos="2300"/>
              </w:tabs>
              <w:spacing w:before="60" w:afterLines="40" w:after="96"/>
              <w:jc w:val="left"/>
            </w:pPr>
            <w:r w:rsidRPr="004D1F58">
              <w:tab/>
              <w:t>Tasmania</w:t>
            </w:r>
          </w:p>
          <w:p w14:paraId="43294B6D" w14:textId="77777777" w:rsidR="00D947BD" w:rsidRPr="004D1F58" w:rsidRDefault="00D947BD" w:rsidP="00824089">
            <w:pPr>
              <w:keepNext/>
              <w:keepLines/>
              <w:spacing w:before="60" w:afterLines="40" w:after="96"/>
              <w:jc w:val="left"/>
            </w:pPr>
            <w:r w:rsidRPr="004D1F58">
              <w:tab/>
              <w:t>ACT</w:t>
            </w:r>
          </w:p>
          <w:p w14:paraId="746028AB" w14:textId="784B7856" w:rsidR="00824089" w:rsidRDefault="00D947BD" w:rsidP="00824089">
            <w:pPr>
              <w:keepNext/>
              <w:keepLines/>
              <w:spacing w:before="60" w:afterLines="40" w:after="96"/>
              <w:jc w:val="left"/>
            </w:pPr>
            <w:r w:rsidRPr="004D1F58">
              <w:tab/>
              <w:t>NT</w:t>
            </w:r>
          </w:p>
          <w:p w14:paraId="28052F5E" w14:textId="77777777" w:rsidR="00D947BD" w:rsidRPr="004A673A" w:rsidRDefault="00824089" w:rsidP="00824089">
            <w:pPr>
              <w:keepNext/>
              <w:keepLines/>
              <w:spacing w:before="60" w:afterLines="40" w:after="96"/>
              <w:ind w:left="709"/>
              <w:jc w:val="left"/>
            </w:pPr>
            <w:r>
              <w:t>Subtotal</w:t>
            </w:r>
          </w:p>
        </w:tc>
        <w:tc>
          <w:tcPr>
            <w:tcW w:w="992" w:type="dxa"/>
            <w:tcBorders>
              <w:bottom w:val="single" w:sz="4" w:space="0" w:color="000080"/>
            </w:tcBorders>
          </w:tcPr>
          <w:p w14:paraId="69F6FDBE" w14:textId="77777777" w:rsidR="00D947BD" w:rsidRPr="00D46C66" w:rsidRDefault="00D947BD" w:rsidP="00824089">
            <w:pPr>
              <w:keepNext/>
              <w:keepLines/>
              <w:spacing w:before="40" w:afterLines="40" w:after="96"/>
              <w:jc w:val="right"/>
            </w:pPr>
          </w:p>
          <w:p w14:paraId="43713EA3" w14:textId="77777777" w:rsidR="008E7527" w:rsidRPr="00D46C66" w:rsidRDefault="0089350C" w:rsidP="00824089">
            <w:pPr>
              <w:keepNext/>
              <w:keepLines/>
              <w:spacing w:before="40" w:afterLines="40" w:after="96"/>
              <w:jc w:val="right"/>
            </w:pPr>
            <w:r w:rsidRPr="00D46C66">
              <w:t>4.7</w:t>
            </w:r>
          </w:p>
          <w:p w14:paraId="6A7CBA2B" w14:textId="77777777" w:rsidR="0037043C" w:rsidRPr="00D46C66" w:rsidRDefault="0089350C" w:rsidP="00824089">
            <w:pPr>
              <w:keepNext/>
              <w:keepLines/>
              <w:spacing w:before="40" w:afterLines="40" w:after="96"/>
              <w:jc w:val="right"/>
            </w:pPr>
            <w:r w:rsidRPr="00D46C66">
              <w:t>3.7</w:t>
            </w:r>
          </w:p>
          <w:p w14:paraId="4DFF0459" w14:textId="77777777" w:rsidR="00D947BD" w:rsidRPr="00D46C66" w:rsidRDefault="0089350C" w:rsidP="00824089">
            <w:pPr>
              <w:keepNext/>
              <w:keepLines/>
              <w:spacing w:before="40" w:afterLines="40" w:after="96"/>
              <w:jc w:val="right"/>
            </w:pPr>
            <w:r w:rsidRPr="00D46C66">
              <w:t>3.0</w:t>
            </w:r>
          </w:p>
          <w:p w14:paraId="4B56A66B" w14:textId="77777777" w:rsidR="00660C79" w:rsidRPr="00D46C66" w:rsidRDefault="0089350C" w:rsidP="00824089">
            <w:pPr>
              <w:keepNext/>
              <w:keepLines/>
              <w:spacing w:before="40" w:afterLines="40" w:after="96"/>
              <w:jc w:val="right"/>
            </w:pPr>
            <w:r w:rsidRPr="00D46C66">
              <w:t>1.6</w:t>
            </w:r>
          </w:p>
          <w:p w14:paraId="563B39C7" w14:textId="77777777" w:rsidR="00660C79" w:rsidRPr="00D46C66" w:rsidRDefault="0089350C" w:rsidP="00824089">
            <w:pPr>
              <w:keepNext/>
              <w:keepLines/>
              <w:spacing w:before="40" w:afterLines="40" w:after="96"/>
              <w:jc w:val="right"/>
            </w:pPr>
            <w:r w:rsidRPr="00D46C66">
              <w:t>1.0</w:t>
            </w:r>
          </w:p>
          <w:p w14:paraId="39245824" w14:textId="77777777" w:rsidR="00660C79" w:rsidRPr="00D46C66" w:rsidRDefault="0089350C" w:rsidP="00824089">
            <w:pPr>
              <w:keepNext/>
              <w:keepLines/>
              <w:spacing w:before="40" w:afterLines="40" w:after="96"/>
              <w:jc w:val="right"/>
            </w:pPr>
            <w:r w:rsidRPr="00D46C66">
              <w:t>0.3</w:t>
            </w:r>
          </w:p>
          <w:p w14:paraId="4256368B" w14:textId="77777777" w:rsidR="00660C79" w:rsidRPr="00D46C66" w:rsidRDefault="0089350C" w:rsidP="00824089">
            <w:pPr>
              <w:keepNext/>
              <w:keepLines/>
              <w:spacing w:before="40" w:afterLines="40" w:after="96"/>
              <w:jc w:val="right"/>
            </w:pPr>
            <w:r w:rsidRPr="00D46C66">
              <w:t>0.2</w:t>
            </w:r>
          </w:p>
          <w:p w14:paraId="007747B2" w14:textId="77777777" w:rsidR="00660C79" w:rsidRPr="00D46C66" w:rsidRDefault="0089350C" w:rsidP="00824089">
            <w:pPr>
              <w:keepNext/>
              <w:keepLines/>
              <w:spacing w:before="40" w:afterLines="40" w:after="96"/>
              <w:jc w:val="right"/>
            </w:pPr>
            <w:r w:rsidRPr="00D46C66">
              <w:t>0.2</w:t>
            </w:r>
          </w:p>
          <w:p w14:paraId="7B0618EE" w14:textId="77777777" w:rsidR="0095485E" w:rsidRPr="00D46C66" w:rsidRDefault="0095485E" w:rsidP="00824089">
            <w:pPr>
              <w:keepNext/>
              <w:keepLines/>
              <w:spacing w:before="40" w:afterLines="40" w:after="96"/>
              <w:jc w:val="right"/>
            </w:pPr>
            <w:r w:rsidRPr="00D46C66">
              <w:t>14.7</w:t>
            </w:r>
          </w:p>
        </w:tc>
        <w:tc>
          <w:tcPr>
            <w:tcW w:w="993" w:type="dxa"/>
            <w:tcBorders>
              <w:bottom w:val="single" w:sz="4" w:space="0" w:color="000080"/>
            </w:tcBorders>
          </w:tcPr>
          <w:p w14:paraId="33F7552E" w14:textId="77777777" w:rsidR="00D947BD" w:rsidRPr="00D46C66" w:rsidRDefault="00D947BD" w:rsidP="00824089">
            <w:pPr>
              <w:keepNext/>
              <w:keepLines/>
              <w:spacing w:before="40" w:afterLines="40" w:after="96"/>
              <w:jc w:val="right"/>
            </w:pPr>
          </w:p>
          <w:p w14:paraId="328B882C" w14:textId="77777777" w:rsidR="008E7527" w:rsidRPr="00D46C66" w:rsidRDefault="00660C79" w:rsidP="00824089">
            <w:pPr>
              <w:keepNext/>
              <w:keepLines/>
              <w:spacing w:before="40" w:afterLines="40" w:after="96"/>
              <w:jc w:val="right"/>
            </w:pPr>
            <w:r w:rsidRPr="00D46C66">
              <w:t>4.8</w:t>
            </w:r>
          </w:p>
          <w:p w14:paraId="2DF3DE3F" w14:textId="77777777" w:rsidR="00660C79" w:rsidRPr="00D46C66" w:rsidRDefault="00660C79" w:rsidP="00824089">
            <w:pPr>
              <w:keepNext/>
              <w:keepLines/>
              <w:spacing w:before="40" w:afterLines="40" w:after="96"/>
              <w:jc w:val="right"/>
            </w:pPr>
            <w:r w:rsidRPr="00D46C66">
              <w:t>3.8</w:t>
            </w:r>
          </w:p>
          <w:p w14:paraId="7FA1DDB1" w14:textId="77777777" w:rsidR="00660C79" w:rsidRPr="00D46C66" w:rsidRDefault="00660C79" w:rsidP="00824089">
            <w:pPr>
              <w:keepNext/>
              <w:keepLines/>
              <w:spacing w:before="40" w:afterLines="40" w:after="96"/>
              <w:jc w:val="right"/>
            </w:pPr>
            <w:r w:rsidRPr="00D46C66">
              <w:t>3.0</w:t>
            </w:r>
          </w:p>
          <w:p w14:paraId="7FC2C216" w14:textId="77777777" w:rsidR="00660C79" w:rsidRPr="00D46C66" w:rsidRDefault="00660C79" w:rsidP="00824089">
            <w:pPr>
              <w:keepNext/>
              <w:keepLines/>
              <w:spacing w:before="40" w:afterLines="40" w:after="96"/>
              <w:jc w:val="right"/>
            </w:pPr>
            <w:r w:rsidRPr="00D46C66">
              <w:t>1.6</w:t>
            </w:r>
          </w:p>
          <w:p w14:paraId="6D9CD0AF" w14:textId="77777777" w:rsidR="00660C79" w:rsidRPr="00D46C66" w:rsidRDefault="00660C79" w:rsidP="00824089">
            <w:pPr>
              <w:keepNext/>
              <w:keepLines/>
              <w:spacing w:before="40" w:afterLines="40" w:after="96"/>
              <w:jc w:val="right"/>
            </w:pPr>
            <w:r w:rsidRPr="00D46C66">
              <w:t>1.1</w:t>
            </w:r>
          </w:p>
          <w:p w14:paraId="33FEABCE" w14:textId="77777777" w:rsidR="00660C79" w:rsidRPr="00D46C66" w:rsidRDefault="00660C79" w:rsidP="00824089">
            <w:pPr>
              <w:keepNext/>
              <w:keepLines/>
              <w:spacing w:before="40" w:afterLines="40" w:after="96"/>
              <w:jc w:val="right"/>
            </w:pPr>
            <w:r w:rsidRPr="00D46C66">
              <w:t>0.3</w:t>
            </w:r>
          </w:p>
          <w:p w14:paraId="4C11DCC5" w14:textId="77777777" w:rsidR="00660C79" w:rsidRPr="00D46C66" w:rsidRDefault="00660C79" w:rsidP="00824089">
            <w:pPr>
              <w:keepNext/>
              <w:keepLines/>
              <w:spacing w:before="40" w:afterLines="40" w:after="96"/>
              <w:jc w:val="right"/>
            </w:pPr>
            <w:r w:rsidRPr="00D46C66">
              <w:t>0.2</w:t>
            </w:r>
          </w:p>
          <w:p w14:paraId="644F50B9" w14:textId="77777777" w:rsidR="00660C79" w:rsidRPr="00D46C66" w:rsidRDefault="00660C79" w:rsidP="00824089">
            <w:pPr>
              <w:keepNext/>
              <w:keepLines/>
              <w:spacing w:before="40" w:afterLines="40" w:after="96"/>
              <w:jc w:val="right"/>
            </w:pPr>
            <w:r w:rsidRPr="00D46C66">
              <w:t>0.2</w:t>
            </w:r>
          </w:p>
          <w:p w14:paraId="51D8BD45" w14:textId="77777777" w:rsidR="0095485E" w:rsidRPr="00D46C66" w:rsidRDefault="0095485E" w:rsidP="00824089">
            <w:pPr>
              <w:keepNext/>
              <w:keepLines/>
              <w:spacing w:before="40" w:afterLines="40" w:after="96"/>
              <w:jc w:val="right"/>
            </w:pPr>
            <w:r w:rsidRPr="00D46C66">
              <w:t>14.9</w:t>
            </w:r>
          </w:p>
        </w:tc>
        <w:tc>
          <w:tcPr>
            <w:tcW w:w="992" w:type="dxa"/>
            <w:tcBorders>
              <w:bottom w:val="single" w:sz="4" w:space="0" w:color="000080"/>
            </w:tcBorders>
          </w:tcPr>
          <w:p w14:paraId="02E1E7C5" w14:textId="77777777" w:rsidR="00D947BD" w:rsidRPr="00A36CE7" w:rsidRDefault="00D947BD" w:rsidP="00824089">
            <w:pPr>
              <w:keepNext/>
              <w:keepLines/>
              <w:spacing w:before="40" w:afterLines="40" w:after="96"/>
              <w:jc w:val="right"/>
            </w:pPr>
          </w:p>
          <w:p w14:paraId="2F853307" w14:textId="77777777" w:rsidR="008E7527" w:rsidRPr="00A36CE7" w:rsidRDefault="00660C79" w:rsidP="00824089">
            <w:pPr>
              <w:keepNext/>
              <w:keepLines/>
              <w:spacing w:before="40" w:afterLines="40" w:after="96"/>
              <w:jc w:val="right"/>
            </w:pPr>
            <w:r w:rsidRPr="00A36CE7">
              <w:t>4.9</w:t>
            </w:r>
          </w:p>
          <w:p w14:paraId="240371CF" w14:textId="77777777" w:rsidR="00660C79" w:rsidRPr="00A36CE7" w:rsidRDefault="00660C79" w:rsidP="00824089">
            <w:pPr>
              <w:keepNext/>
              <w:keepLines/>
              <w:spacing w:before="40" w:afterLines="40" w:after="96"/>
              <w:jc w:val="right"/>
            </w:pPr>
            <w:r w:rsidRPr="00A36CE7">
              <w:t>3.8</w:t>
            </w:r>
          </w:p>
          <w:p w14:paraId="3331C9A6" w14:textId="77777777" w:rsidR="00660C79" w:rsidRPr="00A36CE7" w:rsidRDefault="00DE639B" w:rsidP="00824089">
            <w:pPr>
              <w:keepNext/>
              <w:keepLines/>
              <w:spacing w:before="40" w:afterLines="40" w:after="96"/>
              <w:jc w:val="right"/>
            </w:pPr>
            <w:r w:rsidRPr="00A36CE7">
              <w:t>3.0</w:t>
            </w:r>
          </w:p>
          <w:p w14:paraId="1811A8AB" w14:textId="77777777" w:rsidR="00660C79" w:rsidRPr="00A36CE7" w:rsidRDefault="00660C79" w:rsidP="00824089">
            <w:pPr>
              <w:keepNext/>
              <w:keepLines/>
              <w:spacing w:before="40" w:afterLines="40" w:after="96"/>
              <w:jc w:val="right"/>
            </w:pPr>
            <w:r w:rsidRPr="00A36CE7">
              <w:t>1.6</w:t>
            </w:r>
          </w:p>
          <w:p w14:paraId="788066E8" w14:textId="77777777" w:rsidR="00660C79" w:rsidRPr="00A36CE7" w:rsidRDefault="00660C79" w:rsidP="00824089">
            <w:pPr>
              <w:keepNext/>
              <w:keepLines/>
              <w:spacing w:before="40" w:afterLines="40" w:after="96"/>
              <w:jc w:val="right"/>
            </w:pPr>
            <w:r w:rsidRPr="00A36CE7">
              <w:t>1.1</w:t>
            </w:r>
          </w:p>
          <w:p w14:paraId="70F8DAB9" w14:textId="77777777" w:rsidR="00660C79" w:rsidRPr="00A36CE7" w:rsidRDefault="00660C79" w:rsidP="00824089">
            <w:pPr>
              <w:keepNext/>
              <w:keepLines/>
              <w:spacing w:before="40" w:afterLines="40" w:after="96"/>
              <w:jc w:val="right"/>
            </w:pPr>
            <w:r w:rsidRPr="00A36CE7">
              <w:t>0.3</w:t>
            </w:r>
          </w:p>
          <w:p w14:paraId="15EBE292" w14:textId="77777777" w:rsidR="00660C79" w:rsidRPr="00A36CE7" w:rsidRDefault="00660C79" w:rsidP="00824089">
            <w:pPr>
              <w:keepNext/>
              <w:keepLines/>
              <w:spacing w:before="40" w:afterLines="40" w:after="96"/>
              <w:jc w:val="right"/>
            </w:pPr>
            <w:r w:rsidRPr="00A36CE7">
              <w:t>0.2</w:t>
            </w:r>
          </w:p>
          <w:p w14:paraId="155FBC28" w14:textId="77777777" w:rsidR="00660C79" w:rsidRPr="00A36CE7" w:rsidRDefault="00660C79" w:rsidP="00824089">
            <w:pPr>
              <w:keepNext/>
              <w:keepLines/>
              <w:spacing w:before="40" w:afterLines="40" w:after="96"/>
              <w:jc w:val="right"/>
            </w:pPr>
            <w:r w:rsidRPr="00A36CE7">
              <w:t>0.2</w:t>
            </w:r>
          </w:p>
          <w:p w14:paraId="14C1F817" w14:textId="77777777" w:rsidR="0095485E" w:rsidRPr="00A36CE7" w:rsidRDefault="0095485E" w:rsidP="00824089">
            <w:pPr>
              <w:keepNext/>
              <w:keepLines/>
              <w:spacing w:before="40" w:afterLines="40" w:after="96"/>
              <w:jc w:val="right"/>
            </w:pPr>
            <w:r w:rsidRPr="00A36CE7">
              <w:t>15.</w:t>
            </w:r>
            <w:r w:rsidR="00A01D12" w:rsidRPr="00A36CE7">
              <w:t>1</w:t>
            </w:r>
          </w:p>
        </w:tc>
        <w:tc>
          <w:tcPr>
            <w:tcW w:w="992" w:type="dxa"/>
            <w:tcBorders>
              <w:bottom w:val="single" w:sz="4" w:space="0" w:color="000080"/>
            </w:tcBorders>
          </w:tcPr>
          <w:p w14:paraId="70574E9D" w14:textId="77777777" w:rsidR="00D947BD" w:rsidRPr="00A36CE7" w:rsidRDefault="00D947BD" w:rsidP="00824089">
            <w:pPr>
              <w:keepNext/>
              <w:keepLines/>
              <w:spacing w:before="40" w:afterLines="40" w:after="96"/>
              <w:jc w:val="right"/>
            </w:pPr>
          </w:p>
          <w:p w14:paraId="606FC915" w14:textId="77777777" w:rsidR="008E7527" w:rsidRPr="00A36CE7" w:rsidRDefault="00660C79" w:rsidP="00824089">
            <w:pPr>
              <w:keepNext/>
              <w:keepLines/>
              <w:spacing w:before="40" w:afterLines="40" w:after="96"/>
              <w:jc w:val="right"/>
            </w:pPr>
            <w:r w:rsidRPr="00A36CE7">
              <w:t>4.9</w:t>
            </w:r>
          </w:p>
          <w:p w14:paraId="3B82019F" w14:textId="77777777" w:rsidR="00660C79" w:rsidRPr="00A36CE7" w:rsidRDefault="00660C79" w:rsidP="00824089">
            <w:pPr>
              <w:keepNext/>
              <w:keepLines/>
              <w:spacing w:before="40" w:afterLines="40" w:after="96"/>
              <w:jc w:val="right"/>
            </w:pPr>
            <w:r w:rsidRPr="00A36CE7">
              <w:t>3.9</w:t>
            </w:r>
          </w:p>
          <w:p w14:paraId="0585062F" w14:textId="77777777" w:rsidR="00660C79" w:rsidRPr="00A36CE7" w:rsidRDefault="00660C79" w:rsidP="00824089">
            <w:pPr>
              <w:keepNext/>
              <w:keepLines/>
              <w:spacing w:before="40" w:afterLines="40" w:after="96"/>
              <w:jc w:val="right"/>
            </w:pPr>
            <w:r w:rsidRPr="00A36CE7">
              <w:t>3.1</w:t>
            </w:r>
          </w:p>
          <w:p w14:paraId="5B4AEF3F" w14:textId="77777777" w:rsidR="00660C79" w:rsidRPr="00A36CE7" w:rsidRDefault="00660C79" w:rsidP="00824089">
            <w:pPr>
              <w:keepNext/>
              <w:keepLines/>
              <w:spacing w:before="40" w:afterLines="40" w:after="96"/>
              <w:jc w:val="right"/>
            </w:pPr>
            <w:r w:rsidRPr="00A36CE7">
              <w:t>1.7</w:t>
            </w:r>
          </w:p>
          <w:p w14:paraId="64C92A3D" w14:textId="77777777" w:rsidR="00660C79" w:rsidRPr="00A36CE7" w:rsidRDefault="00660C79" w:rsidP="00824089">
            <w:pPr>
              <w:keepNext/>
              <w:keepLines/>
              <w:spacing w:before="40" w:afterLines="40" w:after="96"/>
              <w:jc w:val="right"/>
            </w:pPr>
            <w:r w:rsidRPr="00A36CE7">
              <w:t>1.1</w:t>
            </w:r>
          </w:p>
          <w:p w14:paraId="146644A6" w14:textId="77777777" w:rsidR="00660C79" w:rsidRPr="00A36CE7" w:rsidRDefault="00660C79" w:rsidP="00824089">
            <w:pPr>
              <w:keepNext/>
              <w:keepLines/>
              <w:spacing w:before="40" w:afterLines="40" w:after="96"/>
              <w:jc w:val="right"/>
            </w:pPr>
            <w:r w:rsidRPr="00A36CE7">
              <w:t>0.3</w:t>
            </w:r>
          </w:p>
          <w:p w14:paraId="326449A8" w14:textId="77777777" w:rsidR="00660C79" w:rsidRPr="00A36CE7" w:rsidRDefault="00A01D12" w:rsidP="00824089">
            <w:pPr>
              <w:keepNext/>
              <w:keepLines/>
              <w:spacing w:before="40" w:afterLines="40" w:after="96"/>
              <w:jc w:val="right"/>
            </w:pPr>
            <w:r w:rsidRPr="00A36CE7">
              <w:t>0.3</w:t>
            </w:r>
          </w:p>
          <w:p w14:paraId="4C6A7218" w14:textId="77777777" w:rsidR="00660C79" w:rsidRPr="00A36CE7" w:rsidRDefault="00660C79" w:rsidP="00824089">
            <w:pPr>
              <w:keepNext/>
              <w:keepLines/>
              <w:spacing w:before="40" w:afterLines="40" w:after="96"/>
              <w:jc w:val="right"/>
            </w:pPr>
            <w:r w:rsidRPr="00A36CE7">
              <w:t>0.2</w:t>
            </w:r>
          </w:p>
          <w:p w14:paraId="2AA7E82C" w14:textId="77777777" w:rsidR="0095485E" w:rsidRPr="00A36CE7" w:rsidRDefault="0095485E" w:rsidP="00824089">
            <w:pPr>
              <w:keepNext/>
              <w:keepLines/>
              <w:spacing w:before="40" w:afterLines="40" w:after="96"/>
              <w:jc w:val="right"/>
            </w:pPr>
            <w:r w:rsidRPr="00A36CE7">
              <w:t>15.4</w:t>
            </w:r>
          </w:p>
        </w:tc>
        <w:tc>
          <w:tcPr>
            <w:tcW w:w="1099" w:type="dxa"/>
            <w:tcBorders>
              <w:bottom w:val="single" w:sz="4" w:space="0" w:color="000080"/>
            </w:tcBorders>
          </w:tcPr>
          <w:p w14:paraId="0682B794" w14:textId="77777777" w:rsidR="00D947BD" w:rsidRDefault="00D947BD" w:rsidP="00824089">
            <w:pPr>
              <w:keepNext/>
              <w:keepLines/>
              <w:spacing w:before="40" w:afterLines="40" w:after="96"/>
              <w:jc w:val="right"/>
            </w:pPr>
          </w:p>
          <w:p w14:paraId="5FC96934" w14:textId="77777777" w:rsidR="008E7527" w:rsidRPr="00DE639B" w:rsidRDefault="00C07A08" w:rsidP="00824089">
            <w:pPr>
              <w:keepNext/>
              <w:keepLines/>
              <w:spacing w:before="40" w:afterLines="40" w:after="96"/>
              <w:jc w:val="right"/>
            </w:pPr>
            <w:r w:rsidRPr="00DE639B">
              <w:t>19</w:t>
            </w:r>
            <w:r w:rsidR="00660C79" w:rsidRPr="00DE639B">
              <w:t>.</w:t>
            </w:r>
            <w:r w:rsidRPr="00DE639B">
              <w:t>3</w:t>
            </w:r>
          </w:p>
          <w:p w14:paraId="4CD5D1D2" w14:textId="77777777" w:rsidR="00660C79" w:rsidRPr="00DE639B" w:rsidRDefault="00DE639B" w:rsidP="00824089">
            <w:pPr>
              <w:keepNext/>
              <w:keepLines/>
              <w:spacing w:before="40" w:afterLines="40" w:after="96"/>
              <w:jc w:val="right"/>
            </w:pPr>
            <w:r w:rsidRPr="00DE639B">
              <w:t>15.1</w:t>
            </w:r>
          </w:p>
          <w:p w14:paraId="41DF4EA3" w14:textId="77777777" w:rsidR="00660C79" w:rsidRPr="00DE639B" w:rsidRDefault="00C07A08" w:rsidP="00824089">
            <w:pPr>
              <w:keepNext/>
              <w:keepLines/>
              <w:spacing w:before="40" w:afterLines="40" w:after="96"/>
              <w:jc w:val="right"/>
            </w:pPr>
            <w:r w:rsidRPr="00DE639B">
              <w:t>12.1</w:t>
            </w:r>
          </w:p>
          <w:p w14:paraId="2ED8ABE4" w14:textId="77777777" w:rsidR="00660C79" w:rsidRPr="00DE639B" w:rsidRDefault="00C07A08" w:rsidP="00824089">
            <w:pPr>
              <w:keepNext/>
              <w:keepLines/>
              <w:spacing w:before="40" w:afterLines="40" w:after="96"/>
              <w:jc w:val="right"/>
            </w:pPr>
            <w:r w:rsidRPr="00DE639B">
              <w:t>6.5</w:t>
            </w:r>
          </w:p>
          <w:p w14:paraId="49471A27" w14:textId="77777777" w:rsidR="00660C79" w:rsidRPr="00DE639B" w:rsidRDefault="00C07A08" w:rsidP="00824089">
            <w:pPr>
              <w:keepNext/>
              <w:keepLines/>
              <w:spacing w:before="40" w:afterLines="40" w:after="96"/>
              <w:jc w:val="right"/>
            </w:pPr>
            <w:r w:rsidRPr="00DE639B">
              <w:t>4.3</w:t>
            </w:r>
          </w:p>
          <w:p w14:paraId="47C31938" w14:textId="77777777" w:rsidR="00660C79" w:rsidRPr="00DE639B" w:rsidRDefault="00C07A08" w:rsidP="00824089">
            <w:pPr>
              <w:keepNext/>
              <w:keepLines/>
              <w:spacing w:before="40" w:afterLines="40" w:after="96"/>
              <w:jc w:val="right"/>
            </w:pPr>
            <w:r w:rsidRPr="00DE639B">
              <w:t>1.3</w:t>
            </w:r>
          </w:p>
          <w:p w14:paraId="22AB4506" w14:textId="77777777" w:rsidR="00660C79" w:rsidRPr="00DE639B" w:rsidRDefault="00C07A08" w:rsidP="00824089">
            <w:pPr>
              <w:keepNext/>
              <w:keepLines/>
              <w:spacing w:before="40" w:afterLines="40" w:after="96"/>
              <w:jc w:val="right"/>
            </w:pPr>
            <w:r w:rsidRPr="00DE639B">
              <w:t>1.0</w:t>
            </w:r>
          </w:p>
          <w:p w14:paraId="1F83BC31" w14:textId="77777777" w:rsidR="00660C79" w:rsidRPr="00DE639B" w:rsidRDefault="00C07A08" w:rsidP="00824089">
            <w:pPr>
              <w:keepNext/>
              <w:keepLines/>
              <w:spacing w:before="40" w:afterLines="40" w:after="96"/>
              <w:jc w:val="right"/>
            </w:pPr>
            <w:r w:rsidRPr="00DE639B">
              <w:t>0.6</w:t>
            </w:r>
          </w:p>
          <w:p w14:paraId="1BD76272" w14:textId="77777777" w:rsidR="0095485E" w:rsidRPr="005B4C1B" w:rsidRDefault="0095485E" w:rsidP="00824089">
            <w:pPr>
              <w:keepNext/>
              <w:keepLines/>
              <w:spacing w:before="40" w:afterLines="40" w:after="96"/>
              <w:jc w:val="right"/>
            </w:pPr>
            <w:r w:rsidRPr="00DE639B">
              <w:t>60.2</w:t>
            </w:r>
          </w:p>
        </w:tc>
      </w:tr>
      <w:tr w:rsidR="00D947BD" w14:paraId="40DD4FF4" w14:textId="77777777" w:rsidTr="00660C79">
        <w:trPr>
          <w:cantSplit/>
        </w:trPr>
        <w:tc>
          <w:tcPr>
            <w:tcW w:w="4786" w:type="dxa"/>
          </w:tcPr>
          <w:p w14:paraId="5D4C2054" w14:textId="77777777" w:rsidR="00D947BD" w:rsidRDefault="00D947BD" w:rsidP="005B0CC1">
            <w:pPr>
              <w:keepNext/>
              <w:keepLines/>
              <w:spacing w:before="40" w:after="40"/>
            </w:pPr>
            <w:r w:rsidRPr="00696842">
              <w:t>Common</w:t>
            </w:r>
            <w:r w:rsidR="005B0CC1">
              <w:t>wealth Own-Purpose Expenses</w:t>
            </w:r>
          </w:p>
        </w:tc>
        <w:tc>
          <w:tcPr>
            <w:tcW w:w="992" w:type="dxa"/>
            <w:tcBorders>
              <w:bottom w:val="single" w:sz="4" w:space="0" w:color="000080"/>
            </w:tcBorders>
          </w:tcPr>
          <w:p w14:paraId="4C811633" w14:textId="77777777" w:rsidR="00D947BD" w:rsidRPr="005B4C1B" w:rsidRDefault="00A90BA5" w:rsidP="00AB71A5">
            <w:pPr>
              <w:keepNext/>
              <w:keepLines/>
              <w:spacing w:before="40" w:after="40"/>
              <w:jc w:val="right"/>
            </w:pPr>
            <w:r>
              <w:t>1.</w:t>
            </w:r>
            <w:r w:rsidR="0095485E">
              <w:t>0</w:t>
            </w:r>
          </w:p>
        </w:tc>
        <w:tc>
          <w:tcPr>
            <w:tcW w:w="993" w:type="dxa"/>
            <w:tcBorders>
              <w:bottom w:val="single" w:sz="4" w:space="0" w:color="000080"/>
            </w:tcBorders>
          </w:tcPr>
          <w:p w14:paraId="0F3D7AA5" w14:textId="77777777" w:rsidR="00D947BD" w:rsidRPr="005B4C1B" w:rsidRDefault="00A90BA5" w:rsidP="00AB71A5">
            <w:pPr>
              <w:keepNext/>
              <w:keepLines/>
              <w:spacing w:before="40" w:after="40"/>
              <w:jc w:val="right"/>
            </w:pPr>
            <w:r>
              <w:t>1.0</w:t>
            </w:r>
          </w:p>
        </w:tc>
        <w:tc>
          <w:tcPr>
            <w:tcW w:w="992" w:type="dxa"/>
            <w:tcBorders>
              <w:bottom w:val="single" w:sz="4" w:space="0" w:color="000080"/>
            </w:tcBorders>
          </w:tcPr>
          <w:p w14:paraId="4496D6CB" w14:textId="77777777" w:rsidR="00D947BD" w:rsidRPr="005B4C1B" w:rsidRDefault="00A90BA5" w:rsidP="00AB71A5">
            <w:pPr>
              <w:keepNext/>
              <w:keepLines/>
              <w:spacing w:before="40" w:after="40"/>
              <w:jc w:val="right"/>
            </w:pPr>
            <w:r>
              <w:t>1.0</w:t>
            </w:r>
          </w:p>
        </w:tc>
        <w:tc>
          <w:tcPr>
            <w:tcW w:w="992" w:type="dxa"/>
            <w:tcBorders>
              <w:bottom w:val="single" w:sz="4" w:space="0" w:color="000080"/>
            </w:tcBorders>
          </w:tcPr>
          <w:p w14:paraId="69BB1531" w14:textId="77777777" w:rsidR="00D947BD" w:rsidRPr="005B4C1B" w:rsidRDefault="00A90BA5" w:rsidP="00AB71A5">
            <w:pPr>
              <w:keepNext/>
              <w:keepLines/>
              <w:spacing w:before="40" w:after="40"/>
              <w:jc w:val="right"/>
            </w:pPr>
            <w:r>
              <w:t>1.</w:t>
            </w:r>
            <w:r w:rsidR="0095485E">
              <w:t>1</w:t>
            </w:r>
          </w:p>
        </w:tc>
        <w:tc>
          <w:tcPr>
            <w:tcW w:w="1099" w:type="dxa"/>
            <w:tcBorders>
              <w:bottom w:val="single" w:sz="4" w:space="0" w:color="000080"/>
            </w:tcBorders>
          </w:tcPr>
          <w:p w14:paraId="4928E4C6" w14:textId="77777777" w:rsidR="00D947BD" w:rsidRPr="005B4C1B" w:rsidRDefault="00A90BA5" w:rsidP="00AB71A5">
            <w:pPr>
              <w:keepNext/>
              <w:keepLines/>
              <w:spacing w:before="40" w:after="40"/>
              <w:jc w:val="right"/>
            </w:pPr>
            <w:r>
              <w:t>4.1</w:t>
            </w:r>
            <w:r w:rsidR="009121E1" w:rsidRPr="009121E1">
              <w:rPr>
                <w:vertAlign w:val="superscript"/>
              </w:rPr>
              <w:t>(b)</w:t>
            </w:r>
            <w:r w:rsidR="009121E1">
              <w:t xml:space="preserve"> </w:t>
            </w:r>
          </w:p>
        </w:tc>
      </w:tr>
      <w:tr w:rsidR="008E7527" w14:paraId="0146D8A5" w14:textId="77777777" w:rsidTr="00660C79">
        <w:trPr>
          <w:cantSplit/>
        </w:trPr>
        <w:tc>
          <w:tcPr>
            <w:tcW w:w="4786" w:type="dxa"/>
            <w:tcBorders>
              <w:bottom w:val="single" w:sz="4" w:space="0" w:color="000080"/>
            </w:tcBorders>
          </w:tcPr>
          <w:p w14:paraId="05511D2F" w14:textId="77777777" w:rsidR="008E7527" w:rsidRPr="006146F2" w:rsidRDefault="008E7527" w:rsidP="0089350C">
            <w:pPr>
              <w:keepNext/>
              <w:keepLines/>
              <w:spacing w:before="40" w:after="40"/>
            </w:pPr>
            <w:r w:rsidRPr="006146F2">
              <w:t>Balance of non-Commonwealth contribution</w:t>
            </w:r>
            <w:r>
              <w:t>s</w:t>
            </w:r>
            <w:r w:rsidR="00D947BD">
              <w:t xml:space="preserve"> </w:t>
            </w:r>
          </w:p>
        </w:tc>
        <w:tc>
          <w:tcPr>
            <w:tcW w:w="992" w:type="dxa"/>
            <w:tcBorders>
              <w:bottom w:val="single" w:sz="4" w:space="0" w:color="000080"/>
            </w:tcBorders>
          </w:tcPr>
          <w:p w14:paraId="13D949E0" w14:textId="77777777" w:rsidR="008E7527" w:rsidRDefault="008E7527" w:rsidP="00AB71A5">
            <w:pPr>
              <w:keepNext/>
              <w:keepLines/>
              <w:spacing w:before="40" w:after="40"/>
              <w:jc w:val="right"/>
            </w:pPr>
            <w:r>
              <w:t>0.0</w:t>
            </w:r>
            <w:r w:rsidR="00660C79">
              <w:t>.</w:t>
            </w:r>
          </w:p>
        </w:tc>
        <w:tc>
          <w:tcPr>
            <w:tcW w:w="993" w:type="dxa"/>
            <w:tcBorders>
              <w:bottom w:val="single" w:sz="4" w:space="0" w:color="000080"/>
            </w:tcBorders>
          </w:tcPr>
          <w:p w14:paraId="11F3D9E3" w14:textId="77777777" w:rsidR="008E7527" w:rsidRDefault="008E7527" w:rsidP="00AB71A5">
            <w:pPr>
              <w:keepNext/>
              <w:keepLines/>
              <w:spacing w:before="40" w:after="40"/>
              <w:jc w:val="right"/>
            </w:pPr>
            <w:r>
              <w:t>0.0</w:t>
            </w:r>
          </w:p>
        </w:tc>
        <w:tc>
          <w:tcPr>
            <w:tcW w:w="992" w:type="dxa"/>
            <w:tcBorders>
              <w:bottom w:val="single" w:sz="4" w:space="0" w:color="000080"/>
            </w:tcBorders>
          </w:tcPr>
          <w:p w14:paraId="52FAA631" w14:textId="77777777" w:rsidR="008E7527" w:rsidRDefault="00D947BD" w:rsidP="00AB71A5">
            <w:pPr>
              <w:keepNext/>
              <w:keepLines/>
              <w:spacing w:before="40" w:after="40"/>
              <w:jc w:val="right"/>
            </w:pPr>
            <w:r>
              <w:t>0.0</w:t>
            </w:r>
          </w:p>
        </w:tc>
        <w:tc>
          <w:tcPr>
            <w:tcW w:w="992" w:type="dxa"/>
            <w:tcBorders>
              <w:bottom w:val="single" w:sz="4" w:space="0" w:color="000080"/>
            </w:tcBorders>
          </w:tcPr>
          <w:p w14:paraId="74C67FA3" w14:textId="77777777" w:rsidR="008E7527" w:rsidRDefault="00D947BD" w:rsidP="00AB71A5">
            <w:pPr>
              <w:keepNext/>
              <w:keepLines/>
              <w:spacing w:before="40" w:after="40"/>
              <w:jc w:val="right"/>
            </w:pPr>
            <w:r>
              <w:t>0.0</w:t>
            </w:r>
          </w:p>
        </w:tc>
        <w:tc>
          <w:tcPr>
            <w:tcW w:w="1099" w:type="dxa"/>
            <w:tcBorders>
              <w:bottom w:val="single" w:sz="4" w:space="0" w:color="000080"/>
            </w:tcBorders>
          </w:tcPr>
          <w:p w14:paraId="7E1B883F" w14:textId="77777777" w:rsidR="008E7527" w:rsidRDefault="00D947BD" w:rsidP="00E76E73">
            <w:pPr>
              <w:keepNext/>
              <w:keepLines/>
              <w:spacing w:before="40" w:after="40"/>
              <w:jc w:val="right"/>
            </w:pPr>
            <w:r>
              <w:t>0.0</w:t>
            </w:r>
          </w:p>
        </w:tc>
      </w:tr>
    </w:tbl>
    <w:p w14:paraId="15F1D9E2" w14:textId="77777777" w:rsidR="00D947BD" w:rsidRPr="00F1442F" w:rsidRDefault="00D947BD" w:rsidP="00D947BD">
      <w:pPr>
        <w:pStyle w:val="ChartandTableFootnoteAlpha"/>
        <w:rPr>
          <w:rFonts w:ascii="Corbel" w:hAnsi="Corbel"/>
        </w:rPr>
      </w:pPr>
      <w:r w:rsidRPr="00F1442F">
        <w:rPr>
          <w:rFonts w:ascii="Corbel" w:hAnsi="Corbel"/>
        </w:rPr>
        <w:t xml:space="preserve">Estimates may </w:t>
      </w:r>
      <w:r w:rsidR="00C3762D" w:rsidRPr="00F1442F">
        <w:rPr>
          <w:rFonts w:ascii="Corbel" w:hAnsi="Corbel"/>
        </w:rPr>
        <w:t>not add</w:t>
      </w:r>
      <w:r w:rsidRPr="00F1442F">
        <w:rPr>
          <w:rFonts w:ascii="Corbel" w:hAnsi="Corbel"/>
        </w:rPr>
        <w:t xml:space="preserve"> due to rounding.</w:t>
      </w:r>
    </w:p>
    <w:p w14:paraId="7A405F75" w14:textId="77777777" w:rsidR="00FF5052" w:rsidRPr="00F1442F" w:rsidRDefault="009121E1" w:rsidP="00FF5052">
      <w:pPr>
        <w:pStyle w:val="ChartandTableFootnoteAlpha"/>
        <w:rPr>
          <w:rFonts w:ascii="Corbel" w:hAnsi="Corbel"/>
        </w:rPr>
      </w:pPr>
      <w:r w:rsidRPr="00F1442F">
        <w:rPr>
          <w:rFonts w:ascii="Corbel" w:hAnsi="Corbel"/>
        </w:rPr>
        <w:t xml:space="preserve">Funding for the BreastScreen Australia </w:t>
      </w:r>
      <w:r w:rsidR="00215F48" w:rsidRPr="00F1442F">
        <w:rPr>
          <w:rFonts w:ascii="Corbel" w:hAnsi="Corbel"/>
        </w:rPr>
        <w:t>E</w:t>
      </w:r>
      <w:r w:rsidRPr="00F1442F">
        <w:rPr>
          <w:rFonts w:ascii="Corbel" w:hAnsi="Corbel"/>
        </w:rPr>
        <w:t>xpansion</w:t>
      </w:r>
      <w:r w:rsidR="00215F48" w:rsidRPr="00F1442F">
        <w:rPr>
          <w:rFonts w:ascii="Corbel" w:hAnsi="Corbel"/>
        </w:rPr>
        <w:t xml:space="preserve"> Evaluation</w:t>
      </w:r>
      <w:r w:rsidR="00483CDD" w:rsidRPr="00F1442F">
        <w:rPr>
          <w:rFonts w:ascii="Corbel" w:hAnsi="Corbel"/>
        </w:rPr>
        <w:t xml:space="preserve"> and research activities</w:t>
      </w:r>
      <w:r w:rsidR="00A613BC">
        <w:rPr>
          <w:rFonts w:ascii="Corbel" w:hAnsi="Corbel"/>
        </w:rPr>
        <w:t xml:space="preserve"> to support quality improvement</w:t>
      </w:r>
      <w:r w:rsidR="00483CDD" w:rsidRPr="00F1442F">
        <w:rPr>
          <w:rFonts w:ascii="Corbel" w:hAnsi="Corbel"/>
        </w:rPr>
        <w:t>.</w:t>
      </w:r>
    </w:p>
    <w:p w14:paraId="129B053A" w14:textId="77777777" w:rsidR="00D947BD" w:rsidRDefault="00D947BD" w:rsidP="00D947BD">
      <w:pPr>
        <w:pStyle w:val="Normalnumbered"/>
        <w:numPr>
          <w:ilvl w:val="0"/>
          <w:numId w:val="0"/>
        </w:numPr>
        <w:ind w:left="567"/>
      </w:pPr>
    </w:p>
    <w:p w14:paraId="60244B93" w14:textId="77777777" w:rsidR="008E7527" w:rsidRDefault="008E7527" w:rsidP="00603538">
      <w:pPr>
        <w:pStyle w:val="Normalnumbered"/>
        <w:numPr>
          <w:ilvl w:val="0"/>
          <w:numId w:val="10"/>
        </w:numPr>
        <w:jc w:val="left"/>
      </w:pPr>
      <w:r w:rsidRPr="00C738BD">
        <w:t xml:space="preserve">Having regard to the agreed estimated costs of projects specified in </w:t>
      </w:r>
      <w:r w:rsidR="006B43AF">
        <w:t>this</w:t>
      </w:r>
      <w:r>
        <w:t xml:space="preserve"> Agreement</w:t>
      </w:r>
      <w:r w:rsidRPr="00C738BD">
        <w:t>, a State or Territory will not be required to pay a refund to the Commonwealth if the actual cost of the project is less than the agreed</w:t>
      </w:r>
      <w:r w:rsidR="00515AF2">
        <w:t xml:space="preserve"> estimated cost of the project.  </w:t>
      </w:r>
      <w:r w:rsidRPr="00C738BD">
        <w:t>Similarly, the States</w:t>
      </w:r>
      <w:r>
        <w:t xml:space="preserve"> </w:t>
      </w:r>
      <w:r w:rsidRPr="00C738BD">
        <w:t>bear all risk should the costs of a project exceed the agreed estimated cost</w:t>
      </w:r>
      <w:r>
        <w:t>s.</w:t>
      </w:r>
      <w:r w:rsidRPr="00C738BD">
        <w:t xml:space="preserve"> </w:t>
      </w:r>
      <w:r w:rsidR="005B0CC1">
        <w:t xml:space="preserve"> </w:t>
      </w:r>
      <w:r w:rsidRPr="00C738BD">
        <w:t>The Parties acknowledge that this arrangement provides the maximum incentive for the States to deliver projects cost effectively and efficiently.</w:t>
      </w:r>
    </w:p>
    <w:p w14:paraId="6B742782" w14:textId="77777777" w:rsidR="00814667" w:rsidRDefault="003A2157">
      <w:pPr>
        <w:pStyle w:val="Heading1"/>
      </w:pPr>
      <w:bookmarkStart w:id="1" w:name="top"/>
      <w:bookmarkEnd w:id="1"/>
      <w:r>
        <w:t xml:space="preserve">Part </w:t>
      </w:r>
      <w:r w:rsidR="000B4080">
        <w:t>6</w:t>
      </w:r>
      <w:r w:rsidR="00814667">
        <w:t xml:space="preserve"> — governance arrangements</w:t>
      </w:r>
    </w:p>
    <w:p w14:paraId="621C8FA6" w14:textId="77777777" w:rsidR="00BC4728" w:rsidRDefault="00BC4728" w:rsidP="00BC4728">
      <w:pPr>
        <w:pStyle w:val="Heading2"/>
      </w:pPr>
      <w:r w:rsidRPr="006F096A">
        <w:t>Enforceability of the Agreement</w:t>
      </w:r>
    </w:p>
    <w:p w14:paraId="7CBFC305" w14:textId="77777777" w:rsidR="00BC4728" w:rsidRPr="0076659C" w:rsidRDefault="00BC4728" w:rsidP="00603538">
      <w:pPr>
        <w:pStyle w:val="Normalnumbered"/>
        <w:numPr>
          <w:ilvl w:val="0"/>
          <w:numId w:val="10"/>
        </w:numPr>
        <w:spacing w:line="240" w:lineRule="auto"/>
        <w:jc w:val="left"/>
      </w:pPr>
      <w:r>
        <w:rPr>
          <w:szCs w:val="23"/>
        </w:rPr>
        <w:t>The Parties do not intend any of the provisions of this Agreement to be legally enforceable. However, that does not lessen the Parties’ commitment to this Agreement.</w:t>
      </w:r>
    </w:p>
    <w:p w14:paraId="63A99059" w14:textId="77777777" w:rsidR="00814667" w:rsidRDefault="00814667">
      <w:pPr>
        <w:pStyle w:val="Heading2"/>
      </w:pPr>
      <w:r>
        <w:t>Variation of the Agreement</w:t>
      </w:r>
    </w:p>
    <w:p w14:paraId="7B1397FF" w14:textId="77777777" w:rsidR="00814667" w:rsidRPr="00DE36EB" w:rsidRDefault="00607B03" w:rsidP="00603538">
      <w:pPr>
        <w:pStyle w:val="Normalnumbered"/>
        <w:numPr>
          <w:ilvl w:val="0"/>
          <w:numId w:val="10"/>
        </w:numPr>
        <w:jc w:val="left"/>
      </w:pPr>
      <w:r>
        <w:t>The A</w:t>
      </w:r>
      <w:r w:rsidR="00814667">
        <w:t xml:space="preserve">greement may be amended at any </w:t>
      </w:r>
      <w:r w:rsidR="008C4739">
        <w:t xml:space="preserve">time by agreement in writing by </w:t>
      </w:r>
      <w:r w:rsidR="00814667" w:rsidRPr="00DE36EB">
        <w:t>all the Parties.</w:t>
      </w:r>
    </w:p>
    <w:p w14:paraId="39BB0088" w14:textId="77777777" w:rsidR="00292587" w:rsidRDefault="00F07DCF" w:rsidP="00603538">
      <w:pPr>
        <w:pStyle w:val="Normalnumbered"/>
        <w:numPr>
          <w:ilvl w:val="0"/>
          <w:numId w:val="10"/>
        </w:numPr>
        <w:jc w:val="left"/>
      </w:pPr>
      <w:r w:rsidRPr="00DE36EB">
        <w:lastRenderedPageBreak/>
        <w:t xml:space="preserve"> </w:t>
      </w:r>
      <w:r w:rsidR="00C2605C" w:rsidRPr="00DE36EB">
        <w:t xml:space="preserve">A </w:t>
      </w:r>
      <w:r w:rsidR="00814667" w:rsidRPr="00DE36EB">
        <w:t>Party to the Agreement may terminate their part</w:t>
      </w:r>
      <w:r w:rsidR="00814667">
        <w:t xml:space="preserve">icipation in the Agreement at any time by notifying all </w:t>
      </w:r>
      <w:r w:rsidR="00C2605C">
        <w:t xml:space="preserve">Parties </w:t>
      </w:r>
      <w:r w:rsidR="00814667">
        <w:t>in writing.</w:t>
      </w:r>
    </w:p>
    <w:p w14:paraId="561034A7" w14:textId="77777777" w:rsidR="009526E4" w:rsidRDefault="009526E4" w:rsidP="0036119D">
      <w:pPr>
        <w:pStyle w:val="Heading2"/>
      </w:pPr>
      <w:r>
        <w:t>Delegations</w:t>
      </w:r>
    </w:p>
    <w:p w14:paraId="46C0BCF0" w14:textId="77777777" w:rsidR="009526E4" w:rsidRDefault="009526E4" w:rsidP="00603538">
      <w:pPr>
        <w:pStyle w:val="Normalnumbered"/>
        <w:numPr>
          <w:ilvl w:val="0"/>
          <w:numId w:val="10"/>
        </w:numPr>
        <w:jc w:val="left"/>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6B1D2DF5" w14:textId="77777777" w:rsidR="0036119D" w:rsidRDefault="0036119D" w:rsidP="0036119D">
      <w:pPr>
        <w:pStyle w:val="Heading2"/>
      </w:pPr>
      <w:r>
        <w:t>Dispute resolution</w:t>
      </w:r>
    </w:p>
    <w:p w14:paraId="597909FC" w14:textId="77777777" w:rsidR="0036119D" w:rsidRPr="00DE36EB" w:rsidRDefault="0036119D" w:rsidP="00603538">
      <w:pPr>
        <w:pStyle w:val="Normalnumbered"/>
        <w:numPr>
          <w:ilvl w:val="0"/>
          <w:numId w:val="10"/>
        </w:numPr>
        <w:jc w:val="left"/>
      </w:pPr>
      <w:r w:rsidRPr="00DE36EB">
        <w:t>Any Party may give notice to other Parties of a dispute under this Agreement.</w:t>
      </w:r>
    </w:p>
    <w:p w14:paraId="1380FDAA" w14:textId="77777777" w:rsidR="0036119D" w:rsidRPr="00DE36EB" w:rsidRDefault="0036119D" w:rsidP="00603538">
      <w:pPr>
        <w:pStyle w:val="Normalnumbered"/>
        <w:numPr>
          <w:ilvl w:val="0"/>
          <w:numId w:val="10"/>
        </w:numPr>
        <w:jc w:val="left"/>
      </w:pPr>
      <w:r w:rsidRPr="00DE36EB">
        <w:t>Officials of relevant Parties will attempt to resolve any dispute in the first instance.</w:t>
      </w:r>
    </w:p>
    <w:p w14:paraId="56901290" w14:textId="77777777" w:rsidR="003623FB" w:rsidRDefault="0036119D" w:rsidP="00F30D9D">
      <w:pPr>
        <w:pStyle w:val="Normalnumbered"/>
        <w:numPr>
          <w:ilvl w:val="0"/>
          <w:numId w:val="10"/>
        </w:numPr>
        <w:jc w:val="left"/>
      </w:pPr>
      <w:r w:rsidRPr="00DE36EB">
        <w:t>If a dispute cannot be resolved by officials, it may be escalated to the relevant Ministers.</w:t>
      </w:r>
    </w:p>
    <w:p w14:paraId="7024F3CE" w14:textId="77777777" w:rsidR="00B112EA" w:rsidRPr="00B112EA" w:rsidRDefault="00B112EA" w:rsidP="00B112EA">
      <w:pPr>
        <w:pStyle w:val="Heading2"/>
      </w:pPr>
      <w:r>
        <w:t>Interpretation</w:t>
      </w:r>
    </w:p>
    <w:p w14:paraId="54AA0957" w14:textId="77777777" w:rsidR="00B112EA" w:rsidRDefault="00B112EA" w:rsidP="00B112EA">
      <w:pPr>
        <w:pStyle w:val="Normalnumbered"/>
        <w:numPr>
          <w:ilvl w:val="0"/>
          <w:numId w:val="10"/>
        </w:numPr>
        <w:jc w:val="left"/>
      </w:pPr>
      <w:r>
        <w:t>For the purposes of this Agreement:</w:t>
      </w:r>
    </w:p>
    <w:p w14:paraId="1A3530D7" w14:textId="62DDCBAF" w:rsidR="00B112EA" w:rsidRDefault="00465568" w:rsidP="007E633C">
      <w:pPr>
        <w:pStyle w:val="Normalnumbered"/>
        <w:numPr>
          <w:ilvl w:val="0"/>
          <w:numId w:val="35"/>
        </w:numPr>
        <w:ind w:left="1134" w:hanging="567"/>
        <w:jc w:val="left"/>
      </w:pPr>
      <w:r w:rsidRPr="00465568">
        <w:rPr>
          <w:b/>
        </w:rPr>
        <w:t>Women 70- 74 years of age</w:t>
      </w:r>
      <w:r>
        <w:t xml:space="preserve"> are women in</w:t>
      </w:r>
      <w:r w:rsidR="00DA3050">
        <w:t xml:space="preserve"> the 70-74 year old</w:t>
      </w:r>
      <w:r w:rsidR="00B112EA">
        <w:t xml:space="preserve"> cohort </w:t>
      </w:r>
      <w:r w:rsidR="00DA3050">
        <w:t>who</w:t>
      </w:r>
      <w:r w:rsidR="00B112EA">
        <w:t xml:space="preserve"> are </w:t>
      </w:r>
      <w:r w:rsidR="00670E58">
        <w:t>eligible</w:t>
      </w:r>
      <w:r w:rsidR="00DA3050">
        <w:t xml:space="preserve"> to participate in the</w:t>
      </w:r>
      <w:r w:rsidR="002B7020">
        <w:t xml:space="preserve"> BreastScreen Australia</w:t>
      </w:r>
      <w:r w:rsidR="00DA3050">
        <w:t xml:space="preserve"> program</w:t>
      </w:r>
      <w:r w:rsidR="007E633C">
        <w:t>.  This</w:t>
      </w:r>
      <w:r w:rsidR="00DA3050">
        <w:t xml:space="preserve"> excludes </w:t>
      </w:r>
      <w:r>
        <w:t xml:space="preserve">women with a previous diagnosis of breast cancer within the past five years, women </w:t>
      </w:r>
      <w:r w:rsidR="002B7020">
        <w:t xml:space="preserve">who have </w:t>
      </w:r>
      <w:r w:rsidR="007E633C">
        <w:t xml:space="preserve">been </w:t>
      </w:r>
      <w:r w:rsidR="002B7020">
        <w:t>screened</w:t>
      </w:r>
      <w:r>
        <w:t xml:space="preserve"> in the previous 23 months and </w:t>
      </w:r>
      <w:r w:rsidR="007E633C">
        <w:t xml:space="preserve">women who are excluded due to </w:t>
      </w:r>
      <w:r w:rsidR="00BE3EA9">
        <w:t>other ineligibility criteria</w:t>
      </w:r>
    </w:p>
    <w:p w14:paraId="71DBE4D8" w14:textId="77777777" w:rsidR="00BE3EA9" w:rsidRDefault="00BE3EA9" w:rsidP="007E633C">
      <w:pPr>
        <w:pStyle w:val="Normalnumbered"/>
        <w:numPr>
          <w:ilvl w:val="0"/>
          <w:numId w:val="35"/>
        </w:numPr>
        <w:ind w:left="1134" w:hanging="567"/>
        <w:jc w:val="left"/>
        <w:sectPr w:rsidR="00BE3EA9" w:rsidSect="00910D15">
          <w:headerReference w:type="even" r:id="rId15"/>
          <w:headerReference w:type="default" r:id="rId16"/>
          <w:footerReference w:type="even" r:id="rId17"/>
          <w:footerReference w:type="default" r:id="rId18"/>
          <w:headerReference w:type="first" r:id="rId19"/>
          <w:footerReference w:type="first" r:id="rId20"/>
          <w:pgSz w:w="11906" w:h="16838" w:code="9"/>
          <w:pgMar w:top="851" w:right="1134" w:bottom="851" w:left="1134" w:header="709" w:footer="709" w:gutter="0"/>
          <w:pgNumType w:start="0" w:chapStyle="9"/>
          <w:cols w:space="708"/>
          <w:titlePg/>
          <w:docGrid w:linePitch="360"/>
        </w:sectPr>
      </w:pPr>
    </w:p>
    <w:p w14:paraId="059F609B" w14:textId="77777777"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14:paraId="329D8F21" w14:textId="77777777" w:rsidTr="009D2406">
        <w:trPr>
          <w:cantSplit/>
          <w:trHeight w:val="2742"/>
          <w:jc w:val="center"/>
        </w:trPr>
        <w:tc>
          <w:tcPr>
            <w:tcW w:w="4536" w:type="dxa"/>
          </w:tcPr>
          <w:p w14:paraId="4E49CC23" w14:textId="77777777" w:rsidR="00814667" w:rsidRPr="004A0AE7" w:rsidRDefault="00814667">
            <w:pPr>
              <w:pStyle w:val="Signed"/>
            </w:pPr>
            <w:r>
              <w:rPr>
                <w:rStyle w:val="SignedBold"/>
              </w:rPr>
              <w:t>Signed</w:t>
            </w:r>
            <w:r w:rsidRPr="004A0AE7">
              <w:t xml:space="preserve"> for and on behalf of the</w:t>
            </w:r>
            <w:r>
              <w:t xml:space="preserve"> </w:t>
            </w:r>
            <w:r w:rsidRPr="004A0AE7">
              <w:t>Commonwealth of Australia by</w:t>
            </w:r>
          </w:p>
          <w:p w14:paraId="00292C8A" w14:textId="77777777" w:rsidR="00814667" w:rsidRPr="00A50751" w:rsidRDefault="00814667">
            <w:pPr>
              <w:pStyle w:val="LineForSignature"/>
            </w:pPr>
            <w:r>
              <w:tab/>
            </w:r>
          </w:p>
          <w:p w14:paraId="469E6B18" w14:textId="77777777" w:rsidR="00814667" w:rsidRDefault="00814667">
            <w:pPr>
              <w:pStyle w:val="SingleParagraph"/>
              <w:rPr>
                <w:rStyle w:val="Bold"/>
              </w:rPr>
            </w:pPr>
            <w:r>
              <w:rPr>
                <w:rStyle w:val="Bold"/>
              </w:rPr>
              <w:t xml:space="preserve">The Honourable </w:t>
            </w:r>
            <w:r w:rsidR="00F07DCF">
              <w:rPr>
                <w:rStyle w:val="Bold"/>
              </w:rPr>
              <w:t>Greg Hunt</w:t>
            </w:r>
            <w:r w:rsidR="0099742A">
              <w:rPr>
                <w:rStyle w:val="Bold"/>
              </w:rPr>
              <w:t xml:space="preserve"> </w:t>
            </w:r>
            <w:r>
              <w:rPr>
                <w:rStyle w:val="Bold"/>
              </w:rPr>
              <w:t>MP</w:t>
            </w:r>
          </w:p>
          <w:p w14:paraId="467F6411" w14:textId="2259B005" w:rsidR="00814667" w:rsidRDefault="00F07DCF">
            <w:pPr>
              <w:pStyle w:val="Position"/>
              <w:rPr>
                <w:lang w:val="en-GB"/>
              </w:rPr>
            </w:pPr>
            <w:r>
              <w:rPr>
                <w:lang w:val="en-GB"/>
              </w:rPr>
              <w:t>Minister for Health</w:t>
            </w:r>
          </w:p>
          <w:p w14:paraId="3BCB3B51" w14:textId="1E5DDC82" w:rsidR="00C44613" w:rsidRDefault="009D2406" w:rsidP="00103363">
            <w:pPr>
              <w:pStyle w:val="SingleParagraph"/>
              <w:tabs>
                <w:tab w:val="left" w:pos="-2517"/>
              </w:tabs>
              <w:spacing w:after="240"/>
              <w:ind w:left="1452" w:firstLine="3"/>
              <w:jc w:val="left"/>
              <w:rPr>
                <w:b/>
                <w:lang w:val="en-GB"/>
              </w:rPr>
            </w:pPr>
            <w:r w:rsidRPr="00771F77">
              <w:rPr>
                <w:b/>
                <w:lang w:val="en-GB"/>
              </w:rPr>
              <w:t>/           /</w:t>
            </w:r>
          </w:p>
        </w:tc>
        <w:tc>
          <w:tcPr>
            <w:tcW w:w="284" w:type="dxa"/>
            <w:tcMar>
              <w:left w:w="0" w:type="dxa"/>
              <w:right w:w="0" w:type="dxa"/>
            </w:tcMar>
          </w:tcPr>
          <w:p w14:paraId="7EAF587B" w14:textId="77777777" w:rsidR="00814667" w:rsidRPr="00A50751" w:rsidRDefault="00814667">
            <w:pPr>
              <w:rPr>
                <w:rFonts w:ascii="Book Antiqua" w:hAnsi="Book Antiqua"/>
                <w:lang w:val="en-GB"/>
              </w:rPr>
            </w:pPr>
          </w:p>
        </w:tc>
        <w:tc>
          <w:tcPr>
            <w:tcW w:w="4536" w:type="dxa"/>
          </w:tcPr>
          <w:p w14:paraId="27E26085" w14:textId="77777777" w:rsidR="00814667" w:rsidRPr="00A50751" w:rsidRDefault="00814667" w:rsidP="00103363">
            <w:pPr>
              <w:ind w:left="1594"/>
              <w:rPr>
                <w:rFonts w:ascii="Book Antiqua" w:hAnsi="Book Antiqua"/>
                <w:lang w:val="en-GB"/>
              </w:rPr>
            </w:pPr>
          </w:p>
        </w:tc>
      </w:tr>
      <w:tr w:rsidR="00814667" w:rsidRPr="00A50751" w14:paraId="0F2CC708" w14:textId="77777777" w:rsidTr="00103363">
        <w:trPr>
          <w:cantSplit/>
          <w:trHeight w:val="2695"/>
          <w:jc w:val="center"/>
        </w:trPr>
        <w:tc>
          <w:tcPr>
            <w:tcW w:w="4536" w:type="dxa"/>
          </w:tcPr>
          <w:p w14:paraId="6188C365" w14:textId="77777777" w:rsidR="00814667" w:rsidRPr="004A0AE7" w:rsidRDefault="00814667">
            <w:pPr>
              <w:pStyle w:val="Signed"/>
            </w:pPr>
            <w:r>
              <w:rPr>
                <w:rStyle w:val="SignedBold"/>
              </w:rPr>
              <w:t>Signed</w:t>
            </w:r>
            <w:r w:rsidRPr="004A0AE7">
              <w:t xml:space="preserve"> for and on behalf of the</w:t>
            </w:r>
            <w:r>
              <w:t xml:space="preserve"> </w:t>
            </w:r>
            <w:r w:rsidRPr="004A0AE7">
              <w:br/>
              <w:t>State of New South Wales by</w:t>
            </w:r>
          </w:p>
          <w:p w14:paraId="56BCF4CC" w14:textId="77777777" w:rsidR="00814667" w:rsidRPr="00A50751" w:rsidRDefault="00814667">
            <w:pPr>
              <w:pStyle w:val="LineForSignature"/>
            </w:pPr>
            <w:r w:rsidRPr="00A50751">
              <w:tab/>
            </w:r>
          </w:p>
          <w:p w14:paraId="2A0820A9" w14:textId="77777777" w:rsidR="00814667" w:rsidRDefault="00F07DCF">
            <w:pPr>
              <w:pStyle w:val="SingleParagraph"/>
              <w:rPr>
                <w:rStyle w:val="Bold"/>
              </w:rPr>
            </w:pPr>
            <w:r>
              <w:rPr>
                <w:rStyle w:val="Bold"/>
              </w:rPr>
              <w:t>The Honourable Brad Hazzard</w:t>
            </w:r>
            <w:r w:rsidR="0099742A">
              <w:rPr>
                <w:rStyle w:val="Bold"/>
              </w:rPr>
              <w:t xml:space="preserve"> </w:t>
            </w:r>
            <w:r w:rsidR="00814667">
              <w:rPr>
                <w:rStyle w:val="Bold"/>
              </w:rPr>
              <w:t>MP</w:t>
            </w:r>
          </w:p>
          <w:p w14:paraId="14D9B21D" w14:textId="51166073" w:rsidR="00766CEE" w:rsidRDefault="00542A8C" w:rsidP="009859BE">
            <w:pPr>
              <w:pStyle w:val="Position"/>
              <w:jc w:val="left"/>
              <w:rPr>
                <w:lang w:val="en-GB"/>
              </w:rPr>
            </w:pPr>
            <w:r>
              <w:rPr>
                <w:lang w:val="en-GB"/>
              </w:rPr>
              <w:t xml:space="preserve">Minister for </w:t>
            </w:r>
            <w:r w:rsidR="00F07DCF">
              <w:rPr>
                <w:lang w:val="en-GB"/>
              </w:rPr>
              <w:t>Health</w:t>
            </w:r>
          </w:p>
          <w:p w14:paraId="7E92B748" w14:textId="77777777" w:rsidR="00814667" w:rsidRDefault="00103363" w:rsidP="00A36CE7">
            <w:pPr>
              <w:pStyle w:val="Position"/>
              <w:ind w:left="1452"/>
              <w:jc w:val="left"/>
              <w:rPr>
                <w:b/>
                <w:lang w:val="en-GB"/>
              </w:rPr>
            </w:pPr>
            <w:r w:rsidRPr="00771F77">
              <w:rPr>
                <w:b/>
                <w:lang w:val="en-GB"/>
              </w:rPr>
              <w:t>/           /</w:t>
            </w:r>
          </w:p>
          <w:p w14:paraId="5D8E4090" w14:textId="77777777" w:rsidR="00C44613" w:rsidRPr="00A50751" w:rsidRDefault="00C44613" w:rsidP="00103363">
            <w:pPr>
              <w:pStyle w:val="SingleParagraph"/>
              <w:spacing w:after="240"/>
              <w:ind w:left="1445" w:hanging="11"/>
              <w:rPr>
                <w:szCs w:val="22"/>
                <w:lang w:val="en-GB"/>
              </w:rPr>
            </w:pPr>
          </w:p>
        </w:tc>
        <w:tc>
          <w:tcPr>
            <w:tcW w:w="284" w:type="dxa"/>
            <w:tcMar>
              <w:left w:w="0" w:type="dxa"/>
              <w:right w:w="0" w:type="dxa"/>
            </w:tcMar>
          </w:tcPr>
          <w:p w14:paraId="354FB472" w14:textId="77777777" w:rsidR="00814667" w:rsidRPr="00A50751" w:rsidRDefault="00814667">
            <w:pPr>
              <w:rPr>
                <w:rFonts w:ascii="Book Antiqua" w:hAnsi="Book Antiqua"/>
                <w:lang w:val="en-GB"/>
              </w:rPr>
            </w:pPr>
          </w:p>
        </w:tc>
        <w:tc>
          <w:tcPr>
            <w:tcW w:w="4536" w:type="dxa"/>
          </w:tcPr>
          <w:p w14:paraId="4DCA54FA" w14:textId="77777777" w:rsidR="00691507" w:rsidRDefault="00691507" w:rsidP="00691507">
            <w:pPr>
              <w:pStyle w:val="Signed"/>
            </w:pPr>
            <w:r>
              <w:rPr>
                <w:rStyle w:val="SignedBold"/>
              </w:rPr>
              <w:t>Signed</w:t>
            </w:r>
            <w:r w:rsidRPr="004A0AE7">
              <w:t xml:space="preserve"> for and on behalf of the</w:t>
            </w:r>
            <w:r w:rsidRPr="004A0AE7">
              <w:br/>
              <w:t>State of Victoria by</w:t>
            </w:r>
          </w:p>
          <w:p w14:paraId="662AD34F" w14:textId="77777777" w:rsidR="00691507" w:rsidRPr="00A50751" w:rsidRDefault="00691507" w:rsidP="00691507">
            <w:pPr>
              <w:pStyle w:val="LineForSignature"/>
            </w:pPr>
            <w:r w:rsidRPr="00A50751">
              <w:tab/>
            </w:r>
          </w:p>
          <w:p w14:paraId="13F96B66" w14:textId="77777777" w:rsidR="00691507" w:rsidRDefault="00691507" w:rsidP="00691507">
            <w:pPr>
              <w:pStyle w:val="SingleParagraph"/>
              <w:rPr>
                <w:rStyle w:val="Bold"/>
              </w:rPr>
            </w:pPr>
            <w:r>
              <w:rPr>
                <w:rStyle w:val="Bold"/>
              </w:rPr>
              <w:t>The Honourable Jill Hennessy MP</w:t>
            </w:r>
          </w:p>
          <w:p w14:paraId="6299D888" w14:textId="686C7114" w:rsidR="00691507" w:rsidRDefault="00691507" w:rsidP="009859BE">
            <w:pPr>
              <w:pStyle w:val="Position"/>
              <w:jc w:val="left"/>
              <w:rPr>
                <w:lang w:val="en-GB"/>
              </w:rPr>
            </w:pPr>
            <w:r>
              <w:rPr>
                <w:lang w:val="en-GB"/>
              </w:rPr>
              <w:t>Minister for Health</w:t>
            </w:r>
          </w:p>
          <w:p w14:paraId="4314C740" w14:textId="77777777" w:rsidR="00814667" w:rsidRPr="00A50751" w:rsidRDefault="00691507" w:rsidP="00691507">
            <w:pPr>
              <w:pStyle w:val="SingleParagraph"/>
              <w:spacing w:after="240"/>
              <w:ind w:left="1580" w:firstLine="12"/>
              <w:rPr>
                <w:lang w:val="en-GB"/>
              </w:rPr>
            </w:pPr>
            <w:r w:rsidRPr="00771F77">
              <w:rPr>
                <w:b/>
                <w:lang w:val="en-GB"/>
              </w:rPr>
              <w:t>/           /</w:t>
            </w:r>
          </w:p>
        </w:tc>
      </w:tr>
      <w:tr w:rsidR="00814667" w:rsidRPr="00A50751" w14:paraId="4FA280C1" w14:textId="77777777" w:rsidTr="00103363">
        <w:trPr>
          <w:cantSplit/>
          <w:trHeight w:val="2791"/>
          <w:jc w:val="center"/>
        </w:trPr>
        <w:tc>
          <w:tcPr>
            <w:tcW w:w="4536" w:type="dxa"/>
          </w:tcPr>
          <w:p w14:paraId="43DC3D25" w14:textId="77777777" w:rsidR="00814667" w:rsidRPr="004A0AE7" w:rsidRDefault="00814667">
            <w:pPr>
              <w:pStyle w:val="Signed"/>
            </w:pPr>
            <w:r>
              <w:rPr>
                <w:rStyle w:val="SignedBold"/>
              </w:rPr>
              <w:t>Signed</w:t>
            </w:r>
            <w:r w:rsidRPr="004A0AE7">
              <w:t xml:space="preserve"> for and on behalf of the</w:t>
            </w:r>
            <w:r w:rsidRPr="004A0AE7">
              <w:br/>
              <w:t>State of Queensland by</w:t>
            </w:r>
          </w:p>
          <w:p w14:paraId="732299F7" w14:textId="77777777" w:rsidR="00814667" w:rsidRPr="00A50751" w:rsidRDefault="00814667">
            <w:pPr>
              <w:pStyle w:val="LineForSignature"/>
            </w:pPr>
            <w:r w:rsidRPr="00A50751">
              <w:tab/>
            </w:r>
          </w:p>
          <w:p w14:paraId="11799DA8" w14:textId="77777777" w:rsidR="00814667" w:rsidRDefault="00814667">
            <w:pPr>
              <w:pStyle w:val="SingleParagraph"/>
              <w:rPr>
                <w:b/>
              </w:rPr>
            </w:pPr>
            <w:r>
              <w:rPr>
                <w:b/>
              </w:rPr>
              <w:t xml:space="preserve">The Honourable </w:t>
            </w:r>
            <w:r w:rsidR="00CB5354">
              <w:rPr>
                <w:rStyle w:val="Bold"/>
              </w:rPr>
              <w:t>Steven Miles</w:t>
            </w:r>
            <w:r w:rsidR="0099742A">
              <w:rPr>
                <w:rStyle w:val="Bold"/>
              </w:rPr>
              <w:t xml:space="preserve"> </w:t>
            </w:r>
            <w:r>
              <w:rPr>
                <w:b/>
              </w:rPr>
              <w:t>MP</w:t>
            </w:r>
          </w:p>
          <w:p w14:paraId="01A1F25A" w14:textId="274773C0" w:rsidR="00542A8C" w:rsidRDefault="00542A8C" w:rsidP="009859BE">
            <w:pPr>
              <w:pStyle w:val="Position"/>
              <w:jc w:val="left"/>
              <w:rPr>
                <w:lang w:val="en-GB"/>
              </w:rPr>
            </w:pPr>
            <w:r>
              <w:rPr>
                <w:lang w:val="en-GB"/>
              </w:rPr>
              <w:t xml:space="preserve">Minister for </w:t>
            </w:r>
            <w:r w:rsidR="00F07DCF">
              <w:rPr>
                <w:lang w:val="en-GB"/>
              </w:rPr>
              <w:t>Health</w:t>
            </w:r>
          </w:p>
          <w:p w14:paraId="3CDB22A3" w14:textId="77777777" w:rsidR="00814667" w:rsidRPr="00A50751" w:rsidRDefault="00103363" w:rsidP="00103363">
            <w:pPr>
              <w:pStyle w:val="SingleParagraph"/>
              <w:spacing w:after="240"/>
              <w:ind w:left="1459" w:firstLine="3"/>
              <w:rPr>
                <w:lang w:val="en-GB"/>
              </w:rPr>
            </w:pPr>
            <w:r w:rsidRPr="00771F77">
              <w:rPr>
                <w:b/>
                <w:lang w:val="en-GB"/>
              </w:rPr>
              <w:t>/           /</w:t>
            </w:r>
          </w:p>
        </w:tc>
        <w:tc>
          <w:tcPr>
            <w:tcW w:w="284" w:type="dxa"/>
            <w:tcMar>
              <w:left w:w="0" w:type="dxa"/>
              <w:right w:w="0" w:type="dxa"/>
            </w:tcMar>
          </w:tcPr>
          <w:p w14:paraId="3DCCAD0B" w14:textId="77777777" w:rsidR="00814667" w:rsidRPr="00A50751" w:rsidRDefault="00814667">
            <w:pPr>
              <w:rPr>
                <w:rFonts w:ascii="Book Antiqua" w:hAnsi="Book Antiqua"/>
                <w:lang w:val="en-GB"/>
              </w:rPr>
            </w:pPr>
          </w:p>
        </w:tc>
        <w:tc>
          <w:tcPr>
            <w:tcW w:w="4536" w:type="dxa"/>
          </w:tcPr>
          <w:p w14:paraId="70175E87" w14:textId="77777777" w:rsidR="00691507" w:rsidRPr="004A0AE7" w:rsidRDefault="00691507" w:rsidP="00691507">
            <w:pPr>
              <w:pStyle w:val="Signed"/>
            </w:pPr>
            <w:r>
              <w:rPr>
                <w:rStyle w:val="SignedBold"/>
              </w:rPr>
              <w:t>Signed</w:t>
            </w:r>
            <w:r w:rsidRPr="004A0AE7">
              <w:t xml:space="preserve"> for and on behalf of the</w:t>
            </w:r>
            <w:r w:rsidRPr="004A0AE7">
              <w:br/>
              <w:t>State of Western Australia by</w:t>
            </w:r>
          </w:p>
          <w:p w14:paraId="4B925196" w14:textId="77777777" w:rsidR="00691507" w:rsidRPr="00A50751" w:rsidRDefault="00691507" w:rsidP="00691507">
            <w:pPr>
              <w:pStyle w:val="LineForSignature"/>
            </w:pPr>
            <w:r w:rsidRPr="00A50751">
              <w:tab/>
            </w:r>
          </w:p>
          <w:p w14:paraId="4750BA96" w14:textId="77777777" w:rsidR="00691507" w:rsidRDefault="00691507" w:rsidP="00691507">
            <w:pPr>
              <w:pStyle w:val="SingleParagraph"/>
              <w:rPr>
                <w:rStyle w:val="Bold"/>
              </w:rPr>
            </w:pPr>
            <w:r>
              <w:rPr>
                <w:rStyle w:val="Bold"/>
              </w:rPr>
              <w:t>The Honourable Roger Cook MLA</w:t>
            </w:r>
          </w:p>
          <w:p w14:paraId="7F12F730" w14:textId="17590EBD" w:rsidR="00691507" w:rsidRDefault="00691507" w:rsidP="009859BE">
            <w:pPr>
              <w:pStyle w:val="Position"/>
              <w:jc w:val="left"/>
              <w:rPr>
                <w:lang w:val="en-GB"/>
              </w:rPr>
            </w:pPr>
            <w:r>
              <w:rPr>
                <w:lang w:val="en-GB"/>
              </w:rPr>
              <w:t>Minister for Health</w:t>
            </w:r>
            <w:r w:rsidR="009859BE">
              <w:rPr>
                <w:lang w:val="en-GB"/>
              </w:rPr>
              <w:t xml:space="preserve"> </w:t>
            </w:r>
          </w:p>
          <w:p w14:paraId="7E063815" w14:textId="77777777" w:rsidR="00814667" w:rsidRPr="00A50751" w:rsidRDefault="00691507" w:rsidP="00691507">
            <w:pPr>
              <w:pStyle w:val="SingleParagraph"/>
              <w:spacing w:after="240"/>
              <w:ind w:left="1580" w:hanging="2"/>
              <w:rPr>
                <w:lang w:val="en-GB"/>
              </w:rPr>
            </w:pPr>
            <w:r w:rsidRPr="00771F77">
              <w:rPr>
                <w:b/>
                <w:lang w:val="en-GB"/>
              </w:rPr>
              <w:t>/           /</w:t>
            </w:r>
          </w:p>
        </w:tc>
      </w:tr>
      <w:tr w:rsidR="00814667" w:rsidRPr="00A50751" w14:paraId="501954AD" w14:textId="77777777" w:rsidTr="00103363">
        <w:trPr>
          <w:cantSplit/>
          <w:trHeight w:val="2611"/>
          <w:jc w:val="center"/>
        </w:trPr>
        <w:tc>
          <w:tcPr>
            <w:tcW w:w="4536" w:type="dxa"/>
          </w:tcPr>
          <w:p w14:paraId="28324102" w14:textId="77777777" w:rsidR="00814667" w:rsidRPr="004A0AE7" w:rsidRDefault="00814667">
            <w:pPr>
              <w:pStyle w:val="Signed"/>
            </w:pPr>
            <w:r>
              <w:rPr>
                <w:rStyle w:val="SignedBold"/>
              </w:rPr>
              <w:t>Signed</w:t>
            </w:r>
            <w:r w:rsidRPr="004A0AE7">
              <w:t xml:space="preserve"> for and on behalf of the</w:t>
            </w:r>
            <w:r w:rsidRPr="004A0AE7">
              <w:br/>
              <w:t>State of South Australia by</w:t>
            </w:r>
          </w:p>
          <w:p w14:paraId="2AF4BBD9" w14:textId="77777777" w:rsidR="00814667" w:rsidRPr="00A50751" w:rsidRDefault="00814667">
            <w:pPr>
              <w:pStyle w:val="LineForSignature"/>
            </w:pPr>
            <w:r w:rsidRPr="00A50751">
              <w:tab/>
            </w:r>
          </w:p>
          <w:p w14:paraId="09D750AC" w14:textId="77777777" w:rsidR="00766CEE" w:rsidRPr="00102B83" w:rsidRDefault="00766CEE" w:rsidP="00766CEE">
            <w:pPr>
              <w:pStyle w:val="SingleParagraph"/>
              <w:rPr>
                <w:b/>
              </w:rPr>
            </w:pPr>
            <w:r w:rsidRPr="00102B83">
              <w:rPr>
                <w:b/>
              </w:rPr>
              <w:t>The Honourable Stephen Wade MLC</w:t>
            </w:r>
          </w:p>
          <w:p w14:paraId="243E8BFC" w14:textId="77777777" w:rsidR="00766CEE" w:rsidRDefault="00766CEE" w:rsidP="009859BE">
            <w:pPr>
              <w:pStyle w:val="SingleParagraph"/>
              <w:spacing w:after="240"/>
              <w:ind w:left="35"/>
              <w:jc w:val="left"/>
              <w:rPr>
                <w:rStyle w:val="Bold"/>
              </w:rPr>
            </w:pPr>
            <w:r w:rsidRPr="00766CEE">
              <w:rPr>
                <w:bCs/>
                <w:sz w:val="20"/>
                <w:lang w:val="en-GB"/>
              </w:rPr>
              <w:t>Minister for Health and Wellbeing</w:t>
            </w:r>
            <w:r w:rsidDel="00102B83">
              <w:rPr>
                <w:rStyle w:val="Bold"/>
              </w:rPr>
              <w:t xml:space="preserve"> </w:t>
            </w:r>
          </w:p>
          <w:p w14:paraId="0E8D108D" w14:textId="77777777" w:rsidR="00814667" w:rsidRPr="00A50751" w:rsidRDefault="00103363" w:rsidP="00A36CE7">
            <w:pPr>
              <w:pStyle w:val="SingleParagraph"/>
              <w:spacing w:after="240"/>
              <w:ind w:left="1452"/>
              <w:jc w:val="left"/>
              <w:rPr>
                <w:lang w:val="en-GB"/>
              </w:rPr>
            </w:pPr>
            <w:r w:rsidRPr="00771F77">
              <w:rPr>
                <w:b/>
                <w:lang w:val="en-GB"/>
              </w:rPr>
              <w:t>/           /</w:t>
            </w:r>
          </w:p>
        </w:tc>
        <w:tc>
          <w:tcPr>
            <w:tcW w:w="284" w:type="dxa"/>
            <w:tcMar>
              <w:left w:w="0" w:type="dxa"/>
              <w:right w:w="0" w:type="dxa"/>
            </w:tcMar>
          </w:tcPr>
          <w:p w14:paraId="54C0A812" w14:textId="77777777" w:rsidR="00814667" w:rsidRPr="00A50751" w:rsidRDefault="00814667">
            <w:pPr>
              <w:rPr>
                <w:rFonts w:ascii="Book Antiqua" w:hAnsi="Book Antiqua"/>
                <w:lang w:val="en-GB"/>
              </w:rPr>
            </w:pPr>
          </w:p>
        </w:tc>
        <w:tc>
          <w:tcPr>
            <w:tcW w:w="4536" w:type="dxa"/>
          </w:tcPr>
          <w:p w14:paraId="7DFC92E0" w14:textId="77777777" w:rsidR="00691507" w:rsidRPr="004A0AE7" w:rsidRDefault="00691507" w:rsidP="00691507">
            <w:pPr>
              <w:pStyle w:val="Signed"/>
            </w:pPr>
            <w:r>
              <w:rPr>
                <w:rStyle w:val="SignedBold"/>
              </w:rPr>
              <w:t>Signed</w:t>
            </w:r>
            <w:r w:rsidRPr="004A0AE7">
              <w:t xml:space="preserve"> for and on behalf of the</w:t>
            </w:r>
            <w:r w:rsidRPr="004A0AE7">
              <w:br/>
              <w:t>State of Tasmania by</w:t>
            </w:r>
          </w:p>
          <w:p w14:paraId="5D9BA17F" w14:textId="77777777" w:rsidR="00691507" w:rsidRPr="00A50751" w:rsidRDefault="00691507" w:rsidP="00691507">
            <w:pPr>
              <w:pStyle w:val="LineForSignature"/>
            </w:pPr>
            <w:r w:rsidRPr="00A50751">
              <w:tab/>
            </w:r>
          </w:p>
          <w:p w14:paraId="368F6439" w14:textId="77777777" w:rsidR="00691507" w:rsidRDefault="00691507" w:rsidP="00691507">
            <w:pPr>
              <w:pStyle w:val="SingleParagraph"/>
              <w:rPr>
                <w:rStyle w:val="Bold"/>
              </w:rPr>
            </w:pPr>
            <w:r>
              <w:rPr>
                <w:rStyle w:val="Bold"/>
              </w:rPr>
              <w:t>The Honourable Michael Ferguson MP</w:t>
            </w:r>
          </w:p>
          <w:p w14:paraId="3604A571" w14:textId="4E971EE8" w:rsidR="00691507" w:rsidRPr="00771F77" w:rsidRDefault="00691507" w:rsidP="009859BE">
            <w:pPr>
              <w:pStyle w:val="Position"/>
              <w:jc w:val="left"/>
              <w:rPr>
                <w:lang w:val="en-GB"/>
              </w:rPr>
            </w:pPr>
            <w:r w:rsidRPr="00771F77">
              <w:rPr>
                <w:lang w:val="en-GB"/>
              </w:rPr>
              <w:t xml:space="preserve">Minister for Health </w:t>
            </w:r>
          </w:p>
          <w:p w14:paraId="6B4BA582" w14:textId="77777777" w:rsidR="00814667" w:rsidRPr="00A50751" w:rsidRDefault="00691507" w:rsidP="00691507">
            <w:pPr>
              <w:pStyle w:val="SingleParagraph"/>
              <w:spacing w:after="240"/>
              <w:ind w:left="1566" w:firstLine="12"/>
              <w:rPr>
                <w:lang w:val="en-GB"/>
              </w:rPr>
            </w:pPr>
            <w:r w:rsidRPr="00771F77">
              <w:rPr>
                <w:b/>
                <w:lang w:val="en-GB"/>
              </w:rPr>
              <w:t>/           /</w:t>
            </w:r>
          </w:p>
        </w:tc>
      </w:tr>
      <w:tr w:rsidR="00814667" w:rsidRPr="00A50751" w14:paraId="3D3AC038" w14:textId="77777777" w:rsidTr="00433D24">
        <w:trPr>
          <w:cantSplit/>
          <w:trHeight w:val="2149"/>
          <w:jc w:val="center"/>
        </w:trPr>
        <w:tc>
          <w:tcPr>
            <w:tcW w:w="4536" w:type="dxa"/>
          </w:tcPr>
          <w:p w14:paraId="76D252A0" w14:textId="77777777" w:rsidR="00814667" w:rsidRPr="00A50751" w:rsidRDefault="00814667">
            <w:pPr>
              <w:pStyle w:val="Signed"/>
            </w:pPr>
            <w:r>
              <w:rPr>
                <w:rStyle w:val="SignedBold"/>
              </w:rPr>
              <w:t>Signed</w:t>
            </w:r>
            <w:r w:rsidRPr="004A0AE7">
              <w:rPr>
                <w:i w:val="0"/>
              </w:rPr>
              <w:t xml:space="preserve"> </w:t>
            </w:r>
            <w:r w:rsidR="008148E2" w:rsidRPr="004A0AE7">
              <w:t xml:space="preserve">for and on behalf of </w:t>
            </w:r>
            <w:r w:rsidR="008148E2">
              <w:t xml:space="preserve">the </w:t>
            </w:r>
            <w:r w:rsidRPr="004A0AE7">
              <w:t>Australian Capital Territory by</w:t>
            </w:r>
          </w:p>
          <w:p w14:paraId="7DB8C5E6" w14:textId="77777777" w:rsidR="00814667" w:rsidRPr="00A50751" w:rsidRDefault="00814667">
            <w:pPr>
              <w:pStyle w:val="LineForSignature"/>
            </w:pPr>
            <w:r w:rsidRPr="00A50751">
              <w:tab/>
            </w:r>
          </w:p>
          <w:p w14:paraId="348CF979" w14:textId="77777777" w:rsidR="00814667" w:rsidRDefault="006B0DFE">
            <w:pPr>
              <w:pStyle w:val="SingleParagraph"/>
              <w:rPr>
                <w:rStyle w:val="Bold"/>
              </w:rPr>
            </w:pPr>
            <w:proofErr w:type="spellStart"/>
            <w:r>
              <w:rPr>
                <w:rStyle w:val="Bold"/>
              </w:rPr>
              <w:t>Meegan</w:t>
            </w:r>
            <w:proofErr w:type="spellEnd"/>
            <w:r>
              <w:rPr>
                <w:rStyle w:val="Bold"/>
              </w:rPr>
              <w:t xml:space="preserve"> </w:t>
            </w:r>
            <w:proofErr w:type="spellStart"/>
            <w:r>
              <w:rPr>
                <w:rStyle w:val="Bold"/>
              </w:rPr>
              <w:t>Fitzharris</w:t>
            </w:r>
            <w:proofErr w:type="spellEnd"/>
            <w:r w:rsidR="0099742A">
              <w:rPr>
                <w:rStyle w:val="Bold"/>
              </w:rPr>
              <w:t xml:space="preserve"> </w:t>
            </w:r>
            <w:r w:rsidR="00814667">
              <w:rPr>
                <w:rStyle w:val="Bold"/>
              </w:rPr>
              <w:t>MLA</w:t>
            </w:r>
          </w:p>
          <w:p w14:paraId="1F4B669C" w14:textId="65693507" w:rsidR="00542A8C" w:rsidRDefault="00E50078" w:rsidP="00542A8C">
            <w:pPr>
              <w:pStyle w:val="Position"/>
              <w:rPr>
                <w:lang w:val="en-GB"/>
              </w:rPr>
            </w:pPr>
            <w:r>
              <w:rPr>
                <w:lang w:val="en-GB"/>
              </w:rPr>
              <w:t>Assistant Minister for Health</w:t>
            </w:r>
          </w:p>
          <w:p w14:paraId="2AAC255F" w14:textId="77777777" w:rsidR="00814667" w:rsidRPr="00C44613" w:rsidRDefault="00103363" w:rsidP="00103363">
            <w:pPr>
              <w:pStyle w:val="SingleParagraph"/>
              <w:spacing w:after="240"/>
              <w:ind w:left="1417" w:hanging="11"/>
              <w:rPr>
                <w:szCs w:val="22"/>
                <w:lang w:val="en-GB"/>
              </w:rPr>
            </w:pPr>
            <w:r w:rsidRPr="00771F77">
              <w:rPr>
                <w:b/>
                <w:lang w:val="en-GB"/>
              </w:rPr>
              <w:t>/           /</w:t>
            </w:r>
          </w:p>
        </w:tc>
        <w:tc>
          <w:tcPr>
            <w:tcW w:w="284" w:type="dxa"/>
            <w:tcMar>
              <w:left w:w="0" w:type="dxa"/>
              <w:right w:w="0" w:type="dxa"/>
            </w:tcMar>
          </w:tcPr>
          <w:p w14:paraId="292277EB" w14:textId="77777777" w:rsidR="00814667" w:rsidRPr="00A50751" w:rsidRDefault="00814667">
            <w:pPr>
              <w:rPr>
                <w:rFonts w:ascii="Book Antiqua" w:hAnsi="Book Antiqua"/>
                <w:lang w:val="en-GB"/>
              </w:rPr>
            </w:pPr>
          </w:p>
        </w:tc>
        <w:tc>
          <w:tcPr>
            <w:tcW w:w="4536" w:type="dxa"/>
          </w:tcPr>
          <w:p w14:paraId="2A5F3403" w14:textId="77777777" w:rsidR="00691507" w:rsidRPr="00A50751" w:rsidRDefault="00691507" w:rsidP="00691507">
            <w:pPr>
              <w:pStyle w:val="Signed"/>
            </w:pPr>
            <w:r>
              <w:rPr>
                <w:rStyle w:val="SignedBold"/>
              </w:rPr>
              <w:t>Signed</w:t>
            </w:r>
            <w:r w:rsidRPr="004A0AE7">
              <w:rPr>
                <w:i w:val="0"/>
              </w:rPr>
              <w:t xml:space="preserve"> </w:t>
            </w:r>
            <w:r w:rsidRPr="004A0AE7">
              <w:t xml:space="preserve">for and on behalf of </w:t>
            </w:r>
            <w:r>
              <w:t xml:space="preserve">the </w:t>
            </w:r>
            <w:r w:rsidRPr="004A0AE7">
              <w:t>Northern Territory by</w:t>
            </w:r>
          </w:p>
          <w:p w14:paraId="215B0F10" w14:textId="77777777" w:rsidR="00691507" w:rsidRPr="00A50751" w:rsidRDefault="00691507" w:rsidP="00691507">
            <w:pPr>
              <w:pStyle w:val="LineForSignature"/>
            </w:pPr>
            <w:r w:rsidRPr="00A50751">
              <w:tab/>
            </w:r>
          </w:p>
          <w:p w14:paraId="3D5DA697" w14:textId="77777777" w:rsidR="00691507" w:rsidRDefault="00691507" w:rsidP="00691507">
            <w:pPr>
              <w:pStyle w:val="SingleParagraph"/>
              <w:rPr>
                <w:rStyle w:val="Bold"/>
              </w:rPr>
            </w:pPr>
            <w:r>
              <w:rPr>
                <w:rStyle w:val="Bold"/>
              </w:rPr>
              <w:t xml:space="preserve">The Honourable Natasha Kate </w:t>
            </w:r>
            <w:proofErr w:type="spellStart"/>
            <w:r>
              <w:rPr>
                <w:rStyle w:val="Bold"/>
              </w:rPr>
              <w:t>Fyles</w:t>
            </w:r>
            <w:proofErr w:type="spellEnd"/>
            <w:r>
              <w:rPr>
                <w:rStyle w:val="Bold"/>
              </w:rPr>
              <w:t xml:space="preserve"> MLA</w:t>
            </w:r>
          </w:p>
          <w:p w14:paraId="4CCCB729" w14:textId="1024474E" w:rsidR="00691507" w:rsidRDefault="00691507" w:rsidP="00691507">
            <w:pPr>
              <w:pStyle w:val="Position"/>
              <w:rPr>
                <w:lang w:val="en-GB"/>
              </w:rPr>
            </w:pPr>
            <w:r>
              <w:rPr>
                <w:lang w:val="en-GB"/>
              </w:rPr>
              <w:t>Minister for Health</w:t>
            </w:r>
          </w:p>
          <w:p w14:paraId="649B8499" w14:textId="77777777" w:rsidR="00814667" w:rsidRPr="00A50751" w:rsidRDefault="00691507" w:rsidP="00691507">
            <w:pPr>
              <w:pStyle w:val="SingleParagraph"/>
              <w:spacing w:after="240"/>
              <w:ind w:left="34"/>
              <w:jc w:val="center"/>
              <w:rPr>
                <w:lang w:val="en-GB"/>
              </w:rPr>
            </w:pPr>
            <w:r w:rsidRPr="00771F77">
              <w:rPr>
                <w:b/>
                <w:lang w:val="en-GB"/>
              </w:rPr>
              <w:t>/           /</w:t>
            </w:r>
          </w:p>
        </w:tc>
      </w:tr>
    </w:tbl>
    <w:p w14:paraId="11ECE7A2" w14:textId="77777777" w:rsidR="00CB39FD" w:rsidRDefault="00CB39FD" w:rsidP="00433D24">
      <w:pPr>
        <w:spacing w:after="0" w:line="20" w:lineRule="exact"/>
        <w:sectPr w:rsidR="00CB39FD" w:rsidSect="00AB301E">
          <w:pgSz w:w="11906" w:h="16838" w:code="9"/>
          <w:pgMar w:top="851" w:right="1134" w:bottom="1134" w:left="1134" w:header="709" w:footer="709" w:gutter="0"/>
          <w:pgNumType w:start="0" w:chapStyle="9"/>
          <w:cols w:space="708"/>
          <w:titlePg/>
          <w:docGrid w:linePitch="360"/>
        </w:sectPr>
      </w:pPr>
    </w:p>
    <w:p w14:paraId="6043581F" w14:textId="77777777" w:rsidR="00FD417F" w:rsidRDefault="00FD417F" w:rsidP="00BE3EA9"/>
    <w:sectPr w:rsidR="00FD417F" w:rsidSect="00BE3EA9">
      <w:footerReference w:type="default" r:id="rId21"/>
      <w:footerReference w:type="first" r:id="rId22"/>
      <w:pgSz w:w="11906" w:h="16838" w:code="9"/>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7D3F0" w14:textId="77777777" w:rsidR="00A36CE7" w:rsidRDefault="00A36CE7">
      <w:r>
        <w:separator/>
      </w:r>
    </w:p>
  </w:endnote>
  <w:endnote w:type="continuationSeparator" w:id="0">
    <w:p w14:paraId="7B840545" w14:textId="77777777" w:rsidR="00A36CE7" w:rsidRDefault="00A36CE7">
      <w:r>
        <w:continuationSeparator/>
      </w:r>
    </w:p>
  </w:endnote>
  <w:endnote w:type="continuationNotice" w:id="1">
    <w:p w14:paraId="165BF63F" w14:textId="77777777" w:rsidR="00A36CE7" w:rsidRDefault="00A36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04E96" w14:textId="77777777" w:rsidR="00BE3EA9" w:rsidRDefault="00BE3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908"/>
      <w:docPartObj>
        <w:docPartGallery w:val="Page Numbers (Bottom of Page)"/>
        <w:docPartUnique/>
      </w:docPartObj>
    </w:sdtPr>
    <w:sdtEndPr/>
    <w:sdtContent>
      <w:sdt>
        <w:sdtPr>
          <w:id w:val="860082579"/>
          <w:docPartObj>
            <w:docPartGallery w:val="Page Numbers (Top of Page)"/>
            <w:docPartUnique/>
          </w:docPartObj>
        </w:sdtPr>
        <w:sdtEndPr/>
        <w:sdtContent>
          <w:p w14:paraId="1139C368" w14:textId="77777777" w:rsidR="00A36CE7" w:rsidRDefault="00A36C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3D24">
              <w:rPr>
                <w:b/>
                <w:bCs/>
                <w:noProof/>
              </w:rPr>
              <w:t>1</w:t>
            </w:r>
            <w:r>
              <w:rPr>
                <w:b/>
                <w:bCs/>
                <w:sz w:val="24"/>
                <w:szCs w:val="24"/>
              </w:rPr>
              <w:fldChar w:fldCharType="end"/>
            </w:r>
            <w:r>
              <w:t xml:space="preserve"> of </w:t>
            </w:r>
            <w:r w:rsidRPr="003623FB">
              <w:rPr>
                <w:b/>
                <w:bCs/>
                <w:sz w:val="20"/>
              </w:rPr>
              <w:t>7</w:t>
            </w:r>
          </w:p>
        </w:sdtContent>
      </w:sdt>
    </w:sdtContent>
  </w:sdt>
  <w:p w14:paraId="700A2773" w14:textId="77777777" w:rsidR="00A36CE7" w:rsidRDefault="00A36C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3F602" w14:textId="77777777" w:rsidR="00A36CE7" w:rsidRDefault="00A36CE7">
    <w:pPr>
      <w:pStyle w:val="Footer"/>
      <w:jc w:val="right"/>
    </w:pPr>
  </w:p>
  <w:p w14:paraId="5BA16120" w14:textId="77777777" w:rsidR="00A36CE7" w:rsidRDefault="00A36C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79CC0" w14:textId="77777777" w:rsidR="00A36CE7" w:rsidRDefault="00A36CE7">
    <w:pPr>
      <w:pStyle w:val="Footer"/>
      <w:jc w:val="right"/>
    </w:pPr>
    <w:r>
      <w:t xml:space="preserve">Page </w:t>
    </w:r>
    <w:r>
      <w:rPr>
        <w:b/>
        <w:bCs/>
      </w:rPr>
      <w:fldChar w:fldCharType="begin"/>
    </w:r>
    <w:r>
      <w:rPr>
        <w:b/>
        <w:bCs/>
      </w:rPr>
      <w:instrText xml:space="preserve"> PAGE </w:instrText>
    </w:r>
    <w:r>
      <w:rPr>
        <w:b/>
        <w:bCs/>
      </w:rPr>
      <w:fldChar w:fldCharType="separate"/>
    </w:r>
    <w:r w:rsidR="00BE3EA9">
      <w:rPr>
        <w:b/>
        <w:bCs/>
        <w:noProof/>
      </w:rPr>
      <w:t>3</w:t>
    </w:r>
    <w:r>
      <w:rPr>
        <w:b/>
        <w:bCs/>
      </w:rPr>
      <w:fldChar w:fldCharType="end"/>
    </w:r>
    <w:r>
      <w:t xml:space="preserve"> of </w:t>
    </w:r>
    <w:r>
      <w:rPr>
        <w:b/>
        <w:bCs/>
        <w:szCs w:val="18"/>
      </w:rPr>
      <w:t>3</w:t>
    </w:r>
  </w:p>
  <w:p w14:paraId="44351DBC" w14:textId="77777777" w:rsidR="00A36CE7" w:rsidRPr="007810CC" w:rsidRDefault="00A36CE7" w:rsidP="007810C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F3C58" w14:textId="77777777" w:rsidR="00A36CE7" w:rsidRPr="00066883" w:rsidRDefault="00A36CE7" w:rsidP="00066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D9B1A" w14:textId="77777777" w:rsidR="00A36CE7" w:rsidRDefault="00A36CE7">
      <w:r>
        <w:separator/>
      </w:r>
    </w:p>
  </w:footnote>
  <w:footnote w:type="continuationSeparator" w:id="0">
    <w:p w14:paraId="7DB1A333" w14:textId="77777777" w:rsidR="00A36CE7" w:rsidRDefault="00A36CE7">
      <w:r>
        <w:continuationSeparator/>
      </w:r>
    </w:p>
  </w:footnote>
  <w:footnote w:type="continuationNotice" w:id="1">
    <w:p w14:paraId="72E760A7" w14:textId="77777777" w:rsidR="00A36CE7" w:rsidRDefault="00A36CE7">
      <w:pPr>
        <w:spacing w:after="0" w:line="240" w:lineRule="auto"/>
      </w:pPr>
    </w:p>
  </w:footnote>
  <w:footnote w:id="2">
    <w:p w14:paraId="0A83E86B" w14:textId="77777777" w:rsidR="00D4440B" w:rsidRPr="00A36CE7" w:rsidRDefault="00D4440B" w:rsidP="00D4440B">
      <w:pPr>
        <w:pStyle w:val="Heading2"/>
        <w:rPr>
          <w:b w:val="0"/>
          <w:bCs w:val="0"/>
          <w:iCs w:val="0"/>
          <w:color w:val="auto"/>
          <w:sz w:val="20"/>
          <w:szCs w:val="20"/>
        </w:rPr>
      </w:pPr>
      <w:r>
        <w:rPr>
          <w:rStyle w:val="FootnoteReference"/>
        </w:rPr>
        <w:footnoteRef/>
      </w:r>
      <w:r>
        <w:t xml:space="preserve"> </w:t>
      </w:r>
      <w:r w:rsidRPr="00A36CE7">
        <w:rPr>
          <w:b w:val="0"/>
          <w:bCs w:val="0"/>
          <w:iCs w:val="0"/>
          <w:color w:val="auto"/>
          <w:sz w:val="20"/>
          <w:szCs w:val="20"/>
        </w:rPr>
        <w:t>The first reporting period is for 10 months, from July 17 to April 18.  The States are required to provide the number of actual women screened in the 10 months and provide estimates of the numbers they will screen for the remaining 2 months (1 May 2018 – 30 June 2018).</w:t>
      </w:r>
    </w:p>
    <w:p w14:paraId="411C2D17" w14:textId="5AC87F06" w:rsidR="00D4440B" w:rsidRPr="00910D15" w:rsidRDefault="00D4440B" w:rsidP="00910D15">
      <w:pPr>
        <w:pStyle w:val="FootnoteText"/>
        <w:contextualSpacing/>
        <w:rPr>
          <w:sz w:val="2"/>
          <w:szCs w:val="2"/>
        </w:rPr>
      </w:pPr>
    </w:p>
  </w:footnote>
  <w:footnote w:id="3">
    <w:p w14:paraId="4A3D3641" w14:textId="6A1B5063" w:rsidR="00D4440B" w:rsidRDefault="00D4440B" w:rsidP="00910D15">
      <w:pPr>
        <w:pStyle w:val="FootnoteText"/>
        <w:tabs>
          <w:tab w:val="clear" w:pos="284"/>
          <w:tab w:val="left" w:pos="0"/>
        </w:tabs>
        <w:ind w:left="0" w:firstLine="0"/>
      </w:pPr>
      <w:r>
        <w:rPr>
          <w:rStyle w:val="FootnoteReference"/>
        </w:rPr>
        <w:footnoteRef/>
      </w:r>
      <w:r>
        <w:t xml:space="preserve"> </w:t>
      </w:r>
      <w:r w:rsidRPr="00910D15">
        <w:rPr>
          <w:bCs/>
          <w:iCs/>
          <w:color w:val="auto"/>
          <w:sz w:val="20"/>
        </w:rPr>
        <w:t>The actual number of women screened in the 2 month period (1 May 2018 – 30 June 2018) will be reflected in the second reporting period (1 May 2018 – 30 April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72793" w14:textId="77777777" w:rsidR="00BE3EA9" w:rsidRDefault="00BE3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B2E53" w14:textId="2D3C1A0C" w:rsidR="00A36CE7" w:rsidRPr="00814590" w:rsidRDefault="00A36CE7" w:rsidP="008B2B1A">
    <w:pPr>
      <w:pStyle w:val="HeaderOdd"/>
      <w:tabs>
        <w:tab w:val="num" w:pos="1134"/>
      </w:tabs>
      <w:rPr>
        <w:color w:val="800000"/>
      </w:rPr>
    </w:pPr>
    <w:r>
      <w:rPr>
        <w:noProof/>
      </w:rPr>
      <mc:AlternateContent>
        <mc:Choice Requires="wps">
          <w:drawing>
            <wp:anchor distT="0" distB="0" distL="114300" distR="114300" simplePos="0" relativeHeight="251657728" behindDoc="1" locked="0" layoutInCell="0" allowOverlap="1" wp14:anchorId="495FE10E" wp14:editId="7E49BB76">
              <wp:simplePos x="0" y="0"/>
              <wp:positionH relativeFrom="margin">
                <wp:align>center</wp:align>
              </wp:positionH>
              <wp:positionV relativeFrom="margin">
                <wp:align>center</wp:align>
              </wp:positionV>
              <wp:extent cx="5237480" cy="3142615"/>
              <wp:effectExtent l="0" t="1143000" r="0" b="65786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A994DA" w14:textId="77777777" w:rsidR="00A36CE7" w:rsidRDefault="00A36CE7" w:rsidP="008D240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N3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AJapN3&#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6DA994DA" w14:textId="77777777" w:rsidR="00A36CE7" w:rsidRDefault="00A36CE7" w:rsidP="008D240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color w:val="800000"/>
      </w:rPr>
      <w:t>Project Agreement for the Expansion of the BreastScreen Australia Program</w:t>
    </w:r>
  </w:p>
  <w:p w14:paraId="456CECBC" w14:textId="77777777" w:rsidR="00A36CE7" w:rsidRPr="007810CC" w:rsidRDefault="00A36CE7" w:rsidP="0089266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E5032" w14:textId="77777777" w:rsidR="00A36CE7" w:rsidRDefault="00A36CE7" w:rsidP="0075107B">
    <w:pPr>
      <w:pStyle w:val="Header"/>
      <w:jc w:val="right"/>
    </w:pPr>
    <w:r>
      <w:rPr>
        <w:color w:val="800000"/>
      </w:rPr>
      <w:t>Project Agreement for the Expansion of the BreastScreen Australia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nsid w:val="04EE4137"/>
    <w:multiLevelType w:val="multilevel"/>
    <w:tmpl w:val="73ECACC0"/>
    <w:lvl w:ilvl="0">
      <w:start w:val="1"/>
      <w:numFmt w:val="lowerLetter"/>
      <w:lvlRestart w:val="0"/>
      <w:lvlText w:val="(%1)"/>
      <w:lvlJc w:val="left"/>
      <w:pPr>
        <w:tabs>
          <w:tab w:val="num" w:pos="1497"/>
        </w:tabs>
        <w:ind w:left="930"/>
      </w:pPr>
      <w:rPr>
        <w:rFonts w:cs="Times New Roman" w:hint="default"/>
        <w:b w:val="0"/>
        <w:i w:val="0"/>
        <w:color w:val="000000"/>
      </w:rPr>
    </w:lvl>
    <w:lvl w:ilvl="1">
      <w:start w:val="1"/>
      <w:numFmt w:val="decimal"/>
      <w:lvlText w:val="%2"/>
      <w:lvlJc w:val="left"/>
      <w:pPr>
        <w:tabs>
          <w:tab w:val="num" w:pos="1497"/>
        </w:tabs>
        <w:ind w:left="1497" w:hanging="567"/>
      </w:pPr>
      <w:rPr>
        <w:rFonts w:cs="Times New Roman" w:hint="default"/>
        <w:b w:val="0"/>
        <w:i w:val="0"/>
        <w:color w:val="000000"/>
      </w:rPr>
    </w:lvl>
    <w:lvl w:ilvl="2">
      <w:start w:val="1"/>
      <w:numFmt w:val="decimal"/>
      <w:lvlText w:val="%3"/>
      <w:lvlJc w:val="left"/>
      <w:pPr>
        <w:tabs>
          <w:tab w:val="num" w:pos="2064"/>
        </w:tabs>
        <w:ind w:left="2064" w:hanging="567"/>
      </w:pPr>
      <w:rPr>
        <w:rFonts w:cs="Times New Roman" w:hint="default"/>
        <w:b w:val="0"/>
        <w:i w:val="0"/>
        <w:color w:val="000000"/>
      </w:rPr>
    </w:lvl>
    <w:lvl w:ilvl="3">
      <w:start w:val="1"/>
      <w:numFmt w:val="decimal"/>
      <w:lvlText w:val="%4"/>
      <w:lvlJc w:val="left"/>
      <w:pPr>
        <w:tabs>
          <w:tab w:val="num" w:pos="2631"/>
        </w:tabs>
        <w:ind w:left="2631" w:hanging="567"/>
      </w:pPr>
      <w:rPr>
        <w:rFonts w:cs="Times New Roman" w:hint="default"/>
        <w:b w:val="0"/>
        <w:i w:val="0"/>
        <w:color w:val="000000"/>
      </w:rPr>
    </w:lvl>
    <w:lvl w:ilvl="4">
      <w:start w:val="1"/>
      <w:numFmt w:val="decimal"/>
      <w:lvlText w:val="%5"/>
      <w:lvlJc w:val="left"/>
      <w:pPr>
        <w:tabs>
          <w:tab w:val="num" w:pos="3198"/>
        </w:tabs>
        <w:ind w:left="3198" w:hanging="567"/>
      </w:pPr>
      <w:rPr>
        <w:rFonts w:cs="Times New Roman" w:hint="default"/>
        <w:b w:val="0"/>
        <w:i w:val="0"/>
        <w:color w:val="000000"/>
      </w:rPr>
    </w:lvl>
    <w:lvl w:ilvl="5">
      <w:start w:val="1"/>
      <w:numFmt w:val="decimal"/>
      <w:lvlText w:val="%6"/>
      <w:lvlJc w:val="left"/>
      <w:pPr>
        <w:tabs>
          <w:tab w:val="num" w:pos="3765"/>
        </w:tabs>
        <w:ind w:left="3765" w:hanging="567"/>
      </w:pPr>
      <w:rPr>
        <w:rFonts w:cs="Times New Roman" w:hint="default"/>
        <w:b w:val="0"/>
        <w:i w:val="0"/>
        <w:color w:val="000000"/>
      </w:rPr>
    </w:lvl>
    <w:lvl w:ilvl="6">
      <w:start w:val="1"/>
      <w:numFmt w:val="decimal"/>
      <w:lvlText w:val="%7"/>
      <w:lvlJc w:val="left"/>
      <w:pPr>
        <w:tabs>
          <w:tab w:val="num" w:pos="4332"/>
        </w:tabs>
        <w:ind w:left="4332" w:hanging="567"/>
      </w:pPr>
      <w:rPr>
        <w:rFonts w:cs="Times New Roman" w:hint="default"/>
        <w:b w:val="0"/>
        <w:i w:val="0"/>
        <w:color w:val="000000"/>
      </w:rPr>
    </w:lvl>
    <w:lvl w:ilvl="7">
      <w:start w:val="1"/>
      <w:numFmt w:val="decimal"/>
      <w:lvlText w:val="%8"/>
      <w:lvlJc w:val="left"/>
      <w:pPr>
        <w:tabs>
          <w:tab w:val="num" w:pos="4899"/>
        </w:tabs>
        <w:ind w:left="4899" w:hanging="567"/>
      </w:pPr>
      <w:rPr>
        <w:rFonts w:cs="Times New Roman" w:hint="default"/>
        <w:b w:val="0"/>
        <w:i w:val="0"/>
        <w:color w:val="000000"/>
      </w:rPr>
    </w:lvl>
    <w:lvl w:ilvl="8">
      <w:start w:val="1"/>
      <w:numFmt w:val="decimal"/>
      <w:lvlText w:val="%9"/>
      <w:lvlJc w:val="left"/>
      <w:pPr>
        <w:tabs>
          <w:tab w:val="num" w:pos="5466"/>
        </w:tabs>
        <w:ind w:left="5466" w:hanging="567"/>
      </w:pPr>
      <w:rPr>
        <w:rFonts w:cs="Times New Roman" w:hint="default"/>
        <w:b w:val="0"/>
        <w:i w:val="0"/>
        <w:color w:val="000000"/>
      </w:rPr>
    </w:lvl>
  </w:abstractNum>
  <w:abstractNum w:abstractNumId="2">
    <w:nsid w:val="05E543E6"/>
    <w:multiLevelType w:val="hybridMultilevel"/>
    <w:tmpl w:val="19DA03EE"/>
    <w:lvl w:ilvl="0" w:tplc="D5BC4416">
      <w:start w:val="1"/>
      <w:numFmt w:val="lowerRoman"/>
      <w:lvlText w:val="(%1)"/>
      <w:lvlJc w:val="left"/>
      <w:pPr>
        <w:ind w:left="1854" w:hanging="360"/>
      </w:pPr>
      <w:rPr>
        <w:rFonts w:hint="default"/>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4">
    <w:nsid w:val="12BF61C0"/>
    <w:multiLevelType w:val="hybridMultilevel"/>
    <w:tmpl w:val="BA221BB8"/>
    <w:lvl w:ilvl="0" w:tplc="660EB736">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nsid w:val="16D64FED"/>
    <w:multiLevelType w:val="hybridMultilevel"/>
    <w:tmpl w:val="19DA03EE"/>
    <w:lvl w:ilvl="0" w:tplc="D5BC4416">
      <w:start w:val="1"/>
      <w:numFmt w:val="lowerRoman"/>
      <w:lvlText w:val="(%1)"/>
      <w:lvlJc w:val="left"/>
      <w:pPr>
        <w:ind w:left="1854" w:hanging="360"/>
      </w:pPr>
      <w:rPr>
        <w:rFonts w:hint="default"/>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
    <w:nsid w:val="19C960FD"/>
    <w:multiLevelType w:val="multilevel"/>
    <w:tmpl w:val="34E0F280"/>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nsid w:val="1C9E0338"/>
    <w:multiLevelType w:val="multilevel"/>
    <w:tmpl w:val="A9521892"/>
    <w:name w:val="StandardBulletedList"/>
    <w:lvl w:ilvl="0">
      <w:start w:val="1"/>
      <w:numFmt w:val="bullet"/>
      <w:pStyle w:val="Bullet"/>
      <w:lvlText w:val="•"/>
      <w:lvlJc w:val="left"/>
      <w:pPr>
        <w:tabs>
          <w:tab w:val="num" w:pos="543"/>
        </w:tabs>
        <w:ind w:left="543" w:hanging="543"/>
      </w:pPr>
      <w:rPr>
        <w:rFonts w:ascii="Times New Roman" w:hAnsi="Times New Roman" w:cs="Times New Roman"/>
      </w:rPr>
    </w:lvl>
    <w:lvl w:ilvl="1">
      <w:start w:val="1"/>
      <w:numFmt w:val="bullet"/>
      <w:pStyle w:val="Dash"/>
      <w:lvlText w:val="–"/>
      <w:lvlJc w:val="left"/>
      <w:pPr>
        <w:tabs>
          <w:tab w:val="num" w:pos="1086"/>
        </w:tabs>
        <w:ind w:left="1086" w:hanging="543"/>
      </w:pPr>
      <w:rPr>
        <w:rFonts w:ascii="Times New Roman" w:hAnsi="Times New Roman" w:cs="Times New Roman"/>
      </w:rPr>
    </w:lvl>
    <w:lvl w:ilvl="2">
      <w:start w:val="1"/>
      <w:numFmt w:val="bullet"/>
      <w:pStyle w:val="DoubleDo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1E9E405B"/>
    <w:multiLevelType w:val="hybridMultilevel"/>
    <w:tmpl w:val="A0F0A10A"/>
    <w:lvl w:ilvl="0" w:tplc="AECA2D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1893FE0"/>
    <w:multiLevelType w:val="hybridMultilevel"/>
    <w:tmpl w:val="63F8BA30"/>
    <w:lvl w:ilvl="0" w:tplc="617424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2">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3">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4">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5">
    <w:nsid w:val="2AC5715D"/>
    <w:multiLevelType w:val="hybridMultilevel"/>
    <w:tmpl w:val="7A2A0782"/>
    <w:lvl w:ilvl="0" w:tplc="4DCACC82">
      <w:start w:val="1"/>
      <w:numFmt w:val="decimal"/>
      <w:lvlText w:val="%1."/>
      <w:lvlJc w:val="left"/>
      <w:pPr>
        <w:ind w:left="360" w:hanging="360"/>
      </w:pPr>
      <w:rPr>
        <w:rFonts w:cs="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0305D8C"/>
    <w:multiLevelType w:val="hybridMultilevel"/>
    <w:tmpl w:val="38A8DAF6"/>
    <w:lvl w:ilvl="0" w:tplc="ABF8FA18">
      <w:start w:val="1"/>
      <w:numFmt w:val="decimal"/>
      <w:lvlText w:val="%1."/>
      <w:lvlJc w:val="left"/>
      <w:pPr>
        <w:ind w:left="360" w:hanging="360"/>
      </w:pPr>
      <w:rPr>
        <w:rFonts w:cs="Times New Roman" w:hint="default"/>
        <w:b/>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8">
    <w:nsid w:val="32F926C8"/>
    <w:multiLevelType w:val="hybridMultilevel"/>
    <w:tmpl w:val="E43C6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F90531"/>
    <w:multiLevelType w:val="hybridMultilevel"/>
    <w:tmpl w:val="E544FDD8"/>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9814C7A"/>
    <w:multiLevelType w:val="hybridMultilevel"/>
    <w:tmpl w:val="D1041532"/>
    <w:lvl w:ilvl="0" w:tplc="660EB736">
      <w:start w:val="1"/>
      <w:numFmt w:val="lowerLetter"/>
      <w:lvlText w:val="(%1)"/>
      <w:lvlJc w:val="left"/>
      <w:pPr>
        <w:ind w:left="611" w:hanging="360"/>
      </w:pPr>
      <w:rPr>
        <w:rFonts w:hint="default"/>
      </w:rPr>
    </w:lvl>
    <w:lvl w:ilvl="1" w:tplc="0C090003" w:tentative="1">
      <w:start w:val="1"/>
      <w:numFmt w:val="bullet"/>
      <w:lvlText w:val="o"/>
      <w:lvlJc w:val="left"/>
      <w:pPr>
        <w:ind w:left="1331" w:hanging="360"/>
      </w:pPr>
      <w:rPr>
        <w:rFonts w:ascii="Courier New" w:hAnsi="Courier New" w:cs="Courier New" w:hint="default"/>
      </w:rPr>
    </w:lvl>
    <w:lvl w:ilvl="2" w:tplc="0C090005" w:tentative="1">
      <w:start w:val="1"/>
      <w:numFmt w:val="bullet"/>
      <w:lvlText w:val=""/>
      <w:lvlJc w:val="left"/>
      <w:pPr>
        <w:ind w:left="2051" w:hanging="360"/>
      </w:pPr>
      <w:rPr>
        <w:rFonts w:ascii="Wingdings" w:hAnsi="Wingdings" w:hint="default"/>
      </w:rPr>
    </w:lvl>
    <w:lvl w:ilvl="3" w:tplc="0C090001" w:tentative="1">
      <w:start w:val="1"/>
      <w:numFmt w:val="bullet"/>
      <w:lvlText w:val=""/>
      <w:lvlJc w:val="left"/>
      <w:pPr>
        <w:ind w:left="2771" w:hanging="360"/>
      </w:pPr>
      <w:rPr>
        <w:rFonts w:ascii="Symbol" w:hAnsi="Symbol" w:hint="default"/>
      </w:rPr>
    </w:lvl>
    <w:lvl w:ilvl="4" w:tplc="0C090003" w:tentative="1">
      <w:start w:val="1"/>
      <w:numFmt w:val="bullet"/>
      <w:lvlText w:val="o"/>
      <w:lvlJc w:val="left"/>
      <w:pPr>
        <w:ind w:left="3491" w:hanging="360"/>
      </w:pPr>
      <w:rPr>
        <w:rFonts w:ascii="Courier New" w:hAnsi="Courier New" w:cs="Courier New" w:hint="default"/>
      </w:rPr>
    </w:lvl>
    <w:lvl w:ilvl="5" w:tplc="0C090005" w:tentative="1">
      <w:start w:val="1"/>
      <w:numFmt w:val="bullet"/>
      <w:lvlText w:val=""/>
      <w:lvlJc w:val="left"/>
      <w:pPr>
        <w:ind w:left="4211" w:hanging="360"/>
      </w:pPr>
      <w:rPr>
        <w:rFonts w:ascii="Wingdings" w:hAnsi="Wingdings" w:hint="default"/>
      </w:rPr>
    </w:lvl>
    <w:lvl w:ilvl="6" w:tplc="0C090001" w:tentative="1">
      <w:start w:val="1"/>
      <w:numFmt w:val="bullet"/>
      <w:lvlText w:val=""/>
      <w:lvlJc w:val="left"/>
      <w:pPr>
        <w:ind w:left="4931" w:hanging="360"/>
      </w:pPr>
      <w:rPr>
        <w:rFonts w:ascii="Symbol" w:hAnsi="Symbol" w:hint="default"/>
      </w:rPr>
    </w:lvl>
    <w:lvl w:ilvl="7" w:tplc="0C090003" w:tentative="1">
      <w:start w:val="1"/>
      <w:numFmt w:val="bullet"/>
      <w:lvlText w:val="o"/>
      <w:lvlJc w:val="left"/>
      <w:pPr>
        <w:ind w:left="5651" w:hanging="360"/>
      </w:pPr>
      <w:rPr>
        <w:rFonts w:ascii="Courier New" w:hAnsi="Courier New" w:cs="Courier New" w:hint="default"/>
      </w:rPr>
    </w:lvl>
    <w:lvl w:ilvl="8" w:tplc="0C090005" w:tentative="1">
      <w:start w:val="1"/>
      <w:numFmt w:val="bullet"/>
      <w:lvlText w:val=""/>
      <w:lvlJc w:val="left"/>
      <w:pPr>
        <w:ind w:left="6371" w:hanging="360"/>
      </w:pPr>
      <w:rPr>
        <w:rFonts w:ascii="Wingdings" w:hAnsi="Wingdings" w:hint="default"/>
      </w:rPr>
    </w:lvl>
  </w:abstractNum>
  <w:abstractNum w:abstractNumId="21">
    <w:nsid w:val="414F3EE5"/>
    <w:multiLevelType w:val="hybridMultilevel"/>
    <w:tmpl w:val="817E1EEC"/>
    <w:lvl w:ilvl="0" w:tplc="49E2B4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43B4B69"/>
    <w:multiLevelType w:val="hybridMultilevel"/>
    <w:tmpl w:val="0CB623DE"/>
    <w:lvl w:ilvl="0" w:tplc="80E8C9AA">
      <w:start w:val="1"/>
      <w:numFmt w:val="lowerRoman"/>
      <w:lvlText w:val="%1."/>
      <w:lvlJc w:val="left"/>
      <w:pPr>
        <w:ind w:left="2007" w:hanging="72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23">
    <w:nsid w:val="44EA7618"/>
    <w:multiLevelType w:val="hybridMultilevel"/>
    <w:tmpl w:val="9A3685B2"/>
    <w:lvl w:ilvl="0" w:tplc="8ED2AA08">
      <w:start w:val="1"/>
      <w:numFmt w:val="lowerLetter"/>
      <w:lvlText w:val="(%1)"/>
      <w:lvlJc w:val="left"/>
      <w:pPr>
        <w:ind w:left="1004" w:hanging="72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4">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5">
    <w:nsid w:val="4CE06931"/>
    <w:multiLevelType w:val="singleLevel"/>
    <w:tmpl w:val="4366EF18"/>
    <w:lvl w:ilvl="0">
      <w:start w:val="1"/>
      <w:numFmt w:val="lowerLetter"/>
      <w:lvlRestart w:val="0"/>
      <w:pStyle w:val="ChartandTableFootnoteAlpha"/>
      <w:lvlText w:val="(%1)"/>
      <w:lvlJc w:val="left"/>
      <w:pPr>
        <w:tabs>
          <w:tab w:val="num" w:pos="425"/>
        </w:tabs>
        <w:ind w:left="425" w:hanging="283"/>
      </w:pPr>
      <w:rPr>
        <w:rFonts w:ascii="Arial" w:hAnsi="Arial" w:cs="Arial" w:hint="default"/>
        <w:b w:val="0"/>
        <w:i w:val="0"/>
        <w:sz w:val="16"/>
      </w:rPr>
    </w:lvl>
  </w:abstractNum>
  <w:abstractNum w:abstractNumId="26">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27">
    <w:nsid w:val="56E734DD"/>
    <w:multiLevelType w:val="hybridMultilevel"/>
    <w:tmpl w:val="19DA03EE"/>
    <w:lvl w:ilvl="0" w:tplc="D5BC4416">
      <w:start w:val="1"/>
      <w:numFmt w:val="lowerRoman"/>
      <w:lvlText w:val="(%1)"/>
      <w:lvlJc w:val="left"/>
      <w:pPr>
        <w:ind w:left="1854" w:hanging="360"/>
      </w:pPr>
      <w:rPr>
        <w:rFonts w:hint="default"/>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8">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9">
    <w:nsid w:val="59B70749"/>
    <w:multiLevelType w:val="multilevel"/>
    <w:tmpl w:val="E80CA16A"/>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lef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1">
    <w:nsid w:val="60EA3720"/>
    <w:multiLevelType w:val="multilevel"/>
    <w:tmpl w:val="29FE6D26"/>
    <w:lvl w:ilvl="0">
      <w:start w:val="1"/>
      <w:numFmt w:val="lowerLetter"/>
      <w:lvlRestart w:val="0"/>
      <w:lvlText w:val="(%1)"/>
      <w:lvlJc w:val="left"/>
      <w:pPr>
        <w:tabs>
          <w:tab w:val="num" w:pos="1134"/>
        </w:tabs>
        <w:ind w:left="567"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2">
    <w:nsid w:val="6B723DD0"/>
    <w:multiLevelType w:val="hybridMultilevel"/>
    <w:tmpl w:val="2780C394"/>
    <w:lvl w:ilvl="0" w:tplc="D5BC4416">
      <w:start w:val="1"/>
      <w:numFmt w:val="lowerRoman"/>
      <w:lvlText w:val="(%1)"/>
      <w:lvlJc w:val="left"/>
      <w:pPr>
        <w:ind w:left="1854" w:hanging="360"/>
      </w:pPr>
      <w:rPr>
        <w:rFonts w:hint="default"/>
      </w:rPr>
    </w:lvl>
    <w:lvl w:ilvl="1" w:tplc="0C09001B">
      <w:start w:val="1"/>
      <w:numFmt w:val="lowerRoman"/>
      <w:lvlText w:val="%2."/>
      <w:lvlJc w:val="righ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3">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34">
    <w:nsid w:val="71701420"/>
    <w:multiLevelType w:val="hybridMultilevel"/>
    <w:tmpl w:val="D0F61380"/>
    <w:lvl w:ilvl="0" w:tplc="298409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25A3664"/>
    <w:multiLevelType w:val="hybridMultilevel"/>
    <w:tmpl w:val="76D66CBE"/>
    <w:lvl w:ilvl="0" w:tplc="660EB73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7">
    <w:nsid w:val="78854AAC"/>
    <w:multiLevelType w:val="hybridMultilevel"/>
    <w:tmpl w:val="0C5C83D6"/>
    <w:lvl w:ilvl="0" w:tplc="19788C5E">
      <w:start w:val="1"/>
      <w:numFmt w:val="decimal"/>
      <w:lvlText w:val="%1."/>
      <w:lvlJc w:val="left"/>
      <w:pPr>
        <w:tabs>
          <w:tab w:val="num" w:pos="567"/>
        </w:tabs>
        <w:ind w:left="567" w:hanging="567"/>
      </w:pPr>
      <w:rPr>
        <w:rFonts w:ascii="Corbel" w:hAnsi="Corbel"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7AEA25D9"/>
    <w:multiLevelType w:val="multilevel"/>
    <w:tmpl w:val="29FE6D26"/>
    <w:lvl w:ilvl="0">
      <w:start w:val="1"/>
      <w:numFmt w:val="lowerLetter"/>
      <w:lvlRestart w:val="0"/>
      <w:lvlText w:val="(%1)"/>
      <w:lvlJc w:val="left"/>
      <w:pPr>
        <w:tabs>
          <w:tab w:val="num" w:pos="1134"/>
        </w:tabs>
        <w:ind w:left="567"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9">
    <w:nsid w:val="7D50376E"/>
    <w:multiLevelType w:val="hybridMultilevel"/>
    <w:tmpl w:val="5292FC12"/>
    <w:lvl w:ilvl="0" w:tplc="F4561E96">
      <w:start w:val="2"/>
      <w:numFmt w:val="lowerLetter"/>
      <w:lvlText w:val="(%1)"/>
      <w:lvlJc w:val="left"/>
      <w:pPr>
        <w:ind w:left="720" w:hanging="360"/>
      </w:pPr>
      <w:rPr>
        <w:rFonts w:ascii="Corbel" w:hAnsi="Corbel"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2"/>
  </w:num>
  <w:num w:numId="3">
    <w:abstractNumId w:val="25"/>
  </w:num>
  <w:num w:numId="4">
    <w:abstractNumId w:val="28"/>
  </w:num>
  <w:num w:numId="5">
    <w:abstractNumId w:val="6"/>
  </w:num>
  <w:num w:numId="6">
    <w:abstractNumId w:val="30"/>
  </w:num>
  <w:num w:numId="7">
    <w:abstractNumId w:val="17"/>
  </w:num>
  <w:num w:numId="8">
    <w:abstractNumId w:val="8"/>
  </w:num>
  <w:num w:numId="9">
    <w:abstractNumId w:val="13"/>
  </w:num>
  <w:num w:numId="10">
    <w:abstractNumId w:val="37"/>
  </w:num>
  <w:num w:numId="11">
    <w:abstractNumId w:val="3"/>
  </w:num>
  <w:num w:numId="12">
    <w:abstractNumId w:val="26"/>
  </w:num>
  <w:num w:numId="13">
    <w:abstractNumId w:val="33"/>
  </w:num>
  <w:num w:numId="14">
    <w:abstractNumId w:val="24"/>
  </w:num>
  <w:num w:numId="15">
    <w:abstractNumId w:val="29"/>
  </w:num>
  <w:num w:numId="16">
    <w:abstractNumId w:val="36"/>
  </w:num>
  <w:num w:numId="17">
    <w:abstractNumId w:val="11"/>
  </w:num>
  <w:num w:numId="18">
    <w:abstractNumId w:val="14"/>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 w:numId="22">
    <w:abstractNumId w:val="4"/>
  </w:num>
  <w:num w:numId="23">
    <w:abstractNumId w:val="31"/>
  </w:num>
  <w:num w:numId="24">
    <w:abstractNumId w:val="2"/>
  </w:num>
  <w:num w:numId="25">
    <w:abstractNumId w:val="22"/>
  </w:num>
  <w:num w:numId="26">
    <w:abstractNumId w:val="39"/>
  </w:num>
  <w:num w:numId="27">
    <w:abstractNumId w:val="15"/>
  </w:num>
  <w:num w:numId="28">
    <w:abstractNumId w:val="7"/>
  </w:num>
  <w:num w:numId="29">
    <w:abstractNumId w:val="19"/>
  </w:num>
  <w:num w:numId="30">
    <w:abstractNumId w:val="21"/>
  </w:num>
  <w:num w:numId="31">
    <w:abstractNumId w:val="34"/>
  </w:num>
  <w:num w:numId="32">
    <w:abstractNumId w:val="18"/>
  </w:num>
  <w:num w:numId="33">
    <w:abstractNumId w:val="9"/>
  </w:num>
  <w:num w:numId="34">
    <w:abstractNumId w:val="0"/>
  </w:num>
  <w:num w:numId="35">
    <w:abstractNumId w:val="35"/>
  </w:num>
  <w:num w:numId="36">
    <w:abstractNumId w:val="23"/>
  </w:num>
  <w:num w:numId="37">
    <w:abstractNumId w:val="0"/>
  </w:num>
  <w:num w:numId="38">
    <w:abstractNumId w:val="32"/>
  </w:num>
  <w:num w:numId="39">
    <w:abstractNumId w:val="10"/>
  </w:num>
  <w:num w:numId="40">
    <w:abstractNumId w:val="0"/>
  </w:num>
  <w:num w:numId="41">
    <w:abstractNumId w:val="27"/>
  </w:num>
  <w:num w:numId="42">
    <w:abstractNumId w:val="0"/>
  </w:num>
  <w:num w:numId="43">
    <w:abstractNumId w:val="38"/>
  </w:num>
  <w:num w:numId="44">
    <w:abstractNumId w:val="5"/>
  </w:num>
  <w:num w:numId="45">
    <w:abstractNumId w:val="2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nnaway, Jordan">
    <w15:presenceInfo w15:providerId="None" w15:userId="Gannaway, Jor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5A5D"/>
    <w:rsid w:val="00006C7A"/>
    <w:rsid w:val="000076D9"/>
    <w:rsid w:val="00013D84"/>
    <w:rsid w:val="00016D03"/>
    <w:rsid w:val="00021708"/>
    <w:rsid w:val="000261F6"/>
    <w:rsid w:val="00027C15"/>
    <w:rsid w:val="000303B4"/>
    <w:rsid w:val="00030CB2"/>
    <w:rsid w:val="00033BB4"/>
    <w:rsid w:val="000343F1"/>
    <w:rsid w:val="000419CF"/>
    <w:rsid w:val="00042C10"/>
    <w:rsid w:val="00044700"/>
    <w:rsid w:val="00052D4C"/>
    <w:rsid w:val="0005618B"/>
    <w:rsid w:val="00057818"/>
    <w:rsid w:val="0006051B"/>
    <w:rsid w:val="000614F9"/>
    <w:rsid w:val="0006451A"/>
    <w:rsid w:val="0006551D"/>
    <w:rsid w:val="00065679"/>
    <w:rsid w:val="00066883"/>
    <w:rsid w:val="0007004C"/>
    <w:rsid w:val="000724F6"/>
    <w:rsid w:val="00074611"/>
    <w:rsid w:val="00074A62"/>
    <w:rsid w:val="00077080"/>
    <w:rsid w:val="00083E52"/>
    <w:rsid w:val="00086712"/>
    <w:rsid w:val="00091DF8"/>
    <w:rsid w:val="00093CB6"/>
    <w:rsid w:val="00093DD8"/>
    <w:rsid w:val="00096F64"/>
    <w:rsid w:val="00097794"/>
    <w:rsid w:val="000A0C9E"/>
    <w:rsid w:val="000A2703"/>
    <w:rsid w:val="000A5191"/>
    <w:rsid w:val="000B000E"/>
    <w:rsid w:val="000B4080"/>
    <w:rsid w:val="000B7685"/>
    <w:rsid w:val="000C714F"/>
    <w:rsid w:val="000D19D8"/>
    <w:rsid w:val="000D1C37"/>
    <w:rsid w:val="000D3564"/>
    <w:rsid w:val="000D3F68"/>
    <w:rsid w:val="000D4377"/>
    <w:rsid w:val="000D4ECE"/>
    <w:rsid w:val="000D5DF6"/>
    <w:rsid w:val="000D620B"/>
    <w:rsid w:val="000E075D"/>
    <w:rsid w:val="000E2AF6"/>
    <w:rsid w:val="000E36B7"/>
    <w:rsid w:val="000E3C70"/>
    <w:rsid w:val="000E48C3"/>
    <w:rsid w:val="000E6B6F"/>
    <w:rsid w:val="000F0880"/>
    <w:rsid w:val="000F25D5"/>
    <w:rsid w:val="000F6CF6"/>
    <w:rsid w:val="00103363"/>
    <w:rsid w:val="00103FD6"/>
    <w:rsid w:val="001065EE"/>
    <w:rsid w:val="00110F5D"/>
    <w:rsid w:val="001120AC"/>
    <w:rsid w:val="00113385"/>
    <w:rsid w:val="001134AC"/>
    <w:rsid w:val="00115166"/>
    <w:rsid w:val="00115A97"/>
    <w:rsid w:val="0011641B"/>
    <w:rsid w:val="00122DBA"/>
    <w:rsid w:val="0012607E"/>
    <w:rsid w:val="001262B5"/>
    <w:rsid w:val="00132587"/>
    <w:rsid w:val="001404A9"/>
    <w:rsid w:val="00140F43"/>
    <w:rsid w:val="00145D5C"/>
    <w:rsid w:val="00146FEF"/>
    <w:rsid w:val="00151133"/>
    <w:rsid w:val="00156814"/>
    <w:rsid w:val="00160506"/>
    <w:rsid w:val="001629FA"/>
    <w:rsid w:val="00162D1C"/>
    <w:rsid w:val="00163D5A"/>
    <w:rsid w:val="00165CAB"/>
    <w:rsid w:val="00166312"/>
    <w:rsid w:val="00167BB8"/>
    <w:rsid w:val="00172360"/>
    <w:rsid w:val="00172E3A"/>
    <w:rsid w:val="00173F81"/>
    <w:rsid w:val="00174C2A"/>
    <w:rsid w:val="00175FB9"/>
    <w:rsid w:val="00177A0A"/>
    <w:rsid w:val="0018005C"/>
    <w:rsid w:val="00180F76"/>
    <w:rsid w:val="00183EAB"/>
    <w:rsid w:val="00184BFE"/>
    <w:rsid w:val="00185CC1"/>
    <w:rsid w:val="001872F9"/>
    <w:rsid w:val="00187BEB"/>
    <w:rsid w:val="001931E8"/>
    <w:rsid w:val="00194232"/>
    <w:rsid w:val="00194587"/>
    <w:rsid w:val="001954EC"/>
    <w:rsid w:val="0019564B"/>
    <w:rsid w:val="00196A62"/>
    <w:rsid w:val="001A0D25"/>
    <w:rsid w:val="001A1422"/>
    <w:rsid w:val="001A14C1"/>
    <w:rsid w:val="001A3A9A"/>
    <w:rsid w:val="001A3F52"/>
    <w:rsid w:val="001A4093"/>
    <w:rsid w:val="001A6C70"/>
    <w:rsid w:val="001A79C1"/>
    <w:rsid w:val="001A7A15"/>
    <w:rsid w:val="001B093E"/>
    <w:rsid w:val="001B0A55"/>
    <w:rsid w:val="001B1430"/>
    <w:rsid w:val="001B19A0"/>
    <w:rsid w:val="001B1CA3"/>
    <w:rsid w:val="001B3EE5"/>
    <w:rsid w:val="001B447F"/>
    <w:rsid w:val="001B580E"/>
    <w:rsid w:val="001B7933"/>
    <w:rsid w:val="001C346E"/>
    <w:rsid w:val="001C3717"/>
    <w:rsid w:val="001C5CC5"/>
    <w:rsid w:val="001C79EC"/>
    <w:rsid w:val="001D050C"/>
    <w:rsid w:val="001D2C27"/>
    <w:rsid w:val="001D2D1E"/>
    <w:rsid w:val="001D3CAD"/>
    <w:rsid w:val="001D6811"/>
    <w:rsid w:val="001D6E9A"/>
    <w:rsid w:val="001E09AC"/>
    <w:rsid w:val="001E20EC"/>
    <w:rsid w:val="001E4479"/>
    <w:rsid w:val="001E7173"/>
    <w:rsid w:val="001E74D0"/>
    <w:rsid w:val="001E7803"/>
    <w:rsid w:val="001F1D48"/>
    <w:rsid w:val="001F6F39"/>
    <w:rsid w:val="001F6FE8"/>
    <w:rsid w:val="0020144E"/>
    <w:rsid w:val="00202D10"/>
    <w:rsid w:val="0020410B"/>
    <w:rsid w:val="00205E18"/>
    <w:rsid w:val="00206773"/>
    <w:rsid w:val="002069F9"/>
    <w:rsid w:val="00212869"/>
    <w:rsid w:val="00213A0A"/>
    <w:rsid w:val="00215F48"/>
    <w:rsid w:val="002162C2"/>
    <w:rsid w:val="00216FAD"/>
    <w:rsid w:val="00221308"/>
    <w:rsid w:val="00222C97"/>
    <w:rsid w:val="00225761"/>
    <w:rsid w:val="0023338A"/>
    <w:rsid w:val="00233835"/>
    <w:rsid w:val="00241EE9"/>
    <w:rsid w:val="00244500"/>
    <w:rsid w:val="00247D45"/>
    <w:rsid w:val="00250493"/>
    <w:rsid w:val="00252551"/>
    <w:rsid w:val="00252E30"/>
    <w:rsid w:val="002549B4"/>
    <w:rsid w:val="00261ABA"/>
    <w:rsid w:val="00262E18"/>
    <w:rsid w:val="0026571E"/>
    <w:rsid w:val="0026584E"/>
    <w:rsid w:val="00265AC9"/>
    <w:rsid w:val="00271604"/>
    <w:rsid w:val="002738B9"/>
    <w:rsid w:val="00281874"/>
    <w:rsid w:val="002826F1"/>
    <w:rsid w:val="00282C25"/>
    <w:rsid w:val="002836AA"/>
    <w:rsid w:val="00283783"/>
    <w:rsid w:val="00284884"/>
    <w:rsid w:val="00285003"/>
    <w:rsid w:val="002869F5"/>
    <w:rsid w:val="00287DCC"/>
    <w:rsid w:val="00291CF1"/>
    <w:rsid w:val="00292587"/>
    <w:rsid w:val="002A0800"/>
    <w:rsid w:val="002A143D"/>
    <w:rsid w:val="002A3DE9"/>
    <w:rsid w:val="002A493A"/>
    <w:rsid w:val="002A530A"/>
    <w:rsid w:val="002A5884"/>
    <w:rsid w:val="002A6981"/>
    <w:rsid w:val="002B1C50"/>
    <w:rsid w:val="002B207C"/>
    <w:rsid w:val="002B7020"/>
    <w:rsid w:val="002B7922"/>
    <w:rsid w:val="002B7E1B"/>
    <w:rsid w:val="002C2529"/>
    <w:rsid w:val="002C2A03"/>
    <w:rsid w:val="002C2D42"/>
    <w:rsid w:val="002C62B3"/>
    <w:rsid w:val="002C7620"/>
    <w:rsid w:val="002D0114"/>
    <w:rsid w:val="002D122C"/>
    <w:rsid w:val="002D2149"/>
    <w:rsid w:val="002D6EDE"/>
    <w:rsid w:val="002D7415"/>
    <w:rsid w:val="002D7CF9"/>
    <w:rsid w:val="002E1032"/>
    <w:rsid w:val="002E144A"/>
    <w:rsid w:val="002E2DE2"/>
    <w:rsid w:val="002E411C"/>
    <w:rsid w:val="002E492F"/>
    <w:rsid w:val="002E4B66"/>
    <w:rsid w:val="002E5277"/>
    <w:rsid w:val="002F576E"/>
    <w:rsid w:val="002F5B29"/>
    <w:rsid w:val="002F5B54"/>
    <w:rsid w:val="002F5C6C"/>
    <w:rsid w:val="002F636E"/>
    <w:rsid w:val="002F7494"/>
    <w:rsid w:val="002F7E40"/>
    <w:rsid w:val="003003B9"/>
    <w:rsid w:val="003012DA"/>
    <w:rsid w:val="0030195C"/>
    <w:rsid w:val="003061B2"/>
    <w:rsid w:val="00306FB3"/>
    <w:rsid w:val="00307C5C"/>
    <w:rsid w:val="00312CFE"/>
    <w:rsid w:val="00313480"/>
    <w:rsid w:val="00313C98"/>
    <w:rsid w:val="00313FD9"/>
    <w:rsid w:val="003155BD"/>
    <w:rsid w:val="003177B9"/>
    <w:rsid w:val="00321E0A"/>
    <w:rsid w:val="00321FBD"/>
    <w:rsid w:val="00322002"/>
    <w:rsid w:val="00324845"/>
    <w:rsid w:val="00333506"/>
    <w:rsid w:val="00340987"/>
    <w:rsid w:val="003410AA"/>
    <w:rsid w:val="00341921"/>
    <w:rsid w:val="0034465F"/>
    <w:rsid w:val="00352A6B"/>
    <w:rsid w:val="00352EC1"/>
    <w:rsid w:val="00355C60"/>
    <w:rsid w:val="003570F8"/>
    <w:rsid w:val="00361054"/>
    <w:rsid w:val="0036119D"/>
    <w:rsid w:val="003623FB"/>
    <w:rsid w:val="00362793"/>
    <w:rsid w:val="003637A0"/>
    <w:rsid w:val="00363D28"/>
    <w:rsid w:val="0036474E"/>
    <w:rsid w:val="00364CF3"/>
    <w:rsid w:val="00365CAA"/>
    <w:rsid w:val="00367EAB"/>
    <w:rsid w:val="0037043C"/>
    <w:rsid w:val="00371E4B"/>
    <w:rsid w:val="00372573"/>
    <w:rsid w:val="00373846"/>
    <w:rsid w:val="00374A77"/>
    <w:rsid w:val="00377AB2"/>
    <w:rsid w:val="003802E8"/>
    <w:rsid w:val="0038080A"/>
    <w:rsid w:val="003849C7"/>
    <w:rsid w:val="003877C3"/>
    <w:rsid w:val="0039283B"/>
    <w:rsid w:val="00396420"/>
    <w:rsid w:val="00396EA4"/>
    <w:rsid w:val="003A0837"/>
    <w:rsid w:val="003A2157"/>
    <w:rsid w:val="003A3363"/>
    <w:rsid w:val="003A3905"/>
    <w:rsid w:val="003A3CC1"/>
    <w:rsid w:val="003A6635"/>
    <w:rsid w:val="003A6B0E"/>
    <w:rsid w:val="003A78C6"/>
    <w:rsid w:val="003B2752"/>
    <w:rsid w:val="003B5562"/>
    <w:rsid w:val="003B6363"/>
    <w:rsid w:val="003B737F"/>
    <w:rsid w:val="003C0AA9"/>
    <w:rsid w:val="003C0CF7"/>
    <w:rsid w:val="003C1058"/>
    <w:rsid w:val="003C2BA0"/>
    <w:rsid w:val="003C2E5D"/>
    <w:rsid w:val="003C59E0"/>
    <w:rsid w:val="003C6F2A"/>
    <w:rsid w:val="003D1EBF"/>
    <w:rsid w:val="003D6E62"/>
    <w:rsid w:val="003D743C"/>
    <w:rsid w:val="003E33BA"/>
    <w:rsid w:val="003E6BA0"/>
    <w:rsid w:val="003E73DB"/>
    <w:rsid w:val="003F0ADC"/>
    <w:rsid w:val="003F4486"/>
    <w:rsid w:val="003F59E6"/>
    <w:rsid w:val="003F5BE6"/>
    <w:rsid w:val="003F6C00"/>
    <w:rsid w:val="003F6FAF"/>
    <w:rsid w:val="00400E98"/>
    <w:rsid w:val="004120B1"/>
    <w:rsid w:val="00412246"/>
    <w:rsid w:val="0041309A"/>
    <w:rsid w:val="00413E74"/>
    <w:rsid w:val="0041421D"/>
    <w:rsid w:val="0041490D"/>
    <w:rsid w:val="00414A5C"/>
    <w:rsid w:val="004156B4"/>
    <w:rsid w:val="0041697F"/>
    <w:rsid w:val="00417C0C"/>
    <w:rsid w:val="00420235"/>
    <w:rsid w:val="004206BC"/>
    <w:rsid w:val="004219CD"/>
    <w:rsid w:val="004223AA"/>
    <w:rsid w:val="00423104"/>
    <w:rsid w:val="004267D3"/>
    <w:rsid w:val="00427E2A"/>
    <w:rsid w:val="00433D24"/>
    <w:rsid w:val="00433E65"/>
    <w:rsid w:val="00434E38"/>
    <w:rsid w:val="004374B2"/>
    <w:rsid w:val="00442AB8"/>
    <w:rsid w:val="004436EA"/>
    <w:rsid w:val="0044456C"/>
    <w:rsid w:val="00450688"/>
    <w:rsid w:val="00450B39"/>
    <w:rsid w:val="00453BC6"/>
    <w:rsid w:val="00454498"/>
    <w:rsid w:val="004565A3"/>
    <w:rsid w:val="00456C59"/>
    <w:rsid w:val="00460F68"/>
    <w:rsid w:val="00465568"/>
    <w:rsid w:val="0046752C"/>
    <w:rsid w:val="00477931"/>
    <w:rsid w:val="00482166"/>
    <w:rsid w:val="00483CDD"/>
    <w:rsid w:val="00485B56"/>
    <w:rsid w:val="00490198"/>
    <w:rsid w:val="00490E28"/>
    <w:rsid w:val="00493099"/>
    <w:rsid w:val="00495110"/>
    <w:rsid w:val="00495E34"/>
    <w:rsid w:val="00497362"/>
    <w:rsid w:val="00497C77"/>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69F7"/>
    <w:rsid w:val="004B720A"/>
    <w:rsid w:val="004B7E5C"/>
    <w:rsid w:val="004C2A06"/>
    <w:rsid w:val="004C3CC4"/>
    <w:rsid w:val="004C4D5E"/>
    <w:rsid w:val="004C5D4A"/>
    <w:rsid w:val="004C68CD"/>
    <w:rsid w:val="004D11ED"/>
    <w:rsid w:val="004D1F58"/>
    <w:rsid w:val="004D310E"/>
    <w:rsid w:val="004D31A0"/>
    <w:rsid w:val="004D334F"/>
    <w:rsid w:val="004D37D8"/>
    <w:rsid w:val="004D3A51"/>
    <w:rsid w:val="004D3B6C"/>
    <w:rsid w:val="004D4882"/>
    <w:rsid w:val="004D4B81"/>
    <w:rsid w:val="004D5AE7"/>
    <w:rsid w:val="004E709A"/>
    <w:rsid w:val="004F057A"/>
    <w:rsid w:val="004F184F"/>
    <w:rsid w:val="004F1B3D"/>
    <w:rsid w:val="004F6B2B"/>
    <w:rsid w:val="004F7936"/>
    <w:rsid w:val="0050042A"/>
    <w:rsid w:val="00500582"/>
    <w:rsid w:val="005005DF"/>
    <w:rsid w:val="00502050"/>
    <w:rsid w:val="005023AD"/>
    <w:rsid w:val="00505045"/>
    <w:rsid w:val="00506556"/>
    <w:rsid w:val="00510B96"/>
    <w:rsid w:val="00511501"/>
    <w:rsid w:val="00511B5B"/>
    <w:rsid w:val="00513B93"/>
    <w:rsid w:val="00515AF2"/>
    <w:rsid w:val="0051640E"/>
    <w:rsid w:val="00516741"/>
    <w:rsid w:val="0051684E"/>
    <w:rsid w:val="005172F5"/>
    <w:rsid w:val="005202E3"/>
    <w:rsid w:val="005267DC"/>
    <w:rsid w:val="00527ABC"/>
    <w:rsid w:val="00535529"/>
    <w:rsid w:val="0054193D"/>
    <w:rsid w:val="0054281C"/>
    <w:rsid w:val="00542A8C"/>
    <w:rsid w:val="00542D59"/>
    <w:rsid w:val="00543637"/>
    <w:rsid w:val="00544B9C"/>
    <w:rsid w:val="00545DF7"/>
    <w:rsid w:val="00546CA2"/>
    <w:rsid w:val="005539F5"/>
    <w:rsid w:val="0055415C"/>
    <w:rsid w:val="00554AAC"/>
    <w:rsid w:val="0055503F"/>
    <w:rsid w:val="005554D4"/>
    <w:rsid w:val="005572D7"/>
    <w:rsid w:val="005574D9"/>
    <w:rsid w:val="00563797"/>
    <w:rsid w:val="005651B5"/>
    <w:rsid w:val="00566234"/>
    <w:rsid w:val="0057262B"/>
    <w:rsid w:val="00575BC6"/>
    <w:rsid w:val="005815B3"/>
    <w:rsid w:val="00582A03"/>
    <w:rsid w:val="00583E64"/>
    <w:rsid w:val="00585355"/>
    <w:rsid w:val="0058549C"/>
    <w:rsid w:val="00585BF6"/>
    <w:rsid w:val="00587157"/>
    <w:rsid w:val="005874C6"/>
    <w:rsid w:val="00587E37"/>
    <w:rsid w:val="00593821"/>
    <w:rsid w:val="00594284"/>
    <w:rsid w:val="005957A5"/>
    <w:rsid w:val="00596E88"/>
    <w:rsid w:val="00597CBD"/>
    <w:rsid w:val="005A0969"/>
    <w:rsid w:val="005A5E7A"/>
    <w:rsid w:val="005A60AF"/>
    <w:rsid w:val="005B0CC1"/>
    <w:rsid w:val="005B0DEF"/>
    <w:rsid w:val="005B2A03"/>
    <w:rsid w:val="005B4C1B"/>
    <w:rsid w:val="005C2684"/>
    <w:rsid w:val="005C2DDC"/>
    <w:rsid w:val="005C5620"/>
    <w:rsid w:val="005C578C"/>
    <w:rsid w:val="005D16BB"/>
    <w:rsid w:val="005D1F0F"/>
    <w:rsid w:val="005D29DB"/>
    <w:rsid w:val="005D3E82"/>
    <w:rsid w:val="005D41F9"/>
    <w:rsid w:val="005E4143"/>
    <w:rsid w:val="005E724B"/>
    <w:rsid w:val="005E734C"/>
    <w:rsid w:val="005F123C"/>
    <w:rsid w:val="00601F7C"/>
    <w:rsid w:val="00602A48"/>
    <w:rsid w:val="00602EF7"/>
    <w:rsid w:val="00603538"/>
    <w:rsid w:val="006037FA"/>
    <w:rsid w:val="00604AC7"/>
    <w:rsid w:val="00606B54"/>
    <w:rsid w:val="00606F11"/>
    <w:rsid w:val="00607B03"/>
    <w:rsid w:val="0061059D"/>
    <w:rsid w:val="00610F29"/>
    <w:rsid w:val="0061326F"/>
    <w:rsid w:val="00614393"/>
    <w:rsid w:val="006146F2"/>
    <w:rsid w:val="00614C00"/>
    <w:rsid w:val="0062033D"/>
    <w:rsid w:val="00623567"/>
    <w:rsid w:val="00623AC7"/>
    <w:rsid w:val="0063164D"/>
    <w:rsid w:val="00631CC5"/>
    <w:rsid w:val="006412B5"/>
    <w:rsid w:val="00641932"/>
    <w:rsid w:val="00643E8A"/>
    <w:rsid w:val="00644083"/>
    <w:rsid w:val="0064429B"/>
    <w:rsid w:val="0064477C"/>
    <w:rsid w:val="00644906"/>
    <w:rsid w:val="006452F7"/>
    <w:rsid w:val="0064615B"/>
    <w:rsid w:val="00646FE4"/>
    <w:rsid w:val="00650903"/>
    <w:rsid w:val="00660C79"/>
    <w:rsid w:val="00662B2C"/>
    <w:rsid w:val="00664810"/>
    <w:rsid w:val="006650A8"/>
    <w:rsid w:val="00665D78"/>
    <w:rsid w:val="006679C0"/>
    <w:rsid w:val="00670E58"/>
    <w:rsid w:val="00671314"/>
    <w:rsid w:val="0067289A"/>
    <w:rsid w:val="00672DA9"/>
    <w:rsid w:val="00680ED5"/>
    <w:rsid w:val="00681956"/>
    <w:rsid w:val="00682FBA"/>
    <w:rsid w:val="00683370"/>
    <w:rsid w:val="00684223"/>
    <w:rsid w:val="00684D3D"/>
    <w:rsid w:val="00684EC1"/>
    <w:rsid w:val="006903F9"/>
    <w:rsid w:val="00691507"/>
    <w:rsid w:val="006923C8"/>
    <w:rsid w:val="00696842"/>
    <w:rsid w:val="00696AB4"/>
    <w:rsid w:val="00697494"/>
    <w:rsid w:val="006976BF"/>
    <w:rsid w:val="006A05D7"/>
    <w:rsid w:val="006A11A2"/>
    <w:rsid w:val="006A4628"/>
    <w:rsid w:val="006A5004"/>
    <w:rsid w:val="006B0DFD"/>
    <w:rsid w:val="006B0DFE"/>
    <w:rsid w:val="006B3038"/>
    <w:rsid w:val="006B3F39"/>
    <w:rsid w:val="006B4213"/>
    <w:rsid w:val="006B43AF"/>
    <w:rsid w:val="006B47E0"/>
    <w:rsid w:val="006B4DF0"/>
    <w:rsid w:val="006B78FD"/>
    <w:rsid w:val="006C04FE"/>
    <w:rsid w:val="006C1013"/>
    <w:rsid w:val="006C163A"/>
    <w:rsid w:val="006C228B"/>
    <w:rsid w:val="006C2931"/>
    <w:rsid w:val="006C5B09"/>
    <w:rsid w:val="006C6DB9"/>
    <w:rsid w:val="006D466E"/>
    <w:rsid w:val="006D4B70"/>
    <w:rsid w:val="006D4C35"/>
    <w:rsid w:val="006D4E4E"/>
    <w:rsid w:val="006D6E3C"/>
    <w:rsid w:val="006D7A92"/>
    <w:rsid w:val="006E0ED4"/>
    <w:rsid w:val="006E3B48"/>
    <w:rsid w:val="006E6184"/>
    <w:rsid w:val="006E631B"/>
    <w:rsid w:val="006E7571"/>
    <w:rsid w:val="006F096A"/>
    <w:rsid w:val="006F22E3"/>
    <w:rsid w:val="006F3095"/>
    <w:rsid w:val="006F5455"/>
    <w:rsid w:val="006F5CB6"/>
    <w:rsid w:val="006F79D3"/>
    <w:rsid w:val="00702E4D"/>
    <w:rsid w:val="00703194"/>
    <w:rsid w:val="00706E50"/>
    <w:rsid w:val="0070737C"/>
    <w:rsid w:val="00711229"/>
    <w:rsid w:val="00713459"/>
    <w:rsid w:val="00715018"/>
    <w:rsid w:val="007179FE"/>
    <w:rsid w:val="00717F25"/>
    <w:rsid w:val="007201B1"/>
    <w:rsid w:val="007201D7"/>
    <w:rsid w:val="00724E14"/>
    <w:rsid w:val="00725321"/>
    <w:rsid w:val="00725AD5"/>
    <w:rsid w:val="00726DB5"/>
    <w:rsid w:val="00726EB4"/>
    <w:rsid w:val="00731945"/>
    <w:rsid w:val="00733AD3"/>
    <w:rsid w:val="007363DE"/>
    <w:rsid w:val="0073698D"/>
    <w:rsid w:val="00736C0B"/>
    <w:rsid w:val="00744D93"/>
    <w:rsid w:val="00746531"/>
    <w:rsid w:val="0075107B"/>
    <w:rsid w:val="00751725"/>
    <w:rsid w:val="00752028"/>
    <w:rsid w:val="0075450A"/>
    <w:rsid w:val="0075717D"/>
    <w:rsid w:val="0076017E"/>
    <w:rsid w:val="00760DB6"/>
    <w:rsid w:val="0076361C"/>
    <w:rsid w:val="007661AE"/>
    <w:rsid w:val="0076659C"/>
    <w:rsid w:val="00766A51"/>
    <w:rsid w:val="00766C65"/>
    <w:rsid w:val="00766CEE"/>
    <w:rsid w:val="00770E97"/>
    <w:rsid w:val="00771F77"/>
    <w:rsid w:val="00771FFF"/>
    <w:rsid w:val="00772818"/>
    <w:rsid w:val="0077685D"/>
    <w:rsid w:val="0077788E"/>
    <w:rsid w:val="007810CC"/>
    <w:rsid w:val="00784439"/>
    <w:rsid w:val="00787E75"/>
    <w:rsid w:val="007900CD"/>
    <w:rsid w:val="00790B5D"/>
    <w:rsid w:val="00791CCE"/>
    <w:rsid w:val="007964B3"/>
    <w:rsid w:val="00797257"/>
    <w:rsid w:val="007A3157"/>
    <w:rsid w:val="007A38F6"/>
    <w:rsid w:val="007A6E20"/>
    <w:rsid w:val="007B10ED"/>
    <w:rsid w:val="007B2B2E"/>
    <w:rsid w:val="007B3BFC"/>
    <w:rsid w:val="007B4B03"/>
    <w:rsid w:val="007B7C70"/>
    <w:rsid w:val="007C4F31"/>
    <w:rsid w:val="007E4B13"/>
    <w:rsid w:val="007E5257"/>
    <w:rsid w:val="007E5391"/>
    <w:rsid w:val="007E633C"/>
    <w:rsid w:val="007F4EF5"/>
    <w:rsid w:val="00804105"/>
    <w:rsid w:val="00806D94"/>
    <w:rsid w:val="00807AD8"/>
    <w:rsid w:val="00810C04"/>
    <w:rsid w:val="00811800"/>
    <w:rsid w:val="00812E1C"/>
    <w:rsid w:val="00813CFF"/>
    <w:rsid w:val="008140C5"/>
    <w:rsid w:val="00814590"/>
    <w:rsid w:val="00814667"/>
    <w:rsid w:val="008148E2"/>
    <w:rsid w:val="008149E4"/>
    <w:rsid w:val="008156B7"/>
    <w:rsid w:val="008171B0"/>
    <w:rsid w:val="00817D90"/>
    <w:rsid w:val="00822355"/>
    <w:rsid w:val="0082332D"/>
    <w:rsid w:val="0082402C"/>
    <w:rsid w:val="00824055"/>
    <w:rsid w:val="00824089"/>
    <w:rsid w:val="00825FF5"/>
    <w:rsid w:val="008262F1"/>
    <w:rsid w:val="008311FA"/>
    <w:rsid w:val="0083144D"/>
    <w:rsid w:val="008317EF"/>
    <w:rsid w:val="0083687E"/>
    <w:rsid w:val="00845BCC"/>
    <w:rsid w:val="008461C2"/>
    <w:rsid w:val="00851465"/>
    <w:rsid w:val="008514B8"/>
    <w:rsid w:val="00852ED8"/>
    <w:rsid w:val="0085330A"/>
    <w:rsid w:val="008550CA"/>
    <w:rsid w:val="0085533A"/>
    <w:rsid w:val="00855543"/>
    <w:rsid w:val="0085738D"/>
    <w:rsid w:val="00860EFC"/>
    <w:rsid w:val="00862395"/>
    <w:rsid w:val="00864DD3"/>
    <w:rsid w:val="008656A7"/>
    <w:rsid w:val="00866EB7"/>
    <w:rsid w:val="008708D6"/>
    <w:rsid w:val="00874608"/>
    <w:rsid w:val="008760D0"/>
    <w:rsid w:val="00881317"/>
    <w:rsid w:val="008843EE"/>
    <w:rsid w:val="00887F2D"/>
    <w:rsid w:val="00892666"/>
    <w:rsid w:val="00892CA4"/>
    <w:rsid w:val="00893507"/>
    <w:rsid w:val="0089350C"/>
    <w:rsid w:val="0089419C"/>
    <w:rsid w:val="00895087"/>
    <w:rsid w:val="00896477"/>
    <w:rsid w:val="00896BD6"/>
    <w:rsid w:val="00896F5A"/>
    <w:rsid w:val="008A23FD"/>
    <w:rsid w:val="008A3C37"/>
    <w:rsid w:val="008A4966"/>
    <w:rsid w:val="008B014B"/>
    <w:rsid w:val="008B1840"/>
    <w:rsid w:val="008B2179"/>
    <w:rsid w:val="008B2B1A"/>
    <w:rsid w:val="008B70D3"/>
    <w:rsid w:val="008B73A2"/>
    <w:rsid w:val="008B7FE2"/>
    <w:rsid w:val="008C0BBA"/>
    <w:rsid w:val="008C2450"/>
    <w:rsid w:val="008C27F4"/>
    <w:rsid w:val="008C4739"/>
    <w:rsid w:val="008C7817"/>
    <w:rsid w:val="008C7F5B"/>
    <w:rsid w:val="008D079A"/>
    <w:rsid w:val="008D240E"/>
    <w:rsid w:val="008D2F40"/>
    <w:rsid w:val="008D5B52"/>
    <w:rsid w:val="008D7EA2"/>
    <w:rsid w:val="008E0AD6"/>
    <w:rsid w:val="008E4209"/>
    <w:rsid w:val="008E48FC"/>
    <w:rsid w:val="008E55BD"/>
    <w:rsid w:val="008E7527"/>
    <w:rsid w:val="008F2AD6"/>
    <w:rsid w:val="008F44F1"/>
    <w:rsid w:val="008F4BA8"/>
    <w:rsid w:val="008F5C07"/>
    <w:rsid w:val="008F696D"/>
    <w:rsid w:val="008F7777"/>
    <w:rsid w:val="00901CF5"/>
    <w:rsid w:val="00901F53"/>
    <w:rsid w:val="00906431"/>
    <w:rsid w:val="00910D15"/>
    <w:rsid w:val="009115AF"/>
    <w:rsid w:val="009121E1"/>
    <w:rsid w:val="00913276"/>
    <w:rsid w:val="00913DA6"/>
    <w:rsid w:val="00914DE1"/>
    <w:rsid w:val="009221DF"/>
    <w:rsid w:val="009224FD"/>
    <w:rsid w:val="00924CFB"/>
    <w:rsid w:val="00926EC5"/>
    <w:rsid w:val="00932661"/>
    <w:rsid w:val="0093296C"/>
    <w:rsid w:val="00934103"/>
    <w:rsid w:val="00935CC7"/>
    <w:rsid w:val="0094002F"/>
    <w:rsid w:val="0094129D"/>
    <w:rsid w:val="00941BB7"/>
    <w:rsid w:val="00944760"/>
    <w:rsid w:val="00946A91"/>
    <w:rsid w:val="00946AE5"/>
    <w:rsid w:val="00950865"/>
    <w:rsid w:val="009510D1"/>
    <w:rsid w:val="00951BAD"/>
    <w:rsid w:val="0095223D"/>
    <w:rsid w:val="009526E4"/>
    <w:rsid w:val="00953AA1"/>
    <w:rsid w:val="0095485E"/>
    <w:rsid w:val="00954B44"/>
    <w:rsid w:val="009644B8"/>
    <w:rsid w:val="00964975"/>
    <w:rsid w:val="0096732C"/>
    <w:rsid w:val="009703B6"/>
    <w:rsid w:val="00971A4C"/>
    <w:rsid w:val="00975EB5"/>
    <w:rsid w:val="00983979"/>
    <w:rsid w:val="00983DC2"/>
    <w:rsid w:val="00983DF0"/>
    <w:rsid w:val="009859BE"/>
    <w:rsid w:val="0099742A"/>
    <w:rsid w:val="009A0446"/>
    <w:rsid w:val="009A062C"/>
    <w:rsid w:val="009A48AF"/>
    <w:rsid w:val="009A522D"/>
    <w:rsid w:val="009B0C68"/>
    <w:rsid w:val="009B3392"/>
    <w:rsid w:val="009B3F77"/>
    <w:rsid w:val="009B5132"/>
    <w:rsid w:val="009C166A"/>
    <w:rsid w:val="009C2059"/>
    <w:rsid w:val="009C27B9"/>
    <w:rsid w:val="009C5D1B"/>
    <w:rsid w:val="009C5D7E"/>
    <w:rsid w:val="009C62B2"/>
    <w:rsid w:val="009C6FFB"/>
    <w:rsid w:val="009C7EF5"/>
    <w:rsid w:val="009D0C93"/>
    <w:rsid w:val="009D1265"/>
    <w:rsid w:val="009D2406"/>
    <w:rsid w:val="009D2FAC"/>
    <w:rsid w:val="009E093C"/>
    <w:rsid w:val="009E1311"/>
    <w:rsid w:val="009E151E"/>
    <w:rsid w:val="009E39E3"/>
    <w:rsid w:val="009E3ACF"/>
    <w:rsid w:val="009E3AFB"/>
    <w:rsid w:val="009E5DB6"/>
    <w:rsid w:val="009F777E"/>
    <w:rsid w:val="009F7F52"/>
    <w:rsid w:val="00A01D12"/>
    <w:rsid w:val="00A0202C"/>
    <w:rsid w:val="00A0227E"/>
    <w:rsid w:val="00A05C1E"/>
    <w:rsid w:val="00A05E10"/>
    <w:rsid w:val="00A0603F"/>
    <w:rsid w:val="00A112E6"/>
    <w:rsid w:val="00A11DB9"/>
    <w:rsid w:val="00A1446E"/>
    <w:rsid w:val="00A14966"/>
    <w:rsid w:val="00A15CAB"/>
    <w:rsid w:val="00A16E8F"/>
    <w:rsid w:val="00A17BC3"/>
    <w:rsid w:val="00A17CCB"/>
    <w:rsid w:val="00A201DE"/>
    <w:rsid w:val="00A211A9"/>
    <w:rsid w:val="00A2422A"/>
    <w:rsid w:val="00A24AC3"/>
    <w:rsid w:val="00A25265"/>
    <w:rsid w:val="00A26FC8"/>
    <w:rsid w:val="00A303A1"/>
    <w:rsid w:val="00A31C96"/>
    <w:rsid w:val="00A36CE7"/>
    <w:rsid w:val="00A42386"/>
    <w:rsid w:val="00A50751"/>
    <w:rsid w:val="00A50E72"/>
    <w:rsid w:val="00A538C2"/>
    <w:rsid w:val="00A54B81"/>
    <w:rsid w:val="00A54BE7"/>
    <w:rsid w:val="00A564EB"/>
    <w:rsid w:val="00A613BC"/>
    <w:rsid w:val="00A6500A"/>
    <w:rsid w:val="00A65333"/>
    <w:rsid w:val="00A67095"/>
    <w:rsid w:val="00A6719E"/>
    <w:rsid w:val="00A71761"/>
    <w:rsid w:val="00A739F1"/>
    <w:rsid w:val="00A758DE"/>
    <w:rsid w:val="00A8189A"/>
    <w:rsid w:val="00A81C2E"/>
    <w:rsid w:val="00A81EC4"/>
    <w:rsid w:val="00A8478F"/>
    <w:rsid w:val="00A858C4"/>
    <w:rsid w:val="00A90AAD"/>
    <w:rsid w:val="00A90BA5"/>
    <w:rsid w:val="00A90DDE"/>
    <w:rsid w:val="00A9141E"/>
    <w:rsid w:val="00A9341B"/>
    <w:rsid w:val="00A974CA"/>
    <w:rsid w:val="00AA2CD5"/>
    <w:rsid w:val="00AA4F6C"/>
    <w:rsid w:val="00AB0B19"/>
    <w:rsid w:val="00AB16AE"/>
    <w:rsid w:val="00AB301E"/>
    <w:rsid w:val="00AB392A"/>
    <w:rsid w:val="00AB5801"/>
    <w:rsid w:val="00AB5A64"/>
    <w:rsid w:val="00AB71A5"/>
    <w:rsid w:val="00AB76C6"/>
    <w:rsid w:val="00AB79E9"/>
    <w:rsid w:val="00AC5567"/>
    <w:rsid w:val="00AD04F4"/>
    <w:rsid w:val="00AD576C"/>
    <w:rsid w:val="00AD5B8E"/>
    <w:rsid w:val="00AD670F"/>
    <w:rsid w:val="00AD6C71"/>
    <w:rsid w:val="00AD7222"/>
    <w:rsid w:val="00AE1E4B"/>
    <w:rsid w:val="00AE1E54"/>
    <w:rsid w:val="00AE2AFD"/>
    <w:rsid w:val="00AE4372"/>
    <w:rsid w:val="00AE478A"/>
    <w:rsid w:val="00AE51E9"/>
    <w:rsid w:val="00AF0C8D"/>
    <w:rsid w:val="00AF3869"/>
    <w:rsid w:val="00AF4B54"/>
    <w:rsid w:val="00AF522E"/>
    <w:rsid w:val="00AF6E0E"/>
    <w:rsid w:val="00B00778"/>
    <w:rsid w:val="00B0203A"/>
    <w:rsid w:val="00B0438C"/>
    <w:rsid w:val="00B04E8C"/>
    <w:rsid w:val="00B050C0"/>
    <w:rsid w:val="00B05642"/>
    <w:rsid w:val="00B05869"/>
    <w:rsid w:val="00B06097"/>
    <w:rsid w:val="00B062F3"/>
    <w:rsid w:val="00B10045"/>
    <w:rsid w:val="00B100DF"/>
    <w:rsid w:val="00B10CAE"/>
    <w:rsid w:val="00B112EA"/>
    <w:rsid w:val="00B114B6"/>
    <w:rsid w:val="00B12190"/>
    <w:rsid w:val="00B1294B"/>
    <w:rsid w:val="00B137C3"/>
    <w:rsid w:val="00B171BB"/>
    <w:rsid w:val="00B2247A"/>
    <w:rsid w:val="00B23E0E"/>
    <w:rsid w:val="00B3085F"/>
    <w:rsid w:val="00B32FF1"/>
    <w:rsid w:val="00B36551"/>
    <w:rsid w:val="00B36E9E"/>
    <w:rsid w:val="00B40E38"/>
    <w:rsid w:val="00B4375B"/>
    <w:rsid w:val="00B438C9"/>
    <w:rsid w:val="00B43AB0"/>
    <w:rsid w:val="00B45C9E"/>
    <w:rsid w:val="00B4693D"/>
    <w:rsid w:val="00B47E82"/>
    <w:rsid w:val="00B51ACE"/>
    <w:rsid w:val="00B52A16"/>
    <w:rsid w:val="00B54917"/>
    <w:rsid w:val="00B619AA"/>
    <w:rsid w:val="00B623D7"/>
    <w:rsid w:val="00B64F4B"/>
    <w:rsid w:val="00B66E7A"/>
    <w:rsid w:val="00B70338"/>
    <w:rsid w:val="00B71422"/>
    <w:rsid w:val="00B76986"/>
    <w:rsid w:val="00B8096A"/>
    <w:rsid w:val="00B80FB1"/>
    <w:rsid w:val="00B91564"/>
    <w:rsid w:val="00B91748"/>
    <w:rsid w:val="00B9206A"/>
    <w:rsid w:val="00B9279E"/>
    <w:rsid w:val="00B937E4"/>
    <w:rsid w:val="00BA1CFA"/>
    <w:rsid w:val="00BA4284"/>
    <w:rsid w:val="00BA6399"/>
    <w:rsid w:val="00BC1029"/>
    <w:rsid w:val="00BC1B51"/>
    <w:rsid w:val="00BC2720"/>
    <w:rsid w:val="00BC45B0"/>
    <w:rsid w:val="00BC4728"/>
    <w:rsid w:val="00BC49B6"/>
    <w:rsid w:val="00BC4BF4"/>
    <w:rsid w:val="00BC60B3"/>
    <w:rsid w:val="00BD2253"/>
    <w:rsid w:val="00BD3E91"/>
    <w:rsid w:val="00BD7496"/>
    <w:rsid w:val="00BE042D"/>
    <w:rsid w:val="00BE30A0"/>
    <w:rsid w:val="00BE3EA9"/>
    <w:rsid w:val="00BE4802"/>
    <w:rsid w:val="00BE7212"/>
    <w:rsid w:val="00BF0D7C"/>
    <w:rsid w:val="00BF331F"/>
    <w:rsid w:val="00C04786"/>
    <w:rsid w:val="00C053A4"/>
    <w:rsid w:val="00C05CC6"/>
    <w:rsid w:val="00C068C7"/>
    <w:rsid w:val="00C073C2"/>
    <w:rsid w:val="00C07A08"/>
    <w:rsid w:val="00C13C12"/>
    <w:rsid w:val="00C160F4"/>
    <w:rsid w:val="00C1780F"/>
    <w:rsid w:val="00C20783"/>
    <w:rsid w:val="00C20F99"/>
    <w:rsid w:val="00C2120D"/>
    <w:rsid w:val="00C215E7"/>
    <w:rsid w:val="00C233E9"/>
    <w:rsid w:val="00C23701"/>
    <w:rsid w:val="00C23A4B"/>
    <w:rsid w:val="00C252C1"/>
    <w:rsid w:val="00C2605C"/>
    <w:rsid w:val="00C26C5B"/>
    <w:rsid w:val="00C2711B"/>
    <w:rsid w:val="00C303B4"/>
    <w:rsid w:val="00C314DC"/>
    <w:rsid w:val="00C3762D"/>
    <w:rsid w:val="00C40EBC"/>
    <w:rsid w:val="00C41265"/>
    <w:rsid w:val="00C4202E"/>
    <w:rsid w:val="00C42ACA"/>
    <w:rsid w:val="00C44613"/>
    <w:rsid w:val="00C50EB0"/>
    <w:rsid w:val="00C51308"/>
    <w:rsid w:val="00C5191B"/>
    <w:rsid w:val="00C51F78"/>
    <w:rsid w:val="00C539F8"/>
    <w:rsid w:val="00C53A47"/>
    <w:rsid w:val="00C5582B"/>
    <w:rsid w:val="00C57BB9"/>
    <w:rsid w:val="00C606F6"/>
    <w:rsid w:val="00C6082E"/>
    <w:rsid w:val="00C61699"/>
    <w:rsid w:val="00C61DF4"/>
    <w:rsid w:val="00C62B02"/>
    <w:rsid w:val="00C64908"/>
    <w:rsid w:val="00C705B5"/>
    <w:rsid w:val="00C7093C"/>
    <w:rsid w:val="00C71F5D"/>
    <w:rsid w:val="00C738BD"/>
    <w:rsid w:val="00C74894"/>
    <w:rsid w:val="00C75D40"/>
    <w:rsid w:val="00C83627"/>
    <w:rsid w:val="00C85E44"/>
    <w:rsid w:val="00C92F94"/>
    <w:rsid w:val="00C95D81"/>
    <w:rsid w:val="00C960AA"/>
    <w:rsid w:val="00CA121E"/>
    <w:rsid w:val="00CA19B9"/>
    <w:rsid w:val="00CA44EE"/>
    <w:rsid w:val="00CA501D"/>
    <w:rsid w:val="00CA55C4"/>
    <w:rsid w:val="00CA67E9"/>
    <w:rsid w:val="00CB1789"/>
    <w:rsid w:val="00CB1CB2"/>
    <w:rsid w:val="00CB2557"/>
    <w:rsid w:val="00CB39FD"/>
    <w:rsid w:val="00CB3AFB"/>
    <w:rsid w:val="00CB44C4"/>
    <w:rsid w:val="00CB47FE"/>
    <w:rsid w:val="00CB4D35"/>
    <w:rsid w:val="00CB5354"/>
    <w:rsid w:val="00CB6703"/>
    <w:rsid w:val="00CB6C4B"/>
    <w:rsid w:val="00CC39B1"/>
    <w:rsid w:val="00CC4210"/>
    <w:rsid w:val="00CC4AA1"/>
    <w:rsid w:val="00CD13F5"/>
    <w:rsid w:val="00CD526B"/>
    <w:rsid w:val="00CD5B93"/>
    <w:rsid w:val="00CD5D06"/>
    <w:rsid w:val="00CD63EE"/>
    <w:rsid w:val="00CD6604"/>
    <w:rsid w:val="00CD697A"/>
    <w:rsid w:val="00CD7039"/>
    <w:rsid w:val="00CE333F"/>
    <w:rsid w:val="00CE3B32"/>
    <w:rsid w:val="00CE3B76"/>
    <w:rsid w:val="00CE42DA"/>
    <w:rsid w:val="00CE4A24"/>
    <w:rsid w:val="00CE5AF1"/>
    <w:rsid w:val="00CE5BC5"/>
    <w:rsid w:val="00CE5BD1"/>
    <w:rsid w:val="00CE613B"/>
    <w:rsid w:val="00CE6176"/>
    <w:rsid w:val="00CE7403"/>
    <w:rsid w:val="00CE7545"/>
    <w:rsid w:val="00CF0826"/>
    <w:rsid w:val="00CF0D8A"/>
    <w:rsid w:val="00CF267F"/>
    <w:rsid w:val="00CF302A"/>
    <w:rsid w:val="00CF7DA0"/>
    <w:rsid w:val="00D0312C"/>
    <w:rsid w:val="00D0312F"/>
    <w:rsid w:val="00D03DFA"/>
    <w:rsid w:val="00D04614"/>
    <w:rsid w:val="00D05A20"/>
    <w:rsid w:val="00D142A4"/>
    <w:rsid w:val="00D1723F"/>
    <w:rsid w:val="00D26B64"/>
    <w:rsid w:val="00D30AA4"/>
    <w:rsid w:val="00D30CE5"/>
    <w:rsid w:val="00D3674A"/>
    <w:rsid w:val="00D37B95"/>
    <w:rsid w:val="00D4029D"/>
    <w:rsid w:val="00D40383"/>
    <w:rsid w:val="00D4085D"/>
    <w:rsid w:val="00D428F4"/>
    <w:rsid w:val="00D4336F"/>
    <w:rsid w:val="00D434F3"/>
    <w:rsid w:val="00D435C1"/>
    <w:rsid w:val="00D4440B"/>
    <w:rsid w:val="00D46C66"/>
    <w:rsid w:val="00D46E83"/>
    <w:rsid w:val="00D51386"/>
    <w:rsid w:val="00D51E84"/>
    <w:rsid w:val="00D52914"/>
    <w:rsid w:val="00D5485B"/>
    <w:rsid w:val="00D57346"/>
    <w:rsid w:val="00D60A91"/>
    <w:rsid w:val="00D61911"/>
    <w:rsid w:val="00D62258"/>
    <w:rsid w:val="00D625A7"/>
    <w:rsid w:val="00D657EC"/>
    <w:rsid w:val="00D65D85"/>
    <w:rsid w:val="00D677F9"/>
    <w:rsid w:val="00D7021F"/>
    <w:rsid w:val="00D702F1"/>
    <w:rsid w:val="00D70649"/>
    <w:rsid w:val="00D729FA"/>
    <w:rsid w:val="00D7336A"/>
    <w:rsid w:val="00D73591"/>
    <w:rsid w:val="00D762C6"/>
    <w:rsid w:val="00D802FC"/>
    <w:rsid w:val="00D8532B"/>
    <w:rsid w:val="00D85463"/>
    <w:rsid w:val="00D87575"/>
    <w:rsid w:val="00D90282"/>
    <w:rsid w:val="00D92541"/>
    <w:rsid w:val="00D93D33"/>
    <w:rsid w:val="00D947BD"/>
    <w:rsid w:val="00D973A5"/>
    <w:rsid w:val="00DA205D"/>
    <w:rsid w:val="00DA21FD"/>
    <w:rsid w:val="00DA3050"/>
    <w:rsid w:val="00DA7233"/>
    <w:rsid w:val="00DC0CB8"/>
    <w:rsid w:val="00DC4D62"/>
    <w:rsid w:val="00DC50E5"/>
    <w:rsid w:val="00DC6C94"/>
    <w:rsid w:val="00DC6FA2"/>
    <w:rsid w:val="00DC76C7"/>
    <w:rsid w:val="00DD627D"/>
    <w:rsid w:val="00DE25D1"/>
    <w:rsid w:val="00DE311A"/>
    <w:rsid w:val="00DE36EB"/>
    <w:rsid w:val="00DE4A6C"/>
    <w:rsid w:val="00DE5A04"/>
    <w:rsid w:val="00DE639B"/>
    <w:rsid w:val="00DE64C1"/>
    <w:rsid w:val="00DF0D57"/>
    <w:rsid w:val="00DF12E0"/>
    <w:rsid w:val="00DF2A8C"/>
    <w:rsid w:val="00DF40FE"/>
    <w:rsid w:val="00DF5BAB"/>
    <w:rsid w:val="00DF6609"/>
    <w:rsid w:val="00DF712F"/>
    <w:rsid w:val="00E10555"/>
    <w:rsid w:val="00E11087"/>
    <w:rsid w:val="00E110F7"/>
    <w:rsid w:val="00E11296"/>
    <w:rsid w:val="00E14B55"/>
    <w:rsid w:val="00E15CF8"/>
    <w:rsid w:val="00E16E0A"/>
    <w:rsid w:val="00E204BB"/>
    <w:rsid w:val="00E21797"/>
    <w:rsid w:val="00E21D7B"/>
    <w:rsid w:val="00E220BC"/>
    <w:rsid w:val="00E2326C"/>
    <w:rsid w:val="00E27ED5"/>
    <w:rsid w:val="00E31096"/>
    <w:rsid w:val="00E329A2"/>
    <w:rsid w:val="00E33938"/>
    <w:rsid w:val="00E33F03"/>
    <w:rsid w:val="00E354D8"/>
    <w:rsid w:val="00E35816"/>
    <w:rsid w:val="00E35A16"/>
    <w:rsid w:val="00E3658A"/>
    <w:rsid w:val="00E3706A"/>
    <w:rsid w:val="00E3738B"/>
    <w:rsid w:val="00E37446"/>
    <w:rsid w:val="00E37730"/>
    <w:rsid w:val="00E4099E"/>
    <w:rsid w:val="00E427F8"/>
    <w:rsid w:val="00E456AA"/>
    <w:rsid w:val="00E47066"/>
    <w:rsid w:val="00E47959"/>
    <w:rsid w:val="00E50078"/>
    <w:rsid w:val="00E51037"/>
    <w:rsid w:val="00E5201F"/>
    <w:rsid w:val="00E54A3A"/>
    <w:rsid w:val="00E579FF"/>
    <w:rsid w:val="00E63FC8"/>
    <w:rsid w:val="00E6698B"/>
    <w:rsid w:val="00E7034B"/>
    <w:rsid w:val="00E7195E"/>
    <w:rsid w:val="00E72377"/>
    <w:rsid w:val="00E72F4A"/>
    <w:rsid w:val="00E7467D"/>
    <w:rsid w:val="00E76E73"/>
    <w:rsid w:val="00E80268"/>
    <w:rsid w:val="00E81D9B"/>
    <w:rsid w:val="00E82115"/>
    <w:rsid w:val="00E832FF"/>
    <w:rsid w:val="00E83448"/>
    <w:rsid w:val="00E838D3"/>
    <w:rsid w:val="00E90BF8"/>
    <w:rsid w:val="00E92C8A"/>
    <w:rsid w:val="00E9346D"/>
    <w:rsid w:val="00E946E8"/>
    <w:rsid w:val="00EA21BF"/>
    <w:rsid w:val="00EA5773"/>
    <w:rsid w:val="00EA594C"/>
    <w:rsid w:val="00EA7329"/>
    <w:rsid w:val="00EA7A1C"/>
    <w:rsid w:val="00EB3AA7"/>
    <w:rsid w:val="00EB5170"/>
    <w:rsid w:val="00EB66EE"/>
    <w:rsid w:val="00EB7EDA"/>
    <w:rsid w:val="00EC2F72"/>
    <w:rsid w:val="00EC3E78"/>
    <w:rsid w:val="00EC5206"/>
    <w:rsid w:val="00EC5D22"/>
    <w:rsid w:val="00EC69F3"/>
    <w:rsid w:val="00EC7153"/>
    <w:rsid w:val="00ED0175"/>
    <w:rsid w:val="00ED0AC8"/>
    <w:rsid w:val="00ED2AC4"/>
    <w:rsid w:val="00ED4036"/>
    <w:rsid w:val="00ED48B8"/>
    <w:rsid w:val="00ED5F96"/>
    <w:rsid w:val="00EE041B"/>
    <w:rsid w:val="00EE57AC"/>
    <w:rsid w:val="00EE6756"/>
    <w:rsid w:val="00EE6D33"/>
    <w:rsid w:val="00EE74C4"/>
    <w:rsid w:val="00EE7D29"/>
    <w:rsid w:val="00EF217D"/>
    <w:rsid w:val="00EF33DE"/>
    <w:rsid w:val="00EF6486"/>
    <w:rsid w:val="00EF72D4"/>
    <w:rsid w:val="00EF7C6D"/>
    <w:rsid w:val="00F029B4"/>
    <w:rsid w:val="00F071BC"/>
    <w:rsid w:val="00F07DCF"/>
    <w:rsid w:val="00F11A23"/>
    <w:rsid w:val="00F11DDE"/>
    <w:rsid w:val="00F120E6"/>
    <w:rsid w:val="00F12ACD"/>
    <w:rsid w:val="00F1442F"/>
    <w:rsid w:val="00F16589"/>
    <w:rsid w:val="00F16A80"/>
    <w:rsid w:val="00F2068C"/>
    <w:rsid w:val="00F234AB"/>
    <w:rsid w:val="00F24478"/>
    <w:rsid w:val="00F25CA5"/>
    <w:rsid w:val="00F279A1"/>
    <w:rsid w:val="00F30D9D"/>
    <w:rsid w:val="00F31DE0"/>
    <w:rsid w:val="00F3245D"/>
    <w:rsid w:val="00F3265F"/>
    <w:rsid w:val="00F346B5"/>
    <w:rsid w:val="00F34E70"/>
    <w:rsid w:val="00F4377A"/>
    <w:rsid w:val="00F44048"/>
    <w:rsid w:val="00F46237"/>
    <w:rsid w:val="00F47251"/>
    <w:rsid w:val="00F47765"/>
    <w:rsid w:val="00F501C6"/>
    <w:rsid w:val="00F526A4"/>
    <w:rsid w:val="00F53C58"/>
    <w:rsid w:val="00F55613"/>
    <w:rsid w:val="00F630DB"/>
    <w:rsid w:val="00F630EF"/>
    <w:rsid w:val="00F63158"/>
    <w:rsid w:val="00F6347E"/>
    <w:rsid w:val="00F6403E"/>
    <w:rsid w:val="00F71346"/>
    <w:rsid w:val="00F715F2"/>
    <w:rsid w:val="00F730C7"/>
    <w:rsid w:val="00F76C87"/>
    <w:rsid w:val="00F80AB4"/>
    <w:rsid w:val="00F83855"/>
    <w:rsid w:val="00F84C45"/>
    <w:rsid w:val="00F8674C"/>
    <w:rsid w:val="00F8684A"/>
    <w:rsid w:val="00F86DD2"/>
    <w:rsid w:val="00F92C29"/>
    <w:rsid w:val="00F933D4"/>
    <w:rsid w:val="00F94C3D"/>
    <w:rsid w:val="00F954C4"/>
    <w:rsid w:val="00F9565C"/>
    <w:rsid w:val="00F95CFE"/>
    <w:rsid w:val="00F95D26"/>
    <w:rsid w:val="00F967DA"/>
    <w:rsid w:val="00F979C5"/>
    <w:rsid w:val="00FA0CBF"/>
    <w:rsid w:val="00FA0E45"/>
    <w:rsid w:val="00FA2436"/>
    <w:rsid w:val="00FA2EC0"/>
    <w:rsid w:val="00FA4E87"/>
    <w:rsid w:val="00FA64FD"/>
    <w:rsid w:val="00FB4200"/>
    <w:rsid w:val="00FB46DC"/>
    <w:rsid w:val="00FB5750"/>
    <w:rsid w:val="00FB6A2E"/>
    <w:rsid w:val="00FC055C"/>
    <w:rsid w:val="00FC2744"/>
    <w:rsid w:val="00FC3F9E"/>
    <w:rsid w:val="00FD417F"/>
    <w:rsid w:val="00FD4437"/>
    <w:rsid w:val="00FE267F"/>
    <w:rsid w:val="00FE26A5"/>
    <w:rsid w:val="00FE347C"/>
    <w:rsid w:val="00FE4A16"/>
    <w:rsid w:val="00FF1B5F"/>
    <w:rsid w:val="00FF5029"/>
    <w:rsid w:val="00FF5052"/>
    <w:rsid w:val="00FF531F"/>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0A688E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numPr>
        <w:numId w:val="28"/>
      </w:numPr>
    </w:pPr>
  </w:style>
  <w:style w:type="paragraph" w:customStyle="1" w:styleId="Dash">
    <w:name w:val="Dash"/>
    <w:basedOn w:val="Normal"/>
    <w:rsid w:val="00D51386"/>
    <w:pPr>
      <w:numPr>
        <w:ilvl w:val="1"/>
        <w:numId w:val="28"/>
      </w:numPr>
      <w:tabs>
        <w:tab w:val="num" w:pos="1134"/>
      </w:tabs>
    </w:pPr>
  </w:style>
  <w:style w:type="paragraph" w:customStyle="1" w:styleId="DoubleDot">
    <w:name w:val="Double Dot"/>
    <w:basedOn w:val="Normal"/>
    <w:rsid w:val="00D51386"/>
    <w:pPr>
      <w:numPr>
        <w:ilvl w:val="2"/>
        <w:numId w:val="28"/>
      </w:numPr>
      <w:tabs>
        <w:tab w:val="num" w:pos="1701"/>
      </w:tabs>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tabs>
        <w:tab w:val="clear" w:pos="425"/>
        <w:tab w:val="num" w:pos="283"/>
      </w:tabs>
      <w:ind w:left="283"/>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spacing w:before="40" w:after="60"/>
      <w:ind w:left="0" w:firstLine="0"/>
    </w:pPr>
  </w:style>
  <w:style w:type="paragraph" w:customStyle="1" w:styleId="ScheduleList">
    <w:name w:val="ScheduleList"/>
    <w:basedOn w:val="Normal"/>
    <w:rsid w:val="00D51386"/>
    <w:pPr>
      <w:numPr>
        <w:numId w:val="8"/>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4"/>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9"/>
      </w:numPr>
    </w:pPr>
  </w:style>
  <w:style w:type="paragraph" w:customStyle="1" w:styleId="AgreementParties">
    <w:name w:val="AgreementParties"/>
    <w:rsid w:val="00D51386"/>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6"/>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824055"/>
    <w:rPr>
      <w:rFonts w:ascii="Corbel" w:hAnsi="Corbel"/>
      <w:color w:val="000000"/>
      <w:sz w:val="23"/>
    </w:rPr>
  </w:style>
  <w:style w:type="paragraph" w:customStyle="1" w:styleId="CABBackGround">
    <w:name w:val="CABBackGround"/>
    <w:basedOn w:val="Normal"/>
    <w:link w:val="CABBackGroundChar1"/>
    <w:rsid w:val="00FF5052"/>
    <w:pPr>
      <w:spacing w:after="0" w:line="360" w:lineRule="auto"/>
      <w:jc w:val="left"/>
    </w:pPr>
    <w:rPr>
      <w:rFonts w:ascii="Times New Roman" w:hAnsi="Times New Roman"/>
      <w:color w:val="auto"/>
      <w:sz w:val="24"/>
    </w:rPr>
  </w:style>
  <w:style w:type="character" w:customStyle="1" w:styleId="CABBackGroundChar1">
    <w:name w:val="CABBackGround Char1"/>
    <w:basedOn w:val="DefaultParagraphFont"/>
    <w:link w:val="CABBackGround"/>
    <w:rsid w:val="00FF5052"/>
    <w:rPr>
      <w:sz w:val="24"/>
    </w:rPr>
  </w:style>
  <w:style w:type="paragraph" w:styleId="NormalWeb">
    <w:name w:val="Normal (Web)"/>
    <w:basedOn w:val="Normal"/>
    <w:uiPriority w:val="99"/>
    <w:semiHidden/>
    <w:unhideWhenUsed/>
    <w:rsid w:val="008D240E"/>
    <w:pPr>
      <w:spacing w:before="100" w:beforeAutospacing="1" w:after="100" w:afterAutospacing="1" w:line="240" w:lineRule="auto"/>
      <w:jc w:val="left"/>
    </w:pPr>
    <w:rPr>
      <w:rFonts w:ascii="Times New Roman" w:eastAsiaTheme="minorEastAsia"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numPr>
        <w:numId w:val="28"/>
      </w:numPr>
    </w:pPr>
  </w:style>
  <w:style w:type="paragraph" w:customStyle="1" w:styleId="Dash">
    <w:name w:val="Dash"/>
    <w:basedOn w:val="Normal"/>
    <w:rsid w:val="00D51386"/>
    <w:pPr>
      <w:numPr>
        <w:ilvl w:val="1"/>
        <w:numId w:val="28"/>
      </w:numPr>
      <w:tabs>
        <w:tab w:val="num" w:pos="1134"/>
      </w:tabs>
    </w:pPr>
  </w:style>
  <w:style w:type="paragraph" w:customStyle="1" w:styleId="DoubleDot">
    <w:name w:val="Double Dot"/>
    <w:basedOn w:val="Normal"/>
    <w:rsid w:val="00D51386"/>
    <w:pPr>
      <w:numPr>
        <w:ilvl w:val="2"/>
        <w:numId w:val="28"/>
      </w:numPr>
      <w:tabs>
        <w:tab w:val="num" w:pos="1701"/>
      </w:tabs>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tabs>
        <w:tab w:val="clear" w:pos="425"/>
        <w:tab w:val="num" w:pos="283"/>
      </w:tabs>
      <w:ind w:left="283"/>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spacing w:before="40" w:after="60"/>
      <w:ind w:left="0" w:firstLine="0"/>
    </w:pPr>
  </w:style>
  <w:style w:type="paragraph" w:customStyle="1" w:styleId="ScheduleList">
    <w:name w:val="ScheduleList"/>
    <w:basedOn w:val="Normal"/>
    <w:rsid w:val="00D51386"/>
    <w:pPr>
      <w:numPr>
        <w:numId w:val="8"/>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4"/>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9"/>
      </w:numPr>
    </w:pPr>
  </w:style>
  <w:style w:type="paragraph" w:customStyle="1" w:styleId="AgreementParties">
    <w:name w:val="AgreementParties"/>
    <w:rsid w:val="00D51386"/>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6"/>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824055"/>
    <w:rPr>
      <w:rFonts w:ascii="Corbel" w:hAnsi="Corbel"/>
      <w:color w:val="000000"/>
      <w:sz w:val="23"/>
    </w:rPr>
  </w:style>
  <w:style w:type="paragraph" w:customStyle="1" w:styleId="CABBackGround">
    <w:name w:val="CABBackGround"/>
    <w:basedOn w:val="Normal"/>
    <w:link w:val="CABBackGroundChar1"/>
    <w:rsid w:val="00FF5052"/>
    <w:pPr>
      <w:spacing w:after="0" w:line="360" w:lineRule="auto"/>
      <w:jc w:val="left"/>
    </w:pPr>
    <w:rPr>
      <w:rFonts w:ascii="Times New Roman" w:hAnsi="Times New Roman"/>
      <w:color w:val="auto"/>
      <w:sz w:val="24"/>
    </w:rPr>
  </w:style>
  <w:style w:type="character" w:customStyle="1" w:styleId="CABBackGroundChar1">
    <w:name w:val="CABBackGround Char1"/>
    <w:basedOn w:val="DefaultParagraphFont"/>
    <w:link w:val="CABBackGround"/>
    <w:rsid w:val="00FF5052"/>
    <w:rPr>
      <w:sz w:val="24"/>
    </w:rPr>
  </w:style>
  <w:style w:type="paragraph" w:styleId="NormalWeb">
    <w:name w:val="Normal (Web)"/>
    <w:basedOn w:val="Normal"/>
    <w:uiPriority w:val="99"/>
    <w:semiHidden/>
    <w:unhideWhenUsed/>
    <w:rsid w:val="008D240E"/>
    <w:pPr>
      <w:spacing w:before="100" w:beforeAutospacing="1" w:after="100" w:afterAutospacing="1" w:line="240" w:lineRule="auto"/>
      <w:jc w:val="left"/>
    </w:pPr>
    <w:rPr>
      <w:rFonts w:ascii="Times New Roman" w:eastAsiaTheme="minorEastAsia"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438">
      <w:bodyDiv w:val="1"/>
      <w:marLeft w:val="0"/>
      <w:marRight w:val="0"/>
      <w:marTop w:val="0"/>
      <w:marBottom w:val="0"/>
      <w:divBdr>
        <w:top w:val="none" w:sz="0" w:space="0" w:color="auto"/>
        <w:left w:val="none" w:sz="0" w:space="0" w:color="auto"/>
        <w:bottom w:val="none" w:sz="0" w:space="0" w:color="auto"/>
        <w:right w:val="none" w:sz="0" w:space="0" w:color="auto"/>
      </w:divBdr>
    </w:div>
    <w:div w:id="627442826">
      <w:bodyDiv w:val="1"/>
      <w:marLeft w:val="0"/>
      <w:marRight w:val="0"/>
      <w:marTop w:val="0"/>
      <w:marBottom w:val="0"/>
      <w:divBdr>
        <w:top w:val="none" w:sz="0" w:space="0" w:color="auto"/>
        <w:left w:val="none" w:sz="0" w:space="0" w:color="auto"/>
        <w:bottom w:val="none" w:sz="0" w:space="0" w:color="auto"/>
        <w:right w:val="none" w:sz="0" w:space="0" w:color="auto"/>
      </w:divBdr>
    </w:div>
    <w:div w:id="708606040">
      <w:bodyDiv w:val="1"/>
      <w:marLeft w:val="0"/>
      <w:marRight w:val="0"/>
      <w:marTop w:val="0"/>
      <w:marBottom w:val="0"/>
      <w:divBdr>
        <w:top w:val="none" w:sz="0" w:space="0" w:color="auto"/>
        <w:left w:val="none" w:sz="0" w:space="0" w:color="auto"/>
        <w:bottom w:val="none" w:sz="0" w:space="0" w:color="auto"/>
        <w:right w:val="none" w:sz="0" w:space="0" w:color="auto"/>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898132812">
      <w:marLeft w:val="0"/>
      <w:marRight w:val="0"/>
      <w:marTop w:val="0"/>
      <w:marBottom w:val="0"/>
      <w:divBdr>
        <w:top w:val="none" w:sz="0" w:space="0" w:color="auto"/>
        <w:left w:val="none" w:sz="0" w:space="0" w:color="auto"/>
        <w:bottom w:val="none" w:sz="0" w:space="0" w:color="auto"/>
        <w:right w:val="none" w:sz="0" w:space="0" w:color="auto"/>
      </w:divBdr>
    </w:div>
    <w:div w:id="898132813">
      <w:marLeft w:val="0"/>
      <w:marRight w:val="0"/>
      <w:marTop w:val="0"/>
      <w:marBottom w:val="0"/>
      <w:divBdr>
        <w:top w:val="none" w:sz="0" w:space="0" w:color="auto"/>
        <w:left w:val="none" w:sz="0" w:space="0" w:color="auto"/>
        <w:bottom w:val="none" w:sz="0" w:space="0" w:color="auto"/>
        <w:right w:val="none" w:sz="0" w:space="0" w:color="auto"/>
      </w:divBdr>
    </w:div>
    <w:div w:id="898132814">
      <w:marLeft w:val="0"/>
      <w:marRight w:val="0"/>
      <w:marTop w:val="0"/>
      <w:marBottom w:val="0"/>
      <w:divBdr>
        <w:top w:val="none" w:sz="0" w:space="0" w:color="auto"/>
        <w:left w:val="none" w:sz="0" w:space="0" w:color="auto"/>
        <w:bottom w:val="none" w:sz="0" w:space="0" w:color="auto"/>
        <w:right w:val="none" w:sz="0" w:space="0" w:color="auto"/>
      </w:divBdr>
    </w:div>
    <w:div w:id="11917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2020FG-64-75253</_dlc_DocId>
    <_dlc_DocIdUrl xmlns="0f563589-9cf9-4143-b1eb-fb0534803d38">
      <Url>http://tweb/sites/fg/csrd/_layouts/15/DocIdRedir.aspx?ID=2020FG-64-75253</Url>
      <Description>2020FG-64-75253</Description>
    </_dlc_DocIdUrl>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5C929-CE94-49EE-9838-F754922D2DC0}">
  <ds:schemaRef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schemas.microsoft.com/sharepoint/v3"/>
    <ds:schemaRef ds:uri="http://purl.org/dc/dcmitype/"/>
    <ds:schemaRef ds:uri="http://schemas.microsoft.com/sharepoint/v4"/>
    <ds:schemaRef ds:uri="e544e5cc-ab70-42e1-849e-1a0f8bb1f4ef"/>
    <ds:schemaRef ds:uri="http://purl.org/dc/terms/"/>
  </ds:schemaRefs>
</ds:datastoreItem>
</file>

<file path=customXml/itemProps2.xml><?xml version="1.0" encoding="utf-8"?>
<ds:datastoreItem xmlns:ds="http://schemas.openxmlformats.org/officeDocument/2006/customXml" ds:itemID="{48012192-B41F-4FD1-B65D-467035A59CD4}">
  <ds:schemaRefs>
    <ds:schemaRef ds:uri="office.server.policy"/>
  </ds:schemaRefs>
</ds:datastoreItem>
</file>

<file path=customXml/itemProps3.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4.xml><?xml version="1.0" encoding="utf-8"?>
<ds:datastoreItem xmlns:ds="http://schemas.openxmlformats.org/officeDocument/2006/customXml" ds:itemID="{AF25C0D3-1815-4ECF-A8D7-6035506B1007}"/>
</file>

<file path=customXml/itemProps5.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6.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7.xml><?xml version="1.0" encoding="utf-8"?>
<ds:datastoreItem xmlns:ds="http://schemas.openxmlformats.org/officeDocument/2006/customXml" ds:itemID="{FD952D95-C96C-47DC-B39F-CE37F1EF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41</TotalTime>
  <Pages>10</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Council of Australian Governments</dc:creator>
  <cp:lastModifiedBy>Jegatheeswaran, Gerthika</cp:lastModifiedBy>
  <cp:revision>5</cp:revision>
  <cp:lastPrinted>2018-04-23T06:12:00Z</cp:lastPrinted>
  <dcterms:created xsi:type="dcterms:W3CDTF">2018-04-23T06:04:00Z</dcterms:created>
  <dcterms:modified xsi:type="dcterms:W3CDTF">2018-05-23T03:44:00Z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RecordPoint_ActiveItemUniqueId">
    <vt:lpwstr>{399c684a-ebdd-433d-9b33-1aeec0464bd8}</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_dlc_DocIdItemGuid">
    <vt:lpwstr>399c684a-ebdd-433d-9b33-1aeec0464bd8</vt:lpwstr>
  </property>
  <property fmtid="{D5CDD505-2E9C-101B-9397-08002B2CF9AE}" pid="7" name="RecordPoint_ActiveItemListId">
    <vt:lpwstr>{4435c73b-6585-4bc2-a76a-5d21b1a02e06}</vt:lpwstr>
  </property>
  <property fmtid="{D5CDD505-2E9C-101B-9397-08002B2CF9AE}" pid="8" name="RecordPoint_ActiveItemWebId">
    <vt:lpwstr>{a4589788-615f-4b8b-8296-7f9f6dfbab44}</vt:lpwstr>
  </property>
  <property fmtid="{D5CDD505-2E9C-101B-9397-08002B2CF9AE}" pid="9" name="RecordPoint_ActiveItemSiteId">
    <vt:lpwstr>{a3a280d1-e8f1-4ce7-94f0-aaa2322da0dd}</vt:lpwstr>
  </property>
  <property fmtid="{D5CDD505-2E9C-101B-9397-08002B2CF9AE}" pid="10" name="RecordPoint_RecordNumberSubmitted">
    <vt:lpwstr>R0002277596</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_NewReviewCycle">
    <vt:lpwstr/>
  </property>
  <property fmtid="{D5CDD505-2E9C-101B-9397-08002B2CF9AE}" pid="15" name="RecordPoint_SubmissionCompleted">
    <vt:lpwstr>2020-06-12T20:53:57.8248484+10:00</vt:lpwstr>
  </property>
  <property fmtid="{D5CDD505-2E9C-101B-9397-08002B2CF9AE}" pid="16" name="_AdHocReviewCycleID">
    <vt:i4>-1669944399</vt:i4>
  </property>
  <property fmtid="{D5CDD505-2E9C-101B-9397-08002B2CF9AE}" pid="17" name="_EmailSubject">
    <vt:lpwstr>Update - Change to Existing Webpage Request #S71557 [SEC=UNCLASSIFIED]</vt:lpwstr>
  </property>
  <property fmtid="{D5CDD505-2E9C-101B-9397-08002B2CF9AE}" pid="18" name="_AuthorEmail">
    <vt:lpwstr>Gerthika.Jegatheeswaran@TREASURY.GOV.AU</vt:lpwstr>
  </property>
  <property fmtid="{D5CDD505-2E9C-101B-9397-08002B2CF9AE}" pid="19" name="_AuthorEmailDisplayName">
    <vt:lpwstr>Jegatheeswaran, Gerthika</vt:lpwstr>
  </property>
</Properties>
</file>