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1478"/>
        <w:gridCol w:w="8160"/>
      </w:tblGrid>
      <w:tr w:rsidR="00814667" w14:paraId="42C5C130" w14:textId="77777777">
        <w:tc>
          <w:tcPr>
            <w:tcW w:w="5000" w:type="pct"/>
            <w:gridSpan w:val="2"/>
          </w:tcPr>
          <w:p w14:paraId="47271E64" w14:textId="77777777" w:rsidR="00814667" w:rsidRDefault="00BA4284" w:rsidP="00C47554">
            <w:pPr>
              <w:pStyle w:val="CoverTitleMain"/>
            </w:pPr>
            <w:r>
              <w:t>Project AGreement</w:t>
            </w:r>
            <w:r w:rsidR="00292587">
              <w:t xml:space="preserve"> FOR </w:t>
            </w:r>
            <w:r w:rsidR="00C47554">
              <w:t>Family Law Information Sharing</w:t>
            </w:r>
          </w:p>
        </w:tc>
      </w:tr>
      <w:tr w:rsidR="00814667" w14:paraId="17757E07" w14:textId="77777777">
        <w:tc>
          <w:tcPr>
            <w:tcW w:w="767" w:type="pct"/>
          </w:tcPr>
          <w:p w14:paraId="379126A1" w14:textId="77777777" w:rsidR="00814667" w:rsidRDefault="00814667">
            <w:pPr>
              <w:pStyle w:val="SingleParagraph"/>
              <w:tabs>
                <w:tab w:val="num" w:pos="1134"/>
              </w:tabs>
              <w:spacing w:after="240"/>
              <w:ind w:left="1134" w:hanging="567"/>
            </w:pPr>
          </w:p>
        </w:tc>
        <w:tc>
          <w:tcPr>
            <w:tcW w:w="4233" w:type="pct"/>
          </w:tcPr>
          <w:p w14:paraId="5683C04F" w14:textId="77777777" w:rsidR="00814667" w:rsidRDefault="00814667">
            <w:pPr>
              <w:pStyle w:val="SingleParagraph"/>
              <w:tabs>
                <w:tab w:val="num" w:pos="1134"/>
              </w:tabs>
              <w:spacing w:after="240"/>
              <w:ind w:left="1134" w:hanging="567"/>
            </w:pPr>
          </w:p>
        </w:tc>
      </w:tr>
      <w:tr w:rsidR="00814667" w14:paraId="16CAA2CC" w14:textId="77777777">
        <w:tc>
          <w:tcPr>
            <w:tcW w:w="767" w:type="pct"/>
          </w:tcPr>
          <w:p w14:paraId="11709887" w14:textId="77777777" w:rsidR="00814667" w:rsidRDefault="00814667">
            <w:pPr>
              <w:pStyle w:val="SingleParagraph"/>
              <w:tabs>
                <w:tab w:val="num" w:pos="1134"/>
              </w:tabs>
              <w:spacing w:after="240"/>
              <w:ind w:left="1134" w:hanging="567"/>
            </w:pPr>
          </w:p>
        </w:tc>
        <w:tc>
          <w:tcPr>
            <w:tcW w:w="4233" w:type="pct"/>
          </w:tcPr>
          <w:p w14:paraId="27983F8C" w14:textId="77777777" w:rsidR="00814667" w:rsidRPr="001E74D0" w:rsidRDefault="00814667">
            <w:pPr>
              <w:pStyle w:val="SingleParagraph"/>
              <w:tabs>
                <w:tab w:val="num" w:pos="1134"/>
              </w:tabs>
              <w:spacing w:after="240"/>
              <w:ind w:left="1134" w:hanging="567"/>
            </w:pPr>
          </w:p>
        </w:tc>
      </w:tr>
      <w:tr w:rsidR="00814667" w14:paraId="436D87EC" w14:textId="77777777">
        <w:tc>
          <w:tcPr>
            <w:tcW w:w="5000" w:type="pct"/>
            <w:gridSpan w:val="2"/>
          </w:tcPr>
          <w:p w14:paraId="76D423C7" w14:textId="77777777" w:rsidR="00814667" w:rsidRDefault="00814667">
            <w:pPr>
              <w:pStyle w:val="AgreementHeading"/>
              <w:tabs>
                <w:tab w:val="clear" w:pos="1134"/>
              </w:tabs>
            </w:pPr>
            <w:r>
              <w:t>An agreement between</w:t>
            </w:r>
            <w:r w:rsidR="00697494">
              <w:t>:</w:t>
            </w:r>
          </w:p>
        </w:tc>
      </w:tr>
      <w:tr w:rsidR="00814667" w14:paraId="11DA9E0B" w14:textId="77777777">
        <w:tc>
          <w:tcPr>
            <w:tcW w:w="767" w:type="pct"/>
          </w:tcPr>
          <w:p w14:paraId="5C0441AC" w14:textId="77777777" w:rsidR="00814667" w:rsidRPr="001E74D0" w:rsidRDefault="00814667">
            <w:pPr>
              <w:pStyle w:val="AgreementHeading"/>
              <w:tabs>
                <w:tab w:val="clear" w:pos="1134"/>
              </w:tabs>
              <w:ind w:left="522"/>
            </w:pPr>
          </w:p>
        </w:tc>
        <w:tc>
          <w:tcPr>
            <w:tcW w:w="4233" w:type="pct"/>
          </w:tcPr>
          <w:p w14:paraId="2A5854A1"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19B3629B" w14:textId="77777777" w:rsidR="00814667" w:rsidRPr="001E74D0" w:rsidRDefault="00814667" w:rsidP="00697494">
            <w:pPr>
              <w:pStyle w:val="AgreementParties"/>
            </w:pPr>
            <w:r>
              <w:t xml:space="preserve">the </w:t>
            </w:r>
            <w:r>
              <w:rPr>
                <w:rStyle w:val="Bold"/>
              </w:rPr>
              <w:t>States and Territorie</w:t>
            </w:r>
            <w:r w:rsidR="00697494">
              <w:rPr>
                <w:rStyle w:val="Bold"/>
              </w:rPr>
              <w:t xml:space="preserve">s </w:t>
            </w:r>
            <w:r w:rsidR="00697494" w:rsidRPr="00DE36EB">
              <w:rPr>
                <w:rStyle w:val="Bold"/>
              </w:rPr>
              <w:t>of</w:t>
            </w:r>
          </w:p>
        </w:tc>
      </w:tr>
      <w:tr w:rsidR="00814667" w14:paraId="555C53DD" w14:textId="77777777">
        <w:tc>
          <w:tcPr>
            <w:tcW w:w="767" w:type="pct"/>
          </w:tcPr>
          <w:p w14:paraId="0AEDB549" w14:textId="77777777" w:rsidR="00814667" w:rsidRDefault="00814667">
            <w:pPr>
              <w:pStyle w:val="SingleParagraph"/>
              <w:tabs>
                <w:tab w:val="num" w:pos="1134"/>
              </w:tabs>
              <w:spacing w:after="240"/>
              <w:ind w:left="1134" w:hanging="567"/>
            </w:pPr>
          </w:p>
        </w:tc>
        <w:tc>
          <w:tcPr>
            <w:tcW w:w="4233" w:type="pct"/>
            <w:tcBorders>
              <w:left w:val="nil"/>
            </w:tcBorders>
          </w:tcPr>
          <w:p w14:paraId="5C506837" w14:textId="77777777" w:rsidR="00814667" w:rsidRDefault="00814667" w:rsidP="00F31111">
            <w:pPr>
              <w:pStyle w:val="StatesList"/>
              <w:numPr>
                <w:ilvl w:val="0"/>
                <w:numId w:val="15"/>
              </w:numPr>
            </w:pPr>
            <w:r>
              <w:t>New South Wales</w:t>
            </w:r>
            <w:r w:rsidR="00697494">
              <w:t>,</w:t>
            </w:r>
          </w:p>
          <w:p w14:paraId="13BAF6C0" w14:textId="77777777" w:rsidR="00814667" w:rsidRDefault="00814667" w:rsidP="00F31111">
            <w:pPr>
              <w:pStyle w:val="StatesList"/>
              <w:numPr>
                <w:ilvl w:val="0"/>
                <w:numId w:val="15"/>
              </w:numPr>
            </w:pPr>
            <w:r>
              <w:t>Victoria</w:t>
            </w:r>
            <w:r w:rsidR="00697494">
              <w:t>,</w:t>
            </w:r>
          </w:p>
          <w:p w14:paraId="0698E564" w14:textId="77777777" w:rsidR="00814667" w:rsidRDefault="00814667" w:rsidP="00F31111">
            <w:pPr>
              <w:pStyle w:val="StatesList"/>
              <w:numPr>
                <w:ilvl w:val="0"/>
                <w:numId w:val="15"/>
              </w:numPr>
            </w:pPr>
            <w:r>
              <w:t>Queensland</w:t>
            </w:r>
            <w:r w:rsidR="00697494">
              <w:t>,</w:t>
            </w:r>
          </w:p>
          <w:p w14:paraId="32A4E54D" w14:textId="77777777" w:rsidR="00814667" w:rsidRDefault="00814667" w:rsidP="00F31111">
            <w:pPr>
              <w:pStyle w:val="StatesList"/>
              <w:numPr>
                <w:ilvl w:val="0"/>
                <w:numId w:val="15"/>
              </w:numPr>
            </w:pPr>
            <w:r>
              <w:t>Western Australia</w:t>
            </w:r>
            <w:r w:rsidR="00697494">
              <w:t>,</w:t>
            </w:r>
          </w:p>
          <w:p w14:paraId="7AFD88BF" w14:textId="77777777" w:rsidR="00814667" w:rsidRDefault="00814667" w:rsidP="00F31111">
            <w:pPr>
              <w:pStyle w:val="StatesList"/>
              <w:numPr>
                <w:ilvl w:val="0"/>
                <w:numId w:val="15"/>
              </w:numPr>
            </w:pPr>
            <w:r>
              <w:t>South Australia</w:t>
            </w:r>
            <w:r w:rsidR="00697494">
              <w:t>,</w:t>
            </w:r>
          </w:p>
          <w:p w14:paraId="6B73F60E" w14:textId="7FF63F32" w:rsidR="00814667" w:rsidRDefault="00814667" w:rsidP="00F31111">
            <w:pPr>
              <w:pStyle w:val="StatesList"/>
              <w:numPr>
                <w:ilvl w:val="0"/>
                <w:numId w:val="15"/>
              </w:numPr>
            </w:pPr>
            <w:r>
              <w:t>Tasmania</w:t>
            </w:r>
            <w:r w:rsidR="00697494">
              <w:t>,</w:t>
            </w:r>
            <w:r w:rsidR="004D055A">
              <w:t xml:space="preserve"> and</w:t>
            </w:r>
            <w:r w:rsidR="00BD7A8D">
              <w:t xml:space="preserve"> </w:t>
            </w:r>
          </w:p>
          <w:p w14:paraId="2DD812F7" w14:textId="38178B88" w:rsidR="00BD7A8D" w:rsidRPr="00C47554" w:rsidRDefault="004B6083" w:rsidP="004D055A">
            <w:pPr>
              <w:pStyle w:val="StatesList"/>
              <w:numPr>
                <w:ilvl w:val="0"/>
                <w:numId w:val="15"/>
              </w:numPr>
              <w:tabs>
                <w:tab w:val="clear" w:pos="1134"/>
              </w:tabs>
            </w:pPr>
            <w:r>
              <w:t xml:space="preserve">the </w:t>
            </w:r>
            <w:r w:rsidR="00814667">
              <w:t xml:space="preserve">Australian </w:t>
            </w:r>
            <w:r w:rsidR="004D055A">
              <w:t>Capital Territory</w:t>
            </w:r>
          </w:p>
        </w:tc>
      </w:tr>
      <w:tr w:rsidR="00814667" w14:paraId="696FDF43" w14:textId="77777777">
        <w:tc>
          <w:tcPr>
            <w:tcW w:w="5000" w:type="pct"/>
            <w:gridSpan w:val="2"/>
          </w:tcPr>
          <w:p w14:paraId="520A1FB9" w14:textId="51439A57" w:rsidR="00814667" w:rsidRDefault="00814667">
            <w:pPr>
              <w:pStyle w:val="SingleParagraph"/>
              <w:tabs>
                <w:tab w:val="num" w:pos="1134"/>
              </w:tabs>
              <w:spacing w:after="240"/>
              <w:ind w:left="1134" w:hanging="567"/>
            </w:pPr>
          </w:p>
        </w:tc>
      </w:tr>
      <w:tr w:rsidR="00814667" w14:paraId="562452C6" w14:textId="77777777">
        <w:tc>
          <w:tcPr>
            <w:tcW w:w="5000" w:type="pct"/>
            <w:gridSpan w:val="2"/>
          </w:tcPr>
          <w:p w14:paraId="03D4EC21" w14:textId="77777777" w:rsidR="00C47554" w:rsidRPr="00C47554" w:rsidRDefault="00C47554" w:rsidP="00C47554">
            <w:pPr>
              <w:pStyle w:val="Abstract"/>
            </w:pPr>
            <w:r w:rsidRPr="00C47554">
              <w:t>The output of this project will be the placement of State and Territory officials at family law courts across Australia, to improve information sharing and responses to family safety concerns.</w:t>
            </w:r>
          </w:p>
          <w:p w14:paraId="1968197D" w14:textId="77777777" w:rsidR="00814667" w:rsidRDefault="00814667" w:rsidP="00312CFE">
            <w:pPr>
              <w:pStyle w:val="Abstract"/>
            </w:pPr>
          </w:p>
          <w:p w14:paraId="49A68FF3" w14:textId="77777777" w:rsidR="00F15411" w:rsidRDefault="00F15411" w:rsidP="00312CFE">
            <w:pPr>
              <w:pStyle w:val="Abstract"/>
            </w:pPr>
          </w:p>
          <w:p w14:paraId="15ED3851" w14:textId="77777777" w:rsidR="00F15411" w:rsidRDefault="00F15411" w:rsidP="00312CFE">
            <w:pPr>
              <w:pStyle w:val="Abstract"/>
            </w:pPr>
          </w:p>
          <w:p w14:paraId="48964980" w14:textId="77777777" w:rsidR="00F15411" w:rsidRDefault="00F15411" w:rsidP="00312CFE">
            <w:pPr>
              <w:pStyle w:val="Abstract"/>
            </w:pPr>
          </w:p>
          <w:p w14:paraId="488E97AE" w14:textId="77777777" w:rsidR="00F15411" w:rsidRDefault="00F15411" w:rsidP="00312CFE">
            <w:pPr>
              <w:pStyle w:val="Abstract"/>
            </w:pPr>
          </w:p>
          <w:p w14:paraId="215DC26F" w14:textId="77777777" w:rsidR="00F15411" w:rsidRDefault="00F15411" w:rsidP="00312CFE">
            <w:pPr>
              <w:pStyle w:val="Abstract"/>
            </w:pPr>
          </w:p>
          <w:p w14:paraId="24F8D619" w14:textId="77777777" w:rsidR="00F15411" w:rsidRDefault="00F15411" w:rsidP="00312CFE">
            <w:pPr>
              <w:pStyle w:val="Abstract"/>
            </w:pPr>
          </w:p>
          <w:p w14:paraId="1A7358DA" w14:textId="77777777" w:rsidR="00F15411" w:rsidRDefault="00F15411" w:rsidP="002B5650">
            <w:pPr>
              <w:pStyle w:val="Abstract"/>
              <w:jc w:val="right"/>
            </w:pPr>
          </w:p>
        </w:tc>
      </w:tr>
    </w:tbl>
    <w:p w14:paraId="4A885CE1" w14:textId="77777777" w:rsidR="00814667" w:rsidRDefault="00FF5029">
      <w:pPr>
        <w:pStyle w:val="Title"/>
        <w:pageBreakBefore/>
      </w:pPr>
      <w:r>
        <w:lastRenderedPageBreak/>
        <w:t xml:space="preserve">Project </w:t>
      </w:r>
      <w:r w:rsidR="00D7336A">
        <w:t>Agreement</w:t>
      </w:r>
      <w:r>
        <w:t xml:space="preserve"> for</w:t>
      </w:r>
      <w:r w:rsidR="00C7093C">
        <w:t xml:space="preserve"> </w:t>
      </w:r>
      <w:r w:rsidR="007A6E20">
        <w:br/>
      </w:r>
      <w:r w:rsidR="00C47554">
        <w:t>Family Law Information Sharing</w:t>
      </w:r>
    </w:p>
    <w:p w14:paraId="6C60139B"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3CDD026B" w14:textId="77777777" w:rsidR="00C960AA" w:rsidRPr="0096732C" w:rsidRDefault="00C960AA" w:rsidP="00F31111">
      <w:pPr>
        <w:pStyle w:val="Normalnumbered"/>
        <w:numPr>
          <w:ilvl w:val="0"/>
          <w:numId w:val="18"/>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05B285F0"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2CC8EB1B" w14:textId="35FA7234" w:rsidR="004E2BDF" w:rsidRPr="004E2BDF" w:rsidRDefault="00852ED8" w:rsidP="00F31111">
      <w:pPr>
        <w:pStyle w:val="Normalnumbered"/>
        <w:numPr>
          <w:ilvl w:val="0"/>
          <w:numId w:val="18"/>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4B1F38">
        <w:t xml:space="preserve">This </w:t>
      </w:r>
      <w:r w:rsidRPr="004E2BDF">
        <w:rPr>
          <w:color w:val="auto"/>
        </w:rPr>
        <w:t xml:space="preserve">Agreement will </w:t>
      </w:r>
      <w:r w:rsidR="00AD746F" w:rsidRPr="004E2BDF">
        <w:rPr>
          <w:color w:val="auto"/>
        </w:rPr>
        <w:t xml:space="preserve">provide seed funding to trial </w:t>
      </w:r>
      <w:r w:rsidR="004E2BDF" w:rsidRPr="004E2BDF">
        <w:rPr>
          <w:color w:val="auto"/>
        </w:rPr>
        <w:t xml:space="preserve">the </w:t>
      </w:r>
      <w:r w:rsidR="00C47554" w:rsidRPr="004E2BDF">
        <w:rPr>
          <w:color w:val="auto"/>
        </w:rPr>
        <w:t xml:space="preserve">placement of State and Territory </w:t>
      </w:r>
      <w:r w:rsidR="0000324C">
        <w:rPr>
          <w:color w:val="auto"/>
        </w:rPr>
        <w:t xml:space="preserve">(state) </w:t>
      </w:r>
      <w:r w:rsidR="00C47554" w:rsidRPr="004E2BDF">
        <w:rPr>
          <w:color w:val="auto"/>
        </w:rPr>
        <w:t xml:space="preserve">officials at family law court locations across Australia, to improve collaboration and the sharing of information between the federal family law system, and </w:t>
      </w:r>
      <w:r w:rsidR="0000324C">
        <w:rPr>
          <w:color w:val="auto"/>
        </w:rPr>
        <w:t xml:space="preserve">state </w:t>
      </w:r>
      <w:r w:rsidR="001D5245" w:rsidRPr="004E2BDF">
        <w:rPr>
          <w:color w:val="auto"/>
        </w:rPr>
        <w:t>agencies</w:t>
      </w:r>
      <w:r w:rsidR="00CD61F8" w:rsidRPr="004E2BDF">
        <w:rPr>
          <w:color w:val="auto"/>
        </w:rPr>
        <w:t xml:space="preserve"> </w:t>
      </w:r>
      <w:r w:rsidR="004570EB" w:rsidRPr="004E2BDF">
        <w:rPr>
          <w:color w:val="auto"/>
        </w:rPr>
        <w:t xml:space="preserve">responsible for </w:t>
      </w:r>
      <w:r w:rsidR="004E2BDF">
        <w:rPr>
          <w:color w:val="auto"/>
        </w:rPr>
        <w:t>family safety and the welfare of children.</w:t>
      </w:r>
    </w:p>
    <w:p w14:paraId="32F03703" w14:textId="695E9009" w:rsidR="00376D1F" w:rsidRPr="004E2BDF" w:rsidRDefault="00CF7007" w:rsidP="00F31111">
      <w:pPr>
        <w:pStyle w:val="Normalnumbered"/>
        <w:numPr>
          <w:ilvl w:val="0"/>
          <w:numId w:val="18"/>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rPr>
          <w:color w:val="auto"/>
        </w:rPr>
      </w:pPr>
      <w:r w:rsidRPr="004E2BDF">
        <w:rPr>
          <w:color w:val="auto"/>
        </w:rPr>
        <w:t xml:space="preserve">By improving </w:t>
      </w:r>
      <w:r w:rsidR="00716096" w:rsidRPr="004E2BDF">
        <w:rPr>
          <w:color w:val="auto"/>
        </w:rPr>
        <w:t xml:space="preserve">the </w:t>
      </w:r>
      <w:r w:rsidR="00751039" w:rsidRPr="004E2BDF">
        <w:rPr>
          <w:color w:val="auto"/>
        </w:rPr>
        <w:t xml:space="preserve">exchange </w:t>
      </w:r>
      <w:r w:rsidR="00716096" w:rsidRPr="004E2BDF">
        <w:rPr>
          <w:color w:val="auto"/>
        </w:rPr>
        <w:t xml:space="preserve">of </w:t>
      </w:r>
      <w:r w:rsidR="003B2D9F" w:rsidRPr="004E2BDF">
        <w:rPr>
          <w:color w:val="auto"/>
        </w:rPr>
        <w:t xml:space="preserve">relevant </w:t>
      </w:r>
      <w:r w:rsidR="00716096" w:rsidRPr="004E2BDF">
        <w:rPr>
          <w:color w:val="auto"/>
        </w:rPr>
        <w:t xml:space="preserve">information, </w:t>
      </w:r>
      <w:r w:rsidR="004E2BDF" w:rsidRPr="004E2BDF">
        <w:rPr>
          <w:color w:val="auto"/>
        </w:rPr>
        <w:t xml:space="preserve">the </w:t>
      </w:r>
      <w:r w:rsidR="00AA3CD1" w:rsidRPr="004E2BDF">
        <w:rPr>
          <w:color w:val="auto"/>
        </w:rPr>
        <w:t>co</w:t>
      </w:r>
      <w:r w:rsidR="004E2BDF" w:rsidRPr="004E2BDF">
        <w:rPr>
          <w:color w:val="auto"/>
        </w:rPr>
        <w:noBreakHyphen/>
      </w:r>
      <w:r w:rsidR="00AA3CD1" w:rsidRPr="004E2BDF">
        <w:rPr>
          <w:color w:val="auto"/>
        </w:rPr>
        <w:t>locat</w:t>
      </w:r>
      <w:r w:rsidR="004E2BDF" w:rsidRPr="004E2BDF">
        <w:rPr>
          <w:color w:val="auto"/>
        </w:rPr>
        <w:t xml:space="preserve">ion of </w:t>
      </w:r>
      <w:r w:rsidR="0000324C">
        <w:rPr>
          <w:color w:val="auto"/>
        </w:rPr>
        <w:t>s</w:t>
      </w:r>
      <w:r w:rsidR="00C3177D" w:rsidRPr="004E2BDF">
        <w:rPr>
          <w:color w:val="auto"/>
        </w:rPr>
        <w:t xml:space="preserve">tate </w:t>
      </w:r>
      <w:r w:rsidR="00AA3CD1" w:rsidRPr="004E2BDF">
        <w:rPr>
          <w:color w:val="auto"/>
        </w:rPr>
        <w:t xml:space="preserve">officials in </w:t>
      </w:r>
      <w:r w:rsidR="004E2BDF" w:rsidRPr="004E2BDF">
        <w:rPr>
          <w:color w:val="auto"/>
        </w:rPr>
        <w:t xml:space="preserve">the </w:t>
      </w:r>
      <w:r w:rsidR="00AA3CD1" w:rsidRPr="004E2BDF">
        <w:rPr>
          <w:color w:val="auto"/>
        </w:rPr>
        <w:t>family law court</w:t>
      </w:r>
      <w:r w:rsidR="004E2BDF" w:rsidRPr="004E2BDF">
        <w:rPr>
          <w:color w:val="auto"/>
        </w:rPr>
        <w:t>s</w:t>
      </w:r>
      <w:r w:rsidR="00AA3CD1" w:rsidRPr="004E2BDF">
        <w:rPr>
          <w:color w:val="auto"/>
        </w:rPr>
        <w:t xml:space="preserve"> </w:t>
      </w:r>
      <w:r w:rsidR="004E2BDF" w:rsidRPr="004E2BDF">
        <w:rPr>
          <w:color w:val="auto"/>
        </w:rPr>
        <w:t>is intended to enhance</w:t>
      </w:r>
      <w:r w:rsidR="009056D3" w:rsidRPr="004E2BDF">
        <w:rPr>
          <w:color w:val="auto"/>
        </w:rPr>
        <w:t xml:space="preserve"> </w:t>
      </w:r>
      <w:r w:rsidR="00553BE7" w:rsidRPr="004E2BDF">
        <w:rPr>
          <w:color w:val="auto"/>
        </w:rPr>
        <w:t xml:space="preserve">the </w:t>
      </w:r>
      <w:r w:rsidR="004E2BDF" w:rsidRPr="004E2BDF">
        <w:rPr>
          <w:color w:val="auto"/>
        </w:rPr>
        <w:t xml:space="preserve">identification and management of </w:t>
      </w:r>
      <w:r w:rsidR="00AA3CD1" w:rsidRPr="004E2BDF">
        <w:rPr>
          <w:color w:val="auto"/>
        </w:rPr>
        <w:t>family safety risks</w:t>
      </w:r>
      <w:r w:rsidR="004E2BDF" w:rsidRPr="004E2BDF">
        <w:rPr>
          <w:color w:val="auto"/>
        </w:rPr>
        <w:t>.</w:t>
      </w:r>
    </w:p>
    <w:p w14:paraId="447B3D84" w14:textId="6BC88A86" w:rsidR="00376D1F" w:rsidRPr="004E2BDF" w:rsidRDefault="00376D1F" w:rsidP="00F31111">
      <w:pPr>
        <w:pStyle w:val="Normalnumbered"/>
        <w:numPr>
          <w:ilvl w:val="0"/>
          <w:numId w:val="18"/>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rPr>
          <w:color w:val="auto"/>
        </w:rPr>
      </w:pPr>
      <w:r w:rsidRPr="004E2BDF">
        <w:rPr>
          <w:color w:val="auto"/>
        </w:rPr>
        <w:t xml:space="preserve">The Parties anticipate that the </w:t>
      </w:r>
      <w:r w:rsidR="00D1567A" w:rsidRPr="004E2BDF">
        <w:rPr>
          <w:color w:val="auto"/>
        </w:rPr>
        <w:t xml:space="preserve">establishment and operation of </w:t>
      </w:r>
      <w:r w:rsidRPr="004E2BDF">
        <w:rPr>
          <w:color w:val="auto"/>
        </w:rPr>
        <w:t xml:space="preserve">co-located officials will improve the timeliness and quality of information shared between the family law courts and </w:t>
      </w:r>
      <w:r w:rsidR="0000324C">
        <w:rPr>
          <w:color w:val="auto"/>
        </w:rPr>
        <w:t>s</w:t>
      </w:r>
      <w:r w:rsidR="00F66BF2" w:rsidRPr="004E2BDF">
        <w:rPr>
          <w:color w:val="auto"/>
        </w:rPr>
        <w:t>tate agencies</w:t>
      </w:r>
      <w:r w:rsidR="004E2BDF" w:rsidRPr="004E2BDF">
        <w:rPr>
          <w:color w:val="auto"/>
        </w:rPr>
        <w:t xml:space="preserve"> and facilitate </w:t>
      </w:r>
      <w:r w:rsidRPr="004E2BDF">
        <w:rPr>
          <w:color w:val="auto"/>
        </w:rPr>
        <w:t xml:space="preserve">more collaborative </w:t>
      </w:r>
      <w:r w:rsidR="00AA3CD1" w:rsidRPr="004E2BDF">
        <w:rPr>
          <w:color w:val="auto"/>
        </w:rPr>
        <w:t>inter</w:t>
      </w:r>
      <w:r w:rsidR="0042705A">
        <w:rPr>
          <w:color w:val="auto"/>
        </w:rPr>
        <w:t>-</w:t>
      </w:r>
      <w:r w:rsidR="00AA3CD1" w:rsidRPr="004E2BDF">
        <w:rPr>
          <w:color w:val="auto"/>
        </w:rPr>
        <w:t xml:space="preserve">jurisdictional </w:t>
      </w:r>
      <w:r w:rsidRPr="004E2BDF">
        <w:rPr>
          <w:color w:val="auto"/>
        </w:rPr>
        <w:t>working arrangement</w:t>
      </w:r>
      <w:r w:rsidR="00C45092" w:rsidRPr="004E2BDF">
        <w:rPr>
          <w:color w:val="auto"/>
        </w:rPr>
        <w:t>s</w:t>
      </w:r>
      <w:r w:rsidRPr="004E2BDF">
        <w:rPr>
          <w:color w:val="auto"/>
        </w:rPr>
        <w:t>.</w:t>
      </w:r>
    </w:p>
    <w:p w14:paraId="46F3B91C"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0F113DF1" w14:textId="07772E0B" w:rsidR="00376D1F" w:rsidRDefault="001F677B" w:rsidP="00F31111">
      <w:pPr>
        <w:pStyle w:val="Normalnumbered"/>
        <w:numPr>
          <w:ilvl w:val="0"/>
          <w:numId w:val="18"/>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4E2BDF">
        <w:rPr>
          <w:color w:val="auto"/>
        </w:rPr>
        <w:t>States</w:t>
      </w:r>
      <w:r w:rsidRPr="00E16995">
        <w:rPr>
          <w:color w:val="auto"/>
        </w:rPr>
        <w:t xml:space="preserve"> </w:t>
      </w:r>
      <w:r w:rsidR="0096732C">
        <w:t xml:space="preserve">will report </w:t>
      </w:r>
      <w:r w:rsidR="00376D1F">
        <w:t>annually against the agreed milestones during the operation of the Agreement, as set out in Part 4 – Project Milestones, Reporting and Payment, as well as the Schedules to the Agreement.</w:t>
      </w:r>
    </w:p>
    <w:p w14:paraId="23820711"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4E55D9B6" w14:textId="33F19E26" w:rsidR="0028768B" w:rsidRPr="004E2BDF" w:rsidRDefault="0096732C" w:rsidP="004E2BDF">
      <w:pPr>
        <w:pStyle w:val="Normalnumbered"/>
        <w:numPr>
          <w:ilvl w:val="0"/>
          <w:numId w:val="18"/>
        </w:numPr>
        <w:pBdr>
          <w:top w:val="single" w:sz="4" w:space="1" w:color="auto"/>
          <w:left w:val="single" w:sz="4" w:space="4" w:color="auto"/>
          <w:bottom w:val="single" w:sz="4" w:space="1" w:color="auto"/>
          <w:right w:val="single" w:sz="4" w:space="4" w:color="auto"/>
        </w:pBdr>
        <w:shd w:val="clear" w:color="auto" w:fill="DAEEF3" w:themeFill="accent5" w:themeFillTint="33"/>
        <w:jc w:val="left"/>
        <w:rPr>
          <w:color w:val="auto"/>
        </w:rPr>
      </w:pPr>
      <w:r w:rsidRPr="005C08C7">
        <w:t xml:space="preserve">The Commonwealth will provide </w:t>
      </w:r>
      <w:r w:rsidR="008D1FB4" w:rsidRPr="005C08C7">
        <w:t xml:space="preserve">an estimated total financial contribution to </w:t>
      </w:r>
      <w:r w:rsidR="00376D1F" w:rsidRPr="005C08C7">
        <w:t xml:space="preserve">the </w:t>
      </w:r>
      <w:r w:rsidR="0000324C" w:rsidRPr="005C08C7">
        <w:rPr>
          <w:color w:val="auto"/>
        </w:rPr>
        <w:t>s</w:t>
      </w:r>
      <w:r w:rsidR="00376D1F" w:rsidRPr="005C08C7">
        <w:rPr>
          <w:color w:val="auto"/>
        </w:rPr>
        <w:t>tates</w:t>
      </w:r>
      <w:r w:rsidR="001F677B" w:rsidRPr="005C08C7">
        <w:rPr>
          <w:color w:val="auto"/>
        </w:rPr>
        <w:t xml:space="preserve"> </w:t>
      </w:r>
      <w:r w:rsidR="00C03B6E" w:rsidRPr="005C08C7">
        <w:rPr>
          <w:color w:val="auto"/>
        </w:rPr>
        <w:t>of $</w:t>
      </w:r>
      <w:r w:rsidR="00C047FD">
        <w:rPr>
          <w:color w:val="auto"/>
        </w:rPr>
        <w:t>8.4</w:t>
      </w:r>
      <w:r w:rsidR="005C08C7" w:rsidRPr="005C08C7">
        <w:rPr>
          <w:color w:val="auto"/>
        </w:rPr>
        <w:t xml:space="preserve"> </w:t>
      </w:r>
      <w:r w:rsidR="00C03B6E" w:rsidRPr="005C08C7">
        <w:rPr>
          <w:color w:val="auto"/>
        </w:rPr>
        <w:t>million</w:t>
      </w:r>
      <w:r w:rsidR="008D1FB4" w:rsidRPr="005C08C7">
        <w:rPr>
          <w:color w:val="auto"/>
        </w:rPr>
        <w:t xml:space="preserve"> </w:t>
      </w:r>
      <w:r w:rsidR="002405F4">
        <w:rPr>
          <w:color w:val="auto"/>
        </w:rPr>
        <w:t>(</w:t>
      </w:r>
      <w:r w:rsidR="00447DA7">
        <w:rPr>
          <w:color w:val="auto"/>
        </w:rPr>
        <w:t>GST</w:t>
      </w:r>
      <w:r w:rsidR="002405F4">
        <w:rPr>
          <w:color w:val="auto"/>
        </w:rPr>
        <w:t xml:space="preserve"> exclusive</w:t>
      </w:r>
      <w:r w:rsidR="00447DA7">
        <w:rPr>
          <w:color w:val="auto"/>
        </w:rPr>
        <w:t>)</w:t>
      </w:r>
      <w:r w:rsidR="00376D1F" w:rsidRPr="005C08C7">
        <w:rPr>
          <w:color w:val="auto"/>
        </w:rPr>
        <w:t xml:space="preserve"> in respect</w:t>
      </w:r>
      <w:r w:rsidR="00376D1F" w:rsidRPr="004E2BDF">
        <w:rPr>
          <w:color w:val="auto"/>
        </w:rPr>
        <w:t xml:space="preserve"> of this Agreement, as set out in Part 5 – Financial Arrangements</w:t>
      </w:r>
      <w:r w:rsidR="00524604" w:rsidRPr="004E2BDF">
        <w:rPr>
          <w:color w:val="auto"/>
        </w:rPr>
        <w:t>,</w:t>
      </w:r>
      <w:r w:rsidR="007079C0" w:rsidRPr="004E2BDF">
        <w:rPr>
          <w:color w:val="auto"/>
        </w:rPr>
        <w:t xml:space="preserve"> </w:t>
      </w:r>
      <w:r w:rsidR="0028768B" w:rsidRPr="004E2BDF">
        <w:rPr>
          <w:color w:val="auto"/>
        </w:rPr>
        <w:t>with details contained in the Schedules to the Agreement.</w:t>
      </w:r>
    </w:p>
    <w:p w14:paraId="4E8E0058" w14:textId="77777777" w:rsidR="00814667" w:rsidRDefault="00814667">
      <w:pPr>
        <w:pStyle w:val="Heading1"/>
      </w:pPr>
      <w:r>
        <w:t>Part 1 — Formalities</w:t>
      </w:r>
    </w:p>
    <w:p w14:paraId="38B01905" w14:textId="3A06A56C" w:rsidR="00804105" w:rsidRPr="004E2BDF" w:rsidRDefault="00804105" w:rsidP="00D1567A">
      <w:pPr>
        <w:pStyle w:val="Normalnumbered"/>
        <w:numPr>
          <w:ilvl w:val="0"/>
          <w:numId w:val="18"/>
        </w:numPr>
        <w:tabs>
          <w:tab w:val="clear" w:pos="567"/>
          <w:tab w:val="num" w:pos="1134"/>
        </w:tabs>
        <w:rPr>
          <w:color w:val="auto"/>
        </w:rPr>
      </w:pPr>
      <w:r w:rsidRPr="004E2BDF">
        <w:rPr>
          <w:color w:val="auto"/>
        </w:rPr>
        <w:t>This Agreement</w:t>
      </w:r>
      <w:r w:rsidR="00376D1F" w:rsidRPr="004E2BDF">
        <w:rPr>
          <w:color w:val="auto"/>
        </w:rPr>
        <w:t xml:space="preserve">, including its </w:t>
      </w:r>
      <w:r w:rsidR="0020448C" w:rsidRPr="004E2BDF">
        <w:rPr>
          <w:color w:val="auto"/>
        </w:rPr>
        <w:t>S</w:t>
      </w:r>
      <w:r w:rsidR="00376D1F" w:rsidRPr="004E2BDF">
        <w:rPr>
          <w:color w:val="auto"/>
        </w:rPr>
        <w:t xml:space="preserve">chedules, </w:t>
      </w:r>
      <w:r w:rsidRPr="004E2BDF">
        <w:rPr>
          <w:color w:val="auto"/>
        </w:rPr>
        <w:t>constitutes the entire agreement for this project.</w:t>
      </w:r>
    </w:p>
    <w:p w14:paraId="1D910B35" w14:textId="77777777" w:rsidR="00814667" w:rsidRDefault="00814667">
      <w:pPr>
        <w:pStyle w:val="Heading2"/>
      </w:pPr>
      <w:r>
        <w:t>Parties to this Agreement</w:t>
      </w:r>
    </w:p>
    <w:p w14:paraId="6067BDCE" w14:textId="46C33E22" w:rsidR="007B4B03" w:rsidRDefault="00E7195E" w:rsidP="0090327C">
      <w:pPr>
        <w:pStyle w:val="Normalnumbered"/>
        <w:numPr>
          <w:ilvl w:val="0"/>
          <w:numId w:val="18"/>
        </w:numPr>
        <w:tabs>
          <w:tab w:val="clear" w:pos="567"/>
        </w:tabs>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4D055A">
        <w:t xml:space="preserve">all </w:t>
      </w:r>
      <w:r w:rsidR="0000324C">
        <w:t>s</w:t>
      </w:r>
      <w:r w:rsidRPr="003012DA">
        <w:t>tates</w:t>
      </w:r>
      <w:r w:rsidR="004D055A">
        <w:t>, with the exception of the Northern Territory</w:t>
      </w:r>
      <w:r w:rsidR="00376D1F">
        <w:t>.</w:t>
      </w:r>
    </w:p>
    <w:p w14:paraId="62FB8CD0" w14:textId="77777777" w:rsidR="00814667" w:rsidRDefault="00814667">
      <w:pPr>
        <w:pStyle w:val="Heading2"/>
      </w:pPr>
      <w:r>
        <w:t>Term of the Agreement</w:t>
      </w:r>
    </w:p>
    <w:p w14:paraId="6755FBC6" w14:textId="77777777" w:rsidR="00814667" w:rsidRPr="00DE36EB" w:rsidRDefault="00814667" w:rsidP="00F31111">
      <w:pPr>
        <w:pStyle w:val="Normalnumbered"/>
        <w:numPr>
          <w:ilvl w:val="0"/>
          <w:numId w:val="18"/>
        </w:numPr>
      </w:pPr>
      <w:r w:rsidRPr="00DE36EB">
        <w:t xml:space="preserve">This Agreement will commence as soon as the Commonwealth and </w:t>
      </w:r>
      <w:r w:rsidR="00175B70">
        <w:t xml:space="preserve">one other Party sign it and will expire on 30 June 2022 or on completion of the </w:t>
      </w:r>
      <w:r w:rsidR="00284884" w:rsidRPr="00DE36EB">
        <w:t>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68A8D091" w14:textId="7777777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r w:rsidR="00175B70">
        <w:rPr>
          <w:rFonts w:ascii="Consolas" w:hAnsi="Consolas"/>
          <w:b w:val="0"/>
          <w:iCs w:val="0"/>
          <w:caps/>
          <w:kern w:val="32"/>
          <w:sz w:val="32"/>
          <w:szCs w:val="36"/>
        </w:rPr>
        <w:t>s</w:t>
      </w:r>
    </w:p>
    <w:p w14:paraId="2F562B42" w14:textId="77777777" w:rsidR="00814667" w:rsidRDefault="00814667">
      <w:pPr>
        <w:pStyle w:val="Heading2"/>
      </w:pPr>
      <w:r>
        <w:t>Output</w:t>
      </w:r>
      <w:r w:rsidR="00175B70">
        <w:t>s</w:t>
      </w:r>
    </w:p>
    <w:p w14:paraId="11FBF506" w14:textId="4E44E0EC" w:rsidR="00AB41CC" w:rsidRDefault="00AB41CC" w:rsidP="0000324C">
      <w:pPr>
        <w:pStyle w:val="Normalnumbered"/>
        <w:numPr>
          <w:ilvl w:val="0"/>
          <w:numId w:val="18"/>
        </w:numPr>
        <w:jc w:val="left"/>
      </w:pPr>
      <w:r>
        <w:t xml:space="preserve">The outputs of this Agreement </w:t>
      </w:r>
      <w:r w:rsidR="00A965D4">
        <w:t xml:space="preserve">will be </w:t>
      </w:r>
      <w:r w:rsidRPr="009D6C03">
        <w:t xml:space="preserve">the establishment of co-located state </w:t>
      </w:r>
      <w:r w:rsidR="00AE1FD4" w:rsidRPr="009D6C03">
        <w:t xml:space="preserve">child protection and policing </w:t>
      </w:r>
      <w:r w:rsidRPr="009D6C03">
        <w:t>officials at</w:t>
      </w:r>
      <w:r w:rsidR="00F41254">
        <w:t>, or around,</w:t>
      </w:r>
      <w:r w:rsidRPr="009D6C03">
        <w:t xml:space="preserve"> agreed</w:t>
      </w:r>
      <w:r>
        <w:t xml:space="preserve"> family law court </w:t>
      </w:r>
      <w:r w:rsidR="00BE3DB1">
        <w:t>locations. The co-located officials will perform a range of functions to enhance information sharin</w:t>
      </w:r>
      <w:r w:rsidR="009D6C03">
        <w:t>g and collaboration between the family law courts and state agencies.</w:t>
      </w:r>
    </w:p>
    <w:p w14:paraId="7564F1AC" w14:textId="77777777" w:rsidR="008F44F1" w:rsidRDefault="008F44F1" w:rsidP="00AE1FD4">
      <w:pPr>
        <w:pStyle w:val="Heading1"/>
      </w:pPr>
      <w:r w:rsidRPr="007079C0">
        <w:t>Part 3 — roles and responsibilities of each party</w:t>
      </w:r>
    </w:p>
    <w:p w14:paraId="3C9838CA" w14:textId="77777777" w:rsidR="008F44F1" w:rsidRDefault="008F44F1" w:rsidP="008F44F1">
      <w:pPr>
        <w:pStyle w:val="Heading2"/>
      </w:pPr>
      <w:r w:rsidRPr="00814590">
        <w:t>Role of the Commonwealth</w:t>
      </w:r>
    </w:p>
    <w:p w14:paraId="36C77294" w14:textId="77777777" w:rsidR="008F44F1" w:rsidRDefault="008F44F1" w:rsidP="00F31111">
      <w:pPr>
        <w:pStyle w:val="Normalnumbered"/>
        <w:numPr>
          <w:ilvl w:val="0"/>
          <w:numId w:val="18"/>
        </w:numPr>
        <w:jc w:val="left"/>
      </w:pPr>
      <w:r>
        <w:t>The Commonwealth will be responsible for:</w:t>
      </w:r>
    </w:p>
    <w:p w14:paraId="1C835F66" w14:textId="77777777" w:rsidR="00414C27" w:rsidRDefault="008F44F1" w:rsidP="001F677B">
      <w:pPr>
        <w:pStyle w:val="AlphaParagraph"/>
        <w:numPr>
          <w:ilvl w:val="0"/>
          <w:numId w:val="28"/>
        </w:numPr>
        <w:tabs>
          <w:tab w:val="clear" w:pos="567"/>
          <w:tab w:val="clear" w:pos="1418"/>
          <w:tab w:val="clear" w:pos="1701"/>
        </w:tabs>
        <w:ind w:left="1134" w:hanging="567"/>
      </w:pPr>
      <w:r w:rsidRPr="000614F9">
        <w:rPr>
          <w:color w:val="auto"/>
        </w:rPr>
        <w:t>monitoring</w:t>
      </w:r>
      <w:r w:rsidRPr="004B6083">
        <w:t xml:space="preserve"> and assessing achievement against milestones </w:t>
      </w:r>
      <w:r w:rsidR="00175B70">
        <w:t>f</w:t>
      </w:r>
      <w:r w:rsidR="00CA7388">
        <w:t xml:space="preserve">or the establishment and ongoing </w:t>
      </w:r>
      <w:r w:rsidR="00414C27">
        <w:t>delivery of the role performed by co-located officials under this Agreement, to ensure that the outputs are delivered within the agreed timeframes;</w:t>
      </w:r>
    </w:p>
    <w:p w14:paraId="76EF9867" w14:textId="52052DB9" w:rsidR="00175B70" w:rsidRDefault="00CA7388" w:rsidP="00F31111">
      <w:pPr>
        <w:pStyle w:val="AlphaParagraph"/>
        <w:numPr>
          <w:ilvl w:val="0"/>
          <w:numId w:val="28"/>
        </w:numPr>
        <w:tabs>
          <w:tab w:val="clear" w:pos="567"/>
          <w:tab w:val="clear" w:pos="1418"/>
          <w:tab w:val="clear" w:pos="1701"/>
        </w:tabs>
        <w:ind w:left="1134" w:hanging="567"/>
      </w:pPr>
      <w:r>
        <w:t>providing a consequent</w:t>
      </w:r>
      <w:r w:rsidR="0019291B">
        <w:t xml:space="preserve"> financial contribution to the s</w:t>
      </w:r>
      <w:r>
        <w:t xml:space="preserve">tates to support implementation of </w:t>
      </w:r>
      <w:r w:rsidR="00F40432">
        <w:t>the</w:t>
      </w:r>
      <w:r>
        <w:t xml:space="preserve"> Agreement</w:t>
      </w:r>
      <w:r w:rsidR="00414C27">
        <w:t>;</w:t>
      </w:r>
    </w:p>
    <w:p w14:paraId="60B6AB24" w14:textId="2063EFBF" w:rsidR="007079C0" w:rsidRPr="007079C0" w:rsidRDefault="00CA7388" w:rsidP="00F31111">
      <w:pPr>
        <w:pStyle w:val="AlphaParagraph"/>
        <w:numPr>
          <w:ilvl w:val="0"/>
          <w:numId w:val="28"/>
        </w:numPr>
        <w:tabs>
          <w:tab w:val="clear" w:pos="567"/>
          <w:tab w:val="clear" w:pos="1418"/>
          <w:tab w:val="clear" w:pos="1701"/>
        </w:tabs>
        <w:ind w:left="1134" w:hanging="567"/>
      </w:pPr>
      <w:r w:rsidRPr="007079C0">
        <w:t>planning and financing an independent evaluation of</w:t>
      </w:r>
      <w:r w:rsidR="007079C0" w:rsidRPr="007079C0">
        <w:t xml:space="preserve"> the impact and outcomes achieved through the co-location of </w:t>
      </w:r>
      <w:r w:rsidR="0000324C">
        <w:t>s</w:t>
      </w:r>
      <w:r w:rsidR="007079C0" w:rsidRPr="007079C0">
        <w:t>tate officials in the family law courts;</w:t>
      </w:r>
      <w:r w:rsidR="00537057">
        <w:t xml:space="preserve"> </w:t>
      </w:r>
    </w:p>
    <w:p w14:paraId="1CAF5932" w14:textId="34F12976" w:rsidR="00537057" w:rsidRDefault="007079C0" w:rsidP="00F31111">
      <w:pPr>
        <w:pStyle w:val="AlphaParagraph"/>
        <w:numPr>
          <w:ilvl w:val="0"/>
          <w:numId w:val="23"/>
        </w:numPr>
        <w:tabs>
          <w:tab w:val="clear" w:pos="567"/>
          <w:tab w:val="clear" w:pos="1418"/>
          <w:tab w:val="clear" w:pos="1701"/>
        </w:tabs>
        <w:ind w:left="1134" w:hanging="567"/>
        <w:rPr>
          <w:color w:val="auto"/>
        </w:rPr>
      </w:pPr>
      <w:r w:rsidRPr="007079C0">
        <w:rPr>
          <w:color w:val="auto"/>
        </w:rPr>
        <w:t xml:space="preserve">consulting </w:t>
      </w:r>
      <w:r>
        <w:rPr>
          <w:color w:val="auto"/>
        </w:rPr>
        <w:t xml:space="preserve">with the </w:t>
      </w:r>
      <w:r w:rsidR="0000324C">
        <w:rPr>
          <w:color w:val="auto"/>
        </w:rPr>
        <w:t>s</w:t>
      </w:r>
      <w:r>
        <w:rPr>
          <w:color w:val="auto"/>
        </w:rPr>
        <w:t>tates and the family law courts in planning the independent evaluati</w:t>
      </w:r>
      <w:r w:rsidR="00EE5E89">
        <w:rPr>
          <w:color w:val="auto"/>
        </w:rPr>
        <w:t>on of the Agreement</w:t>
      </w:r>
      <w:r w:rsidR="00537057">
        <w:rPr>
          <w:color w:val="auto"/>
        </w:rPr>
        <w:t>; and</w:t>
      </w:r>
    </w:p>
    <w:p w14:paraId="5AD06A81" w14:textId="5C5690DC" w:rsidR="004F5DCD" w:rsidRDefault="00537057" w:rsidP="00F31111">
      <w:pPr>
        <w:pStyle w:val="AlphaParagraph"/>
        <w:numPr>
          <w:ilvl w:val="0"/>
          <w:numId w:val="23"/>
        </w:numPr>
        <w:tabs>
          <w:tab w:val="clear" w:pos="567"/>
          <w:tab w:val="clear" w:pos="1418"/>
          <w:tab w:val="clear" w:pos="1701"/>
        </w:tabs>
        <w:ind w:left="1134" w:hanging="567"/>
        <w:rPr>
          <w:color w:val="auto"/>
        </w:rPr>
      </w:pPr>
      <w:proofErr w:type="gramStart"/>
      <w:r>
        <w:rPr>
          <w:color w:val="auto"/>
        </w:rPr>
        <w:t>providing</w:t>
      </w:r>
      <w:proofErr w:type="gramEnd"/>
      <w:r>
        <w:rPr>
          <w:color w:val="auto"/>
        </w:rPr>
        <w:t xml:space="preserve"> the evaluation report to the states for their consideration and feedback prior to its finalisation and any public release of the evaluation results</w:t>
      </w:r>
      <w:r w:rsidR="00EE5E89">
        <w:rPr>
          <w:color w:val="auto"/>
        </w:rPr>
        <w:t>.</w:t>
      </w:r>
    </w:p>
    <w:p w14:paraId="0892BC52" w14:textId="738CC4B0" w:rsidR="008F44F1" w:rsidRPr="00751725" w:rsidRDefault="008F44F1" w:rsidP="008F44F1">
      <w:pPr>
        <w:pStyle w:val="Heading2"/>
      </w:pPr>
      <w:r w:rsidRPr="00751725">
        <w:t xml:space="preserve">Role of the States </w:t>
      </w:r>
    </w:p>
    <w:p w14:paraId="004F4705" w14:textId="7A629722" w:rsidR="008F44F1" w:rsidRPr="00751725" w:rsidRDefault="008F44F1" w:rsidP="00F31111">
      <w:pPr>
        <w:pStyle w:val="Normalnumbered"/>
        <w:numPr>
          <w:ilvl w:val="0"/>
          <w:numId w:val="18"/>
        </w:numPr>
        <w:jc w:val="left"/>
      </w:pPr>
      <w:r w:rsidRPr="00751725">
        <w:t xml:space="preserve">The </w:t>
      </w:r>
      <w:r w:rsidR="0000324C">
        <w:t>s</w:t>
      </w:r>
      <w:r w:rsidR="00906C42">
        <w:t xml:space="preserve">tates </w:t>
      </w:r>
      <w:r>
        <w:t>will be responsible for</w:t>
      </w:r>
      <w:r w:rsidR="00545DF7">
        <w:t>:</w:t>
      </w:r>
    </w:p>
    <w:p w14:paraId="7C644B40" w14:textId="026A453B" w:rsidR="00906C42" w:rsidRPr="00750F59" w:rsidRDefault="00906C42" w:rsidP="00F31111">
      <w:pPr>
        <w:pStyle w:val="AlphaParagraph"/>
        <w:numPr>
          <w:ilvl w:val="0"/>
          <w:numId w:val="27"/>
        </w:numPr>
        <w:tabs>
          <w:tab w:val="clear" w:pos="567"/>
          <w:tab w:val="clear" w:pos="1418"/>
          <w:tab w:val="clear" w:pos="1701"/>
        </w:tabs>
        <w:ind w:left="1134" w:hanging="567"/>
        <w:rPr>
          <w:color w:val="auto"/>
          <w:szCs w:val="23"/>
        </w:rPr>
      </w:pPr>
      <w:r>
        <w:rPr>
          <w:color w:val="auto"/>
          <w:szCs w:val="23"/>
        </w:rPr>
        <w:t>administering Commonwealth funding for the delivery of the project outputs set out in Part</w:t>
      </w:r>
      <w:r w:rsidR="006776EE">
        <w:rPr>
          <w:color w:val="auto"/>
          <w:szCs w:val="23"/>
        </w:rPr>
        <w:t> </w:t>
      </w:r>
      <w:r>
        <w:rPr>
          <w:color w:val="auto"/>
          <w:szCs w:val="23"/>
        </w:rPr>
        <w:t>2</w:t>
      </w:r>
      <w:r w:rsidR="0080240E">
        <w:rPr>
          <w:color w:val="auto"/>
          <w:szCs w:val="23"/>
        </w:rPr>
        <w:t xml:space="preserve"> – Project Outputs</w:t>
      </w:r>
      <w:r>
        <w:rPr>
          <w:color w:val="auto"/>
          <w:szCs w:val="23"/>
        </w:rPr>
        <w:t xml:space="preserve"> and the Schedules to this Agreement;</w:t>
      </w:r>
    </w:p>
    <w:p w14:paraId="2EA7DE8C" w14:textId="77777777" w:rsidR="00906C42" w:rsidRDefault="00906C42" w:rsidP="00F31111">
      <w:pPr>
        <w:pStyle w:val="AlphaParagraph"/>
        <w:numPr>
          <w:ilvl w:val="0"/>
          <w:numId w:val="23"/>
        </w:numPr>
        <w:tabs>
          <w:tab w:val="clear" w:pos="567"/>
          <w:tab w:val="clear" w:pos="1418"/>
          <w:tab w:val="clear" w:pos="1701"/>
        </w:tabs>
        <w:ind w:left="1134" w:hanging="567"/>
        <w:rPr>
          <w:color w:val="auto"/>
          <w:szCs w:val="23"/>
        </w:rPr>
      </w:pPr>
      <w:r>
        <w:rPr>
          <w:color w:val="auto"/>
          <w:szCs w:val="23"/>
        </w:rPr>
        <w:t>monitoring and oversight of the co-located officials established pursuant to this Agreement;</w:t>
      </w:r>
    </w:p>
    <w:p w14:paraId="7911724E" w14:textId="2A78DCB7" w:rsidR="00906C42" w:rsidRDefault="00906C42" w:rsidP="00F31111">
      <w:pPr>
        <w:pStyle w:val="AlphaParagraph"/>
        <w:numPr>
          <w:ilvl w:val="0"/>
          <w:numId w:val="23"/>
        </w:numPr>
        <w:tabs>
          <w:tab w:val="clear" w:pos="567"/>
          <w:tab w:val="clear" w:pos="1418"/>
          <w:tab w:val="clear" w:pos="1701"/>
        </w:tabs>
        <w:ind w:left="1134" w:hanging="567"/>
        <w:rPr>
          <w:color w:val="auto"/>
          <w:szCs w:val="23"/>
        </w:rPr>
      </w:pPr>
      <w:r>
        <w:rPr>
          <w:color w:val="auto"/>
          <w:szCs w:val="23"/>
        </w:rPr>
        <w:t xml:space="preserve">reporting to the Commonwealth on the delivery of the outputs, as set out in Part </w:t>
      </w:r>
      <w:r w:rsidR="00BE3DB1">
        <w:rPr>
          <w:color w:val="auto"/>
          <w:szCs w:val="23"/>
        </w:rPr>
        <w:t>4</w:t>
      </w:r>
      <w:r>
        <w:rPr>
          <w:color w:val="auto"/>
          <w:szCs w:val="23"/>
        </w:rPr>
        <w:t xml:space="preserve"> – Project Milestones, Reporting and Payments and the Schedules to the Agreement; and</w:t>
      </w:r>
    </w:p>
    <w:p w14:paraId="2D5B052F" w14:textId="76D86BE9" w:rsidR="00906C42" w:rsidRDefault="00906C42" w:rsidP="00F31111">
      <w:pPr>
        <w:pStyle w:val="AlphaParagraph"/>
        <w:numPr>
          <w:ilvl w:val="0"/>
          <w:numId w:val="23"/>
        </w:numPr>
        <w:tabs>
          <w:tab w:val="clear" w:pos="567"/>
          <w:tab w:val="clear" w:pos="1418"/>
          <w:tab w:val="clear" w:pos="1701"/>
        </w:tabs>
        <w:ind w:left="1134" w:hanging="567"/>
        <w:rPr>
          <w:color w:val="auto"/>
          <w:szCs w:val="23"/>
        </w:rPr>
      </w:pPr>
      <w:proofErr w:type="gramStart"/>
      <w:r>
        <w:rPr>
          <w:color w:val="auto"/>
          <w:szCs w:val="23"/>
        </w:rPr>
        <w:t>participating</w:t>
      </w:r>
      <w:proofErr w:type="gramEnd"/>
      <w:r>
        <w:rPr>
          <w:color w:val="auto"/>
          <w:szCs w:val="23"/>
        </w:rPr>
        <w:t xml:space="preserve"> in the planning </w:t>
      </w:r>
      <w:r w:rsidR="001449FE">
        <w:rPr>
          <w:color w:val="auto"/>
          <w:szCs w:val="23"/>
        </w:rPr>
        <w:t xml:space="preserve">for, and implementation of, an </w:t>
      </w:r>
      <w:r>
        <w:rPr>
          <w:color w:val="auto"/>
          <w:szCs w:val="23"/>
        </w:rPr>
        <w:t xml:space="preserve">independent evaluation of the impact and outcomes achieved through the co-location of </w:t>
      </w:r>
      <w:r w:rsidR="00B07131">
        <w:rPr>
          <w:color w:val="auto"/>
          <w:szCs w:val="23"/>
        </w:rPr>
        <w:t>s</w:t>
      </w:r>
      <w:r>
        <w:rPr>
          <w:color w:val="auto"/>
          <w:szCs w:val="23"/>
        </w:rPr>
        <w:t>tate officials in the family law courts.</w:t>
      </w:r>
    </w:p>
    <w:p w14:paraId="17E2B6D1" w14:textId="77777777" w:rsidR="008F44F1" w:rsidRDefault="008F44F1" w:rsidP="004F5DCD">
      <w:pPr>
        <w:pStyle w:val="Heading2"/>
      </w:pPr>
      <w:r>
        <w:t>Shared roles</w:t>
      </w:r>
    </w:p>
    <w:p w14:paraId="6F8C2220" w14:textId="77777777" w:rsidR="00906C42" w:rsidRDefault="00906C42" w:rsidP="00F31111">
      <w:pPr>
        <w:pStyle w:val="Normalnumbered"/>
        <w:numPr>
          <w:ilvl w:val="0"/>
          <w:numId w:val="18"/>
        </w:numPr>
        <w:jc w:val="left"/>
      </w:pPr>
      <w:r>
        <w:t>The Parties share the following roles and responsibilities:</w:t>
      </w:r>
    </w:p>
    <w:p w14:paraId="6F092313" w14:textId="0434E6B1" w:rsidR="00BE3DB1" w:rsidRPr="00A6713D" w:rsidRDefault="00EB5351" w:rsidP="00F31111">
      <w:pPr>
        <w:pStyle w:val="AlphaParagraph"/>
        <w:numPr>
          <w:ilvl w:val="0"/>
          <w:numId w:val="29"/>
        </w:numPr>
        <w:tabs>
          <w:tab w:val="clear" w:pos="567"/>
          <w:tab w:val="clear" w:pos="1418"/>
          <w:tab w:val="clear" w:pos="1701"/>
        </w:tabs>
        <w:ind w:left="1134" w:hanging="567"/>
        <w:rPr>
          <w:color w:val="000000" w:themeColor="text1"/>
        </w:rPr>
      </w:pPr>
      <w:r>
        <w:rPr>
          <w:color w:val="000000" w:themeColor="text1"/>
        </w:rPr>
        <w:t>developing and agreeing S</w:t>
      </w:r>
      <w:r w:rsidR="00BE3DB1" w:rsidRPr="00A6713D">
        <w:rPr>
          <w:color w:val="000000" w:themeColor="text1"/>
        </w:rPr>
        <w:t xml:space="preserve">chedules to this Agreement which set out </w:t>
      </w:r>
      <w:r w:rsidR="009F6713">
        <w:rPr>
          <w:color w:val="000000" w:themeColor="text1"/>
        </w:rPr>
        <w:t xml:space="preserve">project outputs and the associated </w:t>
      </w:r>
      <w:r w:rsidR="00BE3DB1" w:rsidRPr="00A6713D">
        <w:rPr>
          <w:color w:val="000000" w:themeColor="text1"/>
        </w:rPr>
        <w:t>milestones, reporting and payment arrangements in accordance with Part 4 – Project Milestones, Reporting and Payments;</w:t>
      </w:r>
    </w:p>
    <w:p w14:paraId="6E061A49" w14:textId="259E1CF2" w:rsidR="00906C42" w:rsidRPr="00AE1FD4" w:rsidRDefault="00906C42" w:rsidP="00F31111">
      <w:pPr>
        <w:pStyle w:val="AlphaParagraph"/>
        <w:numPr>
          <w:ilvl w:val="0"/>
          <w:numId w:val="29"/>
        </w:numPr>
        <w:tabs>
          <w:tab w:val="clear" w:pos="567"/>
          <w:tab w:val="clear" w:pos="1418"/>
          <w:tab w:val="clear" w:pos="1701"/>
        </w:tabs>
        <w:ind w:left="1134" w:hanging="567"/>
        <w:rPr>
          <w:color w:val="auto"/>
        </w:rPr>
      </w:pPr>
      <w:r w:rsidRPr="00AE1FD4">
        <w:rPr>
          <w:color w:val="auto"/>
        </w:rPr>
        <w:lastRenderedPageBreak/>
        <w:t xml:space="preserve">meeting at least annually to discuss the operation of the Agreement and </w:t>
      </w:r>
      <w:r w:rsidR="008F4691" w:rsidRPr="00AE1FD4">
        <w:rPr>
          <w:color w:val="auto"/>
        </w:rPr>
        <w:t xml:space="preserve">to </w:t>
      </w:r>
      <w:r w:rsidRPr="00AE1FD4">
        <w:rPr>
          <w:color w:val="auto"/>
        </w:rPr>
        <w:t>share best practice across Australia;</w:t>
      </w:r>
    </w:p>
    <w:p w14:paraId="59F6A35A" w14:textId="038FF002" w:rsidR="008F44F1" w:rsidRDefault="008F44F1" w:rsidP="00AE1FD4">
      <w:pPr>
        <w:pStyle w:val="AlphaParagraph"/>
        <w:keepLines/>
        <w:numPr>
          <w:ilvl w:val="0"/>
          <w:numId w:val="29"/>
        </w:numPr>
        <w:tabs>
          <w:tab w:val="clear" w:pos="567"/>
          <w:tab w:val="clear" w:pos="1418"/>
          <w:tab w:val="clear" w:pos="1701"/>
        </w:tabs>
        <w:ind w:left="1134" w:hanging="567"/>
      </w:pPr>
      <w:proofErr w:type="gramStart"/>
      <w:r>
        <w:t>meet</w:t>
      </w:r>
      <w:r w:rsidR="003232FA">
        <w:t>ing</w:t>
      </w:r>
      <w:proofErr w:type="gramEnd"/>
      <w:r>
        <w:t xml:space="preserve"> the requirements of Clause 26</w:t>
      </w:r>
      <w:r w:rsidR="003E5A70">
        <w:t xml:space="preserve"> of </w:t>
      </w:r>
      <w:r w:rsidR="003E5A70" w:rsidRPr="003E5A70">
        <w:rPr>
          <w:i/>
        </w:rPr>
        <w:t>Schedule E – National Policy and Reform Objectives</w:t>
      </w:r>
      <w:r w:rsidR="003E5A70">
        <w:rPr>
          <w:i/>
        </w:rPr>
        <w:t xml:space="preserve"> </w:t>
      </w:r>
      <w:r>
        <w:t xml:space="preserve">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319BFC24" w14:textId="634CAB2D" w:rsidR="00E07838" w:rsidRDefault="00814667" w:rsidP="00AE1FD4">
      <w:pPr>
        <w:pStyle w:val="Heading1"/>
      </w:pPr>
      <w:r w:rsidRPr="00E07838">
        <w:t xml:space="preserve">Part 4 — </w:t>
      </w:r>
      <w:r w:rsidR="0095223D" w:rsidRPr="00E07838">
        <w:t xml:space="preserve">Project </w:t>
      </w:r>
      <w:r w:rsidR="00F8684A" w:rsidRPr="00E07838">
        <w:t>milestones</w:t>
      </w:r>
      <w:r w:rsidR="0095223D" w:rsidRPr="00E07838">
        <w:t xml:space="preserve">, </w:t>
      </w:r>
      <w:r w:rsidRPr="00E07838">
        <w:t>reporting</w:t>
      </w:r>
      <w:r w:rsidR="00B8096A" w:rsidRPr="00E07838">
        <w:t xml:space="preserve"> and Payment</w:t>
      </w:r>
      <w:r w:rsidR="0095223D" w:rsidRPr="00E07838">
        <w:t>s</w:t>
      </w:r>
    </w:p>
    <w:p w14:paraId="241FDE14" w14:textId="55A1E637" w:rsidR="00062986" w:rsidRDefault="00062986" w:rsidP="009A7CA4">
      <w:pPr>
        <w:pStyle w:val="Normalnumbered"/>
        <w:numPr>
          <w:ilvl w:val="0"/>
          <w:numId w:val="18"/>
        </w:numPr>
        <w:jc w:val="left"/>
      </w:pPr>
      <w:r>
        <w:t xml:space="preserve">The milestones for the project, their relationship to the outputs, expected completion dates, relevant reporting dates and expected payments to be made are set out in </w:t>
      </w:r>
      <w:r w:rsidR="009A7CA4">
        <w:t>S</w:t>
      </w:r>
      <w:r>
        <w:t>chedules to the Agreement. The Commonwealth will make payments subject to the performance reports demonstrating the relevant milestones have been met.</w:t>
      </w:r>
    </w:p>
    <w:p w14:paraId="3D896277" w14:textId="00787407" w:rsidR="00E5240E" w:rsidRDefault="006506E5" w:rsidP="00F31111">
      <w:pPr>
        <w:pStyle w:val="Normalnumbered"/>
        <w:numPr>
          <w:ilvl w:val="0"/>
          <w:numId w:val="18"/>
        </w:numPr>
      </w:pPr>
      <w:r>
        <w:t>If a milestone is met in advance of the due date, where the relevant performance report demonstrates that the milestone has been met, the Commonwealth may make the associated payment earlier than scheduled provided it falls within the same financial year as the original milestone date.</w:t>
      </w:r>
    </w:p>
    <w:p w14:paraId="2932BEB5" w14:textId="721F946D" w:rsidR="006506E5" w:rsidRDefault="006506E5" w:rsidP="006506E5">
      <w:pPr>
        <w:pStyle w:val="Heading2"/>
      </w:pPr>
      <w:r>
        <w:t>Reporting arrangements</w:t>
      </w:r>
    </w:p>
    <w:p w14:paraId="39C1F7C1" w14:textId="6F65DDAE" w:rsidR="00B8439F" w:rsidRDefault="006506E5" w:rsidP="006506E5">
      <w:pPr>
        <w:pStyle w:val="Normalnumbered"/>
        <w:numPr>
          <w:ilvl w:val="0"/>
          <w:numId w:val="18"/>
        </w:numPr>
      </w:pPr>
      <w:r>
        <w:t xml:space="preserve">The states will provide annual performance reports in accordance with </w:t>
      </w:r>
      <w:r w:rsidR="00342DC9">
        <w:t xml:space="preserve">the </w:t>
      </w:r>
      <w:r w:rsidRPr="0065577E">
        <w:t xml:space="preserve">Schedules </w:t>
      </w:r>
      <w:r>
        <w:t xml:space="preserve">during </w:t>
      </w:r>
      <w:r w:rsidR="004F30EE">
        <w:t>the operation of the Agreement. Each performance report is to contain a description of actual performance in the period to date against the project milestones, and provide an update on activities undertaken</w:t>
      </w:r>
      <w:r w:rsidR="00B8439F">
        <w:t>.</w:t>
      </w:r>
    </w:p>
    <w:p w14:paraId="1E9AF78E" w14:textId="72103EF7" w:rsidR="00AA4935" w:rsidRDefault="00B8439F" w:rsidP="00AA4935">
      <w:pPr>
        <w:pStyle w:val="Normalnumbered"/>
        <w:numPr>
          <w:ilvl w:val="0"/>
          <w:numId w:val="18"/>
        </w:numPr>
      </w:pPr>
      <w:r>
        <w:t>Progress reports will not be published however a consolidated summary of overall progress may be released periodically.</w:t>
      </w:r>
      <w:r w:rsidR="00AA4935">
        <w:t xml:space="preserve"> A</w:t>
      </w:r>
      <w:r w:rsidR="00AA4935" w:rsidRPr="00AA4935">
        <w:t>ny report</w:t>
      </w:r>
      <w:r w:rsidR="00AA4935">
        <w:t xml:space="preserve">s </w:t>
      </w:r>
      <w:r w:rsidR="00AA4935" w:rsidRPr="00AA4935">
        <w:t xml:space="preserve">will be de-identified and the </w:t>
      </w:r>
      <w:r w:rsidR="00AA4935">
        <w:t xml:space="preserve">Commonwealth </w:t>
      </w:r>
      <w:r w:rsidR="00AA4935" w:rsidRPr="00AA4935">
        <w:t>will advise</w:t>
      </w:r>
      <w:r w:rsidR="00AA4935">
        <w:t xml:space="preserve"> the states p</w:t>
      </w:r>
      <w:r w:rsidR="00AA4935" w:rsidRPr="00AA4935">
        <w:t xml:space="preserve">rior to releasing </w:t>
      </w:r>
      <w:r w:rsidR="00AA4935">
        <w:t xml:space="preserve">any </w:t>
      </w:r>
      <w:r w:rsidR="00AA4935" w:rsidRPr="00AA4935">
        <w:t>summaries of the progress reports</w:t>
      </w:r>
      <w:r w:rsidR="00AA4935">
        <w:t>.</w:t>
      </w:r>
    </w:p>
    <w:p w14:paraId="4824CCA4" w14:textId="77777777" w:rsidR="008E7527" w:rsidRPr="00404763" w:rsidRDefault="008E7527" w:rsidP="009E093C">
      <w:pPr>
        <w:pStyle w:val="Heading1"/>
      </w:pPr>
      <w:r w:rsidRPr="00404763">
        <w:t>Part 5 — financial arrangements</w:t>
      </w:r>
    </w:p>
    <w:p w14:paraId="46CB8811" w14:textId="3E4FEACC" w:rsidR="008E7527" w:rsidRPr="00404763" w:rsidRDefault="008E7527" w:rsidP="00F31111">
      <w:pPr>
        <w:pStyle w:val="Normalnumbered"/>
        <w:numPr>
          <w:ilvl w:val="0"/>
          <w:numId w:val="18"/>
        </w:numPr>
        <w:jc w:val="left"/>
      </w:pPr>
      <w:r w:rsidRPr="00404763">
        <w:t xml:space="preserve">The Commonwealth will provide </w:t>
      </w:r>
      <w:r w:rsidR="00E07838" w:rsidRPr="00404763">
        <w:t>a</w:t>
      </w:r>
      <w:r w:rsidR="0020308E" w:rsidRPr="00404763">
        <w:t>n estimated</w:t>
      </w:r>
      <w:r w:rsidR="00E07838" w:rsidRPr="00404763">
        <w:t xml:space="preserve"> financial contribution to the </w:t>
      </w:r>
      <w:r w:rsidR="0033274A" w:rsidRPr="00404763">
        <w:t>s</w:t>
      </w:r>
      <w:r w:rsidR="00E07838" w:rsidRPr="00404763">
        <w:t xml:space="preserve">tates </w:t>
      </w:r>
      <w:r w:rsidR="00E50AE7" w:rsidRPr="00404763">
        <w:t>of $</w:t>
      </w:r>
      <w:r w:rsidR="00C047FD">
        <w:t>8.4</w:t>
      </w:r>
      <w:r w:rsidR="0020308E" w:rsidRPr="00404763">
        <w:t xml:space="preserve"> million </w:t>
      </w:r>
      <w:r w:rsidR="00C045FD" w:rsidRPr="00404763">
        <w:t>in respect to this Agreement</w:t>
      </w:r>
      <w:r w:rsidR="00C86C16" w:rsidRPr="00404763">
        <w:t xml:space="preserve">, as shown in </w:t>
      </w:r>
      <w:r w:rsidR="00C86C16" w:rsidRPr="00404763">
        <w:rPr>
          <w:b/>
        </w:rPr>
        <w:t xml:space="preserve">Table </w:t>
      </w:r>
      <w:r w:rsidR="00274877" w:rsidRPr="00404763">
        <w:rPr>
          <w:b/>
        </w:rPr>
        <w:t>1</w:t>
      </w:r>
      <w:r w:rsidR="00E07838" w:rsidRPr="00404763">
        <w:t>.</w:t>
      </w:r>
      <w:r w:rsidRPr="00404763">
        <w:t xml:space="preserve"> All payments are GST exclusive.</w:t>
      </w:r>
    </w:p>
    <w:p w14:paraId="1CBF57EE" w14:textId="414ECB9F" w:rsidR="00D705C0" w:rsidRPr="00404763" w:rsidRDefault="009122FB" w:rsidP="009122FB">
      <w:pPr>
        <w:pStyle w:val="Normalnumbered"/>
        <w:numPr>
          <w:ilvl w:val="0"/>
          <w:numId w:val="0"/>
        </w:numPr>
        <w:ind w:left="567" w:hanging="567"/>
        <w:rPr>
          <w:b/>
        </w:rPr>
      </w:pPr>
      <w:r w:rsidRPr="00404763">
        <w:rPr>
          <w:b/>
        </w:rPr>
        <w:t xml:space="preserve">Table </w:t>
      </w:r>
      <w:r w:rsidR="00274877" w:rsidRPr="00404763">
        <w:rPr>
          <w:b/>
        </w:rPr>
        <w:t>1</w:t>
      </w:r>
      <w:r w:rsidR="00D705C0" w:rsidRPr="00404763">
        <w:rPr>
          <w:b/>
        </w:rPr>
        <w:t>:</w:t>
      </w:r>
      <w:r w:rsidRPr="00404763">
        <w:rPr>
          <w:b/>
        </w:rPr>
        <w:t xml:space="preserve"> Commonwealth’s funding contributions</w:t>
      </w:r>
      <w:r w:rsidR="00D705C0" w:rsidRPr="00404763">
        <w:rPr>
          <w:b/>
        </w:rPr>
        <w:t xml:space="preserve"> </w:t>
      </w:r>
    </w:p>
    <w:tbl>
      <w:tblPr>
        <w:tblW w:w="5000" w:type="pct"/>
        <w:tblLook w:val="01E0" w:firstRow="1" w:lastRow="1" w:firstColumn="1" w:lastColumn="1" w:noHBand="0" w:noVBand="0"/>
      </w:tblPr>
      <w:tblGrid>
        <w:gridCol w:w="5313"/>
        <w:gridCol w:w="1080"/>
        <w:gridCol w:w="1079"/>
        <w:gridCol w:w="1081"/>
        <w:gridCol w:w="1085"/>
      </w:tblGrid>
      <w:tr w:rsidR="00734D6C" w:rsidRPr="00404763" w14:paraId="098897E1" w14:textId="77777777" w:rsidTr="00D705C0">
        <w:trPr>
          <w:cantSplit/>
        </w:trPr>
        <w:tc>
          <w:tcPr>
            <w:tcW w:w="2756" w:type="pct"/>
            <w:tcBorders>
              <w:top w:val="single" w:sz="4" w:space="0" w:color="000080"/>
            </w:tcBorders>
          </w:tcPr>
          <w:p w14:paraId="318D7F1C" w14:textId="77777777" w:rsidR="00734D6C" w:rsidRPr="00404763" w:rsidRDefault="00734D6C" w:rsidP="00BD7EDF">
            <w:pPr>
              <w:keepNext/>
              <w:keepLines/>
              <w:spacing w:before="40" w:after="40"/>
              <w:jc w:val="left"/>
              <w:rPr>
                <w:b/>
              </w:rPr>
            </w:pPr>
            <w:r w:rsidRPr="00404763">
              <w:rPr>
                <w:b/>
              </w:rPr>
              <w:t>($ million)</w:t>
            </w:r>
          </w:p>
        </w:tc>
        <w:tc>
          <w:tcPr>
            <w:tcW w:w="560" w:type="pct"/>
            <w:tcBorders>
              <w:top w:val="single" w:sz="4" w:space="0" w:color="000080"/>
              <w:bottom w:val="single" w:sz="4" w:space="0" w:color="000080"/>
            </w:tcBorders>
            <w:vAlign w:val="center"/>
          </w:tcPr>
          <w:p w14:paraId="1C522DBD" w14:textId="77777777" w:rsidR="00734D6C" w:rsidRPr="00404763" w:rsidRDefault="00734D6C" w:rsidP="00BD7EDF">
            <w:pPr>
              <w:keepNext/>
              <w:keepLines/>
              <w:spacing w:before="60" w:after="60"/>
              <w:rPr>
                <w:b/>
              </w:rPr>
            </w:pPr>
            <w:r w:rsidRPr="00404763">
              <w:rPr>
                <w:b/>
              </w:rPr>
              <w:t>2019-20</w:t>
            </w:r>
          </w:p>
        </w:tc>
        <w:tc>
          <w:tcPr>
            <w:tcW w:w="560" w:type="pct"/>
            <w:tcBorders>
              <w:top w:val="single" w:sz="4" w:space="0" w:color="000080"/>
              <w:bottom w:val="single" w:sz="4" w:space="0" w:color="000080"/>
            </w:tcBorders>
            <w:vAlign w:val="center"/>
          </w:tcPr>
          <w:p w14:paraId="17B179F7" w14:textId="77777777" w:rsidR="00734D6C" w:rsidRPr="00404763" w:rsidRDefault="00734D6C" w:rsidP="00BD7EDF">
            <w:pPr>
              <w:keepNext/>
              <w:keepLines/>
              <w:spacing w:before="60" w:after="60"/>
              <w:rPr>
                <w:b/>
              </w:rPr>
            </w:pPr>
            <w:r w:rsidRPr="00404763">
              <w:rPr>
                <w:b/>
              </w:rPr>
              <w:t>2020-21</w:t>
            </w:r>
          </w:p>
        </w:tc>
        <w:tc>
          <w:tcPr>
            <w:tcW w:w="561" w:type="pct"/>
            <w:tcBorders>
              <w:top w:val="single" w:sz="4" w:space="0" w:color="000080"/>
              <w:bottom w:val="single" w:sz="4" w:space="0" w:color="000080"/>
            </w:tcBorders>
            <w:vAlign w:val="center"/>
          </w:tcPr>
          <w:p w14:paraId="0EA0A517" w14:textId="77777777" w:rsidR="00734D6C" w:rsidRPr="00404763" w:rsidRDefault="00734D6C" w:rsidP="00BD7EDF">
            <w:pPr>
              <w:keepNext/>
              <w:keepLines/>
              <w:spacing w:before="60" w:after="60"/>
              <w:rPr>
                <w:b/>
              </w:rPr>
            </w:pPr>
            <w:r w:rsidRPr="00404763">
              <w:rPr>
                <w:b/>
              </w:rPr>
              <w:t>2021-22</w:t>
            </w:r>
          </w:p>
        </w:tc>
        <w:tc>
          <w:tcPr>
            <w:tcW w:w="563" w:type="pct"/>
            <w:tcBorders>
              <w:top w:val="single" w:sz="4" w:space="0" w:color="000080"/>
              <w:bottom w:val="single" w:sz="4" w:space="0" w:color="000080"/>
            </w:tcBorders>
          </w:tcPr>
          <w:p w14:paraId="43EA2B36" w14:textId="77777777" w:rsidR="00734D6C" w:rsidRPr="00404763" w:rsidRDefault="00734D6C" w:rsidP="00BD7EDF">
            <w:pPr>
              <w:keepNext/>
              <w:keepLines/>
              <w:spacing w:before="40" w:after="40"/>
              <w:jc w:val="center"/>
              <w:rPr>
                <w:b/>
              </w:rPr>
            </w:pPr>
            <w:r w:rsidRPr="00404763">
              <w:rPr>
                <w:b/>
              </w:rPr>
              <w:t>Total</w:t>
            </w:r>
          </w:p>
        </w:tc>
      </w:tr>
      <w:tr w:rsidR="007B424C" w:rsidRPr="0069310D" w14:paraId="715782F6" w14:textId="77777777" w:rsidTr="00292751">
        <w:trPr>
          <w:cantSplit/>
        </w:trPr>
        <w:tc>
          <w:tcPr>
            <w:tcW w:w="2756" w:type="pct"/>
          </w:tcPr>
          <w:p w14:paraId="58373D5F" w14:textId="77777777" w:rsidR="007B424C" w:rsidRPr="00CA109A" w:rsidRDefault="007B424C" w:rsidP="007B424C">
            <w:pPr>
              <w:keepNext/>
              <w:keepLines/>
              <w:spacing w:before="60" w:after="60"/>
              <w:rPr>
                <w:b/>
              </w:rPr>
            </w:pPr>
            <w:r w:rsidRPr="00CA109A">
              <w:rPr>
                <w:b/>
              </w:rPr>
              <w:t>Estimated total budget</w:t>
            </w:r>
          </w:p>
        </w:tc>
        <w:tc>
          <w:tcPr>
            <w:tcW w:w="560" w:type="pct"/>
            <w:tcBorders>
              <w:top w:val="single" w:sz="4" w:space="0" w:color="000080"/>
            </w:tcBorders>
            <w:vAlign w:val="center"/>
          </w:tcPr>
          <w:p w14:paraId="5A3A4CE9" w14:textId="7A8AA828" w:rsidR="007B424C" w:rsidRPr="0069310D" w:rsidRDefault="007B424C" w:rsidP="007B424C">
            <w:pPr>
              <w:keepNext/>
              <w:keepLines/>
              <w:spacing w:before="60" w:after="60"/>
              <w:jc w:val="right"/>
              <w:rPr>
                <w:b/>
                <w:highlight w:val="yellow"/>
              </w:rPr>
            </w:pPr>
            <w:r>
              <w:rPr>
                <w:rFonts w:cs="Calibri"/>
                <w:szCs w:val="23"/>
              </w:rPr>
              <w:t>2.749</w:t>
            </w:r>
          </w:p>
        </w:tc>
        <w:tc>
          <w:tcPr>
            <w:tcW w:w="560" w:type="pct"/>
            <w:tcBorders>
              <w:top w:val="single" w:sz="4" w:space="0" w:color="000080"/>
            </w:tcBorders>
            <w:vAlign w:val="center"/>
          </w:tcPr>
          <w:p w14:paraId="09A579F6" w14:textId="3041851E" w:rsidR="007B424C" w:rsidRPr="0069310D" w:rsidRDefault="007B424C" w:rsidP="007B424C">
            <w:pPr>
              <w:keepNext/>
              <w:keepLines/>
              <w:spacing w:before="60" w:after="60"/>
              <w:jc w:val="right"/>
              <w:rPr>
                <w:b/>
                <w:highlight w:val="yellow"/>
              </w:rPr>
            </w:pPr>
            <w:r>
              <w:rPr>
                <w:rFonts w:cs="Calibri"/>
                <w:szCs w:val="23"/>
              </w:rPr>
              <w:t>2.793</w:t>
            </w:r>
          </w:p>
        </w:tc>
        <w:tc>
          <w:tcPr>
            <w:tcW w:w="561" w:type="pct"/>
            <w:tcBorders>
              <w:top w:val="single" w:sz="4" w:space="0" w:color="000080"/>
            </w:tcBorders>
            <w:vAlign w:val="center"/>
          </w:tcPr>
          <w:p w14:paraId="2C449AC0" w14:textId="7D1AD804" w:rsidR="007B424C" w:rsidRPr="0069310D" w:rsidRDefault="007B424C" w:rsidP="007B424C">
            <w:pPr>
              <w:keepNext/>
              <w:keepLines/>
              <w:spacing w:before="60" w:after="60"/>
              <w:jc w:val="right"/>
              <w:rPr>
                <w:b/>
                <w:highlight w:val="yellow"/>
              </w:rPr>
            </w:pPr>
            <w:r>
              <w:rPr>
                <w:rFonts w:cs="Calibri"/>
                <w:szCs w:val="23"/>
              </w:rPr>
              <w:t>2.835</w:t>
            </w:r>
          </w:p>
        </w:tc>
        <w:tc>
          <w:tcPr>
            <w:tcW w:w="563" w:type="pct"/>
            <w:tcBorders>
              <w:top w:val="single" w:sz="4" w:space="0" w:color="000080"/>
            </w:tcBorders>
            <w:vAlign w:val="center"/>
          </w:tcPr>
          <w:p w14:paraId="5EF17D0F" w14:textId="26021B18" w:rsidR="007B424C" w:rsidRPr="0069310D" w:rsidRDefault="007B424C" w:rsidP="007B424C">
            <w:pPr>
              <w:keepNext/>
              <w:keepLines/>
              <w:spacing w:before="60" w:after="60"/>
              <w:jc w:val="right"/>
              <w:rPr>
                <w:b/>
                <w:highlight w:val="yellow"/>
              </w:rPr>
            </w:pPr>
            <w:r>
              <w:rPr>
                <w:rFonts w:cs="Calibri"/>
                <w:szCs w:val="23"/>
              </w:rPr>
              <w:t>8.377</w:t>
            </w:r>
          </w:p>
        </w:tc>
      </w:tr>
      <w:tr w:rsidR="005E697B" w:rsidRPr="0069310D" w14:paraId="2AD4530D" w14:textId="77777777" w:rsidTr="00D705C0">
        <w:trPr>
          <w:cantSplit/>
        </w:trPr>
        <w:tc>
          <w:tcPr>
            <w:tcW w:w="2756" w:type="pct"/>
          </w:tcPr>
          <w:p w14:paraId="18DEAB2C" w14:textId="77777777" w:rsidR="005E697B" w:rsidRPr="00CA109A" w:rsidRDefault="005E697B" w:rsidP="005E697B">
            <w:pPr>
              <w:keepNext/>
              <w:keepLines/>
              <w:spacing w:before="60" w:after="60"/>
              <w:rPr>
                <w:b/>
              </w:rPr>
            </w:pPr>
            <w:r w:rsidRPr="00CA109A">
              <w:t>Child protection</w:t>
            </w:r>
          </w:p>
        </w:tc>
        <w:tc>
          <w:tcPr>
            <w:tcW w:w="560" w:type="pct"/>
            <w:tcBorders>
              <w:top w:val="single" w:sz="4" w:space="0" w:color="000080"/>
              <w:bottom w:val="single" w:sz="4" w:space="0" w:color="000080"/>
            </w:tcBorders>
            <w:vAlign w:val="center"/>
          </w:tcPr>
          <w:p w14:paraId="315987E8" w14:textId="37FB2E82" w:rsidR="005E697B" w:rsidRPr="0069310D" w:rsidRDefault="005E697B" w:rsidP="005D58B7">
            <w:pPr>
              <w:keepNext/>
              <w:keepLines/>
              <w:spacing w:before="60" w:after="60"/>
              <w:jc w:val="right"/>
              <w:rPr>
                <w:b/>
                <w:highlight w:val="yellow"/>
              </w:rPr>
            </w:pPr>
            <w:r>
              <w:rPr>
                <w:rFonts w:cs="Calibri"/>
                <w:szCs w:val="23"/>
              </w:rPr>
              <w:t>2.07</w:t>
            </w:r>
            <w:r w:rsidR="005D58B7">
              <w:rPr>
                <w:rFonts w:cs="Calibri"/>
                <w:szCs w:val="23"/>
              </w:rPr>
              <w:t>8</w:t>
            </w:r>
          </w:p>
        </w:tc>
        <w:tc>
          <w:tcPr>
            <w:tcW w:w="560" w:type="pct"/>
            <w:tcBorders>
              <w:top w:val="single" w:sz="4" w:space="0" w:color="000080"/>
              <w:bottom w:val="single" w:sz="4" w:space="0" w:color="000080"/>
            </w:tcBorders>
            <w:vAlign w:val="center"/>
          </w:tcPr>
          <w:p w14:paraId="52BFAFB7" w14:textId="0638D569" w:rsidR="005E697B" w:rsidRPr="0069310D" w:rsidRDefault="005E697B" w:rsidP="005E697B">
            <w:pPr>
              <w:keepNext/>
              <w:keepLines/>
              <w:spacing w:before="60" w:after="60"/>
              <w:jc w:val="right"/>
              <w:rPr>
                <w:b/>
                <w:highlight w:val="yellow"/>
              </w:rPr>
            </w:pPr>
            <w:r>
              <w:rPr>
                <w:rFonts w:cs="Calibri"/>
                <w:szCs w:val="23"/>
              </w:rPr>
              <w:t>2.112</w:t>
            </w:r>
          </w:p>
        </w:tc>
        <w:tc>
          <w:tcPr>
            <w:tcW w:w="561" w:type="pct"/>
            <w:tcBorders>
              <w:top w:val="single" w:sz="4" w:space="0" w:color="000080"/>
              <w:bottom w:val="single" w:sz="4" w:space="0" w:color="000080"/>
            </w:tcBorders>
            <w:vAlign w:val="center"/>
          </w:tcPr>
          <w:p w14:paraId="1EC4D08E" w14:textId="70155275" w:rsidR="005E697B" w:rsidRPr="0069310D" w:rsidRDefault="005E697B" w:rsidP="005E697B">
            <w:pPr>
              <w:keepNext/>
              <w:keepLines/>
              <w:spacing w:before="60" w:after="60"/>
              <w:jc w:val="right"/>
              <w:rPr>
                <w:b/>
                <w:highlight w:val="yellow"/>
              </w:rPr>
            </w:pPr>
            <w:r>
              <w:rPr>
                <w:rFonts w:cs="Calibri"/>
                <w:szCs w:val="23"/>
              </w:rPr>
              <w:t>2.144</w:t>
            </w:r>
          </w:p>
        </w:tc>
        <w:tc>
          <w:tcPr>
            <w:tcW w:w="563" w:type="pct"/>
            <w:tcBorders>
              <w:top w:val="single" w:sz="4" w:space="0" w:color="000080"/>
              <w:bottom w:val="single" w:sz="4" w:space="0" w:color="000080"/>
            </w:tcBorders>
            <w:vAlign w:val="center"/>
          </w:tcPr>
          <w:p w14:paraId="7F819F97" w14:textId="66F0BB5E" w:rsidR="005E697B" w:rsidRPr="0069310D" w:rsidRDefault="005E697B" w:rsidP="005E697B">
            <w:pPr>
              <w:keepNext/>
              <w:keepLines/>
              <w:spacing w:before="60" w:after="60"/>
              <w:jc w:val="right"/>
              <w:rPr>
                <w:b/>
                <w:highlight w:val="yellow"/>
              </w:rPr>
            </w:pPr>
            <w:r>
              <w:rPr>
                <w:rFonts w:cs="Calibri"/>
                <w:szCs w:val="23"/>
              </w:rPr>
              <w:t>6.334</w:t>
            </w:r>
          </w:p>
        </w:tc>
      </w:tr>
      <w:tr w:rsidR="002C2F4A" w:rsidRPr="0069310D" w14:paraId="2688048B" w14:textId="77777777" w:rsidTr="00D705C0">
        <w:trPr>
          <w:cantSplit/>
        </w:trPr>
        <w:tc>
          <w:tcPr>
            <w:tcW w:w="2756" w:type="pct"/>
          </w:tcPr>
          <w:p w14:paraId="2E82E27B" w14:textId="77777777" w:rsidR="002C2F4A" w:rsidRPr="00CA109A" w:rsidRDefault="002C2F4A" w:rsidP="002C2F4A">
            <w:pPr>
              <w:keepNext/>
              <w:keepLines/>
              <w:spacing w:before="60" w:after="60"/>
              <w:rPr>
                <w:b/>
              </w:rPr>
            </w:pPr>
            <w:r w:rsidRPr="00CA109A">
              <w:t>Police</w:t>
            </w:r>
          </w:p>
        </w:tc>
        <w:tc>
          <w:tcPr>
            <w:tcW w:w="560" w:type="pct"/>
            <w:tcBorders>
              <w:top w:val="single" w:sz="4" w:space="0" w:color="000080"/>
              <w:bottom w:val="single" w:sz="4" w:space="0" w:color="auto"/>
            </w:tcBorders>
            <w:vAlign w:val="center"/>
          </w:tcPr>
          <w:p w14:paraId="6E374A78" w14:textId="7AAD506E" w:rsidR="002C2F4A" w:rsidRPr="0069310D" w:rsidRDefault="002C2F4A" w:rsidP="005D58B7">
            <w:pPr>
              <w:keepNext/>
              <w:keepLines/>
              <w:spacing w:before="60" w:after="60"/>
              <w:jc w:val="right"/>
              <w:rPr>
                <w:b/>
                <w:highlight w:val="yellow"/>
              </w:rPr>
            </w:pPr>
            <w:r>
              <w:rPr>
                <w:rFonts w:cs="Calibri"/>
                <w:szCs w:val="23"/>
              </w:rPr>
              <w:t>0.67</w:t>
            </w:r>
            <w:r w:rsidR="005D58B7">
              <w:rPr>
                <w:rFonts w:cs="Calibri"/>
                <w:szCs w:val="23"/>
              </w:rPr>
              <w:t>1</w:t>
            </w:r>
          </w:p>
        </w:tc>
        <w:tc>
          <w:tcPr>
            <w:tcW w:w="560" w:type="pct"/>
            <w:tcBorders>
              <w:top w:val="single" w:sz="4" w:space="0" w:color="000080"/>
              <w:bottom w:val="single" w:sz="4" w:space="0" w:color="auto"/>
            </w:tcBorders>
            <w:vAlign w:val="center"/>
          </w:tcPr>
          <w:p w14:paraId="5A30C9DD" w14:textId="47394A4C" w:rsidR="002C2F4A" w:rsidRPr="0069310D" w:rsidRDefault="002C2F4A" w:rsidP="002C2F4A">
            <w:pPr>
              <w:keepNext/>
              <w:keepLines/>
              <w:spacing w:before="60" w:after="60"/>
              <w:jc w:val="right"/>
              <w:rPr>
                <w:b/>
                <w:highlight w:val="yellow"/>
              </w:rPr>
            </w:pPr>
            <w:r>
              <w:rPr>
                <w:rFonts w:cs="Calibri"/>
                <w:szCs w:val="23"/>
              </w:rPr>
              <w:t>0.681</w:t>
            </w:r>
          </w:p>
        </w:tc>
        <w:tc>
          <w:tcPr>
            <w:tcW w:w="561" w:type="pct"/>
            <w:tcBorders>
              <w:top w:val="single" w:sz="4" w:space="0" w:color="000080"/>
              <w:bottom w:val="single" w:sz="4" w:space="0" w:color="auto"/>
            </w:tcBorders>
            <w:vAlign w:val="center"/>
          </w:tcPr>
          <w:p w14:paraId="1CBD0F42" w14:textId="7932B4F9" w:rsidR="002C2F4A" w:rsidRPr="0069310D" w:rsidRDefault="002C2F4A" w:rsidP="002C2F4A">
            <w:pPr>
              <w:keepNext/>
              <w:keepLines/>
              <w:spacing w:before="60" w:after="60"/>
              <w:jc w:val="right"/>
              <w:rPr>
                <w:b/>
                <w:highlight w:val="yellow"/>
              </w:rPr>
            </w:pPr>
            <w:r>
              <w:rPr>
                <w:rFonts w:cs="Calibri"/>
                <w:szCs w:val="23"/>
              </w:rPr>
              <w:t>0.691</w:t>
            </w:r>
          </w:p>
        </w:tc>
        <w:tc>
          <w:tcPr>
            <w:tcW w:w="563" w:type="pct"/>
            <w:tcBorders>
              <w:top w:val="single" w:sz="4" w:space="0" w:color="000080"/>
              <w:bottom w:val="single" w:sz="4" w:space="0" w:color="auto"/>
            </w:tcBorders>
            <w:vAlign w:val="center"/>
          </w:tcPr>
          <w:p w14:paraId="1BFF2701" w14:textId="569099B2" w:rsidR="002C2F4A" w:rsidRPr="0069310D" w:rsidRDefault="002C2F4A" w:rsidP="002C2F4A">
            <w:pPr>
              <w:keepNext/>
              <w:keepLines/>
              <w:spacing w:before="60" w:after="60"/>
              <w:jc w:val="right"/>
              <w:rPr>
                <w:b/>
                <w:highlight w:val="yellow"/>
              </w:rPr>
            </w:pPr>
            <w:r>
              <w:rPr>
                <w:rFonts w:cs="Calibri"/>
                <w:szCs w:val="23"/>
              </w:rPr>
              <w:t>2.043</w:t>
            </w:r>
          </w:p>
        </w:tc>
      </w:tr>
      <w:tr w:rsidR="007B424C" w:rsidRPr="0069310D" w14:paraId="5AD165E5" w14:textId="77777777" w:rsidTr="00EA65BB">
        <w:tblPrEx>
          <w:tblLook w:val="04A0" w:firstRow="1" w:lastRow="0" w:firstColumn="1" w:lastColumn="0" w:noHBand="0" w:noVBand="1"/>
        </w:tblPrEx>
        <w:trPr>
          <w:trHeight w:val="315"/>
        </w:trPr>
        <w:tc>
          <w:tcPr>
            <w:tcW w:w="2756" w:type="pct"/>
            <w:tcBorders>
              <w:top w:val="nil"/>
            </w:tcBorders>
            <w:vAlign w:val="center"/>
            <w:hideMark/>
          </w:tcPr>
          <w:p w14:paraId="05EC06CB" w14:textId="77777777" w:rsidR="007B424C" w:rsidRPr="00CA109A" w:rsidRDefault="007B424C" w:rsidP="007B424C">
            <w:pPr>
              <w:keepNext/>
              <w:keepLines/>
              <w:spacing w:before="60" w:after="60"/>
              <w:jc w:val="left"/>
            </w:pPr>
            <w:r w:rsidRPr="00CA109A">
              <w:t>Less estimated National Partnership Payments</w:t>
            </w:r>
          </w:p>
        </w:tc>
        <w:tc>
          <w:tcPr>
            <w:tcW w:w="560" w:type="pct"/>
            <w:tcBorders>
              <w:top w:val="single" w:sz="4" w:space="0" w:color="auto"/>
              <w:left w:val="nil"/>
              <w:bottom w:val="single" w:sz="4" w:space="0" w:color="auto"/>
            </w:tcBorders>
            <w:noWrap/>
            <w:vAlign w:val="center"/>
          </w:tcPr>
          <w:p w14:paraId="4ACD516B" w14:textId="5E377849" w:rsidR="007B424C" w:rsidRPr="0069310D" w:rsidRDefault="007B424C" w:rsidP="007B424C">
            <w:pPr>
              <w:keepNext/>
              <w:keepLines/>
              <w:spacing w:before="60" w:after="60"/>
              <w:jc w:val="right"/>
              <w:rPr>
                <w:highlight w:val="yellow"/>
              </w:rPr>
            </w:pPr>
            <w:r>
              <w:rPr>
                <w:rFonts w:cs="Calibri"/>
                <w:szCs w:val="23"/>
              </w:rPr>
              <w:t>2.749</w:t>
            </w:r>
          </w:p>
        </w:tc>
        <w:tc>
          <w:tcPr>
            <w:tcW w:w="560" w:type="pct"/>
            <w:tcBorders>
              <w:top w:val="single" w:sz="4" w:space="0" w:color="auto"/>
              <w:bottom w:val="single" w:sz="4" w:space="0" w:color="auto"/>
            </w:tcBorders>
            <w:noWrap/>
            <w:vAlign w:val="center"/>
          </w:tcPr>
          <w:p w14:paraId="41B94E23" w14:textId="6F929895" w:rsidR="007B424C" w:rsidRPr="0069310D" w:rsidRDefault="007B424C" w:rsidP="007B424C">
            <w:pPr>
              <w:keepNext/>
              <w:keepLines/>
              <w:spacing w:before="60" w:after="60"/>
              <w:jc w:val="right"/>
              <w:rPr>
                <w:highlight w:val="yellow"/>
              </w:rPr>
            </w:pPr>
            <w:r>
              <w:rPr>
                <w:rFonts w:cs="Calibri"/>
                <w:szCs w:val="23"/>
              </w:rPr>
              <w:t>2.793</w:t>
            </w:r>
          </w:p>
        </w:tc>
        <w:tc>
          <w:tcPr>
            <w:tcW w:w="561" w:type="pct"/>
            <w:tcBorders>
              <w:top w:val="single" w:sz="4" w:space="0" w:color="auto"/>
              <w:bottom w:val="single" w:sz="4" w:space="0" w:color="auto"/>
            </w:tcBorders>
            <w:noWrap/>
            <w:vAlign w:val="center"/>
          </w:tcPr>
          <w:p w14:paraId="7CF76D80" w14:textId="71149212" w:rsidR="007B424C" w:rsidRPr="0069310D" w:rsidRDefault="007B424C" w:rsidP="007B424C">
            <w:pPr>
              <w:keepNext/>
              <w:keepLines/>
              <w:spacing w:before="60" w:after="60"/>
              <w:jc w:val="right"/>
              <w:rPr>
                <w:highlight w:val="yellow"/>
              </w:rPr>
            </w:pPr>
            <w:r>
              <w:rPr>
                <w:rFonts w:cs="Calibri"/>
                <w:szCs w:val="23"/>
              </w:rPr>
              <w:t>2.835</w:t>
            </w:r>
          </w:p>
        </w:tc>
        <w:tc>
          <w:tcPr>
            <w:tcW w:w="563" w:type="pct"/>
            <w:tcBorders>
              <w:top w:val="single" w:sz="4" w:space="0" w:color="auto"/>
              <w:bottom w:val="single" w:sz="4" w:space="0" w:color="auto"/>
            </w:tcBorders>
            <w:noWrap/>
            <w:vAlign w:val="center"/>
          </w:tcPr>
          <w:p w14:paraId="3B30D112" w14:textId="283459A3" w:rsidR="007B424C" w:rsidRPr="0069310D" w:rsidRDefault="007B424C" w:rsidP="007B424C">
            <w:pPr>
              <w:keepNext/>
              <w:keepLines/>
              <w:spacing w:before="60" w:after="60"/>
              <w:jc w:val="right"/>
              <w:rPr>
                <w:highlight w:val="yellow"/>
              </w:rPr>
            </w:pPr>
            <w:r>
              <w:rPr>
                <w:rFonts w:cs="Calibri"/>
                <w:szCs w:val="23"/>
              </w:rPr>
              <w:t>8.377</w:t>
            </w:r>
          </w:p>
        </w:tc>
      </w:tr>
      <w:tr w:rsidR="00734D6C" w:rsidRPr="00404763" w14:paraId="17389607" w14:textId="77777777" w:rsidTr="00D705C0">
        <w:tblPrEx>
          <w:tblLook w:val="04A0" w:firstRow="1" w:lastRow="0" w:firstColumn="1" w:lastColumn="0" w:noHBand="0" w:noVBand="1"/>
        </w:tblPrEx>
        <w:trPr>
          <w:trHeight w:val="315"/>
        </w:trPr>
        <w:tc>
          <w:tcPr>
            <w:tcW w:w="2756" w:type="pct"/>
            <w:tcBorders>
              <w:top w:val="nil"/>
              <w:bottom w:val="single" w:sz="4" w:space="0" w:color="auto"/>
            </w:tcBorders>
            <w:vAlign w:val="center"/>
            <w:hideMark/>
          </w:tcPr>
          <w:p w14:paraId="2E3EF189" w14:textId="77777777" w:rsidR="00734D6C" w:rsidRPr="00CA109A" w:rsidRDefault="00734D6C" w:rsidP="00BD7EDF">
            <w:pPr>
              <w:keepNext/>
              <w:keepLines/>
              <w:spacing w:before="60" w:after="60"/>
              <w:jc w:val="left"/>
            </w:pPr>
            <w:r w:rsidRPr="00CA109A">
              <w:t>Balance of non-Commonwealth contributions</w:t>
            </w:r>
          </w:p>
        </w:tc>
        <w:tc>
          <w:tcPr>
            <w:tcW w:w="560" w:type="pct"/>
            <w:tcBorders>
              <w:top w:val="single" w:sz="4" w:space="0" w:color="auto"/>
              <w:left w:val="nil"/>
              <w:bottom w:val="single" w:sz="4" w:space="0" w:color="auto"/>
            </w:tcBorders>
            <w:noWrap/>
            <w:vAlign w:val="center"/>
            <w:hideMark/>
          </w:tcPr>
          <w:p w14:paraId="3FC4EB76" w14:textId="77777777" w:rsidR="00734D6C" w:rsidRPr="00404763" w:rsidRDefault="00734D6C" w:rsidP="00BD7EDF">
            <w:pPr>
              <w:keepNext/>
              <w:keepLines/>
              <w:spacing w:before="60" w:after="60"/>
              <w:jc w:val="right"/>
            </w:pPr>
            <w:r w:rsidRPr="00404763">
              <w:t>0.0</w:t>
            </w:r>
          </w:p>
        </w:tc>
        <w:tc>
          <w:tcPr>
            <w:tcW w:w="560" w:type="pct"/>
            <w:tcBorders>
              <w:top w:val="single" w:sz="4" w:space="0" w:color="auto"/>
              <w:bottom w:val="single" w:sz="4" w:space="0" w:color="auto"/>
            </w:tcBorders>
            <w:noWrap/>
            <w:vAlign w:val="center"/>
            <w:hideMark/>
          </w:tcPr>
          <w:p w14:paraId="0089EDC8" w14:textId="77777777" w:rsidR="00734D6C" w:rsidRPr="00404763" w:rsidRDefault="00734D6C" w:rsidP="00BD7EDF">
            <w:pPr>
              <w:keepNext/>
              <w:keepLines/>
              <w:spacing w:before="60" w:after="60"/>
              <w:jc w:val="right"/>
            </w:pPr>
            <w:r w:rsidRPr="00404763">
              <w:t>0.0</w:t>
            </w:r>
          </w:p>
        </w:tc>
        <w:tc>
          <w:tcPr>
            <w:tcW w:w="561" w:type="pct"/>
            <w:tcBorders>
              <w:top w:val="single" w:sz="4" w:space="0" w:color="auto"/>
              <w:bottom w:val="single" w:sz="4" w:space="0" w:color="auto"/>
            </w:tcBorders>
            <w:noWrap/>
            <w:vAlign w:val="center"/>
            <w:hideMark/>
          </w:tcPr>
          <w:p w14:paraId="4673B1F3" w14:textId="77777777" w:rsidR="00734D6C" w:rsidRPr="00404763" w:rsidRDefault="00734D6C" w:rsidP="00BD7EDF">
            <w:pPr>
              <w:keepNext/>
              <w:keepLines/>
              <w:spacing w:before="60" w:after="60"/>
              <w:jc w:val="right"/>
            </w:pPr>
            <w:r w:rsidRPr="00404763">
              <w:t>0.0</w:t>
            </w:r>
          </w:p>
        </w:tc>
        <w:tc>
          <w:tcPr>
            <w:tcW w:w="563" w:type="pct"/>
            <w:tcBorders>
              <w:top w:val="single" w:sz="4" w:space="0" w:color="auto"/>
              <w:bottom w:val="single" w:sz="4" w:space="0" w:color="auto"/>
            </w:tcBorders>
            <w:noWrap/>
            <w:vAlign w:val="center"/>
            <w:hideMark/>
          </w:tcPr>
          <w:p w14:paraId="5F7E9C21" w14:textId="77777777" w:rsidR="00734D6C" w:rsidRPr="00404763" w:rsidRDefault="00734D6C" w:rsidP="00BD7EDF">
            <w:pPr>
              <w:keepNext/>
              <w:keepLines/>
              <w:spacing w:before="60" w:after="60"/>
              <w:jc w:val="right"/>
            </w:pPr>
            <w:r w:rsidRPr="00404763">
              <w:t>0.0</w:t>
            </w:r>
          </w:p>
        </w:tc>
      </w:tr>
    </w:tbl>
    <w:p w14:paraId="3D7C1019" w14:textId="77777777" w:rsidR="00734D6C" w:rsidRPr="00404763" w:rsidRDefault="00734D6C" w:rsidP="00734D6C">
      <w:pPr>
        <w:pStyle w:val="Normalnumbered"/>
        <w:numPr>
          <w:ilvl w:val="0"/>
          <w:numId w:val="0"/>
        </w:numPr>
        <w:ind w:left="360" w:hanging="360"/>
      </w:pPr>
    </w:p>
    <w:p w14:paraId="5A11E002" w14:textId="1B16A06D" w:rsidR="00FC33CA" w:rsidRPr="00404763" w:rsidRDefault="00FC33CA" w:rsidP="00FC33CA">
      <w:pPr>
        <w:pStyle w:val="Normalnumbered"/>
        <w:numPr>
          <w:ilvl w:val="0"/>
          <w:numId w:val="18"/>
        </w:numPr>
      </w:pPr>
      <w:r w:rsidRPr="00404763">
        <w:t>The Commonwealth’s funding contributions will not be reduced where the states secure funding from other activity partners.</w:t>
      </w:r>
    </w:p>
    <w:p w14:paraId="7ACB910D" w14:textId="112072C1" w:rsidR="00FC33CA" w:rsidRPr="00FA2F81" w:rsidRDefault="00FC33CA" w:rsidP="00FC33CA">
      <w:pPr>
        <w:pStyle w:val="Normalnumbered"/>
        <w:numPr>
          <w:ilvl w:val="0"/>
          <w:numId w:val="18"/>
        </w:numPr>
      </w:pPr>
      <w:r w:rsidRPr="00FA2F81">
        <w:lastRenderedPageBreak/>
        <w:t xml:space="preserve">The Commonwealth’s and the states’ estimated financial contributions to the operation of this Agreement, including through National Partnership payments to the states are to be paid in accordance with </w:t>
      </w:r>
      <w:r w:rsidRPr="00FA2F81">
        <w:rPr>
          <w:i/>
        </w:rPr>
        <w:t>Schedule D – Payment Arrangements</w:t>
      </w:r>
      <w:r w:rsidRPr="00FA2F81">
        <w:t xml:space="preserve"> of the IGA FFR, </w:t>
      </w:r>
      <w:r w:rsidR="00FA2F81" w:rsidRPr="00FA2F81">
        <w:t xml:space="preserve">as </w:t>
      </w:r>
      <w:r w:rsidRPr="00FA2F81">
        <w:t xml:space="preserve">shown in </w:t>
      </w:r>
      <w:r w:rsidRPr="00FA2F81">
        <w:rPr>
          <w:b/>
        </w:rPr>
        <w:t>Table 3</w:t>
      </w:r>
      <w:r w:rsidRPr="00FA2F81">
        <w:t xml:space="preserve"> of Schedule A and Schedule B.</w:t>
      </w:r>
    </w:p>
    <w:p w14:paraId="7EDC8D47" w14:textId="598A50E9" w:rsidR="002371B7" w:rsidRDefault="008E7527" w:rsidP="002B5650">
      <w:pPr>
        <w:pStyle w:val="Normalnumbered"/>
        <w:numPr>
          <w:ilvl w:val="0"/>
          <w:numId w:val="18"/>
        </w:numPr>
        <w:spacing w:before="240"/>
      </w:pPr>
      <w:r w:rsidRPr="00C738BD">
        <w:t xml:space="preserve">Having regard to the agreed estimated costs of projects specified in </w:t>
      </w:r>
      <w:r w:rsidR="006B43AF">
        <w:t>this</w:t>
      </w:r>
      <w:r>
        <w:t xml:space="preserve"> Agreement</w:t>
      </w:r>
      <w:r w:rsidRPr="00C738BD">
        <w:t xml:space="preserve">, a </w:t>
      </w:r>
      <w:r w:rsidR="0033274A">
        <w:t>s</w:t>
      </w:r>
      <w:r w:rsidRPr="00C738BD">
        <w:t>tate will not be required to pay a refund to the Commonwealth if the actual cost of the project is less than the agreed</w:t>
      </w:r>
      <w:r w:rsidR="00515AF2">
        <w:t xml:space="preserve"> </w:t>
      </w:r>
      <w:r w:rsidR="00E07838">
        <w:t xml:space="preserve">estimated cost of the project. </w:t>
      </w:r>
      <w:r w:rsidRPr="00C738BD">
        <w:t xml:space="preserve">Similarly, the </w:t>
      </w:r>
      <w:r w:rsidR="0033274A">
        <w:t>s</w:t>
      </w:r>
      <w:r w:rsidRPr="00C738BD">
        <w:t>tates</w:t>
      </w:r>
      <w:r>
        <w:t xml:space="preserve"> </w:t>
      </w:r>
      <w:r w:rsidRPr="00C738BD">
        <w:t>bear all risk should the costs of a project exceed the agreed estimated cost</w:t>
      </w:r>
      <w:r>
        <w:t>s.</w:t>
      </w:r>
      <w:r w:rsidRPr="00C738BD">
        <w:t xml:space="preserve"> The Parties acknowledge that this arrangement provides the maximum incentive for the </w:t>
      </w:r>
      <w:r w:rsidR="0033274A">
        <w:t>s</w:t>
      </w:r>
      <w:r w:rsidRPr="00C738BD">
        <w:t>tates to deliver projects cost effectively and efficiently.</w:t>
      </w:r>
    </w:p>
    <w:p w14:paraId="4755DF0A" w14:textId="77777777" w:rsidR="00814667" w:rsidRDefault="003A2157" w:rsidP="0020308E">
      <w:pPr>
        <w:pStyle w:val="Heading1"/>
        <w:spacing w:before="240"/>
      </w:pPr>
      <w:bookmarkStart w:id="0" w:name="top"/>
      <w:bookmarkEnd w:id="0"/>
      <w:r>
        <w:t xml:space="preserve">Part </w:t>
      </w:r>
      <w:r w:rsidR="000B4080">
        <w:t>6</w:t>
      </w:r>
      <w:r w:rsidR="00814667">
        <w:t xml:space="preserve"> — </w:t>
      </w:r>
      <w:r w:rsidR="00814667" w:rsidRPr="007D5AFD">
        <w:t>governance</w:t>
      </w:r>
      <w:r w:rsidR="00814667">
        <w:t xml:space="preserve"> arrangements</w:t>
      </w:r>
    </w:p>
    <w:p w14:paraId="445A6769" w14:textId="77777777" w:rsidR="00BC4728" w:rsidRDefault="00BC4728" w:rsidP="00BC4728">
      <w:pPr>
        <w:pStyle w:val="Heading2"/>
      </w:pPr>
      <w:r w:rsidRPr="006F096A">
        <w:t>Enforceability of the Agreement</w:t>
      </w:r>
    </w:p>
    <w:p w14:paraId="5B3E0CBF" w14:textId="77777777" w:rsidR="00BC4728" w:rsidRPr="00C40EBC" w:rsidRDefault="00BC4728" w:rsidP="00F31111">
      <w:pPr>
        <w:pStyle w:val="Normalnumbered"/>
        <w:numPr>
          <w:ilvl w:val="0"/>
          <w:numId w:val="18"/>
        </w:numPr>
        <w:spacing w:line="240" w:lineRule="auto"/>
      </w:pPr>
      <w:r>
        <w:rPr>
          <w:szCs w:val="23"/>
        </w:rPr>
        <w:t>The Parties do not intend any of the provisions of this Agreement to be legally enforceable. However, that does not lessen the Parties’ commitment to this Agreement.</w:t>
      </w:r>
    </w:p>
    <w:p w14:paraId="767BE0E9" w14:textId="77777777" w:rsidR="00814667" w:rsidRDefault="00814667">
      <w:pPr>
        <w:pStyle w:val="Heading2"/>
      </w:pPr>
      <w:r>
        <w:t>Variation of the Agreement</w:t>
      </w:r>
    </w:p>
    <w:p w14:paraId="09704F92" w14:textId="77777777" w:rsidR="00814667" w:rsidRPr="00DE36EB" w:rsidRDefault="008F4691" w:rsidP="00F31111">
      <w:pPr>
        <w:pStyle w:val="Normalnumbered"/>
        <w:numPr>
          <w:ilvl w:val="0"/>
          <w:numId w:val="18"/>
        </w:numPr>
      </w:pPr>
      <w:r>
        <w:t>This</w:t>
      </w:r>
      <w:r w:rsidR="00607B03">
        <w:t xml:space="preserve"> A</w:t>
      </w:r>
      <w:r w:rsidR="00814667">
        <w:t xml:space="preserve">greement may be amended at any time by agreement in writing by </w:t>
      </w:r>
      <w:r w:rsidR="00104935">
        <w:t>all</w:t>
      </w:r>
      <w:r w:rsidR="002B1C50" w:rsidRPr="00DE36EB">
        <w:t xml:space="preserve"> </w:t>
      </w:r>
      <w:r w:rsidR="00814667" w:rsidRPr="00DE36EB">
        <w:t>the Parties.</w:t>
      </w:r>
    </w:p>
    <w:p w14:paraId="34A95082" w14:textId="3226350B" w:rsidR="00292587" w:rsidRPr="00C045FD" w:rsidRDefault="008F4691" w:rsidP="00F31111">
      <w:pPr>
        <w:pStyle w:val="Normalnumbered"/>
        <w:numPr>
          <w:ilvl w:val="0"/>
          <w:numId w:val="18"/>
        </w:numPr>
        <w:rPr>
          <w:color w:val="auto"/>
        </w:rPr>
      </w:pPr>
      <w:r w:rsidRPr="00C045FD">
        <w:rPr>
          <w:color w:val="auto"/>
        </w:rPr>
        <w:t xml:space="preserve">The </w:t>
      </w:r>
      <w:r w:rsidR="00104935" w:rsidRPr="00C045FD">
        <w:rPr>
          <w:color w:val="auto"/>
        </w:rPr>
        <w:t xml:space="preserve">Schedules to this Agreement </w:t>
      </w:r>
      <w:r w:rsidRPr="00C045FD">
        <w:rPr>
          <w:color w:val="auto"/>
        </w:rPr>
        <w:t xml:space="preserve">may be amended at any time by agreement in writing by the </w:t>
      </w:r>
      <w:r w:rsidR="0033274A" w:rsidRPr="00C045FD">
        <w:rPr>
          <w:color w:val="auto"/>
        </w:rPr>
        <w:t xml:space="preserve">responsible </w:t>
      </w:r>
      <w:r w:rsidRPr="00C045FD">
        <w:rPr>
          <w:color w:val="auto"/>
        </w:rPr>
        <w:t xml:space="preserve">Commonwealth and </w:t>
      </w:r>
      <w:r w:rsidR="0033274A" w:rsidRPr="00C045FD">
        <w:rPr>
          <w:color w:val="auto"/>
        </w:rPr>
        <w:t>s</w:t>
      </w:r>
      <w:r w:rsidRPr="00C045FD">
        <w:rPr>
          <w:color w:val="auto"/>
        </w:rPr>
        <w:t>tate portfolio ministers.</w:t>
      </w:r>
    </w:p>
    <w:p w14:paraId="5E82551B" w14:textId="77777777" w:rsidR="00292587" w:rsidRDefault="00104935" w:rsidP="00F31111">
      <w:pPr>
        <w:pStyle w:val="Normalnumbered"/>
        <w:numPr>
          <w:ilvl w:val="0"/>
          <w:numId w:val="18"/>
        </w:numPr>
      </w:pPr>
      <w:r>
        <w:t>A</w:t>
      </w:r>
      <w:r w:rsidR="00C2605C" w:rsidRPr="00DE36EB">
        <w:t xml:space="preserve"> </w:t>
      </w:r>
      <w:r w:rsidR="00814667" w:rsidRPr="00DE36EB">
        <w:t xml:space="preserve">Party to </w:t>
      </w:r>
      <w:r w:rsidR="008F4691">
        <w:t>this</w:t>
      </w:r>
      <w:r w:rsidR="00814667" w:rsidRPr="00DE36EB">
        <w:t xml:space="preserve"> Agreement may terminate their part</w:t>
      </w:r>
      <w:r w:rsidR="00814667">
        <w:t xml:space="preserve">icipation in the Agreement at any time by notifying </w:t>
      </w:r>
      <w:r>
        <w:t xml:space="preserve">all Parties </w:t>
      </w:r>
      <w:r w:rsidR="00814667">
        <w:t>in writing.</w:t>
      </w:r>
    </w:p>
    <w:p w14:paraId="4907CA65" w14:textId="77777777" w:rsidR="009526E4" w:rsidRDefault="009526E4" w:rsidP="0036119D">
      <w:pPr>
        <w:pStyle w:val="Heading2"/>
      </w:pPr>
      <w:r>
        <w:t>Delegations</w:t>
      </w:r>
    </w:p>
    <w:p w14:paraId="4AEC5983" w14:textId="77777777" w:rsidR="009526E4" w:rsidRDefault="009526E4" w:rsidP="00F31111">
      <w:pPr>
        <w:pStyle w:val="Normalnumbered"/>
        <w:numPr>
          <w:ilvl w:val="0"/>
          <w:numId w:val="18"/>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6832C1BE" w14:textId="77777777" w:rsidR="0036119D" w:rsidRDefault="0036119D" w:rsidP="0036119D">
      <w:pPr>
        <w:pStyle w:val="Heading2"/>
      </w:pPr>
      <w:r>
        <w:t>Dispute resolution</w:t>
      </w:r>
    </w:p>
    <w:p w14:paraId="7E3F76FA" w14:textId="77777777" w:rsidR="0036119D" w:rsidRPr="00DE36EB" w:rsidRDefault="0008479E" w:rsidP="00F31111">
      <w:pPr>
        <w:pStyle w:val="Normalnumbered"/>
        <w:numPr>
          <w:ilvl w:val="0"/>
          <w:numId w:val="18"/>
        </w:numPr>
      </w:pPr>
      <w:r>
        <w:t>Any</w:t>
      </w:r>
      <w:r w:rsidR="002B1C50" w:rsidRPr="00DE36EB">
        <w:t xml:space="preserve"> </w:t>
      </w:r>
      <w:r w:rsidR="0036119D" w:rsidRPr="00DE36EB">
        <w:t xml:space="preserve">Party may give notice to other </w:t>
      </w:r>
      <w:r>
        <w:t>Parties</w:t>
      </w:r>
      <w:r w:rsidR="00684EC1" w:rsidRPr="00DE36EB">
        <w:t xml:space="preserve"> </w:t>
      </w:r>
      <w:r w:rsidR="0036119D" w:rsidRPr="00DE36EB">
        <w:t>of a dispute under this Agreement.</w:t>
      </w:r>
    </w:p>
    <w:p w14:paraId="63C456AB" w14:textId="77777777" w:rsidR="0036119D" w:rsidRPr="00DE36EB" w:rsidRDefault="0036119D" w:rsidP="00F31111">
      <w:pPr>
        <w:pStyle w:val="Normalnumbered"/>
        <w:numPr>
          <w:ilvl w:val="0"/>
          <w:numId w:val="18"/>
        </w:numPr>
      </w:pPr>
      <w:r w:rsidRPr="00DE36EB">
        <w:t xml:space="preserve">Officials of </w:t>
      </w:r>
      <w:r w:rsidR="0008479E">
        <w:t xml:space="preserve">relevant </w:t>
      </w:r>
      <w:r w:rsidRPr="00DE36EB">
        <w:t>Parties will attempt to resolve any dispute in the first instance.</w:t>
      </w:r>
    </w:p>
    <w:p w14:paraId="7E3DD614" w14:textId="77777777" w:rsidR="0036119D" w:rsidRDefault="0036119D" w:rsidP="00F31111">
      <w:pPr>
        <w:pStyle w:val="Normalnumbered"/>
        <w:numPr>
          <w:ilvl w:val="0"/>
          <w:numId w:val="18"/>
        </w:numPr>
      </w:pPr>
      <w:r w:rsidRPr="00DE36EB">
        <w:t>If a dispute cannot be resolved by officials, it may be escalated to the relevant Ministers.</w:t>
      </w:r>
    </w:p>
    <w:p w14:paraId="7761C8FC" w14:textId="5F900267" w:rsidR="00C075EA" w:rsidRDefault="00C075EA">
      <w:pPr>
        <w:spacing w:after="0" w:line="240" w:lineRule="auto"/>
        <w:jc w:val="left"/>
      </w:pPr>
      <w:r>
        <w:br w:type="page"/>
      </w:r>
    </w:p>
    <w:p w14:paraId="5AB1F4EA" w14:textId="77777777"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A50751" w14:paraId="3AB064B1" w14:textId="77777777" w:rsidTr="00C65928">
        <w:trPr>
          <w:cantSplit/>
          <w:jc w:val="center"/>
        </w:trPr>
        <w:tc>
          <w:tcPr>
            <w:tcW w:w="4536" w:type="dxa"/>
          </w:tcPr>
          <w:p w14:paraId="780DAADE" w14:textId="77777777" w:rsidR="00814667" w:rsidRPr="004A0AE7" w:rsidRDefault="00814667">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country-region">
              <w:smartTag w:uri="urn:schemas-microsoft-com:office:smarttags" w:element="place">
                <w:r w:rsidRPr="004A0AE7">
                  <w:t>Australia</w:t>
                </w:r>
              </w:smartTag>
            </w:smartTag>
            <w:r w:rsidRPr="004A0AE7">
              <w:t xml:space="preserve"> by</w:t>
            </w:r>
          </w:p>
          <w:p w14:paraId="3F60FC23" w14:textId="77777777" w:rsidR="00814667" w:rsidRPr="00A50751" w:rsidRDefault="00814667">
            <w:pPr>
              <w:pStyle w:val="LineForSignature"/>
            </w:pPr>
            <w:r>
              <w:tab/>
            </w:r>
          </w:p>
          <w:p w14:paraId="06B59D5D" w14:textId="77777777" w:rsidR="00814667" w:rsidRDefault="00814667">
            <w:pPr>
              <w:pStyle w:val="SingleParagraph"/>
              <w:rPr>
                <w:rStyle w:val="Bold"/>
              </w:rPr>
            </w:pPr>
            <w:r>
              <w:rPr>
                <w:rStyle w:val="Bold"/>
              </w:rPr>
              <w:t xml:space="preserve">The Honourable </w:t>
            </w:r>
            <w:r w:rsidR="00373E77">
              <w:rPr>
                <w:rStyle w:val="Bold"/>
              </w:rPr>
              <w:t xml:space="preserve">Christian Porter </w:t>
            </w:r>
            <w:r>
              <w:rPr>
                <w:rStyle w:val="Bold"/>
              </w:rPr>
              <w:t>MP</w:t>
            </w:r>
          </w:p>
          <w:p w14:paraId="0062B9AD" w14:textId="60AEF22E" w:rsidR="00814667" w:rsidRDefault="000735E9">
            <w:pPr>
              <w:pStyle w:val="Position"/>
              <w:rPr>
                <w:lang w:val="en-GB"/>
              </w:rPr>
            </w:pPr>
            <w:r>
              <w:rPr>
                <w:lang w:val="en-GB"/>
              </w:rPr>
              <w:t xml:space="preserve">Commonwealth </w:t>
            </w:r>
            <w:r w:rsidR="00373E77">
              <w:rPr>
                <w:lang w:val="en-GB"/>
              </w:rPr>
              <w:t>Attorney-General</w:t>
            </w:r>
          </w:p>
          <w:p w14:paraId="6679E0DC" w14:textId="77777777" w:rsidR="00814667" w:rsidRDefault="006679C0">
            <w:pPr>
              <w:pStyle w:val="SingleParagraph"/>
              <w:tabs>
                <w:tab w:val="num" w:pos="1134"/>
              </w:tabs>
              <w:spacing w:after="240"/>
              <w:ind w:left="1134" w:hanging="567"/>
              <w:rPr>
                <w:b/>
                <w:lang w:val="en-GB"/>
              </w:rPr>
            </w:pPr>
            <w:r>
              <w:rPr>
                <w:lang w:val="en-GB"/>
              </w:rPr>
              <w:t>[Day]  [</w:t>
            </w:r>
            <w:r w:rsidR="001B1CA3">
              <w:rPr>
                <w:lang w:val="en-GB"/>
              </w:rPr>
              <w:t>Month</w:t>
            </w:r>
            <w:r>
              <w:rPr>
                <w:lang w:val="en-GB"/>
              </w:rPr>
              <w:t>]</w:t>
            </w:r>
            <w:r w:rsidR="001B1CA3">
              <w:rPr>
                <w:lang w:val="en-GB"/>
              </w:rPr>
              <w:t xml:space="preserve"> </w:t>
            </w:r>
            <w:r>
              <w:rPr>
                <w:lang w:val="en-GB"/>
              </w:rPr>
              <w:t xml:space="preserve"> [Year]</w:t>
            </w:r>
          </w:p>
        </w:tc>
        <w:tc>
          <w:tcPr>
            <w:tcW w:w="284" w:type="dxa"/>
            <w:tcMar>
              <w:left w:w="0" w:type="dxa"/>
              <w:right w:w="0" w:type="dxa"/>
            </w:tcMar>
          </w:tcPr>
          <w:p w14:paraId="6CB44EE8" w14:textId="77777777" w:rsidR="00814667" w:rsidRPr="00A50751" w:rsidRDefault="00814667">
            <w:pPr>
              <w:rPr>
                <w:rFonts w:ascii="Book Antiqua" w:hAnsi="Book Antiqua"/>
                <w:lang w:val="en-GB"/>
              </w:rPr>
            </w:pPr>
          </w:p>
        </w:tc>
        <w:tc>
          <w:tcPr>
            <w:tcW w:w="4536" w:type="dxa"/>
          </w:tcPr>
          <w:p w14:paraId="5C441397" w14:textId="77777777" w:rsidR="00814667" w:rsidRPr="00A50751" w:rsidRDefault="00814667">
            <w:pPr>
              <w:rPr>
                <w:rFonts w:ascii="Book Antiqua" w:hAnsi="Book Antiqua"/>
                <w:lang w:val="en-GB"/>
              </w:rPr>
            </w:pPr>
          </w:p>
        </w:tc>
      </w:tr>
      <w:tr w:rsidR="00814667" w:rsidRPr="00A50751" w14:paraId="4A0455C7" w14:textId="77777777" w:rsidTr="00C65928">
        <w:trPr>
          <w:cantSplit/>
          <w:jc w:val="center"/>
        </w:trPr>
        <w:tc>
          <w:tcPr>
            <w:tcW w:w="4536" w:type="dxa"/>
          </w:tcPr>
          <w:p w14:paraId="1C13B62A"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3B403742" w14:textId="77777777" w:rsidR="00814667" w:rsidRPr="00A50751" w:rsidRDefault="00814667">
            <w:pPr>
              <w:pStyle w:val="SingleParagraph"/>
              <w:rPr>
                <w:rFonts w:ascii="Book Antiqua" w:hAnsi="Book Antiqua"/>
                <w:lang w:val="en-GB"/>
              </w:rPr>
            </w:pPr>
          </w:p>
        </w:tc>
        <w:tc>
          <w:tcPr>
            <w:tcW w:w="4536" w:type="dxa"/>
          </w:tcPr>
          <w:p w14:paraId="2994BC30" w14:textId="77777777" w:rsidR="00814667" w:rsidRPr="00A50751" w:rsidRDefault="00814667">
            <w:pPr>
              <w:pStyle w:val="SingleParagraph"/>
              <w:rPr>
                <w:rFonts w:ascii="Book Antiqua" w:hAnsi="Book Antiqua"/>
                <w:lang w:val="en-GB"/>
              </w:rPr>
            </w:pPr>
          </w:p>
        </w:tc>
      </w:tr>
      <w:tr w:rsidR="00814667" w:rsidRPr="00A50751" w14:paraId="7A8AF7A2" w14:textId="77777777" w:rsidTr="00C65928">
        <w:trPr>
          <w:cantSplit/>
          <w:jc w:val="center"/>
        </w:trPr>
        <w:tc>
          <w:tcPr>
            <w:tcW w:w="4536" w:type="dxa"/>
          </w:tcPr>
          <w:p w14:paraId="235B930E" w14:textId="77777777" w:rsidR="00814667" w:rsidRPr="004A0AE7" w:rsidRDefault="00814667" w:rsidP="00AD0DB2">
            <w:pPr>
              <w:pStyle w:val="Signed"/>
            </w:pPr>
            <w:r>
              <w:rPr>
                <w:rStyle w:val="SignedBold"/>
              </w:rPr>
              <w:t>Signed</w:t>
            </w:r>
            <w:r w:rsidRPr="004A0AE7">
              <w:t xml:space="preserve"> for and on behalf of the</w:t>
            </w:r>
            <w:r>
              <w:t xml:space="preserve"> </w:t>
            </w:r>
            <w:r w:rsidRPr="004A0AE7">
              <w:br/>
              <w:t xml:space="preserve">State of </w:t>
            </w:r>
            <w:smartTag w:uri="urn:schemas-microsoft-com:office:smarttags" w:element="State">
              <w:smartTag w:uri="urn:schemas-microsoft-com:office:smarttags" w:element="place">
                <w:r w:rsidRPr="004A0AE7">
                  <w:t>New South Wales</w:t>
                </w:r>
              </w:smartTag>
            </w:smartTag>
            <w:r w:rsidRPr="004A0AE7">
              <w:t xml:space="preserve"> by</w:t>
            </w:r>
          </w:p>
          <w:p w14:paraId="0B2538CF" w14:textId="77777777" w:rsidR="00814667" w:rsidRPr="00A50751" w:rsidRDefault="00814667">
            <w:pPr>
              <w:pStyle w:val="LineForSignature"/>
            </w:pPr>
            <w:r w:rsidRPr="00A50751">
              <w:tab/>
            </w:r>
          </w:p>
          <w:p w14:paraId="2E0123EF" w14:textId="4C9E4D72" w:rsidR="00814667" w:rsidRDefault="00814667">
            <w:pPr>
              <w:pStyle w:val="SingleParagraph"/>
              <w:rPr>
                <w:rStyle w:val="Bold"/>
              </w:rPr>
            </w:pPr>
            <w:r>
              <w:rPr>
                <w:rStyle w:val="Bold"/>
              </w:rPr>
              <w:t xml:space="preserve">The Honourable </w:t>
            </w:r>
            <w:r w:rsidR="00866DC1">
              <w:rPr>
                <w:rStyle w:val="Bold"/>
              </w:rPr>
              <w:t xml:space="preserve">Mark Speakman SC, </w:t>
            </w:r>
            <w:r>
              <w:rPr>
                <w:rStyle w:val="Bold"/>
              </w:rPr>
              <w:t>MP</w:t>
            </w:r>
          </w:p>
          <w:p w14:paraId="7CCC4D48" w14:textId="42BC709A" w:rsidR="00542A8C" w:rsidRDefault="00866DC1" w:rsidP="00542A8C">
            <w:pPr>
              <w:pStyle w:val="Position"/>
              <w:rPr>
                <w:lang w:val="en-GB"/>
              </w:rPr>
            </w:pPr>
            <w:r>
              <w:rPr>
                <w:lang w:val="en-GB"/>
              </w:rPr>
              <w:t xml:space="preserve">Attorney General for New South Wales </w:t>
            </w:r>
            <w:r w:rsidR="00542A8C">
              <w:rPr>
                <w:lang w:val="en-GB"/>
              </w:rPr>
              <w:t xml:space="preserve"> </w:t>
            </w:r>
          </w:p>
          <w:p w14:paraId="44BDAB9B" w14:textId="77777777" w:rsidR="00814667" w:rsidRPr="00A50751" w:rsidRDefault="00542A8C">
            <w:pPr>
              <w:pStyle w:val="SingleParagraph"/>
              <w:tabs>
                <w:tab w:val="num" w:pos="1134"/>
              </w:tabs>
              <w:spacing w:after="240"/>
              <w:ind w:left="1134" w:hanging="567"/>
              <w:rPr>
                <w:szCs w:val="22"/>
                <w:lang w:val="en-GB"/>
              </w:rPr>
            </w:pPr>
            <w:r w:rsidRPr="001F6FE8" w:rsidDel="00542A8C">
              <w:rPr>
                <w:bCs/>
                <w:lang w:val="en-GB"/>
              </w:rPr>
              <w:t xml:space="preserve"> </w:t>
            </w:r>
            <w:r w:rsidR="006679C0">
              <w:rPr>
                <w:lang w:val="en-GB"/>
              </w:rPr>
              <w:t>[Day]  [Month]  [Year]</w:t>
            </w:r>
          </w:p>
        </w:tc>
        <w:tc>
          <w:tcPr>
            <w:tcW w:w="284" w:type="dxa"/>
            <w:tcMar>
              <w:left w:w="0" w:type="dxa"/>
              <w:right w:w="0" w:type="dxa"/>
            </w:tcMar>
          </w:tcPr>
          <w:p w14:paraId="3B6D3B3E" w14:textId="77777777" w:rsidR="00814667" w:rsidRPr="00A50751" w:rsidRDefault="00814667">
            <w:pPr>
              <w:rPr>
                <w:rFonts w:ascii="Book Antiqua" w:hAnsi="Book Antiqua"/>
                <w:lang w:val="en-GB"/>
              </w:rPr>
            </w:pPr>
          </w:p>
        </w:tc>
        <w:tc>
          <w:tcPr>
            <w:tcW w:w="4536" w:type="dxa"/>
          </w:tcPr>
          <w:p w14:paraId="68867C82" w14:textId="77777777" w:rsidR="00814667" w:rsidRPr="004A0AE7" w:rsidRDefault="00814667">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Victoria</w:t>
                </w:r>
              </w:smartTag>
            </w:smartTag>
            <w:r w:rsidRPr="004A0AE7">
              <w:t xml:space="preserve"> by</w:t>
            </w:r>
          </w:p>
          <w:p w14:paraId="0A636FE8" w14:textId="77777777" w:rsidR="00814667" w:rsidRPr="00A50751" w:rsidRDefault="00814667">
            <w:pPr>
              <w:pStyle w:val="LineForSignature"/>
            </w:pPr>
            <w:r w:rsidRPr="00A50751">
              <w:tab/>
            </w:r>
          </w:p>
          <w:p w14:paraId="08BB5741" w14:textId="77777777" w:rsidR="008657BC" w:rsidRDefault="008657BC" w:rsidP="008657BC">
            <w:pPr>
              <w:pStyle w:val="SingleParagraph"/>
              <w:rPr>
                <w:rStyle w:val="Bold"/>
              </w:rPr>
            </w:pPr>
            <w:r>
              <w:rPr>
                <w:rStyle w:val="Bold"/>
              </w:rPr>
              <w:t>The Honourable Luke Donnellan MP</w:t>
            </w:r>
          </w:p>
          <w:p w14:paraId="160F1250" w14:textId="77777777" w:rsidR="008657BC" w:rsidRDefault="008657BC" w:rsidP="008657BC">
            <w:pPr>
              <w:pStyle w:val="Position"/>
              <w:rPr>
                <w:lang w:val="en-GB"/>
              </w:rPr>
            </w:pPr>
            <w:r>
              <w:rPr>
                <w:lang w:val="en-GB"/>
              </w:rPr>
              <w:t xml:space="preserve">Minister for Child Protection </w:t>
            </w:r>
          </w:p>
          <w:p w14:paraId="07FC7115" w14:textId="77777777" w:rsidR="00814667" w:rsidRPr="00A50751" w:rsidRDefault="00542A8C">
            <w:pPr>
              <w:pStyle w:val="SingleParagraph"/>
              <w:tabs>
                <w:tab w:val="num" w:pos="1134"/>
              </w:tabs>
              <w:spacing w:after="240"/>
              <w:ind w:left="1134" w:hanging="567"/>
              <w:rPr>
                <w:lang w:val="en-GB"/>
              </w:rPr>
            </w:pPr>
            <w:r w:rsidRPr="00B00778" w:rsidDel="00542A8C">
              <w:rPr>
                <w:bCs/>
                <w:lang w:val="en-GB"/>
              </w:rPr>
              <w:t xml:space="preserve"> </w:t>
            </w:r>
            <w:r w:rsidR="006679C0">
              <w:rPr>
                <w:lang w:val="en-GB"/>
              </w:rPr>
              <w:t>[Day]  [Month]  [Year]</w:t>
            </w:r>
          </w:p>
        </w:tc>
      </w:tr>
      <w:tr w:rsidR="00814667" w:rsidRPr="00A50751" w14:paraId="5AFE51D2" w14:textId="77777777" w:rsidTr="00C65928">
        <w:trPr>
          <w:cantSplit/>
          <w:jc w:val="center"/>
        </w:trPr>
        <w:tc>
          <w:tcPr>
            <w:tcW w:w="4536" w:type="dxa"/>
          </w:tcPr>
          <w:p w14:paraId="754160B2"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68279089" w14:textId="77777777" w:rsidR="00814667" w:rsidRPr="00A50751" w:rsidRDefault="00814667">
            <w:pPr>
              <w:pStyle w:val="SingleParagraph"/>
              <w:rPr>
                <w:rFonts w:ascii="Book Antiqua" w:hAnsi="Book Antiqua"/>
                <w:lang w:val="en-GB"/>
              </w:rPr>
            </w:pPr>
          </w:p>
        </w:tc>
        <w:tc>
          <w:tcPr>
            <w:tcW w:w="4536" w:type="dxa"/>
          </w:tcPr>
          <w:p w14:paraId="50E0CBFC" w14:textId="77777777" w:rsidR="00814667" w:rsidRPr="00A50751" w:rsidRDefault="00814667">
            <w:pPr>
              <w:pStyle w:val="SingleParagraph"/>
              <w:rPr>
                <w:rFonts w:ascii="Book Antiqua" w:hAnsi="Book Antiqua"/>
                <w:lang w:val="en-GB"/>
              </w:rPr>
            </w:pPr>
          </w:p>
        </w:tc>
      </w:tr>
      <w:tr w:rsidR="00814667" w:rsidRPr="00A50751" w14:paraId="227A5691" w14:textId="77777777" w:rsidTr="00C65928">
        <w:trPr>
          <w:cantSplit/>
          <w:trHeight w:val="143"/>
          <w:jc w:val="center"/>
        </w:trPr>
        <w:tc>
          <w:tcPr>
            <w:tcW w:w="4536" w:type="dxa"/>
          </w:tcPr>
          <w:p w14:paraId="60E28388" w14:textId="77777777" w:rsidR="00D07DE2" w:rsidRPr="004A0AE7" w:rsidRDefault="00D07DE2" w:rsidP="00D07DE2">
            <w:pPr>
              <w:pStyle w:val="Signed"/>
            </w:pPr>
            <w:r>
              <w:rPr>
                <w:rStyle w:val="SignedBold"/>
              </w:rPr>
              <w:t>Signed</w:t>
            </w:r>
            <w:r w:rsidRPr="004A0AE7">
              <w:t xml:space="preserve"> for and on behalf of the</w:t>
            </w:r>
            <w:r w:rsidRPr="004A0AE7">
              <w:br/>
              <w:t>State of Queensland by</w:t>
            </w:r>
          </w:p>
          <w:p w14:paraId="6CDCD697" w14:textId="77777777" w:rsidR="00D07DE2" w:rsidRPr="00A50751" w:rsidRDefault="00D07DE2" w:rsidP="00D07DE2">
            <w:pPr>
              <w:pStyle w:val="LineForSignature"/>
            </w:pPr>
            <w:r w:rsidRPr="00A50751">
              <w:tab/>
            </w:r>
          </w:p>
          <w:p w14:paraId="6F21450E" w14:textId="77777777" w:rsidR="00D07DE2" w:rsidRDefault="00D07DE2" w:rsidP="00D07DE2">
            <w:pPr>
              <w:pStyle w:val="SingleParagraph"/>
              <w:rPr>
                <w:b/>
              </w:rPr>
            </w:pPr>
            <w:r>
              <w:rPr>
                <w:b/>
              </w:rPr>
              <w:t>The Honourable Dianne (Di) Farmer MP</w:t>
            </w:r>
          </w:p>
          <w:p w14:paraId="6A6320FF" w14:textId="77777777" w:rsidR="00D07DE2" w:rsidRDefault="00D07DE2" w:rsidP="00D07DE2">
            <w:pPr>
              <w:pStyle w:val="Position"/>
              <w:rPr>
                <w:lang w:val="en-GB"/>
              </w:rPr>
            </w:pPr>
            <w:r>
              <w:rPr>
                <w:lang w:val="en-GB"/>
              </w:rPr>
              <w:t xml:space="preserve">Minister for </w:t>
            </w:r>
            <w:r w:rsidRPr="00BA49FB">
              <w:rPr>
                <w:lang w:val="en-GB"/>
              </w:rPr>
              <w:t>Child Safety, Youth and Women</w:t>
            </w:r>
          </w:p>
          <w:p w14:paraId="11D1AD5F" w14:textId="6F63E280" w:rsidR="00AD0DB2" w:rsidRDefault="00D07DE2" w:rsidP="00AD0DB2">
            <w:pPr>
              <w:pStyle w:val="SingleParagraph"/>
              <w:tabs>
                <w:tab w:val="num" w:pos="1134"/>
              </w:tabs>
              <w:spacing w:after="240"/>
              <w:ind w:left="1134" w:hanging="567"/>
              <w:rPr>
                <w:lang w:val="en-GB"/>
              </w:rPr>
            </w:pPr>
            <w:r w:rsidRPr="00B00778" w:rsidDel="00542A8C">
              <w:rPr>
                <w:bCs/>
                <w:lang w:val="en-GB"/>
              </w:rPr>
              <w:t xml:space="preserve"> </w:t>
            </w:r>
            <w:r>
              <w:rPr>
                <w:lang w:val="en-GB"/>
              </w:rPr>
              <w:t>[Day]  [Month]  [Year]</w:t>
            </w:r>
          </w:p>
          <w:p w14:paraId="18582027" w14:textId="77777777" w:rsidR="007B35CB" w:rsidRDefault="007B35CB" w:rsidP="007B35CB">
            <w:pPr>
              <w:pStyle w:val="Signed"/>
              <w:rPr>
                <w:rStyle w:val="SignedBold"/>
              </w:rPr>
            </w:pPr>
          </w:p>
          <w:p w14:paraId="029E56FB" w14:textId="77777777" w:rsidR="007B35CB" w:rsidRPr="004A0AE7" w:rsidRDefault="007B35CB" w:rsidP="007B35CB">
            <w:pPr>
              <w:pStyle w:val="Signed"/>
            </w:pPr>
            <w:r>
              <w:rPr>
                <w:rStyle w:val="SignedBold"/>
              </w:rPr>
              <w:t>Signed</w:t>
            </w:r>
            <w:r w:rsidRPr="004A0AE7">
              <w:t xml:space="preserve"> for and on behalf of the</w:t>
            </w:r>
            <w:r w:rsidRPr="004A0AE7">
              <w:br/>
              <w:t>State of South Australia by</w:t>
            </w:r>
          </w:p>
          <w:p w14:paraId="0F7B9867" w14:textId="77777777" w:rsidR="007B35CB" w:rsidRPr="00A50751" w:rsidRDefault="007B35CB" w:rsidP="007B35CB">
            <w:pPr>
              <w:pStyle w:val="LineForSignature"/>
            </w:pPr>
            <w:r w:rsidRPr="00A50751">
              <w:tab/>
            </w:r>
          </w:p>
          <w:p w14:paraId="13926A42" w14:textId="77777777" w:rsidR="007B35CB" w:rsidRDefault="007B35CB" w:rsidP="007B35CB">
            <w:pPr>
              <w:pStyle w:val="SingleParagraph"/>
              <w:rPr>
                <w:rStyle w:val="Bold"/>
              </w:rPr>
            </w:pPr>
            <w:r>
              <w:rPr>
                <w:rStyle w:val="Bold"/>
              </w:rPr>
              <w:t xml:space="preserve">The Honourable </w:t>
            </w:r>
            <w:r w:rsidRPr="005C0BFE">
              <w:rPr>
                <w:rStyle w:val="Bold"/>
              </w:rPr>
              <w:t xml:space="preserve">Rachel Sanderson MP </w:t>
            </w:r>
          </w:p>
          <w:p w14:paraId="7303315A" w14:textId="77777777" w:rsidR="007B35CB" w:rsidRDefault="007B35CB" w:rsidP="007B35CB">
            <w:pPr>
              <w:pStyle w:val="Position"/>
              <w:rPr>
                <w:lang w:val="en-GB"/>
              </w:rPr>
            </w:pPr>
            <w:r>
              <w:rPr>
                <w:lang w:val="en-GB"/>
              </w:rPr>
              <w:t xml:space="preserve">Minister for Child Protection </w:t>
            </w:r>
          </w:p>
          <w:p w14:paraId="5C893F8E" w14:textId="77777777" w:rsidR="007B35CB" w:rsidRDefault="007B35CB" w:rsidP="007B35CB">
            <w:pPr>
              <w:pStyle w:val="SingleParagraph"/>
              <w:tabs>
                <w:tab w:val="num" w:pos="1134"/>
              </w:tabs>
              <w:spacing w:after="240"/>
              <w:ind w:left="1134" w:hanging="567"/>
              <w:rPr>
                <w:bCs/>
                <w:lang w:val="en-GB"/>
              </w:rPr>
            </w:pPr>
            <w:r w:rsidRPr="00A63289">
              <w:rPr>
                <w:bCs/>
                <w:lang w:val="en-GB"/>
              </w:rPr>
              <w:t>[Day]  [Month]  [Year]</w:t>
            </w:r>
          </w:p>
          <w:p w14:paraId="74A756D9" w14:textId="08494157" w:rsidR="00814667" w:rsidRPr="00A50751" w:rsidRDefault="00814667" w:rsidP="00D07DE2">
            <w:pPr>
              <w:pStyle w:val="SingleParagraph"/>
              <w:tabs>
                <w:tab w:val="num" w:pos="1134"/>
              </w:tabs>
              <w:spacing w:after="240"/>
              <w:ind w:left="1134" w:hanging="567"/>
              <w:rPr>
                <w:lang w:val="en-GB"/>
              </w:rPr>
            </w:pPr>
          </w:p>
        </w:tc>
        <w:tc>
          <w:tcPr>
            <w:tcW w:w="284" w:type="dxa"/>
            <w:tcMar>
              <w:left w:w="0" w:type="dxa"/>
              <w:right w:w="0" w:type="dxa"/>
            </w:tcMar>
          </w:tcPr>
          <w:p w14:paraId="52BBA822" w14:textId="77777777" w:rsidR="00814667" w:rsidRPr="00A50751" w:rsidRDefault="00814667">
            <w:pPr>
              <w:rPr>
                <w:rFonts w:ascii="Book Antiqua" w:hAnsi="Book Antiqua"/>
                <w:lang w:val="en-GB"/>
              </w:rPr>
            </w:pPr>
          </w:p>
        </w:tc>
        <w:tc>
          <w:tcPr>
            <w:tcW w:w="4536" w:type="dxa"/>
          </w:tcPr>
          <w:p w14:paraId="7D5C6AA3" w14:textId="77777777" w:rsidR="007B35CB" w:rsidRPr="004A0AE7" w:rsidRDefault="007B35CB" w:rsidP="007B35CB">
            <w:pPr>
              <w:pStyle w:val="Signed"/>
            </w:pPr>
            <w:r>
              <w:rPr>
                <w:rStyle w:val="SignedBold"/>
              </w:rPr>
              <w:t>Signed</w:t>
            </w:r>
            <w:r w:rsidRPr="004A0AE7">
              <w:t xml:space="preserve"> for and on behalf of the</w:t>
            </w:r>
            <w:r w:rsidRPr="004A0AE7">
              <w:br/>
              <w:t>State of Queensland by</w:t>
            </w:r>
          </w:p>
          <w:p w14:paraId="5D73ECB8" w14:textId="77777777" w:rsidR="007B35CB" w:rsidRPr="00A50751" w:rsidRDefault="007B35CB" w:rsidP="007B35CB">
            <w:pPr>
              <w:pStyle w:val="LineForSignature"/>
            </w:pPr>
            <w:r w:rsidRPr="00A50751">
              <w:tab/>
            </w:r>
          </w:p>
          <w:p w14:paraId="434D3246" w14:textId="77777777" w:rsidR="007B35CB" w:rsidRPr="00291895" w:rsidRDefault="007B35CB" w:rsidP="007B35CB">
            <w:pPr>
              <w:pStyle w:val="SingleParagraph"/>
              <w:rPr>
                <w:b/>
              </w:rPr>
            </w:pPr>
            <w:r w:rsidRPr="00291895">
              <w:rPr>
                <w:b/>
              </w:rPr>
              <w:t>The Honourable Mark Ryan MP</w:t>
            </w:r>
          </w:p>
          <w:p w14:paraId="038E82B2" w14:textId="77777777" w:rsidR="007B35CB" w:rsidRPr="00291895" w:rsidRDefault="007B35CB" w:rsidP="007B35CB">
            <w:pPr>
              <w:pStyle w:val="Position"/>
              <w:rPr>
                <w:lang w:val="en-GB"/>
              </w:rPr>
            </w:pPr>
            <w:r w:rsidRPr="00291895">
              <w:rPr>
                <w:lang w:val="en-GB"/>
              </w:rPr>
              <w:t>Minister for Police</w:t>
            </w:r>
          </w:p>
          <w:p w14:paraId="736BAD12" w14:textId="0D38A349" w:rsidR="0042652D" w:rsidRPr="001475EE" w:rsidRDefault="007B35CB" w:rsidP="007B35CB">
            <w:pPr>
              <w:pStyle w:val="Signed"/>
              <w:rPr>
                <w:rStyle w:val="SignedBold"/>
                <w:i/>
              </w:rPr>
            </w:pPr>
            <w:r w:rsidRPr="001475EE" w:rsidDel="00542A8C">
              <w:rPr>
                <w:i w:val="0"/>
                <w:lang w:val="en-GB"/>
              </w:rPr>
              <w:t xml:space="preserve"> </w:t>
            </w:r>
            <w:r w:rsidRPr="001475EE">
              <w:rPr>
                <w:i w:val="0"/>
                <w:lang w:val="en-GB"/>
              </w:rPr>
              <w:t>[Day]  [Month]  [Year]</w:t>
            </w:r>
          </w:p>
          <w:p w14:paraId="6217AE6A" w14:textId="77777777" w:rsidR="007B35CB" w:rsidRDefault="007B35CB" w:rsidP="0042652D">
            <w:pPr>
              <w:pStyle w:val="Signed"/>
              <w:rPr>
                <w:rStyle w:val="SignedBold"/>
              </w:rPr>
            </w:pPr>
          </w:p>
          <w:p w14:paraId="684D4B8D" w14:textId="77777777" w:rsidR="00094F5E" w:rsidRPr="004A0AE7" w:rsidRDefault="00094F5E" w:rsidP="00094F5E">
            <w:pPr>
              <w:pStyle w:val="Signed"/>
            </w:pPr>
            <w:r>
              <w:rPr>
                <w:rStyle w:val="SignedBold"/>
              </w:rPr>
              <w:t>Signed</w:t>
            </w:r>
            <w:r w:rsidRPr="004A0AE7">
              <w:t xml:space="preserve"> for and on behalf of the</w:t>
            </w:r>
            <w:r w:rsidRPr="004A0AE7">
              <w:br/>
              <w:t>State of Western Australia by</w:t>
            </w:r>
          </w:p>
          <w:p w14:paraId="785851BC" w14:textId="77777777" w:rsidR="00094F5E" w:rsidRPr="00A50751" w:rsidRDefault="00094F5E" w:rsidP="00094F5E">
            <w:pPr>
              <w:pStyle w:val="LineForSignature"/>
            </w:pPr>
            <w:r w:rsidRPr="00A50751">
              <w:tab/>
            </w:r>
          </w:p>
          <w:p w14:paraId="6F44A09D" w14:textId="77777777" w:rsidR="00094F5E" w:rsidRDefault="00094F5E" w:rsidP="00094F5E">
            <w:pPr>
              <w:pStyle w:val="SingleParagraph"/>
              <w:rPr>
                <w:rStyle w:val="Bold"/>
              </w:rPr>
            </w:pPr>
            <w:r>
              <w:rPr>
                <w:rStyle w:val="Bold"/>
              </w:rPr>
              <w:t>The Honourable John Robert Quigley MLA</w:t>
            </w:r>
          </w:p>
          <w:p w14:paraId="36D2A909" w14:textId="77777777" w:rsidR="00094F5E" w:rsidRDefault="00094F5E" w:rsidP="00094F5E">
            <w:pPr>
              <w:pStyle w:val="Position"/>
              <w:rPr>
                <w:lang w:val="en-GB"/>
              </w:rPr>
            </w:pPr>
            <w:r>
              <w:rPr>
                <w:lang w:val="en-GB"/>
              </w:rPr>
              <w:t xml:space="preserve">Attorney-General of Western Australia </w:t>
            </w:r>
          </w:p>
          <w:p w14:paraId="4AAB9DCE" w14:textId="77777777" w:rsidR="00094F5E" w:rsidRDefault="00094F5E" w:rsidP="00094F5E">
            <w:pPr>
              <w:pStyle w:val="SingleParagraph"/>
              <w:tabs>
                <w:tab w:val="num" w:pos="1134"/>
              </w:tabs>
              <w:spacing w:after="240"/>
              <w:ind w:left="1134" w:hanging="567"/>
              <w:rPr>
                <w:lang w:val="en-GB"/>
              </w:rPr>
            </w:pPr>
            <w:r w:rsidDel="00542A8C">
              <w:rPr>
                <w:lang w:val="en-GB"/>
              </w:rPr>
              <w:t xml:space="preserve"> </w:t>
            </w:r>
            <w:r>
              <w:rPr>
                <w:lang w:val="en-GB"/>
              </w:rPr>
              <w:t>[Day]  [Month]  [Year]</w:t>
            </w:r>
          </w:p>
          <w:p w14:paraId="2A232CCC" w14:textId="3D5305AF" w:rsidR="00AD0DB2" w:rsidRPr="00A63289" w:rsidRDefault="00AD0DB2" w:rsidP="00AD0DB2">
            <w:pPr>
              <w:pStyle w:val="SingleParagraph"/>
              <w:tabs>
                <w:tab w:val="num" w:pos="1134"/>
              </w:tabs>
              <w:spacing w:after="240"/>
              <w:ind w:left="1134" w:hanging="567"/>
              <w:rPr>
                <w:b/>
              </w:rPr>
            </w:pPr>
          </w:p>
        </w:tc>
      </w:tr>
      <w:tr w:rsidR="00814667" w:rsidRPr="00A50751" w14:paraId="4432C37A" w14:textId="77777777" w:rsidTr="00C65928">
        <w:trPr>
          <w:cantSplit/>
          <w:trHeight w:val="138"/>
          <w:jc w:val="center"/>
        </w:trPr>
        <w:tc>
          <w:tcPr>
            <w:tcW w:w="4536" w:type="dxa"/>
          </w:tcPr>
          <w:p w14:paraId="4A57C4F4"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242B9B09" w14:textId="77777777" w:rsidR="00814667" w:rsidRPr="00A50751" w:rsidRDefault="00814667">
            <w:pPr>
              <w:pStyle w:val="SingleParagraph"/>
              <w:rPr>
                <w:rFonts w:ascii="Book Antiqua" w:hAnsi="Book Antiqua"/>
                <w:lang w:val="en-GB"/>
              </w:rPr>
            </w:pPr>
          </w:p>
        </w:tc>
        <w:tc>
          <w:tcPr>
            <w:tcW w:w="4536" w:type="dxa"/>
          </w:tcPr>
          <w:p w14:paraId="37E76C4E" w14:textId="77777777" w:rsidR="00814667" w:rsidRPr="00A50751" w:rsidRDefault="00814667">
            <w:pPr>
              <w:pStyle w:val="SingleParagraph"/>
              <w:rPr>
                <w:rFonts w:ascii="Book Antiqua" w:hAnsi="Book Antiqua"/>
                <w:lang w:val="en-GB"/>
              </w:rPr>
            </w:pPr>
          </w:p>
        </w:tc>
      </w:tr>
      <w:tr w:rsidR="00814667" w:rsidRPr="00A50751" w14:paraId="109C6893" w14:textId="77777777" w:rsidTr="00C65928">
        <w:trPr>
          <w:cantSplit/>
          <w:jc w:val="center"/>
        </w:trPr>
        <w:tc>
          <w:tcPr>
            <w:tcW w:w="4536" w:type="dxa"/>
          </w:tcPr>
          <w:p w14:paraId="409BA1EF" w14:textId="77777777" w:rsidR="00094F5E" w:rsidRPr="004A0AE7" w:rsidRDefault="00094F5E" w:rsidP="00094F5E">
            <w:pPr>
              <w:pStyle w:val="Signed"/>
            </w:pPr>
            <w:r>
              <w:rPr>
                <w:rStyle w:val="SignedBold"/>
              </w:rPr>
              <w:t>Signed</w:t>
            </w:r>
            <w:r w:rsidRPr="004A0AE7">
              <w:t xml:space="preserve"> for and on behalf of the</w:t>
            </w:r>
            <w:r w:rsidRPr="004A0AE7">
              <w:br/>
              <w:t>State of Tasmania by</w:t>
            </w:r>
          </w:p>
          <w:p w14:paraId="2DA0268A" w14:textId="77777777" w:rsidR="00094F5E" w:rsidRPr="00A50751" w:rsidRDefault="00094F5E" w:rsidP="00094F5E">
            <w:pPr>
              <w:pStyle w:val="LineForSignature"/>
            </w:pPr>
            <w:r w:rsidRPr="00A50751">
              <w:tab/>
            </w:r>
          </w:p>
          <w:p w14:paraId="73F3585E" w14:textId="77777777" w:rsidR="00094F5E" w:rsidRDefault="00094F5E" w:rsidP="00094F5E">
            <w:pPr>
              <w:pStyle w:val="SingleParagraph"/>
              <w:rPr>
                <w:rStyle w:val="Bold"/>
              </w:rPr>
            </w:pPr>
            <w:r>
              <w:rPr>
                <w:rStyle w:val="Bold"/>
              </w:rPr>
              <w:t>The Honourable Elise Archer MP</w:t>
            </w:r>
          </w:p>
          <w:p w14:paraId="5991FEFD" w14:textId="77777777" w:rsidR="00094F5E" w:rsidRDefault="00094F5E" w:rsidP="00094F5E">
            <w:pPr>
              <w:pStyle w:val="Position"/>
              <w:rPr>
                <w:lang w:val="en-GB"/>
              </w:rPr>
            </w:pPr>
            <w:r>
              <w:rPr>
                <w:lang w:val="en-GB"/>
              </w:rPr>
              <w:t xml:space="preserve">Attorney-General of Tasmania </w:t>
            </w:r>
          </w:p>
          <w:p w14:paraId="3B1B1009" w14:textId="50F01F07" w:rsidR="00814667" w:rsidRPr="00A50751" w:rsidRDefault="00094F5E" w:rsidP="00094F5E">
            <w:pPr>
              <w:pStyle w:val="SingleParagraph"/>
              <w:tabs>
                <w:tab w:val="num" w:pos="1134"/>
              </w:tabs>
              <w:spacing w:after="240"/>
              <w:ind w:left="1134" w:hanging="567"/>
              <w:rPr>
                <w:szCs w:val="22"/>
                <w:lang w:val="en-GB"/>
              </w:rPr>
            </w:pPr>
            <w:r w:rsidRPr="00B12190" w:rsidDel="00542A8C">
              <w:rPr>
                <w:bCs/>
                <w:lang w:val="en-GB"/>
              </w:rPr>
              <w:t xml:space="preserve"> </w:t>
            </w:r>
            <w:r>
              <w:rPr>
                <w:lang w:val="en-GB"/>
              </w:rPr>
              <w:t>[Day]  [Month]  [Year]</w:t>
            </w:r>
          </w:p>
        </w:tc>
        <w:tc>
          <w:tcPr>
            <w:tcW w:w="284" w:type="dxa"/>
            <w:tcMar>
              <w:left w:w="0" w:type="dxa"/>
              <w:right w:w="0" w:type="dxa"/>
            </w:tcMar>
          </w:tcPr>
          <w:p w14:paraId="1842ED15" w14:textId="77777777" w:rsidR="00814667" w:rsidRPr="00A50751" w:rsidRDefault="00814667">
            <w:pPr>
              <w:rPr>
                <w:rFonts w:ascii="Book Antiqua" w:hAnsi="Book Antiqua"/>
                <w:lang w:val="en-GB"/>
              </w:rPr>
            </w:pPr>
          </w:p>
        </w:tc>
        <w:tc>
          <w:tcPr>
            <w:tcW w:w="4536" w:type="dxa"/>
          </w:tcPr>
          <w:p w14:paraId="2BEC7436" w14:textId="77777777" w:rsidR="0071458C" w:rsidRPr="00A50751" w:rsidRDefault="0071458C" w:rsidP="0071458C">
            <w:pPr>
              <w:pStyle w:val="Signed"/>
            </w:pPr>
            <w:r>
              <w:rPr>
                <w:rStyle w:val="SignedBold"/>
              </w:rPr>
              <w:t>Signed</w:t>
            </w:r>
            <w:r w:rsidRPr="004A0AE7">
              <w:rPr>
                <w:i w:val="0"/>
              </w:rPr>
              <w:t xml:space="preserve"> </w:t>
            </w:r>
            <w:r w:rsidRPr="004A0AE7">
              <w:t xml:space="preserve">for and on behalf of </w:t>
            </w:r>
            <w:r>
              <w:t xml:space="preserve">the </w:t>
            </w:r>
            <w:r w:rsidRPr="004A0AE7">
              <w:t>Australian Capital Territory by</w:t>
            </w:r>
          </w:p>
          <w:p w14:paraId="2932F889" w14:textId="77777777" w:rsidR="0071458C" w:rsidRPr="00A50751" w:rsidRDefault="0071458C" w:rsidP="0071458C">
            <w:pPr>
              <w:pStyle w:val="LineForSignature"/>
            </w:pPr>
            <w:r w:rsidRPr="00A50751">
              <w:tab/>
            </w:r>
          </w:p>
          <w:p w14:paraId="23756D19" w14:textId="77777777" w:rsidR="0071458C" w:rsidRDefault="0071458C" w:rsidP="0071458C">
            <w:pPr>
              <w:pStyle w:val="SingleParagraph"/>
              <w:rPr>
                <w:rStyle w:val="Bold"/>
              </w:rPr>
            </w:pPr>
            <w:r>
              <w:rPr>
                <w:rStyle w:val="Bold"/>
              </w:rPr>
              <w:t>Gordon Ramsay MLA</w:t>
            </w:r>
          </w:p>
          <w:p w14:paraId="6AE71CF0" w14:textId="77777777" w:rsidR="0071458C" w:rsidRDefault="0071458C" w:rsidP="0071458C">
            <w:pPr>
              <w:pStyle w:val="Position"/>
              <w:rPr>
                <w:lang w:val="en-GB"/>
              </w:rPr>
            </w:pPr>
            <w:r>
              <w:rPr>
                <w:lang w:val="en-GB"/>
              </w:rPr>
              <w:t xml:space="preserve">Attorney-General of the Australian Capital Territory </w:t>
            </w:r>
          </w:p>
          <w:p w14:paraId="1D458F6F" w14:textId="3F4E209E" w:rsidR="00814667" w:rsidRPr="00A50751" w:rsidRDefault="0071458C" w:rsidP="0071458C">
            <w:pPr>
              <w:pStyle w:val="SingleParagraph"/>
              <w:tabs>
                <w:tab w:val="num" w:pos="1134"/>
              </w:tabs>
              <w:spacing w:after="240"/>
              <w:rPr>
                <w:lang w:val="en-GB"/>
              </w:rPr>
            </w:pPr>
            <w:r w:rsidRPr="00B12190" w:rsidDel="00542A8C">
              <w:rPr>
                <w:lang w:val="en-GB"/>
              </w:rPr>
              <w:t xml:space="preserve"> </w:t>
            </w:r>
            <w:r>
              <w:rPr>
                <w:lang w:val="en-GB"/>
              </w:rPr>
              <w:t>[Day]  [Month]  [Year]</w:t>
            </w:r>
            <w:bookmarkStart w:id="1" w:name="_GoBack"/>
            <w:bookmarkEnd w:id="1"/>
          </w:p>
        </w:tc>
      </w:tr>
      <w:tr w:rsidR="00D07DE2" w:rsidRPr="00A50751" w14:paraId="3A6FF0BA" w14:textId="77777777" w:rsidTr="00C65928">
        <w:trPr>
          <w:cantSplit/>
          <w:jc w:val="center"/>
        </w:trPr>
        <w:tc>
          <w:tcPr>
            <w:tcW w:w="4536" w:type="dxa"/>
          </w:tcPr>
          <w:p w14:paraId="1B8D166E" w14:textId="632D6271" w:rsidR="00D07DE2" w:rsidRPr="00D566DB" w:rsidRDefault="00D07DE2" w:rsidP="00D566DB">
            <w:pPr>
              <w:pStyle w:val="SingleParagraph"/>
              <w:rPr>
                <w:rFonts w:ascii="Book Antiqua" w:hAnsi="Book Antiqua"/>
                <w:lang w:val="en-GB"/>
              </w:rPr>
            </w:pPr>
          </w:p>
        </w:tc>
        <w:tc>
          <w:tcPr>
            <w:tcW w:w="284" w:type="dxa"/>
            <w:tcMar>
              <w:left w:w="0" w:type="dxa"/>
              <w:right w:w="0" w:type="dxa"/>
            </w:tcMar>
          </w:tcPr>
          <w:p w14:paraId="0EA2415F" w14:textId="77777777" w:rsidR="00D07DE2" w:rsidRPr="00A50751" w:rsidRDefault="00D07DE2" w:rsidP="00D566DB">
            <w:pPr>
              <w:pStyle w:val="SingleParagraph"/>
              <w:rPr>
                <w:rFonts w:ascii="Book Antiqua" w:hAnsi="Book Antiqua"/>
                <w:lang w:val="en-GB"/>
              </w:rPr>
            </w:pPr>
          </w:p>
        </w:tc>
        <w:tc>
          <w:tcPr>
            <w:tcW w:w="4536" w:type="dxa"/>
          </w:tcPr>
          <w:p w14:paraId="01B290F6" w14:textId="77777777" w:rsidR="00D07DE2" w:rsidRPr="00D566DB" w:rsidRDefault="00D07DE2" w:rsidP="00C11A53">
            <w:pPr>
              <w:pStyle w:val="SingleParagraph"/>
              <w:jc w:val="right"/>
              <w:rPr>
                <w:rFonts w:ascii="Book Antiqua" w:hAnsi="Book Antiqua"/>
                <w:lang w:val="en-GB"/>
              </w:rPr>
            </w:pPr>
          </w:p>
        </w:tc>
      </w:tr>
    </w:tbl>
    <w:p w14:paraId="5B647B4F" w14:textId="77777777" w:rsidR="008843EE" w:rsidRDefault="008843EE" w:rsidP="0020144E"/>
    <w:sectPr w:rsidR="008843EE" w:rsidSect="00C11A53">
      <w:footerReference w:type="default" r:id="rId14"/>
      <w:headerReference w:type="first" r:id="rId15"/>
      <w:type w:val="oddPage"/>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16FF6" w14:textId="77777777" w:rsidR="00F67B29" w:rsidRDefault="00F67B29">
      <w:r>
        <w:separator/>
      </w:r>
    </w:p>
  </w:endnote>
  <w:endnote w:type="continuationSeparator" w:id="0">
    <w:p w14:paraId="47F8089F" w14:textId="77777777" w:rsidR="00F67B29" w:rsidRDefault="00F67B29">
      <w:r>
        <w:continuationSeparator/>
      </w:r>
    </w:p>
  </w:endnote>
  <w:endnote w:type="continuationNotice" w:id="1">
    <w:p w14:paraId="7EB45EAB" w14:textId="77777777" w:rsidR="00F67B29" w:rsidRDefault="00F67B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Zapf Dingbats"/>
    <w:panose1 w:val="00000000000000000000"/>
    <w:charset w:val="02"/>
    <w:family w:val="decorative"/>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9C6E4" w14:textId="77777777" w:rsidR="00C075EA" w:rsidRDefault="00C075EA">
    <w:pPr>
      <w:pStyle w:val="FooterOdd"/>
      <w:keepNext/>
      <w:tabs>
        <w:tab w:val="num" w:pos="567"/>
      </w:tabs>
    </w:pPr>
    <w:r>
      <w:t xml:space="preserve">Page </w:t>
    </w:r>
    <w:r>
      <w:rPr>
        <w:rStyle w:val="PageNumber"/>
      </w:rPr>
      <w:fldChar w:fldCharType="begin"/>
    </w:r>
    <w:r>
      <w:rPr>
        <w:rStyle w:val="PageNumber"/>
      </w:rPr>
      <w:instrText xml:space="preserve"> PAGE  \* Arabic </w:instrText>
    </w:r>
    <w:r>
      <w:rPr>
        <w:rStyle w:val="PageNumber"/>
      </w:rPr>
      <w:fldChar w:fldCharType="separate"/>
    </w:r>
    <w:r w:rsidR="0071458C">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189A5" w14:textId="77777777" w:rsidR="00F67B29" w:rsidRDefault="00F67B29">
      <w:r>
        <w:separator/>
      </w:r>
    </w:p>
  </w:footnote>
  <w:footnote w:type="continuationSeparator" w:id="0">
    <w:p w14:paraId="1BF37694" w14:textId="77777777" w:rsidR="00F67B29" w:rsidRDefault="00F67B29">
      <w:r>
        <w:continuationSeparator/>
      </w:r>
    </w:p>
  </w:footnote>
  <w:footnote w:type="continuationNotice" w:id="1">
    <w:p w14:paraId="60A6A596" w14:textId="77777777" w:rsidR="00F67B29" w:rsidRDefault="00F67B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1E9F3" w14:textId="77777777" w:rsidR="00033E29" w:rsidRPr="00814590" w:rsidRDefault="00033E29" w:rsidP="0036474E">
    <w:pPr>
      <w:pStyle w:val="HeaderOdd"/>
      <w:tabs>
        <w:tab w:val="num" w:pos="1134"/>
      </w:tabs>
      <w:rPr>
        <w:color w:val="800000"/>
      </w:rPr>
    </w:pPr>
    <w:r>
      <w:rPr>
        <w:color w:val="800000"/>
      </w:rPr>
      <w:t>Project Agreement for Family Law Information Sharing</w:t>
    </w:r>
  </w:p>
  <w:p w14:paraId="1CE8E60C" w14:textId="77777777" w:rsidR="00033E29" w:rsidRPr="00751725" w:rsidRDefault="00033E29" w:rsidP="002818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1C0F1FEE"/>
    <w:multiLevelType w:val="multilevel"/>
    <w:tmpl w:val="73ECACC0"/>
    <w:lvl w:ilvl="0">
      <w:start w:val="1"/>
      <w:numFmt w:val="lowerLetter"/>
      <w:lvlRestart w:val="0"/>
      <w:lvlText w:val="(%1)"/>
      <w:lvlJc w:val="left"/>
      <w:pPr>
        <w:tabs>
          <w:tab w:val="num" w:pos="1277"/>
        </w:tabs>
        <w:ind w:left="71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22112EB8"/>
    <w:multiLevelType w:val="hybridMultilevel"/>
    <w:tmpl w:val="EC120304"/>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7"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9"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0" w15:restartNumberingAfterBreak="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2"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3"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15:restartNumberingAfterBreak="0">
    <w:nsid w:val="59B70749"/>
    <w:multiLevelType w:val="multilevel"/>
    <w:tmpl w:val="73ECACC0"/>
    <w:lvl w:ilvl="0">
      <w:start w:val="1"/>
      <w:numFmt w:val="lowerLetter"/>
      <w:lvlRestart w:val="0"/>
      <w:lvlText w:val="(%1)"/>
      <w:lvlJc w:val="left"/>
      <w:pPr>
        <w:tabs>
          <w:tab w:val="num" w:pos="1277"/>
        </w:tabs>
        <w:ind w:left="71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6"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7" w15:restartNumberingAfterBreak="0">
    <w:nsid w:val="6D2C6F45"/>
    <w:multiLevelType w:val="hybridMultilevel"/>
    <w:tmpl w:val="5072A460"/>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19"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0" w15:restartNumberingAfterBreak="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7E1138BA"/>
    <w:multiLevelType w:val="hybridMultilevel"/>
    <w:tmpl w:val="D00AA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7"/>
  </w:num>
  <w:num w:numId="11">
    <w:abstractNumId w:val="12"/>
  </w:num>
  <w:num w:numId="12">
    <w:abstractNumId w:val="14"/>
  </w:num>
  <w:num w:numId="13">
    <w:abstractNumId w:val="2"/>
  </w:num>
  <w:num w:numId="14">
    <w:abstractNumId w:val="16"/>
  </w:num>
  <w:num w:numId="15">
    <w:abstractNumId w:val="10"/>
  </w:num>
  <w:num w:numId="16">
    <w:abstractNumId w:val="4"/>
  </w:num>
  <w:num w:numId="17">
    <w:abstractNumId w:val="8"/>
  </w:num>
  <w:num w:numId="18">
    <w:abstractNumId w:val="20"/>
  </w:num>
  <w:num w:numId="19">
    <w:abstractNumId w:val="1"/>
  </w:num>
  <w:num w:numId="20">
    <w:abstractNumId w:val="13"/>
  </w:num>
  <w:num w:numId="21">
    <w:abstractNumId w:val="18"/>
  </w:num>
  <w:num w:numId="22">
    <w:abstractNumId w:val="11"/>
  </w:num>
  <w:num w:numId="23">
    <w:abstractNumId w:val="15"/>
  </w:num>
  <w:num w:numId="24">
    <w:abstractNumId w:val="19"/>
  </w:num>
  <w:num w:numId="25">
    <w:abstractNumId w:val="6"/>
  </w:num>
  <w:num w:numId="26">
    <w:abstractNumId w:val="9"/>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1"/>
  </w:num>
  <w:num w:numId="31">
    <w:abstractNumId w:val="0"/>
  </w:num>
  <w:num w:numId="32">
    <w:abstractNumId w:val="5"/>
  </w:num>
  <w:num w:numId="3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324C"/>
    <w:rsid w:val="00005A5D"/>
    <w:rsid w:val="000063E3"/>
    <w:rsid w:val="000076D9"/>
    <w:rsid w:val="00016165"/>
    <w:rsid w:val="0001621A"/>
    <w:rsid w:val="00021708"/>
    <w:rsid w:val="00025679"/>
    <w:rsid w:val="0002746F"/>
    <w:rsid w:val="00030CB2"/>
    <w:rsid w:val="00033E29"/>
    <w:rsid w:val="000343F1"/>
    <w:rsid w:val="000376D1"/>
    <w:rsid w:val="00044700"/>
    <w:rsid w:val="00044CE6"/>
    <w:rsid w:val="00045E5E"/>
    <w:rsid w:val="0006051B"/>
    <w:rsid w:val="0006120F"/>
    <w:rsid w:val="000614F9"/>
    <w:rsid w:val="00062000"/>
    <w:rsid w:val="00062986"/>
    <w:rsid w:val="000637C2"/>
    <w:rsid w:val="0006451A"/>
    <w:rsid w:val="0006551D"/>
    <w:rsid w:val="00065679"/>
    <w:rsid w:val="0007004C"/>
    <w:rsid w:val="00070AA7"/>
    <w:rsid w:val="000724F6"/>
    <w:rsid w:val="000735E9"/>
    <w:rsid w:val="00074611"/>
    <w:rsid w:val="00074A62"/>
    <w:rsid w:val="00075932"/>
    <w:rsid w:val="0008092B"/>
    <w:rsid w:val="0008479E"/>
    <w:rsid w:val="00086712"/>
    <w:rsid w:val="00091DF8"/>
    <w:rsid w:val="00092634"/>
    <w:rsid w:val="00093875"/>
    <w:rsid w:val="00093CB6"/>
    <w:rsid w:val="00093DD8"/>
    <w:rsid w:val="00094337"/>
    <w:rsid w:val="00094F5E"/>
    <w:rsid w:val="00097794"/>
    <w:rsid w:val="000A0C9E"/>
    <w:rsid w:val="000A38F4"/>
    <w:rsid w:val="000A3E54"/>
    <w:rsid w:val="000A5191"/>
    <w:rsid w:val="000A5471"/>
    <w:rsid w:val="000A7486"/>
    <w:rsid w:val="000B4080"/>
    <w:rsid w:val="000B7685"/>
    <w:rsid w:val="000C714F"/>
    <w:rsid w:val="000D19D8"/>
    <w:rsid w:val="000D1C37"/>
    <w:rsid w:val="000D4377"/>
    <w:rsid w:val="000D7A25"/>
    <w:rsid w:val="000E011F"/>
    <w:rsid w:val="000E075D"/>
    <w:rsid w:val="000E2258"/>
    <w:rsid w:val="000E2689"/>
    <w:rsid w:val="000E2AF6"/>
    <w:rsid w:val="000E36B7"/>
    <w:rsid w:val="000E3C70"/>
    <w:rsid w:val="000E48C3"/>
    <w:rsid w:val="000F0880"/>
    <w:rsid w:val="000F10F3"/>
    <w:rsid w:val="000F25D5"/>
    <w:rsid w:val="000F5E59"/>
    <w:rsid w:val="000F6CF6"/>
    <w:rsid w:val="00101A43"/>
    <w:rsid w:val="00103FD6"/>
    <w:rsid w:val="001040B7"/>
    <w:rsid w:val="00104935"/>
    <w:rsid w:val="001065EE"/>
    <w:rsid w:val="00110F5D"/>
    <w:rsid w:val="001134AC"/>
    <w:rsid w:val="00115166"/>
    <w:rsid w:val="00115A97"/>
    <w:rsid w:val="00122DBA"/>
    <w:rsid w:val="001262B5"/>
    <w:rsid w:val="00130329"/>
    <w:rsid w:val="00132587"/>
    <w:rsid w:val="00135F3D"/>
    <w:rsid w:val="001404A9"/>
    <w:rsid w:val="00140F43"/>
    <w:rsid w:val="001416E1"/>
    <w:rsid w:val="001449FE"/>
    <w:rsid w:val="00145D5C"/>
    <w:rsid w:val="001475EE"/>
    <w:rsid w:val="001505B8"/>
    <w:rsid w:val="00151133"/>
    <w:rsid w:val="00154F9F"/>
    <w:rsid w:val="00155715"/>
    <w:rsid w:val="001576F5"/>
    <w:rsid w:val="00160506"/>
    <w:rsid w:val="00160E06"/>
    <w:rsid w:val="0016131F"/>
    <w:rsid w:val="001629FA"/>
    <w:rsid w:val="00165CAB"/>
    <w:rsid w:val="00166312"/>
    <w:rsid w:val="00167BB8"/>
    <w:rsid w:val="00172360"/>
    <w:rsid w:val="00172E3A"/>
    <w:rsid w:val="00173F81"/>
    <w:rsid w:val="00174C2A"/>
    <w:rsid w:val="00175B70"/>
    <w:rsid w:val="00175FB9"/>
    <w:rsid w:val="0017698C"/>
    <w:rsid w:val="00177A0A"/>
    <w:rsid w:val="00180716"/>
    <w:rsid w:val="00180F76"/>
    <w:rsid w:val="00182C28"/>
    <w:rsid w:val="00183EAB"/>
    <w:rsid w:val="00185CC1"/>
    <w:rsid w:val="00186BF9"/>
    <w:rsid w:val="00187BEB"/>
    <w:rsid w:val="0019291B"/>
    <w:rsid w:val="001931E8"/>
    <w:rsid w:val="00194232"/>
    <w:rsid w:val="00194587"/>
    <w:rsid w:val="001A1422"/>
    <w:rsid w:val="001A14C1"/>
    <w:rsid w:val="001A1EA8"/>
    <w:rsid w:val="001A3A9A"/>
    <w:rsid w:val="001A3F52"/>
    <w:rsid w:val="001A4093"/>
    <w:rsid w:val="001A79C1"/>
    <w:rsid w:val="001A7A15"/>
    <w:rsid w:val="001B032C"/>
    <w:rsid w:val="001B19A0"/>
    <w:rsid w:val="001B1CA3"/>
    <w:rsid w:val="001B2977"/>
    <w:rsid w:val="001B3256"/>
    <w:rsid w:val="001B447F"/>
    <w:rsid w:val="001B580E"/>
    <w:rsid w:val="001B7933"/>
    <w:rsid w:val="001C00D1"/>
    <w:rsid w:val="001C345D"/>
    <w:rsid w:val="001C346E"/>
    <w:rsid w:val="001C3717"/>
    <w:rsid w:val="001C5CC5"/>
    <w:rsid w:val="001D2C27"/>
    <w:rsid w:val="001D376D"/>
    <w:rsid w:val="001D3CAD"/>
    <w:rsid w:val="001D5245"/>
    <w:rsid w:val="001D5A1C"/>
    <w:rsid w:val="001D6E9A"/>
    <w:rsid w:val="001E20EC"/>
    <w:rsid w:val="001E4479"/>
    <w:rsid w:val="001E4554"/>
    <w:rsid w:val="001E59AF"/>
    <w:rsid w:val="001E7173"/>
    <w:rsid w:val="001E74D0"/>
    <w:rsid w:val="001E7803"/>
    <w:rsid w:val="001F1D48"/>
    <w:rsid w:val="001F1FE0"/>
    <w:rsid w:val="001F55CE"/>
    <w:rsid w:val="001F677B"/>
    <w:rsid w:val="001F6F39"/>
    <w:rsid w:val="001F6FE8"/>
    <w:rsid w:val="0020144E"/>
    <w:rsid w:val="0020308E"/>
    <w:rsid w:val="002042FA"/>
    <w:rsid w:val="0020448C"/>
    <w:rsid w:val="00205E18"/>
    <w:rsid w:val="00206773"/>
    <w:rsid w:val="002069F9"/>
    <w:rsid w:val="0021075A"/>
    <w:rsid w:val="00212869"/>
    <w:rsid w:val="00220D7D"/>
    <w:rsid w:val="00221308"/>
    <w:rsid w:val="002216B5"/>
    <w:rsid w:val="00222C97"/>
    <w:rsid w:val="00223EBC"/>
    <w:rsid w:val="00225761"/>
    <w:rsid w:val="002305CD"/>
    <w:rsid w:val="00233835"/>
    <w:rsid w:val="002371B7"/>
    <w:rsid w:val="002405F4"/>
    <w:rsid w:val="00241EE9"/>
    <w:rsid w:val="0024375D"/>
    <w:rsid w:val="00244500"/>
    <w:rsid w:val="00247D45"/>
    <w:rsid w:val="00250F3C"/>
    <w:rsid w:val="00252551"/>
    <w:rsid w:val="00255167"/>
    <w:rsid w:val="00261ABA"/>
    <w:rsid w:val="00262E18"/>
    <w:rsid w:val="0026571E"/>
    <w:rsid w:val="002701A0"/>
    <w:rsid w:val="00271FE1"/>
    <w:rsid w:val="002737ED"/>
    <w:rsid w:val="00274877"/>
    <w:rsid w:val="0028151D"/>
    <w:rsid w:val="00281874"/>
    <w:rsid w:val="00282C25"/>
    <w:rsid w:val="00284884"/>
    <w:rsid w:val="00285003"/>
    <w:rsid w:val="00285B75"/>
    <w:rsid w:val="002869F5"/>
    <w:rsid w:val="0028768B"/>
    <w:rsid w:val="00287DCC"/>
    <w:rsid w:val="00291CF1"/>
    <w:rsid w:val="00292587"/>
    <w:rsid w:val="00294345"/>
    <w:rsid w:val="002A143D"/>
    <w:rsid w:val="002A3A66"/>
    <w:rsid w:val="002A3DE9"/>
    <w:rsid w:val="002A493A"/>
    <w:rsid w:val="002A530A"/>
    <w:rsid w:val="002A55FB"/>
    <w:rsid w:val="002A5884"/>
    <w:rsid w:val="002A6981"/>
    <w:rsid w:val="002B1C50"/>
    <w:rsid w:val="002B207C"/>
    <w:rsid w:val="002B2CAF"/>
    <w:rsid w:val="002B4BAF"/>
    <w:rsid w:val="002B5650"/>
    <w:rsid w:val="002B6752"/>
    <w:rsid w:val="002B7922"/>
    <w:rsid w:val="002B7E1B"/>
    <w:rsid w:val="002C2152"/>
    <w:rsid w:val="002C2529"/>
    <w:rsid w:val="002C2A03"/>
    <w:rsid w:val="002C2F4A"/>
    <w:rsid w:val="002C2F50"/>
    <w:rsid w:val="002C53C9"/>
    <w:rsid w:val="002C62B3"/>
    <w:rsid w:val="002C7620"/>
    <w:rsid w:val="002C7D47"/>
    <w:rsid w:val="002D122C"/>
    <w:rsid w:val="002D56B3"/>
    <w:rsid w:val="002D7CF9"/>
    <w:rsid w:val="002E144A"/>
    <w:rsid w:val="002E26BA"/>
    <w:rsid w:val="002E2DE2"/>
    <w:rsid w:val="002E4B66"/>
    <w:rsid w:val="002F2CC1"/>
    <w:rsid w:val="002F3A5F"/>
    <w:rsid w:val="002F576E"/>
    <w:rsid w:val="002F5B29"/>
    <w:rsid w:val="002F5B54"/>
    <w:rsid w:val="002F5C6C"/>
    <w:rsid w:val="002F7E40"/>
    <w:rsid w:val="003012DA"/>
    <w:rsid w:val="00301704"/>
    <w:rsid w:val="003046FB"/>
    <w:rsid w:val="00307C5C"/>
    <w:rsid w:val="00312CFE"/>
    <w:rsid w:val="00313480"/>
    <w:rsid w:val="00313C98"/>
    <w:rsid w:val="00313FD8"/>
    <w:rsid w:val="00313FD9"/>
    <w:rsid w:val="003155BD"/>
    <w:rsid w:val="00316426"/>
    <w:rsid w:val="003177B9"/>
    <w:rsid w:val="00321E0A"/>
    <w:rsid w:val="003232FA"/>
    <w:rsid w:val="00330E70"/>
    <w:rsid w:val="0033274A"/>
    <w:rsid w:val="00333506"/>
    <w:rsid w:val="00334622"/>
    <w:rsid w:val="00340987"/>
    <w:rsid w:val="003410AA"/>
    <w:rsid w:val="00342DC9"/>
    <w:rsid w:val="0034465F"/>
    <w:rsid w:val="00352A6B"/>
    <w:rsid w:val="00352EC1"/>
    <w:rsid w:val="00357BE9"/>
    <w:rsid w:val="00361054"/>
    <w:rsid w:val="0036119D"/>
    <w:rsid w:val="003637A0"/>
    <w:rsid w:val="0036474E"/>
    <w:rsid w:val="00364CF3"/>
    <w:rsid w:val="00365CAA"/>
    <w:rsid w:val="00365E9D"/>
    <w:rsid w:val="00367EAB"/>
    <w:rsid w:val="00367ED9"/>
    <w:rsid w:val="00372573"/>
    <w:rsid w:val="00373E77"/>
    <w:rsid w:val="00376D1F"/>
    <w:rsid w:val="00377AB2"/>
    <w:rsid w:val="00383C45"/>
    <w:rsid w:val="003871E0"/>
    <w:rsid w:val="003877C3"/>
    <w:rsid w:val="00390DA7"/>
    <w:rsid w:val="0039283B"/>
    <w:rsid w:val="0039508F"/>
    <w:rsid w:val="00396EA4"/>
    <w:rsid w:val="003A2157"/>
    <w:rsid w:val="003A3363"/>
    <w:rsid w:val="003A3905"/>
    <w:rsid w:val="003A3CC1"/>
    <w:rsid w:val="003A4CF8"/>
    <w:rsid w:val="003A6635"/>
    <w:rsid w:val="003A6B0E"/>
    <w:rsid w:val="003A78C6"/>
    <w:rsid w:val="003B2D9F"/>
    <w:rsid w:val="003B5562"/>
    <w:rsid w:val="003B6363"/>
    <w:rsid w:val="003B737F"/>
    <w:rsid w:val="003C0CF7"/>
    <w:rsid w:val="003C106B"/>
    <w:rsid w:val="003C1EB1"/>
    <w:rsid w:val="003C2A84"/>
    <w:rsid w:val="003C2E5D"/>
    <w:rsid w:val="003C3CF3"/>
    <w:rsid w:val="003C59E0"/>
    <w:rsid w:val="003C6416"/>
    <w:rsid w:val="003C6F2A"/>
    <w:rsid w:val="003D170D"/>
    <w:rsid w:val="003D743C"/>
    <w:rsid w:val="003E0757"/>
    <w:rsid w:val="003E0FF4"/>
    <w:rsid w:val="003E2BDE"/>
    <w:rsid w:val="003E33BA"/>
    <w:rsid w:val="003E5A70"/>
    <w:rsid w:val="003E6BA0"/>
    <w:rsid w:val="003E73DB"/>
    <w:rsid w:val="003F0ADC"/>
    <w:rsid w:val="003F4F10"/>
    <w:rsid w:val="003F59E6"/>
    <w:rsid w:val="003F5BE6"/>
    <w:rsid w:val="003F6C00"/>
    <w:rsid w:val="003F7702"/>
    <w:rsid w:val="00400007"/>
    <w:rsid w:val="00404763"/>
    <w:rsid w:val="00411328"/>
    <w:rsid w:val="004120B1"/>
    <w:rsid w:val="00413E74"/>
    <w:rsid w:val="0041421D"/>
    <w:rsid w:val="0041490D"/>
    <w:rsid w:val="00414A5C"/>
    <w:rsid w:val="00414C27"/>
    <w:rsid w:val="004156B4"/>
    <w:rsid w:val="0041697F"/>
    <w:rsid w:val="00416E41"/>
    <w:rsid w:val="00420235"/>
    <w:rsid w:val="004223AA"/>
    <w:rsid w:val="00423104"/>
    <w:rsid w:val="00423648"/>
    <w:rsid w:val="00423A2D"/>
    <w:rsid w:val="0042652D"/>
    <w:rsid w:val="004267D3"/>
    <w:rsid w:val="0042705A"/>
    <w:rsid w:val="00427E2A"/>
    <w:rsid w:val="00431606"/>
    <w:rsid w:val="00432AD9"/>
    <w:rsid w:val="00433E65"/>
    <w:rsid w:val="004374B2"/>
    <w:rsid w:val="00442AB8"/>
    <w:rsid w:val="004436EA"/>
    <w:rsid w:val="0044456C"/>
    <w:rsid w:val="00447DA7"/>
    <w:rsid w:val="00450B39"/>
    <w:rsid w:val="00453BC6"/>
    <w:rsid w:val="00454498"/>
    <w:rsid w:val="00456C59"/>
    <w:rsid w:val="004570EB"/>
    <w:rsid w:val="004612DC"/>
    <w:rsid w:val="004627A6"/>
    <w:rsid w:val="004728CB"/>
    <w:rsid w:val="004738D2"/>
    <w:rsid w:val="004755B5"/>
    <w:rsid w:val="00477931"/>
    <w:rsid w:val="004801D5"/>
    <w:rsid w:val="00481F97"/>
    <w:rsid w:val="0048460F"/>
    <w:rsid w:val="00485DCA"/>
    <w:rsid w:val="00490198"/>
    <w:rsid w:val="00490E28"/>
    <w:rsid w:val="00494DC2"/>
    <w:rsid w:val="00497362"/>
    <w:rsid w:val="00497C77"/>
    <w:rsid w:val="004A0AE7"/>
    <w:rsid w:val="004A3D37"/>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03EA"/>
    <w:rsid w:val="004C1080"/>
    <w:rsid w:val="004C23AC"/>
    <w:rsid w:val="004C3CC4"/>
    <w:rsid w:val="004C4D5E"/>
    <w:rsid w:val="004D055A"/>
    <w:rsid w:val="004D0B2C"/>
    <w:rsid w:val="004D11ED"/>
    <w:rsid w:val="004D1B6B"/>
    <w:rsid w:val="004D2370"/>
    <w:rsid w:val="004D310E"/>
    <w:rsid w:val="004D37D8"/>
    <w:rsid w:val="004D3F94"/>
    <w:rsid w:val="004D4B81"/>
    <w:rsid w:val="004E0C7F"/>
    <w:rsid w:val="004E1F9E"/>
    <w:rsid w:val="004E2BDF"/>
    <w:rsid w:val="004E4457"/>
    <w:rsid w:val="004E6B85"/>
    <w:rsid w:val="004E6CAD"/>
    <w:rsid w:val="004F30EE"/>
    <w:rsid w:val="004F5DCD"/>
    <w:rsid w:val="004F6B2B"/>
    <w:rsid w:val="005005DF"/>
    <w:rsid w:val="00505045"/>
    <w:rsid w:val="005065B6"/>
    <w:rsid w:val="00510B96"/>
    <w:rsid w:val="00511501"/>
    <w:rsid w:val="00511B5B"/>
    <w:rsid w:val="00513EE3"/>
    <w:rsid w:val="005159C2"/>
    <w:rsid w:val="00515AF2"/>
    <w:rsid w:val="0051640E"/>
    <w:rsid w:val="00516741"/>
    <w:rsid w:val="0051684E"/>
    <w:rsid w:val="00524604"/>
    <w:rsid w:val="00527ABC"/>
    <w:rsid w:val="00537057"/>
    <w:rsid w:val="0054193D"/>
    <w:rsid w:val="00542A8C"/>
    <w:rsid w:val="00542D59"/>
    <w:rsid w:val="00543637"/>
    <w:rsid w:val="00545DF7"/>
    <w:rsid w:val="00546CA2"/>
    <w:rsid w:val="00547A20"/>
    <w:rsid w:val="00552238"/>
    <w:rsid w:val="005539F5"/>
    <w:rsid w:val="00553BE7"/>
    <w:rsid w:val="0055415C"/>
    <w:rsid w:val="00554AAC"/>
    <w:rsid w:val="0055503F"/>
    <w:rsid w:val="005572D7"/>
    <w:rsid w:val="00563797"/>
    <w:rsid w:val="005651B5"/>
    <w:rsid w:val="00566234"/>
    <w:rsid w:val="00567AA3"/>
    <w:rsid w:val="005705A7"/>
    <w:rsid w:val="0057262B"/>
    <w:rsid w:val="00576F14"/>
    <w:rsid w:val="005815B3"/>
    <w:rsid w:val="00582A03"/>
    <w:rsid w:val="0058717D"/>
    <w:rsid w:val="00587D44"/>
    <w:rsid w:val="00587E37"/>
    <w:rsid w:val="00593821"/>
    <w:rsid w:val="00593863"/>
    <w:rsid w:val="0059416C"/>
    <w:rsid w:val="00596E88"/>
    <w:rsid w:val="00597CBD"/>
    <w:rsid w:val="005A0969"/>
    <w:rsid w:val="005A25EE"/>
    <w:rsid w:val="005A2F3A"/>
    <w:rsid w:val="005A5E7A"/>
    <w:rsid w:val="005B0DEF"/>
    <w:rsid w:val="005B0EB3"/>
    <w:rsid w:val="005B1C97"/>
    <w:rsid w:val="005B2A03"/>
    <w:rsid w:val="005B4C1B"/>
    <w:rsid w:val="005B5BD6"/>
    <w:rsid w:val="005C08C7"/>
    <w:rsid w:val="005C2684"/>
    <w:rsid w:val="005C2DDC"/>
    <w:rsid w:val="005C5620"/>
    <w:rsid w:val="005C578C"/>
    <w:rsid w:val="005C737A"/>
    <w:rsid w:val="005D1F0F"/>
    <w:rsid w:val="005D29DB"/>
    <w:rsid w:val="005D41F9"/>
    <w:rsid w:val="005D58B7"/>
    <w:rsid w:val="005D5D23"/>
    <w:rsid w:val="005D6B99"/>
    <w:rsid w:val="005D7F2A"/>
    <w:rsid w:val="005E27E6"/>
    <w:rsid w:val="005E2CC5"/>
    <w:rsid w:val="005E4143"/>
    <w:rsid w:val="005E55EB"/>
    <w:rsid w:val="005E697B"/>
    <w:rsid w:val="005E724B"/>
    <w:rsid w:val="005F1C02"/>
    <w:rsid w:val="006002FA"/>
    <w:rsid w:val="00601F7C"/>
    <w:rsid w:val="00602A48"/>
    <w:rsid w:val="00602EF7"/>
    <w:rsid w:val="00604E2B"/>
    <w:rsid w:val="00606F11"/>
    <w:rsid w:val="00607B03"/>
    <w:rsid w:val="00610329"/>
    <w:rsid w:val="0061059D"/>
    <w:rsid w:val="0061326F"/>
    <w:rsid w:val="00613374"/>
    <w:rsid w:val="00614393"/>
    <w:rsid w:val="006146F2"/>
    <w:rsid w:val="00614C00"/>
    <w:rsid w:val="00623567"/>
    <w:rsid w:val="006412B5"/>
    <w:rsid w:val="00641932"/>
    <w:rsid w:val="00642C45"/>
    <w:rsid w:val="00644083"/>
    <w:rsid w:val="0064429B"/>
    <w:rsid w:val="0064477C"/>
    <w:rsid w:val="006462AB"/>
    <w:rsid w:val="006478CE"/>
    <w:rsid w:val="006506E5"/>
    <w:rsid w:val="00650903"/>
    <w:rsid w:val="0065577E"/>
    <w:rsid w:val="00660F87"/>
    <w:rsid w:val="00661629"/>
    <w:rsid w:val="00661AE0"/>
    <w:rsid w:val="006632B7"/>
    <w:rsid w:val="006650A8"/>
    <w:rsid w:val="006679C0"/>
    <w:rsid w:val="00667D88"/>
    <w:rsid w:val="006703AB"/>
    <w:rsid w:val="00672BC7"/>
    <w:rsid w:val="00674AA1"/>
    <w:rsid w:val="006776EE"/>
    <w:rsid w:val="00680ED5"/>
    <w:rsid w:val="00681956"/>
    <w:rsid w:val="00682FBA"/>
    <w:rsid w:val="00683370"/>
    <w:rsid w:val="00684D42"/>
    <w:rsid w:val="00684EC1"/>
    <w:rsid w:val="006903F9"/>
    <w:rsid w:val="006923C8"/>
    <w:rsid w:val="0069310D"/>
    <w:rsid w:val="00696AB4"/>
    <w:rsid w:val="00697494"/>
    <w:rsid w:val="006976BF"/>
    <w:rsid w:val="006A05D7"/>
    <w:rsid w:val="006A0CC0"/>
    <w:rsid w:val="006A3144"/>
    <w:rsid w:val="006A4628"/>
    <w:rsid w:val="006B3F39"/>
    <w:rsid w:val="006B4213"/>
    <w:rsid w:val="006B43AF"/>
    <w:rsid w:val="006B44A0"/>
    <w:rsid w:val="006B4DF0"/>
    <w:rsid w:val="006B4F89"/>
    <w:rsid w:val="006C1013"/>
    <w:rsid w:val="006C163A"/>
    <w:rsid w:val="006C228B"/>
    <w:rsid w:val="006C2931"/>
    <w:rsid w:val="006C3C1C"/>
    <w:rsid w:val="006D1937"/>
    <w:rsid w:val="006D2355"/>
    <w:rsid w:val="006D3137"/>
    <w:rsid w:val="006D466E"/>
    <w:rsid w:val="006D4B70"/>
    <w:rsid w:val="006D4C35"/>
    <w:rsid w:val="006D558A"/>
    <w:rsid w:val="006D7A92"/>
    <w:rsid w:val="006E190D"/>
    <w:rsid w:val="006E3B48"/>
    <w:rsid w:val="006E6184"/>
    <w:rsid w:val="006E631B"/>
    <w:rsid w:val="006F096A"/>
    <w:rsid w:val="006F22E3"/>
    <w:rsid w:val="006F3095"/>
    <w:rsid w:val="006F5455"/>
    <w:rsid w:val="006F5CB6"/>
    <w:rsid w:val="006F79D3"/>
    <w:rsid w:val="0070037B"/>
    <w:rsid w:val="00701C94"/>
    <w:rsid w:val="0070248F"/>
    <w:rsid w:val="00703194"/>
    <w:rsid w:val="00706E50"/>
    <w:rsid w:val="0070737C"/>
    <w:rsid w:val="007079C0"/>
    <w:rsid w:val="0071021B"/>
    <w:rsid w:val="00711229"/>
    <w:rsid w:val="0071458C"/>
    <w:rsid w:val="00715018"/>
    <w:rsid w:val="00716096"/>
    <w:rsid w:val="007168FC"/>
    <w:rsid w:val="00716D62"/>
    <w:rsid w:val="007179FE"/>
    <w:rsid w:val="00717F25"/>
    <w:rsid w:val="00717FF1"/>
    <w:rsid w:val="007201B1"/>
    <w:rsid w:val="007201D7"/>
    <w:rsid w:val="00724E14"/>
    <w:rsid w:val="00725AD5"/>
    <w:rsid w:val="00726DB5"/>
    <w:rsid w:val="00726EB4"/>
    <w:rsid w:val="00731945"/>
    <w:rsid w:val="00734D6C"/>
    <w:rsid w:val="007363DE"/>
    <w:rsid w:val="0073698D"/>
    <w:rsid w:val="00736C0B"/>
    <w:rsid w:val="00737FC3"/>
    <w:rsid w:val="00742560"/>
    <w:rsid w:val="00744D93"/>
    <w:rsid w:val="00746531"/>
    <w:rsid w:val="00750F59"/>
    <w:rsid w:val="00751039"/>
    <w:rsid w:val="00751725"/>
    <w:rsid w:val="00752028"/>
    <w:rsid w:val="0075450A"/>
    <w:rsid w:val="00756288"/>
    <w:rsid w:val="0075717D"/>
    <w:rsid w:val="007573A6"/>
    <w:rsid w:val="0076017E"/>
    <w:rsid w:val="00760DB6"/>
    <w:rsid w:val="0076361C"/>
    <w:rsid w:val="007661AE"/>
    <w:rsid w:val="00766A51"/>
    <w:rsid w:val="007700D4"/>
    <w:rsid w:val="00771FFF"/>
    <w:rsid w:val="00772818"/>
    <w:rsid w:val="00774CBC"/>
    <w:rsid w:val="0077685D"/>
    <w:rsid w:val="0077788E"/>
    <w:rsid w:val="007810E5"/>
    <w:rsid w:val="007839B5"/>
    <w:rsid w:val="00784439"/>
    <w:rsid w:val="00784C10"/>
    <w:rsid w:val="00787E75"/>
    <w:rsid w:val="00791860"/>
    <w:rsid w:val="007928B3"/>
    <w:rsid w:val="0079322C"/>
    <w:rsid w:val="007961E1"/>
    <w:rsid w:val="00797257"/>
    <w:rsid w:val="00797560"/>
    <w:rsid w:val="007A18AC"/>
    <w:rsid w:val="007A3157"/>
    <w:rsid w:val="007A6E20"/>
    <w:rsid w:val="007B10ED"/>
    <w:rsid w:val="007B2B2E"/>
    <w:rsid w:val="007B35CB"/>
    <w:rsid w:val="007B3BFC"/>
    <w:rsid w:val="007B424C"/>
    <w:rsid w:val="007B4B03"/>
    <w:rsid w:val="007B6235"/>
    <w:rsid w:val="007B6956"/>
    <w:rsid w:val="007C4D4C"/>
    <w:rsid w:val="007C4F31"/>
    <w:rsid w:val="007C54F5"/>
    <w:rsid w:val="007C5D25"/>
    <w:rsid w:val="007D5AFD"/>
    <w:rsid w:val="007E4DB8"/>
    <w:rsid w:val="007E5257"/>
    <w:rsid w:val="007E5391"/>
    <w:rsid w:val="007F4EF5"/>
    <w:rsid w:val="007F4F6D"/>
    <w:rsid w:val="007F588A"/>
    <w:rsid w:val="0080240E"/>
    <w:rsid w:val="008032B0"/>
    <w:rsid w:val="008032C0"/>
    <w:rsid w:val="00804105"/>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4886"/>
    <w:rsid w:val="00825FF5"/>
    <w:rsid w:val="008262F1"/>
    <w:rsid w:val="008272CD"/>
    <w:rsid w:val="0082742C"/>
    <w:rsid w:val="00827FA7"/>
    <w:rsid w:val="008311FA"/>
    <w:rsid w:val="008317EF"/>
    <w:rsid w:val="008431EE"/>
    <w:rsid w:val="00843CEE"/>
    <w:rsid w:val="00845BCC"/>
    <w:rsid w:val="00846087"/>
    <w:rsid w:val="00850635"/>
    <w:rsid w:val="00851465"/>
    <w:rsid w:val="008514B8"/>
    <w:rsid w:val="00852ED8"/>
    <w:rsid w:val="0085330A"/>
    <w:rsid w:val="00853690"/>
    <w:rsid w:val="00854815"/>
    <w:rsid w:val="008550CA"/>
    <w:rsid w:val="0085533A"/>
    <w:rsid w:val="00855543"/>
    <w:rsid w:val="0085738D"/>
    <w:rsid w:val="00862395"/>
    <w:rsid w:val="00864DD3"/>
    <w:rsid w:val="008657BC"/>
    <w:rsid w:val="00866DC1"/>
    <w:rsid w:val="008708D6"/>
    <w:rsid w:val="00874608"/>
    <w:rsid w:val="008760D0"/>
    <w:rsid w:val="00881317"/>
    <w:rsid w:val="008843EE"/>
    <w:rsid w:val="00892CA4"/>
    <w:rsid w:val="00893C20"/>
    <w:rsid w:val="008942E1"/>
    <w:rsid w:val="00896477"/>
    <w:rsid w:val="00896BD6"/>
    <w:rsid w:val="00896F5A"/>
    <w:rsid w:val="008A3C37"/>
    <w:rsid w:val="008A5DC6"/>
    <w:rsid w:val="008A7DD1"/>
    <w:rsid w:val="008B1840"/>
    <w:rsid w:val="008B2C84"/>
    <w:rsid w:val="008B4634"/>
    <w:rsid w:val="008B62D4"/>
    <w:rsid w:val="008B70D3"/>
    <w:rsid w:val="008B73A2"/>
    <w:rsid w:val="008B7FE2"/>
    <w:rsid w:val="008C0BBA"/>
    <w:rsid w:val="008C2450"/>
    <w:rsid w:val="008C6F30"/>
    <w:rsid w:val="008C7817"/>
    <w:rsid w:val="008C7F5B"/>
    <w:rsid w:val="008D079A"/>
    <w:rsid w:val="008D17F2"/>
    <w:rsid w:val="008D1FB4"/>
    <w:rsid w:val="008D2F40"/>
    <w:rsid w:val="008D4076"/>
    <w:rsid w:val="008D5587"/>
    <w:rsid w:val="008D5B52"/>
    <w:rsid w:val="008E0AD6"/>
    <w:rsid w:val="008E1322"/>
    <w:rsid w:val="008E1644"/>
    <w:rsid w:val="008E4209"/>
    <w:rsid w:val="008E47EE"/>
    <w:rsid w:val="008E48FC"/>
    <w:rsid w:val="008E55BD"/>
    <w:rsid w:val="008E7527"/>
    <w:rsid w:val="008F2496"/>
    <w:rsid w:val="008F2AD6"/>
    <w:rsid w:val="008F44F1"/>
    <w:rsid w:val="008F4691"/>
    <w:rsid w:val="008F4BA8"/>
    <w:rsid w:val="008F5C07"/>
    <w:rsid w:val="008F5FA4"/>
    <w:rsid w:val="008F696D"/>
    <w:rsid w:val="008F7777"/>
    <w:rsid w:val="009013B6"/>
    <w:rsid w:val="00901CF5"/>
    <w:rsid w:val="00901F53"/>
    <w:rsid w:val="0090327C"/>
    <w:rsid w:val="009056D3"/>
    <w:rsid w:val="00906431"/>
    <w:rsid w:val="00906C42"/>
    <w:rsid w:val="009115AF"/>
    <w:rsid w:val="009122FB"/>
    <w:rsid w:val="00913276"/>
    <w:rsid w:val="009221DF"/>
    <w:rsid w:val="009224FD"/>
    <w:rsid w:val="00927E91"/>
    <w:rsid w:val="0093296C"/>
    <w:rsid w:val="00934B87"/>
    <w:rsid w:val="00935CC7"/>
    <w:rsid w:val="009366CC"/>
    <w:rsid w:val="00936B10"/>
    <w:rsid w:val="0094002F"/>
    <w:rsid w:val="0094129D"/>
    <w:rsid w:val="00941BB7"/>
    <w:rsid w:val="009425E7"/>
    <w:rsid w:val="00943DAE"/>
    <w:rsid w:val="00944760"/>
    <w:rsid w:val="00946A91"/>
    <w:rsid w:val="00946AE5"/>
    <w:rsid w:val="00947F3A"/>
    <w:rsid w:val="00950865"/>
    <w:rsid w:val="00951BAD"/>
    <w:rsid w:val="0095223D"/>
    <w:rsid w:val="009526E4"/>
    <w:rsid w:val="00953AA1"/>
    <w:rsid w:val="00954B44"/>
    <w:rsid w:val="00956C8B"/>
    <w:rsid w:val="00957DF8"/>
    <w:rsid w:val="009644B8"/>
    <w:rsid w:val="0096732C"/>
    <w:rsid w:val="009703B6"/>
    <w:rsid w:val="00970BAE"/>
    <w:rsid w:val="00971A4C"/>
    <w:rsid w:val="00974C45"/>
    <w:rsid w:val="00975EB5"/>
    <w:rsid w:val="00976D30"/>
    <w:rsid w:val="00977EDD"/>
    <w:rsid w:val="00980CAC"/>
    <w:rsid w:val="009833A4"/>
    <w:rsid w:val="00983979"/>
    <w:rsid w:val="00983DC2"/>
    <w:rsid w:val="00983DF0"/>
    <w:rsid w:val="00984310"/>
    <w:rsid w:val="00985B49"/>
    <w:rsid w:val="0099742A"/>
    <w:rsid w:val="009A0446"/>
    <w:rsid w:val="009A062C"/>
    <w:rsid w:val="009A48AF"/>
    <w:rsid w:val="009A522D"/>
    <w:rsid w:val="009A7CA4"/>
    <w:rsid w:val="009B0C68"/>
    <w:rsid w:val="009B3F77"/>
    <w:rsid w:val="009B5132"/>
    <w:rsid w:val="009C166A"/>
    <w:rsid w:val="009C2059"/>
    <w:rsid w:val="009C2F43"/>
    <w:rsid w:val="009C6FFB"/>
    <w:rsid w:val="009C7EF5"/>
    <w:rsid w:val="009D04DF"/>
    <w:rsid w:val="009D0C93"/>
    <w:rsid w:val="009D2FAC"/>
    <w:rsid w:val="009D43F7"/>
    <w:rsid w:val="009D6C03"/>
    <w:rsid w:val="009E093C"/>
    <w:rsid w:val="009E1311"/>
    <w:rsid w:val="009E151E"/>
    <w:rsid w:val="009E21CB"/>
    <w:rsid w:val="009E3A1E"/>
    <w:rsid w:val="009E3ACF"/>
    <w:rsid w:val="009E5DB6"/>
    <w:rsid w:val="009F32BA"/>
    <w:rsid w:val="009F4241"/>
    <w:rsid w:val="009F61AC"/>
    <w:rsid w:val="009F6713"/>
    <w:rsid w:val="009F777E"/>
    <w:rsid w:val="009F7F52"/>
    <w:rsid w:val="00A0202C"/>
    <w:rsid w:val="00A0227E"/>
    <w:rsid w:val="00A05C1E"/>
    <w:rsid w:val="00A0603F"/>
    <w:rsid w:val="00A112E6"/>
    <w:rsid w:val="00A1406E"/>
    <w:rsid w:val="00A14966"/>
    <w:rsid w:val="00A15CAB"/>
    <w:rsid w:val="00A16E8F"/>
    <w:rsid w:val="00A17CCB"/>
    <w:rsid w:val="00A201DE"/>
    <w:rsid w:val="00A211A9"/>
    <w:rsid w:val="00A22E16"/>
    <w:rsid w:val="00A2422A"/>
    <w:rsid w:val="00A25265"/>
    <w:rsid w:val="00A26FC8"/>
    <w:rsid w:val="00A303A1"/>
    <w:rsid w:val="00A30B09"/>
    <w:rsid w:val="00A33A37"/>
    <w:rsid w:val="00A33F72"/>
    <w:rsid w:val="00A343DC"/>
    <w:rsid w:val="00A34DD8"/>
    <w:rsid w:val="00A372E0"/>
    <w:rsid w:val="00A37BC5"/>
    <w:rsid w:val="00A4110C"/>
    <w:rsid w:val="00A420D5"/>
    <w:rsid w:val="00A42386"/>
    <w:rsid w:val="00A50751"/>
    <w:rsid w:val="00A5096A"/>
    <w:rsid w:val="00A50E72"/>
    <w:rsid w:val="00A50E77"/>
    <w:rsid w:val="00A54B81"/>
    <w:rsid w:val="00A54BE7"/>
    <w:rsid w:val="00A564EB"/>
    <w:rsid w:val="00A6126B"/>
    <w:rsid w:val="00A61D1D"/>
    <w:rsid w:val="00A63289"/>
    <w:rsid w:val="00A6500A"/>
    <w:rsid w:val="00A65333"/>
    <w:rsid w:val="00A6713D"/>
    <w:rsid w:val="00A6719E"/>
    <w:rsid w:val="00A73213"/>
    <w:rsid w:val="00A739F1"/>
    <w:rsid w:val="00A758DE"/>
    <w:rsid w:val="00A807E1"/>
    <w:rsid w:val="00A8189A"/>
    <w:rsid w:val="00A81C2E"/>
    <w:rsid w:val="00A81EC4"/>
    <w:rsid w:val="00A83B8E"/>
    <w:rsid w:val="00A8478F"/>
    <w:rsid w:val="00A858C4"/>
    <w:rsid w:val="00A9141E"/>
    <w:rsid w:val="00A9341B"/>
    <w:rsid w:val="00A9599F"/>
    <w:rsid w:val="00A965D4"/>
    <w:rsid w:val="00A974CA"/>
    <w:rsid w:val="00A97E12"/>
    <w:rsid w:val="00AA2A33"/>
    <w:rsid w:val="00AA2CD5"/>
    <w:rsid w:val="00AA339F"/>
    <w:rsid w:val="00AA3CD1"/>
    <w:rsid w:val="00AA4935"/>
    <w:rsid w:val="00AA4F6C"/>
    <w:rsid w:val="00AB12A0"/>
    <w:rsid w:val="00AB16AE"/>
    <w:rsid w:val="00AB392A"/>
    <w:rsid w:val="00AB41CC"/>
    <w:rsid w:val="00AB5801"/>
    <w:rsid w:val="00AB5A64"/>
    <w:rsid w:val="00AB71A5"/>
    <w:rsid w:val="00AB76C6"/>
    <w:rsid w:val="00AB79E9"/>
    <w:rsid w:val="00AB7FBE"/>
    <w:rsid w:val="00AC4CFB"/>
    <w:rsid w:val="00AC5567"/>
    <w:rsid w:val="00AC6A82"/>
    <w:rsid w:val="00AC74CD"/>
    <w:rsid w:val="00AD04F4"/>
    <w:rsid w:val="00AD0DB2"/>
    <w:rsid w:val="00AD313F"/>
    <w:rsid w:val="00AD3DB9"/>
    <w:rsid w:val="00AD444F"/>
    <w:rsid w:val="00AD576C"/>
    <w:rsid w:val="00AD670F"/>
    <w:rsid w:val="00AD6C71"/>
    <w:rsid w:val="00AD746F"/>
    <w:rsid w:val="00AE1E4B"/>
    <w:rsid w:val="00AE1E54"/>
    <w:rsid w:val="00AE1FD4"/>
    <w:rsid w:val="00AE288D"/>
    <w:rsid w:val="00AE2AFD"/>
    <w:rsid w:val="00AE4372"/>
    <w:rsid w:val="00AE478A"/>
    <w:rsid w:val="00AE7C9B"/>
    <w:rsid w:val="00AF0C8D"/>
    <w:rsid w:val="00AF36F4"/>
    <w:rsid w:val="00AF6542"/>
    <w:rsid w:val="00B00778"/>
    <w:rsid w:val="00B04E8C"/>
    <w:rsid w:val="00B050C0"/>
    <w:rsid w:val="00B05642"/>
    <w:rsid w:val="00B06097"/>
    <w:rsid w:val="00B064B3"/>
    <w:rsid w:val="00B07131"/>
    <w:rsid w:val="00B10045"/>
    <w:rsid w:val="00B100DF"/>
    <w:rsid w:val="00B10CAE"/>
    <w:rsid w:val="00B119EA"/>
    <w:rsid w:val="00B12190"/>
    <w:rsid w:val="00B1294B"/>
    <w:rsid w:val="00B137C3"/>
    <w:rsid w:val="00B171BB"/>
    <w:rsid w:val="00B2247A"/>
    <w:rsid w:val="00B242E4"/>
    <w:rsid w:val="00B312D3"/>
    <w:rsid w:val="00B354C8"/>
    <w:rsid w:val="00B36551"/>
    <w:rsid w:val="00B36E9E"/>
    <w:rsid w:val="00B3759C"/>
    <w:rsid w:val="00B40E38"/>
    <w:rsid w:val="00B45C9E"/>
    <w:rsid w:val="00B51ACE"/>
    <w:rsid w:val="00B54772"/>
    <w:rsid w:val="00B612C4"/>
    <w:rsid w:val="00B619AA"/>
    <w:rsid w:val="00B623D7"/>
    <w:rsid w:val="00B63EFF"/>
    <w:rsid w:val="00B64C7B"/>
    <w:rsid w:val="00B66E7A"/>
    <w:rsid w:val="00B74561"/>
    <w:rsid w:val="00B8096A"/>
    <w:rsid w:val="00B8439F"/>
    <w:rsid w:val="00B91564"/>
    <w:rsid w:val="00B9206A"/>
    <w:rsid w:val="00B9279E"/>
    <w:rsid w:val="00B927C2"/>
    <w:rsid w:val="00B93126"/>
    <w:rsid w:val="00B9758A"/>
    <w:rsid w:val="00BA1CFA"/>
    <w:rsid w:val="00BA4284"/>
    <w:rsid w:val="00BC1029"/>
    <w:rsid w:val="00BC1573"/>
    <w:rsid w:val="00BC2720"/>
    <w:rsid w:val="00BC4728"/>
    <w:rsid w:val="00BC4BF4"/>
    <w:rsid w:val="00BC60B3"/>
    <w:rsid w:val="00BD1EBA"/>
    <w:rsid w:val="00BD2253"/>
    <w:rsid w:val="00BD7496"/>
    <w:rsid w:val="00BD7A8D"/>
    <w:rsid w:val="00BE042D"/>
    <w:rsid w:val="00BE2A90"/>
    <w:rsid w:val="00BE3DB1"/>
    <w:rsid w:val="00BE4802"/>
    <w:rsid w:val="00BE4D7F"/>
    <w:rsid w:val="00BE7212"/>
    <w:rsid w:val="00BF0D7C"/>
    <w:rsid w:val="00BF331F"/>
    <w:rsid w:val="00BF58CC"/>
    <w:rsid w:val="00BF7355"/>
    <w:rsid w:val="00C03B6E"/>
    <w:rsid w:val="00C045FD"/>
    <w:rsid w:val="00C047FD"/>
    <w:rsid w:val="00C05163"/>
    <w:rsid w:val="00C053A4"/>
    <w:rsid w:val="00C05CC6"/>
    <w:rsid w:val="00C068C7"/>
    <w:rsid w:val="00C073C2"/>
    <w:rsid w:val="00C075EA"/>
    <w:rsid w:val="00C1090B"/>
    <w:rsid w:val="00C11A53"/>
    <w:rsid w:val="00C13C12"/>
    <w:rsid w:val="00C160F4"/>
    <w:rsid w:val="00C1690D"/>
    <w:rsid w:val="00C177FF"/>
    <w:rsid w:val="00C20F99"/>
    <w:rsid w:val="00C2120D"/>
    <w:rsid w:val="00C215E7"/>
    <w:rsid w:val="00C233E9"/>
    <w:rsid w:val="00C25B44"/>
    <w:rsid w:val="00C2605C"/>
    <w:rsid w:val="00C26C5B"/>
    <w:rsid w:val="00C2711B"/>
    <w:rsid w:val="00C303B4"/>
    <w:rsid w:val="00C3142E"/>
    <w:rsid w:val="00C3177D"/>
    <w:rsid w:val="00C360D7"/>
    <w:rsid w:val="00C36112"/>
    <w:rsid w:val="00C37847"/>
    <w:rsid w:val="00C40EBC"/>
    <w:rsid w:val="00C41265"/>
    <w:rsid w:val="00C4202E"/>
    <w:rsid w:val="00C42ACA"/>
    <w:rsid w:val="00C45092"/>
    <w:rsid w:val="00C45124"/>
    <w:rsid w:val="00C47554"/>
    <w:rsid w:val="00C51308"/>
    <w:rsid w:val="00C51F78"/>
    <w:rsid w:val="00C5229C"/>
    <w:rsid w:val="00C539F8"/>
    <w:rsid w:val="00C53A47"/>
    <w:rsid w:val="00C57892"/>
    <w:rsid w:val="00C57BB9"/>
    <w:rsid w:val="00C606F6"/>
    <w:rsid w:val="00C6082E"/>
    <w:rsid w:val="00C60AE6"/>
    <w:rsid w:val="00C6126B"/>
    <w:rsid w:val="00C61699"/>
    <w:rsid w:val="00C62B02"/>
    <w:rsid w:val="00C643D4"/>
    <w:rsid w:val="00C64908"/>
    <w:rsid w:val="00C65928"/>
    <w:rsid w:val="00C705B5"/>
    <w:rsid w:val="00C7093C"/>
    <w:rsid w:val="00C738BD"/>
    <w:rsid w:val="00C74E60"/>
    <w:rsid w:val="00C75D40"/>
    <w:rsid w:val="00C770BD"/>
    <w:rsid w:val="00C80D13"/>
    <w:rsid w:val="00C83627"/>
    <w:rsid w:val="00C83BDE"/>
    <w:rsid w:val="00C85E44"/>
    <w:rsid w:val="00C86C16"/>
    <w:rsid w:val="00C8710B"/>
    <w:rsid w:val="00C9258F"/>
    <w:rsid w:val="00C92976"/>
    <w:rsid w:val="00C92F94"/>
    <w:rsid w:val="00C934BA"/>
    <w:rsid w:val="00C93F2E"/>
    <w:rsid w:val="00C95D81"/>
    <w:rsid w:val="00C960AA"/>
    <w:rsid w:val="00CA109A"/>
    <w:rsid w:val="00CA121E"/>
    <w:rsid w:val="00CA2C52"/>
    <w:rsid w:val="00CA501D"/>
    <w:rsid w:val="00CA5125"/>
    <w:rsid w:val="00CA55C4"/>
    <w:rsid w:val="00CA7388"/>
    <w:rsid w:val="00CB0A7D"/>
    <w:rsid w:val="00CB1789"/>
    <w:rsid w:val="00CB1CB2"/>
    <w:rsid w:val="00CB2557"/>
    <w:rsid w:val="00CB2ACB"/>
    <w:rsid w:val="00CB44C4"/>
    <w:rsid w:val="00CB47FE"/>
    <w:rsid w:val="00CB4D35"/>
    <w:rsid w:val="00CB6703"/>
    <w:rsid w:val="00CC26A4"/>
    <w:rsid w:val="00CC39B1"/>
    <w:rsid w:val="00CC3D90"/>
    <w:rsid w:val="00CD0C47"/>
    <w:rsid w:val="00CD526B"/>
    <w:rsid w:val="00CD5B93"/>
    <w:rsid w:val="00CD60C9"/>
    <w:rsid w:val="00CD61F8"/>
    <w:rsid w:val="00CD69F5"/>
    <w:rsid w:val="00CD7039"/>
    <w:rsid w:val="00CD7BA2"/>
    <w:rsid w:val="00CE3B32"/>
    <w:rsid w:val="00CE486C"/>
    <w:rsid w:val="00CE4A24"/>
    <w:rsid w:val="00CE613B"/>
    <w:rsid w:val="00CE7403"/>
    <w:rsid w:val="00CF0826"/>
    <w:rsid w:val="00CF0D8A"/>
    <w:rsid w:val="00CF17AE"/>
    <w:rsid w:val="00CF1DA0"/>
    <w:rsid w:val="00CF267F"/>
    <w:rsid w:val="00CF50C2"/>
    <w:rsid w:val="00CF7007"/>
    <w:rsid w:val="00CF7DA0"/>
    <w:rsid w:val="00D02E9D"/>
    <w:rsid w:val="00D0312C"/>
    <w:rsid w:val="00D034FE"/>
    <w:rsid w:val="00D04614"/>
    <w:rsid w:val="00D07DE2"/>
    <w:rsid w:val="00D1567A"/>
    <w:rsid w:val="00D1723F"/>
    <w:rsid w:val="00D2025F"/>
    <w:rsid w:val="00D22008"/>
    <w:rsid w:val="00D26B64"/>
    <w:rsid w:val="00D301C6"/>
    <w:rsid w:val="00D30AA4"/>
    <w:rsid w:val="00D30CE5"/>
    <w:rsid w:val="00D3674A"/>
    <w:rsid w:val="00D40383"/>
    <w:rsid w:val="00D4085D"/>
    <w:rsid w:val="00D416BE"/>
    <w:rsid w:val="00D41F67"/>
    <w:rsid w:val="00D428F4"/>
    <w:rsid w:val="00D434F3"/>
    <w:rsid w:val="00D46E83"/>
    <w:rsid w:val="00D51386"/>
    <w:rsid w:val="00D52914"/>
    <w:rsid w:val="00D5485B"/>
    <w:rsid w:val="00D5552F"/>
    <w:rsid w:val="00D5652B"/>
    <w:rsid w:val="00D566DB"/>
    <w:rsid w:val="00D57346"/>
    <w:rsid w:val="00D57CCC"/>
    <w:rsid w:val="00D61911"/>
    <w:rsid w:val="00D62258"/>
    <w:rsid w:val="00D625A7"/>
    <w:rsid w:val="00D63848"/>
    <w:rsid w:val="00D677F9"/>
    <w:rsid w:val="00D702F1"/>
    <w:rsid w:val="00D705C0"/>
    <w:rsid w:val="00D729FA"/>
    <w:rsid w:val="00D7336A"/>
    <w:rsid w:val="00D73591"/>
    <w:rsid w:val="00D7693B"/>
    <w:rsid w:val="00D802FC"/>
    <w:rsid w:val="00D82130"/>
    <w:rsid w:val="00D8532B"/>
    <w:rsid w:val="00D85463"/>
    <w:rsid w:val="00D876B9"/>
    <w:rsid w:val="00D9433F"/>
    <w:rsid w:val="00D973A5"/>
    <w:rsid w:val="00DA205D"/>
    <w:rsid w:val="00DA7233"/>
    <w:rsid w:val="00DB3DF5"/>
    <w:rsid w:val="00DB3EDF"/>
    <w:rsid w:val="00DC330D"/>
    <w:rsid w:val="00DC37AA"/>
    <w:rsid w:val="00DC4D62"/>
    <w:rsid w:val="00DC50E5"/>
    <w:rsid w:val="00DC76C7"/>
    <w:rsid w:val="00DD3F36"/>
    <w:rsid w:val="00DD6CD0"/>
    <w:rsid w:val="00DE311A"/>
    <w:rsid w:val="00DE36EB"/>
    <w:rsid w:val="00DE4A6C"/>
    <w:rsid w:val="00DE64C1"/>
    <w:rsid w:val="00DF0173"/>
    <w:rsid w:val="00DF0A95"/>
    <w:rsid w:val="00DF5697"/>
    <w:rsid w:val="00DF5BAB"/>
    <w:rsid w:val="00DF7EEB"/>
    <w:rsid w:val="00E01669"/>
    <w:rsid w:val="00E07838"/>
    <w:rsid w:val="00E10555"/>
    <w:rsid w:val="00E10BD4"/>
    <w:rsid w:val="00E11087"/>
    <w:rsid w:val="00E16995"/>
    <w:rsid w:val="00E16E0A"/>
    <w:rsid w:val="00E174B5"/>
    <w:rsid w:val="00E204BB"/>
    <w:rsid w:val="00E220BC"/>
    <w:rsid w:val="00E31096"/>
    <w:rsid w:val="00E33938"/>
    <w:rsid w:val="00E33F03"/>
    <w:rsid w:val="00E354D8"/>
    <w:rsid w:val="00E3658A"/>
    <w:rsid w:val="00E3673B"/>
    <w:rsid w:val="00E3706A"/>
    <w:rsid w:val="00E3738B"/>
    <w:rsid w:val="00E37446"/>
    <w:rsid w:val="00E37730"/>
    <w:rsid w:val="00E40240"/>
    <w:rsid w:val="00E4099E"/>
    <w:rsid w:val="00E43AA9"/>
    <w:rsid w:val="00E456AA"/>
    <w:rsid w:val="00E50AE7"/>
    <w:rsid w:val="00E5201F"/>
    <w:rsid w:val="00E5240E"/>
    <w:rsid w:val="00E579FF"/>
    <w:rsid w:val="00E57E39"/>
    <w:rsid w:val="00E64FB6"/>
    <w:rsid w:val="00E6698B"/>
    <w:rsid w:val="00E70EC4"/>
    <w:rsid w:val="00E7195E"/>
    <w:rsid w:val="00E72F4A"/>
    <w:rsid w:val="00E7467D"/>
    <w:rsid w:val="00E82115"/>
    <w:rsid w:val="00E832FF"/>
    <w:rsid w:val="00E83448"/>
    <w:rsid w:val="00E838D3"/>
    <w:rsid w:val="00E90BF8"/>
    <w:rsid w:val="00E92C8A"/>
    <w:rsid w:val="00E9346D"/>
    <w:rsid w:val="00E95391"/>
    <w:rsid w:val="00EA00D0"/>
    <w:rsid w:val="00EA0292"/>
    <w:rsid w:val="00EA21BF"/>
    <w:rsid w:val="00EA594C"/>
    <w:rsid w:val="00EA7329"/>
    <w:rsid w:val="00EA7A1C"/>
    <w:rsid w:val="00EB3C17"/>
    <w:rsid w:val="00EB5170"/>
    <w:rsid w:val="00EB5351"/>
    <w:rsid w:val="00EB579B"/>
    <w:rsid w:val="00EB5884"/>
    <w:rsid w:val="00EB7DD5"/>
    <w:rsid w:val="00EB7EDA"/>
    <w:rsid w:val="00EC3E78"/>
    <w:rsid w:val="00EC5206"/>
    <w:rsid w:val="00EC5D22"/>
    <w:rsid w:val="00EC641C"/>
    <w:rsid w:val="00EC76DB"/>
    <w:rsid w:val="00ED0175"/>
    <w:rsid w:val="00ED0AC8"/>
    <w:rsid w:val="00ED1A17"/>
    <w:rsid w:val="00ED2AC4"/>
    <w:rsid w:val="00ED4036"/>
    <w:rsid w:val="00ED6CF5"/>
    <w:rsid w:val="00EE041B"/>
    <w:rsid w:val="00EE57AC"/>
    <w:rsid w:val="00EE5E89"/>
    <w:rsid w:val="00EE74C4"/>
    <w:rsid w:val="00EE7D29"/>
    <w:rsid w:val="00EF2D82"/>
    <w:rsid w:val="00EF33DE"/>
    <w:rsid w:val="00EF6486"/>
    <w:rsid w:val="00EF72D4"/>
    <w:rsid w:val="00F00C8B"/>
    <w:rsid w:val="00F02FE5"/>
    <w:rsid w:val="00F101E3"/>
    <w:rsid w:val="00F1175E"/>
    <w:rsid w:val="00F11A23"/>
    <w:rsid w:val="00F11DDE"/>
    <w:rsid w:val="00F120E6"/>
    <w:rsid w:val="00F12ACD"/>
    <w:rsid w:val="00F15411"/>
    <w:rsid w:val="00F16589"/>
    <w:rsid w:val="00F2068C"/>
    <w:rsid w:val="00F234AB"/>
    <w:rsid w:val="00F24478"/>
    <w:rsid w:val="00F31111"/>
    <w:rsid w:val="00F31DE0"/>
    <w:rsid w:val="00F3245D"/>
    <w:rsid w:val="00F32F70"/>
    <w:rsid w:val="00F34E70"/>
    <w:rsid w:val="00F35160"/>
    <w:rsid w:val="00F40432"/>
    <w:rsid w:val="00F41254"/>
    <w:rsid w:val="00F4377A"/>
    <w:rsid w:val="00F44C7B"/>
    <w:rsid w:val="00F44CA4"/>
    <w:rsid w:val="00F458DB"/>
    <w:rsid w:val="00F46237"/>
    <w:rsid w:val="00F47765"/>
    <w:rsid w:val="00F501C6"/>
    <w:rsid w:val="00F544FA"/>
    <w:rsid w:val="00F57BB6"/>
    <w:rsid w:val="00F630DB"/>
    <w:rsid w:val="00F630EF"/>
    <w:rsid w:val="00F6403E"/>
    <w:rsid w:val="00F66BF2"/>
    <w:rsid w:val="00F67B29"/>
    <w:rsid w:val="00F702E3"/>
    <w:rsid w:val="00F711CB"/>
    <w:rsid w:val="00F71346"/>
    <w:rsid w:val="00F715F2"/>
    <w:rsid w:val="00F730C7"/>
    <w:rsid w:val="00F751F3"/>
    <w:rsid w:val="00F7571C"/>
    <w:rsid w:val="00F76C87"/>
    <w:rsid w:val="00F80CF1"/>
    <w:rsid w:val="00F8445E"/>
    <w:rsid w:val="00F8684A"/>
    <w:rsid w:val="00F919B9"/>
    <w:rsid w:val="00F94C3D"/>
    <w:rsid w:val="00F951AB"/>
    <w:rsid w:val="00F95D26"/>
    <w:rsid w:val="00F979C5"/>
    <w:rsid w:val="00FA0CBF"/>
    <w:rsid w:val="00FA0E45"/>
    <w:rsid w:val="00FA13E3"/>
    <w:rsid w:val="00FA20D3"/>
    <w:rsid w:val="00FA2EC0"/>
    <w:rsid w:val="00FA2F81"/>
    <w:rsid w:val="00FA4E87"/>
    <w:rsid w:val="00FA64FD"/>
    <w:rsid w:val="00FB0948"/>
    <w:rsid w:val="00FB2567"/>
    <w:rsid w:val="00FB4200"/>
    <w:rsid w:val="00FB5750"/>
    <w:rsid w:val="00FB6A2E"/>
    <w:rsid w:val="00FB6BA4"/>
    <w:rsid w:val="00FB7DC4"/>
    <w:rsid w:val="00FC055C"/>
    <w:rsid w:val="00FC1574"/>
    <w:rsid w:val="00FC33CA"/>
    <w:rsid w:val="00FC3F22"/>
    <w:rsid w:val="00FC5AF7"/>
    <w:rsid w:val="00FD32B2"/>
    <w:rsid w:val="00FD4437"/>
    <w:rsid w:val="00FD748C"/>
    <w:rsid w:val="00FE26A5"/>
    <w:rsid w:val="00FE347C"/>
    <w:rsid w:val="00FE3A83"/>
    <w:rsid w:val="00FE4A16"/>
    <w:rsid w:val="00FE5B12"/>
    <w:rsid w:val="00FE65CE"/>
    <w:rsid w:val="00FE70CA"/>
    <w:rsid w:val="00FF3905"/>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6CFA81A"/>
  <w14:defaultImageDpi w14:val="0"/>
  <w15:docId w15:val="{9B93A58A-73C2-4588-9DA5-5F0AFAB4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21"/>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13"/>
      </w:numPr>
      <w:tabs>
        <w:tab w:val="num" w:pos="567"/>
        <w:tab w:val="num" w:pos="850"/>
      </w:tabs>
      <w:ind w:left="850" w:hanging="284"/>
    </w:pPr>
  </w:style>
  <w:style w:type="paragraph" w:customStyle="1" w:styleId="DoubleDot">
    <w:name w:val="Double Dot"/>
    <w:basedOn w:val="Normal"/>
    <w:rsid w:val="00D51386"/>
    <w:pPr>
      <w:numPr>
        <w:ilvl w:val="2"/>
        <w:numId w:val="13"/>
      </w:numPr>
      <w:tabs>
        <w:tab w:val="num" w:pos="850"/>
        <w:tab w:val="num" w:pos="1133"/>
      </w:tabs>
      <w:ind w:left="1133" w:hanging="283"/>
    </w:pPr>
  </w:style>
  <w:style w:type="paragraph" w:customStyle="1" w:styleId="OutlineNumbered1">
    <w:name w:val="Outline Numbered 1"/>
    <w:basedOn w:val="Normal"/>
    <w:rsid w:val="00D51386"/>
    <w:pPr>
      <w:numPr>
        <w:numId w:val="10"/>
      </w:numPr>
    </w:pPr>
  </w:style>
  <w:style w:type="paragraph" w:customStyle="1" w:styleId="OutlineNumbered2">
    <w:name w:val="Outline Numbered 2"/>
    <w:basedOn w:val="Normal"/>
    <w:rsid w:val="00D51386"/>
    <w:pPr>
      <w:numPr>
        <w:ilvl w:val="1"/>
        <w:numId w:val="10"/>
      </w:numPr>
    </w:pPr>
  </w:style>
  <w:style w:type="paragraph" w:customStyle="1" w:styleId="OutlineNumbered3">
    <w:name w:val="Outline Numbered 3"/>
    <w:basedOn w:val="Normal"/>
    <w:rsid w:val="00D51386"/>
    <w:pPr>
      <w:numPr>
        <w:ilvl w:val="2"/>
        <w:numId w:val="10"/>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1"/>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13"/>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12"/>
      </w:numPr>
    </w:pPr>
  </w:style>
  <w:style w:type="paragraph" w:customStyle="1" w:styleId="BoxDash">
    <w:name w:val="Box Dash"/>
    <w:basedOn w:val="Normal"/>
    <w:uiPriority w:val="99"/>
    <w:rsid w:val="00D51386"/>
    <w:pPr>
      <w:numPr>
        <w:ilvl w:val="1"/>
        <w:numId w:val="12"/>
      </w:numPr>
    </w:pPr>
  </w:style>
  <w:style w:type="paragraph" w:customStyle="1" w:styleId="BoxDoubleDot">
    <w:name w:val="Box Double Dot"/>
    <w:basedOn w:val="BoxTextBase"/>
    <w:uiPriority w:val="99"/>
    <w:rsid w:val="00D51386"/>
    <w:pPr>
      <w:numPr>
        <w:ilvl w:val="2"/>
        <w:numId w:val="12"/>
      </w:numPr>
    </w:pPr>
  </w:style>
  <w:style w:type="paragraph" w:customStyle="1" w:styleId="RecommendationBullet">
    <w:name w:val="Recommendation Bullet"/>
    <w:basedOn w:val="RecommendationTextBase"/>
    <w:rsid w:val="00D51386"/>
    <w:pPr>
      <w:numPr>
        <w:numId w:val="14"/>
      </w:numPr>
    </w:pPr>
  </w:style>
  <w:style w:type="paragraph" w:customStyle="1" w:styleId="RecommendationDash">
    <w:name w:val="Recommendation Dash"/>
    <w:basedOn w:val="RecommendationTextBase"/>
    <w:rsid w:val="00D51386"/>
    <w:pPr>
      <w:numPr>
        <w:ilvl w:val="1"/>
        <w:numId w:val="14"/>
      </w:numPr>
    </w:pPr>
  </w:style>
  <w:style w:type="paragraph" w:customStyle="1" w:styleId="RecommendationDoubleDot">
    <w:name w:val="Recommendation Double Dot"/>
    <w:basedOn w:val="RecommendationTextBase"/>
    <w:rsid w:val="00D51386"/>
    <w:pPr>
      <w:numPr>
        <w:ilvl w:val="2"/>
        <w:numId w:val="14"/>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9"/>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22"/>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6"/>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22"/>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7"/>
      </w:numPr>
    </w:pPr>
  </w:style>
  <w:style w:type="paragraph" w:customStyle="1" w:styleId="AgreementParties">
    <w:name w:val="AgreementParties"/>
    <w:rsid w:val="00D51386"/>
    <w:pPr>
      <w:numPr>
        <w:numId w:val="20"/>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lang w:val="en-AU" w:eastAsia="en-AU"/>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24"/>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5"/>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6"/>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6"/>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6"/>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6"/>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6"/>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6"/>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6"/>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6"/>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6"/>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9F32BA"/>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796756">
      <w:marLeft w:val="0"/>
      <w:marRight w:val="0"/>
      <w:marTop w:val="0"/>
      <w:marBottom w:val="0"/>
      <w:divBdr>
        <w:top w:val="none" w:sz="0" w:space="0" w:color="auto"/>
        <w:left w:val="none" w:sz="0" w:space="0" w:color="auto"/>
        <w:bottom w:val="none" w:sz="0" w:space="0" w:color="auto"/>
        <w:right w:val="none" w:sz="0" w:space="0" w:color="auto"/>
      </w:divBdr>
    </w:div>
    <w:div w:id="471796757">
      <w:marLeft w:val="0"/>
      <w:marRight w:val="0"/>
      <w:marTop w:val="0"/>
      <w:marBottom w:val="0"/>
      <w:divBdr>
        <w:top w:val="none" w:sz="0" w:space="0" w:color="auto"/>
        <w:left w:val="none" w:sz="0" w:space="0" w:color="auto"/>
        <w:bottom w:val="none" w:sz="0" w:space="0" w:color="auto"/>
        <w:right w:val="none" w:sz="0" w:space="0" w:color="auto"/>
      </w:divBdr>
    </w:div>
    <w:div w:id="471796758">
      <w:marLeft w:val="0"/>
      <w:marRight w:val="0"/>
      <w:marTop w:val="0"/>
      <w:marBottom w:val="0"/>
      <w:divBdr>
        <w:top w:val="none" w:sz="0" w:space="0" w:color="auto"/>
        <w:left w:val="none" w:sz="0" w:space="0" w:color="auto"/>
        <w:bottom w:val="none" w:sz="0" w:space="0" w:color="auto"/>
        <w:right w:val="none" w:sz="0" w:space="0" w:color="auto"/>
      </w:divBdr>
    </w:div>
    <w:div w:id="922032658">
      <w:marLeft w:val="0"/>
      <w:marRight w:val="0"/>
      <w:marTop w:val="0"/>
      <w:marBottom w:val="0"/>
      <w:divBdr>
        <w:top w:val="none" w:sz="0" w:space="0" w:color="auto"/>
        <w:left w:val="none" w:sz="0" w:space="0" w:color="auto"/>
        <w:bottom w:val="none" w:sz="0" w:space="0" w:color="auto"/>
        <w:right w:val="none" w:sz="0" w:space="0" w:color="auto"/>
      </w:divBdr>
    </w:div>
    <w:div w:id="922032659">
      <w:marLeft w:val="0"/>
      <w:marRight w:val="0"/>
      <w:marTop w:val="0"/>
      <w:marBottom w:val="0"/>
      <w:divBdr>
        <w:top w:val="none" w:sz="0" w:space="0" w:color="auto"/>
        <w:left w:val="none" w:sz="0" w:space="0" w:color="auto"/>
        <w:bottom w:val="none" w:sz="0" w:space="0" w:color="auto"/>
        <w:right w:val="none" w:sz="0" w:space="0" w:color="auto"/>
      </w:divBdr>
    </w:div>
    <w:div w:id="9220326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2020FG-64-74105</_dlc_DocId>
    <_dlc_DocIdUrl xmlns="0f563589-9cf9-4143-b1eb-fb0534803d38">
      <Url>http://tweb/sites/fg/csrd/_layouts/15/DocIdRedir.aspx?ID=2020FG-64-74105</Url>
      <Description>2020FG-64-74105</Description>
    </_dlc_DocIdUrl>
  </documentManagement>
</p:properti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620" ma:contentTypeDescription=" " ma:contentTypeScope="" ma:versionID="4ce30089ee656ce48d1619ea4c0481a2">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2.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3.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4.xml><?xml version="1.0" encoding="utf-8"?>
<ds:datastoreItem xmlns:ds="http://schemas.openxmlformats.org/officeDocument/2006/customXml" ds:itemID="{86618154-E706-422F-A646-7FB357CDA841}">
  <ds:schemaRefs>
    <ds:schemaRef ds:uri="http://schemas.microsoft.com/office/2006/metadata/properties"/>
    <ds:schemaRef ds:uri="http://schemas.microsoft.com/office/infopath/2007/PartnerControls"/>
    <ds:schemaRef ds:uri="http://schemas.microsoft.com/sharepoint/v4"/>
    <ds:schemaRef ds:uri="e544e5cc-ab70-42e1-849e-1a0f8bb1f4ef"/>
    <ds:schemaRef ds:uri="0f563589-9cf9-4143-b1eb-fb0534803d38"/>
  </ds:schemaRefs>
</ds:datastoreItem>
</file>

<file path=customXml/itemProps5.xml><?xml version="1.0" encoding="utf-8"?>
<ds:datastoreItem xmlns:ds="http://schemas.openxmlformats.org/officeDocument/2006/customXml" ds:itemID="{369FEF4A-B18A-440D-9394-29A7EA3B35A7}">
  <ds:schemaRefs>
    <ds:schemaRef ds:uri="office.server.policy"/>
  </ds:schemaRefs>
</ds:datastoreItem>
</file>

<file path=customXml/itemProps6.xml><?xml version="1.0" encoding="utf-8"?>
<ds:datastoreItem xmlns:ds="http://schemas.openxmlformats.org/officeDocument/2006/customXml" ds:itemID="{22388BAA-72A9-46A3-91C8-2F04E2D93A6E}"/>
</file>

<file path=customXml/itemProps7.xml><?xml version="1.0" encoding="utf-8"?>
<ds:datastoreItem xmlns:ds="http://schemas.openxmlformats.org/officeDocument/2006/customXml" ds:itemID="{D4F3EFBB-1729-405E-BFDB-2C28A3E9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Template>
  <TotalTime>2077</TotalTime>
  <Pages>6</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Hogan, Cat</cp:lastModifiedBy>
  <cp:revision>320</cp:revision>
  <cp:lastPrinted>2015-08-13T02:13:00Z</cp:lastPrinted>
  <dcterms:created xsi:type="dcterms:W3CDTF">2019-07-22T04:30:00Z</dcterms:created>
  <dcterms:modified xsi:type="dcterms:W3CDTF">2019-11-04T03:28:00Z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Overlay">
    <vt:lpwstr/>
  </property>
  <property fmtid="{D5CDD505-2E9C-101B-9397-08002B2CF9AE}" pid="3" name="lb508a4dc5e84436a0fe496b536466aa">
    <vt:lpwstr>TSY RA-8748 - Retain as national archives|243f2231-dbfc-4282-b24a-c9b768286bd0</vt:lpwstr>
  </property>
  <property fmtid="{D5CDD505-2E9C-101B-9397-08002B2CF9AE}" pid="4" name="TaxCatchAll">
    <vt:lpwstr/>
  </property>
  <property fmtid="{D5CDD505-2E9C-101B-9397-08002B2CF9AE}" pid="5" name="ContentTypeId">
    <vt:lpwstr>0x010100348D01E61E107C4DA4B97E380EA20D47005CDF45B49E80F24CAD80DFC012154DA9</vt:lpwstr>
  </property>
  <property fmtid="{D5CDD505-2E9C-101B-9397-08002B2CF9AE}" pid="6" name="TSYRecordClass">
    <vt:lpwstr>2;#TSY RA-8748 - Retain as national archives|243f2231-dbfc-4282-b24a-c9b768286bd0</vt:lpwstr>
  </property>
  <property fmtid="{D5CDD505-2E9C-101B-9397-08002B2CF9AE}" pid="7" name="_dlc_DocIdItemGuid">
    <vt:lpwstr>42182ee0-9b2e-4c6d-9bb4-10c9bead82e7</vt:lpwstr>
  </property>
  <property fmtid="{D5CDD505-2E9C-101B-9397-08002B2CF9AE}" pid="8" name="RecordPoint_WorkflowType">
    <vt:lpwstr>ActiveSubmitStub</vt:lpwstr>
  </property>
  <property fmtid="{D5CDD505-2E9C-101B-9397-08002B2CF9AE}" pid="9" name="RecordPoint_ActiveItemSiteId">
    <vt:lpwstr>{a3a280d1-e8f1-4ce7-94f0-aaa2322da0dd}</vt:lpwstr>
  </property>
  <property fmtid="{D5CDD505-2E9C-101B-9397-08002B2CF9AE}" pid="10" name="RecordPoint_ActiveItemListId">
    <vt:lpwstr>{4435c73b-6585-4bc2-a76a-5d21b1a02e06}</vt:lpwstr>
  </property>
  <property fmtid="{D5CDD505-2E9C-101B-9397-08002B2CF9AE}" pid="11" name="RecordPoint_ActiveItemUniqueId">
    <vt:lpwstr>{42182ee0-9b2e-4c6d-9bb4-10c9bead82e7}</vt:lpwstr>
  </property>
  <property fmtid="{D5CDD505-2E9C-101B-9397-08002B2CF9AE}" pid="12" name="RecordPoint_ActiveItemWebId">
    <vt:lpwstr>{a4589788-615f-4b8b-8296-7f9f6dfbab44}</vt:lpwstr>
  </property>
  <property fmtid="{D5CDD505-2E9C-101B-9397-08002B2CF9AE}" pid="13" name="RecordPoint_RecordNumberSubmitted">
    <vt:lpwstr>R0002261821</vt:lpwstr>
  </property>
  <property fmtid="{D5CDD505-2E9C-101B-9397-08002B2CF9AE}" pid="14" name="RecordPoint_SubmissionCompleted">
    <vt:lpwstr>2020-05-07T00:25:40.0747962+10:00</vt:lpwstr>
  </property>
  <property fmtid="{D5CDD505-2E9C-101B-9397-08002B2CF9AE}" pid="16" name="_NewReviewCycle">
    <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