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458E14B6" w14:textId="77777777">
        <w:tc>
          <w:tcPr>
            <w:tcW w:w="5000" w:type="pct"/>
            <w:gridSpan w:val="2"/>
          </w:tcPr>
          <w:p w14:paraId="55269E27" w14:textId="77777777" w:rsidR="00814667" w:rsidRDefault="00814667" w:rsidP="0002247A">
            <w:pPr>
              <w:pStyle w:val="CoverTitleMain"/>
            </w:pPr>
            <w:r>
              <w:t>Nat</w:t>
            </w:r>
            <w:r w:rsidR="007A6E20">
              <w:t xml:space="preserve">ional partnership </w:t>
            </w:r>
            <w:r w:rsidR="0002247A">
              <w:t xml:space="preserve">aGREEMENT </w:t>
            </w:r>
            <w:r w:rsidR="00C7093C">
              <w:t>on</w:t>
            </w:r>
            <w:r w:rsidR="0002247A">
              <w:t xml:space="preserve"> </w:t>
            </w:r>
            <w:r w:rsidR="0002247A">
              <w:br/>
              <w:t>LAND TRANSPORT INFRASTRUCTURE PROJECTS</w:t>
            </w:r>
          </w:p>
        </w:tc>
      </w:tr>
      <w:tr w:rsidR="00814667" w14:paraId="053D7ACC" w14:textId="77777777">
        <w:tc>
          <w:tcPr>
            <w:tcW w:w="767" w:type="pct"/>
          </w:tcPr>
          <w:p w14:paraId="76BD5C16" w14:textId="77777777" w:rsidR="00814667" w:rsidRDefault="00814667">
            <w:pPr>
              <w:pStyle w:val="SingleParagraph"/>
              <w:tabs>
                <w:tab w:val="num" w:pos="1134"/>
              </w:tabs>
              <w:spacing w:after="240"/>
              <w:ind w:left="1134" w:hanging="567"/>
            </w:pPr>
          </w:p>
        </w:tc>
        <w:tc>
          <w:tcPr>
            <w:tcW w:w="4233" w:type="pct"/>
          </w:tcPr>
          <w:p w14:paraId="5982AD41" w14:textId="77777777" w:rsidR="00814667" w:rsidRDefault="00814667">
            <w:pPr>
              <w:pStyle w:val="SingleParagraph"/>
              <w:tabs>
                <w:tab w:val="num" w:pos="1134"/>
              </w:tabs>
              <w:spacing w:after="240"/>
              <w:ind w:left="1134" w:hanging="567"/>
            </w:pPr>
          </w:p>
        </w:tc>
      </w:tr>
      <w:tr w:rsidR="00814667" w14:paraId="56FA49D9" w14:textId="77777777">
        <w:tc>
          <w:tcPr>
            <w:tcW w:w="767" w:type="pct"/>
          </w:tcPr>
          <w:p w14:paraId="229C91F8" w14:textId="77777777" w:rsidR="00814667" w:rsidRDefault="00814667">
            <w:pPr>
              <w:pStyle w:val="SingleParagraph"/>
              <w:tabs>
                <w:tab w:val="num" w:pos="1134"/>
              </w:tabs>
              <w:spacing w:after="240"/>
              <w:ind w:left="1134" w:hanging="567"/>
            </w:pPr>
          </w:p>
        </w:tc>
        <w:tc>
          <w:tcPr>
            <w:tcW w:w="4233" w:type="pct"/>
          </w:tcPr>
          <w:p w14:paraId="6B9890DC" w14:textId="77777777" w:rsidR="00814667" w:rsidRPr="001E74D0" w:rsidRDefault="00814667">
            <w:pPr>
              <w:pStyle w:val="SingleParagraph"/>
              <w:tabs>
                <w:tab w:val="num" w:pos="1134"/>
              </w:tabs>
              <w:spacing w:after="240"/>
              <w:ind w:left="1134" w:hanging="567"/>
            </w:pPr>
          </w:p>
        </w:tc>
      </w:tr>
      <w:tr w:rsidR="00814667" w14:paraId="3FD0113A" w14:textId="77777777">
        <w:tc>
          <w:tcPr>
            <w:tcW w:w="5000" w:type="pct"/>
            <w:gridSpan w:val="2"/>
          </w:tcPr>
          <w:p w14:paraId="5AEFE279" w14:textId="77777777" w:rsidR="00814667" w:rsidRDefault="00814667">
            <w:pPr>
              <w:pStyle w:val="AgreementHeading"/>
              <w:tabs>
                <w:tab w:val="clear" w:pos="1134"/>
              </w:tabs>
            </w:pPr>
            <w:r>
              <w:t>An agreement between</w:t>
            </w:r>
          </w:p>
        </w:tc>
      </w:tr>
      <w:tr w:rsidR="00814667" w14:paraId="1D27DCBD" w14:textId="77777777">
        <w:tc>
          <w:tcPr>
            <w:tcW w:w="767" w:type="pct"/>
          </w:tcPr>
          <w:p w14:paraId="2C31ACAC" w14:textId="77777777" w:rsidR="00814667" w:rsidRPr="001E74D0" w:rsidRDefault="00814667">
            <w:pPr>
              <w:pStyle w:val="AgreementHeading"/>
              <w:tabs>
                <w:tab w:val="clear" w:pos="1134"/>
              </w:tabs>
              <w:ind w:left="522"/>
            </w:pPr>
          </w:p>
        </w:tc>
        <w:tc>
          <w:tcPr>
            <w:tcW w:w="4233" w:type="pct"/>
          </w:tcPr>
          <w:p w14:paraId="08BA0AB8" w14:textId="77777777" w:rsidR="00814667" w:rsidRDefault="00814667">
            <w:pPr>
              <w:pStyle w:val="AgreementParties"/>
            </w:pPr>
            <w:r>
              <w:t xml:space="preserve">the </w:t>
            </w:r>
            <w:r>
              <w:rPr>
                <w:rStyle w:val="Bold"/>
              </w:rPr>
              <w:t xml:space="preserve">Commonwealth of </w:t>
            </w:r>
            <w:smartTag w:uri="urn:schemas-microsoft-com:office:smarttags" w:element="place">
              <w:smartTag w:uri="urn:schemas-microsoft-com:office:smarttags" w:element="country-region">
                <w:r>
                  <w:rPr>
                    <w:rStyle w:val="Bold"/>
                  </w:rPr>
                  <w:t>Australia</w:t>
                </w:r>
              </w:smartTag>
            </w:smartTag>
            <w:r>
              <w:t xml:space="preserve"> and</w:t>
            </w:r>
          </w:p>
          <w:p w14:paraId="6439EC37" w14:textId="77777777" w:rsidR="00814667" w:rsidRPr="001E74D0" w:rsidRDefault="00814667">
            <w:pPr>
              <w:pStyle w:val="AgreementParties"/>
            </w:pPr>
            <w:r>
              <w:t xml:space="preserve">the </w:t>
            </w:r>
            <w:r>
              <w:rPr>
                <w:rStyle w:val="Bold"/>
              </w:rPr>
              <w:t>States and Territories</w:t>
            </w:r>
            <w:r>
              <w:t>, being:</w:t>
            </w:r>
          </w:p>
        </w:tc>
      </w:tr>
      <w:tr w:rsidR="00814667" w14:paraId="463043F9" w14:textId="77777777">
        <w:tc>
          <w:tcPr>
            <w:tcW w:w="767" w:type="pct"/>
          </w:tcPr>
          <w:p w14:paraId="1D4C0193" w14:textId="77777777" w:rsidR="00814667" w:rsidRDefault="00814667">
            <w:pPr>
              <w:pStyle w:val="SingleParagraph"/>
              <w:tabs>
                <w:tab w:val="num" w:pos="1134"/>
              </w:tabs>
              <w:spacing w:after="240"/>
              <w:ind w:left="1134" w:hanging="567"/>
            </w:pPr>
          </w:p>
        </w:tc>
        <w:tc>
          <w:tcPr>
            <w:tcW w:w="4233" w:type="pct"/>
            <w:tcBorders>
              <w:left w:val="nil"/>
            </w:tcBorders>
          </w:tcPr>
          <w:p w14:paraId="07E51FC0" w14:textId="77777777" w:rsidR="00814667" w:rsidRDefault="00814667" w:rsidP="00994C10">
            <w:pPr>
              <w:pStyle w:val="StatesList"/>
              <w:numPr>
                <w:ilvl w:val="0"/>
                <w:numId w:val="12"/>
              </w:numPr>
            </w:pPr>
            <w:r>
              <w:t>New South Wales</w:t>
            </w:r>
          </w:p>
          <w:p w14:paraId="7BFFB6D4" w14:textId="77777777" w:rsidR="00814667" w:rsidRDefault="00814667" w:rsidP="00994C10">
            <w:pPr>
              <w:pStyle w:val="StatesList"/>
              <w:numPr>
                <w:ilvl w:val="0"/>
                <w:numId w:val="12"/>
              </w:numPr>
            </w:pPr>
            <w:r>
              <w:t>Victoria</w:t>
            </w:r>
          </w:p>
          <w:p w14:paraId="1C15D80E" w14:textId="77777777" w:rsidR="00814667" w:rsidRDefault="00814667" w:rsidP="00994C10">
            <w:pPr>
              <w:pStyle w:val="StatesList"/>
              <w:numPr>
                <w:ilvl w:val="0"/>
                <w:numId w:val="12"/>
              </w:numPr>
            </w:pPr>
            <w:r>
              <w:t>Queensland</w:t>
            </w:r>
          </w:p>
          <w:p w14:paraId="0D0E6070" w14:textId="77777777" w:rsidR="00814667" w:rsidRDefault="00814667" w:rsidP="00994C10">
            <w:pPr>
              <w:pStyle w:val="StatesList"/>
              <w:numPr>
                <w:ilvl w:val="0"/>
                <w:numId w:val="12"/>
              </w:numPr>
            </w:pPr>
            <w:r>
              <w:t>Western Australia</w:t>
            </w:r>
          </w:p>
          <w:p w14:paraId="7B9669DF" w14:textId="77777777" w:rsidR="00814667" w:rsidRDefault="00814667" w:rsidP="00994C10">
            <w:pPr>
              <w:pStyle w:val="StatesList"/>
              <w:numPr>
                <w:ilvl w:val="0"/>
                <w:numId w:val="12"/>
              </w:numPr>
            </w:pPr>
            <w:r>
              <w:t>South Australia</w:t>
            </w:r>
          </w:p>
          <w:p w14:paraId="54689143" w14:textId="77777777" w:rsidR="00814667" w:rsidRDefault="00814667" w:rsidP="00994C10">
            <w:pPr>
              <w:pStyle w:val="StatesList"/>
              <w:numPr>
                <w:ilvl w:val="0"/>
                <w:numId w:val="12"/>
              </w:numPr>
            </w:pPr>
            <w:r>
              <w:t>Tasmania</w:t>
            </w:r>
          </w:p>
          <w:p w14:paraId="4A999DEB" w14:textId="77777777" w:rsidR="00814667" w:rsidRDefault="006B2D1B" w:rsidP="00994C10">
            <w:pPr>
              <w:pStyle w:val="StatesList"/>
              <w:numPr>
                <w:ilvl w:val="0"/>
                <w:numId w:val="12"/>
              </w:numPr>
            </w:pPr>
            <w:r>
              <w:t>t</w:t>
            </w:r>
            <w:r w:rsidR="00814667">
              <w:t>he Australian Capital Territory</w:t>
            </w:r>
          </w:p>
          <w:p w14:paraId="024C0D67" w14:textId="77777777" w:rsidR="00814667" w:rsidRDefault="006B2D1B" w:rsidP="00994C10">
            <w:pPr>
              <w:pStyle w:val="StatesList"/>
              <w:numPr>
                <w:ilvl w:val="0"/>
                <w:numId w:val="12"/>
              </w:numPr>
            </w:pPr>
            <w:r>
              <w:t>the Northern Territory</w:t>
            </w:r>
          </w:p>
          <w:p w14:paraId="3AAAD168" w14:textId="77777777" w:rsidR="00EB7EDA" w:rsidRPr="00EB7EDA" w:rsidRDefault="00EB7EDA" w:rsidP="00EB7EDA">
            <w:pPr>
              <w:rPr>
                <w:i/>
              </w:rPr>
            </w:pPr>
          </w:p>
        </w:tc>
      </w:tr>
      <w:tr w:rsidR="00814667" w14:paraId="26C40AFC" w14:textId="77777777">
        <w:tc>
          <w:tcPr>
            <w:tcW w:w="5000" w:type="pct"/>
            <w:gridSpan w:val="2"/>
          </w:tcPr>
          <w:p w14:paraId="44AC72FC" w14:textId="77777777" w:rsidR="00814667" w:rsidRDefault="00814667">
            <w:pPr>
              <w:pStyle w:val="SingleParagraph"/>
              <w:tabs>
                <w:tab w:val="num" w:pos="1134"/>
              </w:tabs>
              <w:spacing w:after="240"/>
              <w:ind w:left="1134" w:hanging="567"/>
            </w:pPr>
          </w:p>
        </w:tc>
      </w:tr>
      <w:tr w:rsidR="00814667" w14:paraId="16AEC245" w14:textId="77777777">
        <w:tc>
          <w:tcPr>
            <w:tcW w:w="5000" w:type="pct"/>
            <w:gridSpan w:val="2"/>
          </w:tcPr>
          <w:p w14:paraId="1E434B5C" w14:textId="5120E2C7" w:rsidR="00814667" w:rsidRDefault="00C7093C" w:rsidP="0074494C">
            <w:pPr>
              <w:pStyle w:val="Abstract"/>
            </w:pPr>
            <w:r>
              <w:t xml:space="preserve">This Agreement will </w:t>
            </w:r>
            <w:r w:rsidR="00845BCC">
              <w:t xml:space="preserve">contribute to </w:t>
            </w:r>
            <w:r w:rsidR="0074494C">
              <w:t>a national transport system that is safe, drives economic growth, accommodates Australia’s growing population and supports a competitive infrastructure market that promotes opportunities for local</w:t>
            </w:r>
            <w:bookmarkStart w:id="0" w:name="_GoBack"/>
            <w:bookmarkEnd w:id="0"/>
            <w:r w:rsidR="0074494C">
              <w:t xml:space="preserve"> and Indigenous participation</w:t>
            </w:r>
            <w:r>
              <w:t xml:space="preserve">.  </w:t>
            </w:r>
          </w:p>
        </w:tc>
      </w:tr>
    </w:tbl>
    <w:p w14:paraId="495F8D3C" w14:textId="77777777" w:rsidR="00814667" w:rsidRDefault="007A6E20">
      <w:pPr>
        <w:pStyle w:val="Title"/>
        <w:pageBreakBefore/>
      </w:pPr>
      <w:r>
        <w:lastRenderedPageBreak/>
        <w:t>National Partnership</w:t>
      </w:r>
      <w:r>
        <w:br/>
      </w:r>
      <w:r w:rsidR="00CC2AD2">
        <w:t xml:space="preserve">Agreement </w:t>
      </w:r>
      <w:r w:rsidR="00814667">
        <w:t>on</w:t>
      </w:r>
      <w:r w:rsidR="00C7093C">
        <w:t xml:space="preserve"> </w:t>
      </w:r>
      <w:r w:rsidR="00CC2AD2">
        <w:t>Land Transport Infrastructure Projects</w:t>
      </w:r>
    </w:p>
    <w:p w14:paraId="71BA0B2A" w14:textId="77777777" w:rsidR="003D26BA" w:rsidRPr="003D26BA" w:rsidRDefault="00F1611B" w:rsidP="003D26BA">
      <w:pPr>
        <w:pStyle w:val="Heading1"/>
        <w:pBdr>
          <w:top w:val="single" w:sz="4" w:space="1" w:color="auto"/>
          <w:left w:val="single" w:sz="4" w:space="4" w:color="auto"/>
          <w:bottom w:val="single" w:sz="4" w:space="1" w:color="auto"/>
          <w:right w:val="single" w:sz="4" w:space="4" w:color="auto"/>
        </w:pBdr>
        <w:shd w:val="clear" w:color="auto" w:fill="DBE5F1" w:themeFill="accent1" w:themeFillTint="33"/>
      </w:pPr>
      <w:r>
        <w:t>overview</w:t>
      </w:r>
    </w:p>
    <w:p w14:paraId="094B3855" w14:textId="77777777" w:rsidR="00C960AA" w:rsidRPr="008D193F" w:rsidRDefault="00F571DD" w:rsidP="008D193F">
      <w:pPr>
        <w:pStyle w:val="Normalnumbered"/>
        <w:numPr>
          <w:ilvl w:val="0"/>
          <w:numId w:val="15"/>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rsidRPr="005369A2">
        <w:rPr>
          <w:color w:val="auto"/>
        </w:rPr>
        <w:t xml:space="preserve">This </w:t>
      </w:r>
      <w:r w:rsidR="00837F62">
        <w:rPr>
          <w:color w:val="auto"/>
        </w:rPr>
        <w:t xml:space="preserve">National Partnership </w:t>
      </w:r>
      <w:r w:rsidRPr="005369A2">
        <w:rPr>
          <w:color w:val="auto"/>
        </w:rPr>
        <w:t xml:space="preserve">Agreement </w:t>
      </w:r>
      <w:r w:rsidR="00837F62">
        <w:rPr>
          <w:color w:val="auto"/>
        </w:rPr>
        <w:t xml:space="preserve">(the Agreement) </w:t>
      </w:r>
      <w:r w:rsidRPr="005369A2">
        <w:rPr>
          <w:color w:val="auto"/>
        </w:rPr>
        <w:t>is created subject to the provisions of the Intergovernmental Agreement on Federal Financial Relations (IGA FFR) and should be read in conjunction with that Agreement and its Schedules, which provide information in relation to performance reporting and payment arrangements under the IGA FFR.</w:t>
      </w:r>
    </w:p>
    <w:p w14:paraId="25BCC1EA" w14:textId="77777777" w:rsidR="00FE4A16" w:rsidRDefault="00FE4A16" w:rsidP="00FE4A16">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jc w:val="left"/>
        <w:rPr>
          <w:color w:val="auto"/>
        </w:rPr>
      </w:pPr>
      <w:r w:rsidRPr="00FE4A16">
        <w:rPr>
          <w:rFonts w:cs="Arial"/>
          <w:b/>
          <w:bCs/>
          <w:iCs/>
          <w:color w:val="3D4B67"/>
          <w:sz w:val="29"/>
          <w:szCs w:val="28"/>
        </w:rPr>
        <w:t>Purpose</w:t>
      </w:r>
    </w:p>
    <w:p w14:paraId="5567E7DA" w14:textId="37B95C20" w:rsidR="007A5E6B" w:rsidRDefault="008D193F" w:rsidP="008D193F">
      <w:pPr>
        <w:pStyle w:val="Normalnumbered"/>
        <w:numPr>
          <w:ilvl w:val="0"/>
          <w:numId w:val="15"/>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rsidRPr="005369A2">
        <w:rPr>
          <w:color w:val="auto"/>
        </w:rPr>
        <w:t xml:space="preserve">This Agreement </w:t>
      </w:r>
      <w:r w:rsidR="00C6101B">
        <w:rPr>
          <w:color w:val="auto"/>
        </w:rPr>
        <w:t>governs</w:t>
      </w:r>
      <w:r>
        <w:rPr>
          <w:color w:val="auto"/>
        </w:rPr>
        <w:t xml:space="preserve"> Commonwealth funding provided for</w:t>
      </w:r>
      <w:r w:rsidR="00C6101B">
        <w:rPr>
          <w:color w:val="auto"/>
        </w:rPr>
        <w:t xml:space="preserve"> land transport</w:t>
      </w:r>
      <w:r>
        <w:rPr>
          <w:color w:val="auto"/>
        </w:rPr>
        <w:t xml:space="preserve"> infrastructure Projects</w:t>
      </w:r>
      <w:r w:rsidRPr="005369A2">
        <w:rPr>
          <w:color w:val="auto"/>
        </w:rPr>
        <w:t xml:space="preserve"> </w:t>
      </w:r>
      <w:r>
        <w:rPr>
          <w:color w:val="auto"/>
        </w:rPr>
        <w:t xml:space="preserve">administered </w:t>
      </w:r>
      <w:r w:rsidRPr="005369A2">
        <w:rPr>
          <w:color w:val="auto"/>
        </w:rPr>
        <w:t>under the</w:t>
      </w:r>
      <w:r>
        <w:rPr>
          <w:color w:val="auto"/>
        </w:rPr>
        <w:t xml:space="preserve"> </w:t>
      </w:r>
      <w:r w:rsidRPr="008D193F">
        <w:rPr>
          <w:color w:val="auto"/>
        </w:rPr>
        <w:t xml:space="preserve">National Land Transport Act 2014 </w:t>
      </w:r>
      <w:r w:rsidRPr="00082005">
        <w:rPr>
          <w:color w:val="auto"/>
        </w:rPr>
        <w:t>(NLT Act)</w:t>
      </w:r>
      <w:r>
        <w:rPr>
          <w:color w:val="auto"/>
        </w:rPr>
        <w:t>, primarily through the Commonwealth’s Infrastructure Investment Program.</w:t>
      </w:r>
      <w:r w:rsidRPr="008D193F">
        <w:rPr>
          <w:color w:val="auto"/>
        </w:rPr>
        <w:t xml:space="preserve"> </w:t>
      </w:r>
      <w:r>
        <w:rPr>
          <w:color w:val="auto"/>
        </w:rPr>
        <w:t xml:space="preserve">Accordingly, </w:t>
      </w:r>
      <w:r w:rsidRPr="0090261D">
        <w:rPr>
          <w:color w:val="auto"/>
        </w:rPr>
        <w:t xml:space="preserve">this Agreement </w:t>
      </w:r>
      <w:r>
        <w:rPr>
          <w:color w:val="auto"/>
        </w:rPr>
        <w:t>must</w:t>
      </w:r>
      <w:r w:rsidRPr="0090261D">
        <w:rPr>
          <w:color w:val="auto"/>
        </w:rPr>
        <w:t xml:space="preserve"> be read in conjunction with</w:t>
      </w:r>
      <w:r>
        <w:rPr>
          <w:color w:val="auto"/>
        </w:rPr>
        <w:t xml:space="preserve"> the provisions of the NLT Act. </w:t>
      </w:r>
    </w:p>
    <w:p w14:paraId="0E3678BB" w14:textId="60E8F6F0" w:rsidR="00DD5398" w:rsidRPr="00DD5398" w:rsidRDefault="008D193F" w:rsidP="00DD5398">
      <w:pPr>
        <w:pStyle w:val="Normalnumbered"/>
        <w:numPr>
          <w:ilvl w:val="0"/>
          <w:numId w:val="15"/>
        </w:numPr>
        <w:pBdr>
          <w:top w:val="single" w:sz="4" w:space="1" w:color="auto"/>
          <w:left w:val="single" w:sz="4" w:space="4" w:color="auto"/>
          <w:bottom w:val="single" w:sz="4" w:space="1" w:color="auto"/>
          <w:right w:val="single" w:sz="4" w:space="4" w:color="auto"/>
        </w:pBdr>
        <w:shd w:val="clear" w:color="auto" w:fill="DBE5F1" w:themeFill="accent1" w:themeFillTint="33"/>
        <w:jc w:val="left"/>
        <w:rPr>
          <w:color w:val="auto"/>
        </w:rPr>
      </w:pPr>
      <w:r>
        <w:rPr>
          <w:color w:val="auto"/>
        </w:rPr>
        <w:t xml:space="preserve">The Schedules to this Agreement indicate the levels </w:t>
      </w:r>
      <w:r w:rsidRPr="004159E2">
        <w:rPr>
          <w:color w:val="auto"/>
        </w:rPr>
        <w:t>of funding</w:t>
      </w:r>
      <w:r w:rsidRPr="00D827CE">
        <w:rPr>
          <w:color w:val="auto"/>
        </w:rPr>
        <w:t xml:space="preserve"> the Commonwealth intends to provide to the States for </w:t>
      </w:r>
      <w:r>
        <w:rPr>
          <w:color w:val="auto"/>
        </w:rPr>
        <w:t xml:space="preserve">land transport infrastructure investments </w:t>
      </w:r>
      <w:r w:rsidRPr="00D827CE">
        <w:rPr>
          <w:color w:val="auto"/>
        </w:rPr>
        <w:t xml:space="preserve">and </w:t>
      </w:r>
      <w:r>
        <w:rPr>
          <w:color w:val="auto"/>
        </w:rPr>
        <w:t xml:space="preserve">associated </w:t>
      </w:r>
      <w:r w:rsidRPr="00D827CE">
        <w:rPr>
          <w:color w:val="auto"/>
        </w:rPr>
        <w:t>arrangements.</w:t>
      </w:r>
      <w:r w:rsidRPr="0090261D">
        <w:rPr>
          <w:color w:val="auto"/>
        </w:rPr>
        <w:t xml:space="preserve"> However, </w:t>
      </w:r>
      <w:r>
        <w:rPr>
          <w:color w:val="auto"/>
        </w:rPr>
        <w:t>it</w:t>
      </w:r>
      <w:r w:rsidRPr="0090261D">
        <w:rPr>
          <w:color w:val="auto"/>
        </w:rPr>
        <w:t xml:space="preserve"> is not a funding agreement for the purposes of </w:t>
      </w:r>
      <w:r w:rsidRPr="00D827CE">
        <w:rPr>
          <w:color w:val="auto"/>
        </w:rPr>
        <w:t xml:space="preserve">section </w:t>
      </w:r>
      <w:r>
        <w:rPr>
          <w:color w:val="auto"/>
        </w:rPr>
        <w:t>4 of the NLT Act.</w:t>
      </w:r>
      <w:r w:rsidRPr="008D193F">
        <w:rPr>
          <w:vertAlign w:val="superscript"/>
        </w:rPr>
        <w:footnoteReference w:id="1"/>
      </w:r>
    </w:p>
    <w:p w14:paraId="5AC24BF0" w14:textId="77777777" w:rsidR="00FE4A16" w:rsidRDefault="00FE4A16" w:rsidP="00643C16">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jc w:val="left"/>
        <w:rPr>
          <w:rFonts w:cs="Arial"/>
          <w:b/>
          <w:bCs/>
          <w:iCs/>
          <w:color w:val="3D4B67"/>
          <w:sz w:val="29"/>
          <w:szCs w:val="28"/>
        </w:rPr>
      </w:pPr>
      <w:r w:rsidRPr="00FE4A16">
        <w:rPr>
          <w:rFonts w:cs="Arial"/>
          <w:b/>
          <w:bCs/>
          <w:iCs/>
          <w:color w:val="3D4B67"/>
          <w:sz w:val="29"/>
          <w:szCs w:val="28"/>
        </w:rPr>
        <w:t>Reporting Arrangements</w:t>
      </w:r>
    </w:p>
    <w:p w14:paraId="6AE82441" w14:textId="021529E6" w:rsidR="006B75D1" w:rsidRPr="00F3573A" w:rsidRDefault="00886764" w:rsidP="00F3573A">
      <w:pPr>
        <w:pStyle w:val="Normalnumbered"/>
        <w:numPr>
          <w:ilvl w:val="0"/>
          <w:numId w:val="15"/>
        </w:numPr>
        <w:pBdr>
          <w:top w:val="single" w:sz="4" w:space="1" w:color="auto"/>
          <w:left w:val="single" w:sz="4" w:space="4" w:color="auto"/>
          <w:bottom w:val="single" w:sz="4" w:space="1" w:color="auto"/>
          <w:right w:val="single" w:sz="4" w:space="4" w:color="auto"/>
        </w:pBdr>
        <w:shd w:val="clear" w:color="auto" w:fill="DBE5F1" w:themeFill="accent1" w:themeFillTint="33"/>
        <w:jc w:val="left"/>
        <w:rPr>
          <w:rFonts w:cs="Arial"/>
          <w:b/>
          <w:bCs/>
          <w:iCs/>
          <w:color w:val="3D4B67"/>
          <w:sz w:val="29"/>
          <w:szCs w:val="28"/>
        </w:rPr>
      </w:pPr>
      <w:r>
        <w:t>T</w:t>
      </w:r>
      <w:r w:rsidR="007A5E2D" w:rsidRPr="00F3573A">
        <w:rPr>
          <w:color w:val="auto"/>
        </w:rPr>
        <w:t>he objectives and outcomes of this Agreement will be achieved through the delivery of the agreed Projects in the Schedules to this Agreement, noting that the benefits of land transport infrastructure investments may not be apparent or measurable within the life of this Agreement.</w:t>
      </w:r>
      <w:r w:rsidR="00F3573A" w:rsidRPr="00F3573A">
        <w:rPr>
          <w:color w:val="auto"/>
        </w:rPr>
        <w:t xml:space="preserve"> </w:t>
      </w:r>
      <w:r w:rsidRPr="00F3573A">
        <w:rPr>
          <w:color w:val="auto"/>
        </w:rPr>
        <w:t xml:space="preserve">The </w:t>
      </w:r>
      <w:r w:rsidR="006B75D1" w:rsidRPr="00F3573A">
        <w:rPr>
          <w:color w:val="auto"/>
        </w:rPr>
        <w:t>States’ will provide</w:t>
      </w:r>
      <w:r w:rsidRPr="00F3573A">
        <w:rPr>
          <w:color w:val="auto"/>
        </w:rPr>
        <w:t xml:space="preserve"> to the Commonwealth </w:t>
      </w:r>
      <w:r w:rsidR="00044191">
        <w:rPr>
          <w:color w:val="auto"/>
        </w:rPr>
        <w:t>reporting</w:t>
      </w:r>
      <w:r w:rsidRPr="00F3573A">
        <w:rPr>
          <w:color w:val="auto"/>
        </w:rPr>
        <w:t xml:space="preserve"> as </w:t>
      </w:r>
      <w:r w:rsidR="00044191">
        <w:rPr>
          <w:color w:val="auto"/>
        </w:rPr>
        <w:t xml:space="preserve">set </w:t>
      </w:r>
      <w:r w:rsidRPr="00F3573A">
        <w:rPr>
          <w:color w:val="auto"/>
        </w:rPr>
        <w:t xml:space="preserve">out in Part 4 – Performance Monitoring and Reporting. </w:t>
      </w:r>
      <w:r w:rsidR="006B75D1" w:rsidRPr="00F3573A">
        <w:rPr>
          <w:color w:val="auto"/>
        </w:rPr>
        <w:t xml:space="preserve"> </w:t>
      </w:r>
    </w:p>
    <w:p w14:paraId="005AFBDA" w14:textId="00F50B64" w:rsidR="008D7E02" w:rsidRPr="00D2790C" w:rsidRDefault="00FE4A16" w:rsidP="00D2790C">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s>
        <w:jc w:val="left"/>
        <w:rPr>
          <w:rFonts w:cs="Arial"/>
          <w:b/>
          <w:bCs/>
          <w:iCs/>
          <w:color w:val="3D4B67"/>
          <w:sz w:val="29"/>
          <w:szCs w:val="28"/>
        </w:rPr>
      </w:pPr>
      <w:r>
        <w:rPr>
          <w:rFonts w:cs="Arial"/>
          <w:b/>
          <w:bCs/>
          <w:iCs/>
          <w:color w:val="3D4B67"/>
          <w:sz w:val="29"/>
          <w:szCs w:val="28"/>
        </w:rPr>
        <w:t xml:space="preserve">Financial </w:t>
      </w:r>
      <w:r w:rsidR="003D26BA">
        <w:rPr>
          <w:rFonts w:cs="Arial"/>
          <w:b/>
          <w:bCs/>
          <w:iCs/>
          <w:color w:val="3D4B67"/>
          <w:sz w:val="29"/>
          <w:szCs w:val="28"/>
        </w:rPr>
        <w:t>Arrangements</w:t>
      </w:r>
      <w:r>
        <w:rPr>
          <w:rFonts w:cs="Arial"/>
          <w:b/>
          <w:bCs/>
          <w:iCs/>
          <w:color w:val="3D4B67"/>
          <w:sz w:val="29"/>
          <w:szCs w:val="28"/>
        </w:rPr>
        <w:t xml:space="preserve"> </w:t>
      </w:r>
    </w:p>
    <w:p w14:paraId="3D7C9A7C" w14:textId="7BBFDF88" w:rsidR="00717D6D" w:rsidRPr="00D2790C" w:rsidRDefault="008D7E02" w:rsidP="00717D6D">
      <w:pPr>
        <w:pStyle w:val="Normalnumbered"/>
        <w:numPr>
          <w:ilvl w:val="0"/>
          <w:numId w:val="15"/>
        </w:numPr>
        <w:pBdr>
          <w:top w:val="single" w:sz="4" w:space="1" w:color="auto"/>
          <w:left w:val="single" w:sz="4" w:space="4" w:color="auto"/>
          <w:bottom w:val="single" w:sz="4" w:space="1" w:color="auto"/>
          <w:right w:val="single" w:sz="4" w:space="4" w:color="auto"/>
        </w:pBdr>
        <w:shd w:val="clear" w:color="auto" w:fill="DBE5F1" w:themeFill="accent1" w:themeFillTint="33"/>
        <w:jc w:val="left"/>
        <w:rPr>
          <w:rFonts w:cs="Arial"/>
          <w:b/>
          <w:bCs/>
          <w:iCs/>
          <w:color w:val="3D4B67"/>
          <w:sz w:val="29"/>
          <w:szCs w:val="28"/>
        </w:rPr>
      </w:pPr>
      <w:r>
        <w:t>The Commonwealth and State</w:t>
      </w:r>
      <w:r w:rsidR="00761F27">
        <w:t>s’</w:t>
      </w:r>
      <w:r>
        <w:t xml:space="preserve"> </w:t>
      </w:r>
      <w:r w:rsidR="00761F27">
        <w:t>estimated</w:t>
      </w:r>
      <w:r>
        <w:t xml:space="preserve"> </w:t>
      </w:r>
      <w:r w:rsidR="00613017">
        <w:t xml:space="preserve">financial </w:t>
      </w:r>
      <w:r>
        <w:t xml:space="preserve">contributions </w:t>
      </w:r>
      <w:r w:rsidR="00613017">
        <w:t xml:space="preserve">to Projects </w:t>
      </w:r>
      <w:r>
        <w:t>are listed in the Schedules to the Agreement</w:t>
      </w:r>
      <w:r w:rsidR="005D6EDE">
        <w:t>,</w:t>
      </w:r>
      <w:r w:rsidR="006577ED">
        <w:t xml:space="preserve"> which reflects the P90 Outturn cost</w:t>
      </w:r>
      <w:r>
        <w:t>.</w:t>
      </w:r>
      <w:r w:rsidR="004C1C3B">
        <w:t xml:space="preserve"> </w:t>
      </w:r>
      <w:r w:rsidR="00717D6D">
        <w:t>The Commonwealth, unless otherwise agreed with the relevant State, will approve and release funding for each Project phase (as defined in the accompanying Notes of Administration) based on the Commonwealth’s agreed current phase proportion of the overall Project P50 Outturn cost.</w:t>
      </w:r>
    </w:p>
    <w:p w14:paraId="49948E9C" w14:textId="79429FC6" w:rsidR="003D26BA" w:rsidRPr="006B75D1" w:rsidRDefault="00923D6F" w:rsidP="00D2790C">
      <w:pPr>
        <w:pStyle w:val="Normalnumbered"/>
        <w:numPr>
          <w:ilvl w:val="0"/>
          <w:numId w:val="15"/>
        </w:numPr>
        <w:pBdr>
          <w:top w:val="single" w:sz="4" w:space="1" w:color="auto"/>
          <w:left w:val="single" w:sz="4" w:space="4" w:color="auto"/>
          <w:bottom w:val="single" w:sz="4" w:space="1" w:color="auto"/>
          <w:right w:val="single" w:sz="4" w:space="4" w:color="auto"/>
        </w:pBdr>
        <w:shd w:val="clear" w:color="auto" w:fill="DBE5F1" w:themeFill="accent1" w:themeFillTint="33"/>
        <w:jc w:val="left"/>
        <w:rPr>
          <w:rFonts w:cs="Arial"/>
          <w:b/>
          <w:bCs/>
          <w:iCs/>
          <w:color w:val="3D4B67"/>
          <w:sz w:val="29"/>
          <w:szCs w:val="28"/>
        </w:rPr>
      </w:pPr>
      <w:r>
        <w:t xml:space="preserve">Governance arrangements </w:t>
      </w:r>
      <w:r w:rsidR="00827112">
        <w:t xml:space="preserve">for handling matters </w:t>
      </w:r>
      <w:r>
        <w:t xml:space="preserve">including </w:t>
      </w:r>
      <w:r w:rsidR="009061D7">
        <w:t>P</w:t>
      </w:r>
      <w:r>
        <w:t>roject cost savings, interest on payments in</w:t>
      </w:r>
      <w:r w:rsidR="00A27A26">
        <w:t xml:space="preserve"> advance, </w:t>
      </w:r>
      <w:r w:rsidR="009061D7">
        <w:t>P</w:t>
      </w:r>
      <w:r>
        <w:t xml:space="preserve">roject cost increases </w:t>
      </w:r>
      <w:r w:rsidR="00A27A26">
        <w:t xml:space="preserve">and </w:t>
      </w:r>
      <w:r w:rsidR="009061D7">
        <w:t>P</w:t>
      </w:r>
      <w:r w:rsidR="00A27A26">
        <w:t xml:space="preserve">roject cancellation </w:t>
      </w:r>
      <w:r>
        <w:t>are</w:t>
      </w:r>
      <w:r w:rsidR="004C1C3B">
        <w:t xml:space="preserve"> set out in Part 5 – Financial Arrangements.</w:t>
      </w:r>
    </w:p>
    <w:p w14:paraId="632FD9CD" w14:textId="77777777" w:rsidR="00814667" w:rsidRDefault="00814667">
      <w:pPr>
        <w:pStyle w:val="Heading1"/>
      </w:pPr>
      <w:r>
        <w:lastRenderedPageBreak/>
        <w:t>Part 1 — Formalities</w:t>
      </w:r>
    </w:p>
    <w:p w14:paraId="3DC3733A" w14:textId="77777777" w:rsidR="00814667" w:rsidRDefault="00814667">
      <w:pPr>
        <w:pStyle w:val="Heading2"/>
      </w:pPr>
      <w:r>
        <w:t>Parties to this Agreement</w:t>
      </w:r>
    </w:p>
    <w:p w14:paraId="0E28452D" w14:textId="531B7B64" w:rsidR="007B4B03" w:rsidRPr="00B22BDF" w:rsidRDefault="00E7195E" w:rsidP="00E7195E">
      <w:pPr>
        <w:pStyle w:val="Normalnumbered"/>
        <w:numPr>
          <w:ilvl w:val="0"/>
          <w:numId w:val="15"/>
        </w:numPr>
        <w:jc w:val="left"/>
      </w:pPr>
      <w:r w:rsidRPr="00B22BDF">
        <w:t xml:space="preserve">This </w:t>
      </w:r>
      <w:r w:rsidR="00D544FF">
        <w:t xml:space="preserve">National Partnership </w:t>
      </w:r>
      <w:r w:rsidRPr="00B22BDF">
        <w:t xml:space="preserve">Agreement </w:t>
      </w:r>
      <w:r w:rsidR="00D544FF">
        <w:t xml:space="preserve">(this Agreement) </w:t>
      </w:r>
      <w:r w:rsidRPr="00B22BDF">
        <w:t>is between the Commonwealth of Australia (the Commonwealth) and the States and Territories (the States</w:t>
      </w:r>
      <w:r w:rsidR="00B22BDF" w:rsidRPr="00B22BDF">
        <w:t>)</w:t>
      </w:r>
      <w:r w:rsidR="0019112D">
        <w:t>, collectively the Parties to the Agreement</w:t>
      </w:r>
      <w:r w:rsidR="00BE2003">
        <w:t>.</w:t>
      </w:r>
    </w:p>
    <w:p w14:paraId="39F27F4D" w14:textId="77777777" w:rsidR="00814667" w:rsidRDefault="00814667">
      <w:pPr>
        <w:pStyle w:val="Heading2"/>
      </w:pPr>
      <w:r>
        <w:t>Term of the Agreement</w:t>
      </w:r>
    </w:p>
    <w:p w14:paraId="270A9068" w14:textId="0BF86013" w:rsidR="00FE4A16" w:rsidRPr="00B22BDF" w:rsidRDefault="001D6C45" w:rsidP="00FE4A16">
      <w:pPr>
        <w:pStyle w:val="Normalnumbered"/>
        <w:numPr>
          <w:ilvl w:val="0"/>
          <w:numId w:val="15"/>
        </w:numPr>
      </w:pPr>
      <w:r w:rsidRPr="00B22BDF">
        <w:t xml:space="preserve">This Agreement will commence </w:t>
      </w:r>
      <w:r w:rsidR="00D2790C">
        <w:t xml:space="preserve">on 1 July 2019 or </w:t>
      </w:r>
      <w:r w:rsidRPr="00B22BDF">
        <w:t xml:space="preserve">as soon as the Commonwealth and one other Party sign </w:t>
      </w:r>
      <w:r w:rsidR="00490352" w:rsidRPr="00B22BDF">
        <w:t>it</w:t>
      </w:r>
      <w:r w:rsidR="00FE4510">
        <w:t>, whichever is the later,</w:t>
      </w:r>
      <w:r w:rsidR="00490352" w:rsidRPr="00B22BDF">
        <w:t xml:space="preserve"> </w:t>
      </w:r>
      <w:r w:rsidRPr="00B22BDF">
        <w:t xml:space="preserve">and will expire on </w:t>
      </w:r>
      <w:r w:rsidR="00E05138" w:rsidRPr="00B22BDF">
        <w:t>30 June 2024</w:t>
      </w:r>
      <w:r w:rsidRPr="00B22BDF">
        <w:t>, or on final performance reporting and processing of final payments against milestones</w:t>
      </w:r>
      <w:r w:rsidR="00CD3C40">
        <w:t xml:space="preserve"> that fall due on or before 30 June 20</w:t>
      </w:r>
      <w:r w:rsidR="0068429A">
        <w:t>24</w:t>
      </w:r>
      <w:r w:rsidRPr="00B22BDF">
        <w:t>.  The Agreement may be terminated earlier or extended as agreed in writing by the Parties.</w:t>
      </w:r>
      <w:r w:rsidR="00FE4A16" w:rsidRPr="00B22BDF">
        <w:t xml:space="preserve"> </w:t>
      </w:r>
    </w:p>
    <w:p w14:paraId="5B529AAE" w14:textId="77777777" w:rsidR="001E3EA4" w:rsidRDefault="001E3EA4" w:rsidP="001E3EA4">
      <w:pPr>
        <w:pStyle w:val="Heading2"/>
      </w:pPr>
      <w:r>
        <w:t>Preliminaries</w:t>
      </w:r>
    </w:p>
    <w:p w14:paraId="0B04E832" w14:textId="77777777" w:rsidR="00643C16" w:rsidRPr="005369A2" w:rsidRDefault="00643C16" w:rsidP="00CC4B50">
      <w:pPr>
        <w:pStyle w:val="Normalnumbered"/>
        <w:numPr>
          <w:ilvl w:val="0"/>
          <w:numId w:val="15"/>
        </w:numPr>
        <w:tabs>
          <w:tab w:val="num" w:pos="426"/>
        </w:tabs>
        <w:rPr>
          <w:color w:val="auto"/>
        </w:rPr>
      </w:pPr>
      <w:r w:rsidRPr="005369A2">
        <w:rPr>
          <w:color w:val="auto"/>
        </w:rPr>
        <w:t>In entering this Agreement, the Commonwealth and the States recognise that they have a mutual interest in improving outcomes in</w:t>
      </w:r>
      <w:r>
        <w:rPr>
          <w:color w:val="auto"/>
        </w:rPr>
        <w:t xml:space="preserve"> </w:t>
      </w:r>
      <w:r w:rsidRPr="005369A2">
        <w:rPr>
          <w:color w:val="auto"/>
        </w:rPr>
        <w:t>land transport infrastructure</w:t>
      </w:r>
      <w:r>
        <w:rPr>
          <w:color w:val="auto"/>
        </w:rPr>
        <w:t xml:space="preserve"> </w:t>
      </w:r>
      <w:r w:rsidRPr="005369A2">
        <w:rPr>
          <w:color w:val="auto"/>
        </w:rPr>
        <w:t xml:space="preserve">and need to work together to achieve those outcomes.  </w:t>
      </w:r>
    </w:p>
    <w:p w14:paraId="4E95BDBE" w14:textId="77777777" w:rsidR="004407ED" w:rsidRPr="0090261D" w:rsidRDefault="004407ED" w:rsidP="00CC4B50">
      <w:pPr>
        <w:pStyle w:val="Normalnumbered"/>
        <w:numPr>
          <w:ilvl w:val="0"/>
          <w:numId w:val="15"/>
        </w:numPr>
        <w:tabs>
          <w:tab w:val="num" w:pos="426"/>
        </w:tabs>
        <w:rPr>
          <w:color w:val="auto"/>
        </w:rPr>
      </w:pPr>
      <w:r w:rsidRPr="0090261D">
        <w:rPr>
          <w:color w:val="auto"/>
        </w:rPr>
        <w:t xml:space="preserve">This Agreement must </w:t>
      </w:r>
      <w:r>
        <w:rPr>
          <w:color w:val="auto"/>
        </w:rPr>
        <w:t xml:space="preserve">also </w:t>
      </w:r>
      <w:r w:rsidRPr="0090261D">
        <w:rPr>
          <w:color w:val="auto"/>
        </w:rPr>
        <w:t xml:space="preserve">be read in conjunction with the relevant Notes on Administration (as updated from time to time), which outline the administrative requirements associated with this Agreement to assist with the implementation of each </w:t>
      </w:r>
      <w:r>
        <w:rPr>
          <w:color w:val="auto"/>
        </w:rPr>
        <w:t>P</w:t>
      </w:r>
      <w:r w:rsidRPr="0090261D">
        <w:rPr>
          <w:color w:val="auto"/>
        </w:rPr>
        <w:t xml:space="preserve">roject </w:t>
      </w:r>
      <w:r>
        <w:rPr>
          <w:color w:val="auto"/>
        </w:rPr>
        <w:t xml:space="preserve">as set out </w:t>
      </w:r>
      <w:r w:rsidRPr="0090261D">
        <w:rPr>
          <w:color w:val="auto"/>
        </w:rPr>
        <w:t>in the Schedule</w:t>
      </w:r>
      <w:r>
        <w:rPr>
          <w:color w:val="auto"/>
        </w:rPr>
        <w:t>s to this Agreement</w:t>
      </w:r>
      <w:r w:rsidRPr="0090261D">
        <w:rPr>
          <w:color w:val="auto"/>
        </w:rPr>
        <w:t xml:space="preserve">.  </w:t>
      </w:r>
    </w:p>
    <w:p w14:paraId="619CF797" w14:textId="77777777" w:rsidR="004407ED" w:rsidRDefault="004407ED" w:rsidP="00CC4B50">
      <w:pPr>
        <w:pStyle w:val="Normalnumbered"/>
        <w:numPr>
          <w:ilvl w:val="0"/>
          <w:numId w:val="15"/>
        </w:numPr>
        <w:tabs>
          <w:tab w:val="num" w:pos="426"/>
        </w:tabs>
        <w:rPr>
          <w:color w:val="auto"/>
        </w:rPr>
      </w:pPr>
      <w:r w:rsidRPr="00D827CE">
        <w:rPr>
          <w:color w:val="auto"/>
        </w:rPr>
        <w:t xml:space="preserve">Where this Agreement or </w:t>
      </w:r>
      <w:r w:rsidRPr="0090261D">
        <w:rPr>
          <w:color w:val="auto"/>
        </w:rPr>
        <w:t>the Notes on Administration</w:t>
      </w:r>
      <w:r w:rsidRPr="00D827CE">
        <w:rPr>
          <w:color w:val="auto"/>
        </w:rPr>
        <w:t xml:space="preserve"> are inconsistent with the terms of the</w:t>
      </w:r>
      <w:r>
        <w:rPr>
          <w:color w:val="auto"/>
        </w:rPr>
        <w:t xml:space="preserve"> NLT Act</w:t>
      </w:r>
      <w:r w:rsidRPr="00565A65">
        <w:rPr>
          <w:color w:val="auto"/>
        </w:rPr>
        <w:t xml:space="preserve">, the terms of the </w:t>
      </w:r>
      <w:r>
        <w:rPr>
          <w:color w:val="auto"/>
        </w:rPr>
        <w:t xml:space="preserve">NLT Act </w:t>
      </w:r>
      <w:r w:rsidRPr="00565A65">
        <w:rPr>
          <w:color w:val="auto"/>
        </w:rPr>
        <w:t>will prevail.</w:t>
      </w:r>
    </w:p>
    <w:p w14:paraId="5DD34654" w14:textId="77777777" w:rsidR="004407ED" w:rsidRDefault="004407ED" w:rsidP="00CC4B50">
      <w:pPr>
        <w:pStyle w:val="Normalnumbered"/>
        <w:numPr>
          <w:ilvl w:val="0"/>
          <w:numId w:val="15"/>
        </w:numPr>
        <w:tabs>
          <w:tab w:val="num" w:pos="426"/>
        </w:tabs>
        <w:rPr>
          <w:color w:val="auto"/>
        </w:rPr>
      </w:pPr>
      <w:r w:rsidRPr="0090261D">
        <w:rPr>
          <w:color w:val="auto"/>
        </w:rPr>
        <w:t xml:space="preserve">If any inconsistencies arise between the terms and conditions contained in this Agreement and any part of the Notes on Administration, the terms and conditions contained in this Agreement will prevail. </w:t>
      </w:r>
    </w:p>
    <w:p w14:paraId="0D3DE2A1" w14:textId="528A772B" w:rsidR="004F1876" w:rsidRPr="004F1876" w:rsidRDefault="004F1876" w:rsidP="004F1876">
      <w:pPr>
        <w:pStyle w:val="Normalnumbered"/>
        <w:numPr>
          <w:ilvl w:val="0"/>
          <w:numId w:val="15"/>
        </w:numPr>
        <w:tabs>
          <w:tab w:val="num" w:pos="426"/>
        </w:tabs>
        <w:rPr>
          <w:color w:val="auto"/>
        </w:rPr>
      </w:pPr>
      <w:r>
        <w:rPr>
          <w:color w:val="auto"/>
        </w:rPr>
        <w:t xml:space="preserve">Commonwealth funding provided under this </w:t>
      </w:r>
      <w:r w:rsidR="0019112D">
        <w:rPr>
          <w:color w:val="auto"/>
        </w:rPr>
        <w:t>A</w:t>
      </w:r>
      <w:r>
        <w:rPr>
          <w:color w:val="auto"/>
        </w:rPr>
        <w:t>greement does not include equity or loans.</w:t>
      </w:r>
    </w:p>
    <w:p w14:paraId="1A2BF35D" w14:textId="46B6E30F" w:rsidR="004407ED" w:rsidRPr="000200BA" w:rsidRDefault="00AE1662" w:rsidP="004407ED">
      <w:pPr>
        <w:rPr>
          <w:i/>
          <w:sz w:val="24"/>
          <w:szCs w:val="24"/>
          <w:lang w:val="en-US"/>
        </w:rPr>
      </w:pPr>
      <w:r>
        <w:rPr>
          <w:i/>
          <w:sz w:val="24"/>
          <w:szCs w:val="24"/>
          <w:lang w:val="en-US"/>
        </w:rPr>
        <w:t>Land transport infrastructure in Australia</w:t>
      </w:r>
    </w:p>
    <w:p w14:paraId="2323E518" w14:textId="71318E7D" w:rsidR="004407ED" w:rsidRPr="00920FC5" w:rsidRDefault="00795B5B" w:rsidP="00CC4B50">
      <w:pPr>
        <w:pStyle w:val="Normalnumbered"/>
        <w:numPr>
          <w:ilvl w:val="0"/>
          <w:numId w:val="15"/>
        </w:numPr>
        <w:tabs>
          <w:tab w:val="num" w:pos="426"/>
        </w:tabs>
        <w:rPr>
          <w:szCs w:val="23"/>
          <w:lang w:val="en-US"/>
        </w:rPr>
      </w:pPr>
      <w:r>
        <w:rPr>
          <w:szCs w:val="23"/>
          <w:lang w:val="en-US"/>
        </w:rPr>
        <w:t>W</w:t>
      </w:r>
      <w:r w:rsidR="004407ED" w:rsidRPr="00920FC5">
        <w:rPr>
          <w:szCs w:val="23"/>
          <w:lang w:val="en-US"/>
        </w:rPr>
        <w:t>ell-designed land transport infrastructure</w:t>
      </w:r>
      <w:r>
        <w:rPr>
          <w:szCs w:val="23"/>
          <w:lang w:val="en-US"/>
        </w:rPr>
        <w:t>, including improved transport safety,</w:t>
      </w:r>
      <w:r w:rsidR="004407ED" w:rsidRPr="00920FC5">
        <w:rPr>
          <w:szCs w:val="23"/>
          <w:lang w:val="en-US"/>
        </w:rPr>
        <w:t xml:space="preserve"> is essential for Australia’s productivity and economic development</w:t>
      </w:r>
      <w:r w:rsidR="004407ED">
        <w:rPr>
          <w:szCs w:val="23"/>
          <w:lang w:val="en-US"/>
        </w:rPr>
        <w:t xml:space="preserve"> to support prosperous and liveable communities</w:t>
      </w:r>
      <w:r w:rsidR="004407ED" w:rsidRPr="00920FC5">
        <w:rPr>
          <w:szCs w:val="23"/>
          <w:lang w:val="en-US"/>
        </w:rPr>
        <w:t xml:space="preserve">. </w:t>
      </w:r>
    </w:p>
    <w:p w14:paraId="331886F0" w14:textId="77777777" w:rsidR="004407ED" w:rsidRPr="00920FC5" w:rsidRDefault="004407ED" w:rsidP="00CC4B50">
      <w:pPr>
        <w:pStyle w:val="Normalnumbered"/>
        <w:numPr>
          <w:ilvl w:val="0"/>
          <w:numId w:val="15"/>
        </w:numPr>
        <w:tabs>
          <w:tab w:val="num" w:pos="426"/>
        </w:tabs>
        <w:rPr>
          <w:szCs w:val="23"/>
          <w:lang w:val="en-US"/>
        </w:rPr>
      </w:pPr>
      <w:r>
        <w:rPr>
          <w:szCs w:val="23"/>
          <w:lang w:val="en-US"/>
        </w:rPr>
        <w:t>T</w:t>
      </w:r>
      <w:r w:rsidRPr="00920FC5">
        <w:rPr>
          <w:szCs w:val="23"/>
          <w:lang w:val="en-US"/>
        </w:rPr>
        <w:t>he Commonwealth</w:t>
      </w:r>
      <w:r>
        <w:rPr>
          <w:szCs w:val="23"/>
          <w:lang w:val="en-US"/>
        </w:rPr>
        <w:t xml:space="preserve"> and</w:t>
      </w:r>
      <w:r w:rsidRPr="00920FC5">
        <w:rPr>
          <w:szCs w:val="23"/>
          <w:lang w:val="en-US"/>
        </w:rPr>
        <w:t xml:space="preserve"> </w:t>
      </w:r>
      <w:r>
        <w:rPr>
          <w:szCs w:val="23"/>
          <w:lang w:val="en-US"/>
        </w:rPr>
        <w:t>State</w:t>
      </w:r>
      <w:r w:rsidRPr="00920FC5">
        <w:rPr>
          <w:szCs w:val="23"/>
          <w:lang w:val="en-US"/>
        </w:rPr>
        <w:t xml:space="preserve"> governments provide substantial investment in developing, improving and maintaining Australia’s extensive land transport </w:t>
      </w:r>
      <w:r w:rsidR="00B30FAE">
        <w:rPr>
          <w:szCs w:val="23"/>
          <w:lang w:val="en-US"/>
        </w:rPr>
        <w:t>network.</w:t>
      </w:r>
    </w:p>
    <w:p w14:paraId="4EFD6806" w14:textId="153452AA" w:rsidR="004407ED" w:rsidRDefault="004407ED" w:rsidP="00CC4B50">
      <w:pPr>
        <w:pStyle w:val="Normalnumbered"/>
        <w:numPr>
          <w:ilvl w:val="0"/>
          <w:numId w:val="15"/>
        </w:numPr>
        <w:tabs>
          <w:tab w:val="num" w:pos="426"/>
        </w:tabs>
        <w:rPr>
          <w:szCs w:val="23"/>
          <w:lang w:val="en-US"/>
        </w:rPr>
      </w:pPr>
      <w:r w:rsidRPr="00920FC5">
        <w:rPr>
          <w:szCs w:val="23"/>
          <w:lang w:val="en-US"/>
        </w:rPr>
        <w:t xml:space="preserve">The Commonwealth </w:t>
      </w:r>
      <w:r>
        <w:rPr>
          <w:szCs w:val="23"/>
          <w:lang w:val="en-US"/>
        </w:rPr>
        <w:t>invests in</w:t>
      </w:r>
      <w:r w:rsidRPr="00920FC5">
        <w:rPr>
          <w:szCs w:val="23"/>
          <w:lang w:val="en-US"/>
        </w:rPr>
        <w:t xml:space="preserve"> the delivery of new, and the upgrade and maintenance of existing </w:t>
      </w:r>
      <w:r>
        <w:rPr>
          <w:szCs w:val="23"/>
          <w:lang w:val="en-US"/>
        </w:rPr>
        <w:t xml:space="preserve">land </w:t>
      </w:r>
      <w:r w:rsidRPr="00920FC5">
        <w:rPr>
          <w:szCs w:val="23"/>
          <w:lang w:val="en-US"/>
        </w:rPr>
        <w:t xml:space="preserve">transport infrastructure across Australia </w:t>
      </w:r>
      <w:r w:rsidR="00044191">
        <w:rPr>
          <w:szCs w:val="23"/>
          <w:lang w:val="en-US"/>
        </w:rPr>
        <w:t>predominantly</w:t>
      </w:r>
      <w:r w:rsidR="008D1319">
        <w:rPr>
          <w:szCs w:val="23"/>
          <w:lang w:val="en-US"/>
        </w:rPr>
        <w:t xml:space="preserve"> </w:t>
      </w:r>
      <w:r w:rsidRPr="00920FC5">
        <w:rPr>
          <w:szCs w:val="23"/>
          <w:lang w:val="en-US"/>
        </w:rPr>
        <w:t xml:space="preserve">through its rolling Infrastructure Investment Program, administered under the </w:t>
      </w:r>
      <w:r>
        <w:rPr>
          <w:szCs w:val="23"/>
          <w:lang w:val="en-US"/>
        </w:rPr>
        <w:t>NLT</w:t>
      </w:r>
      <w:r w:rsidRPr="00920FC5">
        <w:rPr>
          <w:szCs w:val="23"/>
          <w:lang w:val="en-US"/>
        </w:rPr>
        <w:t xml:space="preserve"> Act, th</w:t>
      </w:r>
      <w:r>
        <w:rPr>
          <w:szCs w:val="23"/>
          <w:lang w:val="en-US"/>
        </w:rPr>
        <w:t>is</w:t>
      </w:r>
      <w:r w:rsidRPr="00CC4B50">
        <w:rPr>
          <w:szCs w:val="23"/>
          <w:lang w:val="en-US"/>
        </w:rPr>
        <w:t xml:space="preserve"> Agreement </w:t>
      </w:r>
      <w:r w:rsidRPr="00920FC5">
        <w:rPr>
          <w:szCs w:val="23"/>
          <w:lang w:val="en-US"/>
        </w:rPr>
        <w:t>and associated Notes on Administration.</w:t>
      </w:r>
    </w:p>
    <w:p w14:paraId="6A8C88EA" w14:textId="1929347C" w:rsidR="004407ED" w:rsidRDefault="004407ED" w:rsidP="00CC4B50">
      <w:pPr>
        <w:pStyle w:val="Normalnumbered"/>
        <w:numPr>
          <w:ilvl w:val="0"/>
          <w:numId w:val="15"/>
        </w:numPr>
        <w:tabs>
          <w:tab w:val="num" w:pos="426"/>
        </w:tabs>
        <w:rPr>
          <w:szCs w:val="23"/>
          <w:lang w:val="en-US"/>
        </w:rPr>
      </w:pPr>
      <w:r>
        <w:rPr>
          <w:szCs w:val="23"/>
          <w:lang w:val="en-US"/>
        </w:rPr>
        <w:t xml:space="preserve">The States also invest in new, </w:t>
      </w:r>
      <w:r w:rsidRPr="00920FC5">
        <w:rPr>
          <w:szCs w:val="23"/>
          <w:lang w:val="en-US"/>
        </w:rPr>
        <w:t xml:space="preserve">and the upgrade and maintenance of existing </w:t>
      </w:r>
      <w:r>
        <w:rPr>
          <w:szCs w:val="23"/>
          <w:lang w:val="en-US"/>
        </w:rPr>
        <w:t xml:space="preserve">land </w:t>
      </w:r>
      <w:r w:rsidRPr="00920FC5">
        <w:rPr>
          <w:szCs w:val="23"/>
          <w:lang w:val="en-US"/>
        </w:rPr>
        <w:t>transport infrastructure</w:t>
      </w:r>
      <w:r>
        <w:rPr>
          <w:szCs w:val="23"/>
          <w:lang w:val="en-US"/>
        </w:rPr>
        <w:t xml:space="preserve">. As owners of the land transport infrastructure assets, States have primary responsibility for planning and delivery of </w:t>
      </w:r>
      <w:r w:rsidR="008502E5">
        <w:rPr>
          <w:szCs w:val="23"/>
          <w:lang w:val="en-US"/>
        </w:rPr>
        <w:t>P</w:t>
      </w:r>
      <w:r>
        <w:rPr>
          <w:szCs w:val="23"/>
          <w:lang w:val="en-US"/>
        </w:rPr>
        <w:t xml:space="preserve">rojects and for preserving corridors for future infrastructure development. </w:t>
      </w:r>
    </w:p>
    <w:p w14:paraId="2C6D77F0" w14:textId="77777777" w:rsidR="00796A22" w:rsidRPr="00E52781" w:rsidRDefault="00796A22" w:rsidP="005A0EED">
      <w:pPr>
        <w:pStyle w:val="Normalnumbered"/>
        <w:keepNext/>
        <w:tabs>
          <w:tab w:val="clear" w:pos="1418"/>
        </w:tabs>
        <w:rPr>
          <w:i/>
          <w:szCs w:val="23"/>
          <w:lang w:val="en-US"/>
        </w:rPr>
      </w:pPr>
      <w:r>
        <w:rPr>
          <w:i/>
          <w:szCs w:val="23"/>
          <w:lang w:val="en-US"/>
        </w:rPr>
        <w:lastRenderedPageBreak/>
        <w:t>Objectives for co-funded transport infrastructure investment</w:t>
      </w:r>
    </w:p>
    <w:p w14:paraId="7E9F007C" w14:textId="77777777" w:rsidR="004407ED" w:rsidRPr="00920FC5" w:rsidRDefault="004407ED" w:rsidP="00CC4B50">
      <w:pPr>
        <w:pStyle w:val="Normalnumbered"/>
        <w:numPr>
          <w:ilvl w:val="0"/>
          <w:numId w:val="15"/>
        </w:numPr>
        <w:tabs>
          <w:tab w:val="num" w:pos="426"/>
        </w:tabs>
        <w:rPr>
          <w:szCs w:val="23"/>
          <w:lang w:val="en-US"/>
        </w:rPr>
      </w:pPr>
      <w:r>
        <w:rPr>
          <w:szCs w:val="23"/>
          <w:lang w:val="en-US"/>
        </w:rPr>
        <w:t>The Commonwealth and States’ combined investments under this Agreement, consistent with the NLT Act, aims to provide</w:t>
      </w:r>
      <w:r w:rsidRPr="00920FC5">
        <w:rPr>
          <w:szCs w:val="23"/>
          <w:lang w:val="en-US"/>
        </w:rPr>
        <w:t xml:space="preserve"> a land transport network that:</w:t>
      </w:r>
    </w:p>
    <w:p w14:paraId="34E28E22" w14:textId="479AB021" w:rsidR="004407ED" w:rsidRPr="00920FC5" w:rsidRDefault="004407ED" w:rsidP="004407ED">
      <w:pPr>
        <w:pStyle w:val="ListParagraph"/>
        <w:numPr>
          <w:ilvl w:val="0"/>
          <w:numId w:val="65"/>
        </w:numPr>
        <w:spacing w:after="160" w:line="259" w:lineRule="auto"/>
        <w:ind w:left="1134" w:hanging="567"/>
        <w:rPr>
          <w:rFonts w:ascii="Corbel" w:hAnsi="Corbel"/>
          <w:sz w:val="23"/>
          <w:szCs w:val="23"/>
          <w:lang w:val="en-US"/>
        </w:rPr>
      </w:pPr>
      <w:r>
        <w:rPr>
          <w:rFonts w:ascii="Corbel" w:hAnsi="Corbel"/>
          <w:sz w:val="23"/>
          <w:szCs w:val="23"/>
          <w:lang w:val="en-US"/>
        </w:rPr>
        <w:t>is safe</w:t>
      </w:r>
      <w:r w:rsidR="00CA4264">
        <w:rPr>
          <w:rFonts w:ascii="Corbel" w:hAnsi="Corbel"/>
          <w:sz w:val="23"/>
          <w:szCs w:val="23"/>
          <w:lang w:val="en-US"/>
        </w:rPr>
        <w:t>r</w:t>
      </w:r>
      <w:r>
        <w:rPr>
          <w:rFonts w:ascii="Corbel" w:hAnsi="Corbel"/>
          <w:sz w:val="23"/>
          <w:szCs w:val="23"/>
          <w:lang w:val="en-US"/>
        </w:rPr>
        <w:t xml:space="preserve"> and </w:t>
      </w:r>
      <w:r w:rsidR="00CA4264">
        <w:rPr>
          <w:rFonts w:ascii="Corbel" w:hAnsi="Corbel"/>
          <w:sz w:val="23"/>
          <w:szCs w:val="23"/>
          <w:lang w:val="en-US"/>
        </w:rPr>
        <w:t xml:space="preserve">more </w:t>
      </w:r>
      <w:r>
        <w:rPr>
          <w:rFonts w:ascii="Corbel" w:hAnsi="Corbel"/>
          <w:sz w:val="23"/>
          <w:szCs w:val="23"/>
          <w:lang w:val="en-US"/>
        </w:rPr>
        <w:t>secure for users</w:t>
      </w:r>
      <w:r w:rsidR="00D5004E">
        <w:rPr>
          <w:rFonts w:ascii="Corbel" w:hAnsi="Corbel"/>
          <w:sz w:val="23"/>
          <w:szCs w:val="23"/>
          <w:lang w:val="en-US"/>
        </w:rPr>
        <w:t>,</w:t>
      </w:r>
      <w:r w:rsidR="00D5004E" w:rsidRPr="00D5004E">
        <w:rPr>
          <w:rFonts w:ascii="Corbel" w:hAnsi="Corbel"/>
          <w:sz w:val="23"/>
          <w:szCs w:val="23"/>
          <w:lang w:val="en-US"/>
        </w:rPr>
        <w:t xml:space="preserve"> </w:t>
      </w:r>
      <w:r w:rsidR="00D5004E">
        <w:rPr>
          <w:rFonts w:ascii="Corbel" w:hAnsi="Corbel"/>
          <w:sz w:val="23"/>
          <w:szCs w:val="23"/>
          <w:lang w:val="en-US"/>
        </w:rPr>
        <w:t xml:space="preserve">by having regard for safe system principles and treatments for road infrastructure investment proposals and aligning with </w:t>
      </w:r>
      <w:r w:rsidR="002D7DEE">
        <w:rPr>
          <w:rFonts w:ascii="Corbel" w:hAnsi="Corbel"/>
          <w:sz w:val="23"/>
          <w:szCs w:val="23"/>
          <w:lang w:val="en-US"/>
        </w:rPr>
        <w:t>any</w:t>
      </w:r>
      <w:r w:rsidR="00D5004E">
        <w:rPr>
          <w:rFonts w:ascii="Corbel" w:hAnsi="Corbel"/>
          <w:sz w:val="23"/>
          <w:szCs w:val="23"/>
          <w:lang w:val="en-US"/>
        </w:rPr>
        <w:t xml:space="preserve"> agreed </w:t>
      </w:r>
      <w:r w:rsidR="00952673">
        <w:rPr>
          <w:rFonts w:ascii="Corbel" w:hAnsi="Corbel"/>
          <w:sz w:val="23"/>
          <w:szCs w:val="23"/>
          <w:lang w:val="en-US"/>
        </w:rPr>
        <w:t>n</w:t>
      </w:r>
      <w:r w:rsidR="00D5004E">
        <w:rPr>
          <w:rFonts w:ascii="Corbel" w:hAnsi="Corbel"/>
          <w:sz w:val="23"/>
          <w:szCs w:val="23"/>
          <w:lang w:val="en-US"/>
        </w:rPr>
        <w:t xml:space="preserve">ational </w:t>
      </w:r>
      <w:r w:rsidR="00952673">
        <w:rPr>
          <w:rFonts w:ascii="Corbel" w:hAnsi="Corbel"/>
          <w:sz w:val="23"/>
          <w:szCs w:val="23"/>
          <w:lang w:val="en-US"/>
        </w:rPr>
        <w:t>r</w:t>
      </w:r>
      <w:r w:rsidR="00D5004E">
        <w:rPr>
          <w:rFonts w:ascii="Corbel" w:hAnsi="Corbel"/>
          <w:sz w:val="23"/>
          <w:szCs w:val="23"/>
          <w:lang w:val="en-US"/>
        </w:rPr>
        <w:t xml:space="preserve">oad </w:t>
      </w:r>
      <w:r w:rsidR="00952673">
        <w:rPr>
          <w:rFonts w:ascii="Corbel" w:hAnsi="Corbel"/>
          <w:sz w:val="23"/>
          <w:szCs w:val="23"/>
          <w:lang w:val="en-US"/>
        </w:rPr>
        <w:t>s</w:t>
      </w:r>
      <w:r w:rsidR="00D5004E">
        <w:rPr>
          <w:rFonts w:ascii="Corbel" w:hAnsi="Corbel"/>
          <w:sz w:val="23"/>
          <w:szCs w:val="23"/>
          <w:lang w:val="en-US"/>
        </w:rPr>
        <w:t>afety</w:t>
      </w:r>
      <w:r w:rsidR="00952673">
        <w:rPr>
          <w:rFonts w:ascii="Corbel" w:hAnsi="Corbel"/>
          <w:sz w:val="23"/>
          <w:szCs w:val="23"/>
          <w:lang w:val="en-US"/>
        </w:rPr>
        <w:t xml:space="preserve"> strategy</w:t>
      </w:r>
      <w:r>
        <w:rPr>
          <w:rFonts w:ascii="Corbel" w:hAnsi="Corbel"/>
          <w:sz w:val="23"/>
          <w:szCs w:val="23"/>
          <w:lang w:val="en-US"/>
        </w:rPr>
        <w:t>;</w:t>
      </w:r>
      <w:r w:rsidRPr="00920FC5">
        <w:rPr>
          <w:rFonts w:ascii="Corbel" w:hAnsi="Corbel"/>
          <w:sz w:val="23"/>
          <w:szCs w:val="23"/>
          <w:lang w:val="en-US"/>
        </w:rPr>
        <w:t xml:space="preserve"> </w:t>
      </w:r>
    </w:p>
    <w:p w14:paraId="72737634" w14:textId="77777777" w:rsidR="004407ED" w:rsidRPr="00920FC5" w:rsidRDefault="004407ED" w:rsidP="004407ED">
      <w:pPr>
        <w:pStyle w:val="ListParagraph"/>
        <w:numPr>
          <w:ilvl w:val="0"/>
          <w:numId w:val="65"/>
        </w:numPr>
        <w:spacing w:after="160" w:line="259" w:lineRule="auto"/>
        <w:ind w:left="1134" w:hanging="567"/>
        <w:rPr>
          <w:rFonts w:ascii="Corbel" w:hAnsi="Corbel"/>
          <w:sz w:val="23"/>
          <w:szCs w:val="23"/>
          <w:lang w:val="en-US"/>
        </w:rPr>
      </w:pPr>
      <w:r w:rsidRPr="00920FC5">
        <w:rPr>
          <w:rFonts w:ascii="Corbel" w:hAnsi="Corbel"/>
          <w:sz w:val="23"/>
          <w:szCs w:val="23"/>
          <w:lang w:val="en-US"/>
        </w:rPr>
        <w:t xml:space="preserve">drives national economic growth and productivity and improves Australian industry’s international competitiveness, </w:t>
      </w:r>
      <w:r w:rsidR="009C04EB">
        <w:rPr>
          <w:rFonts w:ascii="Corbel" w:hAnsi="Corbel"/>
          <w:sz w:val="23"/>
          <w:szCs w:val="23"/>
          <w:lang w:val="en-US"/>
        </w:rPr>
        <w:t xml:space="preserve">including </w:t>
      </w:r>
      <w:r w:rsidRPr="00920FC5">
        <w:rPr>
          <w:rFonts w:ascii="Corbel" w:hAnsi="Corbel"/>
          <w:sz w:val="23"/>
          <w:szCs w:val="23"/>
          <w:lang w:val="en-US"/>
        </w:rPr>
        <w:t>through efficient and productive freight networks;</w:t>
      </w:r>
    </w:p>
    <w:p w14:paraId="528AB083" w14:textId="77777777" w:rsidR="004407ED" w:rsidRPr="0038330F" w:rsidRDefault="004407ED" w:rsidP="004407ED">
      <w:pPr>
        <w:pStyle w:val="ListParagraph"/>
        <w:numPr>
          <w:ilvl w:val="0"/>
          <w:numId w:val="65"/>
        </w:numPr>
        <w:spacing w:after="160" w:line="259" w:lineRule="auto"/>
        <w:ind w:left="1134" w:hanging="567"/>
        <w:rPr>
          <w:rFonts w:ascii="Corbel" w:hAnsi="Corbel"/>
          <w:sz w:val="23"/>
          <w:szCs w:val="23"/>
          <w:lang w:val="en-US"/>
        </w:rPr>
      </w:pPr>
      <w:r w:rsidRPr="00920FC5">
        <w:rPr>
          <w:rFonts w:ascii="Corbel" w:hAnsi="Corbel"/>
          <w:sz w:val="23"/>
          <w:szCs w:val="23"/>
          <w:lang w:val="en-US"/>
        </w:rPr>
        <w:t xml:space="preserve">accommodates Australia’s growing population </w:t>
      </w:r>
      <w:r>
        <w:rPr>
          <w:rFonts w:ascii="Corbel" w:hAnsi="Corbel"/>
          <w:sz w:val="23"/>
          <w:szCs w:val="23"/>
          <w:lang w:val="en-US"/>
        </w:rPr>
        <w:t>by relieving congestion, better connecting goods to markets and improving access to services for urban, regional and remote communities; and</w:t>
      </w:r>
    </w:p>
    <w:p w14:paraId="2DA262BD" w14:textId="77777777" w:rsidR="004407ED" w:rsidRPr="00920FC5" w:rsidRDefault="004407ED" w:rsidP="004407ED">
      <w:pPr>
        <w:pStyle w:val="ListParagraph"/>
        <w:numPr>
          <w:ilvl w:val="0"/>
          <w:numId w:val="65"/>
        </w:numPr>
        <w:spacing w:after="160" w:line="259" w:lineRule="auto"/>
        <w:ind w:left="1134" w:hanging="567"/>
        <w:rPr>
          <w:rFonts w:ascii="Corbel" w:hAnsi="Corbel"/>
          <w:sz w:val="23"/>
          <w:szCs w:val="23"/>
          <w:lang w:val="en-US"/>
        </w:rPr>
      </w:pPr>
      <w:r>
        <w:rPr>
          <w:rFonts w:ascii="Corbel" w:hAnsi="Corbel"/>
          <w:sz w:val="23"/>
          <w:szCs w:val="23"/>
          <w:lang w:val="en-US"/>
        </w:rPr>
        <w:t>supports employment opportunities by providing improved access to jobs and training.</w:t>
      </w:r>
    </w:p>
    <w:p w14:paraId="49B2BBA2" w14:textId="77777777" w:rsidR="004407ED" w:rsidRPr="00920FC5" w:rsidRDefault="004407ED" w:rsidP="00CC4B50">
      <w:pPr>
        <w:pStyle w:val="Normalnumbered"/>
        <w:numPr>
          <w:ilvl w:val="0"/>
          <w:numId w:val="15"/>
        </w:numPr>
        <w:tabs>
          <w:tab w:val="num" w:pos="426"/>
        </w:tabs>
        <w:rPr>
          <w:szCs w:val="23"/>
          <w:lang w:val="en-US"/>
        </w:rPr>
      </w:pPr>
      <w:r w:rsidRPr="00920FC5">
        <w:rPr>
          <w:szCs w:val="23"/>
          <w:lang w:val="en-US"/>
        </w:rPr>
        <w:t>The Commonwealth</w:t>
      </w:r>
      <w:r>
        <w:rPr>
          <w:szCs w:val="23"/>
          <w:lang w:val="en-US"/>
        </w:rPr>
        <w:t xml:space="preserve"> and States</w:t>
      </w:r>
      <w:r w:rsidRPr="00920FC5">
        <w:rPr>
          <w:szCs w:val="23"/>
          <w:lang w:val="en-US"/>
        </w:rPr>
        <w:t xml:space="preserve"> </w:t>
      </w:r>
      <w:r>
        <w:rPr>
          <w:szCs w:val="23"/>
          <w:lang w:val="en-US"/>
        </w:rPr>
        <w:t xml:space="preserve">recognise that their collective transport investments have the potential to </w:t>
      </w:r>
      <w:r w:rsidRPr="009164D8">
        <w:rPr>
          <w:szCs w:val="23"/>
          <w:lang w:val="en-US"/>
        </w:rPr>
        <w:t>enable</w:t>
      </w:r>
      <w:r>
        <w:rPr>
          <w:szCs w:val="23"/>
          <w:lang w:val="en-US"/>
        </w:rPr>
        <w:t xml:space="preserve"> broader </w:t>
      </w:r>
      <w:r w:rsidRPr="00115B2C">
        <w:rPr>
          <w:lang w:val="en-US"/>
        </w:rPr>
        <w:t xml:space="preserve">outcomes </w:t>
      </w:r>
      <w:r>
        <w:rPr>
          <w:szCs w:val="23"/>
          <w:lang w:val="en-US"/>
        </w:rPr>
        <w:t>that benefit the Australian people including:</w:t>
      </w:r>
    </w:p>
    <w:p w14:paraId="68D520EC" w14:textId="6F622DE4" w:rsidR="004407ED" w:rsidRPr="00920FC5" w:rsidRDefault="004407ED" w:rsidP="004407ED">
      <w:pPr>
        <w:pStyle w:val="ListParagraph"/>
        <w:numPr>
          <w:ilvl w:val="0"/>
          <w:numId w:val="66"/>
        </w:numPr>
        <w:spacing w:after="160" w:line="259" w:lineRule="auto"/>
        <w:ind w:left="1134" w:hanging="567"/>
        <w:rPr>
          <w:rFonts w:ascii="Corbel" w:hAnsi="Corbel"/>
          <w:sz w:val="23"/>
          <w:szCs w:val="23"/>
          <w:lang w:val="en-US"/>
        </w:rPr>
      </w:pPr>
      <w:r>
        <w:rPr>
          <w:rFonts w:ascii="Corbel" w:hAnsi="Corbel"/>
          <w:sz w:val="23"/>
          <w:szCs w:val="23"/>
          <w:lang w:val="en-US"/>
        </w:rPr>
        <w:t>a competitive infrastructure market, which generates opportunities for employment and contracting across the supply chain, for small, medium and large contractors, for local businesses and Indigenous businesses and job-seekers</w:t>
      </w:r>
      <w:r w:rsidR="00880499">
        <w:rPr>
          <w:rFonts w:ascii="Corbel" w:hAnsi="Corbel"/>
          <w:sz w:val="23"/>
          <w:szCs w:val="23"/>
          <w:lang w:val="en-US"/>
        </w:rPr>
        <w:t xml:space="preserve"> and builds long-term capacity in the market to support the delivery of public infrastructure</w:t>
      </w:r>
      <w:r>
        <w:rPr>
          <w:rFonts w:ascii="Corbel" w:hAnsi="Corbel"/>
          <w:sz w:val="23"/>
          <w:szCs w:val="23"/>
          <w:lang w:val="en-US"/>
        </w:rPr>
        <w:t>;</w:t>
      </w:r>
    </w:p>
    <w:p w14:paraId="535CED3A" w14:textId="77777777" w:rsidR="004407ED" w:rsidRDefault="004407ED" w:rsidP="004407ED">
      <w:pPr>
        <w:pStyle w:val="ListParagraph"/>
        <w:numPr>
          <w:ilvl w:val="0"/>
          <w:numId w:val="66"/>
        </w:numPr>
        <w:spacing w:after="160" w:line="259" w:lineRule="auto"/>
        <w:ind w:left="1134" w:hanging="567"/>
        <w:rPr>
          <w:rFonts w:ascii="Corbel" w:hAnsi="Corbel"/>
          <w:sz w:val="23"/>
          <w:szCs w:val="23"/>
          <w:lang w:val="en-US"/>
        </w:rPr>
      </w:pPr>
      <w:r>
        <w:rPr>
          <w:rFonts w:ascii="Corbel" w:hAnsi="Corbel"/>
          <w:sz w:val="23"/>
          <w:szCs w:val="23"/>
          <w:lang w:val="en-US"/>
        </w:rPr>
        <w:t>taking account of climate and disaster resilience and environmental sustainability in infrastructure planning and delivery; and</w:t>
      </w:r>
    </w:p>
    <w:p w14:paraId="2F05AEB3" w14:textId="77777777" w:rsidR="004407ED" w:rsidRDefault="004407ED" w:rsidP="0038330F">
      <w:pPr>
        <w:pStyle w:val="ListParagraph"/>
        <w:numPr>
          <w:ilvl w:val="0"/>
          <w:numId w:val="66"/>
        </w:numPr>
        <w:spacing w:after="160" w:line="259" w:lineRule="auto"/>
        <w:ind w:left="1134" w:hanging="567"/>
        <w:rPr>
          <w:rFonts w:ascii="Corbel" w:hAnsi="Corbel"/>
          <w:sz w:val="23"/>
          <w:szCs w:val="23"/>
          <w:lang w:val="en-US"/>
        </w:rPr>
      </w:pPr>
      <w:r>
        <w:rPr>
          <w:rFonts w:ascii="Corbel" w:hAnsi="Corbel"/>
          <w:sz w:val="23"/>
          <w:szCs w:val="23"/>
          <w:lang w:val="en-US"/>
        </w:rPr>
        <w:t>preserving future reform options to develop a more sustainable land transport funding system that is adaptable to technological and social change, and continues to meet the needs of land transport owners and users</w:t>
      </w:r>
      <w:r w:rsidRPr="00920FC5">
        <w:rPr>
          <w:rFonts w:ascii="Corbel" w:hAnsi="Corbel"/>
          <w:sz w:val="23"/>
          <w:szCs w:val="23"/>
          <w:lang w:val="en-US"/>
        </w:rPr>
        <w:t>.</w:t>
      </w:r>
    </w:p>
    <w:p w14:paraId="080BE0B2" w14:textId="77777777" w:rsidR="004407ED" w:rsidRPr="00920FC5" w:rsidRDefault="004407ED" w:rsidP="00CC4B50">
      <w:pPr>
        <w:pStyle w:val="Normalnumbered"/>
        <w:numPr>
          <w:ilvl w:val="0"/>
          <w:numId w:val="15"/>
        </w:numPr>
        <w:tabs>
          <w:tab w:val="num" w:pos="426"/>
        </w:tabs>
        <w:rPr>
          <w:szCs w:val="23"/>
          <w:lang w:val="en-US"/>
        </w:rPr>
      </w:pPr>
      <w:r>
        <w:rPr>
          <w:szCs w:val="23"/>
          <w:lang w:val="en-US"/>
        </w:rPr>
        <w:t>The achievement of t</w:t>
      </w:r>
      <w:r w:rsidRPr="00920FC5">
        <w:rPr>
          <w:szCs w:val="23"/>
          <w:lang w:val="en-US"/>
        </w:rPr>
        <w:t>hese</w:t>
      </w:r>
      <w:r>
        <w:rPr>
          <w:szCs w:val="23"/>
          <w:lang w:val="en-US"/>
        </w:rPr>
        <w:t xml:space="preserve"> combined </w:t>
      </w:r>
      <w:r w:rsidRPr="00F243BA">
        <w:rPr>
          <w:szCs w:val="23"/>
          <w:lang w:val="en-US"/>
        </w:rPr>
        <w:t xml:space="preserve">objectives </w:t>
      </w:r>
      <w:r>
        <w:rPr>
          <w:szCs w:val="23"/>
          <w:lang w:val="en-US"/>
        </w:rPr>
        <w:t xml:space="preserve">is best supported by </w:t>
      </w:r>
      <w:r w:rsidRPr="00920FC5">
        <w:rPr>
          <w:szCs w:val="23"/>
          <w:lang w:val="en-US"/>
        </w:rPr>
        <w:t>coordinated action, including:</w:t>
      </w:r>
    </w:p>
    <w:p w14:paraId="4AB7D412" w14:textId="77777777" w:rsidR="004407ED" w:rsidRPr="00920FC5" w:rsidRDefault="004407ED" w:rsidP="004407ED">
      <w:pPr>
        <w:pStyle w:val="ListParagraph"/>
        <w:numPr>
          <w:ilvl w:val="0"/>
          <w:numId w:val="67"/>
        </w:numPr>
        <w:spacing w:after="160" w:line="259" w:lineRule="auto"/>
        <w:ind w:left="1134" w:hanging="567"/>
        <w:rPr>
          <w:rFonts w:ascii="Corbel" w:hAnsi="Corbel"/>
          <w:sz w:val="23"/>
          <w:szCs w:val="23"/>
          <w:lang w:val="en-US"/>
        </w:rPr>
      </w:pPr>
      <w:r w:rsidRPr="00920FC5">
        <w:rPr>
          <w:rFonts w:ascii="Corbel" w:hAnsi="Corbel"/>
          <w:sz w:val="23"/>
          <w:szCs w:val="23"/>
          <w:lang w:val="en-US"/>
        </w:rPr>
        <w:t xml:space="preserve">drawing </w:t>
      </w:r>
      <w:r>
        <w:rPr>
          <w:rFonts w:ascii="Corbel" w:hAnsi="Corbel"/>
          <w:sz w:val="23"/>
          <w:szCs w:val="23"/>
          <w:lang w:val="en-US"/>
        </w:rPr>
        <w:t xml:space="preserve">on </w:t>
      </w:r>
      <w:r w:rsidRPr="00920FC5">
        <w:rPr>
          <w:rFonts w:ascii="Corbel" w:hAnsi="Corbel"/>
          <w:sz w:val="23"/>
          <w:szCs w:val="23"/>
          <w:lang w:val="en-US"/>
        </w:rPr>
        <w:t>expert advice on transport needs and priorities</w:t>
      </w:r>
      <w:r>
        <w:rPr>
          <w:rFonts w:ascii="Corbel" w:hAnsi="Corbel"/>
          <w:sz w:val="23"/>
          <w:szCs w:val="23"/>
          <w:lang w:val="en-US"/>
        </w:rPr>
        <w:t>, including through State transport agencies</w:t>
      </w:r>
      <w:r w:rsidRPr="00920FC5">
        <w:rPr>
          <w:rFonts w:ascii="Corbel" w:hAnsi="Corbel"/>
          <w:sz w:val="23"/>
          <w:szCs w:val="23"/>
          <w:lang w:val="en-US"/>
        </w:rPr>
        <w:t xml:space="preserve">, Infrastructure Australia and </w:t>
      </w:r>
      <w:r>
        <w:rPr>
          <w:rFonts w:ascii="Corbel" w:hAnsi="Corbel"/>
          <w:sz w:val="23"/>
          <w:szCs w:val="23"/>
          <w:lang w:val="en-US"/>
        </w:rPr>
        <w:t>S</w:t>
      </w:r>
      <w:r w:rsidRPr="00920FC5">
        <w:rPr>
          <w:rFonts w:ascii="Corbel" w:hAnsi="Corbel"/>
          <w:sz w:val="23"/>
          <w:szCs w:val="23"/>
          <w:lang w:val="en-US"/>
        </w:rPr>
        <w:t xml:space="preserve">tate infrastructure advisory bodies, to inform investment decision-making; </w:t>
      </w:r>
    </w:p>
    <w:p w14:paraId="094F945A" w14:textId="1719323F" w:rsidR="004407ED" w:rsidRPr="00920FC5" w:rsidRDefault="004407ED" w:rsidP="004407ED">
      <w:pPr>
        <w:pStyle w:val="ListParagraph"/>
        <w:numPr>
          <w:ilvl w:val="0"/>
          <w:numId w:val="67"/>
        </w:numPr>
        <w:spacing w:after="160" w:line="259" w:lineRule="auto"/>
        <w:ind w:left="1134" w:hanging="567"/>
        <w:rPr>
          <w:rFonts w:ascii="Corbel" w:hAnsi="Corbel"/>
          <w:sz w:val="23"/>
          <w:szCs w:val="23"/>
          <w:lang w:val="en-US"/>
        </w:rPr>
      </w:pPr>
      <w:r w:rsidRPr="00920FC5">
        <w:rPr>
          <w:rFonts w:ascii="Corbel" w:hAnsi="Corbel"/>
          <w:sz w:val="23"/>
          <w:szCs w:val="23"/>
          <w:lang w:val="en-US"/>
        </w:rPr>
        <w:t xml:space="preserve">promoting an integrated approach to transport and land use planning that considers how to best connect places where people </w:t>
      </w:r>
      <w:r w:rsidR="00564363">
        <w:rPr>
          <w:rFonts w:ascii="Corbel" w:hAnsi="Corbel"/>
          <w:sz w:val="23"/>
          <w:szCs w:val="23"/>
          <w:lang w:val="en-US"/>
        </w:rPr>
        <w:t>travel</w:t>
      </w:r>
      <w:r w:rsidRPr="00920FC5">
        <w:rPr>
          <w:rFonts w:ascii="Corbel" w:hAnsi="Corbel"/>
          <w:sz w:val="23"/>
          <w:szCs w:val="23"/>
          <w:lang w:val="en-US"/>
        </w:rPr>
        <w:t>;</w:t>
      </w:r>
    </w:p>
    <w:p w14:paraId="4CFB040E" w14:textId="77777777" w:rsidR="004407ED" w:rsidRPr="00920FC5" w:rsidRDefault="004407ED" w:rsidP="004407ED">
      <w:pPr>
        <w:pStyle w:val="ListParagraph"/>
        <w:numPr>
          <w:ilvl w:val="0"/>
          <w:numId w:val="67"/>
        </w:numPr>
        <w:spacing w:after="160" w:line="259" w:lineRule="auto"/>
        <w:ind w:left="1134" w:hanging="567"/>
        <w:rPr>
          <w:rFonts w:ascii="Corbel" w:hAnsi="Corbel"/>
          <w:sz w:val="23"/>
          <w:szCs w:val="23"/>
          <w:lang w:val="en-US"/>
        </w:rPr>
      </w:pPr>
      <w:r w:rsidRPr="00920FC5">
        <w:rPr>
          <w:rFonts w:ascii="Corbel" w:hAnsi="Corbel"/>
          <w:sz w:val="23"/>
          <w:szCs w:val="23"/>
          <w:lang w:val="en-US"/>
        </w:rPr>
        <w:t>encouraging</w:t>
      </w:r>
      <w:r>
        <w:rPr>
          <w:rFonts w:ascii="Corbel" w:hAnsi="Corbel"/>
          <w:sz w:val="23"/>
          <w:szCs w:val="23"/>
          <w:lang w:val="en-US"/>
        </w:rPr>
        <w:t xml:space="preserve"> more</w:t>
      </w:r>
      <w:r w:rsidRPr="00920FC5">
        <w:rPr>
          <w:rFonts w:ascii="Corbel" w:hAnsi="Corbel"/>
          <w:sz w:val="23"/>
          <w:szCs w:val="23"/>
          <w:lang w:val="en-US"/>
        </w:rPr>
        <w:t xml:space="preserve"> </w:t>
      </w:r>
      <w:r>
        <w:rPr>
          <w:rFonts w:ascii="Corbel" w:hAnsi="Corbel"/>
          <w:sz w:val="23"/>
          <w:szCs w:val="23"/>
          <w:lang w:val="en-US"/>
        </w:rPr>
        <w:t>efficient</w:t>
      </w:r>
      <w:r w:rsidRPr="00920FC5">
        <w:rPr>
          <w:rFonts w:ascii="Corbel" w:hAnsi="Corbel"/>
          <w:sz w:val="23"/>
          <w:szCs w:val="23"/>
          <w:lang w:val="en-US"/>
        </w:rPr>
        <w:t xml:space="preserve"> use of existing infrastructure, including implementing technology solutions to optimise our transport networks; </w:t>
      </w:r>
    </w:p>
    <w:p w14:paraId="54D7723D" w14:textId="3CA94F69" w:rsidR="004407ED" w:rsidRPr="00920FC5" w:rsidRDefault="004407ED" w:rsidP="004407ED">
      <w:pPr>
        <w:pStyle w:val="ListParagraph"/>
        <w:numPr>
          <w:ilvl w:val="0"/>
          <w:numId w:val="67"/>
        </w:numPr>
        <w:spacing w:after="160" w:line="259" w:lineRule="auto"/>
        <w:ind w:left="1134" w:hanging="567"/>
        <w:rPr>
          <w:rFonts w:ascii="Corbel" w:hAnsi="Corbel"/>
          <w:sz w:val="23"/>
          <w:szCs w:val="23"/>
          <w:lang w:val="en-US"/>
        </w:rPr>
      </w:pPr>
      <w:r w:rsidRPr="00920FC5">
        <w:rPr>
          <w:rFonts w:ascii="Corbel" w:hAnsi="Corbel"/>
          <w:sz w:val="23"/>
          <w:szCs w:val="23"/>
          <w:lang w:val="en-US"/>
        </w:rPr>
        <w:t>actively exploring opportunities for innovative financing and greater private sector involvement, including through the involvement of the</w:t>
      </w:r>
      <w:r>
        <w:rPr>
          <w:rFonts w:ascii="Corbel" w:hAnsi="Corbel"/>
          <w:sz w:val="23"/>
          <w:szCs w:val="23"/>
          <w:lang w:val="en-US"/>
        </w:rPr>
        <w:t xml:space="preserve"> relevant Commonwealth and State agencies</w:t>
      </w:r>
      <w:r w:rsidRPr="00920FC5">
        <w:rPr>
          <w:rFonts w:ascii="Corbel" w:hAnsi="Corbel"/>
          <w:sz w:val="23"/>
          <w:szCs w:val="23"/>
          <w:lang w:val="en-US"/>
        </w:rPr>
        <w:t xml:space="preserve"> in the development phase of </w:t>
      </w:r>
      <w:r>
        <w:rPr>
          <w:rFonts w:ascii="Corbel" w:hAnsi="Corbel"/>
          <w:sz w:val="23"/>
          <w:szCs w:val="23"/>
          <w:lang w:val="en-US"/>
        </w:rPr>
        <w:t xml:space="preserve">selected </w:t>
      </w:r>
      <w:r w:rsidRPr="00920FC5">
        <w:rPr>
          <w:rFonts w:ascii="Corbel" w:hAnsi="Corbel"/>
          <w:sz w:val="23"/>
          <w:szCs w:val="23"/>
          <w:lang w:val="en-US"/>
        </w:rPr>
        <w:t xml:space="preserve">major </w:t>
      </w:r>
      <w:r w:rsidR="009E37AB">
        <w:rPr>
          <w:rFonts w:ascii="Corbel" w:hAnsi="Corbel"/>
          <w:sz w:val="23"/>
          <w:szCs w:val="23"/>
          <w:lang w:val="en-US"/>
        </w:rPr>
        <w:t>P</w:t>
      </w:r>
      <w:r w:rsidRPr="00920FC5">
        <w:rPr>
          <w:rFonts w:ascii="Corbel" w:hAnsi="Corbel"/>
          <w:sz w:val="23"/>
          <w:szCs w:val="23"/>
          <w:lang w:val="en-US"/>
        </w:rPr>
        <w:t xml:space="preserve">rojects, to reduce the call on public resources; </w:t>
      </w:r>
      <w:r>
        <w:rPr>
          <w:rFonts w:ascii="Corbel" w:hAnsi="Corbel"/>
          <w:sz w:val="23"/>
          <w:szCs w:val="23"/>
          <w:lang w:val="en-US"/>
        </w:rPr>
        <w:t>and</w:t>
      </w:r>
    </w:p>
    <w:p w14:paraId="6846703D" w14:textId="071A2AFF" w:rsidR="004407ED" w:rsidRDefault="004407ED" w:rsidP="004407ED">
      <w:pPr>
        <w:pStyle w:val="ListParagraph"/>
        <w:numPr>
          <w:ilvl w:val="0"/>
          <w:numId w:val="67"/>
        </w:numPr>
        <w:spacing w:after="160" w:line="259" w:lineRule="auto"/>
        <w:ind w:left="1134" w:hanging="567"/>
        <w:rPr>
          <w:rFonts w:ascii="Corbel" w:hAnsi="Corbel"/>
          <w:sz w:val="23"/>
          <w:szCs w:val="23"/>
          <w:lang w:val="en-US"/>
        </w:rPr>
      </w:pPr>
      <w:r w:rsidRPr="00920FC5">
        <w:rPr>
          <w:rFonts w:ascii="Corbel" w:hAnsi="Corbel"/>
          <w:sz w:val="23"/>
          <w:szCs w:val="23"/>
          <w:lang w:val="en-US"/>
        </w:rPr>
        <w:t>promoting more open</w:t>
      </w:r>
      <w:r>
        <w:rPr>
          <w:rFonts w:ascii="Corbel" w:hAnsi="Corbel"/>
          <w:sz w:val="23"/>
          <w:szCs w:val="23"/>
          <w:lang w:val="en-US"/>
        </w:rPr>
        <w:t xml:space="preserve">, </w:t>
      </w:r>
      <w:r w:rsidRPr="00920FC5">
        <w:rPr>
          <w:rFonts w:ascii="Corbel" w:hAnsi="Corbel"/>
          <w:sz w:val="23"/>
          <w:szCs w:val="23"/>
          <w:lang w:val="en-US"/>
        </w:rPr>
        <w:t xml:space="preserve">transparent </w:t>
      </w:r>
      <w:r>
        <w:rPr>
          <w:rFonts w:ascii="Corbel" w:hAnsi="Corbel"/>
          <w:sz w:val="23"/>
          <w:szCs w:val="23"/>
          <w:lang w:val="en-US"/>
        </w:rPr>
        <w:t xml:space="preserve">and consistent </w:t>
      </w:r>
      <w:r w:rsidRPr="00920FC5">
        <w:rPr>
          <w:rFonts w:ascii="Corbel" w:hAnsi="Corbel"/>
          <w:sz w:val="23"/>
          <w:szCs w:val="23"/>
          <w:lang w:val="en-US"/>
        </w:rPr>
        <w:t>data relating to transport infrastructure planning and performance to enhance decision-making</w:t>
      </w:r>
      <w:r w:rsidR="00880499">
        <w:rPr>
          <w:rFonts w:ascii="Corbel" w:hAnsi="Corbel"/>
          <w:sz w:val="23"/>
          <w:szCs w:val="23"/>
          <w:lang w:val="en-US"/>
        </w:rPr>
        <w:t>, in</w:t>
      </w:r>
      <w:r w:rsidR="00DF49EE">
        <w:rPr>
          <w:rFonts w:ascii="Corbel" w:hAnsi="Corbel"/>
          <w:sz w:val="23"/>
          <w:szCs w:val="23"/>
          <w:lang w:val="en-US"/>
        </w:rPr>
        <w:t>cluding</w:t>
      </w:r>
      <w:r w:rsidR="00880499">
        <w:rPr>
          <w:rFonts w:ascii="Corbel" w:hAnsi="Corbel"/>
          <w:sz w:val="23"/>
          <w:szCs w:val="23"/>
          <w:lang w:val="en-US"/>
        </w:rPr>
        <w:t xml:space="preserve"> support of achieving improved road safety </w:t>
      </w:r>
      <w:r>
        <w:rPr>
          <w:rFonts w:ascii="Corbel" w:hAnsi="Corbel"/>
          <w:sz w:val="23"/>
          <w:szCs w:val="23"/>
          <w:lang w:val="en-US"/>
        </w:rPr>
        <w:t>.</w:t>
      </w:r>
    </w:p>
    <w:p w14:paraId="714CCB71" w14:textId="77777777" w:rsidR="004407ED" w:rsidRPr="00090648" w:rsidRDefault="004407ED" w:rsidP="00CC4B50">
      <w:pPr>
        <w:pStyle w:val="Normalnumbered"/>
        <w:numPr>
          <w:ilvl w:val="0"/>
          <w:numId w:val="15"/>
        </w:numPr>
        <w:tabs>
          <w:tab w:val="num" w:pos="426"/>
        </w:tabs>
        <w:rPr>
          <w:lang w:val="en-US"/>
        </w:rPr>
      </w:pPr>
      <w:r w:rsidRPr="00920FC5">
        <w:rPr>
          <w:szCs w:val="23"/>
          <w:lang w:val="en-US"/>
        </w:rPr>
        <w:lastRenderedPageBreak/>
        <w:t xml:space="preserve">The </w:t>
      </w:r>
      <w:r>
        <w:rPr>
          <w:szCs w:val="23"/>
          <w:lang w:val="en-US"/>
        </w:rPr>
        <w:t>P</w:t>
      </w:r>
      <w:r w:rsidRPr="00920FC5">
        <w:rPr>
          <w:szCs w:val="23"/>
          <w:lang w:val="en-US"/>
        </w:rPr>
        <w:t>arties commit to delivering</w:t>
      </w:r>
      <w:r w:rsidRPr="00090648">
        <w:rPr>
          <w:lang w:val="en-US"/>
        </w:rPr>
        <w:t xml:space="preserve"> agreed </w:t>
      </w:r>
      <w:r w:rsidRPr="00920FC5">
        <w:rPr>
          <w:szCs w:val="23"/>
          <w:lang w:val="en-US"/>
        </w:rPr>
        <w:t xml:space="preserve">land transport priorities in partnership under </w:t>
      </w:r>
      <w:r>
        <w:rPr>
          <w:szCs w:val="23"/>
          <w:lang w:val="en-US"/>
        </w:rPr>
        <w:t>this</w:t>
      </w:r>
      <w:r w:rsidRPr="00920FC5">
        <w:rPr>
          <w:szCs w:val="23"/>
          <w:lang w:val="en-US"/>
        </w:rPr>
        <w:t xml:space="preserve"> Agreement</w:t>
      </w:r>
      <w:r>
        <w:rPr>
          <w:szCs w:val="23"/>
          <w:lang w:val="en-US"/>
        </w:rPr>
        <w:t>.</w:t>
      </w:r>
    </w:p>
    <w:p w14:paraId="2A25B4D9" w14:textId="77777777" w:rsidR="00A81EC4" w:rsidRPr="00A81EC4" w:rsidRDefault="00814667" w:rsidP="0038330F">
      <w:pPr>
        <w:pStyle w:val="Heading1"/>
        <w:spacing w:before="100"/>
      </w:pPr>
      <w:r>
        <w:t>part 2 — objectives, outcomes and outputs</w:t>
      </w:r>
      <w:r w:rsidR="00FE690D" w:rsidRPr="000C45CD" w:rsidDel="00FE690D">
        <w:rPr>
          <w:highlight w:val="yellow"/>
        </w:rPr>
        <w:t xml:space="preserve"> </w:t>
      </w:r>
    </w:p>
    <w:p w14:paraId="0397B9FC" w14:textId="77777777" w:rsidR="00F46237" w:rsidRPr="001A7A15" w:rsidRDefault="00F46237" w:rsidP="00F46237">
      <w:pPr>
        <w:pStyle w:val="Heading2"/>
      </w:pPr>
      <w:r>
        <w:t>Objectives</w:t>
      </w:r>
    </w:p>
    <w:p w14:paraId="6EC6A128" w14:textId="77777777" w:rsidR="00643371" w:rsidRDefault="00643371" w:rsidP="0038330F">
      <w:pPr>
        <w:pStyle w:val="Normalnumbered"/>
        <w:numPr>
          <w:ilvl w:val="0"/>
          <w:numId w:val="15"/>
        </w:numPr>
        <w:tabs>
          <w:tab w:val="num" w:pos="426"/>
        </w:tabs>
        <w:rPr>
          <w:szCs w:val="23"/>
          <w:lang w:val="en-US"/>
        </w:rPr>
      </w:pPr>
      <w:r>
        <w:rPr>
          <w:szCs w:val="23"/>
          <w:lang w:val="en-US"/>
        </w:rPr>
        <w:t>This Agreement provides for the administrative and governance arrangements overseeing the delivery of the infrastructure Projects identified in the Schedules to this Agreement.</w:t>
      </w:r>
    </w:p>
    <w:p w14:paraId="5521669A" w14:textId="45DA875D" w:rsidR="00BA3890" w:rsidRPr="0038330F" w:rsidRDefault="00E83B7F" w:rsidP="0038330F">
      <w:pPr>
        <w:pStyle w:val="Normalnumbered"/>
        <w:numPr>
          <w:ilvl w:val="0"/>
          <w:numId w:val="15"/>
        </w:numPr>
        <w:tabs>
          <w:tab w:val="num" w:pos="426"/>
        </w:tabs>
        <w:rPr>
          <w:szCs w:val="23"/>
          <w:lang w:val="en-US"/>
        </w:rPr>
      </w:pPr>
      <w:r>
        <w:rPr>
          <w:szCs w:val="23"/>
          <w:lang w:val="en-US"/>
        </w:rPr>
        <w:t xml:space="preserve">Through their joint investment in these Projects under this Agreement, </w:t>
      </w:r>
      <w:r w:rsidR="0063683F">
        <w:rPr>
          <w:szCs w:val="23"/>
          <w:lang w:val="en-US"/>
        </w:rPr>
        <w:t>the Parties aspire to deliver a national transport system consistent with the objectives of the NLT Act and the Preliminaries of this Agreement that is safe</w:t>
      </w:r>
      <w:r w:rsidR="0011367C">
        <w:rPr>
          <w:szCs w:val="23"/>
          <w:lang w:val="en-US"/>
        </w:rPr>
        <w:t>r</w:t>
      </w:r>
      <w:r w:rsidR="0063683F">
        <w:rPr>
          <w:szCs w:val="23"/>
          <w:lang w:val="en-US"/>
        </w:rPr>
        <w:t xml:space="preserve"> and </w:t>
      </w:r>
      <w:r w:rsidR="0011367C">
        <w:rPr>
          <w:szCs w:val="23"/>
          <w:lang w:val="en-US"/>
        </w:rPr>
        <w:t xml:space="preserve">more </w:t>
      </w:r>
      <w:r w:rsidR="0063683F">
        <w:rPr>
          <w:szCs w:val="23"/>
          <w:lang w:val="en-US"/>
        </w:rPr>
        <w:t>secure for users, drives national productivity and economic growth, accommodates Australia’s growing population and supports competitive markets and employment opportunities.</w:t>
      </w:r>
    </w:p>
    <w:p w14:paraId="7CD774F3" w14:textId="62E3D6F9" w:rsidR="00814667" w:rsidRDefault="00814667" w:rsidP="0038330F">
      <w:pPr>
        <w:pStyle w:val="Heading2"/>
      </w:pPr>
      <w:r>
        <w:t>Outcomes</w:t>
      </w:r>
    </w:p>
    <w:p w14:paraId="70AE9BAA" w14:textId="1F81D24B" w:rsidR="00AF5F27" w:rsidRDefault="00AF5F27" w:rsidP="0038330F">
      <w:pPr>
        <w:pStyle w:val="Normalnumbered"/>
        <w:numPr>
          <w:ilvl w:val="0"/>
          <w:numId w:val="15"/>
        </w:numPr>
        <w:tabs>
          <w:tab w:val="num" w:pos="426"/>
        </w:tabs>
        <w:rPr>
          <w:szCs w:val="23"/>
          <w:lang w:val="en-US"/>
        </w:rPr>
      </w:pPr>
      <w:r>
        <w:rPr>
          <w:szCs w:val="23"/>
          <w:lang w:val="en-US"/>
        </w:rPr>
        <w:t xml:space="preserve">This Agreement will facilitate the efficient and effective delivery of infrastructure Projects identified in the Schedules to the Agreement. </w:t>
      </w:r>
      <w:r w:rsidR="00AC06B8">
        <w:rPr>
          <w:szCs w:val="23"/>
          <w:lang w:val="en-US"/>
        </w:rPr>
        <w:t>D</w:t>
      </w:r>
      <w:r>
        <w:rPr>
          <w:szCs w:val="23"/>
          <w:lang w:val="en-US"/>
        </w:rPr>
        <w:t xml:space="preserve">elivery of </w:t>
      </w:r>
      <w:r w:rsidR="00AC06B8">
        <w:rPr>
          <w:szCs w:val="23"/>
          <w:lang w:val="en-US"/>
        </w:rPr>
        <w:t>the</w:t>
      </w:r>
      <w:r>
        <w:rPr>
          <w:szCs w:val="23"/>
          <w:lang w:val="en-US"/>
        </w:rPr>
        <w:t xml:space="preserve"> Projects will support the Commonwealth and State objectives for their joint infrastructure investments, including:</w:t>
      </w:r>
    </w:p>
    <w:p w14:paraId="7596BFAB" w14:textId="77777777" w:rsidR="00AF5F27" w:rsidRPr="003F0301" w:rsidRDefault="000B0665" w:rsidP="003F0301">
      <w:pPr>
        <w:pStyle w:val="ListParagraph"/>
        <w:numPr>
          <w:ilvl w:val="0"/>
          <w:numId w:val="99"/>
        </w:numPr>
        <w:spacing w:after="160" w:line="259" w:lineRule="auto"/>
        <w:ind w:left="1134" w:hanging="567"/>
        <w:rPr>
          <w:szCs w:val="23"/>
          <w:lang w:val="en-US"/>
        </w:rPr>
      </w:pPr>
      <w:r w:rsidRPr="000B0665">
        <w:rPr>
          <w:rFonts w:ascii="Corbel" w:hAnsi="Corbel"/>
          <w:sz w:val="23"/>
          <w:szCs w:val="23"/>
          <w:lang w:val="en-US"/>
        </w:rPr>
        <w:t>n</w:t>
      </w:r>
      <w:r w:rsidR="00A85936" w:rsidRPr="003F0301">
        <w:rPr>
          <w:rFonts w:ascii="Corbel" w:hAnsi="Corbel"/>
          <w:sz w:val="23"/>
          <w:szCs w:val="23"/>
          <w:lang w:val="en-US"/>
        </w:rPr>
        <w:t>ew and upgraded road and rail infrastructure that improves safety, eases congestion and supports productivity;</w:t>
      </w:r>
    </w:p>
    <w:p w14:paraId="3343E727" w14:textId="59BAF063" w:rsidR="00A85936" w:rsidRPr="003F0301" w:rsidRDefault="000B0665" w:rsidP="003F0301">
      <w:pPr>
        <w:pStyle w:val="ListParagraph"/>
        <w:numPr>
          <w:ilvl w:val="0"/>
          <w:numId w:val="99"/>
        </w:numPr>
        <w:spacing w:after="160" w:line="259" w:lineRule="auto"/>
        <w:ind w:left="1134" w:hanging="567"/>
        <w:rPr>
          <w:szCs w:val="23"/>
          <w:lang w:val="en-US"/>
        </w:rPr>
      </w:pPr>
      <w:r w:rsidRPr="003F0301">
        <w:rPr>
          <w:rFonts w:ascii="Corbel" w:hAnsi="Corbel"/>
          <w:sz w:val="23"/>
          <w:szCs w:val="23"/>
          <w:lang w:val="en-US"/>
        </w:rPr>
        <w:t>e</w:t>
      </w:r>
      <w:r w:rsidR="00A85936" w:rsidRPr="003F0301">
        <w:rPr>
          <w:rFonts w:ascii="Corbel" w:hAnsi="Corbel"/>
          <w:sz w:val="23"/>
          <w:szCs w:val="23"/>
          <w:lang w:val="en-US"/>
        </w:rPr>
        <w:t>ncourag</w:t>
      </w:r>
      <w:r w:rsidR="00461ADC">
        <w:rPr>
          <w:rFonts w:ascii="Corbel" w:hAnsi="Corbel"/>
          <w:sz w:val="23"/>
          <w:szCs w:val="23"/>
          <w:lang w:val="en-US"/>
        </w:rPr>
        <w:t>ing</w:t>
      </w:r>
      <w:r w:rsidR="00A85936" w:rsidRPr="003F0301">
        <w:rPr>
          <w:rFonts w:ascii="Corbel" w:hAnsi="Corbel"/>
          <w:sz w:val="23"/>
          <w:szCs w:val="23"/>
          <w:lang w:val="en-US"/>
        </w:rPr>
        <w:t xml:space="preserve"> innovation and the uptake of technology to solve transport problems; and</w:t>
      </w:r>
    </w:p>
    <w:p w14:paraId="4F078986" w14:textId="634F23EF" w:rsidR="00A85936" w:rsidRPr="003F0301" w:rsidRDefault="000B0665" w:rsidP="003F0301">
      <w:pPr>
        <w:pStyle w:val="ListParagraph"/>
        <w:numPr>
          <w:ilvl w:val="0"/>
          <w:numId w:val="99"/>
        </w:numPr>
        <w:spacing w:after="160" w:line="259" w:lineRule="auto"/>
        <w:ind w:left="1134" w:hanging="567"/>
        <w:rPr>
          <w:szCs w:val="23"/>
          <w:lang w:val="en-US"/>
        </w:rPr>
      </w:pPr>
      <w:r w:rsidRPr="003F0301">
        <w:rPr>
          <w:rFonts w:ascii="Corbel" w:hAnsi="Corbel"/>
          <w:sz w:val="23"/>
          <w:szCs w:val="23"/>
          <w:lang w:val="en-US"/>
        </w:rPr>
        <w:t>p</w:t>
      </w:r>
      <w:r w:rsidR="00A85936" w:rsidRPr="003F0301">
        <w:rPr>
          <w:rFonts w:ascii="Corbel" w:hAnsi="Corbel"/>
          <w:sz w:val="23"/>
          <w:szCs w:val="23"/>
          <w:lang w:val="en-US"/>
        </w:rPr>
        <w:t>romoting a competitive infrastructure market that provides opportunities for local</w:t>
      </w:r>
      <w:r w:rsidR="00052516">
        <w:rPr>
          <w:rFonts w:ascii="Corbel" w:hAnsi="Corbel"/>
          <w:sz w:val="23"/>
          <w:szCs w:val="23"/>
          <w:lang w:val="en-US"/>
        </w:rPr>
        <w:t xml:space="preserve"> </w:t>
      </w:r>
      <w:r w:rsidR="00880499">
        <w:rPr>
          <w:rFonts w:ascii="Corbel" w:hAnsi="Corbel"/>
          <w:sz w:val="23"/>
          <w:szCs w:val="23"/>
          <w:lang w:val="en-US"/>
        </w:rPr>
        <w:t xml:space="preserve">businesses and employment </w:t>
      </w:r>
      <w:r w:rsidR="00A85936" w:rsidRPr="003F0301">
        <w:rPr>
          <w:rFonts w:ascii="Corbel" w:hAnsi="Corbel"/>
          <w:sz w:val="23"/>
          <w:szCs w:val="23"/>
          <w:lang w:val="en-US"/>
        </w:rPr>
        <w:t xml:space="preserve">and Indigenous </w:t>
      </w:r>
      <w:r w:rsidR="00052516">
        <w:rPr>
          <w:rFonts w:ascii="Corbel" w:hAnsi="Corbel"/>
          <w:sz w:val="23"/>
          <w:szCs w:val="23"/>
          <w:lang w:val="en-US"/>
        </w:rPr>
        <w:t>Australians</w:t>
      </w:r>
      <w:r w:rsidR="00A85936" w:rsidRPr="003F0301">
        <w:rPr>
          <w:rFonts w:ascii="Corbel" w:hAnsi="Corbel"/>
          <w:sz w:val="23"/>
          <w:szCs w:val="23"/>
          <w:lang w:val="en-US"/>
        </w:rPr>
        <w:t>.</w:t>
      </w:r>
    </w:p>
    <w:p w14:paraId="4B9F6F43" w14:textId="77777777" w:rsidR="00814667" w:rsidRPr="00AF6D5F" w:rsidRDefault="00814667">
      <w:pPr>
        <w:pStyle w:val="Heading2"/>
      </w:pPr>
      <w:r w:rsidRPr="00AF6D5F">
        <w:t>Outputs</w:t>
      </w:r>
    </w:p>
    <w:p w14:paraId="3E7C3E13" w14:textId="169A315F" w:rsidR="00BA3890" w:rsidRPr="002336E0" w:rsidRDefault="00BA3890" w:rsidP="0038330F">
      <w:pPr>
        <w:pStyle w:val="Normalnumbered"/>
        <w:numPr>
          <w:ilvl w:val="0"/>
          <w:numId w:val="15"/>
        </w:numPr>
        <w:tabs>
          <w:tab w:val="num" w:pos="426"/>
        </w:tabs>
        <w:rPr>
          <w:rFonts w:cstheme="minorHAnsi"/>
          <w:color w:val="auto"/>
          <w:szCs w:val="23"/>
        </w:rPr>
      </w:pPr>
      <w:r w:rsidRPr="002336E0">
        <w:rPr>
          <w:rFonts w:cstheme="minorHAnsi"/>
          <w:color w:val="auto"/>
          <w:szCs w:val="23"/>
        </w:rPr>
        <w:t xml:space="preserve">The objectives and outcomes of this Agreement </w:t>
      </w:r>
      <w:r w:rsidR="006F7A8B">
        <w:rPr>
          <w:rFonts w:cstheme="minorHAnsi"/>
          <w:color w:val="auto"/>
          <w:szCs w:val="23"/>
        </w:rPr>
        <w:t xml:space="preserve">will be achieved by the successful delivery of transport infrastructure and planning Projects, as set out in the Schedules to this Agreement and measured by specific performance metrics outlined at </w:t>
      </w:r>
      <w:r w:rsidR="006F7A8B" w:rsidRPr="007B15CF">
        <w:rPr>
          <w:rFonts w:cstheme="minorHAnsi"/>
          <w:color w:val="auto"/>
          <w:szCs w:val="23"/>
        </w:rPr>
        <w:t xml:space="preserve">clause </w:t>
      </w:r>
      <w:r w:rsidR="00527FED" w:rsidRPr="00527FED">
        <w:rPr>
          <w:rFonts w:cstheme="minorHAnsi"/>
          <w:color w:val="auto"/>
          <w:szCs w:val="23"/>
        </w:rPr>
        <w:t>3</w:t>
      </w:r>
      <w:r w:rsidR="00527FED">
        <w:rPr>
          <w:rFonts w:cstheme="minorHAnsi"/>
          <w:color w:val="auto"/>
          <w:szCs w:val="23"/>
        </w:rPr>
        <w:t>6</w:t>
      </w:r>
      <w:r w:rsidR="006F7A8B">
        <w:rPr>
          <w:rFonts w:cstheme="minorHAnsi"/>
          <w:color w:val="auto"/>
          <w:szCs w:val="23"/>
        </w:rPr>
        <w:t>.</w:t>
      </w:r>
    </w:p>
    <w:p w14:paraId="3F66257C" w14:textId="77777777" w:rsidR="00814667" w:rsidRDefault="00814667">
      <w:pPr>
        <w:pStyle w:val="Heading1"/>
      </w:pPr>
      <w:r>
        <w:t>Part 3 — roles and responsibilities of each party</w:t>
      </w:r>
    </w:p>
    <w:p w14:paraId="4CB8E3EE" w14:textId="77777777" w:rsidR="00814667" w:rsidRDefault="00AB79E9" w:rsidP="0038330F">
      <w:pPr>
        <w:pStyle w:val="Normalnumbered"/>
        <w:numPr>
          <w:ilvl w:val="0"/>
          <w:numId w:val="15"/>
        </w:numPr>
        <w:tabs>
          <w:tab w:val="num" w:pos="426"/>
        </w:tabs>
      </w:pPr>
      <w:r>
        <w:t xml:space="preserve">To realise the objectives and commitments in this Agreement, each Party has specific roles and responsibilities, as outlined </w:t>
      </w:r>
      <w:r w:rsidRPr="00ED6043">
        <w:t>below</w:t>
      </w:r>
      <w:r>
        <w:t>.</w:t>
      </w:r>
    </w:p>
    <w:p w14:paraId="6C0D1227" w14:textId="77777777" w:rsidR="00814667" w:rsidRDefault="00814667">
      <w:pPr>
        <w:pStyle w:val="Heading2"/>
      </w:pPr>
      <w:r w:rsidRPr="00814590">
        <w:t>Role of the Commonwealth</w:t>
      </w:r>
    </w:p>
    <w:p w14:paraId="4C7E4333" w14:textId="77777777" w:rsidR="0052795B" w:rsidRPr="005369A2" w:rsidRDefault="0052795B" w:rsidP="0038330F">
      <w:pPr>
        <w:pStyle w:val="Normalnumbered"/>
        <w:numPr>
          <w:ilvl w:val="0"/>
          <w:numId w:val="15"/>
        </w:numPr>
        <w:tabs>
          <w:tab w:val="num" w:pos="426"/>
        </w:tabs>
        <w:rPr>
          <w:color w:val="auto"/>
        </w:rPr>
      </w:pPr>
      <w:r w:rsidRPr="005369A2">
        <w:rPr>
          <w:color w:val="auto"/>
        </w:rPr>
        <w:t xml:space="preserve">The </w:t>
      </w:r>
      <w:r w:rsidRPr="0038330F">
        <w:t>Commonwealth</w:t>
      </w:r>
      <w:r w:rsidRPr="005369A2">
        <w:rPr>
          <w:color w:val="auto"/>
        </w:rPr>
        <w:t xml:space="preserve"> agrees to be accountable for the following roles and responsibilities:</w:t>
      </w:r>
    </w:p>
    <w:p w14:paraId="22E4DE0F" w14:textId="77777777" w:rsidR="0052795B" w:rsidRPr="005369A2" w:rsidRDefault="0052795B" w:rsidP="0052795B">
      <w:pPr>
        <w:pStyle w:val="AlphaParagraph"/>
        <w:numPr>
          <w:ilvl w:val="0"/>
          <w:numId w:val="53"/>
        </w:numPr>
        <w:tabs>
          <w:tab w:val="clear" w:pos="1134"/>
        </w:tabs>
        <w:ind w:left="1134"/>
      </w:pPr>
      <w:r w:rsidRPr="005369A2">
        <w:t xml:space="preserve">assessing and determining which </w:t>
      </w:r>
      <w:r>
        <w:t>P</w:t>
      </w:r>
      <w:r w:rsidRPr="005369A2">
        <w:t xml:space="preserve">rojects are to be funded under this Agreement, in consultation with the States and in accordance with the </w:t>
      </w:r>
      <w:r>
        <w:t xml:space="preserve">NLT Act </w:t>
      </w:r>
      <w:r w:rsidRPr="005369A2">
        <w:t xml:space="preserve">(and other relevant legislation) and the </w:t>
      </w:r>
      <w:r w:rsidRPr="003D63C7">
        <w:rPr>
          <w:shd w:val="clear" w:color="auto" w:fill="FFFFFF"/>
        </w:rPr>
        <w:t>associated Notes on Administration</w:t>
      </w:r>
      <w:r w:rsidRPr="005369A2">
        <w:t>;</w:t>
      </w:r>
      <w:r w:rsidRPr="005369A2">
        <w:rPr>
          <w:color w:val="auto"/>
        </w:rPr>
        <w:t xml:space="preserve"> </w:t>
      </w:r>
    </w:p>
    <w:p w14:paraId="4127B9D2" w14:textId="77777777" w:rsidR="0052795B" w:rsidRDefault="0052795B" w:rsidP="0052795B">
      <w:pPr>
        <w:pStyle w:val="AlphaParagraph"/>
        <w:numPr>
          <w:ilvl w:val="0"/>
          <w:numId w:val="53"/>
        </w:numPr>
        <w:tabs>
          <w:tab w:val="clear" w:pos="1134"/>
        </w:tabs>
        <w:ind w:left="1134"/>
      </w:pPr>
      <w:r w:rsidRPr="005369A2">
        <w:t xml:space="preserve">providing a financial contribution to the States </w:t>
      </w:r>
      <w:r>
        <w:t>for the Projects set out in the Schedules</w:t>
      </w:r>
      <w:r w:rsidRPr="005369A2">
        <w:t xml:space="preserve">; </w:t>
      </w:r>
    </w:p>
    <w:p w14:paraId="2C1074FF" w14:textId="77777777" w:rsidR="0052795B" w:rsidRPr="005369A2" w:rsidRDefault="0052795B" w:rsidP="0052795B">
      <w:pPr>
        <w:pStyle w:val="AlphaParagraph"/>
        <w:numPr>
          <w:ilvl w:val="0"/>
          <w:numId w:val="53"/>
        </w:numPr>
        <w:tabs>
          <w:tab w:val="clear" w:pos="1134"/>
        </w:tabs>
        <w:ind w:left="1134"/>
        <w:rPr>
          <w:color w:val="auto"/>
        </w:rPr>
      </w:pPr>
      <w:r w:rsidRPr="005369A2">
        <w:t xml:space="preserve">coordinating the development </w:t>
      </w:r>
      <w:r>
        <w:t xml:space="preserve">and revision </w:t>
      </w:r>
      <w:r w:rsidRPr="005369A2">
        <w:t xml:space="preserve">of </w:t>
      </w:r>
      <w:r>
        <w:t xml:space="preserve">the Schedules </w:t>
      </w:r>
      <w:r w:rsidRPr="005369A2">
        <w:t>in partnership with the S</w:t>
      </w:r>
      <w:r w:rsidRPr="005369A2">
        <w:rPr>
          <w:color w:val="auto"/>
        </w:rPr>
        <w:t xml:space="preserve">tates; </w:t>
      </w:r>
    </w:p>
    <w:p w14:paraId="0E652DF6" w14:textId="440AF606" w:rsidR="0052795B" w:rsidRDefault="0052795B" w:rsidP="0052795B">
      <w:pPr>
        <w:pStyle w:val="AlphaParagraph"/>
        <w:numPr>
          <w:ilvl w:val="0"/>
          <w:numId w:val="53"/>
        </w:numPr>
        <w:tabs>
          <w:tab w:val="clear" w:pos="1134"/>
        </w:tabs>
        <w:ind w:left="1134"/>
        <w:rPr>
          <w:color w:val="auto"/>
        </w:rPr>
      </w:pPr>
      <w:r w:rsidRPr="005369A2">
        <w:rPr>
          <w:color w:val="auto"/>
        </w:rPr>
        <w:t xml:space="preserve">monitoring and assessing performance in the delivery of </w:t>
      </w:r>
      <w:r>
        <w:rPr>
          <w:color w:val="auto"/>
        </w:rPr>
        <w:t>P</w:t>
      </w:r>
      <w:r w:rsidRPr="005369A2">
        <w:rPr>
          <w:color w:val="auto"/>
        </w:rPr>
        <w:t>rojects under this Agreement to ensure that outputs are delivered and outcomes are achieved within the agreed timeframe;</w:t>
      </w:r>
    </w:p>
    <w:p w14:paraId="5AA0E93E" w14:textId="77777777" w:rsidR="0052795B" w:rsidRPr="005369A2" w:rsidRDefault="0052795B" w:rsidP="0052795B">
      <w:pPr>
        <w:pStyle w:val="AlphaParagraph"/>
        <w:numPr>
          <w:ilvl w:val="0"/>
          <w:numId w:val="53"/>
        </w:numPr>
        <w:tabs>
          <w:tab w:val="clear" w:pos="1134"/>
        </w:tabs>
        <w:ind w:left="1134"/>
        <w:rPr>
          <w:color w:val="auto"/>
        </w:rPr>
      </w:pPr>
      <w:r>
        <w:rPr>
          <w:color w:val="auto"/>
        </w:rPr>
        <w:lastRenderedPageBreak/>
        <w:t>assessing and approving targets for Indigenous Participation Plans submitted by the States, in accordance with the Notes on Administration and the Indigenous Employment and Supplier-use Infrastructure Framework, with relevant Commonwealth agencies to deliver appropriate supply-side supports consistent with their portfolio responsibilities;</w:t>
      </w:r>
    </w:p>
    <w:p w14:paraId="6A20D62C" w14:textId="77777777" w:rsidR="0052795B" w:rsidRPr="005369A2" w:rsidRDefault="0052795B" w:rsidP="0052795B">
      <w:pPr>
        <w:pStyle w:val="AlphaParagraph"/>
        <w:numPr>
          <w:ilvl w:val="0"/>
          <w:numId w:val="53"/>
        </w:numPr>
        <w:tabs>
          <w:tab w:val="clear" w:pos="1134"/>
        </w:tabs>
        <w:ind w:left="1134"/>
        <w:rPr>
          <w:color w:val="auto"/>
        </w:rPr>
      </w:pPr>
      <w:r w:rsidRPr="005369A2">
        <w:rPr>
          <w:color w:val="auto"/>
          <w:szCs w:val="23"/>
        </w:rPr>
        <w:t xml:space="preserve">in accordance with the </w:t>
      </w:r>
      <w:r>
        <w:rPr>
          <w:i/>
          <w:color w:val="auto"/>
          <w:szCs w:val="23"/>
        </w:rPr>
        <w:t>Building and Construction Industry (Improving Productivity) Act 2016</w:t>
      </w:r>
      <w:r w:rsidRPr="005369A2">
        <w:rPr>
          <w:color w:val="auto"/>
        </w:rPr>
        <w:t xml:space="preserve">, </w:t>
      </w:r>
      <w:r w:rsidRPr="005369A2">
        <w:rPr>
          <w:color w:val="auto"/>
          <w:szCs w:val="23"/>
        </w:rPr>
        <w:t xml:space="preserve">ensuring that </w:t>
      </w:r>
      <w:r w:rsidRPr="005369A2">
        <w:rPr>
          <w:color w:val="auto"/>
        </w:rPr>
        <w:t xml:space="preserve">financial contributions to a building project or projects as defined under the </w:t>
      </w:r>
      <w:r>
        <w:rPr>
          <w:i/>
          <w:color w:val="auto"/>
        </w:rPr>
        <w:t>Building and Construction Industry (Improving Productivity) Act 2016</w:t>
      </w:r>
      <w:r w:rsidRPr="005369A2">
        <w:rPr>
          <w:color w:val="auto"/>
        </w:rPr>
        <w:t xml:space="preserve">, are only made where a builder or builders accredited under the Australian Government Building and Construction </w:t>
      </w:r>
      <w:r>
        <w:rPr>
          <w:color w:val="auto"/>
        </w:rPr>
        <w:t>Work</w:t>
      </w:r>
      <w:r w:rsidRPr="005369A2">
        <w:rPr>
          <w:color w:val="auto"/>
        </w:rPr>
        <w:t xml:space="preserve"> Health and Safety Accreditation Scheme</w:t>
      </w:r>
      <w:r>
        <w:rPr>
          <w:color w:val="auto"/>
        </w:rPr>
        <w:t>, where applicable,</w:t>
      </w:r>
      <w:r w:rsidRPr="005369A2">
        <w:rPr>
          <w:color w:val="auto"/>
        </w:rPr>
        <w:t xml:space="preserve"> is contracted; </w:t>
      </w:r>
    </w:p>
    <w:p w14:paraId="08C55059" w14:textId="3464C528" w:rsidR="0052795B" w:rsidRDefault="0052795B" w:rsidP="0052795B">
      <w:pPr>
        <w:pStyle w:val="AlphaParagraph"/>
        <w:numPr>
          <w:ilvl w:val="0"/>
          <w:numId w:val="53"/>
        </w:numPr>
        <w:tabs>
          <w:tab w:val="clear" w:pos="1134"/>
        </w:tabs>
        <w:ind w:left="1134"/>
      </w:pPr>
      <w:r>
        <w:rPr>
          <w:color w:val="auto"/>
        </w:rPr>
        <w:t xml:space="preserve">in accordance with the </w:t>
      </w:r>
      <w:r>
        <w:rPr>
          <w:i/>
          <w:color w:val="auto"/>
        </w:rPr>
        <w:t xml:space="preserve">Building and Construction Industry (Improving Productivity) Act 2016, </w:t>
      </w:r>
      <w:r w:rsidRPr="005369A2">
        <w:rPr>
          <w:color w:val="auto"/>
        </w:rPr>
        <w:t xml:space="preserve">ensuring that compliance with the </w:t>
      </w:r>
      <w:r>
        <w:rPr>
          <w:color w:val="auto"/>
        </w:rPr>
        <w:t xml:space="preserve">Building Code 2016, as amended from time to time where applicable, </w:t>
      </w:r>
      <w:r w:rsidRPr="005369A2">
        <w:t>is a condition of</w:t>
      </w:r>
      <w:r>
        <w:t xml:space="preserve"> Commonwealth</w:t>
      </w:r>
      <w:r w:rsidRPr="005369A2">
        <w:t xml:space="preserve"> funding</w:t>
      </w:r>
      <w:r w:rsidR="007951CB">
        <w:t xml:space="preserve"> for Project delivery</w:t>
      </w:r>
      <w:r>
        <w:t>;</w:t>
      </w:r>
    </w:p>
    <w:p w14:paraId="14A80B33" w14:textId="738D2954" w:rsidR="00F57DC5" w:rsidRDefault="00F57DC5" w:rsidP="0052795B">
      <w:pPr>
        <w:pStyle w:val="AlphaParagraph"/>
        <w:numPr>
          <w:ilvl w:val="0"/>
          <w:numId w:val="53"/>
        </w:numPr>
        <w:tabs>
          <w:tab w:val="clear" w:pos="1134"/>
        </w:tabs>
        <w:ind w:left="1134"/>
      </w:pPr>
      <w:r>
        <w:rPr>
          <w:color w:val="auto"/>
        </w:rPr>
        <w:t>i</w:t>
      </w:r>
      <w:r w:rsidR="0052795B" w:rsidRPr="00CD13DD">
        <w:rPr>
          <w:color w:val="auto"/>
        </w:rPr>
        <w:t>n line with the requirements of Schedule E, Clause 26 of the IGA FFR,</w:t>
      </w:r>
      <w:r w:rsidR="0052795B" w:rsidRPr="00AF6CF2">
        <w:t xml:space="preserve"> recognising the State’s funding contribution to projects in all publications, promotional and advertising materials, and public announcements and activities in relation to a Project as appropriate, and consult</w:t>
      </w:r>
      <w:r w:rsidR="008608E5">
        <w:t>ing</w:t>
      </w:r>
      <w:r w:rsidR="0052795B" w:rsidRPr="00AF6CF2">
        <w:t xml:space="preserve"> the State prior to release of all promotional materials concerning </w:t>
      </w:r>
      <w:r w:rsidR="009061D7">
        <w:t>P</w:t>
      </w:r>
      <w:r w:rsidR="0052795B" w:rsidRPr="00AF6CF2">
        <w:t>rojects funded through this Agreement</w:t>
      </w:r>
      <w:r>
        <w:t>; and</w:t>
      </w:r>
    </w:p>
    <w:p w14:paraId="0DC26518" w14:textId="2E7D2D3A" w:rsidR="0052795B" w:rsidRPr="00AF6CF2" w:rsidRDefault="00F57DC5" w:rsidP="0052795B">
      <w:pPr>
        <w:pStyle w:val="AlphaParagraph"/>
        <w:numPr>
          <w:ilvl w:val="0"/>
          <w:numId w:val="53"/>
        </w:numPr>
        <w:tabs>
          <w:tab w:val="clear" w:pos="1134"/>
        </w:tabs>
        <w:ind w:left="1134"/>
      </w:pPr>
      <w:r>
        <w:rPr>
          <w:color w:val="auto"/>
        </w:rPr>
        <w:t>to consult with the States on a case-by-case basis on updating or otherwise amending the Notes on Administration to this Agreement</w:t>
      </w:r>
      <w:r w:rsidR="0012476C">
        <w:rPr>
          <w:color w:val="auto"/>
        </w:rPr>
        <w:t>, and seek States’ agreement where change is proposed.</w:t>
      </w:r>
    </w:p>
    <w:p w14:paraId="75ACFAB8" w14:textId="77777777" w:rsidR="00DD1898" w:rsidRDefault="00814667" w:rsidP="0038330F">
      <w:pPr>
        <w:pStyle w:val="Heading2"/>
      </w:pPr>
      <w:r w:rsidRPr="00751725">
        <w:t xml:space="preserve">Role of the States </w:t>
      </w:r>
      <w:r w:rsidR="00ED4036">
        <w:t>and Territories</w:t>
      </w:r>
    </w:p>
    <w:p w14:paraId="081B5D1B" w14:textId="77777777" w:rsidR="00180735" w:rsidRPr="00CF5FDF" w:rsidRDefault="00180735" w:rsidP="0038330F">
      <w:pPr>
        <w:pStyle w:val="Normalnumbered"/>
        <w:numPr>
          <w:ilvl w:val="0"/>
          <w:numId w:val="15"/>
        </w:numPr>
        <w:tabs>
          <w:tab w:val="num" w:pos="426"/>
        </w:tabs>
        <w:rPr>
          <w:color w:val="auto"/>
        </w:rPr>
      </w:pPr>
      <w:r w:rsidRPr="00CF5FDF">
        <w:rPr>
          <w:color w:val="auto"/>
        </w:rPr>
        <w:t>The States agree to be accountable for the following roles and responsibilities:</w:t>
      </w:r>
    </w:p>
    <w:p w14:paraId="1CCF9CD1" w14:textId="77777777" w:rsidR="00180735" w:rsidRPr="00CF5FDF" w:rsidRDefault="00180735" w:rsidP="00180735">
      <w:pPr>
        <w:pStyle w:val="AlphaParagraph"/>
        <w:numPr>
          <w:ilvl w:val="0"/>
          <w:numId w:val="54"/>
        </w:numPr>
        <w:tabs>
          <w:tab w:val="clear" w:pos="567"/>
        </w:tabs>
        <w:ind w:left="1134"/>
      </w:pPr>
      <w:r w:rsidRPr="00CF5FDF">
        <w:t xml:space="preserve">providing a financial or in-kind </w:t>
      </w:r>
      <w:r>
        <w:t>contribution, where agreed, to P</w:t>
      </w:r>
      <w:r w:rsidRPr="00CF5FDF">
        <w:t>rojects set out in the Schedules, to support the implementation of this Agreement;</w:t>
      </w:r>
    </w:p>
    <w:p w14:paraId="63BFC6C1" w14:textId="4387E830" w:rsidR="00180735" w:rsidRPr="00935E8C" w:rsidRDefault="00180735" w:rsidP="00180735">
      <w:pPr>
        <w:pStyle w:val="AlphaParagraph"/>
        <w:numPr>
          <w:ilvl w:val="0"/>
          <w:numId w:val="54"/>
        </w:numPr>
        <w:tabs>
          <w:tab w:val="clear" w:pos="567"/>
        </w:tabs>
        <w:ind w:left="1134"/>
      </w:pPr>
      <w:r w:rsidRPr="00CF5FDF">
        <w:t>providing Project Proposal Reports</w:t>
      </w:r>
      <w:r>
        <w:t>, accompanying Indigenous Participation Plans and project data</w:t>
      </w:r>
      <w:r w:rsidR="000764E5">
        <w:t>,</w:t>
      </w:r>
      <w:r>
        <w:t xml:space="preserve"> </w:t>
      </w:r>
      <w:r w:rsidR="000764E5">
        <w:t xml:space="preserve">such as modelling outputs and expected project benefits, </w:t>
      </w:r>
      <w:r w:rsidRPr="00CF5FDF">
        <w:t>consistent with the guidance and templates in the Notes on Administration, and providing additional information requested by the Commonwealth</w:t>
      </w:r>
      <w:r w:rsidR="00F77DEE">
        <w:t xml:space="preserve"> </w:t>
      </w:r>
      <w:r w:rsidR="00F77DEE" w:rsidRPr="00F57491">
        <w:t>to support its roles and responsibilities</w:t>
      </w:r>
      <w:r w:rsidRPr="00F57491">
        <w:t>;</w:t>
      </w:r>
    </w:p>
    <w:p w14:paraId="4F38C93B" w14:textId="77777777" w:rsidR="00180735" w:rsidRPr="00CF5FDF" w:rsidRDefault="00180735" w:rsidP="00180735">
      <w:pPr>
        <w:pStyle w:val="AlphaParagraph"/>
        <w:numPr>
          <w:ilvl w:val="0"/>
          <w:numId w:val="54"/>
        </w:numPr>
        <w:tabs>
          <w:tab w:val="clear" w:pos="567"/>
        </w:tabs>
        <w:ind w:left="1134"/>
      </w:pPr>
      <w:r w:rsidRPr="00935E8C">
        <w:rPr>
          <w:color w:val="auto"/>
        </w:rPr>
        <w:t xml:space="preserve">delivering the infrastructure </w:t>
      </w:r>
      <w:r>
        <w:rPr>
          <w:color w:val="auto"/>
        </w:rPr>
        <w:t>P</w:t>
      </w:r>
      <w:r w:rsidRPr="00CF5FDF">
        <w:rPr>
          <w:color w:val="auto"/>
        </w:rPr>
        <w:t xml:space="preserve">rojects set out in the Schedules </w:t>
      </w:r>
      <w:r>
        <w:rPr>
          <w:color w:val="auto"/>
        </w:rPr>
        <w:t xml:space="preserve">to support the implementation of </w:t>
      </w:r>
      <w:r w:rsidRPr="00CF5FDF">
        <w:rPr>
          <w:color w:val="auto"/>
        </w:rPr>
        <w:t>this Agreement;</w:t>
      </w:r>
    </w:p>
    <w:p w14:paraId="5B1E7B24" w14:textId="202958C8" w:rsidR="00880499" w:rsidRPr="00880499" w:rsidRDefault="00880499" w:rsidP="00180735">
      <w:pPr>
        <w:pStyle w:val="AlphaParagraph"/>
        <w:numPr>
          <w:ilvl w:val="0"/>
          <w:numId w:val="54"/>
        </w:numPr>
        <w:tabs>
          <w:tab w:val="clear" w:pos="567"/>
        </w:tabs>
        <w:ind w:left="1134"/>
        <w:rPr>
          <w:color w:val="auto"/>
        </w:rPr>
      </w:pPr>
      <w:r w:rsidRPr="00880499">
        <w:rPr>
          <w:color w:val="auto"/>
        </w:rPr>
        <w:t>ensuring procurement practices deliver value for money for public funds and support the longer term capacity and diversity of the construction market</w:t>
      </w:r>
      <w:r w:rsidR="002D7DEE">
        <w:rPr>
          <w:color w:val="auto"/>
        </w:rPr>
        <w:t>, in accordance with principles agreed through the Transport and Infrastructure Council</w:t>
      </w:r>
      <w:r>
        <w:rPr>
          <w:color w:val="auto"/>
        </w:rPr>
        <w:t>;</w:t>
      </w:r>
    </w:p>
    <w:p w14:paraId="508CC495" w14:textId="64F9B841" w:rsidR="00180735" w:rsidRPr="00AF6CF2" w:rsidRDefault="00180735" w:rsidP="00180735">
      <w:pPr>
        <w:pStyle w:val="AlphaParagraph"/>
        <w:numPr>
          <w:ilvl w:val="0"/>
          <w:numId w:val="54"/>
        </w:numPr>
        <w:tabs>
          <w:tab w:val="clear" w:pos="567"/>
        </w:tabs>
        <w:ind w:left="1134"/>
      </w:pPr>
      <w:r w:rsidRPr="00AF6CF2">
        <w:rPr>
          <w:color w:val="auto"/>
        </w:rPr>
        <w:t xml:space="preserve">maintaining the roads on the National Land Transport Network to the appropriate standard based on their classification, as set out in the Notes on Administration; </w:t>
      </w:r>
    </w:p>
    <w:p w14:paraId="435E7467" w14:textId="4FE34663" w:rsidR="00180735" w:rsidRPr="00CF5FDF" w:rsidRDefault="00180735" w:rsidP="00180735">
      <w:pPr>
        <w:pStyle w:val="AlphaParagraph"/>
        <w:numPr>
          <w:ilvl w:val="0"/>
          <w:numId w:val="54"/>
        </w:numPr>
        <w:tabs>
          <w:tab w:val="clear" w:pos="567"/>
        </w:tabs>
        <w:ind w:left="1134"/>
      </w:pPr>
      <w:r w:rsidRPr="00CF5FDF">
        <w:t xml:space="preserve">monitoring and assessing </w:t>
      </w:r>
      <w:r>
        <w:t>performance in the delivery of P</w:t>
      </w:r>
      <w:r w:rsidRPr="00CF5FDF">
        <w:t>rojects under this Agreement</w:t>
      </w:r>
      <w:r>
        <w:t xml:space="preserve">, including providing relevant information on development and progress of a funded Project on request to assist the Commonwealth with performing </w:t>
      </w:r>
      <w:r w:rsidRPr="00F57491">
        <w:t xml:space="preserve">its </w:t>
      </w:r>
      <w:r w:rsidR="007261F2" w:rsidRPr="00F57491">
        <w:t>roles and</w:t>
      </w:r>
      <w:r w:rsidR="007261F2">
        <w:t xml:space="preserve"> </w:t>
      </w:r>
      <w:r>
        <w:t>responsibilities</w:t>
      </w:r>
      <w:r w:rsidRPr="00CF5FDF">
        <w:t>;</w:t>
      </w:r>
    </w:p>
    <w:p w14:paraId="19A458F4" w14:textId="77777777" w:rsidR="00180735" w:rsidRPr="00CF5FDF" w:rsidRDefault="00180735" w:rsidP="00180735">
      <w:pPr>
        <w:pStyle w:val="AlphaParagraph"/>
        <w:numPr>
          <w:ilvl w:val="0"/>
          <w:numId w:val="54"/>
        </w:numPr>
        <w:tabs>
          <w:tab w:val="clear" w:pos="567"/>
        </w:tabs>
        <w:ind w:left="1134"/>
      </w:pPr>
      <w:r w:rsidRPr="00CF5FDF">
        <w:t xml:space="preserve">reporting on the delivery of outcomes and outputs as set out in Part 4 – Performance Monitoring and Reporting; </w:t>
      </w:r>
    </w:p>
    <w:p w14:paraId="50F551B2" w14:textId="77777777" w:rsidR="00180735" w:rsidRPr="00CF5FDF" w:rsidRDefault="00180735" w:rsidP="00180735">
      <w:pPr>
        <w:pStyle w:val="AlphaParagraph"/>
        <w:numPr>
          <w:ilvl w:val="0"/>
          <w:numId w:val="54"/>
        </w:numPr>
        <w:tabs>
          <w:tab w:val="clear" w:pos="567"/>
        </w:tabs>
        <w:ind w:left="1134"/>
      </w:pPr>
      <w:r w:rsidRPr="00CF5FDF">
        <w:t xml:space="preserve">ensuring that only a builder or builders accredited under the Australian Government Building and Construction </w:t>
      </w:r>
      <w:r>
        <w:t>Work</w:t>
      </w:r>
      <w:r w:rsidRPr="00CF5FDF">
        <w:t xml:space="preserve"> Health and Safety Accreditation Scheme, where applicable, is contracted, and providing the necessary assurances to the Commonwealth;</w:t>
      </w:r>
    </w:p>
    <w:p w14:paraId="6E4BF752" w14:textId="77777777" w:rsidR="00180735" w:rsidRPr="00935E8C" w:rsidRDefault="00180735" w:rsidP="00180735">
      <w:pPr>
        <w:pStyle w:val="AlphaParagraph"/>
        <w:numPr>
          <w:ilvl w:val="0"/>
          <w:numId w:val="54"/>
        </w:numPr>
        <w:tabs>
          <w:tab w:val="clear" w:pos="567"/>
        </w:tabs>
        <w:ind w:left="1134"/>
      </w:pPr>
      <w:r w:rsidRPr="00935E8C">
        <w:lastRenderedPageBreak/>
        <w:t>ensuring that compliance with the Building Code 20</w:t>
      </w:r>
      <w:r>
        <w:t>16, as amended from time to time,</w:t>
      </w:r>
      <w:r w:rsidRPr="00935E8C">
        <w:t xml:space="preserve"> where applicable, is made a condition of tender for all contractors and subcontractors who tender for the work, and providing the necessary assurances to the Commonwealth;</w:t>
      </w:r>
    </w:p>
    <w:p w14:paraId="735C06F0" w14:textId="52A1BF9D" w:rsidR="00180735" w:rsidRDefault="00180735" w:rsidP="00180735">
      <w:pPr>
        <w:pStyle w:val="AlphaParagraph"/>
        <w:numPr>
          <w:ilvl w:val="0"/>
          <w:numId w:val="54"/>
        </w:numPr>
        <w:tabs>
          <w:tab w:val="clear" w:pos="567"/>
        </w:tabs>
        <w:ind w:left="1134"/>
        <w:rPr>
          <w:color w:val="auto"/>
        </w:rPr>
      </w:pPr>
      <w:r w:rsidRPr="00AF6CF2">
        <w:rPr>
          <w:iCs/>
          <w:color w:val="auto"/>
        </w:rPr>
        <w:t>implement</w:t>
      </w:r>
      <w:r>
        <w:rPr>
          <w:iCs/>
          <w:color w:val="auto"/>
        </w:rPr>
        <w:t>ing</w:t>
      </w:r>
      <w:r w:rsidRPr="00AF6CF2">
        <w:rPr>
          <w:iCs/>
          <w:color w:val="auto"/>
        </w:rPr>
        <w:t xml:space="preserve"> Indigenous participation requirements for </w:t>
      </w:r>
      <w:r w:rsidR="00F43AEC" w:rsidRPr="00F57491">
        <w:rPr>
          <w:iCs/>
          <w:color w:val="auto"/>
        </w:rPr>
        <w:t>P</w:t>
      </w:r>
      <w:r w:rsidRPr="00F57491">
        <w:rPr>
          <w:iCs/>
          <w:color w:val="auto"/>
        </w:rPr>
        <w:t>rojects</w:t>
      </w:r>
      <w:r w:rsidR="0046278C" w:rsidRPr="00F57491">
        <w:rPr>
          <w:iCs/>
          <w:color w:val="auto"/>
        </w:rPr>
        <w:t xml:space="preserve"> in accordance with the Indigenous Employment and Supplier-use Infrastructure Framework</w:t>
      </w:r>
      <w:r w:rsidRPr="00F57491">
        <w:rPr>
          <w:iCs/>
          <w:color w:val="auto"/>
        </w:rPr>
        <w:t xml:space="preserve">, including </w:t>
      </w:r>
      <w:r w:rsidRPr="00F57491">
        <w:rPr>
          <w:color w:val="auto"/>
        </w:rPr>
        <w:t xml:space="preserve">developing and delivering Indigenous </w:t>
      </w:r>
      <w:r w:rsidRPr="00F57491">
        <w:rPr>
          <w:iCs/>
          <w:color w:val="auto"/>
        </w:rPr>
        <w:t>Participation Plans</w:t>
      </w:r>
      <w:r w:rsidR="00BD122E" w:rsidRPr="00F57491">
        <w:rPr>
          <w:iCs/>
          <w:color w:val="auto"/>
        </w:rPr>
        <w:t xml:space="preserve"> for Projects above the financial threshold set out in the Notes on Administration</w:t>
      </w:r>
      <w:r w:rsidRPr="00F57491">
        <w:rPr>
          <w:iCs/>
          <w:color w:val="auto"/>
        </w:rPr>
        <w:t>, determining targets for Indigenous employment</w:t>
      </w:r>
      <w:r w:rsidRPr="00F57491">
        <w:rPr>
          <w:color w:val="auto"/>
        </w:rPr>
        <w:t xml:space="preserve"> and </w:t>
      </w:r>
      <w:r w:rsidRPr="00F57491">
        <w:rPr>
          <w:iCs/>
          <w:color w:val="auto"/>
        </w:rPr>
        <w:t>supplier-use to be agreed by the Commonwealth</w:t>
      </w:r>
      <w:r w:rsidRPr="00F57491">
        <w:rPr>
          <w:color w:val="auto"/>
        </w:rPr>
        <w:t xml:space="preserve">, and </w:t>
      </w:r>
      <w:r w:rsidRPr="00F57491">
        <w:rPr>
          <w:iCs/>
          <w:color w:val="auto"/>
        </w:rPr>
        <w:t>reporting against performance</w:t>
      </w:r>
      <w:r w:rsidRPr="00AF6CF2">
        <w:rPr>
          <w:color w:val="auto"/>
        </w:rPr>
        <w:t>;</w:t>
      </w:r>
    </w:p>
    <w:p w14:paraId="2C8312A9" w14:textId="77777777" w:rsidR="00180735" w:rsidRDefault="00180735" w:rsidP="00180735">
      <w:pPr>
        <w:pStyle w:val="AlphaParagraph"/>
        <w:numPr>
          <w:ilvl w:val="0"/>
          <w:numId w:val="54"/>
        </w:numPr>
        <w:shd w:val="clear" w:color="auto" w:fill="FFFFFF"/>
        <w:tabs>
          <w:tab w:val="clear" w:pos="567"/>
        </w:tabs>
        <w:ind w:left="1134"/>
      </w:pPr>
      <w:r w:rsidRPr="00935E8C">
        <w:t xml:space="preserve">providing </w:t>
      </w:r>
      <w:r>
        <w:t xml:space="preserve">to the Commonwealth </w:t>
      </w:r>
      <w:r w:rsidRPr="00935E8C">
        <w:t xml:space="preserve">cost estimates for all </w:t>
      </w:r>
      <w:r>
        <w:t>P</w:t>
      </w:r>
      <w:r w:rsidRPr="00CF5FDF">
        <w:t xml:space="preserve">rojects with a total anticipated Outturn cost (including contingency) exceeding $25 million that, unless otherwise approved by the Commonwealth, </w:t>
      </w:r>
      <w:r w:rsidRPr="00935E8C">
        <w:t>have been developed using appropriate probabilistic cost estimation techniques (as defined in the Notes on Administration) to generate P50</w:t>
      </w:r>
      <w:r w:rsidRPr="00935E8C">
        <w:rPr>
          <w:rStyle w:val="FootnoteReference"/>
        </w:rPr>
        <w:footnoteReference w:id="2"/>
      </w:r>
      <w:r w:rsidRPr="00935E8C">
        <w:t xml:space="preserve"> and P90 Outturn costs for projects and providing access to underpinning data;</w:t>
      </w:r>
    </w:p>
    <w:p w14:paraId="3B6F9F68" w14:textId="77777777" w:rsidR="00180735" w:rsidRPr="00AF6CF2" w:rsidRDefault="00180735" w:rsidP="00180735">
      <w:pPr>
        <w:pStyle w:val="AlphaParagraph"/>
        <w:numPr>
          <w:ilvl w:val="0"/>
          <w:numId w:val="54"/>
        </w:numPr>
        <w:shd w:val="clear" w:color="auto" w:fill="FFFFFF"/>
        <w:tabs>
          <w:tab w:val="clear" w:pos="567"/>
        </w:tabs>
        <w:ind w:left="1134"/>
      </w:pPr>
      <w:r w:rsidRPr="00AF6CF2">
        <w:t>providing Infrastructure Australia with business cases and relevant supporting information and documentation for assessment for Projects where a State is seeking a Commonwealth funding contribution for a Project equal to or greater than the threshold as set out in the Notes on Administration; and</w:t>
      </w:r>
    </w:p>
    <w:p w14:paraId="1C1806B4" w14:textId="2E58FEAD" w:rsidR="0034481E" w:rsidRPr="00F57491" w:rsidRDefault="0034481E" w:rsidP="00180735">
      <w:pPr>
        <w:pStyle w:val="AlphaParagraph"/>
        <w:numPr>
          <w:ilvl w:val="0"/>
          <w:numId w:val="54"/>
        </w:numPr>
        <w:tabs>
          <w:tab w:val="clear" w:pos="567"/>
        </w:tabs>
        <w:ind w:left="1134"/>
      </w:pPr>
      <w:r w:rsidRPr="00F57491">
        <w:t xml:space="preserve">providing </w:t>
      </w:r>
      <w:r w:rsidR="00A20C2D" w:rsidRPr="00F57491">
        <w:t xml:space="preserve">the State’s consideration, </w:t>
      </w:r>
      <w:r w:rsidRPr="00F57491">
        <w:t>in relevant Project documents</w:t>
      </w:r>
      <w:r w:rsidR="00A20C2D" w:rsidRPr="00F57491">
        <w:t>,</w:t>
      </w:r>
      <w:r w:rsidRPr="00F57491">
        <w:t xml:space="preserve"> of opportunities for private sector financial participation, and public private partnership (PPP) procurement options, </w:t>
      </w:r>
      <w:r w:rsidR="009B6544" w:rsidRPr="00F57491">
        <w:t xml:space="preserve">for Projects set out in the Schedules to this Agreement </w:t>
      </w:r>
      <w:r w:rsidRPr="00F57491">
        <w:t>where:</w:t>
      </w:r>
    </w:p>
    <w:p w14:paraId="158AC0A7" w14:textId="069F5390" w:rsidR="0034481E" w:rsidRPr="00F57491" w:rsidRDefault="0034481E" w:rsidP="005A0EED">
      <w:pPr>
        <w:pStyle w:val="AlphaParagraph"/>
        <w:numPr>
          <w:ilvl w:val="0"/>
          <w:numId w:val="63"/>
        </w:numPr>
        <w:tabs>
          <w:tab w:val="clear" w:pos="567"/>
          <w:tab w:val="clear" w:pos="1134"/>
          <w:tab w:val="num" w:pos="1418"/>
        </w:tabs>
        <w:ind w:left="1418" w:hanging="284"/>
        <w:rPr>
          <w:color w:val="auto"/>
        </w:rPr>
      </w:pPr>
      <w:r w:rsidRPr="00F57491">
        <w:rPr>
          <w:color w:val="auto"/>
        </w:rPr>
        <w:t>the Project’s size and nature</w:t>
      </w:r>
      <w:r w:rsidR="00716045" w:rsidRPr="00F57491">
        <w:rPr>
          <w:color w:val="auto"/>
        </w:rPr>
        <w:t xml:space="preserve"> is conducive to financing opportunities</w:t>
      </w:r>
      <w:r w:rsidRPr="00F57491">
        <w:rPr>
          <w:color w:val="auto"/>
        </w:rPr>
        <w:t>; and</w:t>
      </w:r>
    </w:p>
    <w:p w14:paraId="54833C82" w14:textId="6E0596BC" w:rsidR="0034481E" w:rsidRPr="00F57491" w:rsidRDefault="0034481E" w:rsidP="005A0EED">
      <w:pPr>
        <w:pStyle w:val="AlphaParagraph"/>
        <w:numPr>
          <w:ilvl w:val="0"/>
          <w:numId w:val="63"/>
        </w:numPr>
        <w:tabs>
          <w:tab w:val="clear" w:pos="567"/>
          <w:tab w:val="clear" w:pos="1134"/>
          <w:tab w:val="num" w:pos="1418"/>
        </w:tabs>
        <w:ind w:left="1418" w:hanging="284"/>
      </w:pPr>
      <w:r w:rsidRPr="00F57491">
        <w:t xml:space="preserve">for PPPs, the </w:t>
      </w:r>
      <w:r w:rsidRPr="00F57491">
        <w:rPr>
          <w:color w:val="auto"/>
        </w:rPr>
        <w:t>estimate</w:t>
      </w:r>
      <w:r w:rsidR="00155AA2" w:rsidRPr="00F57491">
        <w:rPr>
          <w:color w:val="auto"/>
        </w:rPr>
        <w:t>d</w:t>
      </w:r>
      <w:r w:rsidRPr="00F57491">
        <w:t xml:space="preserve"> capital cost of a Project is greater than </w:t>
      </w:r>
      <w:r w:rsidR="00091235" w:rsidRPr="00F57491">
        <w:t xml:space="preserve">or equal to </w:t>
      </w:r>
      <w:r w:rsidRPr="00F57491">
        <w:t>the threshold set out in the Notes on Administration.</w:t>
      </w:r>
    </w:p>
    <w:p w14:paraId="611F2DC0" w14:textId="77777777" w:rsidR="00180735" w:rsidRPr="00AF6CF2" w:rsidRDefault="00180735" w:rsidP="00180735">
      <w:pPr>
        <w:pStyle w:val="Normalnumbered"/>
        <w:numPr>
          <w:ilvl w:val="0"/>
          <w:numId w:val="15"/>
        </w:numPr>
        <w:tabs>
          <w:tab w:val="num" w:pos="426"/>
        </w:tabs>
        <w:rPr>
          <w:color w:val="auto"/>
        </w:rPr>
      </w:pPr>
      <w:r w:rsidRPr="00AF6CF2">
        <w:rPr>
          <w:color w:val="auto"/>
        </w:rPr>
        <w:t xml:space="preserve">The States further agree that </w:t>
      </w:r>
      <w:r w:rsidRPr="00CD13DD">
        <w:rPr>
          <w:color w:val="auto"/>
        </w:rPr>
        <w:t>in line with the requirements of Schedule E, Clause 26 of the IGA FFR, they will</w:t>
      </w:r>
      <w:r w:rsidRPr="00AF6CF2">
        <w:rPr>
          <w:color w:val="auto"/>
        </w:rPr>
        <w:t>:</w:t>
      </w:r>
    </w:p>
    <w:p w14:paraId="042B0F4C" w14:textId="451F2D2F" w:rsidR="00180735" w:rsidRPr="00AF6CF2" w:rsidRDefault="00180735" w:rsidP="00180735">
      <w:pPr>
        <w:pStyle w:val="AlphaParagraph"/>
        <w:numPr>
          <w:ilvl w:val="0"/>
          <w:numId w:val="55"/>
        </w:numPr>
        <w:tabs>
          <w:tab w:val="clear" w:pos="567"/>
        </w:tabs>
        <w:ind w:left="1134"/>
      </w:pPr>
      <w:r w:rsidRPr="00AF6CF2">
        <w:t xml:space="preserve">recognise the Commonwealth’s funding contribution to </w:t>
      </w:r>
      <w:r w:rsidR="003A672A">
        <w:t>P</w:t>
      </w:r>
      <w:r w:rsidRPr="00AF6CF2">
        <w:t xml:space="preserve">rojects in all publications, promotional and advertising materials, including </w:t>
      </w:r>
      <w:r w:rsidR="00A04F7E">
        <w:t>P</w:t>
      </w:r>
      <w:r w:rsidRPr="00AF6CF2">
        <w:t>roject signage, and public announcements and activities in relation to a Project as appropriate, and must consult the Commonwealth prior to release of all promotional</w:t>
      </w:r>
      <w:r w:rsidR="00687C2A">
        <w:t>-related</w:t>
      </w:r>
      <w:r w:rsidRPr="00AF6CF2">
        <w:t xml:space="preserve"> materials concerning projects funded through this Agreement;</w:t>
      </w:r>
    </w:p>
    <w:p w14:paraId="02F68358" w14:textId="081D10CC" w:rsidR="00180735" w:rsidRPr="00AF6CF2" w:rsidRDefault="00ED64E5" w:rsidP="00180735">
      <w:pPr>
        <w:pStyle w:val="AlphaParagraph"/>
        <w:numPr>
          <w:ilvl w:val="0"/>
          <w:numId w:val="55"/>
        </w:numPr>
        <w:tabs>
          <w:tab w:val="clear" w:pos="567"/>
        </w:tabs>
        <w:ind w:left="1134"/>
      </w:pPr>
      <w:r>
        <w:t xml:space="preserve">provide reasonable opportunity for the </w:t>
      </w:r>
      <w:r w:rsidR="00180735" w:rsidRPr="00AF6CF2">
        <w:t xml:space="preserve">Commonwealth </w:t>
      </w:r>
      <w:r>
        <w:t>to contribute to</w:t>
      </w:r>
      <w:r w:rsidR="00180735" w:rsidRPr="00AF6CF2">
        <w:t xml:space="preserve"> developing communications strategies for </w:t>
      </w:r>
      <w:r w:rsidR="003A672A">
        <w:t>P</w:t>
      </w:r>
      <w:r w:rsidR="00180735" w:rsidRPr="00AF6CF2">
        <w:t>rojects with a Commonwealth funding contribution;</w:t>
      </w:r>
    </w:p>
    <w:p w14:paraId="46198B4E" w14:textId="263F128C" w:rsidR="00180735" w:rsidRPr="00AF6CF2" w:rsidRDefault="00180735" w:rsidP="00180735">
      <w:pPr>
        <w:pStyle w:val="AlphaParagraph"/>
        <w:numPr>
          <w:ilvl w:val="0"/>
          <w:numId w:val="55"/>
        </w:numPr>
        <w:tabs>
          <w:tab w:val="clear" w:pos="567"/>
        </w:tabs>
        <w:ind w:left="1134"/>
      </w:pPr>
      <w:r w:rsidRPr="00AF6CF2">
        <w:t xml:space="preserve">provide the Commonwealth with </w:t>
      </w:r>
      <w:r w:rsidR="006137C4">
        <w:t xml:space="preserve">equal </w:t>
      </w:r>
      <w:r w:rsidRPr="00AF6CF2">
        <w:t xml:space="preserve">access to products that they obtain for use in the development of promotional material including but not limited to </w:t>
      </w:r>
      <w:r w:rsidR="003A672A">
        <w:t>P</w:t>
      </w:r>
      <w:r w:rsidRPr="00AF6CF2">
        <w:t>roject data, footage and images; and</w:t>
      </w:r>
    </w:p>
    <w:p w14:paraId="5D01FBFD" w14:textId="1BE5D0C5" w:rsidR="00180735" w:rsidRPr="00AF6CF2" w:rsidRDefault="00180735" w:rsidP="00180735">
      <w:pPr>
        <w:pStyle w:val="AlphaParagraph"/>
        <w:numPr>
          <w:ilvl w:val="0"/>
          <w:numId w:val="55"/>
        </w:numPr>
        <w:tabs>
          <w:tab w:val="clear" w:pos="567"/>
        </w:tabs>
        <w:ind w:left="1134"/>
      </w:pPr>
      <w:r w:rsidRPr="00AF6CF2">
        <w:t xml:space="preserve">where the Commonwealth is a majority funder of a Project, </w:t>
      </w:r>
      <w:r w:rsidR="00E052D9">
        <w:t>promotional material and public recognition should provide</w:t>
      </w:r>
      <w:r w:rsidRPr="00AF6CF2">
        <w:t xml:space="preserve"> major prominence </w:t>
      </w:r>
      <w:r w:rsidR="00E052D9">
        <w:t xml:space="preserve">to the Commonwealth’s contribution, with the Parties to agree </w:t>
      </w:r>
      <w:r w:rsidRPr="00AF6CF2">
        <w:t>the content and timing.</w:t>
      </w:r>
    </w:p>
    <w:p w14:paraId="302D02C9" w14:textId="78C874C9" w:rsidR="00180735" w:rsidRPr="00446297" w:rsidRDefault="00993E8E" w:rsidP="00D14814">
      <w:pPr>
        <w:pStyle w:val="Normalnumbered"/>
        <w:numPr>
          <w:ilvl w:val="0"/>
          <w:numId w:val="15"/>
        </w:numPr>
        <w:tabs>
          <w:tab w:val="num" w:pos="426"/>
        </w:tabs>
        <w:rPr>
          <w:color w:val="auto"/>
        </w:rPr>
      </w:pPr>
      <w:r>
        <w:rPr>
          <w:color w:val="auto"/>
        </w:rPr>
        <w:t>Notwithstanding</w:t>
      </w:r>
      <w:r w:rsidR="007B1E40">
        <w:rPr>
          <w:color w:val="auto"/>
        </w:rPr>
        <w:t xml:space="preserve"> asset ownership</w:t>
      </w:r>
      <w:r>
        <w:rPr>
          <w:color w:val="auto"/>
        </w:rPr>
        <w:t>, t</w:t>
      </w:r>
      <w:r w:rsidR="00180735" w:rsidRPr="00AF6CF2">
        <w:rPr>
          <w:color w:val="auto"/>
        </w:rPr>
        <w:t>he States acknowledge that</w:t>
      </w:r>
      <w:r w:rsidR="00770899">
        <w:rPr>
          <w:color w:val="auto"/>
        </w:rPr>
        <w:t xml:space="preserve"> </w:t>
      </w:r>
      <w:r w:rsidR="00180735" w:rsidRPr="00AF6CF2">
        <w:rPr>
          <w:color w:val="auto"/>
        </w:rPr>
        <w:t xml:space="preserve">the Commonwealth may participate in </w:t>
      </w:r>
      <w:r w:rsidR="003A672A">
        <w:rPr>
          <w:color w:val="auto"/>
        </w:rPr>
        <w:t>P</w:t>
      </w:r>
      <w:r w:rsidR="00180735" w:rsidRPr="00AF6CF2">
        <w:rPr>
          <w:color w:val="auto"/>
        </w:rPr>
        <w:t xml:space="preserve">roject planning, delivery and review including </w:t>
      </w:r>
      <w:r w:rsidR="00180735">
        <w:rPr>
          <w:color w:val="auto"/>
        </w:rPr>
        <w:t xml:space="preserve">through participation </w:t>
      </w:r>
      <w:r w:rsidR="00180735" w:rsidRPr="00AF6CF2">
        <w:rPr>
          <w:color w:val="auto"/>
        </w:rPr>
        <w:t xml:space="preserve">in </w:t>
      </w:r>
      <w:r w:rsidR="003A672A">
        <w:rPr>
          <w:color w:val="auto"/>
        </w:rPr>
        <w:t>P</w:t>
      </w:r>
      <w:r w:rsidR="00180735" w:rsidRPr="00993E8E">
        <w:rPr>
          <w:color w:val="auto"/>
        </w:rPr>
        <w:t>roject steering</w:t>
      </w:r>
      <w:r w:rsidR="00770899">
        <w:rPr>
          <w:color w:val="auto"/>
        </w:rPr>
        <w:t xml:space="preserve"> </w:t>
      </w:r>
      <w:r w:rsidR="00180735" w:rsidRPr="00993E8E">
        <w:rPr>
          <w:color w:val="auto"/>
        </w:rPr>
        <w:t xml:space="preserve">groups and decision-making bodies, with due consideration to each Parties’ financial </w:t>
      </w:r>
      <w:r w:rsidR="00180735" w:rsidRPr="00993E8E">
        <w:rPr>
          <w:color w:val="auto"/>
        </w:rPr>
        <w:lastRenderedPageBreak/>
        <w:t>contribution, and access to data</w:t>
      </w:r>
      <w:r w:rsidR="00180735" w:rsidRPr="00D14814">
        <w:rPr>
          <w:color w:val="auto"/>
        </w:rPr>
        <w:t xml:space="preserve"> to ensure its policy objectives and accountability responsibilities are satisfied</w:t>
      </w:r>
      <w:r w:rsidR="00180735" w:rsidRPr="00446297">
        <w:rPr>
          <w:color w:val="auto"/>
        </w:rPr>
        <w:t xml:space="preserve">.  </w:t>
      </w:r>
      <w:r w:rsidR="002A6D0B" w:rsidRPr="001D4523">
        <w:rPr>
          <w:color w:val="auto"/>
        </w:rPr>
        <w:t xml:space="preserve">Shared roles and responsibilities related to joint participation in </w:t>
      </w:r>
      <w:r w:rsidR="003A672A">
        <w:rPr>
          <w:color w:val="auto"/>
        </w:rPr>
        <w:t>P</w:t>
      </w:r>
      <w:r w:rsidR="002A6D0B" w:rsidRPr="001D4523">
        <w:rPr>
          <w:color w:val="auto"/>
        </w:rPr>
        <w:t>roject governance are</w:t>
      </w:r>
      <w:r w:rsidR="00180735" w:rsidRPr="001D4523">
        <w:rPr>
          <w:color w:val="auto"/>
        </w:rPr>
        <w:t xml:space="preserve"> </w:t>
      </w:r>
      <w:r w:rsidR="00180735" w:rsidRPr="00446297">
        <w:rPr>
          <w:color w:val="auto"/>
        </w:rPr>
        <w:t xml:space="preserve">outlined </w:t>
      </w:r>
      <w:r w:rsidR="002A6D0B" w:rsidRPr="000F737B">
        <w:rPr>
          <w:color w:val="auto"/>
        </w:rPr>
        <w:t>at</w:t>
      </w:r>
      <w:r w:rsidR="00180735" w:rsidRPr="000F737B">
        <w:rPr>
          <w:color w:val="auto"/>
        </w:rPr>
        <w:t xml:space="preserve"> clause </w:t>
      </w:r>
      <w:r w:rsidR="00527FED" w:rsidRPr="00A02EE4">
        <w:rPr>
          <w:color w:val="auto"/>
        </w:rPr>
        <w:t>34</w:t>
      </w:r>
      <w:r w:rsidR="00180735" w:rsidRPr="00174515">
        <w:rPr>
          <w:color w:val="auto"/>
        </w:rPr>
        <w:t xml:space="preserve"> below.</w:t>
      </w:r>
    </w:p>
    <w:p w14:paraId="49D0A5BF" w14:textId="77777777" w:rsidR="00180735" w:rsidRPr="00935E8C" w:rsidRDefault="00180735" w:rsidP="00180735">
      <w:pPr>
        <w:pStyle w:val="AlphaParagraph"/>
        <w:keepNext/>
        <w:rPr>
          <w:i/>
          <w:color w:val="auto"/>
          <w:u w:val="single"/>
        </w:rPr>
      </w:pPr>
      <w:r w:rsidRPr="00935E8C">
        <w:rPr>
          <w:b/>
          <w:i/>
          <w:color w:val="auto"/>
          <w:u w:val="single"/>
        </w:rPr>
        <w:t>Local industry participation</w:t>
      </w:r>
    </w:p>
    <w:p w14:paraId="64736A39" w14:textId="77777777" w:rsidR="00180735" w:rsidRPr="00CF5FDF" w:rsidRDefault="00180735" w:rsidP="00180735">
      <w:pPr>
        <w:pStyle w:val="Normalnumbered"/>
        <w:numPr>
          <w:ilvl w:val="0"/>
          <w:numId w:val="15"/>
        </w:numPr>
        <w:tabs>
          <w:tab w:val="num" w:pos="426"/>
        </w:tabs>
        <w:rPr>
          <w:color w:val="auto"/>
        </w:rPr>
      </w:pPr>
      <w:r w:rsidRPr="00935E8C">
        <w:rPr>
          <w:color w:val="auto"/>
        </w:rPr>
        <w:t xml:space="preserve">The States agree to develop and implement a Local Industry Participation Plan (LIPP) </w:t>
      </w:r>
      <w:r>
        <w:rPr>
          <w:color w:val="auto"/>
        </w:rPr>
        <w:t xml:space="preserve">or an Australian Industry Participation (AIP) Plan </w:t>
      </w:r>
      <w:r w:rsidRPr="00935E8C">
        <w:rPr>
          <w:color w:val="auto"/>
        </w:rPr>
        <w:t xml:space="preserve">for all </w:t>
      </w:r>
      <w:r>
        <w:rPr>
          <w:color w:val="auto"/>
        </w:rPr>
        <w:t>P</w:t>
      </w:r>
      <w:r w:rsidRPr="00CF5FDF">
        <w:rPr>
          <w:color w:val="auto"/>
        </w:rPr>
        <w:t xml:space="preserve">rojects in receipt of Commonwealth payments over $20 million. </w:t>
      </w:r>
    </w:p>
    <w:p w14:paraId="3ABF04BE" w14:textId="77777777" w:rsidR="00180735" w:rsidRDefault="00180735" w:rsidP="00180735">
      <w:pPr>
        <w:pStyle w:val="Normalnumbered"/>
        <w:numPr>
          <w:ilvl w:val="0"/>
          <w:numId w:val="15"/>
        </w:numPr>
        <w:tabs>
          <w:tab w:val="num" w:pos="426"/>
        </w:tabs>
        <w:rPr>
          <w:color w:val="auto"/>
        </w:rPr>
      </w:pPr>
      <w:r w:rsidRPr="00856CC9">
        <w:rPr>
          <w:color w:val="auto"/>
        </w:rPr>
        <w:t xml:space="preserve">The development and implementation of a LIPP </w:t>
      </w:r>
      <w:r w:rsidR="0040106A">
        <w:rPr>
          <w:color w:val="auto"/>
        </w:rPr>
        <w:t xml:space="preserve">or AIP Plan </w:t>
      </w:r>
      <w:r w:rsidRPr="00856CC9">
        <w:rPr>
          <w:color w:val="auto"/>
        </w:rPr>
        <w:t xml:space="preserve">remains a requirement of receiving Commonwealth payments in circumstances where a State’s Local Industry Participation Policy would not normally require a LIPP. </w:t>
      </w:r>
      <w:r>
        <w:rPr>
          <w:color w:val="auto"/>
        </w:rPr>
        <w:t>Where jurisdictions have local industry participation policies they may rely on those instead of developing additional plans.</w:t>
      </w:r>
    </w:p>
    <w:p w14:paraId="4D25C66A" w14:textId="3EB9FAF5" w:rsidR="00180735" w:rsidRPr="00856CC9" w:rsidRDefault="00180735" w:rsidP="00180735">
      <w:pPr>
        <w:pStyle w:val="Normalnumbered"/>
        <w:numPr>
          <w:ilvl w:val="0"/>
          <w:numId w:val="15"/>
        </w:numPr>
        <w:tabs>
          <w:tab w:val="num" w:pos="426"/>
        </w:tabs>
        <w:rPr>
          <w:color w:val="auto"/>
        </w:rPr>
      </w:pPr>
      <w:r w:rsidRPr="00856CC9">
        <w:rPr>
          <w:color w:val="auto"/>
        </w:rPr>
        <w:t xml:space="preserve">The States must </w:t>
      </w:r>
      <w:r>
        <w:rPr>
          <w:color w:val="auto"/>
        </w:rPr>
        <w:t>provide a copy of each</w:t>
      </w:r>
      <w:r w:rsidRPr="00856CC9">
        <w:rPr>
          <w:color w:val="auto"/>
        </w:rPr>
        <w:t xml:space="preserve"> LIPP </w:t>
      </w:r>
      <w:r>
        <w:rPr>
          <w:color w:val="auto"/>
        </w:rPr>
        <w:t xml:space="preserve">or AIP Plan to </w:t>
      </w:r>
      <w:r w:rsidRPr="00856CC9">
        <w:rPr>
          <w:color w:val="auto"/>
        </w:rPr>
        <w:t>the Department of Infrastructure</w:t>
      </w:r>
      <w:r>
        <w:rPr>
          <w:color w:val="auto"/>
        </w:rPr>
        <w:t>,</w:t>
      </w:r>
      <w:r w:rsidRPr="00856CC9">
        <w:rPr>
          <w:color w:val="auto"/>
        </w:rPr>
        <w:t xml:space="preserve"> Regional Development</w:t>
      </w:r>
      <w:r>
        <w:rPr>
          <w:color w:val="auto"/>
        </w:rPr>
        <w:t xml:space="preserve"> and Cities</w:t>
      </w:r>
      <w:r w:rsidR="000764E5">
        <w:rPr>
          <w:color w:val="auto"/>
        </w:rPr>
        <w:t>.</w:t>
      </w:r>
    </w:p>
    <w:p w14:paraId="3D399EBC" w14:textId="77777777" w:rsidR="00AB79E9" w:rsidRDefault="00AB79E9" w:rsidP="00AB79E9">
      <w:pPr>
        <w:pStyle w:val="Heading2"/>
      </w:pPr>
      <w:r w:rsidRPr="00DB4DA8">
        <w:t>Shared roles and responsibilities</w:t>
      </w:r>
    </w:p>
    <w:p w14:paraId="668B5E0C" w14:textId="77777777" w:rsidR="00180735" w:rsidRPr="005369A2" w:rsidRDefault="00180735" w:rsidP="0038330F">
      <w:pPr>
        <w:pStyle w:val="Normalnumbered"/>
        <w:numPr>
          <w:ilvl w:val="0"/>
          <w:numId w:val="15"/>
        </w:numPr>
        <w:tabs>
          <w:tab w:val="num" w:pos="426"/>
        </w:tabs>
        <w:rPr>
          <w:color w:val="auto"/>
        </w:rPr>
      </w:pPr>
      <w:r w:rsidRPr="005369A2">
        <w:rPr>
          <w:color w:val="auto"/>
        </w:rPr>
        <w:t>The Commonwealth and the States share the following roles and responsibilities:</w:t>
      </w:r>
    </w:p>
    <w:p w14:paraId="0AABEF8E" w14:textId="34CCFA66" w:rsidR="00BA6822" w:rsidRPr="00F57491" w:rsidRDefault="00BA6822" w:rsidP="00180735">
      <w:pPr>
        <w:pStyle w:val="AlphaParagraph"/>
        <w:numPr>
          <w:ilvl w:val="0"/>
          <w:numId w:val="56"/>
        </w:numPr>
        <w:tabs>
          <w:tab w:val="clear" w:pos="567"/>
        </w:tabs>
        <w:ind w:left="1134"/>
      </w:pPr>
      <w:r w:rsidRPr="00F57491">
        <w:t xml:space="preserve">agreeing to the initial Notes on Administration to support the implementation of this Agreement; </w:t>
      </w:r>
    </w:p>
    <w:p w14:paraId="0BA3E4B4" w14:textId="5E2D0515" w:rsidR="00180735" w:rsidRPr="005369A2" w:rsidRDefault="00180735" w:rsidP="00180735">
      <w:pPr>
        <w:pStyle w:val="AlphaParagraph"/>
        <w:numPr>
          <w:ilvl w:val="0"/>
          <w:numId w:val="56"/>
        </w:numPr>
        <w:tabs>
          <w:tab w:val="clear" w:pos="567"/>
        </w:tabs>
        <w:ind w:left="1134"/>
      </w:pPr>
      <w:r w:rsidRPr="005369A2">
        <w:t>participating in consultations as appropriate regarding the implementation of this Agreement</w:t>
      </w:r>
      <w:r>
        <w:t xml:space="preserve"> and </w:t>
      </w:r>
      <w:r w:rsidR="00352598">
        <w:t xml:space="preserve">agreeing </w:t>
      </w:r>
      <w:r>
        <w:t>updates to the Notes on Administration</w:t>
      </w:r>
      <w:r w:rsidRPr="005369A2">
        <w:t>;</w:t>
      </w:r>
    </w:p>
    <w:p w14:paraId="298987E9" w14:textId="77777777" w:rsidR="00180735" w:rsidRPr="00CD13DD" w:rsidRDefault="00180735" w:rsidP="00180735">
      <w:pPr>
        <w:pStyle w:val="AlphaParagraph"/>
        <w:numPr>
          <w:ilvl w:val="0"/>
          <w:numId w:val="56"/>
        </w:numPr>
        <w:tabs>
          <w:tab w:val="clear" w:pos="567"/>
        </w:tabs>
        <w:ind w:left="1134"/>
      </w:pPr>
      <w:r w:rsidRPr="00CD13DD">
        <w:t>negotiating new or revised Schedules to this Agreement;</w:t>
      </w:r>
    </w:p>
    <w:p w14:paraId="1C2FCA2B" w14:textId="6557A41B" w:rsidR="00180735" w:rsidRPr="00AF6CF2" w:rsidRDefault="00180735" w:rsidP="00180735">
      <w:pPr>
        <w:pStyle w:val="AlphaParagraph"/>
        <w:numPr>
          <w:ilvl w:val="0"/>
          <w:numId w:val="56"/>
        </w:numPr>
        <w:tabs>
          <w:tab w:val="clear" w:pos="567"/>
        </w:tabs>
        <w:ind w:left="1134"/>
      </w:pPr>
      <w:r w:rsidRPr="00AF6CF2">
        <w:t xml:space="preserve">negotiating memoranda of understanding or project specific agreements </w:t>
      </w:r>
      <w:r>
        <w:t xml:space="preserve">for </w:t>
      </w:r>
      <w:r w:rsidRPr="00AF6CF2">
        <w:t>relevant Projects under this Agreement</w:t>
      </w:r>
      <w:r w:rsidR="007C65EF">
        <w:t xml:space="preserve"> </w:t>
      </w:r>
      <w:r>
        <w:t xml:space="preserve">as outlined </w:t>
      </w:r>
      <w:r w:rsidRPr="007B15CF">
        <w:t xml:space="preserve">at clauses </w:t>
      </w:r>
      <w:r w:rsidR="00E11471">
        <w:t>68</w:t>
      </w:r>
      <w:r w:rsidRPr="007B15CF">
        <w:t xml:space="preserve"> to</w:t>
      </w:r>
      <w:r w:rsidR="00A53419" w:rsidRPr="007B15CF">
        <w:t xml:space="preserve"> </w:t>
      </w:r>
      <w:r w:rsidR="00E11471">
        <w:t>70</w:t>
      </w:r>
      <w:r w:rsidRPr="0005273D">
        <w:t>;</w:t>
      </w:r>
    </w:p>
    <w:p w14:paraId="706B82E6" w14:textId="6E3F9B70" w:rsidR="00180735" w:rsidRPr="00AF6CF2" w:rsidRDefault="00180735" w:rsidP="00180735">
      <w:pPr>
        <w:pStyle w:val="AlphaParagraph"/>
        <w:numPr>
          <w:ilvl w:val="0"/>
          <w:numId w:val="56"/>
        </w:numPr>
        <w:tabs>
          <w:tab w:val="clear" w:pos="567"/>
        </w:tabs>
        <w:ind w:left="1134"/>
      </w:pPr>
      <w:r w:rsidRPr="00AF6CF2">
        <w:t xml:space="preserve">jointly participate in </w:t>
      </w:r>
      <w:r w:rsidR="00A72DE7">
        <w:t>P</w:t>
      </w:r>
      <w:r w:rsidRPr="00AF6CF2">
        <w:t xml:space="preserve">roject governance, such as steering committees and </w:t>
      </w:r>
      <w:r w:rsidR="0051080C">
        <w:t>P</w:t>
      </w:r>
      <w:r w:rsidRPr="00AF6CF2">
        <w:t>roject boards, on a case-by-case basis</w:t>
      </w:r>
      <w:r>
        <w:t xml:space="preserve">, as outlined at </w:t>
      </w:r>
      <w:r w:rsidRPr="007B15CF">
        <w:t xml:space="preserve">clause </w:t>
      </w:r>
      <w:r w:rsidR="00527FED" w:rsidRPr="00527FED">
        <w:t>30</w:t>
      </w:r>
      <w:r w:rsidRPr="00527FED">
        <w:t>;</w:t>
      </w:r>
    </w:p>
    <w:p w14:paraId="6789A2FE" w14:textId="40FAF306" w:rsidR="00180735" w:rsidRPr="00AF6CF2" w:rsidRDefault="00180735" w:rsidP="00180735">
      <w:pPr>
        <w:pStyle w:val="AlphaParagraph"/>
        <w:numPr>
          <w:ilvl w:val="0"/>
          <w:numId w:val="56"/>
        </w:numPr>
        <w:tabs>
          <w:tab w:val="clear" w:pos="567"/>
        </w:tabs>
        <w:ind w:left="1134"/>
      </w:pPr>
      <w:r w:rsidRPr="00AF6CF2">
        <w:t xml:space="preserve">for business cases where the Commonwealth has contributed funding, </w:t>
      </w:r>
      <w:r w:rsidR="005265D2">
        <w:t xml:space="preserve">primarily through the Major Project Business Case Fund and </w:t>
      </w:r>
      <w:r w:rsidRPr="00AF6CF2">
        <w:t xml:space="preserve">on a case-by-case basis, agree to form joint </w:t>
      </w:r>
      <w:r w:rsidR="0051080C">
        <w:t>P</w:t>
      </w:r>
      <w:r w:rsidRPr="00AF6CF2">
        <w:t>roject teams with access to information jointly shared between the relevant Parties</w:t>
      </w:r>
      <w:r w:rsidR="004E0BCD">
        <w:t xml:space="preserve"> and State decision-making to have due regard to the Commonwealth’s interests, objectives and desired outcomes</w:t>
      </w:r>
      <w:r>
        <w:t>;</w:t>
      </w:r>
    </w:p>
    <w:p w14:paraId="263EEAC7" w14:textId="77777777" w:rsidR="00180735" w:rsidRPr="00CD13DD" w:rsidRDefault="00180735" w:rsidP="00180735">
      <w:pPr>
        <w:pStyle w:val="AlphaParagraph"/>
        <w:numPr>
          <w:ilvl w:val="0"/>
          <w:numId w:val="56"/>
        </w:numPr>
        <w:tabs>
          <w:tab w:val="clear" w:pos="567"/>
        </w:tabs>
        <w:ind w:left="1134"/>
      </w:pPr>
      <w:r w:rsidRPr="00CD13DD">
        <w:t>agreeing that in certain circumstances involving a third party (or parties), there may be a need to negotiate an additional agreement(s) related to a Project to ensure that the interests of all parties are adequately recognised; and</w:t>
      </w:r>
    </w:p>
    <w:p w14:paraId="56C19B79" w14:textId="77777777" w:rsidR="00180735" w:rsidRPr="00CD13DD" w:rsidRDefault="00180735" w:rsidP="00180735">
      <w:pPr>
        <w:pStyle w:val="AlphaParagraph"/>
        <w:numPr>
          <w:ilvl w:val="0"/>
          <w:numId w:val="56"/>
        </w:numPr>
        <w:tabs>
          <w:tab w:val="clear" w:pos="567"/>
        </w:tabs>
        <w:ind w:left="1134"/>
      </w:pPr>
      <w:r w:rsidRPr="00CD13DD">
        <w:t>conducting evaluations and reviews of services and outputs delivered under this Agreement, including compliance with the NLT Act (and other relevant legislation) and the associated Notes on Administration.</w:t>
      </w:r>
    </w:p>
    <w:p w14:paraId="5C766039" w14:textId="77777777" w:rsidR="00180735" w:rsidRPr="00AF6CF2" w:rsidRDefault="00180735" w:rsidP="00180735">
      <w:pPr>
        <w:pStyle w:val="Normalnumbered"/>
        <w:numPr>
          <w:ilvl w:val="0"/>
          <w:numId w:val="15"/>
        </w:numPr>
        <w:tabs>
          <w:tab w:val="num" w:pos="426"/>
        </w:tabs>
        <w:rPr>
          <w:color w:val="auto"/>
        </w:rPr>
      </w:pPr>
      <w:r w:rsidRPr="00AF6CF2">
        <w:rPr>
          <w:color w:val="auto"/>
        </w:rPr>
        <w:t>The Parties agree that the National Land Transport Network (the Network) is a joint responsibility and that maintenance funding for roads on the Network is required from both the Commonwealth and the States.</w:t>
      </w:r>
    </w:p>
    <w:p w14:paraId="445660CB" w14:textId="77777777" w:rsidR="00814667" w:rsidRPr="00814590" w:rsidRDefault="00814667">
      <w:pPr>
        <w:pStyle w:val="Heading1"/>
      </w:pPr>
      <w:r w:rsidRPr="00814590">
        <w:lastRenderedPageBreak/>
        <w:t xml:space="preserve">Part 4 — Performance </w:t>
      </w:r>
      <w:r w:rsidR="00ED0175">
        <w:t>monitoring</w:t>
      </w:r>
      <w:r w:rsidR="00ED0175" w:rsidRPr="00814590">
        <w:t xml:space="preserve"> </w:t>
      </w:r>
      <w:r w:rsidRPr="00814590">
        <w:t>and reporting</w:t>
      </w:r>
    </w:p>
    <w:p w14:paraId="40CC2FC7" w14:textId="77777777" w:rsidR="00F3245D" w:rsidRPr="00EA7E71" w:rsidRDefault="00F3245D" w:rsidP="00EA7E71">
      <w:pPr>
        <w:pStyle w:val="Heading2"/>
      </w:pPr>
      <w:r w:rsidRPr="00EA7E71">
        <w:t>Performance indicators</w:t>
      </w:r>
    </w:p>
    <w:p w14:paraId="7451AB93" w14:textId="193B0CA7" w:rsidR="005677E3" w:rsidRDefault="0013478A" w:rsidP="0038330F">
      <w:pPr>
        <w:pStyle w:val="Normalnumbered"/>
        <w:numPr>
          <w:ilvl w:val="0"/>
          <w:numId w:val="15"/>
        </w:numPr>
        <w:tabs>
          <w:tab w:val="num" w:pos="426"/>
        </w:tabs>
        <w:rPr>
          <w:color w:val="auto"/>
        </w:rPr>
      </w:pPr>
      <w:r>
        <w:rPr>
          <w:color w:val="auto"/>
        </w:rPr>
        <w:t xml:space="preserve">The objectives and outcomes of this Agreement will be achieved through the delivery of the agreed Projects in the Schedules to this Agreement, noting that </w:t>
      </w:r>
      <w:r w:rsidR="00605662">
        <w:rPr>
          <w:color w:val="auto"/>
        </w:rPr>
        <w:t xml:space="preserve">as </w:t>
      </w:r>
      <w:r w:rsidR="00A72DE7">
        <w:rPr>
          <w:color w:val="auto"/>
        </w:rPr>
        <w:t>P</w:t>
      </w:r>
      <w:r w:rsidR="00605662">
        <w:rPr>
          <w:color w:val="auto"/>
        </w:rPr>
        <w:t>rojects are added to the Schedules on a rolling basis,</w:t>
      </w:r>
      <w:r w:rsidR="00446297">
        <w:rPr>
          <w:color w:val="auto"/>
        </w:rPr>
        <w:t xml:space="preserve"> </w:t>
      </w:r>
      <w:r>
        <w:rPr>
          <w:color w:val="auto"/>
        </w:rPr>
        <w:t>the benefits of</w:t>
      </w:r>
      <w:r w:rsidR="00446297">
        <w:rPr>
          <w:color w:val="auto"/>
        </w:rPr>
        <w:t xml:space="preserve"> </w:t>
      </w:r>
      <w:r w:rsidR="00446297" w:rsidRPr="001D4523">
        <w:rPr>
          <w:color w:val="auto"/>
        </w:rPr>
        <w:t>all</w:t>
      </w:r>
      <w:r>
        <w:rPr>
          <w:color w:val="auto"/>
        </w:rPr>
        <w:t xml:space="preserve"> land transport infrastructure investments may not be apparent or measurable within the life of this Agreement. Indicators of the achievement of objectives and outcomes include:</w:t>
      </w:r>
    </w:p>
    <w:p w14:paraId="7C300EC6" w14:textId="43DD9149" w:rsidR="0013478A" w:rsidRDefault="0013478A" w:rsidP="0013478A">
      <w:pPr>
        <w:pStyle w:val="AlphaParagraph"/>
        <w:numPr>
          <w:ilvl w:val="0"/>
          <w:numId w:val="100"/>
        </w:numPr>
        <w:tabs>
          <w:tab w:val="clear" w:pos="567"/>
        </w:tabs>
        <w:ind w:left="1134"/>
        <w:rPr>
          <w:color w:val="auto"/>
        </w:rPr>
      </w:pPr>
      <w:r>
        <w:rPr>
          <w:color w:val="auto"/>
        </w:rPr>
        <w:t xml:space="preserve">improvements in road safety as measured by the expected reduction in casualty and fatality crashes </w:t>
      </w:r>
      <w:r w:rsidR="00556710">
        <w:rPr>
          <w:color w:val="auto"/>
        </w:rPr>
        <w:t>as the result of the</w:t>
      </w:r>
      <w:r>
        <w:rPr>
          <w:color w:val="auto"/>
        </w:rPr>
        <w:t xml:space="preserve"> Projects funded through this Agreement</w:t>
      </w:r>
      <w:r w:rsidR="00EF1B4D">
        <w:rPr>
          <w:color w:val="auto"/>
        </w:rPr>
        <w:t>;</w:t>
      </w:r>
    </w:p>
    <w:p w14:paraId="5AB3C32E" w14:textId="45EF04AA" w:rsidR="0013478A" w:rsidRDefault="0013478A" w:rsidP="0013478A">
      <w:pPr>
        <w:pStyle w:val="AlphaParagraph"/>
        <w:numPr>
          <w:ilvl w:val="0"/>
          <w:numId w:val="100"/>
        </w:numPr>
        <w:tabs>
          <w:tab w:val="clear" w:pos="567"/>
        </w:tabs>
        <w:ind w:left="1134"/>
        <w:rPr>
          <w:color w:val="auto"/>
        </w:rPr>
      </w:pPr>
      <w:r>
        <w:rPr>
          <w:color w:val="auto"/>
        </w:rPr>
        <w:t>the improvement in productivity</w:t>
      </w:r>
      <w:r w:rsidR="00556710">
        <w:rPr>
          <w:color w:val="auto"/>
        </w:rPr>
        <w:t>, including</w:t>
      </w:r>
      <w:r>
        <w:rPr>
          <w:color w:val="auto"/>
        </w:rPr>
        <w:t xml:space="preserve"> as measured by the overall expected reduction in travel times and operating costs </w:t>
      </w:r>
      <w:r w:rsidR="00556710">
        <w:rPr>
          <w:color w:val="auto"/>
        </w:rPr>
        <w:t>as the result of the Projects</w:t>
      </w:r>
      <w:r w:rsidR="00556710" w:rsidRPr="00556710">
        <w:rPr>
          <w:color w:val="auto"/>
        </w:rPr>
        <w:t xml:space="preserve"> </w:t>
      </w:r>
      <w:r w:rsidR="00556710">
        <w:rPr>
          <w:color w:val="auto"/>
        </w:rPr>
        <w:t>funded through this Agreement</w:t>
      </w:r>
      <w:r>
        <w:rPr>
          <w:color w:val="auto"/>
        </w:rPr>
        <w:t>;</w:t>
      </w:r>
    </w:p>
    <w:p w14:paraId="3D53A24A" w14:textId="6FBDAAC4" w:rsidR="0013478A" w:rsidRDefault="002D47F5" w:rsidP="0013478A">
      <w:pPr>
        <w:pStyle w:val="AlphaParagraph"/>
        <w:numPr>
          <w:ilvl w:val="0"/>
          <w:numId w:val="100"/>
        </w:numPr>
        <w:tabs>
          <w:tab w:val="clear" w:pos="567"/>
        </w:tabs>
        <w:ind w:left="1134"/>
        <w:rPr>
          <w:color w:val="auto"/>
        </w:rPr>
      </w:pPr>
      <w:r>
        <w:rPr>
          <w:color w:val="auto"/>
        </w:rPr>
        <w:t xml:space="preserve">opportunities for Indigenous contractors and job-seekers to participate in delivery of government-funded transport infrastructure Projects, as measured </w:t>
      </w:r>
      <w:r w:rsidRPr="00372204">
        <w:rPr>
          <w:color w:val="auto"/>
        </w:rPr>
        <w:t xml:space="preserve">by </w:t>
      </w:r>
      <w:r w:rsidR="00AA5577">
        <w:rPr>
          <w:color w:val="auto"/>
        </w:rPr>
        <w:t xml:space="preserve">the </w:t>
      </w:r>
      <w:r w:rsidR="004E0E45">
        <w:rPr>
          <w:color w:val="auto"/>
        </w:rPr>
        <w:t>implementation of</w:t>
      </w:r>
      <w:r w:rsidR="00372204" w:rsidRPr="00F57491">
        <w:rPr>
          <w:color w:val="auto"/>
        </w:rPr>
        <w:t xml:space="preserve"> Indigenous Participation Plans that are compliant with the requirements of the Indigenous Employment and Supplier-use Infrastructure Framework </w:t>
      </w:r>
      <w:r w:rsidR="00795693" w:rsidRPr="00F57491">
        <w:rPr>
          <w:color w:val="auto"/>
        </w:rPr>
        <w:t xml:space="preserve">in place </w:t>
      </w:r>
      <w:r w:rsidR="00372204" w:rsidRPr="00F57491">
        <w:rPr>
          <w:color w:val="auto"/>
        </w:rPr>
        <w:t>for all Projects above the relevant threshold set out in the Notes on Administration;</w:t>
      </w:r>
      <w:r w:rsidR="00372204">
        <w:rPr>
          <w:color w:val="auto"/>
        </w:rPr>
        <w:t xml:space="preserve"> </w:t>
      </w:r>
    </w:p>
    <w:p w14:paraId="4C85BDE9" w14:textId="5FC9C5AF" w:rsidR="002D47F5" w:rsidRDefault="002D47F5" w:rsidP="0013478A">
      <w:pPr>
        <w:pStyle w:val="AlphaParagraph"/>
        <w:numPr>
          <w:ilvl w:val="0"/>
          <w:numId w:val="100"/>
        </w:numPr>
        <w:tabs>
          <w:tab w:val="clear" w:pos="567"/>
        </w:tabs>
        <w:ind w:left="1134"/>
        <w:rPr>
          <w:color w:val="auto"/>
        </w:rPr>
      </w:pPr>
      <w:r>
        <w:rPr>
          <w:color w:val="auto"/>
        </w:rPr>
        <w:t>opportunities for local industry participation, as measured by the analysis of Local Industry Participation Plans (or Australian Industry Participation Plans) submitted for Projects funded through this Agreement</w:t>
      </w:r>
      <w:r w:rsidR="00B60A65">
        <w:rPr>
          <w:color w:val="auto"/>
        </w:rPr>
        <w:t>; and</w:t>
      </w:r>
    </w:p>
    <w:p w14:paraId="4FDD03D6" w14:textId="093B8DF3" w:rsidR="00B60A65" w:rsidRPr="001D4523" w:rsidRDefault="00B60A65" w:rsidP="0013478A">
      <w:pPr>
        <w:pStyle w:val="AlphaParagraph"/>
        <w:numPr>
          <w:ilvl w:val="0"/>
          <w:numId w:val="100"/>
        </w:numPr>
        <w:tabs>
          <w:tab w:val="clear" w:pos="567"/>
        </w:tabs>
        <w:ind w:left="1134"/>
        <w:rPr>
          <w:color w:val="auto"/>
        </w:rPr>
      </w:pPr>
      <w:r w:rsidRPr="001D4523">
        <w:rPr>
          <w:color w:val="auto"/>
        </w:rPr>
        <w:t>improved data sharing between the Parties as measured by provision of standardised data sets in Project Proposal Reports.</w:t>
      </w:r>
    </w:p>
    <w:p w14:paraId="41D362FE" w14:textId="1C1A99A3" w:rsidR="005677E3" w:rsidRPr="0038330F" w:rsidRDefault="002D47F5" w:rsidP="0038330F">
      <w:pPr>
        <w:pStyle w:val="Normalnumbered"/>
        <w:numPr>
          <w:ilvl w:val="0"/>
          <w:numId w:val="15"/>
        </w:numPr>
        <w:tabs>
          <w:tab w:val="num" w:pos="426"/>
        </w:tabs>
        <w:rPr>
          <w:color w:val="auto"/>
        </w:rPr>
      </w:pPr>
      <w:r>
        <w:rPr>
          <w:color w:val="auto"/>
        </w:rPr>
        <w:t xml:space="preserve">Achievement against these performance indicators will be informed by analysis of the individual Projects being funded under this Agreement. This includes assessment of Project Proposal Reports against the conditions of the NLT Act, through risk and assurance programs, Post Completion Reports and </w:t>
      </w:r>
      <w:r w:rsidR="006B7BCC">
        <w:rPr>
          <w:color w:val="auto"/>
        </w:rPr>
        <w:t xml:space="preserve">Commonwealth </w:t>
      </w:r>
      <w:r>
        <w:rPr>
          <w:color w:val="auto"/>
        </w:rPr>
        <w:t>post build evaluations.</w:t>
      </w:r>
    </w:p>
    <w:p w14:paraId="658991D3" w14:textId="77777777" w:rsidR="00BC4779" w:rsidRPr="0092086C" w:rsidRDefault="00BC4779" w:rsidP="00BC4779">
      <w:pPr>
        <w:pStyle w:val="Heading2"/>
        <w:jc w:val="both"/>
      </w:pPr>
      <w:r w:rsidRPr="0092086C">
        <w:t>Project milestones</w:t>
      </w:r>
    </w:p>
    <w:p w14:paraId="69AC268A" w14:textId="57F9B34A" w:rsidR="00BC4779" w:rsidRPr="00920FC5" w:rsidRDefault="00BC4779" w:rsidP="0038330F">
      <w:pPr>
        <w:pStyle w:val="Normalnumbered"/>
        <w:numPr>
          <w:ilvl w:val="0"/>
          <w:numId w:val="15"/>
        </w:numPr>
        <w:tabs>
          <w:tab w:val="num" w:pos="426"/>
        </w:tabs>
        <w:rPr>
          <w:color w:val="auto"/>
        </w:rPr>
      </w:pPr>
      <w:r w:rsidRPr="0092086C">
        <w:rPr>
          <w:color w:val="auto"/>
        </w:rPr>
        <w:t xml:space="preserve">The States will deliver </w:t>
      </w:r>
      <w:r w:rsidR="00115709" w:rsidRPr="001D4523">
        <w:rPr>
          <w:color w:val="auto"/>
        </w:rPr>
        <w:t xml:space="preserve">the land transport infrastructure </w:t>
      </w:r>
      <w:r w:rsidR="00EE2BC6">
        <w:rPr>
          <w:color w:val="auto"/>
        </w:rPr>
        <w:t>P</w:t>
      </w:r>
      <w:r w:rsidR="00115709" w:rsidRPr="001D4523">
        <w:rPr>
          <w:color w:val="auto"/>
        </w:rPr>
        <w:t xml:space="preserve">rojects in the Schedules to this Agreement </w:t>
      </w:r>
      <w:r w:rsidRPr="0092086C">
        <w:rPr>
          <w:color w:val="auto"/>
        </w:rPr>
        <w:t xml:space="preserve">on jointly agreed Project milestones which may, by written agreement, be varied by the relevant Parties from time to time.  Project milestones for each </w:t>
      </w:r>
      <w:r w:rsidR="00EE2BC6">
        <w:rPr>
          <w:color w:val="auto"/>
        </w:rPr>
        <w:t>P</w:t>
      </w:r>
      <w:r w:rsidRPr="0092086C">
        <w:rPr>
          <w:color w:val="auto"/>
        </w:rPr>
        <w:t>roject will be set out in the Infrastructure Management System (IMS)</w:t>
      </w:r>
      <w:r w:rsidRPr="00920FC5">
        <w:rPr>
          <w:color w:val="auto"/>
        </w:rPr>
        <w:t xml:space="preserve">, or </w:t>
      </w:r>
      <w:r>
        <w:rPr>
          <w:color w:val="auto"/>
        </w:rPr>
        <w:t>equivalent</w:t>
      </w:r>
      <w:r w:rsidRPr="00920FC5">
        <w:rPr>
          <w:color w:val="auto"/>
        </w:rPr>
        <w:t xml:space="preserve"> system,</w:t>
      </w:r>
      <w:r w:rsidRPr="0092086C">
        <w:rPr>
          <w:color w:val="auto"/>
        </w:rPr>
        <w:t xml:space="preserve"> and further detail on agreeing and varying milestones is included in the Notes on Administration.</w:t>
      </w:r>
    </w:p>
    <w:p w14:paraId="0C4F62A3" w14:textId="77777777" w:rsidR="00F3245D" w:rsidRDefault="00F3245D" w:rsidP="00F3245D">
      <w:pPr>
        <w:pStyle w:val="Heading2"/>
      </w:pPr>
      <w:r>
        <w:t>Reporting arrangements</w:t>
      </w:r>
    </w:p>
    <w:p w14:paraId="5C87CD45" w14:textId="77777777" w:rsidR="00BC4779" w:rsidRPr="00860793" w:rsidRDefault="00BC4779" w:rsidP="0038330F">
      <w:pPr>
        <w:pStyle w:val="Normalnumbered"/>
        <w:numPr>
          <w:ilvl w:val="0"/>
          <w:numId w:val="15"/>
        </w:numPr>
        <w:tabs>
          <w:tab w:val="num" w:pos="426"/>
        </w:tabs>
      </w:pPr>
      <w:r w:rsidRPr="0038330F">
        <w:rPr>
          <w:color w:val="auto"/>
        </w:rPr>
        <w:t>The States will provide the Commonwealth with:</w:t>
      </w:r>
    </w:p>
    <w:p w14:paraId="60DAC9E6" w14:textId="0EA2160A" w:rsidR="00BC4779" w:rsidRPr="00935E8C" w:rsidRDefault="00BC4779" w:rsidP="00BC4779">
      <w:pPr>
        <w:pStyle w:val="AlphaParagraph"/>
        <w:numPr>
          <w:ilvl w:val="0"/>
          <w:numId w:val="57"/>
        </w:numPr>
        <w:tabs>
          <w:tab w:val="clear" w:pos="567"/>
        </w:tabs>
        <w:ind w:left="1134"/>
      </w:pPr>
      <w:r w:rsidRPr="00CF5FDF">
        <w:rPr>
          <w:spacing w:val="-9"/>
        </w:rPr>
        <w:t xml:space="preserve">a Monthly </w:t>
      </w:r>
      <w:r w:rsidRPr="00CF5FDF">
        <w:rPr>
          <w:color w:val="auto"/>
        </w:rPr>
        <w:t xml:space="preserve">Progress Report for each relevant </w:t>
      </w:r>
      <w:r w:rsidR="00CD52D1">
        <w:rPr>
          <w:color w:val="auto"/>
        </w:rPr>
        <w:t>P</w:t>
      </w:r>
      <w:r w:rsidRPr="00CF5FDF">
        <w:rPr>
          <w:color w:val="auto"/>
        </w:rPr>
        <w:t>roject in the Schedules</w:t>
      </w:r>
      <w:r w:rsidRPr="00CF5FDF">
        <w:t xml:space="preserve">, which will include details of </w:t>
      </w:r>
      <w:r>
        <w:t xml:space="preserve">expenditure and progress towards agreed </w:t>
      </w:r>
      <w:r w:rsidRPr="00CF5FDF">
        <w:t>milestones</w:t>
      </w:r>
      <w:r>
        <w:t xml:space="preserve">, </w:t>
      </w:r>
      <w:r w:rsidRPr="00CF5FDF">
        <w:t>during the operation of this Agreement, unless this requirement is waived by the Commonwealth</w:t>
      </w:r>
      <w:r w:rsidRPr="00935E8C">
        <w:t>;</w:t>
      </w:r>
    </w:p>
    <w:p w14:paraId="448063BB" w14:textId="1C1ED2EA" w:rsidR="00BC4779" w:rsidRPr="00AF6CF2" w:rsidRDefault="00BC4779" w:rsidP="00BC4779">
      <w:pPr>
        <w:pStyle w:val="AlphaParagraph"/>
        <w:numPr>
          <w:ilvl w:val="0"/>
          <w:numId w:val="57"/>
        </w:numPr>
        <w:tabs>
          <w:tab w:val="clear" w:pos="567"/>
        </w:tabs>
        <w:ind w:left="1134"/>
      </w:pPr>
      <w:r w:rsidRPr="00AF6CF2">
        <w:t xml:space="preserve">Project milestone payment projections twice a year </w:t>
      </w:r>
      <w:r w:rsidRPr="00AF6CF2">
        <w:rPr>
          <w:color w:val="auto"/>
        </w:rPr>
        <w:t>(on 28 February and 15 August each year) for</w:t>
      </w:r>
      <w:r w:rsidRPr="00AF6CF2">
        <w:t xml:space="preserve"> </w:t>
      </w:r>
      <w:r w:rsidR="001A0F16">
        <w:t>all items in</w:t>
      </w:r>
      <w:r w:rsidRPr="00AF6CF2">
        <w:t xml:space="preserve"> the Program that reflects funding requirements proportional to the agreed funding split for agreed Projects; </w:t>
      </w:r>
    </w:p>
    <w:p w14:paraId="0C7EDB59" w14:textId="013CBE90" w:rsidR="00BC4779" w:rsidRPr="00CD13DD" w:rsidRDefault="00BC4779" w:rsidP="00BC4779">
      <w:pPr>
        <w:pStyle w:val="AlphaParagraph"/>
        <w:numPr>
          <w:ilvl w:val="0"/>
          <w:numId w:val="57"/>
        </w:numPr>
        <w:tabs>
          <w:tab w:val="clear" w:pos="567"/>
        </w:tabs>
        <w:ind w:left="1134"/>
      </w:pPr>
      <w:r w:rsidRPr="00CD13DD">
        <w:rPr>
          <w:color w:val="auto"/>
        </w:rPr>
        <w:t>an Annual Financial Statement  and Audit Report;</w:t>
      </w:r>
    </w:p>
    <w:p w14:paraId="79B193B6" w14:textId="658E29C1" w:rsidR="00BC4779" w:rsidRPr="00CD13DD" w:rsidRDefault="00BC4779" w:rsidP="00BC4779">
      <w:pPr>
        <w:pStyle w:val="AlphaParagraph"/>
        <w:numPr>
          <w:ilvl w:val="0"/>
          <w:numId w:val="57"/>
        </w:numPr>
        <w:tabs>
          <w:tab w:val="clear" w:pos="567"/>
        </w:tabs>
        <w:ind w:left="1134"/>
      </w:pPr>
      <w:r w:rsidRPr="00CD13DD">
        <w:rPr>
          <w:color w:val="auto"/>
        </w:rPr>
        <w:lastRenderedPageBreak/>
        <w:t xml:space="preserve">a Post Completion Report within twelve months of completion of each </w:t>
      </w:r>
      <w:r w:rsidR="00CD52D1">
        <w:rPr>
          <w:color w:val="auto"/>
        </w:rPr>
        <w:t>P</w:t>
      </w:r>
      <w:r w:rsidRPr="00CD13DD">
        <w:rPr>
          <w:color w:val="auto"/>
        </w:rPr>
        <w:t xml:space="preserve">roject as set out in the Schedules to this Agreement, unless otherwise agreed with the Commonwealth; </w:t>
      </w:r>
    </w:p>
    <w:p w14:paraId="2C7C97AB" w14:textId="77777777" w:rsidR="00BC4779" w:rsidRPr="00CD13DD" w:rsidRDefault="00BC4779" w:rsidP="00BC4779">
      <w:pPr>
        <w:pStyle w:val="AlphaParagraph"/>
        <w:numPr>
          <w:ilvl w:val="0"/>
          <w:numId w:val="57"/>
        </w:numPr>
        <w:tabs>
          <w:tab w:val="clear" w:pos="567"/>
        </w:tabs>
        <w:ind w:left="1134"/>
      </w:pPr>
      <w:r w:rsidRPr="00CD13DD">
        <w:rPr>
          <w:color w:val="auto"/>
        </w:rPr>
        <w:t>Status Reports for Black Spot projects quarterly (see the Notes on Administration for further details); and</w:t>
      </w:r>
    </w:p>
    <w:p w14:paraId="42D339FC" w14:textId="19E4CDA6" w:rsidR="00BC4779" w:rsidRDefault="00BC4779" w:rsidP="00BC4779">
      <w:pPr>
        <w:pStyle w:val="AlphaParagraph"/>
        <w:numPr>
          <w:ilvl w:val="0"/>
          <w:numId w:val="57"/>
        </w:numPr>
        <w:tabs>
          <w:tab w:val="clear" w:pos="567"/>
        </w:tabs>
        <w:ind w:left="1134"/>
        <w:rPr>
          <w:color w:val="auto"/>
        </w:rPr>
      </w:pPr>
      <w:r w:rsidRPr="00AF6CF2">
        <w:rPr>
          <w:color w:val="auto"/>
        </w:rPr>
        <w:t>a Road Maintenance Formula Data Report and a Maintenance Performance Report annually, including agreed data on the condition and usage of, and maintenance expenditure on, the Network</w:t>
      </w:r>
      <w:r>
        <w:rPr>
          <w:color w:val="auto"/>
        </w:rPr>
        <w:t xml:space="preserve"> as outlined in the Notes on Administration</w:t>
      </w:r>
      <w:r w:rsidRPr="00AF6CF2">
        <w:rPr>
          <w:color w:val="auto"/>
        </w:rPr>
        <w:t>.</w:t>
      </w:r>
    </w:p>
    <w:p w14:paraId="3C646199" w14:textId="79B2086E" w:rsidR="00BC4779" w:rsidRDefault="00BC4779" w:rsidP="00BC4779">
      <w:pPr>
        <w:pStyle w:val="AlphaParagraph"/>
        <w:numPr>
          <w:ilvl w:val="0"/>
          <w:numId w:val="57"/>
        </w:numPr>
        <w:tabs>
          <w:tab w:val="clear" w:pos="567"/>
        </w:tabs>
        <w:ind w:left="1134"/>
        <w:rPr>
          <w:color w:val="auto"/>
        </w:rPr>
      </w:pPr>
      <w:r>
        <w:rPr>
          <w:color w:val="auto"/>
        </w:rPr>
        <w:t xml:space="preserve">a copy of the LIPP or AIP Plan for all Projects in receipt of Commonwealth payments over $20 million, as outlined </w:t>
      </w:r>
      <w:r w:rsidRPr="00084B3C">
        <w:rPr>
          <w:color w:val="auto"/>
        </w:rPr>
        <w:t xml:space="preserve">at </w:t>
      </w:r>
      <w:r w:rsidRPr="007B15CF">
        <w:rPr>
          <w:color w:val="auto"/>
        </w:rPr>
        <w:t xml:space="preserve">clause </w:t>
      </w:r>
      <w:r w:rsidR="00084B3C" w:rsidRPr="007B15CF">
        <w:rPr>
          <w:color w:val="auto"/>
        </w:rPr>
        <w:t>33</w:t>
      </w:r>
      <w:r w:rsidRPr="007B15CF">
        <w:rPr>
          <w:color w:val="auto"/>
        </w:rPr>
        <w:t xml:space="preserve"> </w:t>
      </w:r>
      <w:r w:rsidRPr="00084B3C">
        <w:rPr>
          <w:color w:val="auto"/>
        </w:rPr>
        <w:t>above;</w:t>
      </w:r>
      <w:r w:rsidRPr="002E3B51">
        <w:rPr>
          <w:color w:val="auto"/>
        </w:rPr>
        <w:t xml:space="preserve"> and</w:t>
      </w:r>
    </w:p>
    <w:p w14:paraId="7200F761" w14:textId="3DFA6DD4" w:rsidR="00BC4779" w:rsidRPr="00AF6CF2" w:rsidRDefault="00BC4779" w:rsidP="00BC4779">
      <w:pPr>
        <w:pStyle w:val="AlphaParagraph"/>
        <w:numPr>
          <w:ilvl w:val="0"/>
          <w:numId w:val="57"/>
        </w:numPr>
        <w:tabs>
          <w:tab w:val="clear" w:pos="567"/>
        </w:tabs>
        <w:ind w:left="1134"/>
        <w:rPr>
          <w:color w:val="auto"/>
        </w:rPr>
      </w:pPr>
      <w:r>
        <w:rPr>
          <w:color w:val="auto"/>
        </w:rPr>
        <w:t xml:space="preserve">performance reporting for Indigenous participation requirements for Projects outlined at </w:t>
      </w:r>
      <w:r w:rsidRPr="007B15CF">
        <w:rPr>
          <w:color w:val="auto"/>
        </w:rPr>
        <w:t xml:space="preserve">clause </w:t>
      </w:r>
      <w:r w:rsidR="00084B3C" w:rsidRPr="007B15CF">
        <w:rPr>
          <w:color w:val="auto"/>
        </w:rPr>
        <w:t>28</w:t>
      </w:r>
      <w:r w:rsidRPr="007B15CF">
        <w:rPr>
          <w:color w:val="auto"/>
        </w:rPr>
        <w:t xml:space="preserve"> </w:t>
      </w:r>
      <w:r w:rsidRPr="00434123">
        <w:rPr>
          <w:color w:val="auto"/>
        </w:rPr>
        <w:t>above</w:t>
      </w:r>
      <w:r>
        <w:rPr>
          <w:color w:val="auto"/>
        </w:rPr>
        <w:t>.</w:t>
      </w:r>
    </w:p>
    <w:p w14:paraId="2A1F4B69" w14:textId="77777777" w:rsidR="00BC4779" w:rsidRPr="00CD13DD" w:rsidRDefault="00BC4779" w:rsidP="00BC4779">
      <w:pPr>
        <w:pStyle w:val="AlphaParagraph"/>
        <w:numPr>
          <w:ilvl w:val="0"/>
          <w:numId w:val="15"/>
        </w:numPr>
        <w:tabs>
          <w:tab w:val="clear" w:pos="1134"/>
          <w:tab w:val="num" w:pos="426"/>
        </w:tabs>
        <w:rPr>
          <w:color w:val="auto"/>
        </w:rPr>
      </w:pPr>
      <w:r w:rsidRPr="00CD13DD">
        <w:rPr>
          <w:color w:val="auto"/>
        </w:rPr>
        <w:t xml:space="preserve">Further details on reporting requirements, including timeframes, are included in the </w:t>
      </w:r>
      <w:r w:rsidRPr="00CD13DD">
        <w:rPr>
          <w:color w:val="auto"/>
          <w:shd w:val="clear" w:color="auto" w:fill="FFFFFF"/>
        </w:rPr>
        <w:t>Notes on Administration</w:t>
      </w:r>
      <w:r w:rsidRPr="00CD13DD">
        <w:rPr>
          <w:color w:val="auto"/>
        </w:rPr>
        <w:t>.</w:t>
      </w:r>
    </w:p>
    <w:p w14:paraId="0D9CC8B3" w14:textId="77777777" w:rsidR="00814667" w:rsidRDefault="00814667">
      <w:pPr>
        <w:pStyle w:val="Heading1"/>
      </w:pPr>
      <w:r w:rsidRPr="00751725">
        <w:t>Part 5 — financial arrangements</w:t>
      </w:r>
    </w:p>
    <w:p w14:paraId="52CC2E6D" w14:textId="77777777" w:rsidR="00C738BD" w:rsidRPr="005350F1" w:rsidRDefault="00C738BD" w:rsidP="00C738BD">
      <w:pPr>
        <w:pStyle w:val="Heading2"/>
      </w:pPr>
      <w:bookmarkStart w:id="1" w:name="top"/>
      <w:bookmarkEnd w:id="1"/>
      <w:r w:rsidRPr="005350F1">
        <w:t>Financial contributions</w:t>
      </w:r>
    </w:p>
    <w:p w14:paraId="7E1DFCA9" w14:textId="77777777" w:rsidR="00BC4779" w:rsidRPr="00CD13DD" w:rsidRDefault="00E8102B" w:rsidP="0038330F">
      <w:pPr>
        <w:pStyle w:val="AlphaParagraph"/>
        <w:numPr>
          <w:ilvl w:val="0"/>
          <w:numId w:val="15"/>
        </w:numPr>
        <w:tabs>
          <w:tab w:val="clear" w:pos="1134"/>
          <w:tab w:val="num" w:pos="426"/>
        </w:tabs>
        <w:rPr>
          <w:color w:val="auto"/>
        </w:rPr>
      </w:pPr>
      <w:r w:rsidRPr="0038330F" w:rsidDel="00E8102B">
        <w:rPr>
          <w:color w:val="auto"/>
        </w:rPr>
        <w:t xml:space="preserve"> </w:t>
      </w:r>
      <w:r w:rsidR="00BC4779" w:rsidRPr="00CD13DD">
        <w:rPr>
          <w:color w:val="auto"/>
        </w:rPr>
        <w:t xml:space="preserve">Details </w:t>
      </w:r>
      <w:r w:rsidR="00BC4779" w:rsidRPr="00DF3994">
        <w:rPr>
          <w:color w:val="auto"/>
        </w:rPr>
        <w:t>of</w:t>
      </w:r>
      <w:r w:rsidR="00BC4779" w:rsidRPr="00CD13DD">
        <w:rPr>
          <w:color w:val="auto"/>
        </w:rPr>
        <w:t xml:space="preserve"> the Commonwealth’s and the States’ estimated financial contributions to the operation of this Agreement are set out in the Schedules to this Agreement.  </w:t>
      </w:r>
    </w:p>
    <w:p w14:paraId="5F72E344" w14:textId="1267483F" w:rsidR="00BC4779" w:rsidRDefault="00580DFB" w:rsidP="0038330F">
      <w:pPr>
        <w:pStyle w:val="AlphaParagraph"/>
        <w:numPr>
          <w:ilvl w:val="0"/>
          <w:numId w:val="15"/>
        </w:numPr>
        <w:tabs>
          <w:tab w:val="clear" w:pos="1134"/>
          <w:tab w:val="num" w:pos="426"/>
        </w:tabs>
        <w:rPr>
          <w:color w:val="auto"/>
        </w:rPr>
      </w:pPr>
      <w:r>
        <w:rPr>
          <w:color w:val="auto"/>
        </w:rPr>
        <w:t>T</w:t>
      </w:r>
      <w:r w:rsidR="00BC4779" w:rsidRPr="00AF6CF2">
        <w:rPr>
          <w:color w:val="auto"/>
        </w:rPr>
        <w:t xml:space="preserve">he sum of all Commonwealth contributions to </w:t>
      </w:r>
      <w:r w:rsidR="004A3896">
        <w:rPr>
          <w:color w:val="auto"/>
        </w:rPr>
        <w:t>P</w:t>
      </w:r>
      <w:r w:rsidR="00BC4779" w:rsidRPr="00AF6CF2">
        <w:rPr>
          <w:color w:val="auto"/>
        </w:rPr>
        <w:t>rojects</w:t>
      </w:r>
      <w:r w:rsidR="00BC4779">
        <w:rPr>
          <w:color w:val="auto"/>
        </w:rPr>
        <w:t xml:space="preserve"> at any given</w:t>
      </w:r>
      <w:r w:rsidR="00BC4779" w:rsidRPr="00AF6CF2">
        <w:rPr>
          <w:color w:val="auto"/>
        </w:rPr>
        <w:t xml:space="preserve"> time in a given State</w:t>
      </w:r>
      <w:r w:rsidR="00694BE6">
        <w:rPr>
          <w:color w:val="auto"/>
        </w:rPr>
        <w:t>, generally calculated at the P90 level where known,</w:t>
      </w:r>
      <w:r w:rsidR="00BC4779" w:rsidRPr="00AF6CF2">
        <w:rPr>
          <w:color w:val="auto"/>
        </w:rPr>
        <w:t xml:space="preserve"> will comprise the Program for that State to manage Projects. This Program allocation shall be </w:t>
      </w:r>
      <w:r w:rsidR="00C805AF">
        <w:rPr>
          <w:color w:val="auto"/>
        </w:rPr>
        <w:t>clearly identified</w:t>
      </w:r>
      <w:r w:rsidR="00C805AF" w:rsidRPr="00AF6CF2">
        <w:rPr>
          <w:color w:val="auto"/>
        </w:rPr>
        <w:t xml:space="preserve"> </w:t>
      </w:r>
      <w:r w:rsidR="00BC4779" w:rsidRPr="00AF6CF2">
        <w:rPr>
          <w:color w:val="auto"/>
        </w:rPr>
        <w:t xml:space="preserve">in the relevant State’s Schedule, noting that some commitments </w:t>
      </w:r>
      <w:r w:rsidR="00694BE6">
        <w:rPr>
          <w:color w:val="auto"/>
        </w:rPr>
        <w:t>may</w:t>
      </w:r>
      <w:r w:rsidR="00694BE6" w:rsidRPr="00AF6CF2">
        <w:rPr>
          <w:color w:val="auto"/>
        </w:rPr>
        <w:t xml:space="preserve"> </w:t>
      </w:r>
      <w:r w:rsidR="00BC4779" w:rsidRPr="00AF6CF2">
        <w:rPr>
          <w:color w:val="auto"/>
        </w:rPr>
        <w:t>be specifically capped. States will be responsible for monitoring and keeping the Commonwealth informed of anticipated over and under</w:t>
      </w:r>
      <w:r w:rsidR="0064275F">
        <w:rPr>
          <w:color w:val="auto"/>
        </w:rPr>
        <w:t xml:space="preserve"> </w:t>
      </w:r>
      <w:r w:rsidR="00BC4779" w:rsidRPr="00AF6CF2">
        <w:rPr>
          <w:color w:val="auto"/>
        </w:rPr>
        <w:t xml:space="preserve">spends for individual </w:t>
      </w:r>
      <w:r w:rsidR="004A3896">
        <w:rPr>
          <w:color w:val="auto"/>
        </w:rPr>
        <w:t>P</w:t>
      </w:r>
      <w:r w:rsidR="00BC4779" w:rsidRPr="00AF6CF2">
        <w:rPr>
          <w:color w:val="auto"/>
        </w:rPr>
        <w:t xml:space="preserve">rojects in the </w:t>
      </w:r>
      <w:r w:rsidR="00667A0C">
        <w:rPr>
          <w:color w:val="auto"/>
        </w:rPr>
        <w:t>S</w:t>
      </w:r>
      <w:r w:rsidR="00BC4779" w:rsidRPr="00AF6CF2">
        <w:rPr>
          <w:color w:val="auto"/>
        </w:rPr>
        <w:t xml:space="preserve">tate </w:t>
      </w:r>
      <w:r w:rsidR="006B51CB">
        <w:rPr>
          <w:color w:val="auto"/>
        </w:rPr>
        <w:t>P</w:t>
      </w:r>
      <w:r w:rsidR="00BC4779" w:rsidRPr="00AF6CF2">
        <w:rPr>
          <w:color w:val="auto"/>
        </w:rPr>
        <w:t xml:space="preserve">rogram. </w:t>
      </w:r>
    </w:p>
    <w:p w14:paraId="55859BEA" w14:textId="1F4B59A1" w:rsidR="000F56D3" w:rsidRPr="00AF6CF2" w:rsidRDefault="000F56D3" w:rsidP="0038330F">
      <w:pPr>
        <w:pStyle w:val="AlphaParagraph"/>
        <w:numPr>
          <w:ilvl w:val="0"/>
          <w:numId w:val="15"/>
        </w:numPr>
        <w:tabs>
          <w:tab w:val="clear" w:pos="1134"/>
          <w:tab w:val="num" w:pos="426"/>
        </w:tabs>
        <w:rPr>
          <w:color w:val="auto"/>
        </w:rPr>
      </w:pPr>
      <w:r>
        <w:rPr>
          <w:color w:val="auto"/>
        </w:rPr>
        <w:t xml:space="preserve">Once a firm cost estimate (P50/P90) </w:t>
      </w:r>
      <w:r w:rsidR="00E1706D">
        <w:rPr>
          <w:color w:val="auto"/>
        </w:rPr>
        <w:t xml:space="preserve">is known </w:t>
      </w:r>
      <w:r>
        <w:rPr>
          <w:color w:val="auto"/>
        </w:rPr>
        <w:t>for a Project</w:t>
      </w:r>
      <w:r w:rsidR="00017905">
        <w:rPr>
          <w:color w:val="auto"/>
        </w:rPr>
        <w:t>, as set out in the delivery phase Project Proposal Report</w:t>
      </w:r>
      <w:r>
        <w:rPr>
          <w:color w:val="auto"/>
        </w:rPr>
        <w:t xml:space="preserve">, the Commonwealth will confirm its contribution </w:t>
      </w:r>
      <w:r w:rsidR="0014037F">
        <w:rPr>
          <w:color w:val="auto"/>
        </w:rPr>
        <w:t xml:space="preserve">for that Project </w:t>
      </w:r>
      <w:r w:rsidR="008C440D">
        <w:rPr>
          <w:color w:val="auto"/>
        </w:rPr>
        <w:t>based on the agreed funding split</w:t>
      </w:r>
      <w:r w:rsidR="00017905">
        <w:rPr>
          <w:color w:val="auto"/>
        </w:rPr>
        <w:t>, subject to a further review</w:t>
      </w:r>
      <w:r w:rsidR="00694BE6">
        <w:rPr>
          <w:color w:val="auto"/>
        </w:rPr>
        <w:t xml:space="preserve"> of funding requirements</w:t>
      </w:r>
      <w:r w:rsidR="00017905">
        <w:rPr>
          <w:color w:val="auto"/>
        </w:rPr>
        <w:t xml:space="preserve"> on award of the last</w:t>
      </w:r>
      <w:r w:rsidR="00017905" w:rsidRPr="00AF6CF2">
        <w:rPr>
          <w:color w:val="auto"/>
        </w:rPr>
        <w:t xml:space="preserve"> major construction contract</w:t>
      </w:r>
      <w:r w:rsidR="00017905">
        <w:rPr>
          <w:color w:val="auto"/>
        </w:rPr>
        <w:t xml:space="preserve">, as set out in </w:t>
      </w:r>
      <w:r w:rsidR="003D35D7">
        <w:rPr>
          <w:color w:val="auto"/>
        </w:rPr>
        <w:t>the Notes on Administration</w:t>
      </w:r>
      <w:r>
        <w:rPr>
          <w:color w:val="auto"/>
        </w:rPr>
        <w:t>.</w:t>
      </w:r>
      <w:r w:rsidR="00AF1A13">
        <w:rPr>
          <w:color w:val="auto"/>
        </w:rPr>
        <w:t xml:space="preserve"> The Commonwealth will commit funding at </w:t>
      </w:r>
      <w:r w:rsidR="00B86855">
        <w:rPr>
          <w:color w:val="auto"/>
        </w:rPr>
        <w:t xml:space="preserve">the agreed </w:t>
      </w:r>
      <w:r w:rsidR="00AF1A13">
        <w:rPr>
          <w:color w:val="auto"/>
        </w:rPr>
        <w:t xml:space="preserve">P90 </w:t>
      </w:r>
      <w:r w:rsidR="00B86855">
        <w:rPr>
          <w:color w:val="auto"/>
        </w:rPr>
        <w:t xml:space="preserve">level </w:t>
      </w:r>
      <w:r w:rsidR="00AF1A13">
        <w:rPr>
          <w:color w:val="auto"/>
        </w:rPr>
        <w:t xml:space="preserve">and </w:t>
      </w:r>
      <w:r w:rsidR="00694BE6">
        <w:rPr>
          <w:color w:val="auto"/>
        </w:rPr>
        <w:t xml:space="preserve">initially </w:t>
      </w:r>
      <w:r w:rsidR="00AF1A13">
        <w:rPr>
          <w:color w:val="auto"/>
        </w:rPr>
        <w:t xml:space="preserve">release funding at </w:t>
      </w:r>
      <w:r w:rsidR="00B86855">
        <w:rPr>
          <w:color w:val="auto"/>
        </w:rPr>
        <w:t xml:space="preserve">the agreed </w:t>
      </w:r>
      <w:r w:rsidR="00AF1A13">
        <w:rPr>
          <w:color w:val="auto"/>
        </w:rPr>
        <w:t>P50</w:t>
      </w:r>
      <w:r w:rsidR="00B86855">
        <w:rPr>
          <w:color w:val="auto"/>
        </w:rPr>
        <w:t xml:space="preserve"> level</w:t>
      </w:r>
      <w:r w:rsidR="00AF1A13">
        <w:rPr>
          <w:color w:val="auto"/>
        </w:rPr>
        <w:t>.</w:t>
      </w:r>
    </w:p>
    <w:p w14:paraId="01BB55A6" w14:textId="0A1F9DB1" w:rsidR="00BC4779" w:rsidRDefault="00BC4779" w:rsidP="0038330F">
      <w:pPr>
        <w:pStyle w:val="AlphaParagraph"/>
        <w:numPr>
          <w:ilvl w:val="0"/>
          <w:numId w:val="15"/>
        </w:numPr>
        <w:tabs>
          <w:tab w:val="clear" w:pos="1134"/>
          <w:tab w:val="num" w:pos="426"/>
        </w:tabs>
        <w:rPr>
          <w:color w:val="auto"/>
        </w:rPr>
      </w:pPr>
      <w:r w:rsidRPr="0038330F">
        <w:rPr>
          <w:color w:val="auto"/>
        </w:rPr>
        <w:t>States may request approval from the Commonwealth to reallocate under and over spends within the Program, ensuring that the total funding allocation to the</w:t>
      </w:r>
      <w:r w:rsidR="00B632B7">
        <w:rPr>
          <w:color w:val="auto"/>
        </w:rPr>
        <w:t xml:space="preserve"> capped</w:t>
      </w:r>
      <w:r w:rsidRPr="0038330F">
        <w:rPr>
          <w:color w:val="auto"/>
        </w:rPr>
        <w:t xml:space="preserve"> Program is not exceeded. The Commonwealth will consider requests for reallocation on a case-by-case basis, taking into consideration the implications of any reallocation </w:t>
      </w:r>
      <w:r w:rsidR="00694BE6">
        <w:rPr>
          <w:color w:val="auto"/>
        </w:rPr>
        <w:t>to</w:t>
      </w:r>
      <w:r w:rsidR="00694BE6" w:rsidRPr="0038330F">
        <w:rPr>
          <w:color w:val="auto"/>
        </w:rPr>
        <w:t xml:space="preserve"> </w:t>
      </w:r>
      <w:r w:rsidRPr="0038330F">
        <w:rPr>
          <w:color w:val="auto"/>
        </w:rPr>
        <w:t>the delivery of the Program</w:t>
      </w:r>
      <w:r w:rsidR="00B2303E">
        <w:rPr>
          <w:color w:val="auto"/>
        </w:rPr>
        <w:t xml:space="preserve">, the </w:t>
      </w:r>
      <w:r w:rsidRPr="0038330F">
        <w:rPr>
          <w:color w:val="auto"/>
        </w:rPr>
        <w:t>cause of the under and overspends</w:t>
      </w:r>
      <w:r w:rsidR="00B2303E">
        <w:rPr>
          <w:color w:val="auto"/>
        </w:rPr>
        <w:t xml:space="preserve"> and the needs of the requesting State.</w:t>
      </w:r>
    </w:p>
    <w:p w14:paraId="217CA2B1" w14:textId="3D03D3A9" w:rsidR="00BC4779" w:rsidRPr="00AF6CF2" w:rsidRDefault="00BC4779" w:rsidP="0038330F">
      <w:pPr>
        <w:pStyle w:val="AlphaParagraph"/>
        <w:numPr>
          <w:ilvl w:val="0"/>
          <w:numId w:val="15"/>
        </w:numPr>
        <w:tabs>
          <w:tab w:val="clear" w:pos="1134"/>
          <w:tab w:val="num" w:pos="426"/>
        </w:tabs>
        <w:rPr>
          <w:color w:val="auto"/>
        </w:rPr>
      </w:pPr>
      <w:r w:rsidRPr="00AF6CF2">
        <w:rPr>
          <w:color w:val="auto"/>
        </w:rPr>
        <w:t xml:space="preserve">Commonwealth contributions will be provided upon the achievement of agreed Project milestones by the relevant </w:t>
      </w:r>
      <w:r w:rsidR="00C25D67">
        <w:rPr>
          <w:color w:val="auto"/>
        </w:rPr>
        <w:t>State</w:t>
      </w:r>
      <w:r w:rsidRPr="00AF6CF2">
        <w:rPr>
          <w:color w:val="auto"/>
        </w:rPr>
        <w:t xml:space="preserve">. </w:t>
      </w:r>
    </w:p>
    <w:p w14:paraId="7C9F1213" w14:textId="77777777" w:rsidR="00BC4779" w:rsidRPr="00CD13DD" w:rsidRDefault="00BC4779" w:rsidP="0038330F">
      <w:pPr>
        <w:pStyle w:val="AlphaParagraph"/>
        <w:numPr>
          <w:ilvl w:val="0"/>
          <w:numId w:val="15"/>
        </w:numPr>
        <w:tabs>
          <w:tab w:val="clear" w:pos="1134"/>
          <w:tab w:val="num" w:pos="426"/>
        </w:tabs>
        <w:rPr>
          <w:color w:val="auto"/>
        </w:rPr>
      </w:pPr>
      <w:r w:rsidRPr="00CD13DD">
        <w:rPr>
          <w:color w:val="auto"/>
        </w:rPr>
        <w:t xml:space="preserve">The Commonwealth, unless otherwise agreed with the relevant State, will approve and release its share of funding for each Project phase (as defined in the Notes on Administration), based on the Commonwealth’s agreed current phase proportion of the overall Project P50 Outturn cost.  </w:t>
      </w:r>
    </w:p>
    <w:p w14:paraId="7D856054" w14:textId="77777777" w:rsidR="00BC4779" w:rsidRPr="00CD13DD" w:rsidRDefault="00BC4779" w:rsidP="0038330F">
      <w:pPr>
        <w:pStyle w:val="AlphaParagraph"/>
        <w:numPr>
          <w:ilvl w:val="0"/>
          <w:numId w:val="15"/>
        </w:numPr>
        <w:tabs>
          <w:tab w:val="clear" w:pos="1134"/>
          <w:tab w:val="num" w:pos="426"/>
        </w:tabs>
        <w:rPr>
          <w:color w:val="auto"/>
        </w:rPr>
      </w:pPr>
      <w:r w:rsidRPr="00CD13DD">
        <w:rPr>
          <w:color w:val="auto"/>
        </w:rPr>
        <w:t xml:space="preserve">Commonwealth and State contributions as set out in the Schedules to this Agreement must only be used for approved purposes, as set out in the Notes on Administration. </w:t>
      </w:r>
    </w:p>
    <w:p w14:paraId="00CD796B" w14:textId="77777777" w:rsidR="00BC4779" w:rsidRPr="00CD13DD" w:rsidRDefault="00BC4779" w:rsidP="0038330F">
      <w:pPr>
        <w:pStyle w:val="AlphaParagraph"/>
        <w:numPr>
          <w:ilvl w:val="0"/>
          <w:numId w:val="15"/>
        </w:numPr>
        <w:tabs>
          <w:tab w:val="clear" w:pos="1134"/>
          <w:tab w:val="num" w:pos="426"/>
        </w:tabs>
        <w:rPr>
          <w:color w:val="auto"/>
        </w:rPr>
      </w:pPr>
      <w:r w:rsidRPr="00CD13DD">
        <w:rPr>
          <w:color w:val="auto"/>
        </w:rPr>
        <w:lastRenderedPageBreak/>
        <w:t>In limited circumstances, the Commonwealth may also make in-advance payments for individual Projects from time to time, at its discretion.</w:t>
      </w:r>
    </w:p>
    <w:p w14:paraId="65B7BDEF" w14:textId="3A1E1110" w:rsidR="00BC4779" w:rsidRPr="00CD13DD" w:rsidRDefault="004E4516" w:rsidP="0038330F">
      <w:pPr>
        <w:pStyle w:val="Normalnumbered"/>
        <w:keepNext/>
        <w:tabs>
          <w:tab w:val="clear" w:pos="1418"/>
          <w:tab w:val="num" w:pos="360"/>
        </w:tabs>
        <w:ind w:left="357" w:hanging="357"/>
        <w:rPr>
          <w:b/>
          <w:i/>
          <w:color w:val="auto"/>
          <w:u w:val="single"/>
        </w:rPr>
      </w:pPr>
      <w:r>
        <w:rPr>
          <w:b/>
          <w:i/>
          <w:color w:val="auto"/>
          <w:u w:val="single"/>
        </w:rPr>
        <w:t xml:space="preserve">National Land Transport Network </w:t>
      </w:r>
      <w:r w:rsidR="00BC4779" w:rsidRPr="00CD13DD">
        <w:rPr>
          <w:b/>
          <w:i/>
          <w:color w:val="auto"/>
          <w:u w:val="single"/>
        </w:rPr>
        <w:t>Maintenance</w:t>
      </w:r>
    </w:p>
    <w:p w14:paraId="54FE5F47" w14:textId="77777777" w:rsidR="00BC4779" w:rsidRPr="00AF6CF2" w:rsidRDefault="00BC4779" w:rsidP="0038330F">
      <w:pPr>
        <w:pStyle w:val="Normalnumbered"/>
        <w:numPr>
          <w:ilvl w:val="0"/>
          <w:numId w:val="15"/>
        </w:numPr>
        <w:tabs>
          <w:tab w:val="num" w:pos="426"/>
        </w:tabs>
        <w:rPr>
          <w:color w:val="auto"/>
        </w:rPr>
      </w:pPr>
      <w:r w:rsidRPr="00AF6CF2">
        <w:rPr>
          <w:color w:val="auto"/>
        </w:rPr>
        <w:t>The Parties recognise that ownership and responsibility for those parts of the National Land Transport Network that are within the boundaries of the relevant State will remain with that State</w:t>
      </w:r>
      <w:r>
        <w:rPr>
          <w:color w:val="auto"/>
        </w:rPr>
        <w:t>, and that guidance on the maintenance standards are outlined in the Notes on Administration</w:t>
      </w:r>
      <w:r w:rsidRPr="00AF6CF2">
        <w:rPr>
          <w:color w:val="auto"/>
        </w:rPr>
        <w:t>.</w:t>
      </w:r>
    </w:p>
    <w:p w14:paraId="3D9A09D9" w14:textId="77777777" w:rsidR="00BC4779" w:rsidRPr="00AF6CF2" w:rsidRDefault="00BC4779" w:rsidP="0038330F">
      <w:pPr>
        <w:pStyle w:val="Normalnumbered"/>
        <w:numPr>
          <w:ilvl w:val="0"/>
          <w:numId w:val="15"/>
        </w:numPr>
        <w:tabs>
          <w:tab w:val="num" w:pos="426"/>
        </w:tabs>
        <w:rPr>
          <w:color w:val="auto"/>
        </w:rPr>
      </w:pPr>
      <w:r w:rsidRPr="00AF6CF2">
        <w:rPr>
          <w:color w:val="auto"/>
        </w:rPr>
        <w:t>The Parties agree that Commonwealth annual maintenance funding for non-tolled roads on the National Land Transport Network will be determined each year by application of the formula set out in the Notes on Administration.</w:t>
      </w:r>
    </w:p>
    <w:p w14:paraId="5978A89D" w14:textId="77777777" w:rsidR="00BC4779" w:rsidRPr="00AF6CF2" w:rsidRDefault="00BC4779" w:rsidP="0038330F">
      <w:pPr>
        <w:pStyle w:val="Normalnumbered"/>
        <w:numPr>
          <w:ilvl w:val="0"/>
          <w:numId w:val="15"/>
        </w:numPr>
        <w:tabs>
          <w:tab w:val="num" w:pos="426"/>
        </w:tabs>
        <w:rPr>
          <w:color w:val="auto"/>
        </w:rPr>
      </w:pPr>
      <w:r w:rsidRPr="00AF6CF2">
        <w:rPr>
          <w:color w:val="auto"/>
        </w:rPr>
        <w:t xml:space="preserve">The Commonwealth will advise the States of the total Commonwealth funding to be provided for non-tolled road maintenance each year as set out in the Schedule, and will seek the States’ written agreement to any additional conditions that apply. </w:t>
      </w:r>
    </w:p>
    <w:p w14:paraId="04E986A0" w14:textId="77777777" w:rsidR="0012575D" w:rsidRPr="001D4523" w:rsidRDefault="00A8295A" w:rsidP="0012575D">
      <w:pPr>
        <w:pStyle w:val="Heading2"/>
      </w:pPr>
      <w:r w:rsidRPr="001D4523">
        <w:t xml:space="preserve">Financial </w:t>
      </w:r>
      <w:r w:rsidR="00C738BD" w:rsidRPr="001D4523">
        <w:t>risk</w:t>
      </w:r>
      <w:r w:rsidRPr="001D4523">
        <w:t xml:space="preserve"> management</w:t>
      </w:r>
      <w:r w:rsidR="00940658" w:rsidRPr="001D4523">
        <w:t xml:space="preserve"> </w:t>
      </w:r>
    </w:p>
    <w:p w14:paraId="0DDE57B5" w14:textId="77777777" w:rsidR="0012575D" w:rsidRPr="007A4B0E" w:rsidRDefault="0012575D" w:rsidP="0012575D">
      <w:pPr>
        <w:pStyle w:val="Normalnumbered"/>
        <w:tabs>
          <w:tab w:val="clear" w:pos="1418"/>
        </w:tabs>
        <w:rPr>
          <w:b/>
          <w:i/>
          <w:color w:val="auto"/>
          <w:u w:val="single"/>
        </w:rPr>
      </w:pPr>
      <w:r w:rsidRPr="007A4B0E">
        <w:rPr>
          <w:b/>
          <w:i/>
          <w:color w:val="auto"/>
          <w:u w:val="single"/>
        </w:rPr>
        <w:t>Project Cost Savings</w:t>
      </w:r>
    </w:p>
    <w:p w14:paraId="25D77B58" w14:textId="651569EA" w:rsidR="0012575D" w:rsidRPr="007A4B0E" w:rsidRDefault="0012575D" w:rsidP="0012575D">
      <w:pPr>
        <w:pStyle w:val="Normalnumbered"/>
        <w:numPr>
          <w:ilvl w:val="0"/>
          <w:numId w:val="15"/>
        </w:numPr>
        <w:tabs>
          <w:tab w:val="num" w:pos="426"/>
        </w:tabs>
        <w:rPr>
          <w:color w:val="auto"/>
        </w:rPr>
      </w:pPr>
      <w:r>
        <w:rPr>
          <w:color w:val="auto"/>
        </w:rPr>
        <w:t xml:space="preserve">As set out in </w:t>
      </w:r>
      <w:r w:rsidRPr="007B15CF">
        <w:rPr>
          <w:color w:val="auto"/>
        </w:rPr>
        <w:t xml:space="preserve">clauses 42 to </w:t>
      </w:r>
      <w:r w:rsidRPr="00973D1E">
        <w:rPr>
          <w:color w:val="auto"/>
        </w:rPr>
        <w:t>44,</w:t>
      </w:r>
      <w:r>
        <w:rPr>
          <w:color w:val="auto"/>
        </w:rPr>
        <w:t xml:space="preserve"> within a State’s overall Program, w</w:t>
      </w:r>
      <w:r w:rsidRPr="007A4B0E">
        <w:rPr>
          <w:color w:val="auto"/>
        </w:rPr>
        <w:t xml:space="preserve">here the </w:t>
      </w:r>
      <w:r>
        <w:rPr>
          <w:color w:val="auto"/>
        </w:rPr>
        <w:t xml:space="preserve">updated </w:t>
      </w:r>
      <w:r w:rsidR="00A82CBA">
        <w:rPr>
          <w:color w:val="auto"/>
        </w:rPr>
        <w:t xml:space="preserve">cost </w:t>
      </w:r>
      <w:r>
        <w:rPr>
          <w:color w:val="auto"/>
        </w:rPr>
        <w:t xml:space="preserve">estimate or </w:t>
      </w:r>
      <w:r w:rsidRPr="007A4B0E">
        <w:rPr>
          <w:color w:val="auto"/>
        </w:rPr>
        <w:t xml:space="preserve">final </w:t>
      </w:r>
      <w:r>
        <w:rPr>
          <w:color w:val="auto"/>
        </w:rPr>
        <w:t>P</w:t>
      </w:r>
      <w:r w:rsidRPr="007A4B0E">
        <w:rPr>
          <w:color w:val="auto"/>
        </w:rPr>
        <w:t>roject cost to government is less than the amount(s) which the Commonwealth or</w:t>
      </w:r>
      <w:r>
        <w:rPr>
          <w:color w:val="auto"/>
        </w:rPr>
        <w:t xml:space="preserve"> (</w:t>
      </w:r>
      <w:r w:rsidRPr="007A4B0E">
        <w:rPr>
          <w:color w:val="auto"/>
        </w:rPr>
        <w:t xml:space="preserve">in the case of a jointly funded </w:t>
      </w:r>
      <w:r>
        <w:rPr>
          <w:color w:val="auto"/>
        </w:rPr>
        <w:t>P</w:t>
      </w:r>
      <w:r w:rsidRPr="007A4B0E">
        <w:rPr>
          <w:color w:val="auto"/>
        </w:rPr>
        <w:t>roject</w:t>
      </w:r>
      <w:r>
        <w:rPr>
          <w:color w:val="auto"/>
        </w:rPr>
        <w:t>)</w:t>
      </w:r>
      <w:r w:rsidRPr="007A4B0E">
        <w:rPr>
          <w:color w:val="auto"/>
        </w:rPr>
        <w:t xml:space="preserve"> the Commonwealth and the relevant State have agreed to make available, the savings (including savings resulting from private sector participation in the </w:t>
      </w:r>
      <w:r>
        <w:rPr>
          <w:color w:val="auto"/>
        </w:rPr>
        <w:t>P</w:t>
      </w:r>
      <w:r w:rsidRPr="007A4B0E">
        <w:rPr>
          <w:color w:val="auto"/>
        </w:rPr>
        <w:t>roject) will be treated in the following way:</w:t>
      </w:r>
    </w:p>
    <w:p w14:paraId="56A3A879" w14:textId="77777777" w:rsidR="0012575D" w:rsidRPr="009437F6" w:rsidRDefault="0012575D" w:rsidP="0012575D">
      <w:pPr>
        <w:pStyle w:val="AlphaParagraph"/>
        <w:numPr>
          <w:ilvl w:val="0"/>
          <w:numId w:val="59"/>
        </w:numPr>
        <w:tabs>
          <w:tab w:val="clear" w:pos="567"/>
        </w:tabs>
        <w:ind w:left="1134"/>
        <w:rPr>
          <w:color w:val="auto"/>
        </w:rPr>
      </w:pPr>
      <w:r w:rsidRPr="007A4B0E">
        <w:rPr>
          <w:color w:val="auto"/>
        </w:rPr>
        <w:t xml:space="preserve">for </w:t>
      </w:r>
      <w:r>
        <w:rPr>
          <w:color w:val="auto"/>
        </w:rPr>
        <w:t>P</w:t>
      </w:r>
      <w:r w:rsidRPr="007A4B0E">
        <w:rPr>
          <w:color w:val="auto"/>
        </w:rPr>
        <w:t xml:space="preserve">rojects </w:t>
      </w:r>
      <w:r>
        <w:rPr>
          <w:color w:val="auto"/>
        </w:rPr>
        <w:t xml:space="preserve">to which only the Commonwealth has committed a specified funding contribution, the Commonwealth may choose to reallocate the savings to another Project or Projects in the relevant </w:t>
      </w:r>
      <w:r w:rsidRPr="009437F6">
        <w:rPr>
          <w:color w:val="auto"/>
        </w:rPr>
        <w:t>State; and</w:t>
      </w:r>
    </w:p>
    <w:p w14:paraId="5F830B10" w14:textId="77777777" w:rsidR="0012575D" w:rsidRPr="009437F6" w:rsidRDefault="0012575D" w:rsidP="0012575D">
      <w:pPr>
        <w:pStyle w:val="AlphaParagraph"/>
        <w:numPr>
          <w:ilvl w:val="0"/>
          <w:numId w:val="59"/>
        </w:numPr>
        <w:tabs>
          <w:tab w:val="clear" w:pos="567"/>
          <w:tab w:val="clear" w:pos="1134"/>
          <w:tab w:val="num" w:pos="1276"/>
        </w:tabs>
        <w:ind w:left="1134"/>
        <w:rPr>
          <w:color w:val="auto"/>
        </w:rPr>
      </w:pPr>
      <w:r w:rsidRPr="009437F6">
        <w:rPr>
          <w:color w:val="auto"/>
        </w:rPr>
        <w:t>for Projects to which both the Commonwealth and a State have committed a specified funding contribution, the savings will be divided on a pro-rata basis and be redistributed:</w:t>
      </w:r>
    </w:p>
    <w:p w14:paraId="414C4E3D" w14:textId="77777777" w:rsidR="0012575D" w:rsidRPr="009437F6" w:rsidRDefault="0012575D" w:rsidP="005A0EED">
      <w:pPr>
        <w:pStyle w:val="AlphaParagraph"/>
        <w:numPr>
          <w:ilvl w:val="0"/>
          <w:numId w:val="101"/>
        </w:numPr>
        <w:tabs>
          <w:tab w:val="clear" w:pos="567"/>
          <w:tab w:val="clear" w:pos="1134"/>
          <w:tab w:val="num" w:pos="1418"/>
        </w:tabs>
        <w:ind w:left="1418" w:hanging="284"/>
        <w:rPr>
          <w:color w:val="auto"/>
        </w:rPr>
      </w:pPr>
      <w:r w:rsidRPr="009437F6">
        <w:rPr>
          <w:color w:val="auto"/>
        </w:rPr>
        <w:t>in the case of the Commonwealth, the Commonwealth may choose to reallocate its share of the funding to another Project or P</w:t>
      </w:r>
      <w:r>
        <w:rPr>
          <w:color w:val="auto"/>
        </w:rPr>
        <w:t>rojects in the relevant State</w:t>
      </w:r>
      <w:r w:rsidRPr="009437F6">
        <w:rPr>
          <w:color w:val="auto"/>
        </w:rPr>
        <w:t>; and</w:t>
      </w:r>
    </w:p>
    <w:p w14:paraId="27624371" w14:textId="77777777" w:rsidR="0012575D" w:rsidRDefault="0012575D" w:rsidP="005A0EED">
      <w:pPr>
        <w:pStyle w:val="AlphaParagraph"/>
        <w:numPr>
          <w:ilvl w:val="0"/>
          <w:numId w:val="101"/>
        </w:numPr>
        <w:tabs>
          <w:tab w:val="clear" w:pos="567"/>
          <w:tab w:val="clear" w:pos="1134"/>
          <w:tab w:val="num" w:pos="1418"/>
        </w:tabs>
        <w:ind w:left="1418" w:hanging="284"/>
        <w:rPr>
          <w:color w:val="auto"/>
        </w:rPr>
      </w:pPr>
      <w:r>
        <w:rPr>
          <w:color w:val="auto"/>
        </w:rPr>
        <w:t>i</w:t>
      </w:r>
      <w:r w:rsidRPr="007A4B0E">
        <w:rPr>
          <w:color w:val="auto"/>
        </w:rPr>
        <w:t xml:space="preserve">n the case of a State, the State may choose to reallocate its share of the funding to </w:t>
      </w:r>
      <w:r>
        <w:rPr>
          <w:color w:val="auto"/>
        </w:rPr>
        <w:t>other Projects</w:t>
      </w:r>
      <w:r w:rsidRPr="007A4B0E">
        <w:rPr>
          <w:color w:val="auto"/>
        </w:rPr>
        <w:t>.</w:t>
      </w:r>
    </w:p>
    <w:p w14:paraId="7FC21240" w14:textId="77777777" w:rsidR="0012575D" w:rsidRPr="00F52EE9" w:rsidRDefault="0012575D" w:rsidP="0012575D">
      <w:pPr>
        <w:pStyle w:val="Normalnumbered"/>
        <w:tabs>
          <w:tab w:val="clear" w:pos="1418"/>
        </w:tabs>
        <w:rPr>
          <w:b/>
          <w:i/>
          <w:color w:val="auto"/>
          <w:u w:val="single"/>
        </w:rPr>
      </w:pPr>
      <w:r w:rsidRPr="00F52EE9">
        <w:rPr>
          <w:b/>
          <w:i/>
          <w:color w:val="auto"/>
          <w:u w:val="single"/>
        </w:rPr>
        <w:t>Interest Earned on Payments in Advance</w:t>
      </w:r>
    </w:p>
    <w:p w14:paraId="53431709" w14:textId="1D2150AC" w:rsidR="0012575D" w:rsidRPr="00F52EE9" w:rsidRDefault="0012575D" w:rsidP="0012575D">
      <w:pPr>
        <w:pStyle w:val="Normalnumbered"/>
        <w:numPr>
          <w:ilvl w:val="0"/>
          <w:numId w:val="15"/>
        </w:numPr>
        <w:tabs>
          <w:tab w:val="num" w:pos="426"/>
        </w:tabs>
        <w:rPr>
          <w:color w:val="auto"/>
        </w:rPr>
      </w:pPr>
      <w:r w:rsidRPr="00F52EE9">
        <w:rPr>
          <w:color w:val="auto"/>
        </w:rPr>
        <w:t xml:space="preserve">All interest earned on Commonwealth payments in advance, which include prepayments under clause </w:t>
      </w:r>
      <w:r w:rsidR="00E11471">
        <w:rPr>
          <w:color w:val="auto"/>
        </w:rPr>
        <w:t>48</w:t>
      </w:r>
      <w:r w:rsidRPr="00F52EE9">
        <w:rPr>
          <w:color w:val="auto"/>
        </w:rPr>
        <w:t>, must be calculated and reported in accordance with the formula in the Notes on Administration.</w:t>
      </w:r>
      <w:r w:rsidR="00F57491">
        <w:rPr>
          <w:color w:val="auto"/>
        </w:rPr>
        <w:t xml:space="preserve"> </w:t>
      </w:r>
    </w:p>
    <w:p w14:paraId="4FD7A2CA" w14:textId="6ED48B79" w:rsidR="0012575D" w:rsidRPr="00F52EE9" w:rsidRDefault="0012575D" w:rsidP="0012575D">
      <w:pPr>
        <w:pStyle w:val="Normalnumbered"/>
        <w:numPr>
          <w:ilvl w:val="0"/>
          <w:numId w:val="15"/>
        </w:numPr>
        <w:tabs>
          <w:tab w:val="num" w:pos="426"/>
        </w:tabs>
        <w:rPr>
          <w:color w:val="auto"/>
        </w:rPr>
      </w:pPr>
      <w:r w:rsidRPr="00F52EE9">
        <w:rPr>
          <w:color w:val="auto"/>
        </w:rPr>
        <w:t xml:space="preserve">Interest earned will be additional to the </w:t>
      </w:r>
      <w:r w:rsidRPr="00F57491">
        <w:rPr>
          <w:color w:val="auto"/>
        </w:rPr>
        <w:t xml:space="preserve">Commonwealth </w:t>
      </w:r>
      <w:r w:rsidR="00CE1F3B" w:rsidRPr="00F57491">
        <w:rPr>
          <w:color w:val="auto"/>
        </w:rPr>
        <w:t>and State</w:t>
      </w:r>
      <w:r w:rsidR="00CE1F3B">
        <w:rPr>
          <w:color w:val="auto"/>
        </w:rPr>
        <w:t xml:space="preserve"> </w:t>
      </w:r>
      <w:r w:rsidRPr="00F52EE9">
        <w:rPr>
          <w:color w:val="auto"/>
        </w:rPr>
        <w:t>total funding contributio</w:t>
      </w:r>
      <w:r w:rsidRPr="00F57491">
        <w:rPr>
          <w:color w:val="auto"/>
        </w:rPr>
        <w:t>n</w:t>
      </w:r>
      <w:r w:rsidR="00B61464" w:rsidRPr="00F57491">
        <w:rPr>
          <w:color w:val="auto"/>
        </w:rPr>
        <w:t>s</w:t>
      </w:r>
      <w:r w:rsidRPr="00F52EE9">
        <w:rPr>
          <w:color w:val="auto"/>
        </w:rPr>
        <w:t xml:space="preserve"> to the Project. With the Commonwealth’s agreement, such interest earned may be used on the Project or redistributed to other land transport projects in receipt of Commonwealth funding within the State</w:t>
      </w:r>
      <w:r w:rsidR="00F52EE9" w:rsidRPr="00F52EE9">
        <w:rPr>
          <w:color w:val="auto"/>
        </w:rPr>
        <w:t>.</w:t>
      </w:r>
    </w:p>
    <w:p w14:paraId="1E8CF627" w14:textId="77777777" w:rsidR="0012575D" w:rsidRPr="00E72E5A" w:rsidRDefault="0012575D" w:rsidP="0012575D">
      <w:pPr>
        <w:pStyle w:val="Normalnumbered"/>
        <w:keepNext/>
        <w:tabs>
          <w:tab w:val="clear" w:pos="1418"/>
        </w:tabs>
        <w:rPr>
          <w:b/>
          <w:i/>
          <w:color w:val="auto"/>
          <w:u w:val="single"/>
        </w:rPr>
      </w:pPr>
      <w:r>
        <w:rPr>
          <w:b/>
          <w:i/>
          <w:color w:val="auto"/>
          <w:u w:val="single"/>
        </w:rPr>
        <w:t>Increases in Project Costs</w:t>
      </w:r>
    </w:p>
    <w:p w14:paraId="20CBF6AF" w14:textId="77777777" w:rsidR="0012575D" w:rsidRPr="00017905" w:rsidRDefault="0012575D" w:rsidP="0012575D">
      <w:pPr>
        <w:pStyle w:val="Normalnumbered"/>
        <w:numPr>
          <w:ilvl w:val="0"/>
          <w:numId w:val="15"/>
        </w:numPr>
        <w:tabs>
          <w:tab w:val="num" w:pos="426"/>
        </w:tabs>
        <w:rPr>
          <w:b/>
          <w:i/>
          <w:color w:val="auto"/>
          <w:u w:val="single"/>
        </w:rPr>
      </w:pPr>
      <w:r w:rsidRPr="00CF5FDF">
        <w:rPr>
          <w:color w:val="auto"/>
        </w:rPr>
        <w:t xml:space="preserve">The Parties agree that where there is a cost increase for a project above the P50 Outturn cost, any additional funding up to </w:t>
      </w:r>
      <w:r w:rsidRPr="00935E8C">
        <w:rPr>
          <w:color w:val="auto"/>
        </w:rPr>
        <w:t xml:space="preserve">the ‘Total Commonwealth Committed Funding’ as set out in the Schedules to this Agreement will only be released on a demonstrated needs basis. </w:t>
      </w:r>
      <w:r>
        <w:rPr>
          <w:color w:val="auto"/>
        </w:rPr>
        <w:t xml:space="preserve"> </w:t>
      </w:r>
    </w:p>
    <w:p w14:paraId="4BC35A1C" w14:textId="77777777" w:rsidR="0012575D" w:rsidRPr="00935E8C" w:rsidRDefault="0012575D" w:rsidP="0012575D">
      <w:pPr>
        <w:pStyle w:val="Normalnumbered"/>
        <w:numPr>
          <w:ilvl w:val="0"/>
          <w:numId w:val="15"/>
        </w:numPr>
        <w:tabs>
          <w:tab w:val="num" w:pos="426"/>
        </w:tabs>
        <w:rPr>
          <w:b/>
          <w:i/>
          <w:color w:val="auto"/>
          <w:u w:val="single"/>
        </w:rPr>
      </w:pPr>
      <w:r>
        <w:rPr>
          <w:color w:val="auto"/>
        </w:rPr>
        <w:lastRenderedPageBreak/>
        <w:t>Where a Project exceeds the ‘Total Commonwealth Committed Funding’, additional contributions can be allocated from savings from other Projects within the relevant State’s Program, with the Commonwealth’s agreement.</w:t>
      </w:r>
    </w:p>
    <w:p w14:paraId="1466843D" w14:textId="1734AE12" w:rsidR="00BC4779" w:rsidRPr="00E8137D" w:rsidRDefault="00BC4779" w:rsidP="00896039">
      <w:pPr>
        <w:pStyle w:val="Heading2"/>
      </w:pPr>
      <w:r w:rsidRPr="00E8137D">
        <w:t>Project arrangements</w:t>
      </w:r>
    </w:p>
    <w:p w14:paraId="3BEBCB90" w14:textId="77777777" w:rsidR="00BC4779" w:rsidRPr="007A4B0E" w:rsidRDefault="00BC4779" w:rsidP="005A0EED">
      <w:pPr>
        <w:pStyle w:val="Normalnumbered"/>
        <w:keepNext/>
        <w:tabs>
          <w:tab w:val="clear" w:pos="1418"/>
        </w:tabs>
        <w:rPr>
          <w:b/>
          <w:i/>
          <w:color w:val="auto"/>
          <w:u w:val="single"/>
        </w:rPr>
      </w:pPr>
      <w:r w:rsidRPr="007A4B0E">
        <w:rPr>
          <w:b/>
          <w:i/>
          <w:color w:val="auto"/>
          <w:u w:val="single"/>
        </w:rPr>
        <w:t>Variations</w:t>
      </w:r>
    </w:p>
    <w:p w14:paraId="5FED1E04" w14:textId="77777777" w:rsidR="00BC4779" w:rsidRDefault="00BC4779" w:rsidP="00BC4779">
      <w:pPr>
        <w:pStyle w:val="Normalnumbered"/>
        <w:numPr>
          <w:ilvl w:val="0"/>
          <w:numId w:val="15"/>
        </w:numPr>
        <w:tabs>
          <w:tab w:val="num" w:pos="426"/>
        </w:tabs>
        <w:rPr>
          <w:color w:val="auto"/>
        </w:rPr>
      </w:pPr>
      <w:r>
        <w:rPr>
          <w:color w:val="auto"/>
        </w:rPr>
        <w:t xml:space="preserve">The Parties recognise </w:t>
      </w:r>
      <w:r w:rsidRPr="005520CE">
        <w:rPr>
          <w:color w:val="auto"/>
        </w:rPr>
        <w:t xml:space="preserve">that there may be a need from time to time to vary some of the </w:t>
      </w:r>
      <w:r>
        <w:rPr>
          <w:color w:val="auto"/>
        </w:rPr>
        <w:t>P</w:t>
      </w:r>
      <w:r w:rsidRPr="005520CE">
        <w:rPr>
          <w:color w:val="auto"/>
        </w:rPr>
        <w:t xml:space="preserve">rojects </w:t>
      </w:r>
      <w:r>
        <w:rPr>
          <w:color w:val="auto"/>
        </w:rPr>
        <w:t xml:space="preserve">as set out </w:t>
      </w:r>
      <w:r w:rsidRPr="005520CE">
        <w:rPr>
          <w:color w:val="auto"/>
        </w:rPr>
        <w:t xml:space="preserve">in the Schedules </w:t>
      </w:r>
      <w:r>
        <w:rPr>
          <w:color w:val="auto"/>
        </w:rPr>
        <w:t xml:space="preserve">to this Agreement </w:t>
      </w:r>
      <w:r w:rsidRPr="005520CE">
        <w:rPr>
          <w:color w:val="auto"/>
        </w:rPr>
        <w:t xml:space="preserve">as </w:t>
      </w:r>
      <w:r>
        <w:rPr>
          <w:color w:val="auto"/>
        </w:rPr>
        <w:t>P</w:t>
      </w:r>
      <w:r w:rsidRPr="005520CE">
        <w:rPr>
          <w:color w:val="auto"/>
        </w:rPr>
        <w:t>roject proposals are further developed and refined</w:t>
      </w:r>
      <w:r>
        <w:rPr>
          <w:color w:val="auto"/>
        </w:rPr>
        <w:t>,</w:t>
      </w:r>
      <w:r w:rsidRPr="005520CE">
        <w:rPr>
          <w:color w:val="auto"/>
        </w:rPr>
        <w:t xml:space="preserve"> or in response to circumstances that may potentially affect the scope, cost (and respective funding contributions) and expected timelines of </w:t>
      </w:r>
      <w:r>
        <w:rPr>
          <w:color w:val="auto"/>
        </w:rPr>
        <w:t>P</w:t>
      </w:r>
      <w:r w:rsidRPr="005520CE">
        <w:rPr>
          <w:color w:val="auto"/>
        </w:rPr>
        <w:t>rojects.</w:t>
      </w:r>
    </w:p>
    <w:p w14:paraId="26A55CF7" w14:textId="2220A3AA" w:rsidR="00BC4779" w:rsidRPr="00A5466C" w:rsidRDefault="00BC4779" w:rsidP="00BC4779">
      <w:pPr>
        <w:pStyle w:val="Normalnumbered"/>
        <w:numPr>
          <w:ilvl w:val="0"/>
          <w:numId w:val="15"/>
        </w:numPr>
        <w:tabs>
          <w:tab w:val="num" w:pos="426"/>
        </w:tabs>
        <w:rPr>
          <w:color w:val="auto"/>
        </w:rPr>
      </w:pPr>
      <w:r>
        <w:rPr>
          <w:color w:val="auto"/>
        </w:rPr>
        <w:t xml:space="preserve">Significant </w:t>
      </w:r>
      <w:r w:rsidRPr="007A080C">
        <w:rPr>
          <w:color w:val="auto"/>
        </w:rPr>
        <w:t xml:space="preserve">variations to a Project as described in the Schedules, including </w:t>
      </w:r>
      <w:r>
        <w:rPr>
          <w:color w:val="auto"/>
        </w:rPr>
        <w:t xml:space="preserve">those that affect </w:t>
      </w:r>
      <w:r w:rsidRPr="007A080C">
        <w:rPr>
          <w:color w:val="auto"/>
        </w:rPr>
        <w:t>scope, cost</w:t>
      </w:r>
      <w:r>
        <w:rPr>
          <w:color w:val="auto"/>
        </w:rPr>
        <w:t>,</w:t>
      </w:r>
      <w:r w:rsidRPr="007A080C">
        <w:rPr>
          <w:color w:val="auto"/>
        </w:rPr>
        <w:t xml:space="preserve"> respective funding contributions</w:t>
      </w:r>
      <w:r w:rsidRPr="005520CE">
        <w:rPr>
          <w:color w:val="auto"/>
        </w:rPr>
        <w:t xml:space="preserve"> and timelines, will be agreed in writing by the </w:t>
      </w:r>
      <w:r>
        <w:rPr>
          <w:color w:val="auto"/>
        </w:rPr>
        <w:t>relevant P</w:t>
      </w:r>
      <w:r w:rsidRPr="005520CE">
        <w:rPr>
          <w:color w:val="auto"/>
        </w:rPr>
        <w:t>arties</w:t>
      </w:r>
      <w:r>
        <w:rPr>
          <w:color w:val="auto"/>
        </w:rPr>
        <w:t xml:space="preserve">.  Any consequential variations to </w:t>
      </w:r>
      <w:r w:rsidR="004D41EF">
        <w:rPr>
          <w:color w:val="auto"/>
        </w:rPr>
        <w:t>P</w:t>
      </w:r>
      <w:r>
        <w:rPr>
          <w:color w:val="auto"/>
        </w:rPr>
        <w:t>roject milestones will be agreed in accordance with the Notes on Administration.</w:t>
      </w:r>
    </w:p>
    <w:p w14:paraId="5B0A95BF" w14:textId="77777777" w:rsidR="00BC4779" w:rsidRPr="00F9088F" w:rsidRDefault="00566385" w:rsidP="0038330F">
      <w:pPr>
        <w:pStyle w:val="Normalnumbered"/>
        <w:keepNext/>
        <w:tabs>
          <w:tab w:val="clear" w:pos="1418"/>
        </w:tabs>
        <w:rPr>
          <w:b/>
          <w:i/>
          <w:color w:val="auto"/>
          <w:u w:val="single"/>
        </w:rPr>
      </w:pPr>
      <w:r>
        <w:rPr>
          <w:b/>
          <w:i/>
          <w:color w:val="auto"/>
          <w:u w:val="single"/>
        </w:rPr>
        <w:t>P</w:t>
      </w:r>
      <w:r w:rsidR="00BC4779" w:rsidRPr="00F9088F">
        <w:rPr>
          <w:b/>
          <w:i/>
          <w:color w:val="auto"/>
          <w:u w:val="single"/>
        </w:rPr>
        <w:t>roject Funding Withdrawals</w:t>
      </w:r>
    </w:p>
    <w:p w14:paraId="401FABC2" w14:textId="77777777" w:rsidR="00BC4779" w:rsidRPr="007A4B0E" w:rsidRDefault="00BC4779" w:rsidP="00BC4779">
      <w:pPr>
        <w:pStyle w:val="Normalnumbered"/>
        <w:numPr>
          <w:ilvl w:val="0"/>
          <w:numId w:val="15"/>
        </w:numPr>
        <w:tabs>
          <w:tab w:val="num" w:pos="426"/>
        </w:tabs>
        <w:rPr>
          <w:color w:val="auto"/>
        </w:rPr>
      </w:pPr>
      <w:r w:rsidRPr="000879C2">
        <w:rPr>
          <w:color w:val="auto"/>
        </w:rPr>
        <w:t>The</w:t>
      </w:r>
      <w:r w:rsidRPr="0069671B">
        <w:rPr>
          <w:color w:val="auto"/>
        </w:rPr>
        <w:t xml:space="preserve"> </w:t>
      </w:r>
      <w:r>
        <w:rPr>
          <w:color w:val="auto"/>
        </w:rPr>
        <w:t xml:space="preserve">Parties may agree to </w:t>
      </w:r>
      <w:r w:rsidRPr="00D82F8D">
        <w:rPr>
          <w:color w:val="auto"/>
        </w:rPr>
        <w:t xml:space="preserve">withdraw funding for a </w:t>
      </w:r>
      <w:r>
        <w:rPr>
          <w:color w:val="auto"/>
        </w:rPr>
        <w:t>P</w:t>
      </w:r>
      <w:r w:rsidRPr="00D82F8D">
        <w:rPr>
          <w:color w:val="auto"/>
        </w:rPr>
        <w:t>roject</w:t>
      </w:r>
      <w:r w:rsidRPr="007A4B0E">
        <w:rPr>
          <w:color w:val="auto"/>
        </w:rPr>
        <w:t xml:space="preserve"> prior to </w:t>
      </w:r>
      <w:r>
        <w:rPr>
          <w:color w:val="auto"/>
        </w:rPr>
        <w:t xml:space="preserve">the </w:t>
      </w:r>
      <w:r w:rsidRPr="007A4B0E">
        <w:rPr>
          <w:color w:val="auto"/>
        </w:rPr>
        <w:t xml:space="preserve">awarding </w:t>
      </w:r>
      <w:r>
        <w:rPr>
          <w:color w:val="auto"/>
        </w:rPr>
        <w:t>of a</w:t>
      </w:r>
      <w:r w:rsidRPr="007A4B0E">
        <w:rPr>
          <w:color w:val="auto"/>
        </w:rPr>
        <w:t xml:space="preserve"> construction contract</w:t>
      </w:r>
      <w:r>
        <w:rPr>
          <w:color w:val="auto"/>
        </w:rPr>
        <w:t>,</w:t>
      </w:r>
      <w:r w:rsidRPr="000879C2">
        <w:rPr>
          <w:color w:val="auto"/>
        </w:rPr>
        <w:t xml:space="preserve"> </w:t>
      </w:r>
      <w:r>
        <w:rPr>
          <w:color w:val="auto"/>
        </w:rPr>
        <w:t xml:space="preserve">by written agreement, </w:t>
      </w:r>
      <w:r w:rsidRPr="0069671B">
        <w:rPr>
          <w:color w:val="auto"/>
        </w:rPr>
        <w:t>where</w:t>
      </w:r>
      <w:r w:rsidRPr="007A4B0E">
        <w:rPr>
          <w:color w:val="auto"/>
        </w:rPr>
        <w:t>:</w:t>
      </w:r>
    </w:p>
    <w:p w14:paraId="1A0D167C" w14:textId="77777777" w:rsidR="00BC4779" w:rsidRPr="007A4B0E" w:rsidRDefault="00BC4779" w:rsidP="00BC4779">
      <w:pPr>
        <w:pStyle w:val="AlphaParagraph"/>
        <w:numPr>
          <w:ilvl w:val="0"/>
          <w:numId w:val="60"/>
        </w:numPr>
        <w:tabs>
          <w:tab w:val="clear" w:pos="567"/>
        </w:tabs>
        <w:ind w:left="1134"/>
        <w:rPr>
          <w:color w:val="auto"/>
        </w:rPr>
      </w:pPr>
      <w:r>
        <w:rPr>
          <w:color w:val="auto"/>
        </w:rPr>
        <w:t xml:space="preserve">more recent </w:t>
      </w:r>
      <w:r w:rsidRPr="007A4B0E">
        <w:rPr>
          <w:color w:val="auto"/>
        </w:rPr>
        <w:t xml:space="preserve">cost estimates significantly exceed the </w:t>
      </w:r>
      <w:r>
        <w:rPr>
          <w:color w:val="auto"/>
        </w:rPr>
        <w:t>previous</w:t>
      </w:r>
      <w:r w:rsidRPr="007A4B0E">
        <w:rPr>
          <w:color w:val="auto"/>
        </w:rPr>
        <w:t xml:space="preserve"> cost estimate</w:t>
      </w:r>
      <w:r>
        <w:rPr>
          <w:color w:val="auto"/>
        </w:rPr>
        <w:t>s</w:t>
      </w:r>
      <w:r w:rsidRPr="007A4B0E">
        <w:rPr>
          <w:color w:val="auto"/>
        </w:rPr>
        <w:t>; or</w:t>
      </w:r>
    </w:p>
    <w:p w14:paraId="032440D5" w14:textId="77777777" w:rsidR="00BC4779" w:rsidRDefault="00BC4779" w:rsidP="00BC4779">
      <w:pPr>
        <w:pStyle w:val="AlphaParagraph"/>
        <w:numPr>
          <w:ilvl w:val="0"/>
          <w:numId w:val="60"/>
        </w:numPr>
        <w:tabs>
          <w:tab w:val="clear" w:pos="567"/>
        </w:tabs>
        <w:ind w:left="1134"/>
        <w:rPr>
          <w:color w:val="auto"/>
        </w:rPr>
      </w:pPr>
      <w:r>
        <w:rPr>
          <w:color w:val="auto"/>
        </w:rPr>
        <w:t xml:space="preserve">the Parties are unable to agree on a timetable for a Project; or </w:t>
      </w:r>
    </w:p>
    <w:p w14:paraId="20D7DE2F" w14:textId="593367AE" w:rsidR="00BC4779" w:rsidRDefault="00BC4779" w:rsidP="00BC4779">
      <w:pPr>
        <w:pStyle w:val="AlphaParagraph"/>
        <w:numPr>
          <w:ilvl w:val="0"/>
          <w:numId w:val="60"/>
        </w:numPr>
        <w:tabs>
          <w:tab w:val="clear" w:pos="567"/>
        </w:tabs>
        <w:ind w:left="1134"/>
        <w:rPr>
          <w:color w:val="auto"/>
        </w:rPr>
      </w:pPr>
      <w:r w:rsidRPr="00DD2681">
        <w:rPr>
          <w:color w:val="auto"/>
        </w:rPr>
        <w:t xml:space="preserve">significant delays occur against the agreed timetable for preparing the </w:t>
      </w:r>
      <w:r w:rsidR="004D41EF">
        <w:rPr>
          <w:color w:val="auto"/>
        </w:rPr>
        <w:t>P</w:t>
      </w:r>
      <w:r w:rsidRPr="00DD2681">
        <w:rPr>
          <w:color w:val="auto"/>
        </w:rPr>
        <w:t>roject for construction</w:t>
      </w:r>
      <w:r>
        <w:rPr>
          <w:color w:val="auto"/>
        </w:rPr>
        <w:t>; or</w:t>
      </w:r>
    </w:p>
    <w:p w14:paraId="14736A66" w14:textId="77777777" w:rsidR="00BC4779" w:rsidRPr="00621DFB" w:rsidRDefault="00BC4779" w:rsidP="00BC4779">
      <w:pPr>
        <w:pStyle w:val="AlphaParagraph"/>
        <w:numPr>
          <w:ilvl w:val="0"/>
          <w:numId w:val="60"/>
        </w:numPr>
        <w:tabs>
          <w:tab w:val="clear" w:pos="567"/>
        </w:tabs>
        <w:ind w:left="1134"/>
        <w:rPr>
          <w:color w:val="auto"/>
        </w:rPr>
      </w:pPr>
      <w:r>
        <w:rPr>
          <w:color w:val="auto"/>
        </w:rPr>
        <w:t>there are significant changes proposed to the scope of a Project.</w:t>
      </w:r>
    </w:p>
    <w:p w14:paraId="2AC593D0" w14:textId="3FA77A1A" w:rsidR="00BC4779" w:rsidRPr="0034297F" w:rsidRDefault="00BC4779" w:rsidP="00BC4779">
      <w:pPr>
        <w:pStyle w:val="Normalnumbered"/>
        <w:numPr>
          <w:ilvl w:val="0"/>
          <w:numId w:val="15"/>
        </w:numPr>
        <w:tabs>
          <w:tab w:val="num" w:pos="426"/>
        </w:tabs>
        <w:rPr>
          <w:color w:val="auto"/>
        </w:rPr>
      </w:pPr>
      <w:r w:rsidRPr="0034297F">
        <w:rPr>
          <w:color w:val="auto"/>
        </w:rPr>
        <w:t xml:space="preserve">In the event of either Party withdrawing funding from a </w:t>
      </w:r>
      <w:r>
        <w:rPr>
          <w:color w:val="auto"/>
        </w:rPr>
        <w:t>P</w:t>
      </w:r>
      <w:r w:rsidRPr="0034297F">
        <w:rPr>
          <w:color w:val="auto"/>
        </w:rPr>
        <w:t>roject</w:t>
      </w:r>
      <w:r>
        <w:rPr>
          <w:color w:val="auto"/>
        </w:rPr>
        <w:t xml:space="preserve"> in accordance </w:t>
      </w:r>
      <w:r w:rsidRPr="00A217C5">
        <w:rPr>
          <w:color w:val="auto"/>
        </w:rPr>
        <w:t xml:space="preserve">with </w:t>
      </w:r>
      <w:r w:rsidRPr="007B15CF">
        <w:rPr>
          <w:color w:val="auto"/>
        </w:rPr>
        <w:t xml:space="preserve">clause </w:t>
      </w:r>
      <w:r w:rsidR="00E11471">
        <w:rPr>
          <w:color w:val="auto"/>
        </w:rPr>
        <w:t>59</w:t>
      </w:r>
      <w:r>
        <w:rPr>
          <w:color w:val="auto"/>
        </w:rPr>
        <w:t xml:space="preserve"> above</w:t>
      </w:r>
      <w:r w:rsidRPr="0034297F">
        <w:rPr>
          <w:color w:val="auto"/>
        </w:rPr>
        <w:t xml:space="preserve">, necessary payments to affected tenderers will be shared by the relevant </w:t>
      </w:r>
      <w:r w:rsidR="004D41EF">
        <w:rPr>
          <w:color w:val="auto"/>
        </w:rPr>
        <w:t>P</w:t>
      </w:r>
      <w:r w:rsidRPr="0034297F">
        <w:rPr>
          <w:color w:val="auto"/>
        </w:rPr>
        <w:t xml:space="preserve">arties in proportion to their funding contribution and agreed on a </w:t>
      </w:r>
      <w:r w:rsidR="00365F10" w:rsidRPr="0034297F">
        <w:rPr>
          <w:color w:val="auto"/>
        </w:rPr>
        <w:t>case-by-case</w:t>
      </w:r>
      <w:r w:rsidRPr="0034297F">
        <w:rPr>
          <w:color w:val="auto"/>
        </w:rPr>
        <w:t xml:space="preserve"> basis.</w:t>
      </w:r>
    </w:p>
    <w:p w14:paraId="78C45459" w14:textId="77777777" w:rsidR="00BC4779" w:rsidRPr="009437F6" w:rsidRDefault="00BC4779" w:rsidP="00BC4779">
      <w:pPr>
        <w:pStyle w:val="Normalnumbered"/>
        <w:numPr>
          <w:ilvl w:val="0"/>
          <w:numId w:val="15"/>
        </w:numPr>
        <w:tabs>
          <w:tab w:val="num" w:pos="426"/>
        </w:tabs>
        <w:rPr>
          <w:color w:val="auto"/>
        </w:rPr>
      </w:pPr>
      <w:r w:rsidRPr="009437F6">
        <w:rPr>
          <w:color w:val="auto"/>
        </w:rPr>
        <w:t>In terms of the distribution of any remaining funding:</w:t>
      </w:r>
    </w:p>
    <w:p w14:paraId="1EE4C69B" w14:textId="77777777" w:rsidR="00BC4779" w:rsidRPr="001833F2" w:rsidRDefault="00BC4779" w:rsidP="00BC4779">
      <w:pPr>
        <w:pStyle w:val="AlphaParagraph"/>
        <w:numPr>
          <w:ilvl w:val="0"/>
          <w:numId w:val="61"/>
        </w:numPr>
        <w:tabs>
          <w:tab w:val="clear" w:pos="567"/>
        </w:tabs>
        <w:ind w:left="1134"/>
        <w:rPr>
          <w:color w:val="auto"/>
        </w:rPr>
      </w:pPr>
      <w:r w:rsidRPr="009437F6">
        <w:rPr>
          <w:color w:val="auto"/>
        </w:rPr>
        <w:t>in the case of the Commonwealth, the Commonwealth may choose to reallocate its share of the funding to another Project or Projects in the relevant State</w:t>
      </w:r>
    </w:p>
    <w:p w14:paraId="49A3EDEB" w14:textId="77777777" w:rsidR="00BC4779" w:rsidRPr="009437F6" w:rsidRDefault="00BC4779" w:rsidP="00BC4779">
      <w:pPr>
        <w:pStyle w:val="AlphaParagraph"/>
        <w:numPr>
          <w:ilvl w:val="0"/>
          <w:numId w:val="61"/>
        </w:numPr>
        <w:tabs>
          <w:tab w:val="clear" w:pos="567"/>
        </w:tabs>
        <w:ind w:left="1134"/>
        <w:rPr>
          <w:color w:val="auto"/>
        </w:rPr>
      </w:pPr>
      <w:r w:rsidRPr="009437F6">
        <w:rPr>
          <w:color w:val="auto"/>
        </w:rPr>
        <w:t>in the case of a State, the State may choose to reallocate its share of the funding to other Projects.</w:t>
      </w:r>
    </w:p>
    <w:p w14:paraId="30EB2065" w14:textId="77777777" w:rsidR="00BC4779" w:rsidRDefault="00BC4779" w:rsidP="00BC4779">
      <w:pPr>
        <w:pStyle w:val="AlphaParagraph"/>
        <w:rPr>
          <w:b/>
          <w:i/>
          <w:color w:val="auto"/>
          <w:u w:val="single"/>
        </w:rPr>
      </w:pPr>
      <w:r w:rsidRPr="00F91C56">
        <w:rPr>
          <w:b/>
          <w:i/>
          <w:color w:val="auto"/>
          <w:u w:val="single"/>
        </w:rPr>
        <w:t>Project Cancellations</w:t>
      </w:r>
    </w:p>
    <w:p w14:paraId="47469C3B" w14:textId="0EB3D640" w:rsidR="00BC4779" w:rsidRPr="000A3ECA" w:rsidRDefault="00BC4779" w:rsidP="00BC4779">
      <w:pPr>
        <w:pStyle w:val="Normalnumbered"/>
        <w:numPr>
          <w:ilvl w:val="0"/>
          <w:numId w:val="15"/>
        </w:numPr>
        <w:tabs>
          <w:tab w:val="num" w:pos="426"/>
        </w:tabs>
        <w:rPr>
          <w:color w:val="auto"/>
        </w:rPr>
      </w:pPr>
      <w:r w:rsidRPr="000A3ECA">
        <w:rPr>
          <w:color w:val="auto"/>
        </w:rPr>
        <w:t xml:space="preserve">The Parties </w:t>
      </w:r>
      <w:r w:rsidRPr="00F57491">
        <w:rPr>
          <w:color w:val="auto"/>
        </w:rPr>
        <w:t xml:space="preserve">may </w:t>
      </w:r>
      <w:r w:rsidR="00135615" w:rsidRPr="00F57491">
        <w:rPr>
          <w:color w:val="auto"/>
        </w:rPr>
        <w:t>agree</w:t>
      </w:r>
      <w:r w:rsidRPr="000A3ECA">
        <w:rPr>
          <w:color w:val="auto"/>
        </w:rPr>
        <w:t xml:space="preserve"> to cancel a </w:t>
      </w:r>
      <w:r>
        <w:rPr>
          <w:color w:val="auto"/>
        </w:rPr>
        <w:t>P</w:t>
      </w:r>
      <w:r w:rsidRPr="000A3ECA">
        <w:rPr>
          <w:color w:val="auto"/>
        </w:rPr>
        <w:t>roject where:</w:t>
      </w:r>
    </w:p>
    <w:p w14:paraId="7AE45F98" w14:textId="77777777" w:rsidR="00BC4779" w:rsidRPr="000A3ECA" w:rsidRDefault="00BC4779" w:rsidP="00BC4779">
      <w:pPr>
        <w:pStyle w:val="AlphaParagraph"/>
        <w:numPr>
          <w:ilvl w:val="0"/>
          <w:numId w:val="62"/>
        </w:numPr>
        <w:tabs>
          <w:tab w:val="clear" w:pos="567"/>
        </w:tabs>
        <w:ind w:left="1134"/>
        <w:rPr>
          <w:color w:val="auto"/>
        </w:rPr>
      </w:pPr>
      <w:r w:rsidRPr="000A3ECA">
        <w:rPr>
          <w:color w:val="auto"/>
        </w:rPr>
        <w:t>more recent cost estimates significantly exceed previous cost estimates; or</w:t>
      </w:r>
    </w:p>
    <w:p w14:paraId="26343418" w14:textId="77777777" w:rsidR="00BC4779" w:rsidRPr="000A3ECA" w:rsidRDefault="00BC4779" w:rsidP="00BC4779">
      <w:pPr>
        <w:pStyle w:val="AlphaParagraph"/>
        <w:numPr>
          <w:ilvl w:val="0"/>
          <w:numId w:val="62"/>
        </w:numPr>
        <w:tabs>
          <w:tab w:val="clear" w:pos="567"/>
        </w:tabs>
        <w:ind w:left="1134"/>
        <w:rPr>
          <w:color w:val="auto"/>
        </w:rPr>
      </w:pPr>
      <w:r w:rsidRPr="000A3ECA">
        <w:rPr>
          <w:color w:val="auto"/>
        </w:rPr>
        <w:t xml:space="preserve">the Parties are unable to agree on a timetable for a </w:t>
      </w:r>
      <w:r>
        <w:rPr>
          <w:color w:val="auto"/>
        </w:rPr>
        <w:t>P</w:t>
      </w:r>
      <w:r w:rsidRPr="000A3ECA">
        <w:rPr>
          <w:color w:val="auto"/>
        </w:rPr>
        <w:t xml:space="preserve">roject; or </w:t>
      </w:r>
    </w:p>
    <w:p w14:paraId="3BBF4985" w14:textId="77777777" w:rsidR="00BC4779" w:rsidRPr="000A3ECA" w:rsidRDefault="00BC4779" w:rsidP="00BC4779">
      <w:pPr>
        <w:pStyle w:val="AlphaParagraph"/>
        <w:numPr>
          <w:ilvl w:val="0"/>
          <w:numId w:val="62"/>
        </w:numPr>
        <w:tabs>
          <w:tab w:val="clear" w:pos="567"/>
        </w:tabs>
        <w:ind w:left="1134"/>
        <w:rPr>
          <w:color w:val="auto"/>
        </w:rPr>
      </w:pPr>
      <w:r w:rsidRPr="000A3ECA">
        <w:rPr>
          <w:color w:val="auto"/>
        </w:rPr>
        <w:t xml:space="preserve">significant delays occur against the agreed timetable for preparing the </w:t>
      </w:r>
      <w:r>
        <w:rPr>
          <w:color w:val="auto"/>
        </w:rPr>
        <w:t>P</w:t>
      </w:r>
      <w:r w:rsidRPr="000A3ECA">
        <w:rPr>
          <w:color w:val="auto"/>
        </w:rPr>
        <w:t>roject for construction; or</w:t>
      </w:r>
    </w:p>
    <w:p w14:paraId="34745420" w14:textId="77777777" w:rsidR="00BC4779" w:rsidRPr="000A3ECA" w:rsidRDefault="00BC4779" w:rsidP="00BC4779">
      <w:pPr>
        <w:pStyle w:val="AlphaParagraph"/>
        <w:numPr>
          <w:ilvl w:val="0"/>
          <w:numId w:val="62"/>
        </w:numPr>
        <w:tabs>
          <w:tab w:val="clear" w:pos="567"/>
        </w:tabs>
        <w:ind w:left="1134"/>
        <w:rPr>
          <w:color w:val="auto"/>
        </w:rPr>
      </w:pPr>
      <w:r w:rsidRPr="000A3ECA">
        <w:rPr>
          <w:color w:val="auto"/>
        </w:rPr>
        <w:t xml:space="preserve">there is agreement that a </w:t>
      </w:r>
      <w:r>
        <w:rPr>
          <w:color w:val="auto"/>
        </w:rPr>
        <w:t>P</w:t>
      </w:r>
      <w:r w:rsidRPr="000A3ECA">
        <w:rPr>
          <w:color w:val="auto"/>
        </w:rPr>
        <w:t>roject has been superseded.</w:t>
      </w:r>
    </w:p>
    <w:p w14:paraId="6DCC1D2C" w14:textId="77777777" w:rsidR="00BC4779" w:rsidRDefault="00BC4779" w:rsidP="00BC4779">
      <w:pPr>
        <w:pStyle w:val="Normalnumbered"/>
        <w:numPr>
          <w:ilvl w:val="0"/>
          <w:numId w:val="15"/>
        </w:numPr>
        <w:tabs>
          <w:tab w:val="num" w:pos="426"/>
        </w:tabs>
        <w:rPr>
          <w:color w:val="auto"/>
        </w:rPr>
      </w:pPr>
      <w:r w:rsidRPr="00CF5FDF">
        <w:rPr>
          <w:color w:val="auto"/>
        </w:rPr>
        <w:lastRenderedPageBreak/>
        <w:t xml:space="preserve">If a Party to this </w:t>
      </w:r>
      <w:r>
        <w:rPr>
          <w:color w:val="auto"/>
        </w:rPr>
        <w:t>Agreement proposes to cancel a P</w:t>
      </w:r>
      <w:r w:rsidRPr="00CF5FDF">
        <w:rPr>
          <w:color w:val="auto"/>
        </w:rPr>
        <w:t>roject as set out in the Schedules</w:t>
      </w:r>
      <w:r w:rsidRPr="00935E8C">
        <w:rPr>
          <w:color w:val="auto"/>
        </w:rPr>
        <w:t xml:space="preserve"> to this Agreement, they must notify the other Party in</w:t>
      </w:r>
      <w:r w:rsidRPr="005369A2">
        <w:rPr>
          <w:color w:val="auto"/>
        </w:rPr>
        <w:t xml:space="preserve"> writing</w:t>
      </w:r>
      <w:r>
        <w:rPr>
          <w:color w:val="auto"/>
        </w:rPr>
        <w:t xml:space="preserve">. </w:t>
      </w:r>
    </w:p>
    <w:p w14:paraId="4A88211D" w14:textId="3DE6FCCA" w:rsidR="00BC4779" w:rsidRDefault="00BC4779" w:rsidP="00BC4779">
      <w:pPr>
        <w:pStyle w:val="Normalnumbered"/>
        <w:numPr>
          <w:ilvl w:val="0"/>
          <w:numId w:val="15"/>
        </w:numPr>
        <w:tabs>
          <w:tab w:val="num" w:pos="426"/>
        </w:tabs>
        <w:rPr>
          <w:color w:val="auto"/>
        </w:rPr>
      </w:pPr>
      <w:r>
        <w:rPr>
          <w:color w:val="auto"/>
        </w:rPr>
        <w:t xml:space="preserve">In the event that a Project has been cancelled in accordance with </w:t>
      </w:r>
      <w:r w:rsidRPr="007B15CF">
        <w:rPr>
          <w:color w:val="auto"/>
        </w:rPr>
        <w:t xml:space="preserve">clause </w:t>
      </w:r>
      <w:r w:rsidR="00E11471">
        <w:rPr>
          <w:color w:val="auto"/>
        </w:rPr>
        <w:t>62</w:t>
      </w:r>
      <w:r w:rsidRPr="007B15CF">
        <w:rPr>
          <w:color w:val="auto"/>
        </w:rPr>
        <w:t xml:space="preserve"> </w:t>
      </w:r>
      <w:r w:rsidRPr="002671FA">
        <w:rPr>
          <w:color w:val="auto"/>
        </w:rPr>
        <w:t>above</w:t>
      </w:r>
      <w:r>
        <w:rPr>
          <w:color w:val="auto"/>
        </w:rPr>
        <w:t>, contractual obligations shall</w:t>
      </w:r>
      <w:r w:rsidR="00135615">
        <w:rPr>
          <w:color w:val="auto"/>
        </w:rPr>
        <w:t xml:space="preserve"> </w:t>
      </w:r>
      <w:r>
        <w:rPr>
          <w:color w:val="auto"/>
        </w:rPr>
        <w:t xml:space="preserve">be </w:t>
      </w:r>
      <w:r w:rsidRPr="00135615">
        <w:rPr>
          <w:color w:val="auto"/>
        </w:rPr>
        <w:t>negotiated</w:t>
      </w:r>
      <w:r>
        <w:rPr>
          <w:color w:val="auto"/>
        </w:rPr>
        <w:t xml:space="preserve"> between the Commonwealth and States</w:t>
      </w:r>
      <w:r w:rsidRPr="00135615">
        <w:rPr>
          <w:color w:val="auto"/>
        </w:rPr>
        <w:t xml:space="preserve"> with consideration of the proportion of their funding contribution.</w:t>
      </w:r>
    </w:p>
    <w:p w14:paraId="636B2063" w14:textId="08CCA3D8" w:rsidR="00BC4779" w:rsidRDefault="00BC4779" w:rsidP="00BC4779">
      <w:pPr>
        <w:pStyle w:val="Normalnumbered"/>
        <w:numPr>
          <w:ilvl w:val="0"/>
          <w:numId w:val="15"/>
        </w:numPr>
        <w:tabs>
          <w:tab w:val="num" w:pos="426"/>
        </w:tabs>
        <w:rPr>
          <w:color w:val="auto"/>
        </w:rPr>
      </w:pPr>
      <w:r>
        <w:rPr>
          <w:color w:val="auto"/>
        </w:rPr>
        <w:t xml:space="preserve">In the event a Party to this Agreement cancels a Project contrary </w:t>
      </w:r>
      <w:r w:rsidRPr="002671FA">
        <w:rPr>
          <w:color w:val="auto"/>
        </w:rPr>
        <w:t xml:space="preserve">to </w:t>
      </w:r>
      <w:r w:rsidRPr="007B15CF">
        <w:rPr>
          <w:color w:val="auto"/>
        </w:rPr>
        <w:t xml:space="preserve">clause </w:t>
      </w:r>
      <w:r w:rsidR="00E11471">
        <w:rPr>
          <w:color w:val="auto"/>
        </w:rPr>
        <w:t>62</w:t>
      </w:r>
      <w:r w:rsidRPr="007B15CF">
        <w:rPr>
          <w:color w:val="auto"/>
        </w:rPr>
        <w:t xml:space="preserve"> </w:t>
      </w:r>
      <w:r w:rsidRPr="002671FA">
        <w:rPr>
          <w:color w:val="auto"/>
        </w:rPr>
        <w:t>above</w:t>
      </w:r>
      <w:r>
        <w:rPr>
          <w:color w:val="auto"/>
        </w:rPr>
        <w:t xml:space="preserve">, the Party that cancels the Project shall bear responsibility for associated costs, unless otherwise agreed by </w:t>
      </w:r>
      <w:r w:rsidR="00F91434">
        <w:rPr>
          <w:color w:val="auto"/>
        </w:rPr>
        <w:t xml:space="preserve">the </w:t>
      </w:r>
      <w:r>
        <w:rPr>
          <w:color w:val="auto"/>
        </w:rPr>
        <w:t>Parties.</w:t>
      </w:r>
    </w:p>
    <w:p w14:paraId="1FC6616A" w14:textId="77777777" w:rsidR="00BC4779" w:rsidRPr="009437F6" w:rsidRDefault="00BC4779" w:rsidP="00BC4779">
      <w:pPr>
        <w:pStyle w:val="Normalnumbered"/>
        <w:numPr>
          <w:ilvl w:val="0"/>
          <w:numId w:val="15"/>
        </w:numPr>
        <w:tabs>
          <w:tab w:val="num" w:pos="426"/>
        </w:tabs>
        <w:rPr>
          <w:color w:val="auto"/>
        </w:rPr>
      </w:pPr>
      <w:r w:rsidRPr="005369A2">
        <w:rPr>
          <w:color w:val="auto"/>
        </w:rPr>
        <w:t>In the</w:t>
      </w:r>
      <w:r>
        <w:rPr>
          <w:color w:val="auto"/>
        </w:rPr>
        <w:t xml:space="preserve"> event of a Project cancellation</w:t>
      </w:r>
      <w:r w:rsidRPr="005369A2">
        <w:rPr>
          <w:color w:val="auto"/>
        </w:rPr>
        <w:t xml:space="preserve">, </w:t>
      </w:r>
      <w:r>
        <w:rPr>
          <w:color w:val="auto"/>
        </w:rPr>
        <w:t xml:space="preserve">the Commonwealth may choose to reallocate its share of any remaining funding </w:t>
      </w:r>
      <w:r w:rsidRPr="005D05C6">
        <w:rPr>
          <w:color w:val="auto"/>
        </w:rPr>
        <w:t xml:space="preserve">to another </w:t>
      </w:r>
      <w:r>
        <w:rPr>
          <w:color w:val="auto"/>
        </w:rPr>
        <w:t>P</w:t>
      </w:r>
      <w:r w:rsidRPr="005D05C6">
        <w:rPr>
          <w:color w:val="auto"/>
        </w:rPr>
        <w:t xml:space="preserve">roject or </w:t>
      </w:r>
      <w:r>
        <w:rPr>
          <w:color w:val="auto"/>
        </w:rPr>
        <w:t>P</w:t>
      </w:r>
      <w:r w:rsidRPr="005D05C6">
        <w:rPr>
          <w:color w:val="auto"/>
        </w:rPr>
        <w:t>rojects</w:t>
      </w:r>
      <w:r>
        <w:rPr>
          <w:color w:val="auto"/>
        </w:rPr>
        <w:t xml:space="preserve"> in the relevant </w:t>
      </w:r>
      <w:r w:rsidRPr="009437F6">
        <w:rPr>
          <w:color w:val="auto"/>
        </w:rPr>
        <w:t>State</w:t>
      </w:r>
      <w:r w:rsidRPr="001833F2">
        <w:rPr>
          <w:color w:val="auto"/>
        </w:rPr>
        <w:t>.</w:t>
      </w:r>
      <w:r w:rsidRPr="009437F6">
        <w:rPr>
          <w:color w:val="auto"/>
        </w:rPr>
        <w:t xml:space="preserve">  In the case of a State, the State may choose to reallocate its share of the funding to other Projects.</w:t>
      </w:r>
    </w:p>
    <w:p w14:paraId="1893E51E" w14:textId="77777777" w:rsidR="00BC4779" w:rsidRDefault="00BC4779" w:rsidP="00BC4779">
      <w:pPr>
        <w:pStyle w:val="Normalnumbered"/>
        <w:numPr>
          <w:ilvl w:val="0"/>
          <w:numId w:val="15"/>
        </w:numPr>
        <w:tabs>
          <w:tab w:val="num" w:pos="426"/>
        </w:tabs>
        <w:rPr>
          <w:color w:val="auto"/>
        </w:rPr>
      </w:pPr>
      <w:r>
        <w:rPr>
          <w:color w:val="auto"/>
        </w:rPr>
        <w:t>Cancelled Projects will be removed from the Schedules to this Agreement.</w:t>
      </w:r>
    </w:p>
    <w:p w14:paraId="7CC97FEB" w14:textId="77777777" w:rsidR="00BC4779" w:rsidRPr="00CD13DD" w:rsidRDefault="00BC4779" w:rsidP="0038330F">
      <w:pPr>
        <w:pStyle w:val="AlphaParagraph"/>
        <w:keepNext/>
        <w:rPr>
          <w:b/>
          <w:i/>
          <w:color w:val="auto"/>
          <w:u w:val="single"/>
        </w:rPr>
      </w:pPr>
      <w:r w:rsidRPr="00AF6CF2">
        <w:rPr>
          <w:b/>
          <w:i/>
          <w:color w:val="auto"/>
          <w:u w:val="single"/>
        </w:rPr>
        <w:t xml:space="preserve">Project </w:t>
      </w:r>
      <w:r>
        <w:rPr>
          <w:b/>
          <w:i/>
          <w:color w:val="auto"/>
          <w:u w:val="single"/>
        </w:rPr>
        <w:t>S</w:t>
      </w:r>
      <w:r w:rsidRPr="00AF6CF2">
        <w:rPr>
          <w:b/>
          <w:i/>
          <w:color w:val="auto"/>
          <w:u w:val="single"/>
        </w:rPr>
        <w:t xml:space="preserve">pecific </w:t>
      </w:r>
      <w:r>
        <w:rPr>
          <w:b/>
          <w:i/>
          <w:color w:val="auto"/>
          <w:u w:val="single"/>
        </w:rPr>
        <w:t>A</w:t>
      </w:r>
      <w:r w:rsidRPr="00AF6CF2">
        <w:rPr>
          <w:b/>
          <w:i/>
          <w:color w:val="auto"/>
          <w:u w:val="single"/>
        </w:rPr>
        <w:t>greements</w:t>
      </w:r>
    </w:p>
    <w:p w14:paraId="593D5A46" w14:textId="128AF954" w:rsidR="00BC4779" w:rsidRPr="00AF6CF2" w:rsidRDefault="00BC4779" w:rsidP="00BC4779">
      <w:pPr>
        <w:pStyle w:val="Normalnumbered"/>
        <w:numPr>
          <w:ilvl w:val="0"/>
          <w:numId w:val="15"/>
        </w:numPr>
        <w:tabs>
          <w:tab w:val="num" w:pos="426"/>
        </w:tabs>
        <w:rPr>
          <w:color w:val="auto"/>
        </w:rPr>
      </w:pPr>
      <w:r w:rsidRPr="00AF6CF2">
        <w:rPr>
          <w:color w:val="auto"/>
        </w:rPr>
        <w:t xml:space="preserve">The Parties agree that from time to time the Commonwealth </w:t>
      </w:r>
      <w:r w:rsidR="00E00242" w:rsidRPr="00F57491">
        <w:rPr>
          <w:color w:val="auto"/>
        </w:rPr>
        <w:t>or a State</w:t>
      </w:r>
      <w:r w:rsidR="00E00242">
        <w:rPr>
          <w:color w:val="auto"/>
        </w:rPr>
        <w:t xml:space="preserve"> </w:t>
      </w:r>
      <w:r w:rsidRPr="00AF6CF2">
        <w:rPr>
          <w:color w:val="auto"/>
        </w:rPr>
        <w:t xml:space="preserve">may nominate </w:t>
      </w:r>
      <w:r w:rsidR="003A5192">
        <w:rPr>
          <w:color w:val="auto"/>
        </w:rPr>
        <w:br/>
      </w:r>
      <w:r w:rsidRPr="00AF6CF2">
        <w:rPr>
          <w:color w:val="auto"/>
        </w:rPr>
        <w:t xml:space="preserve">high-priority Project(s) for </w:t>
      </w:r>
      <w:r w:rsidR="00B840F6">
        <w:rPr>
          <w:color w:val="auto"/>
        </w:rPr>
        <w:t>P</w:t>
      </w:r>
      <w:r w:rsidRPr="00AF6CF2">
        <w:rPr>
          <w:color w:val="auto"/>
        </w:rPr>
        <w:t xml:space="preserve">roject </w:t>
      </w:r>
      <w:r w:rsidR="00B840F6">
        <w:rPr>
          <w:color w:val="auto"/>
        </w:rPr>
        <w:t>S</w:t>
      </w:r>
      <w:r w:rsidRPr="00AF6CF2">
        <w:rPr>
          <w:color w:val="auto"/>
        </w:rPr>
        <w:t xml:space="preserve">pecific </w:t>
      </w:r>
      <w:r w:rsidR="00B840F6">
        <w:rPr>
          <w:color w:val="auto"/>
        </w:rPr>
        <w:t>A</w:t>
      </w:r>
      <w:r w:rsidRPr="00AF6CF2">
        <w:rPr>
          <w:color w:val="auto"/>
        </w:rPr>
        <w:t>greements to be negotiated between the relevant Parties under this Agreement.</w:t>
      </w:r>
    </w:p>
    <w:p w14:paraId="21BD0BAB" w14:textId="0AEA7169" w:rsidR="00BC4779" w:rsidRPr="00AF6CF2" w:rsidRDefault="00BC4779" w:rsidP="00BC4779">
      <w:pPr>
        <w:pStyle w:val="Normalnumbered"/>
        <w:numPr>
          <w:ilvl w:val="0"/>
          <w:numId w:val="15"/>
        </w:numPr>
        <w:tabs>
          <w:tab w:val="num" w:pos="426"/>
        </w:tabs>
        <w:rPr>
          <w:color w:val="auto"/>
        </w:rPr>
      </w:pPr>
      <w:r w:rsidRPr="00AF6CF2">
        <w:rPr>
          <w:color w:val="auto"/>
        </w:rPr>
        <w:t xml:space="preserve">Projects may be identified as candidates for a </w:t>
      </w:r>
      <w:r w:rsidR="00B840F6">
        <w:rPr>
          <w:color w:val="auto"/>
        </w:rPr>
        <w:t>P</w:t>
      </w:r>
      <w:r w:rsidRPr="00AF6CF2">
        <w:rPr>
          <w:color w:val="auto"/>
        </w:rPr>
        <w:t xml:space="preserve">roject </w:t>
      </w:r>
      <w:r w:rsidR="00B840F6">
        <w:rPr>
          <w:color w:val="auto"/>
        </w:rPr>
        <w:t>S</w:t>
      </w:r>
      <w:r w:rsidRPr="00AF6CF2">
        <w:rPr>
          <w:color w:val="auto"/>
        </w:rPr>
        <w:t xml:space="preserve">pecific </w:t>
      </w:r>
      <w:r w:rsidR="00B840F6">
        <w:rPr>
          <w:color w:val="auto"/>
        </w:rPr>
        <w:t>A</w:t>
      </w:r>
      <w:r w:rsidRPr="00AF6CF2">
        <w:rPr>
          <w:color w:val="auto"/>
        </w:rPr>
        <w:t xml:space="preserve">greement based on project characteristics, such as financial or strategic value, complexity and risk, and that have the potential to deliver broader policy objectives in addition to the provision of new transport infrastructure. </w:t>
      </w:r>
    </w:p>
    <w:p w14:paraId="6C756999" w14:textId="22F15741" w:rsidR="00BC4779" w:rsidRPr="00AF6CF2" w:rsidRDefault="00BC4779" w:rsidP="00BC4779">
      <w:pPr>
        <w:pStyle w:val="Normalnumbered"/>
        <w:numPr>
          <w:ilvl w:val="0"/>
          <w:numId w:val="15"/>
        </w:numPr>
        <w:tabs>
          <w:tab w:val="num" w:pos="426"/>
        </w:tabs>
        <w:rPr>
          <w:color w:val="auto"/>
        </w:rPr>
      </w:pPr>
      <w:r w:rsidRPr="00AF6CF2">
        <w:rPr>
          <w:color w:val="auto"/>
        </w:rPr>
        <w:t xml:space="preserve">Project </w:t>
      </w:r>
      <w:r w:rsidR="00214977">
        <w:rPr>
          <w:color w:val="auto"/>
        </w:rPr>
        <w:t>S</w:t>
      </w:r>
      <w:r w:rsidRPr="00AF6CF2">
        <w:rPr>
          <w:color w:val="auto"/>
        </w:rPr>
        <w:t xml:space="preserve">pecific </w:t>
      </w:r>
      <w:r w:rsidR="00214977">
        <w:rPr>
          <w:color w:val="auto"/>
        </w:rPr>
        <w:t>A</w:t>
      </w:r>
      <w:r w:rsidRPr="00AF6CF2">
        <w:rPr>
          <w:color w:val="auto"/>
        </w:rPr>
        <w:t>greements may specify additional criteria or objectives for a Project consistent with, but in addition to, this Agreement.</w:t>
      </w:r>
    </w:p>
    <w:p w14:paraId="6F61018C" w14:textId="77777777" w:rsidR="00814667" w:rsidRDefault="00814667" w:rsidP="007E02F1">
      <w:pPr>
        <w:pStyle w:val="Heading1"/>
        <w:spacing w:before="180"/>
      </w:pPr>
      <w:r>
        <w:t>Part 6 — governance arrangements</w:t>
      </w:r>
    </w:p>
    <w:p w14:paraId="77855882" w14:textId="77777777" w:rsidR="000A7553" w:rsidRDefault="000A7553" w:rsidP="000A7553">
      <w:pPr>
        <w:pStyle w:val="Heading2"/>
      </w:pPr>
      <w:r w:rsidRPr="006F096A">
        <w:t>Enforceability of the Agreement</w:t>
      </w:r>
    </w:p>
    <w:p w14:paraId="51A16EC8" w14:textId="77777777" w:rsidR="000A7553" w:rsidRPr="00C40EBC" w:rsidRDefault="004E6528" w:rsidP="0038330F">
      <w:pPr>
        <w:pStyle w:val="Normalnumbered"/>
        <w:numPr>
          <w:ilvl w:val="0"/>
          <w:numId w:val="15"/>
        </w:numPr>
        <w:tabs>
          <w:tab w:val="num" w:pos="426"/>
        </w:tabs>
      </w:pPr>
      <w:r>
        <w:rPr>
          <w:szCs w:val="23"/>
        </w:rPr>
        <w:t>T</w:t>
      </w:r>
      <w:r w:rsidR="000A7553">
        <w:rPr>
          <w:szCs w:val="23"/>
        </w:rPr>
        <w:t xml:space="preserve">he Parties do not intend any of the provisions of this Agreement to be legally enforceable. However, </w:t>
      </w:r>
      <w:r w:rsidR="007219B9" w:rsidRPr="0038330F">
        <w:rPr>
          <w:color w:val="auto"/>
        </w:rPr>
        <w:t>this</w:t>
      </w:r>
      <w:r w:rsidR="007219B9">
        <w:rPr>
          <w:szCs w:val="23"/>
        </w:rPr>
        <w:t xml:space="preserve"> </w:t>
      </w:r>
      <w:r w:rsidR="000A7553">
        <w:rPr>
          <w:szCs w:val="23"/>
        </w:rPr>
        <w:t>does not lessen the Parties’ commitment to this Agreement.</w:t>
      </w:r>
    </w:p>
    <w:p w14:paraId="3923DCBA" w14:textId="77777777" w:rsidR="00E51D1B" w:rsidRDefault="00E51D1B" w:rsidP="007F2F8F">
      <w:pPr>
        <w:pStyle w:val="Heading2"/>
        <w:rPr>
          <w:i/>
        </w:rPr>
      </w:pPr>
      <w:r>
        <w:t>Review of the Agreement</w:t>
      </w:r>
    </w:p>
    <w:p w14:paraId="2FD79EE4" w14:textId="77777777" w:rsidR="00234C8D" w:rsidRPr="005369A2" w:rsidRDefault="00234C8D" w:rsidP="0038330F">
      <w:pPr>
        <w:pStyle w:val="Normalnumbered"/>
        <w:numPr>
          <w:ilvl w:val="0"/>
          <w:numId w:val="15"/>
        </w:numPr>
        <w:tabs>
          <w:tab w:val="num" w:pos="426"/>
        </w:tabs>
        <w:rPr>
          <w:color w:val="auto"/>
        </w:rPr>
      </w:pPr>
      <w:r w:rsidRPr="005369A2">
        <w:rPr>
          <w:color w:val="auto"/>
        </w:rPr>
        <w:t xml:space="preserve">In accordance with </w:t>
      </w:r>
      <w:r>
        <w:rPr>
          <w:color w:val="auto"/>
        </w:rPr>
        <w:t>Schedule E, C</w:t>
      </w:r>
      <w:r w:rsidRPr="005369A2">
        <w:rPr>
          <w:color w:val="auto"/>
        </w:rPr>
        <w:t>lause 23 of the IGA</w:t>
      </w:r>
      <w:r>
        <w:rPr>
          <w:color w:val="auto"/>
        </w:rPr>
        <w:t xml:space="preserve"> FFR</w:t>
      </w:r>
      <w:r w:rsidRPr="005369A2">
        <w:rPr>
          <w:color w:val="auto"/>
        </w:rPr>
        <w:t xml:space="preserve">, this Agreement is time limited.  To assess the degree to which the agreed objectives and outcomes and/or outputs </w:t>
      </w:r>
      <w:r>
        <w:rPr>
          <w:color w:val="auto"/>
        </w:rPr>
        <w:t xml:space="preserve">of this Agreement </w:t>
      </w:r>
      <w:r w:rsidRPr="005369A2">
        <w:rPr>
          <w:color w:val="auto"/>
        </w:rPr>
        <w:t>have been achieved, and inform decisions regarding the appropriate treatment following its expiry, a</w:t>
      </w:r>
      <w:r>
        <w:rPr>
          <w:color w:val="auto"/>
        </w:rPr>
        <w:t>n independent</w:t>
      </w:r>
      <w:r w:rsidRPr="005369A2">
        <w:rPr>
          <w:color w:val="auto"/>
        </w:rPr>
        <w:t xml:space="preserve"> review of th</w:t>
      </w:r>
      <w:r>
        <w:rPr>
          <w:color w:val="auto"/>
        </w:rPr>
        <w:t>is</w:t>
      </w:r>
      <w:r w:rsidRPr="005369A2">
        <w:rPr>
          <w:color w:val="auto"/>
        </w:rPr>
        <w:t xml:space="preserve"> Agreement will be scheduled to be completed approximately </w:t>
      </w:r>
      <w:r>
        <w:rPr>
          <w:color w:val="auto"/>
        </w:rPr>
        <w:t>twelve</w:t>
      </w:r>
      <w:r w:rsidRPr="005369A2">
        <w:rPr>
          <w:color w:val="auto"/>
        </w:rPr>
        <w:t xml:space="preserve"> months prior to its expiry.</w:t>
      </w:r>
    </w:p>
    <w:p w14:paraId="7DF76A10" w14:textId="77777777" w:rsidR="00E51D1B" w:rsidRDefault="00E51D1B" w:rsidP="00E51D1B">
      <w:pPr>
        <w:pStyle w:val="Heading2"/>
      </w:pPr>
      <w:r>
        <w:t>Variation of the Agreement</w:t>
      </w:r>
    </w:p>
    <w:p w14:paraId="17ACF4D5" w14:textId="77777777" w:rsidR="00E51D1B" w:rsidRDefault="00E51D1B" w:rsidP="0038330F">
      <w:pPr>
        <w:pStyle w:val="Normalnumbered"/>
        <w:numPr>
          <w:ilvl w:val="0"/>
          <w:numId w:val="15"/>
        </w:numPr>
        <w:tabs>
          <w:tab w:val="num" w:pos="426"/>
        </w:tabs>
      </w:pPr>
      <w:r>
        <w:t xml:space="preserve">The Agreement </w:t>
      </w:r>
      <w:r w:rsidRPr="0038330F">
        <w:rPr>
          <w:color w:val="auto"/>
        </w:rPr>
        <w:t>may</w:t>
      </w:r>
      <w:r>
        <w:t xml:space="preserve"> be amended at any time by agreement in writing by all the Parties.</w:t>
      </w:r>
    </w:p>
    <w:p w14:paraId="61393D29" w14:textId="77777777" w:rsidR="00E51D1B" w:rsidRPr="00FC0C93" w:rsidRDefault="00E51D1B" w:rsidP="0038330F">
      <w:pPr>
        <w:pStyle w:val="Normalnumbered"/>
        <w:numPr>
          <w:ilvl w:val="0"/>
          <w:numId w:val="15"/>
        </w:numPr>
        <w:tabs>
          <w:tab w:val="num" w:pos="426"/>
        </w:tabs>
      </w:pPr>
      <w:r>
        <w:t xml:space="preserve">A Party to the </w:t>
      </w:r>
      <w:r w:rsidRPr="0038330F">
        <w:rPr>
          <w:color w:val="auto"/>
        </w:rPr>
        <w:t>Agreement</w:t>
      </w:r>
      <w:r>
        <w:t xml:space="preserve"> may terminate their participation in the Agreement at any time by </w:t>
      </w:r>
      <w:r w:rsidRPr="00FC0C93">
        <w:t>notifying all the other Parties in writing.</w:t>
      </w:r>
    </w:p>
    <w:p w14:paraId="6BEC270F" w14:textId="77777777" w:rsidR="007E71B6" w:rsidRPr="0038330F" w:rsidRDefault="007E71B6" w:rsidP="0038330F">
      <w:pPr>
        <w:pStyle w:val="Normalnumbered"/>
        <w:numPr>
          <w:ilvl w:val="0"/>
          <w:numId w:val="15"/>
        </w:numPr>
        <w:tabs>
          <w:tab w:val="num" w:pos="426"/>
        </w:tabs>
        <w:rPr>
          <w:color w:val="auto"/>
        </w:rPr>
      </w:pPr>
      <w:r w:rsidRPr="0038330F">
        <w:rPr>
          <w:color w:val="auto"/>
        </w:rPr>
        <w:t xml:space="preserve">The Schedules to this Agreement will be varied at least twice a year, following the Commonwealth Budget and mid-year reviews, and at other times when necessary.  </w:t>
      </w:r>
    </w:p>
    <w:p w14:paraId="5DA34A22" w14:textId="77777777" w:rsidR="007E71B6" w:rsidRDefault="007E71B6" w:rsidP="0038330F">
      <w:pPr>
        <w:pStyle w:val="Normalnumbered"/>
        <w:numPr>
          <w:ilvl w:val="0"/>
          <w:numId w:val="15"/>
        </w:numPr>
        <w:tabs>
          <w:tab w:val="num" w:pos="426"/>
        </w:tabs>
        <w:rPr>
          <w:color w:val="auto"/>
        </w:rPr>
      </w:pPr>
      <w:r w:rsidRPr="0038330F">
        <w:rPr>
          <w:color w:val="auto"/>
        </w:rPr>
        <w:t>Variations to the Schedules to this Agreement will be agreed in writing by the relevant Parties.</w:t>
      </w:r>
    </w:p>
    <w:p w14:paraId="631CF051" w14:textId="77777777" w:rsidR="002665E5" w:rsidRDefault="002665E5" w:rsidP="002665E5">
      <w:pPr>
        <w:pStyle w:val="Heading2"/>
      </w:pPr>
      <w:r>
        <w:lastRenderedPageBreak/>
        <w:t>Delegations</w:t>
      </w:r>
    </w:p>
    <w:p w14:paraId="683C3AC0" w14:textId="516FC995" w:rsidR="007D6744" w:rsidRDefault="007D6744" w:rsidP="0038330F">
      <w:pPr>
        <w:pStyle w:val="Normalnumbered"/>
        <w:numPr>
          <w:ilvl w:val="0"/>
          <w:numId w:val="15"/>
        </w:numPr>
        <w:tabs>
          <w:tab w:val="num" w:pos="426"/>
        </w:tabs>
        <w:rPr>
          <w:color w:val="auto"/>
        </w:rPr>
      </w:pPr>
      <w:r w:rsidRPr="003561D4">
        <w:rPr>
          <w:color w:val="auto"/>
        </w:rPr>
        <w:t>Commonwealth Minister</w:t>
      </w:r>
      <w:r w:rsidR="00305C52">
        <w:rPr>
          <w:color w:val="auto"/>
        </w:rPr>
        <w:t>(s)</w:t>
      </w:r>
      <w:r w:rsidRPr="003561D4">
        <w:rPr>
          <w:color w:val="auto"/>
        </w:rPr>
        <w:t xml:space="preserve"> with portfolio responsibility for infrastructure</w:t>
      </w:r>
      <w:r>
        <w:rPr>
          <w:color w:val="auto"/>
        </w:rPr>
        <w:t xml:space="preserve"> </w:t>
      </w:r>
      <w:r w:rsidR="00305C52">
        <w:rPr>
          <w:color w:val="auto"/>
        </w:rPr>
        <w:t>are</w:t>
      </w:r>
      <w:r w:rsidRPr="003561D4">
        <w:rPr>
          <w:color w:val="auto"/>
        </w:rPr>
        <w:t xml:space="preserve"> authorised to agree and amend Schedules to this Agreement and to certify that milestones specified under this Agreement have been achieved, so that payments may be made. </w:t>
      </w:r>
    </w:p>
    <w:p w14:paraId="3DBDBF96" w14:textId="2DB659BB" w:rsidR="002665E5" w:rsidRDefault="002665E5" w:rsidP="0038330F">
      <w:pPr>
        <w:pStyle w:val="Normalnumbered"/>
        <w:numPr>
          <w:ilvl w:val="0"/>
          <w:numId w:val="15"/>
        </w:numPr>
        <w:tabs>
          <w:tab w:val="num" w:pos="426"/>
        </w:tabs>
      </w:pPr>
      <w:r>
        <w:t xml:space="preserve">Respective State and Territory Ministers with portfolio responsibility for </w:t>
      </w:r>
      <w:r w:rsidR="007D6744">
        <w:t xml:space="preserve">infrastructure and/or transport </w:t>
      </w:r>
      <w:r w:rsidRPr="00816464">
        <w:t xml:space="preserve">are </w:t>
      </w:r>
      <w:r w:rsidRPr="0038330F">
        <w:rPr>
          <w:color w:val="auto"/>
        </w:rPr>
        <w:t>authorised</w:t>
      </w:r>
      <w:r w:rsidRPr="00816464">
        <w:t xml:space="preserve"> to agree </w:t>
      </w:r>
      <w:r w:rsidR="006C7FA2">
        <w:t>and</w:t>
      </w:r>
      <w:r>
        <w:t xml:space="preserve"> amend </w:t>
      </w:r>
      <w:r w:rsidRPr="000E19C0">
        <w:t>Schedules to this Agreement</w:t>
      </w:r>
      <w:r w:rsidRPr="00816464">
        <w:t>.</w:t>
      </w:r>
      <w:r w:rsidRPr="00901CF5">
        <w:t xml:space="preserve"> </w:t>
      </w:r>
    </w:p>
    <w:p w14:paraId="336BA26D" w14:textId="77777777" w:rsidR="009F0F3D" w:rsidRPr="0038330F" w:rsidRDefault="009F0F3D" w:rsidP="0038330F">
      <w:pPr>
        <w:pStyle w:val="Normalnumbered"/>
        <w:numPr>
          <w:ilvl w:val="0"/>
          <w:numId w:val="15"/>
        </w:numPr>
        <w:tabs>
          <w:tab w:val="num" w:pos="426"/>
        </w:tabs>
        <w:rPr>
          <w:color w:val="auto"/>
        </w:rPr>
      </w:pPr>
      <w:r w:rsidRPr="0038330F">
        <w:rPr>
          <w:color w:val="auto"/>
        </w:rPr>
        <w:t>Senior Commonwealth and State officials are authorised to agree and vary project milestones.  Agreed project milestones are set out in IMS or equivalent system.</w:t>
      </w:r>
    </w:p>
    <w:p w14:paraId="43430DA2" w14:textId="479D209E" w:rsidR="002665E5" w:rsidRDefault="002665E5" w:rsidP="0038330F">
      <w:pPr>
        <w:pStyle w:val="Normalnumbered"/>
        <w:numPr>
          <w:ilvl w:val="0"/>
          <w:numId w:val="15"/>
        </w:numPr>
        <w:tabs>
          <w:tab w:val="num" w:pos="426"/>
        </w:tabs>
      </w:pPr>
      <w:r>
        <w:t>The Commonwealth Minister</w:t>
      </w:r>
      <w:r w:rsidR="00AB25B7">
        <w:t>(s)</w:t>
      </w:r>
      <w:r>
        <w:t xml:space="preserve"> may delegate the assessment of project-based performance benchmarks or milestones and the authorisation of related </w:t>
      </w:r>
      <w:r w:rsidR="004D41EF">
        <w:t>P</w:t>
      </w:r>
      <w:r>
        <w:t xml:space="preserve">roject payments to senior </w:t>
      </w:r>
      <w:r w:rsidRPr="0038330F">
        <w:rPr>
          <w:color w:val="auto"/>
        </w:rPr>
        <w:t>Commonwealth</w:t>
      </w:r>
      <w:r>
        <w:t xml:space="preserve"> officials, having regard to the financial and policy risks associated with those payments.  </w:t>
      </w:r>
    </w:p>
    <w:p w14:paraId="7E6ED81D" w14:textId="77777777" w:rsidR="00566385" w:rsidRPr="0038330F" w:rsidRDefault="00566385" w:rsidP="00566385">
      <w:pPr>
        <w:pStyle w:val="Heading2"/>
        <w:jc w:val="both"/>
      </w:pPr>
      <w:r w:rsidRPr="0038330F">
        <w:t>Breaches</w:t>
      </w:r>
    </w:p>
    <w:p w14:paraId="7D65CFAF" w14:textId="77777777" w:rsidR="00566385" w:rsidRPr="0038330F" w:rsidDel="0012575D" w:rsidRDefault="00566385" w:rsidP="0038330F">
      <w:pPr>
        <w:pStyle w:val="Normalnumbered"/>
        <w:numPr>
          <w:ilvl w:val="0"/>
          <w:numId w:val="15"/>
        </w:numPr>
        <w:tabs>
          <w:tab w:val="num" w:pos="426"/>
        </w:tabs>
      </w:pPr>
      <w:r w:rsidRPr="0038330F" w:rsidDel="0012575D">
        <w:t>Breaches of any mandatory funding condition specified in the NLT Act or in an instrument made under sections 27 or 86 of the NLT Act may result in funding specified in the Project approval instrument for a Project being withheld or a refund being sought by the Commonwealth in accordance with sections 26 or 85 of the NLT Act.</w:t>
      </w:r>
    </w:p>
    <w:p w14:paraId="45DD7638" w14:textId="77777777" w:rsidR="00566385" w:rsidRPr="0038330F" w:rsidDel="0012575D" w:rsidRDefault="00566385" w:rsidP="0038330F">
      <w:pPr>
        <w:pStyle w:val="Normalnumbered"/>
        <w:numPr>
          <w:ilvl w:val="0"/>
          <w:numId w:val="15"/>
        </w:numPr>
        <w:tabs>
          <w:tab w:val="num" w:pos="426"/>
        </w:tabs>
      </w:pPr>
      <w:r w:rsidRPr="0038330F" w:rsidDel="0012575D">
        <w:t>In the event that a Project has been varied without written consent from the Commonwealth, the Commonwealth may withhold future payments to that project or seek a refund on payments made to date.</w:t>
      </w:r>
    </w:p>
    <w:p w14:paraId="5C0D0FBE" w14:textId="77777777" w:rsidR="00566385" w:rsidRPr="0038330F" w:rsidDel="0012575D" w:rsidRDefault="00566385" w:rsidP="0038330F">
      <w:pPr>
        <w:pStyle w:val="Normalnumbered"/>
        <w:numPr>
          <w:ilvl w:val="0"/>
          <w:numId w:val="15"/>
        </w:numPr>
        <w:tabs>
          <w:tab w:val="num" w:pos="426"/>
        </w:tabs>
      </w:pPr>
      <w:r w:rsidRPr="0038330F" w:rsidDel="0012575D">
        <w:t>Breaches of the terms of this Agreement may result in the Commonwealth funding specified in the Schedules to this Agreement being withheld.</w:t>
      </w:r>
    </w:p>
    <w:p w14:paraId="7C21DE36" w14:textId="77777777" w:rsidR="002665E5" w:rsidRDefault="002665E5" w:rsidP="002665E5">
      <w:pPr>
        <w:pStyle w:val="Heading2"/>
      </w:pPr>
      <w:r>
        <w:t>Dispute resolution</w:t>
      </w:r>
    </w:p>
    <w:p w14:paraId="3A56B6ED" w14:textId="77777777" w:rsidR="002665E5" w:rsidRDefault="002665E5" w:rsidP="0038330F">
      <w:pPr>
        <w:pStyle w:val="Normalnumbered"/>
        <w:numPr>
          <w:ilvl w:val="0"/>
          <w:numId w:val="15"/>
        </w:numPr>
        <w:tabs>
          <w:tab w:val="num" w:pos="426"/>
        </w:tabs>
      </w:pPr>
      <w:r>
        <w:t>Any Party may give notice to other Parties of a dispute under this Agreement.</w:t>
      </w:r>
    </w:p>
    <w:p w14:paraId="2BB47EEF" w14:textId="77777777" w:rsidR="002665E5" w:rsidRDefault="002665E5" w:rsidP="0038330F">
      <w:pPr>
        <w:pStyle w:val="Normalnumbered"/>
        <w:numPr>
          <w:ilvl w:val="0"/>
          <w:numId w:val="15"/>
        </w:numPr>
        <w:tabs>
          <w:tab w:val="num" w:pos="426"/>
        </w:tabs>
      </w:pPr>
      <w:r>
        <w:t>Officials of relevant Parties will attempt to resolve any dispute in the first instance.</w:t>
      </w:r>
    </w:p>
    <w:p w14:paraId="467672B0" w14:textId="5A8551DF" w:rsidR="002665E5" w:rsidRDefault="002665E5" w:rsidP="0038330F">
      <w:pPr>
        <w:pStyle w:val="Normalnumbered"/>
        <w:numPr>
          <w:ilvl w:val="0"/>
          <w:numId w:val="15"/>
        </w:numPr>
        <w:tabs>
          <w:tab w:val="num" w:pos="426"/>
        </w:tabs>
      </w:pPr>
      <w:r>
        <w:t>If a dispute cannot be resolved by officials, it may be escalated to the relevant Ministers.</w:t>
      </w:r>
    </w:p>
    <w:p w14:paraId="47A2B2AD" w14:textId="500F4C24" w:rsidR="00DE60D8" w:rsidRPr="00F57491" w:rsidRDefault="00DE60D8" w:rsidP="0038330F">
      <w:pPr>
        <w:pStyle w:val="Normalnumbered"/>
        <w:numPr>
          <w:ilvl w:val="0"/>
          <w:numId w:val="15"/>
        </w:numPr>
        <w:tabs>
          <w:tab w:val="num" w:pos="426"/>
        </w:tabs>
      </w:pPr>
      <w:r w:rsidRPr="00F57491">
        <w:t>If a dispute cannot be resolved by the relevant Ministers, it may be escalated to relevant First Ministers.</w:t>
      </w:r>
    </w:p>
    <w:p w14:paraId="1C43AF67" w14:textId="77777777" w:rsidR="009F0F3D" w:rsidRPr="0038330F" w:rsidRDefault="009F0F3D" w:rsidP="009F0F3D">
      <w:pPr>
        <w:pStyle w:val="Heading2"/>
        <w:rPr>
          <w:color w:val="244061"/>
        </w:rPr>
      </w:pPr>
      <w:r w:rsidRPr="0038330F">
        <w:rPr>
          <w:color w:val="244061"/>
        </w:rPr>
        <w:t>Transitional arrangements</w:t>
      </w:r>
    </w:p>
    <w:p w14:paraId="6BACB465" w14:textId="77777777" w:rsidR="009F0F3D" w:rsidRPr="0038330F" w:rsidRDefault="009F0F3D" w:rsidP="0038330F">
      <w:pPr>
        <w:pStyle w:val="Normalnumbered"/>
        <w:numPr>
          <w:ilvl w:val="0"/>
          <w:numId w:val="15"/>
        </w:numPr>
        <w:tabs>
          <w:tab w:val="num" w:pos="426"/>
        </w:tabs>
        <w:rPr>
          <w:color w:val="auto"/>
        </w:rPr>
      </w:pPr>
      <w:r w:rsidRPr="0038330F">
        <w:t>Transitional</w:t>
      </w:r>
      <w:r w:rsidRPr="0038330F">
        <w:rPr>
          <w:color w:val="auto"/>
        </w:rPr>
        <w:t xml:space="preserve"> arrangements for projects that commenced under a previous National Partnership Agreement or bilateral agreement are contained in the conditions column in the Schedules to this Agreement.</w:t>
      </w:r>
    </w:p>
    <w:p w14:paraId="5B916673" w14:textId="77777777" w:rsidR="002665E5" w:rsidRDefault="002665E5" w:rsidP="002665E5">
      <w:pPr>
        <w:pStyle w:val="Heading2"/>
      </w:pPr>
      <w:r>
        <w:t>Interpretation</w:t>
      </w:r>
    </w:p>
    <w:p w14:paraId="74142902" w14:textId="77777777" w:rsidR="009F0F3D" w:rsidRPr="00D51058" w:rsidRDefault="009F0F3D" w:rsidP="0038330F">
      <w:pPr>
        <w:pStyle w:val="Normalnumbered"/>
        <w:numPr>
          <w:ilvl w:val="0"/>
          <w:numId w:val="15"/>
        </w:numPr>
        <w:tabs>
          <w:tab w:val="num" w:pos="426"/>
        </w:tabs>
        <w:rPr>
          <w:color w:val="auto"/>
        </w:rPr>
      </w:pPr>
      <w:r>
        <w:rPr>
          <w:color w:val="auto"/>
        </w:rPr>
        <w:t xml:space="preserve">For the </w:t>
      </w:r>
      <w:r w:rsidRPr="0038330F">
        <w:t>purpose</w:t>
      </w:r>
      <w:r>
        <w:rPr>
          <w:color w:val="auto"/>
        </w:rPr>
        <w:t xml:space="preserve"> of this Agreement and its Schedules:</w:t>
      </w:r>
    </w:p>
    <w:p w14:paraId="44762CC2" w14:textId="188260AA" w:rsidR="009F0F3D" w:rsidRPr="00920FC5" w:rsidRDefault="009F0F3D" w:rsidP="009F0F3D">
      <w:pPr>
        <w:pStyle w:val="AlphaParagraph"/>
        <w:numPr>
          <w:ilvl w:val="0"/>
          <w:numId w:val="64"/>
        </w:numPr>
        <w:tabs>
          <w:tab w:val="clear" w:pos="142"/>
          <w:tab w:val="clear" w:pos="567"/>
        </w:tabs>
        <w:ind w:left="1134"/>
        <w:rPr>
          <w:color w:val="auto"/>
        </w:rPr>
      </w:pPr>
      <w:r w:rsidRPr="00920FC5">
        <w:rPr>
          <w:color w:val="auto"/>
        </w:rPr>
        <w:t xml:space="preserve">Australian Government Building and Construction Occupational Health and Safety Accreditation Scheme’ means the scheme established under the </w:t>
      </w:r>
      <w:r w:rsidRPr="00090648">
        <w:rPr>
          <w:color w:val="auto"/>
        </w:rPr>
        <w:t xml:space="preserve">Building </w:t>
      </w:r>
      <w:r w:rsidRPr="00920FC5">
        <w:rPr>
          <w:color w:val="auto"/>
        </w:rPr>
        <w:t xml:space="preserve">and Construction </w:t>
      </w:r>
      <w:r w:rsidRPr="00090648">
        <w:rPr>
          <w:color w:val="auto"/>
        </w:rPr>
        <w:t>Industry</w:t>
      </w:r>
      <w:r w:rsidRPr="00920FC5">
        <w:rPr>
          <w:color w:val="auto"/>
        </w:rPr>
        <w:t xml:space="preserve"> (Consequential and Transitional Provisions</w:t>
      </w:r>
      <w:r w:rsidRPr="00090648">
        <w:rPr>
          <w:color w:val="auto"/>
        </w:rPr>
        <w:t xml:space="preserve">) Act </w:t>
      </w:r>
      <w:r w:rsidRPr="00920FC5">
        <w:rPr>
          <w:color w:val="auto"/>
        </w:rPr>
        <w:t xml:space="preserve">2016, which places specific legal obligations on Commonwealth agencies in relation to the building and construction industry (see </w:t>
      </w:r>
      <w:hyperlink r:id="rId14" w:history="1">
        <w:r w:rsidRPr="00920FC5">
          <w:rPr>
            <w:rStyle w:val="Hyperlink"/>
          </w:rPr>
          <w:t>www.fsc.gov.au</w:t>
        </w:r>
      </w:hyperlink>
      <w:r w:rsidRPr="00920FC5">
        <w:rPr>
          <w:color w:val="auto"/>
        </w:rPr>
        <w:t xml:space="preserve"> for more information).</w:t>
      </w:r>
    </w:p>
    <w:p w14:paraId="049FF236" w14:textId="77777777" w:rsidR="009F0F3D" w:rsidRDefault="009F0F3D" w:rsidP="009F0F3D">
      <w:pPr>
        <w:pStyle w:val="AlphaParagraph"/>
        <w:numPr>
          <w:ilvl w:val="0"/>
          <w:numId w:val="64"/>
        </w:numPr>
        <w:tabs>
          <w:tab w:val="clear" w:pos="142"/>
          <w:tab w:val="clear" w:pos="567"/>
        </w:tabs>
        <w:ind w:left="1134"/>
        <w:rPr>
          <w:color w:val="auto"/>
        </w:rPr>
      </w:pPr>
      <w:r w:rsidRPr="00920FC5" w:rsidDel="004D35D3">
        <w:rPr>
          <w:color w:val="auto"/>
        </w:rPr>
        <w:lastRenderedPageBreak/>
        <w:t xml:space="preserve"> </w:t>
      </w:r>
      <w:r w:rsidRPr="004D35D3">
        <w:rPr>
          <w:color w:val="auto"/>
        </w:rPr>
        <w:t>‘</w:t>
      </w:r>
      <w:r>
        <w:rPr>
          <w:color w:val="auto"/>
        </w:rPr>
        <w:t xml:space="preserve">Australian Industry Participation Plan’ means a written plan that is required under the </w:t>
      </w:r>
      <w:r>
        <w:rPr>
          <w:i/>
          <w:color w:val="auto"/>
        </w:rPr>
        <w:t>Australian Jobs Act 2013</w:t>
      </w:r>
      <w:r>
        <w:rPr>
          <w:color w:val="auto"/>
        </w:rPr>
        <w:t>.</w:t>
      </w:r>
    </w:p>
    <w:p w14:paraId="071BAC08" w14:textId="77777777" w:rsidR="009F0F3D" w:rsidRDefault="009F0F3D" w:rsidP="009F0F3D">
      <w:pPr>
        <w:pStyle w:val="AlphaParagraph"/>
        <w:numPr>
          <w:ilvl w:val="0"/>
          <w:numId w:val="64"/>
        </w:numPr>
        <w:tabs>
          <w:tab w:val="clear" w:pos="142"/>
          <w:tab w:val="clear" w:pos="567"/>
        </w:tabs>
        <w:ind w:left="1134"/>
        <w:rPr>
          <w:color w:val="auto"/>
        </w:rPr>
      </w:pPr>
      <w:r>
        <w:rPr>
          <w:color w:val="auto"/>
        </w:rPr>
        <w:t>‘Black Spot’ project means a project approved by the Minister under section 70 of the NLT Act.</w:t>
      </w:r>
    </w:p>
    <w:p w14:paraId="4BA35B0A" w14:textId="77777777" w:rsidR="009F0F3D" w:rsidRDefault="009F0F3D" w:rsidP="009F0F3D">
      <w:pPr>
        <w:pStyle w:val="AlphaParagraph"/>
        <w:numPr>
          <w:ilvl w:val="0"/>
          <w:numId w:val="64"/>
        </w:numPr>
        <w:tabs>
          <w:tab w:val="clear" w:pos="567"/>
          <w:tab w:val="clear" w:pos="1134"/>
        </w:tabs>
        <w:ind w:left="1134"/>
        <w:rPr>
          <w:color w:val="auto"/>
        </w:rPr>
      </w:pPr>
      <w:r w:rsidRPr="00920FC5">
        <w:rPr>
          <w:color w:val="auto"/>
        </w:rPr>
        <w:t xml:space="preserve">The ‘Building Code’ means the Code issued under section 34 of the </w:t>
      </w:r>
      <w:r w:rsidRPr="00920FC5">
        <w:rPr>
          <w:i/>
          <w:color w:val="auto"/>
        </w:rPr>
        <w:t>Building and Construction Industry (Improving Productivity) Act 2016</w:t>
      </w:r>
      <w:r w:rsidRPr="00920FC5">
        <w:rPr>
          <w:color w:val="auto"/>
        </w:rPr>
        <w:t>, which sets out the Commonwealth’s expected standards for all building contractors or building participants in Commonwealth funded construction projects (see https://www.abcc.gov.au/building-code for more information).</w:t>
      </w:r>
    </w:p>
    <w:p w14:paraId="72E89C88" w14:textId="69D7AFC6" w:rsidR="009F0F3D" w:rsidRDefault="009F0F3D" w:rsidP="009F0F3D">
      <w:pPr>
        <w:pStyle w:val="AlphaParagraph"/>
        <w:numPr>
          <w:ilvl w:val="0"/>
          <w:numId w:val="64"/>
        </w:numPr>
        <w:tabs>
          <w:tab w:val="clear" w:pos="142"/>
          <w:tab w:val="clear" w:pos="567"/>
        </w:tabs>
        <w:ind w:left="1134"/>
        <w:rPr>
          <w:color w:val="auto"/>
        </w:rPr>
      </w:pPr>
      <w:r>
        <w:rPr>
          <w:color w:val="auto"/>
        </w:rPr>
        <w:t xml:space="preserve">‘Infrastructure Investment Program’ means the program of funds allocated to projects for the Commonwealth’s investment in land transport infrastructure under the </w:t>
      </w:r>
      <w:r w:rsidRPr="00943A42">
        <w:rPr>
          <w:color w:val="auto"/>
        </w:rPr>
        <w:t>NLT Act.</w:t>
      </w:r>
    </w:p>
    <w:p w14:paraId="60CA03A4" w14:textId="77777777" w:rsidR="009F0F3D" w:rsidRDefault="009F0F3D" w:rsidP="009F0F3D">
      <w:pPr>
        <w:pStyle w:val="AlphaParagraph"/>
        <w:numPr>
          <w:ilvl w:val="0"/>
          <w:numId w:val="64"/>
        </w:numPr>
        <w:tabs>
          <w:tab w:val="clear" w:pos="142"/>
          <w:tab w:val="clear" w:pos="567"/>
        </w:tabs>
        <w:ind w:left="1134"/>
        <w:rPr>
          <w:color w:val="auto"/>
        </w:rPr>
      </w:pPr>
      <w:r>
        <w:rPr>
          <w:color w:val="auto"/>
        </w:rPr>
        <w:t>‘Infrastructure Management System’ (IMS) means the computer system used to manage project payments and reporting.</w:t>
      </w:r>
    </w:p>
    <w:p w14:paraId="40FA9CB2" w14:textId="77777777" w:rsidR="009F0F3D" w:rsidRDefault="009F0F3D" w:rsidP="009F0F3D">
      <w:pPr>
        <w:pStyle w:val="AlphaParagraph"/>
        <w:numPr>
          <w:ilvl w:val="0"/>
          <w:numId w:val="64"/>
        </w:numPr>
        <w:tabs>
          <w:tab w:val="clear" w:pos="142"/>
          <w:tab w:val="clear" w:pos="567"/>
        </w:tabs>
        <w:ind w:left="1134"/>
        <w:rPr>
          <w:color w:val="auto"/>
        </w:rPr>
      </w:pPr>
      <w:r w:rsidDel="005B6735">
        <w:rPr>
          <w:color w:val="auto"/>
        </w:rPr>
        <w:t xml:space="preserve"> </w:t>
      </w:r>
      <w:r>
        <w:rPr>
          <w:color w:val="auto"/>
        </w:rPr>
        <w:t xml:space="preserve">‘Indigenous Employment and Supplier-Use Infrastructure Framework’ means the Commonwealth’s framework which sets out the </w:t>
      </w:r>
      <w:r w:rsidRPr="0086068E">
        <w:rPr>
          <w:color w:val="auto"/>
        </w:rPr>
        <w:t>approach to increasing Indigenous participation in the delivery of Commonwealth-funded land transport infrastructure</w:t>
      </w:r>
      <w:r>
        <w:rPr>
          <w:color w:val="auto"/>
        </w:rPr>
        <w:t>.</w:t>
      </w:r>
    </w:p>
    <w:p w14:paraId="695A24A4" w14:textId="3003A5B7" w:rsidR="009F0F3D" w:rsidRPr="00001B65" w:rsidRDefault="009F0F3D" w:rsidP="009F0F3D">
      <w:pPr>
        <w:pStyle w:val="AlphaParagraph"/>
        <w:numPr>
          <w:ilvl w:val="0"/>
          <w:numId w:val="64"/>
        </w:numPr>
        <w:tabs>
          <w:tab w:val="clear" w:pos="142"/>
          <w:tab w:val="clear" w:pos="567"/>
        </w:tabs>
        <w:ind w:left="1134"/>
        <w:rPr>
          <w:color w:val="auto"/>
        </w:rPr>
      </w:pPr>
      <w:r>
        <w:rPr>
          <w:color w:val="auto"/>
        </w:rPr>
        <w:t xml:space="preserve">‘Indigenous Participation Plan’ means a written plan, which accompanies the </w:t>
      </w:r>
      <w:r w:rsidR="00635FCC">
        <w:rPr>
          <w:color w:val="auto"/>
        </w:rPr>
        <w:br/>
        <w:t xml:space="preserve">delivery-phase </w:t>
      </w:r>
      <w:r>
        <w:rPr>
          <w:color w:val="auto"/>
        </w:rPr>
        <w:t>Project Proposal Report, and is based on the requirements of the ‘Indigenous Employment and Supplier-Use Infrastructure Framework.</w:t>
      </w:r>
    </w:p>
    <w:p w14:paraId="423C8876" w14:textId="7DF5E5BE" w:rsidR="009F0F3D" w:rsidRPr="00404292" w:rsidRDefault="009F0F3D" w:rsidP="009F0F3D">
      <w:pPr>
        <w:pStyle w:val="AlphaParagraph"/>
        <w:numPr>
          <w:ilvl w:val="0"/>
          <w:numId w:val="64"/>
        </w:numPr>
        <w:tabs>
          <w:tab w:val="clear" w:pos="142"/>
          <w:tab w:val="clear" w:pos="567"/>
        </w:tabs>
        <w:ind w:left="1134"/>
        <w:rPr>
          <w:color w:val="auto"/>
        </w:rPr>
      </w:pPr>
      <w:r>
        <w:rPr>
          <w:color w:val="auto"/>
        </w:rPr>
        <w:t xml:space="preserve">‘Joint project evaluation process’ means an evaluation conducted by the Commonwealth in conjunction with a State to review a </w:t>
      </w:r>
      <w:r w:rsidR="00635FCC">
        <w:rPr>
          <w:color w:val="auto"/>
        </w:rPr>
        <w:t>P</w:t>
      </w:r>
      <w:r>
        <w:rPr>
          <w:color w:val="auto"/>
        </w:rPr>
        <w:t>roject/</w:t>
      </w:r>
      <w:r w:rsidR="00635FCC">
        <w:rPr>
          <w:color w:val="auto"/>
        </w:rPr>
        <w:t>P</w:t>
      </w:r>
      <w:r>
        <w:rPr>
          <w:color w:val="auto"/>
        </w:rPr>
        <w:t>rojects (see the Notes on Administration for more information).</w:t>
      </w:r>
    </w:p>
    <w:p w14:paraId="274BEB63" w14:textId="5CC32476" w:rsidR="009F0F3D" w:rsidRPr="002F3488" w:rsidRDefault="009F0F3D" w:rsidP="009F0F3D">
      <w:pPr>
        <w:pStyle w:val="AlphaParagraph"/>
        <w:numPr>
          <w:ilvl w:val="0"/>
          <w:numId w:val="64"/>
        </w:numPr>
        <w:tabs>
          <w:tab w:val="clear" w:pos="142"/>
          <w:tab w:val="clear" w:pos="567"/>
        </w:tabs>
        <w:ind w:left="1134"/>
        <w:rPr>
          <w:rFonts w:cs="Corbel"/>
          <w:szCs w:val="23"/>
        </w:rPr>
      </w:pPr>
      <w:r>
        <w:rPr>
          <w:color w:val="auto"/>
        </w:rPr>
        <w:t>‘</w:t>
      </w:r>
      <w:r w:rsidRPr="006104D4">
        <w:rPr>
          <w:color w:val="auto"/>
          <w:szCs w:val="23"/>
        </w:rPr>
        <w:t>Local Industry Participation Plan</w:t>
      </w:r>
      <w:r>
        <w:rPr>
          <w:color w:val="auto"/>
          <w:szCs w:val="23"/>
        </w:rPr>
        <w:t>’</w:t>
      </w:r>
      <w:r w:rsidRPr="00A35FF8">
        <w:rPr>
          <w:color w:val="auto"/>
          <w:szCs w:val="23"/>
        </w:rPr>
        <w:t xml:space="preserve"> (LIPP)</w:t>
      </w:r>
      <w:r w:rsidRPr="00372144">
        <w:rPr>
          <w:color w:val="auto"/>
          <w:szCs w:val="23"/>
        </w:rPr>
        <w:t xml:space="preserve"> means a written plan based on t</w:t>
      </w:r>
      <w:r w:rsidRPr="001A54CA">
        <w:rPr>
          <w:szCs w:val="23"/>
        </w:rPr>
        <w:t xml:space="preserve">he National Framework which was agreed between </w:t>
      </w:r>
      <w:r>
        <w:rPr>
          <w:szCs w:val="23"/>
        </w:rPr>
        <w:t xml:space="preserve">the </w:t>
      </w:r>
      <w:r w:rsidRPr="001A54CA">
        <w:rPr>
          <w:szCs w:val="23"/>
        </w:rPr>
        <w:t>Commonwealth</w:t>
      </w:r>
      <w:r>
        <w:rPr>
          <w:szCs w:val="23"/>
        </w:rPr>
        <w:t xml:space="preserve"> and the</w:t>
      </w:r>
      <w:r w:rsidRPr="001A54CA">
        <w:rPr>
          <w:szCs w:val="23"/>
        </w:rPr>
        <w:t xml:space="preserve"> </w:t>
      </w:r>
      <w:r>
        <w:rPr>
          <w:szCs w:val="23"/>
        </w:rPr>
        <w:t>S</w:t>
      </w:r>
      <w:r w:rsidRPr="001A54CA">
        <w:rPr>
          <w:szCs w:val="23"/>
        </w:rPr>
        <w:t>tate</w:t>
      </w:r>
      <w:r>
        <w:rPr>
          <w:szCs w:val="23"/>
        </w:rPr>
        <w:t>s</w:t>
      </w:r>
      <w:r w:rsidRPr="001A54CA">
        <w:rPr>
          <w:szCs w:val="23"/>
        </w:rPr>
        <w:t xml:space="preserve"> in 2001 to promote, develop and maintain a sustainable Australian industry capability by encouraging competitive Australian industry participation in investment projects</w:t>
      </w:r>
      <w:r>
        <w:rPr>
          <w:szCs w:val="23"/>
        </w:rPr>
        <w:t xml:space="preserve"> (see </w:t>
      </w:r>
      <w:hyperlink r:id="rId15" w:history="1">
        <w:r w:rsidRPr="00C26C9A">
          <w:rPr>
            <w:rStyle w:val="Hyperlink"/>
            <w:szCs w:val="23"/>
          </w:rPr>
          <w:t>www.innovation.gov.au</w:t>
        </w:r>
      </w:hyperlink>
      <w:r>
        <w:rPr>
          <w:szCs w:val="23"/>
        </w:rPr>
        <w:t xml:space="preserve"> for more information)</w:t>
      </w:r>
      <w:r w:rsidRPr="00186858">
        <w:rPr>
          <w:szCs w:val="23"/>
        </w:rPr>
        <w:t>.</w:t>
      </w:r>
    </w:p>
    <w:p w14:paraId="26920A9C" w14:textId="77777777" w:rsidR="009F0F3D" w:rsidRPr="007977F4" w:rsidRDefault="009F0F3D" w:rsidP="009F0F3D">
      <w:pPr>
        <w:pStyle w:val="AlphaParagraph"/>
        <w:numPr>
          <w:ilvl w:val="0"/>
          <w:numId w:val="64"/>
        </w:numPr>
        <w:tabs>
          <w:tab w:val="clear" w:pos="142"/>
          <w:tab w:val="clear" w:pos="567"/>
        </w:tabs>
        <w:ind w:left="1134"/>
        <w:rPr>
          <w:rFonts w:cs="Corbel"/>
          <w:szCs w:val="23"/>
        </w:rPr>
      </w:pPr>
      <w:r>
        <w:rPr>
          <w:color w:val="auto"/>
        </w:rPr>
        <w:t>‘Monthly Progress Report’ means the report provided monthly for each project through IMS.</w:t>
      </w:r>
    </w:p>
    <w:p w14:paraId="4BADCDC0" w14:textId="77777777" w:rsidR="009F0F3D" w:rsidRPr="00404292" w:rsidRDefault="009F0F3D" w:rsidP="009F0F3D">
      <w:pPr>
        <w:pStyle w:val="AlphaParagraph"/>
        <w:numPr>
          <w:ilvl w:val="0"/>
          <w:numId w:val="64"/>
        </w:numPr>
        <w:tabs>
          <w:tab w:val="clear" w:pos="142"/>
          <w:tab w:val="clear" w:pos="567"/>
        </w:tabs>
        <w:ind w:left="1134"/>
        <w:rPr>
          <w:rFonts w:cs="Corbel"/>
          <w:szCs w:val="23"/>
        </w:rPr>
      </w:pPr>
      <w:r>
        <w:rPr>
          <w:color w:val="auto"/>
        </w:rPr>
        <w:t>‘National Land Transport Network’ means the National Land Transport Network as in force from time to time that is determined by the Commonwealth Minister under Part 2 of the NLT Act as amended from time to time.</w:t>
      </w:r>
    </w:p>
    <w:p w14:paraId="65BB18BD" w14:textId="5D7BACEC" w:rsidR="009F0F3D" w:rsidRPr="00404292" w:rsidRDefault="009F0F3D" w:rsidP="009F0F3D">
      <w:pPr>
        <w:pStyle w:val="AlphaParagraph"/>
        <w:numPr>
          <w:ilvl w:val="0"/>
          <w:numId w:val="64"/>
        </w:numPr>
        <w:tabs>
          <w:tab w:val="clear" w:pos="142"/>
          <w:tab w:val="clear" w:pos="567"/>
        </w:tabs>
        <w:ind w:left="1134"/>
        <w:rPr>
          <w:color w:val="auto"/>
        </w:rPr>
      </w:pPr>
      <w:r>
        <w:rPr>
          <w:color w:val="auto"/>
        </w:rPr>
        <w:t>‘</w:t>
      </w:r>
      <w:r w:rsidRPr="003D63C7">
        <w:rPr>
          <w:color w:val="auto"/>
          <w:shd w:val="clear" w:color="auto" w:fill="FFFFFF"/>
        </w:rPr>
        <w:t>Notes on Administration’</w:t>
      </w:r>
      <w:r>
        <w:rPr>
          <w:color w:val="auto"/>
        </w:rPr>
        <w:t xml:space="preserve"> means the administrative requirements to support the implementation of </w:t>
      </w:r>
      <w:r w:rsidR="00B0012B">
        <w:rPr>
          <w:color w:val="auto"/>
        </w:rPr>
        <w:t>P</w:t>
      </w:r>
      <w:r>
        <w:rPr>
          <w:color w:val="auto"/>
        </w:rPr>
        <w:t>rojects under this Agreement, as updated from time to time.</w:t>
      </w:r>
    </w:p>
    <w:p w14:paraId="55B0EA45" w14:textId="77777777" w:rsidR="009F0F3D" w:rsidRPr="00404292" w:rsidRDefault="009F0F3D" w:rsidP="009F0F3D">
      <w:pPr>
        <w:pStyle w:val="AlphaParagraph"/>
        <w:numPr>
          <w:ilvl w:val="0"/>
          <w:numId w:val="64"/>
        </w:numPr>
        <w:tabs>
          <w:tab w:val="clear" w:pos="142"/>
          <w:tab w:val="clear" w:pos="567"/>
        </w:tabs>
        <w:ind w:left="1134"/>
        <w:rPr>
          <w:color w:val="auto"/>
        </w:rPr>
      </w:pPr>
      <w:r>
        <w:t>‘Outturn cost’ means the sum of the price escalated costs for each year of a project’s duration, noting that further information is provided in the Notes on Administration (Outturn cost calculation requires the non-escalated or real project cost to be presented as a cash flow and the identification, justification and application of an appropriate escalation index for each project year in order to derive the price escalated cost each year).</w:t>
      </w:r>
    </w:p>
    <w:p w14:paraId="7F182A36" w14:textId="6CA5C029" w:rsidR="009F0F3D" w:rsidRDefault="009F0F3D" w:rsidP="009F0F3D">
      <w:pPr>
        <w:pStyle w:val="AlphaParagraph"/>
        <w:numPr>
          <w:ilvl w:val="0"/>
          <w:numId w:val="64"/>
        </w:numPr>
        <w:tabs>
          <w:tab w:val="clear" w:pos="142"/>
          <w:tab w:val="clear" w:pos="567"/>
        </w:tabs>
        <w:ind w:left="1134"/>
        <w:rPr>
          <w:color w:val="auto"/>
        </w:rPr>
      </w:pPr>
      <w:r>
        <w:rPr>
          <w:color w:val="auto"/>
        </w:rPr>
        <w:t xml:space="preserve">‘Post Completion Report’ means a report submitted to the Department during the Post Completion Phase of a </w:t>
      </w:r>
      <w:r w:rsidR="003200B7">
        <w:rPr>
          <w:color w:val="auto"/>
        </w:rPr>
        <w:t>P</w:t>
      </w:r>
      <w:r>
        <w:rPr>
          <w:color w:val="auto"/>
        </w:rPr>
        <w:t>roject as set out in the Notes of Administration.</w:t>
      </w:r>
    </w:p>
    <w:p w14:paraId="5D184EF4" w14:textId="77777777" w:rsidR="009F0F3D" w:rsidRDefault="009F0F3D" w:rsidP="009F0F3D">
      <w:pPr>
        <w:pStyle w:val="AlphaParagraph"/>
        <w:numPr>
          <w:ilvl w:val="0"/>
          <w:numId w:val="64"/>
        </w:numPr>
        <w:tabs>
          <w:tab w:val="clear" w:pos="142"/>
          <w:tab w:val="clear" w:pos="567"/>
        </w:tabs>
        <w:ind w:left="1134"/>
        <w:rPr>
          <w:color w:val="auto"/>
        </w:rPr>
      </w:pPr>
      <w:r>
        <w:rPr>
          <w:color w:val="auto"/>
        </w:rPr>
        <w:lastRenderedPageBreak/>
        <w:t>‘Program’ or ‘Programs’ means the sum of Projects within a particular State agreed between the Commonwealth and a State at any given time, to be managed on a programmatic basis.</w:t>
      </w:r>
    </w:p>
    <w:p w14:paraId="0899D1DE" w14:textId="77777777" w:rsidR="009F0F3D" w:rsidRDefault="009F0F3D" w:rsidP="009F0F3D">
      <w:pPr>
        <w:pStyle w:val="AlphaParagraph"/>
        <w:numPr>
          <w:ilvl w:val="0"/>
          <w:numId w:val="64"/>
        </w:numPr>
        <w:tabs>
          <w:tab w:val="clear" w:pos="142"/>
          <w:tab w:val="clear" w:pos="567"/>
        </w:tabs>
        <w:ind w:left="1134"/>
        <w:rPr>
          <w:color w:val="auto"/>
        </w:rPr>
      </w:pPr>
      <w:r>
        <w:rPr>
          <w:color w:val="auto"/>
        </w:rPr>
        <w:t xml:space="preserve">‘Project’ or ‘Projects’ means a project approved under the NLT Act. </w:t>
      </w:r>
    </w:p>
    <w:p w14:paraId="1014E25B" w14:textId="77777777" w:rsidR="009F0F3D" w:rsidRDefault="009F0F3D" w:rsidP="009F0F3D">
      <w:pPr>
        <w:pStyle w:val="AlphaParagraph"/>
        <w:numPr>
          <w:ilvl w:val="0"/>
          <w:numId w:val="64"/>
        </w:numPr>
        <w:tabs>
          <w:tab w:val="clear" w:pos="142"/>
          <w:tab w:val="clear" w:pos="567"/>
        </w:tabs>
        <w:ind w:left="1134"/>
        <w:rPr>
          <w:color w:val="auto"/>
        </w:rPr>
      </w:pPr>
      <w:r>
        <w:rPr>
          <w:color w:val="auto"/>
        </w:rPr>
        <w:t>‘Project Proposal Report’ (PPR) means a submission for funding and project approval for the Scoping, Development or Delivery Phase of a land transport infrastructure project.</w:t>
      </w:r>
    </w:p>
    <w:p w14:paraId="0C3C7316" w14:textId="77777777" w:rsidR="006112CB" w:rsidRDefault="006112CB" w:rsidP="009F0F3D">
      <w:pPr>
        <w:pStyle w:val="AlphaParagraph"/>
        <w:numPr>
          <w:ilvl w:val="0"/>
          <w:numId w:val="64"/>
        </w:numPr>
        <w:tabs>
          <w:tab w:val="clear" w:pos="142"/>
          <w:tab w:val="clear" w:pos="567"/>
        </w:tabs>
        <w:ind w:left="1134"/>
        <w:rPr>
          <w:color w:val="auto"/>
        </w:rPr>
      </w:pPr>
      <w:r>
        <w:rPr>
          <w:color w:val="auto"/>
        </w:rPr>
        <w:t>‘Project Specific Agreement’ means a</w:t>
      </w:r>
      <w:r w:rsidR="00017905">
        <w:rPr>
          <w:color w:val="auto"/>
        </w:rPr>
        <w:t>n additional</w:t>
      </w:r>
      <w:r>
        <w:rPr>
          <w:color w:val="auto"/>
        </w:rPr>
        <w:t xml:space="preserve">  agreement between the Commonwealth and a relevant State</w:t>
      </w:r>
      <w:r w:rsidR="00B27BEE">
        <w:rPr>
          <w:color w:val="auto"/>
        </w:rPr>
        <w:t>, appended to the State’s Schedule,</w:t>
      </w:r>
      <w:r>
        <w:rPr>
          <w:color w:val="auto"/>
        </w:rPr>
        <w:t xml:space="preserve"> relating to a particular Project in the Schedule</w:t>
      </w:r>
      <w:r w:rsidR="00017905">
        <w:rPr>
          <w:color w:val="auto"/>
        </w:rPr>
        <w:t>,</w:t>
      </w:r>
      <w:r>
        <w:rPr>
          <w:color w:val="auto"/>
        </w:rPr>
        <w:t xml:space="preserve"> </w:t>
      </w:r>
      <w:r w:rsidR="00B27BEE">
        <w:rPr>
          <w:color w:val="auto"/>
        </w:rPr>
        <w:t xml:space="preserve">which </w:t>
      </w:r>
      <w:r>
        <w:rPr>
          <w:color w:val="auto"/>
        </w:rPr>
        <w:t>prescrib</w:t>
      </w:r>
      <w:r w:rsidR="00B27BEE">
        <w:rPr>
          <w:color w:val="auto"/>
        </w:rPr>
        <w:t>es</w:t>
      </w:r>
      <w:r>
        <w:rPr>
          <w:color w:val="auto"/>
        </w:rPr>
        <w:t xml:space="preserve"> </w:t>
      </w:r>
      <w:r w:rsidR="00B27BEE">
        <w:rPr>
          <w:color w:val="auto"/>
        </w:rPr>
        <w:t>further</w:t>
      </w:r>
      <w:r>
        <w:rPr>
          <w:color w:val="auto"/>
        </w:rPr>
        <w:t xml:space="preserve"> objectives</w:t>
      </w:r>
      <w:r w:rsidR="00B27BEE">
        <w:rPr>
          <w:color w:val="auto"/>
        </w:rPr>
        <w:t>, governance arrangements</w:t>
      </w:r>
      <w:r>
        <w:rPr>
          <w:color w:val="auto"/>
        </w:rPr>
        <w:t xml:space="preserve"> and</w:t>
      </w:r>
      <w:r w:rsidR="00017905">
        <w:rPr>
          <w:color w:val="auto"/>
        </w:rPr>
        <w:t xml:space="preserve"> / or</w:t>
      </w:r>
      <w:r>
        <w:rPr>
          <w:color w:val="auto"/>
        </w:rPr>
        <w:t xml:space="preserve"> conditions for that Project as agreed by the Parties.</w:t>
      </w:r>
    </w:p>
    <w:p w14:paraId="0617C50C" w14:textId="77777777" w:rsidR="009C398B" w:rsidRPr="00017905" w:rsidRDefault="009F0F3D" w:rsidP="009F0F3D">
      <w:pPr>
        <w:pStyle w:val="AlphaParagraph"/>
        <w:numPr>
          <w:ilvl w:val="0"/>
          <w:numId w:val="64"/>
        </w:numPr>
        <w:tabs>
          <w:tab w:val="clear" w:pos="142"/>
          <w:tab w:val="clear" w:pos="567"/>
        </w:tabs>
        <w:ind w:left="1134"/>
        <w:rPr>
          <w:rFonts w:cs="Corbel"/>
          <w:szCs w:val="23"/>
        </w:rPr>
      </w:pPr>
      <w:r>
        <w:rPr>
          <w:color w:val="auto"/>
        </w:rPr>
        <w:t>‘Schedules’ means the State specific Schedules that are attached to and form part of this Agreement.</w:t>
      </w:r>
    </w:p>
    <w:p w14:paraId="58EF1DB9" w14:textId="31649013" w:rsidR="00F4251E" w:rsidRPr="00404292" w:rsidRDefault="00F4251E" w:rsidP="009F0F3D">
      <w:pPr>
        <w:pStyle w:val="AlphaParagraph"/>
        <w:numPr>
          <w:ilvl w:val="0"/>
          <w:numId w:val="64"/>
        </w:numPr>
        <w:tabs>
          <w:tab w:val="clear" w:pos="142"/>
          <w:tab w:val="clear" w:pos="567"/>
        </w:tabs>
        <w:ind w:left="1134"/>
        <w:rPr>
          <w:rFonts w:cs="Corbel"/>
          <w:szCs w:val="23"/>
        </w:rPr>
      </w:pPr>
      <w:r>
        <w:rPr>
          <w:color w:val="auto"/>
        </w:rPr>
        <w:t xml:space="preserve">‘State’ means the states of New South Wales, Victoria, Queensland, Western Australia, South Australia and Tasmania, </w:t>
      </w:r>
      <w:r w:rsidR="003200B7">
        <w:rPr>
          <w:color w:val="auto"/>
        </w:rPr>
        <w:t>as well as</w:t>
      </w:r>
      <w:r w:rsidR="00320CC2">
        <w:rPr>
          <w:color w:val="auto"/>
        </w:rPr>
        <w:t xml:space="preserve"> </w:t>
      </w:r>
      <w:r>
        <w:rPr>
          <w:color w:val="auto"/>
        </w:rPr>
        <w:t>the Australian Capital Territory and the Northern Territory.</w:t>
      </w:r>
    </w:p>
    <w:p w14:paraId="68541D2B" w14:textId="77777777" w:rsidR="009F0F3D" w:rsidRDefault="009F0F3D" w:rsidP="0038330F">
      <w:pPr>
        <w:pStyle w:val="AlphaParagraph"/>
        <w:numPr>
          <w:ilvl w:val="0"/>
          <w:numId w:val="64"/>
        </w:numPr>
        <w:tabs>
          <w:tab w:val="clear" w:pos="142"/>
          <w:tab w:val="clear" w:pos="567"/>
        </w:tabs>
        <w:ind w:left="1134"/>
      </w:pPr>
      <w:r w:rsidRPr="0038330F">
        <w:rPr>
          <w:color w:val="auto"/>
        </w:rPr>
        <w:t xml:space="preserve">‘Total Project Cost’ </w:t>
      </w:r>
      <w:r w:rsidRPr="0038330F">
        <w:t>means</w:t>
      </w:r>
      <w:r w:rsidRPr="0038330F">
        <w:rPr>
          <w:color w:val="auto"/>
        </w:rPr>
        <w:t xml:space="preserve"> all costs associated with the approved purposes (as set out in the Notes of Administration) of each project.</w:t>
      </w:r>
    </w:p>
    <w:p w14:paraId="7DEFE816" w14:textId="77777777" w:rsidR="002665E5" w:rsidRDefault="002665E5" w:rsidP="002665E5">
      <w:pPr>
        <w:pStyle w:val="AlphaParagraph"/>
        <w:tabs>
          <w:tab w:val="clear" w:pos="0"/>
        </w:tabs>
        <w:ind w:left="0" w:firstLine="0"/>
      </w:pPr>
      <w:r>
        <w:br w:type="page"/>
      </w:r>
    </w:p>
    <w:p w14:paraId="77A7A2A7" w14:textId="77777777" w:rsidR="002665E5" w:rsidRPr="002665E5" w:rsidRDefault="002665E5" w:rsidP="002665E5">
      <w:pPr>
        <w:pStyle w:val="AlphaParagraph"/>
        <w:tabs>
          <w:tab w:val="clear" w:pos="0"/>
        </w:tabs>
        <w:ind w:left="0" w:firstLine="0"/>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2665E5" w:rsidRPr="00A50751" w14:paraId="36A5D3CE" w14:textId="77777777" w:rsidTr="00B40E38">
        <w:trPr>
          <w:cantSplit/>
          <w:jc w:val="center"/>
        </w:trPr>
        <w:tc>
          <w:tcPr>
            <w:tcW w:w="4536" w:type="dxa"/>
          </w:tcPr>
          <w:p w14:paraId="7517DAE0" w14:textId="77777777" w:rsidR="002665E5" w:rsidRPr="004A0AE7" w:rsidRDefault="002665E5" w:rsidP="00B40E38">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2F34A71B" w14:textId="77777777" w:rsidR="002665E5" w:rsidRPr="00A50751" w:rsidRDefault="002665E5" w:rsidP="00B40E38">
            <w:pPr>
              <w:pStyle w:val="LineForSignature"/>
            </w:pPr>
            <w:r>
              <w:tab/>
            </w:r>
          </w:p>
          <w:p w14:paraId="11FB87A9" w14:textId="77777777" w:rsidR="002665E5" w:rsidRDefault="002665E5" w:rsidP="00B40E38">
            <w:pPr>
              <w:pStyle w:val="SingleParagraph"/>
              <w:rPr>
                <w:rStyle w:val="Bold"/>
              </w:rPr>
            </w:pPr>
            <w:r>
              <w:rPr>
                <w:rStyle w:val="Bold"/>
              </w:rPr>
              <w:t xml:space="preserve">The Honourable </w:t>
            </w:r>
            <w:r w:rsidR="00A87D82">
              <w:rPr>
                <w:rStyle w:val="Bold"/>
              </w:rPr>
              <w:t>Scott Morrison</w:t>
            </w:r>
            <w:r>
              <w:rPr>
                <w:rStyle w:val="Bold"/>
              </w:rPr>
              <w:t xml:space="preserve"> MP</w:t>
            </w:r>
          </w:p>
          <w:p w14:paraId="7990117E" w14:textId="77777777" w:rsidR="002665E5" w:rsidRDefault="002665E5" w:rsidP="00B40E38">
            <w:pPr>
              <w:pStyle w:val="Position"/>
              <w:rPr>
                <w:lang w:val="en-GB"/>
              </w:rPr>
            </w:pPr>
            <w:r w:rsidRPr="001F6FE8">
              <w:rPr>
                <w:lang w:val="en-GB"/>
              </w:rPr>
              <w:t>Prime Minister of the Commonwealth of Australia</w:t>
            </w:r>
          </w:p>
          <w:p w14:paraId="26FC0A55" w14:textId="77777777" w:rsidR="002665E5" w:rsidRDefault="002665E5" w:rsidP="00B40E38">
            <w:pPr>
              <w:pStyle w:val="SingleParagraph"/>
              <w:tabs>
                <w:tab w:val="num" w:pos="1134"/>
              </w:tabs>
              <w:spacing w:after="240"/>
              <w:ind w:left="1134" w:hanging="567"/>
              <w:rPr>
                <w:b/>
                <w:lang w:val="en-GB"/>
              </w:rPr>
            </w:pPr>
            <w:r>
              <w:rPr>
                <w:lang w:val="en-GB"/>
              </w:rPr>
              <w:t>[Day]  [Month]  [Year]</w:t>
            </w:r>
          </w:p>
        </w:tc>
        <w:tc>
          <w:tcPr>
            <w:tcW w:w="284" w:type="dxa"/>
            <w:tcMar>
              <w:left w:w="0" w:type="dxa"/>
              <w:right w:w="0" w:type="dxa"/>
            </w:tcMar>
          </w:tcPr>
          <w:p w14:paraId="2E252696" w14:textId="77777777" w:rsidR="002665E5" w:rsidRPr="00A50751" w:rsidRDefault="002665E5" w:rsidP="00B40E38">
            <w:pPr>
              <w:rPr>
                <w:rFonts w:ascii="Book Antiqua" w:hAnsi="Book Antiqua"/>
                <w:lang w:val="en-GB"/>
              </w:rPr>
            </w:pPr>
          </w:p>
        </w:tc>
        <w:tc>
          <w:tcPr>
            <w:tcW w:w="4536" w:type="dxa"/>
          </w:tcPr>
          <w:p w14:paraId="62461BD0" w14:textId="77777777" w:rsidR="002665E5" w:rsidRPr="00A50751" w:rsidRDefault="002665E5" w:rsidP="00B40E38">
            <w:pPr>
              <w:rPr>
                <w:rFonts w:ascii="Book Antiqua" w:hAnsi="Book Antiqua"/>
                <w:lang w:val="en-GB"/>
              </w:rPr>
            </w:pPr>
          </w:p>
        </w:tc>
      </w:tr>
      <w:tr w:rsidR="002665E5" w:rsidRPr="00A50751" w14:paraId="29856CD6" w14:textId="77777777" w:rsidTr="00B40E38">
        <w:trPr>
          <w:cantSplit/>
          <w:jc w:val="center"/>
        </w:trPr>
        <w:tc>
          <w:tcPr>
            <w:tcW w:w="4536" w:type="dxa"/>
          </w:tcPr>
          <w:p w14:paraId="12BB4621"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357E0D9F" w14:textId="77777777" w:rsidR="002665E5" w:rsidRPr="00A50751" w:rsidRDefault="002665E5" w:rsidP="00B40E38">
            <w:pPr>
              <w:pStyle w:val="SingleParagraph"/>
              <w:rPr>
                <w:rFonts w:ascii="Book Antiqua" w:hAnsi="Book Antiqua"/>
                <w:lang w:val="en-GB"/>
              </w:rPr>
            </w:pPr>
          </w:p>
        </w:tc>
        <w:tc>
          <w:tcPr>
            <w:tcW w:w="4536" w:type="dxa"/>
          </w:tcPr>
          <w:p w14:paraId="3FDD57FD" w14:textId="77777777" w:rsidR="002665E5" w:rsidRPr="00A50751" w:rsidRDefault="002665E5" w:rsidP="00B40E38">
            <w:pPr>
              <w:pStyle w:val="SingleParagraph"/>
              <w:rPr>
                <w:rFonts w:ascii="Book Antiqua" w:hAnsi="Book Antiqua"/>
                <w:lang w:val="en-GB"/>
              </w:rPr>
            </w:pPr>
          </w:p>
        </w:tc>
      </w:tr>
      <w:tr w:rsidR="002665E5" w:rsidRPr="00A50751" w14:paraId="63F14B98" w14:textId="77777777" w:rsidTr="00B40E38">
        <w:trPr>
          <w:cantSplit/>
          <w:jc w:val="center"/>
        </w:trPr>
        <w:tc>
          <w:tcPr>
            <w:tcW w:w="4536" w:type="dxa"/>
          </w:tcPr>
          <w:p w14:paraId="7EAD251B" w14:textId="77777777" w:rsidR="002665E5" w:rsidRPr="004A0AE7" w:rsidRDefault="002665E5" w:rsidP="00B40E38">
            <w:pPr>
              <w:pStyle w:val="Signed"/>
            </w:pPr>
            <w:r>
              <w:rPr>
                <w:rStyle w:val="SignedBold"/>
              </w:rPr>
              <w:t>Signed</w:t>
            </w:r>
            <w:r w:rsidRPr="004A0AE7">
              <w:t xml:space="preserve"> for and on behalf of the</w:t>
            </w:r>
            <w:r>
              <w:t xml:space="preserve"> </w:t>
            </w:r>
            <w:r w:rsidRPr="004A0AE7">
              <w:br/>
              <w:t xml:space="preserve">State of </w:t>
            </w:r>
            <w:smartTag w:uri="urn:schemas-microsoft-com:office:smarttags" w:element="place">
              <w:smartTag w:uri="urn:schemas-microsoft-com:office:smarttags" w:element="State">
                <w:r w:rsidRPr="004A0AE7">
                  <w:t>New South Wales</w:t>
                </w:r>
              </w:smartTag>
            </w:smartTag>
            <w:r w:rsidRPr="004A0AE7">
              <w:t xml:space="preserve"> by</w:t>
            </w:r>
          </w:p>
          <w:p w14:paraId="53757511" w14:textId="77777777" w:rsidR="002665E5" w:rsidRPr="00A50751" w:rsidRDefault="002665E5" w:rsidP="00B40E38">
            <w:pPr>
              <w:pStyle w:val="LineForSignature"/>
            </w:pPr>
            <w:r w:rsidRPr="00A50751">
              <w:tab/>
            </w:r>
          </w:p>
          <w:p w14:paraId="5C18FB8B" w14:textId="77777777" w:rsidR="002665E5" w:rsidRDefault="002665E5" w:rsidP="00B40E38">
            <w:pPr>
              <w:pStyle w:val="SingleParagraph"/>
              <w:rPr>
                <w:rStyle w:val="Bold"/>
              </w:rPr>
            </w:pPr>
            <w:r>
              <w:rPr>
                <w:rStyle w:val="Bold"/>
              </w:rPr>
              <w:t xml:space="preserve">The Honourable </w:t>
            </w:r>
            <w:r w:rsidR="0034186E">
              <w:rPr>
                <w:rStyle w:val="Bold"/>
                <w:bCs/>
              </w:rPr>
              <w:t>Gladys Berejiklian</w:t>
            </w:r>
            <w:r>
              <w:rPr>
                <w:rStyle w:val="Bold"/>
                <w:bCs/>
              </w:rPr>
              <w:t xml:space="preserve"> </w:t>
            </w:r>
            <w:r>
              <w:rPr>
                <w:rStyle w:val="Bold"/>
              </w:rPr>
              <w:t>MP</w:t>
            </w:r>
          </w:p>
          <w:p w14:paraId="4576F2B1" w14:textId="77777777" w:rsidR="002665E5" w:rsidRPr="00A50751" w:rsidRDefault="002665E5" w:rsidP="00B40E38">
            <w:pPr>
              <w:pStyle w:val="Position"/>
              <w:rPr>
                <w:rFonts w:ascii="Book Antiqua" w:hAnsi="Book Antiqua"/>
                <w:bCs w:val="0"/>
                <w:lang w:val="en-GB"/>
              </w:rPr>
            </w:pPr>
            <w:r w:rsidRPr="001F6FE8">
              <w:rPr>
                <w:bCs w:val="0"/>
                <w:lang w:val="en-GB"/>
              </w:rPr>
              <w:t xml:space="preserve">Premier of the State of </w:t>
            </w:r>
            <w:smartTag w:uri="urn:schemas-microsoft-com:office:smarttags" w:element="place">
              <w:smartTag w:uri="urn:schemas-microsoft-com:office:smarttags" w:element="State">
                <w:r w:rsidRPr="001F6FE8">
                  <w:rPr>
                    <w:bCs w:val="0"/>
                    <w:lang w:val="en-GB"/>
                  </w:rPr>
                  <w:t xml:space="preserve">New </w:t>
                </w:r>
                <w:r>
                  <w:rPr>
                    <w:lang w:val="en-GB"/>
                  </w:rPr>
                  <w:t>South</w:t>
                </w:r>
                <w:r w:rsidRPr="001F6FE8">
                  <w:rPr>
                    <w:bCs w:val="0"/>
                    <w:lang w:val="en-GB"/>
                  </w:rPr>
                  <w:t xml:space="preserve"> Wales</w:t>
                </w:r>
              </w:smartTag>
            </w:smartTag>
          </w:p>
          <w:p w14:paraId="7F49390D" w14:textId="77777777" w:rsidR="002665E5" w:rsidRPr="00A50751" w:rsidRDefault="002665E5" w:rsidP="00B40E38">
            <w:pPr>
              <w:pStyle w:val="SingleParagraph"/>
              <w:tabs>
                <w:tab w:val="num" w:pos="1134"/>
              </w:tabs>
              <w:spacing w:after="240"/>
              <w:ind w:left="1134" w:hanging="567"/>
              <w:rPr>
                <w:szCs w:val="22"/>
                <w:lang w:val="en-GB"/>
              </w:rPr>
            </w:pPr>
            <w:r>
              <w:rPr>
                <w:lang w:val="en-GB"/>
              </w:rPr>
              <w:t>[Day]  [Month]  [Year]</w:t>
            </w:r>
          </w:p>
        </w:tc>
        <w:tc>
          <w:tcPr>
            <w:tcW w:w="284" w:type="dxa"/>
            <w:tcMar>
              <w:left w:w="0" w:type="dxa"/>
              <w:right w:w="0" w:type="dxa"/>
            </w:tcMar>
          </w:tcPr>
          <w:p w14:paraId="371EB63D" w14:textId="77777777" w:rsidR="002665E5" w:rsidRPr="00A50751" w:rsidRDefault="002665E5" w:rsidP="00B40E38">
            <w:pPr>
              <w:rPr>
                <w:rFonts w:ascii="Book Antiqua" w:hAnsi="Book Antiqua"/>
                <w:lang w:val="en-GB"/>
              </w:rPr>
            </w:pPr>
          </w:p>
        </w:tc>
        <w:tc>
          <w:tcPr>
            <w:tcW w:w="4536" w:type="dxa"/>
          </w:tcPr>
          <w:p w14:paraId="30420838" w14:textId="77777777" w:rsidR="002665E5" w:rsidRPr="004A0AE7" w:rsidRDefault="002665E5" w:rsidP="00B40E38">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Victoria</w:t>
                </w:r>
              </w:smartTag>
            </w:smartTag>
            <w:r w:rsidRPr="004A0AE7">
              <w:t xml:space="preserve"> by</w:t>
            </w:r>
          </w:p>
          <w:p w14:paraId="70421FD0" w14:textId="77777777" w:rsidR="002665E5" w:rsidRPr="00A50751" w:rsidRDefault="002665E5" w:rsidP="00B40E38">
            <w:pPr>
              <w:pStyle w:val="LineForSignature"/>
            </w:pPr>
            <w:r w:rsidRPr="00A50751">
              <w:tab/>
            </w:r>
          </w:p>
          <w:p w14:paraId="33CB55BD" w14:textId="77777777" w:rsidR="002665E5" w:rsidRDefault="002665E5" w:rsidP="00B40E38">
            <w:pPr>
              <w:pStyle w:val="SingleParagraph"/>
              <w:rPr>
                <w:rStyle w:val="Bold"/>
              </w:rPr>
            </w:pPr>
            <w:r>
              <w:rPr>
                <w:rStyle w:val="Bold"/>
              </w:rPr>
              <w:t xml:space="preserve">The Honourable </w:t>
            </w:r>
            <w:r w:rsidR="0046371B">
              <w:rPr>
                <w:rStyle w:val="Bold"/>
              </w:rPr>
              <w:t>Daniel Andrews</w:t>
            </w:r>
            <w:r w:rsidR="005A53F6">
              <w:rPr>
                <w:rStyle w:val="Bold"/>
              </w:rPr>
              <w:t xml:space="preserve"> MLA</w:t>
            </w:r>
          </w:p>
          <w:p w14:paraId="1AA51226" w14:textId="77777777" w:rsidR="002665E5" w:rsidRPr="00A50751" w:rsidRDefault="002665E5" w:rsidP="00B40E38">
            <w:pPr>
              <w:pStyle w:val="Position"/>
              <w:rPr>
                <w:rFonts w:ascii="Book Antiqua" w:hAnsi="Book Antiqua"/>
                <w:bCs w:val="0"/>
                <w:lang w:val="en-GB"/>
              </w:rPr>
            </w:pPr>
            <w:r w:rsidRPr="00B00778">
              <w:rPr>
                <w:bCs w:val="0"/>
                <w:lang w:val="en-GB"/>
              </w:rPr>
              <w:t xml:space="preserve">Premier of the State of </w:t>
            </w:r>
            <w:smartTag w:uri="urn:schemas-microsoft-com:office:smarttags" w:element="place">
              <w:smartTag w:uri="urn:schemas-microsoft-com:office:smarttags" w:element="State">
                <w:r w:rsidRPr="00B00778">
                  <w:rPr>
                    <w:bCs w:val="0"/>
                    <w:lang w:val="en-GB"/>
                  </w:rPr>
                  <w:t>Victoria</w:t>
                </w:r>
              </w:smartTag>
            </w:smartTag>
          </w:p>
          <w:p w14:paraId="49B5F127"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r>
      <w:tr w:rsidR="002665E5" w:rsidRPr="00A50751" w14:paraId="336FE353" w14:textId="77777777" w:rsidTr="00B40E38">
        <w:trPr>
          <w:cantSplit/>
          <w:jc w:val="center"/>
        </w:trPr>
        <w:tc>
          <w:tcPr>
            <w:tcW w:w="4536" w:type="dxa"/>
          </w:tcPr>
          <w:p w14:paraId="3AEDEBAC"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5476FD13" w14:textId="77777777" w:rsidR="002665E5" w:rsidRPr="00A50751" w:rsidRDefault="002665E5" w:rsidP="00B40E38">
            <w:pPr>
              <w:pStyle w:val="SingleParagraph"/>
              <w:rPr>
                <w:rFonts w:ascii="Book Antiqua" w:hAnsi="Book Antiqua"/>
                <w:lang w:val="en-GB"/>
              </w:rPr>
            </w:pPr>
          </w:p>
        </w:tc>
        <w:tc>
          <w:tcPr>
            <w:tcW w:w="4536" w:type="dxa"/>
          </w:tcPr>
          <w:p w14:paraId="73D7A8B3" w14:textId="77777777" w:rsidR="002665E5" w:rsidRPr="00A50751" w:rsidRDefault="002665E5" w:rsidP="00B40E38">
            <w:pPr>
              <w:pStyle w:val="SingleParagraph"/>
              <w:rPr>
                <w:rFonts w:ascii="Book Antiqua" w:hAnsi="Book Antiqua"/>
                <w:lang w:val="en-GB"/>
              </w:rPr>
            </w:pPr>
          </w:p>
        </w:tc>
      </w:tr>
      <w:tr w:rsidR="002665E5" w:rsidRPr="00A50751" w14:paraId="576B9107" w14:textId="77777777" w:rsidTr="00B40E38">
        <w:trPr>
          <w:cantSplit/>
          <w:jc w:val="center"/>
        </w:trPr>
        <w:tc>
          <w:tcPr>
            <w:tcW w:w="4536" w:type="dxa"/>
          </w:tcPr>
          <w:p w14:paraId="6670AA36" w14:textId="77777777" w:rsidR="002665E5" w:rsidRPr="004A0AE7" w:rsidRDefault="002665E5" w:rsidP="00B40E38">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Queensland</w:t>
                </w:r>
              </w:smartTag>
            </w:smartTag>
            <w:r w:rsidRPr="004A0AE7">
              <w:t xml:space="preserve"> by</w:t>
            </w:r>
          </w:p>
          <w:p w14:paraId="0B3EC944" w14:textId="77777777" w:rsidR="002665E5" w:rsidRPr="00A50751" w:rsidRDefault="002665E5" w:rsidP="00B40E38">
            <w:pPr>
              <w:pStyle w:val="LineForSignature"/>
            </w:pPr>
            <w:r w:rsidRPr="00A50751">
              <w:tab/>
            </w:r>
          </w:p>
          <w:p w14:paraId="02BBDB8C" w14:textId="77777777" w:rsidR="002665E5" w:rsidRDefault="002665E5" w:rsidP="00B40E38">
            <w:pPr>
              <w:pStyle w:val="SingleParagraph"/>
              <w:rPr>
                <w:b/>
              </w:rPr>
            </w:pPr>
            <w:r>
              <w:rPr>
                <w:b/>
              </w:rPr>
              <w:t xml:space="preserve">The Honourable </w:t>
            </w:r>
            <w:r w:rsidR="004A5DF7" w:rsidRPr="004A5DF7">
              <w:rPr>
                <w:b/>
              </w:rPr>
              <w:t xml:space="preserve">Annastacia Palaszczuk </w:t>
            </w:r>
            <w:r>
              <w:rPr>
                <w:b/>
              </w:rPr>
              <w:t xml:space="preserve"> MP</w:t>
            </w:r>
          </w:p>
          <w:p w14:paraId="7BE232EB" w14:textId="77777777" w:rsidR="002665E5" w:rsidRPr="00A50751" w:rsidRDefault="002665E5" w:rsidP="00B40E38">
            <w:pPr>
              <w:pStyle w:val="Position"/>
              <w:rPr>
                <w:rFonts w:ascii="Book Antiqua" w:hAnsi="Book Antiqua"/>
                <w:bCs w:val="0"/>
                <w:lang w:val="en-GB"/>
              </w:rPr>
            </w:pPr>
            <w:r w:rsidRPr="00B00778">
              <w:rPr>
                <w:bCs w:val="0"/>
                <w:lang w:val="en-GB"/>
              </w:rPr>
              <w:t xml:space="preserve">Premier of the State of </w:t>
            </w:r>
            <w:smartTag w:uri="urn:schemas-microsoft-com:office:smarttags" w:element="place">
              <w:smartTag w:uri="urn:schemas-microsoft-com:office:smarttags" w:element="State">
                <w:r>
                  <w:rPr>
                    <w:lang w:val="en-GB"/>
                  </w:rPr>
                  <w:t>Queensland</w:t>
                </w:r>
              </w:smartTag>
            </w:smartTag>
          </w:p>
          <w:p w14:paraId="2FC84FE5"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c>
          <w:tcPr>
            <w:tcW w:w="284" w:type="dxa"/>
            <w:tcMar>
              <w:left w:w="0" w:type="dxa"/>
              <w:right w:w="0" w:type="dxa"/>
            </w:tcMar>
          </w:tcPr>
          <w:p w14:paraId="32ADCB99" w14:textId="77777777" w:rsidR="002665E5" w:rsidRPr="00A50751" w:rsidRDefault="002665E5" w:rsidP="00B40E38">
            <w:pPr>
              <w:rPr>
                <w:rFonts w:ascii="Book Antiqua" w:hAnsi="Book Antiqua"/>
                <w:lang w:val="en-GB"/>
              </w:rPr>
            </w:pPr>
          </w:p>
        </w:tc>
        <w:tc>
          <w:tcPr>
            <w:tcW w:w="4536" w:type="dxa"/>
          </w:tcPr>
          <w:p w14:paraId="50688A64" w14:textId="77777777" w:rsidR="002665E5" w:rsidRPr="004A0AE7" w:rsidRDefault="002665E5" w:rsidP="00B40E38">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Western Australia</w:t>
                </w:r>
              </w:smartTag>
            </w:smartTag>
            <w:r w:rsidRPr="004A0AE7">
              <w:t xml:space="preserve"> by</w:t>
            </w:r>
          </w:p>
          <w:p w14:paraId="5592080D" w14:textId="77777777" w:rsidR="002665E5" w:rsidRPr="00A50751" w:rsidRDefault="002665E5" w:rsidP="00B40E38">
            <w:pPr>
              <w:pStyle w:val="LineForSignature"/>
            </w:pPr>
            <w:r w:rsidRPr="00A50751">
              <w:tab/>
            </w:r>
          </w:p>
          <w:p w14:paraId="5E4BBFE0" w14:textId="77777777" w:rsidR="002665E5" w:rsidRDefault="002665E5" w:rsidP="00B40E38">
            <w:pPr>
              <w:pStyle w:val="SingleParagraph"/>
              <w:rPr>
                <w:rStyle w:val="Bold"/>
              </w:rPr>
            </w:pPr>
            <w:r>
              <w:rPr>
                <w:rStyle w:val="Bold"/>
              </w:rPr>
              <w:t xml:space="preserve">The Honourable </w:t>
            </w:r>
            <w:r w:rsidR="0034186E">
              <w:rPr>
                <w:rStyle w:val="Bold"/>
              </w:rPr>
              <w:t>Mark McGowan</w:t>
            </w:r>
            <w:r>
              <w:rPr>
                <w:rStyle w:val="Bold"/>
              </w:rPr>
              <w:t xml:space="preserve"> MLA</w:t>
            </w:r>
          </w:p>
          <w:p w14:paraId="1B0CD675" w14:textId="77777777" w:rsidR="002665E5" w:rsidRPr="00A50751" w:rsidRDefault="002665E5" w:rsidP="00B40E38">
            <w:pPr>
              <w:pStyle w:val="Position"/>
              <w:rPr>
                <w:rFonts w:ascii="Book Antiqua" w:hAnsi="Book Antiqua"/>
                <w:bCs w:val="0"/>
                <w:lang w:val="en-GB"/>
              </w:rPr>
            </w:pPr>
            <w:r>
              <w:rPr>
                <w:lang w:val="en-GB"/>
              </w:rPr>
              <w:t>Premier</w:t>
            </w:r>
            <w:r w:rsidRPr="007452AE">
              <w:rPr>
                <w:bCs w:val="0"/>
                <w:lang w:val="en-GB"/>
              </w:rPr>
              <w:t xml:space="preserve"> of the State of </w:t>
            </w:r>
            <w:smartTag w:uri="urn:schemas-microsoft-com:office:smarttags" w:element="place">
              <w:smartTag w:uri="urn:schemas-microsoft-com:office:smarttags" w:element="State">
                <w:r w:rsidRPr="007452AE">
                  <w:rPr>
                    <w:bCs w:val="0"/>
                    <w:spacing w:val="-4"/>
                    <w:lang w:val="en-GB"/>
                  </w:rPr>
                  <w:t>Western Australia</w:t>
                </w:r>
              </w:smartTag>
            </w:smartTag>
          </w:p>
          <w:p w14:paraId="568C176D"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r>
      <w:tr w:rsidR="002665E5" w:rsidRPr="00A50751" w14:paraId="111D6C9C" w14:textId="77777777" w:rsidTr="00B40E38">
        <w:trPr>
          <w:cantSplit/>
          <w:jc w:val="center"/>
        </w:trPr>
        <w:tc>
          <w:tcPr>
            <w:tcW w:w="4536" w:type="dxa"/>
          </w:tcPr>
          <w:p w14:paraId="54A7B0FA"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403D5531" w14:textId="77777777" w:rsidR="002665E5" w:rsidRPr="00A50751" w:rsidRDefault="002665E5" w:rsidP="00B40E38">
            <w:pPr>
              <w:pStyle w:val="SingleParagraph"/>
              <w:rPr>
                <w:rFonts w:ascii="Book Antiqua" w:hAnsi="Book Antiqua"/>
                <w:lang w:val="en-GB"/>
              </w:rPr>
            </w:pPr>
          </w:p>
        </w:tc>
        <w:tc>
          <w:tcPr>
            <w:tcW w:w="4536" w:type="dxa"/>
          </w:tcPr>
          <w:p w14:paraId="0BFA01A2" w14:textId="77777777" w:rsidR="002665E5" w:rsidRPr="00A50751" w:rsidRDefault="002665E5" w:rsidP="00B40E38">
            <w:pPr>
              <w:pStyle w:val="SingleParagraph"/>
              <w:rPr>
                <w:rFonts w:ascii="Book Antiqua" w:hAnsi="Book Antiqua"/>
                <w:lang w:val="en-GB"/>
              </w:rPr>
            </w:pPr>
          </w:p>
        </w:tc>
      </w:tr>
      <w:tr w:rsidR="002665E5" w:rsidRPr="00A50751" w14:paraId="4F70BEBD" w14:textId="77777777" w:rsidTr="00B40E38">
        <w:trPr>
          <w:cantSplit/>
          <w:trHeight w:val="143"/>
          <w:jc w:val="center"/>
        </w:trPr>
        <w:tc>
          <w:tcPr>
            <w:tcW w:w="4536" w:type="dxa"/>
          </w:tcPr>
          <w:p w14:paraId="30DC5E76" w14:textId="77777777" w:rsidR="002665E5" w:rsidRPr="004A0AE7" w:rsidRDefault="002665E5" w:rsidP="00B40E38">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South Australia</w:t>
                </w:r>
              </w:smartTag>
            </w:smartTag>
            <w:r w:rsidRPr="004A0AE7">
              <w:t xml:space="preserve"> by</w:t>
            </w:r>
          </w:p>
          <w:p w14:paraId="11209AC7" w14:textId="77777777" w:rsidR="002665E5" w:rsidRPr="00A50751" w:rsidRDefault="002665E5" w:rsidP="00B40E38">
            <w:pPr>
              <w:pStyle w:val="LineForSignature"/>
            </w:pPr>
            <w:r w:rsidRPr="00A50751">
              <w:tab/>
            </w:r>
          </w:p>
          <w:p w14:paraId="2ADE89D4" w14:textId="77777777" w:rsidR="002665E5" w:rsidRDefault="002665E5" w:rsidP="00B40E38">
            <w:pPr>
              <w:pStyle w:val="SingleParagraph"/>
              <w:rPr>
                <w:rStyle w:val="Bold"/>
              </w:rPr>
            </w:pPr>
            <w:r>
              <w:rPr>
                <w:rStyle w:val="Bold"/>
              </w:rPr>
              <w:t xml:space="preserve">The Honourable </w:t>
            </w:r>
            <w:r w:rsidR="00A87D82">
              <w:rPr>
                <w:rStyle w:val="Bold"/>
              </w:rPr>
              <w:t>Steven Marshall</w:t>
            </w:r>
            <w:r>
              <w:rPr>
                <w:rStyle w:val="Bold"/>
              </w:rPr>
              <w:t xml:space="preserve"> MP</w:t>
            </w:r>
          </w:p>
          <w:p w14:paraId="365A5312" w14:textId="77777777" w:rsidR="002665E5" w:rsidRPr="00A50751" w:rsidRDefault="002665E5" w:rsidP="00B40E38">
            <w:pPr>
              <w:pStyle w:val="Position"/>
              <w:rPr>
                <w:rFonts w:ascii="Book Antiqua" w:hAnsi="Book Antiqua"/>
                <w:bCs w:val="0"/>
                <w:lang w:val="en-GB"/>
              </w:rPr>
            </w:pPr>
            <w:r w:rsidRPr="00B00778">
              <w:rPr>
                <w:bCs w:val="0"/>
                <w:lang w:val="en-GB"/>
              </w:rPr>
              <w:t xml:space="preserve">Premier of the State of </w:t>
            </w:r>
            <w:smartTag w:uri="urn:schemas-microsoft-com:office:smarttags" w:element="place">
              <w:smartTag w:uri="urn:schemas-microsoft-com:office:smarttags" w:element="State">
                <w:r>
                  <w:rPr>
                    <w:lang w:val="en-GB"/>
                  </w:rPr>
                  <w:t>South</w:t>
                </w:r>
                <w:r w:rsidRPr="00B00778">
                  <w:rPr>
                    <w:bCs w:val="0"/>
                    <w:lang w:val="en-GB"/>
                  </w:rPr>
                  <w:t xml:space="preserve"> Australia</w:t>
                </w:r>
              </w:smartTag>
            </w:smartTag>
          </w:p>
          <w:p w14:paraId="4231B733"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c>
          <w:tcPr>
            <w:tcW w:w="284" w:type="dxa"/>
            <w:tcMar>
              <w:left w:w="0" w:type="dxa"/>
              <w:right w:w="0" w:type="dxa"/>
            </w:tcMar>
          </w:tcPr>
          <w:p w14:paraId="084DFB51" w14:textId="77777777" w:rsidR="002665E5" w:rsidRPr="00A50751" w:rsidRDefault="002665E5" w:rsidP="00B40E38">
            <w:pPr>
              <w:rPr>
                <w:rFonts w:ascii="Book Antiqua" w:hAnsi="Book Antiqua"/>
                <w:lang w:val="en-GB"/>
              </w:rPr>
            </w:pPr>
          </w:p>
        </w:tc>
        <w:tc>
          <w:tcPr>
            <w:tcW w:w="4536" w:type="dxa"/>
          </w:tcPr>
          <w:p w14:paraId="32AF1975" w14:textId="77777777" w:rsidR="002665E5" w:rsidRPr="004A0AE7" w:rsidRDefault="002665E5" w:rsidP="00B40E38">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Tasmania</w:t>
                </w:r>
              </w:smartTag>
            </w:smartTag>
            <w:r w:rsidRPr="004A0AE7">
              <w:t xml:space="preserve"> by</w:t>
            </w:r>
          </w:p>
          <w:p w14:paraId="02707ED7" w14:textId="77777777" w:rsidR="002665E5" w:rsidRPr="00A50751" w:rsidRDefault="002665E5" w:rsidP="00B40E38">
            <w:pPr>
              <w:pStyle w:val="LineForSignature"/>
            </w:pPr>
            <w:r w:rsidRPr="00A50751">
              <w:tab/>
            </w:r>
          </w:p>
          <w:p w14:paraId="30BEAFB6" w14:textId="77777777" w:rsidR="002665E5" w:rsidRDefault="002665E5" w:rsidP="00B40E38">
            <w:pPr>
              <w:pStyle w:val="SingleParagraph"/>
              <w:rPr>
                <w:rStyle w:val="Bold"/>
              </w:rPr>
            </w:pPr>
            <w:r>
              <w:rPr>
                <w:rStyle w:val="Bold"/>
              </w:rPr>
              <w:t xml:space="preserve">The Honourable </w:t>
            </w:r>
            <w:r w:rsidR="00FE4A16">
              <w:rPr>
                <w:rStyle w:val="Bold"/>
              </w:rPr>
              <w:t>Will Hodgman</w:t>
            </w:r>
            <w:r>
              <w:rPr>
                <w:rStyle w:val="Bold"/>
              </w:rPr>
              <w:t xml:space="preserve"> MP</w:t>
            </w:r>
          </w:p>
          <w:p w14:paraId="1E67960A" w14:textId="77777777" w:rsidR="002665E5" w:rsidRPr="00A50751" w:rsidRDefault="002665E5" w:rsidP="00B40E38">
            <w:pPr>
              <w:pStyle w:val="Position"/>
              <w:rPr>
                <w:rFonts w:ascii="Book Antiqua" w:hAnsi="Book Antiqua"/>
                <w:bCs w:val="0"/>
                <w:lang w:val="en-GB"/>
              </w:rPr>
            </w:pPr>
            <w:r w:rsidRPr="00B12190">
              <w:rPr>
                <w:bCs w:val="0"/>
                <w:lang w:val="en-GB"/>
              </w:rPr>
              <w:t xml:space="preserve">Premier of the State of </w:t>
            </w:r>
            <w:smartTag w:uri="urn:schemas-microsoft-com:office:smarttags" w:element="place">
              <w:smartTag w:uri="urn:schemas-microsoft-com:office:smarttags" w:element="State">
                <w:r w:rsidRPr="00B12190">
                  <w:rPr>
                    <w:bCs w:val="0"/>
                    <w:lang w:val="en-GB"/>
                  </w:rPr>
                  <w:t>Tasmania</w:t>
                </w:r>
              </w:smartTag>
            </w:smartTag>
          </w:p>
          <w:p w14:paraId="06F3BB9A"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r>
      <w:tr w:rsidR="002665E5" w:rsidRPr="00A50751" w14:paraId="57FC12E7" w14:textId="77777777" w:rsidTr="00B40E38">
        <w:trPr>
          <w:cantSplit/>
          <w:jc w:val="center"/>
        </w:trPr>
        <w:tc>
          <w:tcPr>
            <w:tcW w:w="4536" w:type="dxa"/>
          </w:tcPr>
          <w:p w14:paraId="3352308D"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731D6D88" w14:textId="77777777" w:rsidR="002665E5" w:rsidRPr="00A50751" w:rsidRDefault="002665E5" w:rsidP="00B40E38">
            <w:pPr>
              <w:pStyle w:val="SingleParagraph"/>
              <w:rPr>
                <w:rFonts w:ascii="Book Antiqua" w:hAnsi="Book Antiqua"/>
                <w:lang w:val="en-GB"/>
              </w:rPr>
            </w:pPr>
          </w:p>
        </w:tc>
        <w:tc>
          <w:tcPr>
            <w:tcW w:w="4536" w:type="dxa"/>
          </w:tcPr>
          <w:p w14:paraId="4AFFF237" w14:textId="77777777" w:rsidR="002665E5" w:rsidRPr="00A50751" w:rsidRDefault="002665E5" w:rsidP="00B40E38">
            <w:pPr>
              <w:pStyle w:val="SingleParagraph"/>
              <w:rPr>
                <w:rFonts w:ascii="Book Antiqua" w:hAnsi="Book Antiqua"/>
                <w:lang w:val="en-GB"/>
              </w:rPr>
            </w:pPr>
          </w:p>
        </w:tc>
      </w:tr>
      <w:tr w:rsidR="002665E5" w:rsidRPr="00A50751" w14:paraId="51EC7610" w14:textId="77777777" w:rsidTr="00B40E38">
        <w:trPr>
          <w:cantSplit/>
          <w:jc w:val="center"/>
        </w:trPr>
        <w:tc>
          <w:tcPr>
            <w:tcW w:w="4536" w:type="dxa"/>
          </w:tcPr>
          <w:p w14:paraId="7C6E0979" w14:textId="77777777" w:rsidR="002665E5" w:rsidRPr="00A50751" w:rsidRDefault="002665E5" w:rsidP="00B40E38">
            <w:pPr>
              <w:pStyle w:val="Signed"/>
            </w:pPr>
            <w:r>
              <w:rPr>
                <w:rStyle w:val="SignedBold"/>
              </w:rPr>
              <w:t>Signed</w:t>
            </w:r>
            <w:r w:rsidRPr="004A0AE7">
              <w:rPr>
                <w:i w:val="0"/>
              </w:rPr>
              <w:t xml:space="preserve"> </w:t>
            </w:r>
            <w:r w:rsidRPr="002561CF">
              <w:t>for and on behalf of the</w:t>
            </w:r>
            <w:r w:rsidRPr="004A0AE7">
              <w:rPr>
                <w:i w:val="0"/>
              </w:rPr>
              <w:t xml:space="preserve"> </w:t>
            </w:r>
            <w:smartTag w:uri="urn:schemas-microsoft-com:office:smarttags" w:element="place">
              <w:smartTag w:uri="urn:schemas-microsoft-com:office:smarttags" w:element="State">
                <w:r w:rsidRPr="004A0AE7">
                  <w:t>Australian Capital Territory</w:t>
                </w:r>
              </w:smartTag>
            </w:smartTag>
            <w:r w:rsidRPr="004A0AE7">
              <w:t xml:space="preserve"> by</w:t>
            </w:r>
          </w:p>
          <w:p w14:paraId="246E53D4" w14:textId="77777777" w:rsidR="002665E5" w:rsidRPr="00A50751" w:rsidRDefault="002665E5" w:rsidP="00B40E38">
            <w:pPr>
              <w:pStyle w:val="LineForSignature"/>
            </w:pPr>
            <w:r w:rsidRPr="00A50751">
              <w:tab/>
            </w:r>
          </w:p>
          <w:p w14:paraId="3792C302" w14:textId="77777777" w:rsidR="002665E5" w:rsidRDefault="00A3209E" w:rsidP="00B40E38">
            <w:pPr>
              <w:pStyle w:val="SingleParagraph"/>
              <w:rPr>
                <w:rStyle w:val="Bold"/>
              </w:rPr>
            </w:pPr>
            <w:r>
              <w:rPr>
                <w:rStyle w:val="Bold"/>
              </w:rPr>
              <w:t>Andrew Barr</w:t>
            </w:r>
            <w:r w:rsidR="002665E5">
              <w:rPr>
                <w:rStyle w:val="Bold"/>
              </w:rPr>
              <w:t xml:space="preserve"> MLA</w:t>
            </w:r>
          </w:p>
          <w:p w14:paraId="144FF926" w14:textId="77777777" w:rsidR="002665E5" w:rsidRPr="00A50751" w:rsidRDefault="002665E5" w:rsidP="00B40E38">
            <w:pPr>
              <w:pStyle w:val="Position"/>
              <w:rPr>
                <w:rFonts w:ascii="Book Antiqua" w:hAnsi="Book Antiqua"/>
                <w:bCs w:val="0"/>
                <w:lang w:val="en-GB"/>
              </w:rPr>
            </w:pPr>
            <w:r w:rsidRPr="00B12190">
              <w:rPr>
                <w:lang w:val="en-GB"/>
              </w:rPr>
              <w:t xml:space="preserve">Chief Minister of the </w:t>
            </w:r>
            <w:smartTag w:uri="urn:schemas-microsoft-com:office:smarttags" w:element="place">
              <w:smartTag w:uri="urn:schemas-microsoft-com:office:smarttags" w:element="State">
                <w:r w:rsidRPr="00B12190">
                  <w:rPr>
                    <w:lang w:val="en-GB"/>
                  </w:rPr>
                  <w:t>Australian Capital Territory</w:t>
                </w:r>
              </w:smartTag>
            </w:smartTag>
          </w:p>
          <w:p w14:paraId="5B15DCFA" w14:textId="77777777" w:rsidR="002665E5" w:rsidRPr="00A50751" w:rsidRDefault="002665E5" w:rsidP="00B40E38">
            <w:pPr>
              <w:pStyle w:val="SingleParagraph"/>
              <w:tabs>
                <w:tab w:val="num" w:pos="1134"/>
              </w:tabs>
              <w:spacing w:after="240"/>
              <w:ind w:left="1134" w:hanging="567"/>
              <w:rPr>
                <w:szCs w:val="22"/>
                <w:lang w:val="en-GB"/>
              </w:rPr>
            </w:pPr>
            <w:r>
              <w:rPr>
                <w:lang w:val="en-GB"/>
              </w:rPr>
              <w:t>[Day]  [Month]  [Year]</w:t>
            </w:r>
          </w:p>
        </w:tc>
        <w:tc>
          <w:tcPr>
            <w:tcW w:w="284" w:type="dxa"/>
            <w:tcMar>
              <w:left w:w="0" w:type="dxa"/>
              <w:right w:w="0" w:type="dxa"/>
            </w:tcMar>
          </w:tcPr>
          <w:p w14:paraId="70CB492B" w14:textId="77777777" w:rsidR="002665E5" w:rsidRPr="00A50751" w:rsidRDefault="002665E5" w:rsidP="00B40E38">
            <w:pPr>
              <w:rPr>
                <w:rFonts w:ascii="Book Antiqua" w:hAnsi="Book Antiqua"/>
                <w:lang w:val="en-GB"/>
              </w:rPr>
            </w:pPr>
          </w:p>
        </w:tc>
        <w:tc>
          <w:tcPr>
            <w:tcW w:w="4536" w:type="dxa"/>
          </w:tcPr>
          <w:p w14:paraId="41C2FB78" w14:textId="77777777" w:rsidR="002665E5" w:rsidRPr="00A50751" w:rsidRDefault="002665E5" w:rsidP="00B40E38">
            <w:pPr>
              <w:pStyle w:val="Signed"/>
            </w:pPr>
            <w:r>
              <w:rPr>
                <w:rStyle w:val="SignedBold"/>
              </w:rPr>
              <w:t>Signed</w:t>
            </w:r>
            <w:r w:rsidRPr="004A0AE7">
              <w:rPr>
                <w:i w:val="0"/>
              </w:rPr>
              <w:t xml:space="preserve"> </w:t>
            </w:r>
            <w:r w:rsidRPr="002561CF">
              <w:t>for and on behalf of the</w:t>
            </w:r>
            <w:r w:rsidRPr="004A0AE7">
              <w:rPr>
                <w:i w:val="0"/>
              </w:rPr>
              <w:t xml:space="preserve"> </w:t>
            </w:r>
            <w:smartTag w:uri="urn:schemas-microsoft-com:office:smarttags" w:element="place">
              <w:smartTag w:uri="urn:schemas-microsoft-com:office:smarttags" w:element="State">
                <w:r w:rsidRPr="004A0AE7">
                  <w:t>Northern Territory</w:t>
                </w:r>
              </w:smartTag>
            </w:smartTag>
            <w:r w:rsidRPr="004A0AE7">
              <w:t xml:space="preserve"> by</w:t>
            </w:r>
          </w:p>
          <w:p w14:paraId="70360661" w14:textId="77777777" w:rsidR="002665E5" w:rsidRPr="00A50751" w:rsidRDefault="002665E5" w:rsidP="00B40E38">
            <w:pPr>
              <w:pStyle w:val="LineForSignature"/>
            </w:pPr>
            <w:r w:rsidRPr="00A50751">
              <w:tab/>
            </w:r>
          </w:p>
          <w:p w14:paraId="639FA4A2" w14:textId="77777777" w:rsidR="002665E5" w:rsidRDefault="005C2111" w:rsidP="005C2111">
            <w:pPr>
              <w:pStyle w:val="SingleParagraph"/>
              <w:rPr>
                <w:rStyle w:val="Bold"/>
              </w:rPr>
            </w:pPr>
            <w:r>
              <w:rPr>
                <w:rStyle w:val="Bold"/>
              </w:rPr>
              <w:t xml:space="preserve">The Honourable </w:t>
            </w:r>
            <w:r w:rsidR="0034186E">
              <w:rPr>
                <w:rStyle w:val="Bold"/>
              </w:rPr>
              <w:t>Michael Gunner</w:t>
            </w:r>
            <w:r w:rsidR="002665E5">
              <w:rPr>
                <w:rStyle w:val="Bold"/>
              </w:rPr>
              <w:t xml:space="preserve"> MLA</w:t>
            </w:r>
          </w:p>
          <w:p w14:paraId="7E7BBC2E" w14:textId="77777777" w:rsidR="002665E5" w:rsidRPr="00A50751" w:rsidRDefault="002665E5" w:rsidP="00B40E38">
            <w:pPr>
              <w:pStyle w:val="Position"/>
              <w:rPr>
                <w:rFonts w:ascii="Book Antiqua" w:hAnsi="Book Antiqua"/>
                <w:bCs w:val="0"/>
                <w:lang w:val="en-GB"/>
              </w:rPr>
            </w:pPr>
            <w:r w:rsidRPr="00B12190">
              <w:rPr>
                <w:bCs w:val="0"/>
                <w:lang w:val="en-GB"/>
              </w:rPr>
              <w:t xml:space="preserve">Chief </w:t>
            </w:r>
            <w:r>
              <w:rPr>
                <w:lang w:val="en-GB"/>
              </w:rPr>
              <w:t>Minister</w:t>
            </w:r>
            <w:r w:rsidRPr="00B12190">
              <w:rPr>
                <w:bCs w:val="0"/>
                <w:lang w:val="en-GB"/>
              </w:rPr>
              <w:t xml:space="preserve"> of the </w:t>
            </w:r>
            <w:smartTag w:uri="urn:schemas-microsoft-com:office:smarttags" w:element="State">
              <w:r w:rsidRPr="00B12190">
                <w:rPr>
                  <w:bCs w:val="0"/>
                  <w:lang w:val="en-GB"/>
                </w:rPr>
                <w:t>Northern Territory</w:t>
              </w:r>
            </w:smartTag>
            <w:r w:rsidRPr="00B12190">
              <w:rPr>
                <w:bCs w:val="0"/>
                <w:lang w:val="en-GB"/>
              </w:rPr>
              <w:t xml:space="preserve"> of </w:t>
            </w:r>
            <w:smartTag w:uri="urn:schemas-microsoft-com:office:smarttags" w:element="place">
              <w:smartTag w:uri="urn:schemas-microsoft-com:office:smarttags" w:element="country-region">
                <w:r w:rsidRPr="00B12190">
                  <w:rPr>
                    <w:bCs w:val="0"/>
                    <w:lang w:val="en-GB"/>
                  </w:rPr>
                  <w:t>Australia</w:t>
                </w:r>
              </w:smartTag>
            </w:smartTag>
          </w:p>
          <w:p w14:paraId="6BEF2F0A"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r>
    </w:tbl>
    <w:p w14:paraId="777A1F26" w14:textId="77777777" w:rsidR="002665E5" w:rsidRPr="002665E5" w:rsidRDefault="002665E5" w:rsidP="002665E5">
      <w:pPr>
        <w:pStyle w:val="Normalnumbered"/>
        <w:tabs>
          <w:tab w:val="clear" w:pos="1418"/>
        </w:tabs>
        <w:jc w:val="left"/>
        <w:rPr>
          <w:i/>
        </w:rPr>
        <w:sectPr w:rsidR="002665E5" w:rsidRPr="002665E5" w:rsidSect="00751725">
          <w:headerReference w:type="even" r:id="rId16"/>
          <w:headerReference w:type="default" r:id="rId17"/>
          <w:footerReference w:type="even" r:id="rId18"/>
          <w:footerReference w:type="default" r:id="rId19"/>
          <w:footerReference w:type="first" r:id="rId20"/>
          <w:pgSz w:w="11906" w:h="16838" w:code="9"/>
          <w:pgMar w:top="1134" w:right="1134" w:bottom="1134" w:left="1134" w:header="709" w:footer="709" w:gutter="0"/>
          <w:cols w:space="708"/>
          <w:titlePg/>
          <w:docGrid w:linePitch="360"/>
        </w:sectPr>
      </w:pPr>
    </w:p>
    <w:p w14:paraId="2E948108" w14:textId="77777777" w:rsidR="008843EE" w:rsidRDefault="008843EE" w:rsidP="00174515"/>
    <w:sectPr w:rsidR="008843EE" w:rsidSect="00423104">
      <w:footerReference w:type="even" r:id="rId21"/>
      <w:footerReference w:type="default" r:id="rId22"/>
      <w:footerReference w:type="first" r:id="rId23"/>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111F8" w14:textId="77777777" w:rsidR="00694BE6" w:rsidRDefault="00694BE6">
      <w:r>
        <w:separator/>
      </w:r>
    </w:p>
  </w:endnote>
  <w:endnote w:type="continuationSeparator" w:id="0">
    <w:p w14:paraId="649438D5" w14:textId="77777777" w:rsidR="00694BE6" w:rsidRDefault="0069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Zapf Dingbats"/>
    <w:panose1 w:val="00000000000000000000"/>
    <w:charset w:val="FF"/>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57266" w14:textId="63438D5F" w:rsidR="00694BE6" w:rsidRDefault="00694BE6">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04390">
      <w:rPr>
        <w:rStyle w:val="PageNumber"/>
        <w:noProof/>
      </w:rPr>
      <w:t>1</w:t>
    </w:r>
    <w:r>
      <w:rPr>
        <w:rStyle w:val="PageNumber"/>
      </w:rPr>
      <w:fldChar w:fldCharType="end"/>
    </w:r>
  </w:p>
  <w:p w14:paraId="6F927B82" w14:textId="77777777" w:rsidR="00694BE6" w:rsidRDefault="00694BE6">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4731" w14:textId="67C08EB4" w:rsidR="00694BE6" w:rsidRDefault="00694BE6">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DC70FD">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31ED5" w14:textId="18A80FA8" w:rsidR="00694BE6" w:rsidRDefault="00694BE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C70FD">
      <w:rPr>
        <w:rStyle w:val="PageNumber"/>
        <w:noProof/>
      </w:rPr>
      <w:t>1</w:t>
    </w:r>
    <w:r>
      <w:rPr>
        <w:rStyle w:val="PageNumber"/>
      </w:rPr>
      <w:fldChar w:fldCharType="end"/>
    </w:r>
  </w:p>
  <w:p w14:paraId="1A128F1F" w14:textId="65D83229" w:rsidR="00694BE6" w:rsidRDefault="00694BE6">
    <w:pPr>
      <w:pStyle w:val="FooterOdd"/>
      <w:keepNext/>
      <w:tabs>
        <w:tab w:val="num" w:pos="567"/>
      </w:tabs>
    </w:pPr>
    <w:r>
      <w:t xml:space="preserve">Version of template: </w:t>
    </w:r>
    <w:r w:rsidR="00DC70FD">
      <w:t>18/03/2019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5C6DF" w14:textId="77777777" w:rsidR="00694BE6" w:rsidRDefault="00694BE6">
    <w:pPr>
      <w:pStyle w:val="FooterEven"/>
    </w:pPr>
    <w:r>
      <w:t>Page D-2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97E5A" w14:textId="77777777" w:rsidR="00694BE6" w:rsidRDefault="00694BE6">
    <w:pPr>
      <w:pStyle w:val="FooterOdd"/>
    </w:pPr>
    <w:r>
      <w:t xml:space="preserve">Page </w:t>
    </w:r>
    <w:r>
      <w:rPr>
        <w:rStyle w:val="PageNumber"/>
      </w:rPr>
      <w:t>D-3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B22E0" w14:textId="77777777" w:rsidR="00694BE6" w:rsidRDefault="00694BE6" w:rsidP="00751725">
    <w:pPr>
      <w:pStyle w:val="FooterEven"/>
      <w:jc w:val="right"/>
    </w:pPr>
    <w:r>
      <w:t>PageD-1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E16C5" w14:textId="77777777" w:rsidR="00694BE6" w:rsidRDefault="00694BE6">
      <w:r>
        <w:separator/>
      </w:r>
    </w:p>
  </w:footnote>
  <w:footnote w:type="continuationSeparator" w:id="0">
    <w:p w14:paraId="3F559B4D" w14:textId="77777777" w:rsidR="00694BE6" w:rsidRDefault="00694BE6">
      <w:r>
        <w:continuationSeparator/>
      </w:r>
    </w:p>
  </w:footnote>
  <w:footnote w:id="1">
    <w:p w14:paraId="0F881D47" w14:textId="77777777" w:rsidR="00694BE6" w:rsidRDefault="00694BE6" w:rsidP="008D193F">
      <w:pPr>
        <w:pStyle w:val="FootnoteText"/>
        <w:tabs>
          <w:tab w:val="clear" w:pos="284"/>
          <w:tab w:val="left" w:pos="142"/>
        </w:tabs>
        <w:ind w:left="142" w:hanging="142"/>
      </w:pPr>
      <w:r>
        <w:rPr>
          <w:rStyle w:val="FootnoteReference"/>
        </w:rPr>
        <w:footnoteRef/>
      </w:r>
      <w:r>
        <w:t xml:space="preserve"> The definition in section 4 of the NLT Act means a written agreement between the Commonwealth and States for an individual project.</w:t>
      </w:r>
    </w:p>
  </w:footnote>
  <w:footnote w:id="2">
    <w:p w14:paraId="73D7D746" w14:textId="77777777" w:rsidR="00694BE6" w:rsidRDefault="00694BE6" w:rsidP="00180735">
      <w:pPr>
        <w:pStyle w:val="FootnoteText"/>
      </w:pPr>
      <w:r>
        <w:rPr>
          <w:rStyle w:val="FootnoteReference"/>
        </w:rPr>
        <w:footnoteRef/>
      </w:r>
      <w:r>
        <w:t xml:space="preserve"> P50 is the project cost with sufficient contingency to provide a 50% likelihood that this cost won’t be exceeded.  Similarly P90 is the project cost with sufficient contingency to provide a 90% likelihood that this cost won’t be exceeded.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E3D5C" w14:textId="77777777" w:rsidR="00694BE6" w:rsidRPr="00814590" w:rsidRDefault="00694BE6">
    <w:pPr>
      <w:rPr>
        <w:color w:val="800000"/>
        <w:sz w:val="18"/>
        <w:szCs w:val="18"/>
      </w:rPr>
    </w:pPr>
    <w:r w:rsidRPr="00814590">
      <w:rPr>
        <w:color w:val="800000"/>
        <w:sz w:val="18"/>
        <w:szCs w:val="18"/>
      </w:rPr>
      <w:t>Intergovernmental Agreement on Federal Financial Relations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BD2FC" w14:textId="77777777" w:rsidR="00694BE6" w:rsidRPr="00814590" w:rsidRDefault="00694BE6">
    <w:pPr>
      <w:pStyle w:val="HeaderOdd"/>
      <w:tabs>
        <w:tab w:val="num" w:pos="1134"/>
      </w:tabs>
      <w:rPr>
        <w:color w:val="800000"/>
      </w:rPr>
    </w:pPr>
    <w:r w:rsidRPr="00814590">
      <w:rPr>
        <w:color w:val="800000"/>
      </w:rPr>
      <w:t xml:space="preserve">National Partnership Agreement on </w:t>
    </w:r>
    <w:r>
      <w:rPr>
        <w:color w:val="800000"/>
      </w:rPr>
      <w:t>Land Transport Infrastructure Projects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7C541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0E852E05"/>
    <w:multiLevelType w:val="hybridMultilevel"/>
    <w:tmpl w:val="54E42E9A"/>
    <w:lvl w:ilvl="0" w:tplc="4A68D866">
      <w:start w:val="1"/>
      <w:numFmt w:val="lowerLetter"/>
      <w:lvlText w:val="(%1)"/>
      <w:lvlJc w:val="left"/>
      <w:pPr>
        <w:ind w:left="720" w:hanging="360"/>
      </w:pPr>
      <w:rPr>
        <w:rFonts w:ascii="Corbel" w:eastAsia="Times New Roman" w:hAnsi="Corbel" w:cs="Times New Roman"/>
        <w:sz w:val="23"/>
        <w:szCs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5" w15:restartNumberingAfterBreak="0">
    <w:nsid w:val="11867DA1"/>
    <w:multiLevelType w:val="multilevel"/>
    <w:tmpl w:val="627215E4"/>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 w15:restartNumberingAfterBreak="0">
    <w:nsid w:val="1312518D"/>
    <w:multiLevelType w:val="hybridMultilevel"/>
    <w:tmpl w:val="8C7E487E"/>
    <w:lvl w:ilvl="0" w:tplc="6486EE08">
      <w:start w:val="1"/>
      <w:numFmt w:val="lowerLetter"/>
      <w:lvlText w:val="(%1)"/>
      <w:lvlJc w:val="left"/>
      <w:pPr>
        <w:ind w:left="720" w:hanging="360"/>
      </w:pPr>
      <w:rPr>
        <w:rFonts w:ascii="Corbel" w:eastAsia="Times New Roman" w:hAnsi="Corbel"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8"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10"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1" w15:restartNumberingAfterBreak="0">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2" w15:restartNumberingAfterBreak="0">
    <w:nsid w:val="24521D42"/>
    <w:multiLevelType w:val="multilevel"/>
    <w:tmpl w:val="D8B09AD6"/>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3" w15:restartNumberingAfterBreak="0">
    <w:nsid w:val="252D7BB2"/>
    <w:multiLevelType w:val="multilevel"/>
    <w:tmpl w:val="D8B09AD6"/>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4"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15:restartNumberingAfterBreak="0">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6"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7" w15:restartNumberingAfterBreak="0">
    <w:nsid w:val="2BAB7D23"/>
    <w:multiLevelType w:val="multilevel"/>
    <w:tmpl w:val="D8B09AD6"/>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8" w15:restartNumberingAfterBreak="0">
    <w:nsid w:val="2F4E7E3C"/>
    <w:multiLevelType w:val="multilevel"/>
    <w:tmpl w:val="D8B09AD6"/>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9" w15:restartNumberingAfterBreak="0">
    <w:nsid w:val="30CF3B1E"/>
    <w:multiLevelType w:val="hybridMultilevel"/>
    <w:tmpl w:val="8C7E487E"/>
    <w:lvl w:ilvl="0" w:tplc="6486EE08">
      <w:start w:val="1"/>
      <w:numFmt w:val="lowerLetter"/>
      <w:lvlText w:val="(%1)"/>
      <w:lvlJc w:val="left"/>
      <w:pPr>
        <w:ind w:left="720" w:hanging="360"/>
      </w:pPr>
      <w:rPr>
        <w:rFonts w:ascii="Corbel" w:eastAsia="Times New Roman" w:hAnsi="Corbel"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8B3D39"/>
    <w:multiLevelType w:val="hybridMultilevel"/>
    <w:tmpl w:val="652836B2"/>
    <w:lvl w:ilvl="0" w:tplc="B3BA57A6">
      <w:start w:val="1"/>
      <w:numFmt w:val="bullet"/>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21" w15:restartNumberingAfterBreak="0">
    <w:nsid w:val="36162B2D"/>
    <w:multiLevelType w:val="hybridMultilevel"/>
    <w:tmpl w:val="8C7E487E"/>
    <w:lvl w:ilvl="0" w:tplc="6486EE08">
      <w:start w:val="1"/>
      <w:numFmt w:val="lowerLetter"/>
      <w:lvlText w:val="(%1)"/>
      <w:lvlJc w:val="left"/>
      <w:pPr>
        <w:ind w:left="720" w:hanging="360"/>
      </w:pPr>
      <w:rPr>
        <w:rFonts w:ascii="Corbel" w:eastAsia="Times New Roman" w:hAnsi="Corbel"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367286"/>
    <w:multiLevelType w:val="multilevel"/>
    <w:tmpl w:val="D8B09AD6"/>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3" w15:restartNumberingAfterBreak="0">
    <w:nsid w:val="38EE54DC"/>
    <w:multiLevelType w:val="hybridMultilevel"/>
    <w:tmpl w:val="94089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440903"/>
    <w:multiLevelType w:val="multilevel"/>
    <w:tmpl w:val="3202E7C0"/>
    <w:lvl w:ilvl="0">
      <w:start w:val="1"/>
      <w:numFmt w:val="lowerRoman"/>
      <w:lvlText w:val="(%1)"/>
      <w:lvlJc w:val="righ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5" w15:restartNumberingAfterBreak="0">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26" w15:restartNumberingAfterBreak="0">
    <w:nsid w:val="3C4A2A4A"/>
    <w:multiLevelType w:val="multilevel"/>
    <w:tmpl w:val="3202E7C0"/>
    <w:lvl w:ilvl="0">
      <w:start w:val="1"/>
      <w:numFmt w:val="lowerRoman"/>
      <w:lvlText w:val="(%1)"/>
      <w:lvlJc w:val="righ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7"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8" w15:restartNumberingAfterBreak="0">
    <w:nsid w:val="4BEC68BB"/>
    <w:multiLevelType w:val="multilevel"/>
    <w:tmpl w:val="627215E4"/>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9" w15:restartNumberingAfterBreak="0">
    <w:nsid w:val="4CCD0DF5"/>
    <w:multiLevelType w:val="multilevel"/>
    <w:tmpl w:val="D8B09AD6"/>
    <w:lvl w:ilvl="0">
      <w:start w:val="1"/>
      <w:numFmt w:val="lowerLetter"/>
      <w:lvlRestart w:val="0"/>
      <w:lvlText w:val="(%1)"/>
      <w:lvlJc w:val="left"/>
      <w:pPr>
        <w:tabs>
          <w:tab w:val="num" w:pos="567"/>
        </w:tabs>
        <w:ind w:left="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0"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31" w15:restartNumberingAfterBreak="0">
    <w:nsid w:val="4F0003CB"/>
    <w:multiLevelType w:val="multilevel"/>
    <w:tmpl w:val="627215E4"/>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2" w15:restartNumberingAfterBreak="0">
    <w:nsid w:val="53C85EC2"/>
    <w:multiLevelType w:val="hybridMultilevel"/>
    <w:tmpl w:val="ED6250C8"/>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3" w15:restartNumberingAfterBreak="0">
    <w:nsid w:val="5440705E"/>
    <w:multiLevelType w:val="hybridMultilevel"/>
    <w:tmpl w:val="8C7E487E"/>
    <w:lvl w:ilvl="0" w:tplc="6486EE08">
      <w:start w:val="1"/>
      <w:numFmt w:val="lowerLetter"/>
      <w:lvlText w:val="(%1)"/>
      <w:lvlJc w:val="left"/>
      <w:pPr>
        <w:ind w:left="720" w:hanging="360"/>
      </w:pPr>
      <w:rPr>
        <w:rFonts w:ascii="Corbel" w:eastAsia="Times New Roman" w:hAnsi="Corbel"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403BF9"/>
    <w:multiLevelType w:val="multilevel"/>
    <w:tmpl w:val="49A49BCC"/>
    <w:lvl w:ilvl="0">
      <w:start w:val="1"/>
      <w:numFmt w:val="lowerLetter"/>
      <w:lvlRestart w:val="0"/>
      <w:lvlText w:val="(%1)"/>
      <w:lvlJc w:val="left"/>
      <w:pPr>
        <w:tabs>
          <w:tab w:val="num" w:pos="1134"/>
        </w:tabs>
        <w:ind w:left="567"/>
      </w:pPr>
      <w:rPr>
        <w:rFonts w:cs="Times New Roman" w:hint="default"/>
        <w:b w:val="0"/>
        <w:i w:val="0"/>
        <w:color w:val="000000"/>
        <w:sz w:val="23"/>
        <w:szCs w:val="23"/>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5" w15:restartNumberingAfterBreak="0">
    <w:nsid w:val="55863126"/>
    <w:multiLevelType w:val="multilevel"/>
    <w:tmpl w:val="6302B46A"/>
    <w:lvl w:ilvl="0">
      <w:start w:val="1"/>
      <w:numFmt w:val="lowerLetter"/>
      <w:lvlText w:val="(%1)"/>
      <w:lvlJc w:val="left"/>
      <w:pPr>
        <w:tabs>
          <w:tab w:val="num" w:pos="142"/>
        </w:tabs>
      </w:pPr>
      <w:rPr>
        <w:rFonts w:cs="Times New Roman" w:hint="default"/>
        <w:b w:val="0"/>
        <w:i w:val="0"/>
      </w:rPr>
    </w:lvl>
    <w:lvl w:ilvl="1">
      <w:start w:val="1"/>
      <w:numFmt w:val="decimal"/>
      <w:lvlText w:val="%1%2"/>
      <w:lvlJc w:val="left"/>
      <w:pPr>
        <w:tabs>
          <w:tab w:val="num" w:pos="709"/>
        </w:tabs>
        <w:ind w:left="709" w:hanging="567"/>
      </w:pPr>
      <w:rPr>
        <w:rFonts w:cs="Times New Roman" w:hint="default"/>
      </w:rPr>
    </w:lvl>
    <w:lvl w:ilvl="2">
      <w:start w:val="1"/>
      <w:numFmt w:val="lowerRoman"/>
      <w:lvlText w:val="%3."/>
      <w:lvlJc w:val="right"/>
      <w:pPr>
        <w:tabs>
          <w:tab w:val="num" w:pos="1843"/>
        </w:tabs>
        <w:ind w:left="1843" w:hanging="567"/>
      </w:pPr>
      <w:rPr>
        <w:rFonts w:cs="Times New Roman" w:hint="default"/>
      </w:rPr>
    </w:lvl>
    <w:lvl w:ilvl="3">
      <w:start w:val="1"/>
      <w:numFmt w:val="decimal"/>
      <w:lvlText w:val="%4."/>
      <w:lvlJc w:val="left"/>
      <w:pPr>
        <w:tabs>
          <w:tab w:val="num" w:pos="2455"/>
        </w:tabs>
        <w:ind w:left="2455" w:hanging="360"/>
      </w:pPr>
      <w:rPr>
        <w:rFonts w:cs="Times New Roman" w:hint="default"/>
      </w:rPr>
    </w:lvl>
    <w:lvl w:ilvl="4">
      <w:start w:val="1"/>
      <w:numFmt w:val="lowerLetter"/>
      <w:lvlText w:val="%5."/>
      <w:lvlJc w:val="left"/>
      <w:pPr>
        <w:tabs>
          <w:tab w:val="num" w:pos="3175"/>
        </w:tabs>
        <w:ind w:left="3175" w:hanging="360"/>
      </w:pPr>
      <w:rPr>
        <w:rFonts w:cs="Times New Roman" w:hint="default"/>
      </w:rPr>
    </w:lvl>
    <w:lvl w:ilvl="5">
      <w:start w:val="1"/>
      <w:numFmt w:val="lowerRoman"/>
      <w:lvlText w:val="%6."/>
      <w:lvlJc w:val="right"/>
      <w:pPr>
        <w:tabs>
          <w:tab w:val="num" w:pos="3895"/>
        </w:tabs>
        <w:ind w:left="3895" w:hanging="180"/>
      </w:pPr>
      <w:rPr>
        <w:rFonts w:cs="Times New Roman" w:hint="default"/>
      </w:rPr>
    </w:lvl>
    <w:lvl w:ilvl="6">
      <w:start w:val="1"/>
      <w:numFmt w:val="decimal"/>
      <w:lvlText w:val="%7."/>
      <w:lvlJc w:val="left"/>
      <w:pPr>
        <w:tabs>
          <w:tab w:val="num" w:pos="4615"/>
        </w:tabs>
        <w:ind w:left="4615" w:hanging="360"/>
      </w:pPr>
      <w:rPr>
        <w:rFonts w:cs="Times New Roman" w:hint="default"/>
      </w:rPr>
    </w:lvl>
    <w:lvl w:ilvl="7">
      <w:start w:val="1"/>
      <w:numFmt w:val="lowerLetter"/>
      <w:lvlText w:val="%8."/>
      <w:lvlJc w:val="left"/>
      <w:pPr>
        <w:tabs>
          <w:tab w:val="num" w:pos="5335"/>
        </w:tabs>
        <w:ind w:left="5335" w:hanging="360"/>
      </w:pPr>
      <w:rPr>
        <w:rFonts w:cs="Times New Roman" w:hint="default"/>
      </w:rPr>
    </w:lvl>
    <w:lvl w:ilvl="8">
      <w:start w:val="1"/>
      <w:numFmt w:val="upperLetter"/>
      <w:lvlRestart w:val="0"/>
      <w:suff w:val="space"/>
      <w:lvlText w:val="Schedule %9"/>
      <w:lvlJc w:val="left"/>
      <w:rPr>
        <w:rFonts w:cs="Times New Roman" w:hint="default"/>
        <w:color w:val="800000"/>
      </w:rPr>
    </w:lvl>
  </w:abstractNum>
  <w:abstractNum w:abstractNumId="36" w15:restartNumberingAfterBreak="0">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8" w15:restartNumberingAfterBreak="0">
    <w:nsid w:val="59B7074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9" w15:restartNumberingAfterBreak="0">
    <w:nsid w:val="59EB5353"/>
    <w:multiLevelType w:val="hybridMultilevel"/>
    <w:tmpl w:val="8C7E487E"/>
    <w:lvl w:ilvl="0" w:tplc="6486EE08">
      <w:start w:val="1"/>
      <w:numFmt w:val="lowerLetter"/>
      <w:lvlText w:val="(%1)"/>
      <w:lvlJc w:val="left"/>
      <w:pPr>
        <w:ind w:left="720" w:hanging="360"/>
      </w:pPr>
      <w:rPr>
        <w:rFonts w:ascii="Corbel" w:eastAsia="Times New Roman" w:hAnsi="Corbel"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E621A8"/>
    <w:multiLevelType w:val="multilevel"/>
    <w:tmpl w:val="D8B09AD6"/>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1"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42" w15:restartNumberingAfterBreak="0">
    <w:nsid w:val="63B27A1C"/>
    <w:multiLevelType w:val="hybridMultilevel"/>
    <w:tmpl w:val="C1FA1830"/>
    <w:lvl w:ilvl="0" w:tplc="513272D0">
      <w:start w:val="29"/>
      <w:numFmt w:val="decimal"/>
      <w:lvlText w:val="%1."/>
      <w:lvlJc w:val="left"/>
      <w:pPr>
        <w:tabs>
          <w:tab w:val="num" w:pos="567"/>
        </w:tabs>
        <w:ind w:left="567" w:hanging="567"/>
      </w:pPr>
      <w:rPr>
        <w:rFonts w:cs="Times New Roman"/>
      </w:rPr>
    </w:lvl>
    <w:lvl w:ilvl="1" w:tplc="EC42698E">
      <w:start w:val="1"/>
      <w:numFmt w:val="lowerLetter"/>
      <w:lvlText w:val="(%2)"/>
      <w:lvlJc w:val="left"/>
      <w:pPr>
        <w:tabs>
          <w:tab w:val="num" w:pos="1440"/>
        </w:tabs>
        <w:ind w:left="1440" w:hanging="360"/>
      </w:pPr>
      <w:rPr>
        <w:rFonts w:cs="Times New Roman"/>
      </w:rPr>
    </w:lvl>
    <w:lvl w:ilvl="2" w:tplc="5A7C9C54">
      <w:start w:val="1"/>
      <w:numFmt w:val="lowerRoman"/>
      <w:lvlText w:val="%3."/>
      <w:lvlJc w:val="right"/>
      <w:pPr>
        <w:tabs>
          <w:tab w:val="num" w:pos="2160"/>
        </w:tabs>
        <w:ind w:left="2160" w:hanging="180"/>
      </w:pPr>
      <w:rPr>
        <w:rFonts w:cs="Times New Roman"/>
      </w:rPr>
    </w:lvl>
    <w:lvl w:ilvl="3" w:tplc="ACDCF5FC">
      <w:start w:val="1"/>
      <w:numFmt w:val="decimal"/>
      <w:lvlText w:val="%4."/>
      <w:lvlJc w:val="left"/>
      <w:pPr>
        <w:tabs>
          <w:tab w:val="num" w:pos="2880"/>
        </w:tabs>
        <w:ind w:left="2880" w:hanging="360"/>
      </w:pPr>
      <w:rPr>
        <w:rFonts w:cs="Times New Roman"/>
      </w:rPr>
    </w:lvl>
    <w:lvl w:ilvl="4" w:tplc="849AA9FC">
      <w:start w:val="1"/>
      <w:numFmt w:val="lowerLetter"/>
      <w:lvlText w:val="%5."/>
      <w:lvlJc w:val="left"/>
      <w:pPr>
        <w:tabs>
          <w:tab w:val="num" w:pos="3600"/>
        </w:tabs>
        <w:ind w:left="3600" w:hanging="360"/>
      </w:pPr>
      <w:rPr>
        <w:rFonts w:cs="Times New Roman"/>
      </w:rPr>
    </w:lvl>
    <w:lvl w:ilvl="5" w:tplc="A65472C4">
      <w:start w:val="1"/>
      <w:numFmt w:val="lowerRoman"/>
      <w:lvlText w:val="%6."/>
      <w:lvlJc w:val="right"/>
      <w:pPr>
        <w:tabs>
          <w:tab w:val="num" w:pos="4320"/>
        </w:tabs>
        <w:ind w:left="4320" w:hanging="180"/>
      </w:pPr>
      <w:rPr>
        <w:rFonts w:cs="Times New Roman"/>
      </w:rPr>
    </w:lvl>
    <w:lvl w:ilvl="6" w:tplc="38ACAE1E">
      <w:start w:val="1"/>
      <w:numFmt w:val="decimal"/>
      <w:lvlText w:val="%7."/>
      <w:lvlJc w:val="left"/>
      <w:pPr>
        <w:tabs>
          <w:tab w:val="num" w:pos="5040"/>
        </w:tabs>
        <w:ind w:left="5040" w:hanging="360"/>
      </w:pPr>
      <w:rPr>
        <w:rFonts w:cs="Times New Roman"/>
      </w:rPr>
    </w:lvl>
    <w:lvl w:ilvl="7" w:tplc="5D50533C">
      <w:start w:val="1"/>
      <w:numFmt w:val="lowerLetter"/>
      <w:lvlText w:val="%8."/>
      <w:lvlJc w:val="left"/>
      <w:pPr>
        <w:tabs>
          <w:tab w:val="num" w:pos="5760"/>
        </w:tabs>
        <w:ind w:left="5760" w:hanging="360"/>
      </w:pPr>
      <w:rPr>
        <w:rFonts w:cs="Times New Roman"/>
      </w:rPr>
    </w:lvl>
    <w:lvl w:ilvl="8" w:tplc="82743288">
      <w:start w:val="1"/>
      <w:numFmt w:val="lowerRoman"/>
      <w:lvlText w:val="%9."/>
      <w:lvlJc w:val="right"/>
      <w:pPr>
        <w:tabs>
          <w:tab w:val="num" w:pos="6480"/>
        </w:tabs>
        <w:ind w:left="6480" w:hanging="180"/>
      </w:pPr>
      <w:rPr>
        <w:rFonts w:cs="Times New Roman"/>
      </w:rPr>
    </w:lvl>
  </w:abstractNum>
  <w:abstractNum w:abstractNumId="43" w15:restartNumberingAfterBreak="0">
    <w:nsid w:val="64903B98"/>
    <w:multiLevelType w:val="hybridMultilevel"/>
    <w:tmpl w:val="E06AD050"/>
    <w:lvl w:ilvl="0" w:tplc="6486EE08">
      <w:start w:val="1"/>
      <w:numFmt w:val="lowerLetter"/>
      <w:lvlText w:val="(%1)"/>
      <w:lvlJc w:val="left"/>
      <w:pPr>
        <w:ind w:left="1287" w:hanging="360"/>
      </w:pPr>
      <w:rPr>
        <w:rFonts w:ascii="Corbel" w:eastAsia="Times New Roman" w:hAnsi="Corbel" w:cs="Times New Roman"/>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4" w15:restartNumberingAfterBreak="0">
    <w:nsid w:val="699F5922"/>
    <w:multiLevelType w:val="hybridMultilevel"/>
    <w:tmpl w:val="C18802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45" w15:restartNumberingAfterBreak="0">
    <w:nsid w:val="6D7A39BC"/>
    <w:multiLevelType w:val="multilevel"/>
    <w:tmpl w:val="B99A023E"/>
    <w:lvl w:ilvl="0">
      <w:start w:val="1"/>
      <w:numFmt w:val="decimal"/>
      <w:lvlText w:val="%1."/>
      <w:lvlJc w:val="left"/>
      <w:pPr>
        <w:tabs>
          <w:tab w:val="num" w:pos="0"/>
        </w:tabs>
      </w:pPr>
      <w:rPr>
        <w:rFonts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46" w15:restartNumberingAfterBreak="0">
    <w:nsid w:val="6DDC61CA"/>
    <w:multiLevelType w:val="hybridMultilevel"/>
    <w:tmpl w:val="96468958"/>
    <w:lvl w:ilvl="0" w:tplc="6486EE08">
      <w:start w:val="1"/>
      <w:numFmt w:val="lowerLetter"/>
      <w:lvlText w:val="(%1)"/>
      <w:lvlJc w:val="left"/>
      <w:pPr>
        <w:tabs>
          <w:tab w:val="num" w:pos="1134"/>
        </w:tabs>
        <w:ind w:left="1134" w:hanging="567"/>
      </w:pPr>
      <w:rPr>
        <w:rFonts w:ascii="Corbel" w:eastAsia="Times New Roman" w:hAnsi="Corbel" w:cs="Times New Roman" w:hint="default"/>
        <w:b w:val="0"/>
        <w:sz w:val="23"/>
        <w:szCs w:val="23"/>
      </w:rPr>
    </w:lvl>
    <w:lvl w:ilvl="1" w:tplc="5D68D3BC">
      <w:start w:val="1"/>
      <w:numFmt w:val="lowerLetter"/>
      <w:lvlText w:val="%2."/>
      <w:lvlJc w:val="left"/>
      <w:pPr>
        <w:tabs>
          <w:tab w:val="num" w:pos="2007"/>
        </w:tabs>
        <w:ind w:left="2007" w:hanging="360"/>
      </w:pPr>
      <w:rPr>
        <w:rFonts w:cs="Times New Roman"/>
      </w:rPr>
    </w:lvl>
    <w:lvl w:ilvl="2" w:tplc="5A7C9C54" w:tentative="1">
      <w:start w:val="1"/>
      <w:numFmt w:val="lowerRoman"/>
      <w:lvlText w:val="%3."/>
      <w:lvlJc w:val="right"/>
      <w:pPr>
        <w:tabs>
          <w:tab w:val="num" w:pos="2727"/>
        </w:tabs>
        <w:ind w:left="2727" w:hanging="180"/>
      </w:pPr>
      <w:rPr>
        <w:rFonts w:cs="Times New Roman"/>
      </w:rPr>
    </w:lvl>
    <w:lvl w:ilvl="3" w:tplc="ACDCF5FC" w:tentative="1">
      <w:start w:val="1"/>
      <w:numFmt w:val="decimal"/>
      <w:lvlText w:val="%4."/>
      <w:lvlJc w:val="left"/>
      <w:pPr>
        <w:tabs>
          <w:tab w:val="num" w:pos="3447"/>
        </w:tabs>
        <w:ind w:left="3447" w:hanging="360"/>
      </w:pPr>
      <w:rPr>
        <w:rFonts w:cs="Times New Roman"/>
      </w:rPr>
    </w:lvl>
    <w:lvl w:ilvl="4" w:tplc="849AA9FC" w:tentative="1">
      <w:start w:val="1"/>
      <w:numFmt w:val="lowerLetter"/>
      <w:lvlText w:val="%5."/>
      <w:lvlJc w:val="left"/>
      <w:pPr>
        <w:tabs>
          <w:tab w:val="num" w:pos="4167"/>
        </w:tabs>
        <w:ind w:left="4167" w:hanging="360"/>
      </w:pPr>
      <w:rPr>
        <w:rFonts w:cs="Times New Roman"/>
      </w:rPr>
    </w:lvl>
    <w:lvl w:ilvl="5" w:tplc="A65472C4" w:tentative="1">
      <w:start w:val="1"/>
      <w:numFmt w:val="lowerRoman"/>
      <w:lvlText w:val="%6."/>
      <w:lvlJc w:val="right"/>
      <w:pPr>
        <w:tabs>
          <w:tab w:val="num" w:pos="4887"/>
        </w:tabs>
        <w:ind w:left="4887" w:hanging="180"/>
      </w:pPr>
      <w:rPr>
        <w:rFonts w:cs="Times New Roman"/>
      </w:rPr>
    </w:lvl>
    <w:lvl w:ilvl="6" w:tplc="38ACAE1E" w:tentative="1">
      <w:start w:val="1"/>
      <w:numFmt w:val="decimal"/>
      <w:lvlText w:val="%7."/>
      <w:lvlJc w:val="left"/>
      <w:pPr>
        <w:tabs>
          <w:tab w:val="num" w:pos="5607"/>
        </w:tabs>
        <w:ind w:left="5607" w:hanging="360"/>
      </w:pPr>
      <w:rPr>
        <w:rFonts w:cs="Times New Roman"/>
      </w:rPr>
    </w:lvl>
    <w:lvl w:ilvl="7" w:tplc="5D50533C" w:tentative="1">
      <w:start w:val="1"/>
      <w:numFmt w:val="lowerLetter"/>
      <w:lvlText w:val="%8."/>
      <w:lvlJc w:val="left"/>
      <w:pPr>
        <w:tabs>
          <w:tab w:val="num" w:pos="6327"/>
        </w:tabs>
        <w:ind w:left="6327" w:hanging="360"/>
      </w:pPr>
      <w:rPr>
        <w:rFonts w:cs="Times New Roman"/>
      </w:rPr>
    </w:lvl>
    <w:lvl w:ilvl="8" w:tplc="82743288" w:tentative="1">
      <w:start w:val="1"/>
      <w:numFmt w:val="lowerRoman"/>
      <w:lvlText w:val="%9."/>
      <w:lvlJc w:val="right"/>
      <w:pPr>
        <w:tabs>
          <w:tab w:val="num" w:pos="7047"/>
        </w:tabs>
        <w:ind w:left="7047" w:hanging="180"/>
      </w:pPr>
      <w:rPr>
        <w:rFonts w:cs="Times New Roman"/>
      </w:rPr>
    </w:lvl>
  </w:abstractNum>
  <w:abstractNum w:abstractNumId="47" w15:restartNumberingAfterBreak="0">
    <w:nsid w:val="72491E9B"/>
    <w:multiLevelType w:val="hybridMultilevel"/>
    <w:tmpl w:val="8C7E487E"/>
    <w:lvl w:ilvl="0" w:tplc="6486EE08">
      <w:start w:val="1"/>
      <w:numFmt w:val="lowerLetter"/>
      <w:lvlText w:val="(%1)"/>
      <w:lvlJc w:val="left"/>
      <w:pPr>
        <w:ind w:left="720" w:hanging="360"/>
      </w:pPr>
      <w:rPr>
        <w:rFonts w:ascii="Corbel" w:eastAsia="Times New Roman" w:hAnsi="Corbel"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49" w15:restartNumberingAfterBreak="0">
    <w:nsid w:val="78854AAC"/>
    <w:multiLevelType w:val="hybridMultilevel"/>
    <w:tmpl w:val="21B696D0"/>
    <w:lvl w:ilvl="0" w:tplc="49FC9D66">
      <w:start w:val="1"/>
      <w:numFmt w:val="decimal"/>
      <w:lvlText w:val="%1."/>
      <w:lvlJc w:val="left"/>
      <w:pPr>
        <w:tabs>
          <w:tab w:val="num" w:pos="567"/>
        </w:tabs>
        <w:ind w:left="567" w:hanging="567"/>
      </w:pPr>
      <w:rPr>
        <w:rFonts w:ascii="Corbel" w:hAnsi="Corbel" w:cs="Times New Roman" w:hint="default"/>
        <w:b w:val="0"/>
        <w:sz w:val="23"/>
        <w:szCs w:val="23"/>
      </w:rPr>
    </w:lvl>
    <w:lvl w:ilvl="1" w:tplc="5D68D3BC">
      <w:start w:val="1"/>
      <w:numFmt w:val="lowerLetter"/>
      <w:lvlText w:val="%2."/>
      <w:lvlJc w:val="left"/>
      <w:pPr>
        <w:tabs>
          <w:tab w:val="num" w:pos="1440"/>
        </w:tabs>
        <w:ind w:left="1440" w:hanging="360"/>
      </w:pPr>
      <w:rPr>
        <w:rFonts w:cs="Times New Roman"/>
      </w:rPr>
    </w:lvl>
    <w:lvl w:ilvl="2" w:tplc="5A7C9C54" w:tentative="1">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start w:val="1"/>
      <w:numFmt w:val="lowerRoman"/>
      <w:lvlText w:val="%9."/>
      <w:lvlJc w:val="right"/>
      <w:pPr>
        <w:tabs>
          <w:tab w:val="num" w:pos="6480"/>
        </w:tabs>
        <w:ind w:left="6480" w:hanging="180"/>
      </w:pPr>
      <w:rPr>
        <w:rFonts w:cs="Times New Roman"/>
      </w:rPr>
    </w:lvl>
  </w:abstractNum>
  <w:abstractNum w:abstractNumId="50" w15:restartNumberingAfterBreak="0">
    <w:nsid w:val="7C13363D"/>
    <w:multiLevelType w:val="multilevel"/>
    <w:tmpl w:val="627215E4"/>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1" w15:restartNumberingAfterBreak="0">
    <w:nsid w:val="7C477C2E"/>
    <w:multiLevelType w:val="multilevel"/>
    <w:tmpl w:val="144048CA"/>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2" w15:restartNumberingAfterBreak="0">
    <w:nsid w:val="7E0256A0"/>
    <w:multiLevelType w:val="hybridMultilevel"/>
    <w:tmpl w:val="8C7E487E"/>
    <w:lvl w:ilvl="0" w:tplc="6486EE08">
      <w:start w:val="1"/>
      <w:numFmt w:val="lowerLetter"/>
      <w:lvlText w:val="(%1)"/>
      <w:lvlJc w:val="left"/>
      <w:pPr>
        <w:ind w:left="720" w:hanging="360"/>
      </w:pPr>
      <w:rPr>
        <w:rFonts w:ascii="Corbel" w:eastAsia="Times New Roman" w:hAnsi="Corbel"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E265823"/>
    <w:multiLevelType w:val="hybridMultilevel"/>
    <w:tmpl w:val="8C7E487E"/>
    <w:lvl w:ilvl="0" w:tplc="6486EE08">
      <w:start w:val="1"/>
      <w:numFmt w:val="lowerLetter"/>
      <w:lvlText w:val="(%1)"/>
      <w:lvlJc w:val="left"/>
      <w:pPr>
        <w:ind w:left="720" w:hanging="360"/>
      </w:pPr>
      <w:rPr>
        <w:rFonts w:ascii="Corbel" w:eastAsia="Times New Roman" w:hAnsi="Corbel"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1"/>
  </w:num>
  <w:num w:numId="7">
    <w:abstractNumId w:val="30"/>
  </w:num>
  <w:num w:numId="8">
    <w:abstractNumId w:val="37"/>
  </w:num>
  <w:num w:numId="9">
    <w:abstractNumId w:val="7"/>
  </w:num>
  <w:num w:numId="10">
    <w:abstractNumId w:val="41"/>
  </w:num>
  <w:num w:numId="11">
    <w:abstractNumId w:val="14"/>
  </w:num>
  <w:num w:numId="12">
    <w:abstractNumId w:val="20"/>
  </w:num>
  <w:num w:numId="13">
    <w:abstractNumId w:val="8"/>
  </w:num>
  <w:num w:numId="14">
    <w:abstractNumId w:val="15"/>
  </w:num>
  <w:num w:numId="15">
    <w:abstractNumId w:val="49"/>
  </w:num>
  <w:num w:numId="16">
    <w:abstractNumId w:val="2"/>
  </w:num>
  <w:num w:numId="17">
    <w:abstractNumId w:val="36"/>
  </w:num>
  <w:num w:numId="18">
    <w:abstractNumId w:val="45"/>
  </w:num>
  <w:num w:numId="19">
    <w:abstractNumId w:val="27"/>
  </w:num>
  <w:num w:numId="20">
    <w:abstractNumId w:val="38"/>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10"/>
  </w:num>
  <w:num w:numId="24">
    <w:abstractNumId w:val="16"/>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num>
  <w:num w:numId="34">
    <w:abstractNumId w:val="4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31"/>
    </w:lvlOverride>
  </w:num>
  <w:num w:numId="36">
    <w:abstractNumId w:val="49"/>
  </w:num>
  <w:num w:numId="37">
    <w:abstractNumId w:val="49"/>
  </w:num>
  <w:num w:numId="38">
    <w:abstractNumId w:val="49"/>
  </w:num>
  <w:num w:numId="39">
    <w:abstractNumId w:val="49"/>
  </w:num>
  <w:num w:numId="40">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49"/>
  </w:num>
  <w:num w:numId="43">
    <w:abstractNumId w:val="49"/>
  </w:num>
  <w:num w:numId="44">
    <w:abstractNumId w:val="49"/>
  </w:num>
  <w:num w:numId="45">
    <w:abstractNumId w:val="44"/>
  </w:num>
  <w:num w:numId="46">
    <w:abstractNumId w:val="21"/>
  </w:num>
  <w:num w:numId="47">
    <w:abstractNumId w:val="23"/>
  </w:num>
  <w:num w:numId="48">
    <w:abstractNumId w:val="46"/>
  </w:num>
  <w:num w:numId="49">
    <w:abstractNumId w:val="22"/>
  </w:num>
  <w:num w:numId="50">
    <w:abstractNumId w:val="53"/>
  </w:num>
  <w:num w:numId="51">
    <w:abstractNumId w:val="3"/>
  </w:num>
  <w:num w:numId="52">
    <w:abstractNumId w:val="32"/>
  </w:num>
  <w:num w:numId="53">
    <w:abstractNumId w:val="29"/>
  </w:num>
  <w:num w:numId="54">
    <w:abstractNumId w:val="12"/>
  </w:num>
  <w:num w:numId="55">
    <w:abstractNumId w:val="40"/>
  </w:num>
  <w:num w:numId="56">
    <w:abstractNumId w:val="18"/>
  </w:num>
  <w:num w:numId="57">
    <w:abstractNumId w:val="13"/>
  </w:num>
  <w:num w:numId="58">
    <w:abstractNumId w:val="51"/>
  </w:num>
  <w:num w:numId="59">
    <w:abstractNumId w:val="5"/>
  </w:num>
  <w:num w:numId="60">
    <w:abstractNumId w:val="50"/>
  </w:num>
  <w:num w:numId="61">
    <w:abstractNumId w:val="31"/>
  </w:num>
  <w:num w:numId="62">
    <w:abstractNumId w:val="28"/>
  </w:num>
  <w:num w:numId="63">
    <w:abstractNumId w:val="26"/>
  </w:num>
  <w:num w:numId="64">
    <w:abstractNumId w:val="35"/>
  </w:num>
  <w:num w:numId="65">
    <w:abstractNumId w:val="52"/>
  </w:num>
  <w:num w:numId="66">
    <w:abstractNumId w:val="6"/>
  </w:num>
  <w:num w:numId="67">
    <w:abstractNumId w:val="47"/>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0"/>
  </w:num>
  <w:num w:numId="80">
    <w:abstractNumId w:val="20"/>
  </w:num>
  <w:num w:numId="81">
    <w:abstractNumId w:val="20"/>
  </w:num>
  <w:num w:numId="82">
    <w:abstractNumId w:val="20"/>
  </w:num>
  <w:num w:numId="83">
    <w:abstractNumId w:val="20"/>
  </w:num>
  <w:num w:numId="84">
    <w:abstractNumId w:val="20"/>
  </w:num>
  <w:num w:numId="85">
    <w:abstractNumId w:val="20"/>
  </w:num>
  <w:num w:numId="86">
    <w:abstractNumId w:val="34"/>
  </w:num>
  <w:num w:numId="87">
    <w:abstractNumId w:val="20"/>
  </w:num>
  <w:num w:numId="88">
    <w:abstractNumId w:val="19"/>
  </w:num>
  <w:num w:numId="89">
    <w:abstractNumId w:val="20"/>
  </w:num>
  <w:num w:numId="90">
    <w:abstractNumId w:val="20"/>
  </w:num>
  <w:num w:numId="91">
    <w:abstractNumId w:val="20"/>
  </w:num>
  <w:num w:numId="92">
    <w:abstractNumId w:val="20"/>
  </w:num>
  <w:num w:numId="93">
    <w:abstractNumId w:val="20"/>
  </w:num>
  <w:num w:numId="94">
    <w:abstractNumId w:val="20"/>
  </w:num>
  <w:num w:numId="95">
    <w:abstractNumId w:val="20"/>
  </w:num>
  <w:num w:numId="96">
    <w:abstractNumId w:val="20"/>
  </w:num>
  <w:num w:numId="97">
    <w:abstractNumId w:val="43"/>
  </w:num>
  <w:num w:numId="98">
    <w:abstractNumId w:val="39"/>
  </w:num>
  <w:num w:numId="99">
    <w:abstractNumId w:val="33"/>
  </w:num>
  <w:num w:numId="100">
    <w:abstractNumId w:val="17"/>
  </w:num>
  <w:num w:numId="101">
    <w:abstractNumId w:val="2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4390"/>
    <w:rsid w:val="00005A5D"/>
    <w:rsid w:val="000064E1"/>
    <w:rsid w:val="000076D9"/>
    <w:rsid w:val="00012D35"/>
    <w:rsid w:val="00012EF4"/>
    <w:rsid w:val="000134A2"/>
    <w:rsid w:val="00013D4E"/>
    <w:rsid w:val="00014EBE"/>
    <w:rsid w:val="00017905"/>
    <w:rsid w:val="00017E7B"/>
    <w:rsid w:val="00021708"/>
    <w:rsid w:val="00021A36"/>
    <w:rsid w:val="0002247A"/>
    <w:rsid w:val="0002396F"/>
    <w:rsid w:val="00024F99"/>
    <w:rsid w:val="00025539"/>
    <w:rsid w:val="000260B8"/>
    <w:rsid w:val="000277B8"/>
    <w:rsid w:val="00027F6A"/>
    <w:rsid w:val="0003074A"/>
    <w:rsid w:val="00033906"/>
    <w:rsid w:val="00034BF2"/>
    <w:rsid w:val="000357FF"/>
    <w:rsid w:val="00035870"/>
    <w:rsid w:val="00035C8E"/>
    <w:rsid w:val="000373D8"/>
    <w:rsid w:val="0004129B"/>
    <w:rsid w:val="000430B9"/>
    <w:rsid w:val="00044191"/>
    <w:rsid w:val="000447B9"/>
    <w:rsid w:val="00047F6E"/>
    <w:rsid w:val="000512D2"/>
    <w:rsid w:val="00051895"/>
    <w:rsid w:val="00052516"/>
    <w:rsid w:val="00052654"/>
    <w:rsid w:val="00052E3D"/>
    <w:rsid w:val="000551A8"/>
    <w:rsid w:val="0006116F"/>
    <w:rsid w:val="0006140E"/>
    <w:rsid w:val="00062206"/>
    <w:rsid w:val="0006451A"/>
    <w:rsid w:val="00065EE6"/>
    <w:rsid w:val="0007004C"/>
    <w:rsid w:val="0007028A"/>
    <w:rsid w:val="000724F6"/>
    <w:rsid w:val="00073A8D"/>
    <w:rsid w:val="00074611"/>
    <w:rsid w:val="000764E5"/>
    <w:rsid w:val="000768EA"/>
    <w:rsid w:val="00077F4D"/>
    <w:rsid w:val="00080983"/>
    <w:rsid w:val="0008143A"/>
    <w:rsid w:val="00083136"/>
    <w:rsid w:val="00084B3C"/>
    <w:rsid w:val="00085966"/>
    <w:rsid w:val="000869CA"/>
    <w:rsid w:val="00091235"/>
    <w:rsid w:val="00091DF8"/>
    <w:rsid w:val="00093DD8"/>
    <w:rsid w:val="00096BE3"/>
    <w:rsid w:val="00097307"/>
    <w:rsid w:val="00097BF5"/>
    <w:rsid w:val="000A05AC"/>
    <w:rsid w:val="000A0C9E"/>
    <w:rsid w:val="000A2AF3"/>
    <w:rsid w:val="000A2C32"/>
    <w:rsid w:val="000A5191"/>
    <w:rsid w:val="000A5250"/>
    <w:rsid w:val="000A72D2"/>
    <w:rsid w:val="000A7553"/>
    <w:rsid w:val="000B0665"/>
    <w:rsid w:val="000B2E9E"/>
    <w:rsid w:val="000B30FB"/>
    <w:rsid w:val="000B322A"/>
    <w:rsid w:val="000B41E1"/>
    <w:rsid w:val="000B4609"/>
    <w:rsid w:val="000B5527"/>
    <w:rsid w:val="000C0BA2"/>
    <w:rsid w:val="000C45CD"/>
    <w:rsid w:val="000C714F"/>
    <w:rsid w:val="000C7F8B"/>
    <w:rsid w:val="000D19D8"/>
    <w:rsid w:val="000D1C37"/>
    <w:rsid w:val="000D1E62"/>
    <w:rsid w:val="000D3CD9"/>
    <w:rsid w:val="000D4377"/>
    <w:rsid w:val="000E0898"/>
    <w:rsid w:val="000E12AC"/>
    <w:rsid w:val="000E19C0"/>
    <w:rsid w:val="000E3C70"/>
    <w:rsid w:val="000E41E9"/>
    <w:rsid w:val="000E48C3"/>
    <w:rsid w:val="000F041A"/>
    <w:rsid w:val="000F0880"/>
    <w:rsid w:val="000F3472"/>
    <w:rsid w:val="000F3508"/>
    <w:rsid w:val="000F38A6"/>
    <w:rsid w:val="000F56D3"/>
    <w:rsid w:val="000F5A62"/>
    <w:rsid w:val="000F6CF6"/>
    <w:rsid w:val="000F737B"/>
    <w:rsid w:val="00103FD6"/>
    <w:rsid w:val="001049DA"/>
    <w:rsid w:val="0010573C"/>
    <w:rsid w:val="001065EE"/>
    <w:rsid w:val="001067C1"/>
    <w:rsid w:val="00110B42"/>
    <w:rsid w:val="00110F5D"/>
    <w:rsid w:val="001124EE"/>
    <w:rsid w:val="00112617"/>
    <w:rsid w:val="00112657"/>
    <w:rsid w:val="0011367C"/>
    <w:rsid w:val="00113ADB"/>
    <w:rsid w:val="00114AA5"/>
    <w:rsid w:val="00115709"/>
    <w:rsid w:val="001165C0"/>
    <w:rsid w:val="00116D32"/>
    <w:rsid w:val="0012197E"/>
    <w:rsid w:val="00122DBA"/>
    <w:rsid w:val="001231AB"/>
    <w:rsid w:val="0012476C"/>
    <w:rsid w:val="0012575D"/>
    <w:rsid w:val="00126297"/>
    <w:rsid w:val="0012648C"/>
    <w:rsid w:val="00126B69"/>
    <w:rsid w:val="00130670"/>
    <w:rsid w:val="0013156A"/>
    <w:rsid w:val="00131F61"/>
    <w:rsid w:val="0013251A"/>
    <w:rsid w:val="00132587"/>
    <w:rsid w:val="001337AA"/>
    <w:rsid w:val="0013478A"/>
    <w:rsid w:val="001350A5"/>
    <w:rsid w:val="001354D9"/>
    <w:rsid w:val="00135615"/>
    <w:rsid w:val="0013646D"/>
    <w:rsid w:val="001377D1"/>
    <w:rsid w:val="0014037F"/>
    <w:rsid w:val="001404A9"/>
    <w:rsid w:val="00140F43"/>
    <w:rsid w:val="00141912"/>
    <w:rsid w:val="00143DCA"/>
    <w:rsid w:val="00144892"/>
    <w:rsid w:val="001452FA"/>
    <w:rsid w:val="00145D5C"/>
    <w:rsid w:val="0015073F"/>
    <w:rsid w:val="00150CEF"/>
    <w:rsid w:val="00153DE8"/>
    <w:rsid w:val="001547B2"/>
    <w:rsid w:val="00155AA2"/>
    <w:rsid w:val="0016008D"/>
    <w:rsid w:val="00160506"/>
    <w:rsid w:val="00160BAB"/>
    <w:rsid w:val="00162E9B"/>
    <w:rsid w:val="00163C3F"/>
    <w:rsid w:val="00163FBA"/>
    <w:rsid w:val="00165AF9"/>
    <w:rsid w:val="00166312"/>
    <w:rsid w:val="00166581"/>
    <w:rsid w:val="00166BAE"/>
    <w:rsid w:val="00167BB8"/>
    <w:rsid w:val="00172015"/>
    <w:rsid w:val="00173F81"/>
    <w:rsid w:val="00174515"/>
    <w:rsid w:val="00174C2A"/>
    <w:rsid w:val="00175398"/>
    <w:rsid w:val="00175FB9"/>
    <w:rsid w:val="001775DC"/>
    <w:rsid w:val="00180344"/>
    <w:rsid w:val="001804EC"/>
    <w:rsid w:val="00180735"/>
    <w:rsid w:val="00181240"/>
    <w:rsid w:val="00182823"/>
    <w:rsid w:val="00183EAB"/>
    <w:rsid w:val="00185CC1"/>
    <w:rsid w:val="0018791E"/>
    <w:rsid w:val="00187B0E"/>
    <w:rsid w:val="00187BEB"/>
    <w:rsid w:val="0019112D"/>
    <w:rsid w:val="00191CFE"/>
    <w:rsid w:val="00192223"/>
    <w:rsid w:val="001929CB"/>
    <w:rsid w:val="001931E8"/>
    <w:rsid w:val="00193EDA"/>
    <w:rsid w:val="00194232"/>
    <w:rsid w:val="0019788A"/>
    <w:rsid w:val="001A07D1"/>
    <w:rsid w:val="001A0F16"/>
    <w:rsid w:val="001A0FD0"/>
    <w:rsid w:val="001A1422"/>
    <w:rsid w:val="001A1628"/>
    <w:rsid w:val="001A3527"/>
    <w:rsid w:val="001A3A9A"/>
    <w:rsid w:val="001A4093"/>
    <w:rsid w:val="001A668D"/>
    <w:rsid w:val="001A7A15"/>
    <w:rsid w:val="001B19A0"/>
    <w:rsid w:val="001B1CA3"/>
    <w:rsid w:val="001B25D6"/>
    <w:rsid w:val="001B399F"/>
    <w:rsid w:val="001B62C1"/>
    <w:rsid w:val="001B6B7E"/>
    <w:rsid w:val="001B7933"/>
    <w:rsid w:val="001B7C94"/>
    <w:rsid w:val="001C1451"/>
    <w:rsid w:val="001C346E"/>
    <w:rsid w:val="001C3717"/>
    <w:rsid w:val="001C4A19"/>
    <w:rsid w:val="001C5CC5"/>
    <w:rsid w:val="001D0055"/>
    <w:rsid w:val="001D0723"/>
    <w:rsid w:val="001D1111"/>
    <w:rsid w:val="001D230F"/>
    <w:rsid w:val="001D23A9"/>
    <w:rsid w:val="001D3663"/>
    <w:rsid w:val="001D4523"/>
    <w:rsid w:val="001D4852"/>
    <w:rsid w:val="001D62A3"/>
    <w:rsid w:val="001D6C45"/>
    <w:rsid w:val="001D7F7C"/>
    <w:rsid w:val="001E1B35"/>
    <w:rsid w:val="001E20EC"/>
    <w:rsid w:val="001E2591"/>
    <w:rsid w:val="001E2B2A"/>
    <w:rsid w:val="001E3EA4"/>
    <w:rsid w:val="001E4055"/>
    <w:rsid w:val="001E4B5B"/>
    <w:rsid w:val="001E7173"/>
    <w:rsid w:val="001E74D0"/>
    <w:rsid w:val="001E7B11"/>
    <w:rsid w:val="001F2C0F"/>
    <w:rsid w:val="001F4549"/>
    <w:rsid w:val="001F6302"/>
    <w:rsid w:val="001F6F39"/>
    <w:rsid w:val="001F6FE8"/>
    <w:rsid w:val="002018CF"/>
    <w:rsid w:val="00203681"/>
    <w:rsid w:val="00203BD2"/>
    <w:rsid w:val="0020510D"/>
    <w:rsid w:val="00205E18"/>
    <w:rsid w:val="00206491"/>
    <w:rsid w:val="002077C7"/>
    <w:rsid w:val="002106A6"/>
    <w:rsid w:val="00211CC1"/>
    <w:rsid w:val="00214977"/>
    <w:rsid w:val="002204CF"/>
    <w:rsid w:val="00221308"/>
    <w:rsid w:val="0022141E"/>
    <w:rsid w:val="002218D7"/>
    <w:rsid w:val="00222C97"/>
    <w:rsid w:val="00225D0B"/>
    <w:rsid w:val="00226D19"/>
    <w:rsid w:val="0023212B"/>
    <w:rsid w:val="0023268F"/>
    <w:rsid w:val="002336E0"/>
    <w:rsid w:val="00234C8D"/>
    <w:rsid w:val="00237070"/>
    <w:rsid w:val="00240533"/>
    <w:rsid w:val="00240716"/>
    <w:rsid w:val="00247D45"/>
    <w:rsid w:val="00254106"/>
    <w:rsid w:val="002543C3"/>
    <w:rsid w:val="00254AF8"/>
    <w:rsid w:val="002561CF"/>
    <w:rsid w:val="00262E18"/>
    <w:rsid w:val="0026455E"/>
    <w:rsid w:val="002665E5"/>
    <w:rsid w:val="002671FA"/>
    <w:rsid w:val="0027078E"/>
    <w:rsid w:val="00272C83"/>
    <w:rsid w:val="00277646"/>
    <w:rsid w:val="00282C25"/>
    <w:rsid w:val="00283C73"/>
    <w:rsid w:val="00284326"/>
    <w:rsid w:val="002847F2"/>
    <w:rsid w:val="00285003"/>
    <w:rsid w:val="00285D2A"/>
    <w:rsid w:val="00286AA9"/>
    <w:rsid w:val="00287DCC"/>
    <w:rsid w:val="002907CA"/>
    <w:rsid w:val="00291931"/>
    <w:rsid w:val="00291CF1"/>
    <w:rsid w:val="00297A47"/>
    <w:rsid w:val="002A143D"/>
    <w:rsid w:val="002A493A"/>
    <w:rsid w:val="002A49B0"/>
    <w:rsid w:val="002A530A"/>
    <w:rsid w:val="002A69B0"/>
    <w:rsid w:val="002A6D0B"/>
    <w:rsid w:val="002B034A"/>
    <w:rsid w:val="002B29D8"/>
    <w:rsid w:val="002B2B3F"/>
    <w:rsid w:val="002B4294"/>
    <w:rsid w:val="002B7922"/>
    <w:rsid w:val="002B7E1B"/>
    <w:rsid w:val="002C04DA"/>
    <w:rsid w:val="002C06E4"/>
    <w:rsid w:val="002C1117"/>
    <w:rsid w:val="002C2529"/>
    <w:rsid w:val="002C4242"/>
    <w:rsid w:val="002C5C73"/>
    <w:rsid w:val="002C62B3"/>
    <w:rsid w:val="002C7620"/>
    <w:rsid w:val="002C7B77"/>
    <w:rsid w:val="002D0AA6"/>
    <w:rsid w:val="002D0EF4"/>
    <w:rsid w:val="002D1929"/>
    <w:rsid w:val="002D1A33"/>
    <w:rsid w:val="002D1A59"/>
    <w:rsid w:val="002D1D66"/>
    <w:rsid w:val="002D1E99"/>
    <w:rsid w:val="002D2AB4"/>
    <w:rsid w:val="002D47F5"/>
    <w:rsid w:val="002D7115"/>
    <w:rsid w:val="002D7CF9"/>
    <w:rsid w:val="002D7DEE"/>
    <w:rsid w:val="002E070C"/>
    <w:rsid w:val="002E2593"/>
    <w:rsid w:val="002E29FF"/>
    <w:rsid w:val="002E2B50"/>
    <w:rsid w:val="002E4B66"/>
    <w:rsid w:val="002E650A"/>
    <w:rsid w:val="002F2CAE"/>
    <w:rsid w:val="002F2D75"/>
    <w:rsid w:val="002F32B9"/>
    <w:rsid w:val="002F546F"/>
    <w:rsid w:val="002F576E"/>
    <w:rsid w:val="002F5C6C"/>
    <w:rsid w:val="002F784E"/>
    <w:rsid w:val="002F7CCE"/>
    <w:rsid w:val="002F7E40"/>
    <w:rsid w:val="003008AB"/>
    <w:rsid w:val="003012DA"/>
    <w:rsid w:val="00301A73"/>
    <w:rsid w:val="003035AC"/>
    <w:rsid w:val="003056FE"/>
    <w:rsid w:val="00305C52"/>
    <w:rsid w:val="00307C5C"/>
    <w:rsid w:val="003105F2"/>
    <w:rsid w:val="00313480"/>
    <w:rsid w:val="003152B6"/>
    <w:rsid w:val="003155BD"/>
    <w:rsid w:val="00315E33"/>
    <w:rsid w:val="00316FBB"/>
    <w:rsid w:val="003171F0"/>
    <w:rsid w:val="003200B7"/>
    <w:rsid w:val="0032082B"/>
    <w:rsid w:val="00320A5D"/>
    <w:rsid w:val="00320CC2"/>
    <w:rsid w:val="00321E0A"/>
    <w:rsid w:val="00325F86"/>
    <w:rsid w:val="0032640F"/>
    <w:rsid w:val="00326883"/>
    <w:rsid w:val="00327E9A"/>
    <w:rsid w:val="00331553"/>
    <w:rsid w:val="00332E5D"/>
    <w:rsid w:val="00333506"/>
    <w:rsid w:val="00333578"/>
    <w:rsid w:val="00333EE4"/>
    <w:rsid w:val="00334ECB"/>
    <w:rsid w:val="0033558E"/>
    <w:rsid w:val="00335E2C"/>
    <w:rsid w:val="00336371"/>
    <w:rsid w:val="00336F12"/>
    <w:rsid w:val="00337C78"/>
    <w:rsid w:val="003410AA"/>
    <w:rsid w:val="0034186E"/>
    <w:rsid w:val="0034481E"/>
    <w:rsid w:val="00347144"/>
    <w:rsid w:val="0034786E"/>
    <w:rsid w:val="003517EC"/>
    <w:rsid w:val="00352598"/>
    <w:rsid w:val="00352A6B"/>
    <w:rsid w:val="00352EC1"/>
    <w:rsid w:val="00353E49"/>
    <w:rsid w:val="00361A8C"/>
    <w:rsid w:val="00362A97"/>
    <w:rsid w:val="00364CF3"/>
    <w:rsid w:val="00365A66"/>
    <w:rsid w:val="00365F10"/>
    <w:rsid w:val="00367EAB"/>
    <w:rsid w:val="00372204"/>
    <w:rsid w:val="00372573"/>
    <w:rsid w:val="0037765D"/>
    <w:rsid w:val="00377AB2"/>
    <w:rsid w:val="003814B3"/>
    <w:rsid w:val="0038330F"/>
    <w:rsid w:val="00384986"/>
    <w:rsid w:val="00385B26"/>
    <w:rsid w:val="00391D29"/>
    <w:rsid w:val="0039201F"/>
    <w:rsid w:val="0039283B"/>
    <w:rsid w:val="003929D5"/>
    <w:rsid w:val="00394DE0"/>
    <w:rsid w:val="00396EA4"/>
    <w:rsid w:val="003A175A"/>
    <w:rsid w:val="003A22B3"/>
    <w:rsid w:val="003A3363"/>
    <w:rsid w:val="003A3905"/>
    <w:rsid w:val="003A3CC1"/>
    <w:rsid w:val="003A5192"/>
    <w:rsid w:val="003A58A9"/>
    <w:rsid w:val="003A6635"/>
    <w:rsid w:val="003A672A"/>
    <w:rsid w:val="003A6A65"/>
    <w:rsid w:val="003A6B0E"/>
    <w:rsid w:val="003B073D"/>
    <w:rsid w:val="003B35F7"/>
    <w:rsid w:val="003B4640"/>
    <w:rsid w:val="003B5562"/>
    <w:rsid w:val="003B737F"/>
    <w:rsid w:val="003B78D6"/>
    <w:rsid w:val="003C044E"/>
    <w:rsid w:val="003C179F"/>
    <w:rsid w:val="003C2450"/>
    <w:rsid w:val="003C3F0A"/>
    <w:rsid w:val="003D1BEF"/>
    <w:rsid w:val="003D26BA"/>
    <w:rsid w:val="003D35D7"/>
    <w:rsid w:val="003D448E"/>
    <w:rsid w:val="003D65AC"/>
    <w:rsid w:val="003E1876"/>
    <w:rsid w:val="003E3A13"/>
    <w:rsid w:val="003E4C17"/>
    <w:rsid w:val="003E5D96"/>
    <w:rsid w:val="003E6BA0"/>
    <w:rsid w:val="003E73DB"/>
    <w:rsid w:val="003E7F07"/>
    <w:rsid w:val="003F0301"/>
    <w:rsid w:val="003F3F32"/>
    <w:rsid w:val="003F5599"/>
    <w:rsid w:val="003F59E6"/>
    <w:rsid w:val="003F6597"/>
    <w:rsid w:val="003F770A"/>
    <w:rsid w:val="003F7AB6"/>
    <w:rsid w:val="00400837"/>
    <w:rsid w:val="0040106A"/>
    <w:rsid w:val="004027FF"/>
    <w:rsid w:val="004040EB"/>
    <w:rsid w:val="0040426D"/>
    <w:rsid w:val="004043B6"/>
    <w:rsid w:val="00404A4A"/>
    <w:rsid w:val="00404DF9"/>
    <w:rsid w:val="0040589E"/>
    <w:rsid w:val="00410F3C"/>
    <w:rsid w:val="004120B1"/>
    <w:rsid w:val="004124D3"/>
    <w:rsid w:val="0041421D"/>
    <w:rsid w:val="00414A5C"/>
    <w:rsid w:val="004156B4"/>
    <w:rsid w:val="0041697F"/>
    <w:rsid w:val="00421388"/>
    <w:rsid w:val="00421F66"/>
    <w:rsid w:val="004223AA"/>
    <w:rsid w:val="00423104"/>
    <w:rsid w:val="00424DC8"/>
    <w:rsid w:val="004267D3"/>
    <w:rsid w:val="00433656"/>
    <w:rsid w:val="00433C6B"/>
    <w:rsid w:val="00433E65"/>
    <w:rsid w:val="004374B2"/>
    <w:rsid w:val="004407ED"/>
    <w:rsid w:val="00440A49"/>
    <w:rsid w:val="00440A90"/>
    <w:rsid w:val="00442AB8"/>
    <w:rsid w:val="004436EA"/>
    <w:rsid w:val="00445331"/>
    <w:rsid w:val="00446297"/>
    <w:rsid w:val="004473AC"/>
    <w:rsid w:val="00450756"/>
    <w:rsid w:val="00450B39"/>
    <w:rsid w:val="00453242"/>
    <w:rsid w:val="00454498"/>
    <w:rsid w:val="00456C59"/>
    <w:rsid w:val="00461ADC"/>
    <w:rsid w:val="0046278C"/>
    <w:rsid w:val="0046371B"/>
    <w:rsid w:val="00466815"/>
    <w:rsid w:val="00466FC6"/>
    <w:rsid w:val="00470CC9"/>
    <w:rsid w:val="00472C5A"/>
    <w:rsid w:val="00475EFA"/>
    <w:rsid w:val="004807AE"/>
    <w:rsid w:val="004829C1"/>
    <w:rsid w:val="00482CC7"/>
    <w:rsid w:val="00484CB9"/>
    <w:rsid w:val="0048535D"/>
    <w:rsid w:val="00487FE4"/>
    <w:rsid w:val="00490198"/>
    <w:rsid w:val="00490352"/>
    <w:rsid w:val="00490E28"/>
    <w:rsid w:val="00491A9F"/>
    <w:rsid w:val="00494435"/>
    <w:rsid w:val="00495A1E"/>
    <w:rsid w:val="0049645A"/>
    <w:rsid w:val="004966C6"/>
    <w:rsid w:val="00496930"/>
    <w:rsid w:val="00497362"/>
    <w:rsid w:val="00497E2A"/>
    <w:rsid w:val="004A0AE7"/>
    <w:rsid w:val="004A10DB"/>
    <w:rsid w:val="004A3896"/>
    <w:rsid w:val="004A40AF"/>
    <w:rsid w:val="004A5DF7"/>
    <w:rsid w:val="004A6062"/>
    <w:rsid w:val="004A6D7B"/>
    <w:rsid w:val="004A770F"/>
    <w:rsid w:val="004B1F38"/>
    <w:rsid w:val="004B27C1"/>
    <w:rsid w:val="004B4194"/>
    <w:rsid w:val="004C1697"/>
    <w:rsid w:val="004C1A03"/>
    <w:rsid w:val="004C1C3B"/>
    <w:rsid w:val="004C5EFB"/>
    <w:rsid w:val="004C665A"/>
    <w:rsid w:val="004C751C"/>
    <w:rsid w:val="004D2DF0"/>
    <w:rsid w:val="004D2EAC"/>
    <w:rsid w:val="004D310E"/>
    <w:rsid w:val="004D34C8"/>
    <w:rsid w:val="004D37D8"/>
    <w:rsid w:val="004D41EF"/>
    <w:rsid w:val="004D4938"/>
    <w:rsid w:val="004D4B81"/>
    <w:rsid w:val="004D587B"/>
    <w:rsid w:val="004E0658"/>
    <w:rsid w:val="004E0BCD"/>
    <w:rsid w:val="004E0E45"/>
    <w:rsid w:val="004E2BF1"/>
    <w:rsid w:val="004E4516"/>
    <w:rsid w:val="004E5611"/>
    <w:rsid w:val="004E6528"/>
    <w:rsid w:val="004F03B6"/>
    <w:rsid w:val="004F0471"/>
    <w:rsid w:val="004F1876"/>
    <w:rsid w:val="004F1A05"/>
    <w:rsid w:val="004F2D4E"/>
    <w:rsid w:val="004F6683"/>
    <w:rsid w:val="004F6B2B"/>
    <w:rsid w:val="004F7938"/>
    <w:rsid w:val="005005DF"/>
    <w:rsid w:val="00500B17"/>
    <w:rsid w:val="00505045"/>
    <w:rsid w:val="0051080C"/>
    <w:rsid w:val="00511501"/>
    <w:rsid w:val="005138DC"/>
    <w:rsid w:val="00513B84"/>
    <w:rsid w:val="00514505"/>
    <w:rsid w:val="0051602E"/>
    <w:rsid w:val="005163C8"/>
    <w:rsid w:val="0051640E"/>
    <w:rsid w:val="00516741"/>
    <w:rsid w:val="0051697E"/>
    <w:rsid w:val="005175A3"/>
    <w:rsid w:val="00524593"/>
    <w:rsid w:val="00525719"/>
    <w:rsid w:val="00525FBF"/>
    <w:rsid w:val="005265D2"/>
    <w:rsid w:val="00526868"/>
    <w:rsid w:val="0052795B"/>
    <w:rsid w:val="00527ABC"/>
    <w:rsid w:val="00527FED"/>
    <w:rsid w:val="0053094D"/>
    <w:rsid w:val="0053303E"/>
    <w:rsid w:val="005350F1"/>
    <w:rsid w:val="0054193D"/>
    <w:rsid w:val="005427B7"/>
    <w:rsid w:val="00542A19"/>
    <w:rsid w:val="00542D59"/>
    <w:rsid w:val="00543698"/>
    <w:rsid w:val="005462A5"/>
    <w:rsid w:val="00552455"/>
    <w:rsid w:val="0055503F"/>
    <w:rsid w:val="00556710"/>
    <w:rsid w:val="00560D16"/>
    <w:rsid w:val="00560E88"/>
    <w:rsid w:val="00561768"/>
    <w:rsid w:val="00561A9A"/>
    <w:rsid w:val="005624A6"/>
    <w:rsid w:val="005638BC"/>
    <w:rsid w:val="0056390A"/>
    <w:rsid w:val="00564363"/>
    <w:rsid w:val="0056465F"/>
    <w:rsid w:val="00564793"/>
    <w:rsid w:val="00566234"/>
    <w:rsid w:val="00566385"/>
    <w:rsid w:val="005666A5"/>
    <w:rsid w:val="00566F4A"/>
    <w:rsid w:val="005672B8"/>
    <w:rsid w:val="00567371"/>
    <w:rsid w:val="00567475"/>
    <w:rsid w:val="005677E3"/>
    <w:rsid w:val="0057262B"/>
    <w:rsid w:val="00573A8B"/>
    <w:rsid w:val="00573E51"/>
    <w:rsid w:val="00577721"/>
    <w:rsid w:val="00577982"/>
    <w:rsid w:val="0058035B"/>
    <w:rsid w:val="00580DFB"/>
    <w:rsid w:val="00581A66"/>
    <w:rsid w:val="00581CE2"/>
    <w:rsid w:val="0058297B"/>
    <w:rsid w:val="00582A03"/>
    <w:rsid w:val="00582BA1"/>
    <w:rsid w:val="00583BD6"/>
    <w:rsid w:val="005912B8"/>
    <w:rsid w:val="00593E19"/>
    <w:rsid w:val="00595F27"/>
    <w:rsid w:val="00596E88"/>
    <w:rsid w:val="005A0969"/>
    <w:rsid w:val="005A09B1"/>
    <w:rsid w:val="005A0BC4"/>
    <w:rsid w:val="005A0EED"/>
    <w:rsid w:val="005A4B86"/>
    <w:rsid w:val="005A5107"/>
    <w:rsid w:val="005A53F6"/>
    <w:rsid w:val="005A69A5"/>
    <w:rsid w:val="005B1CAC"/>
    <w:rsid w:val="005B30C5"/>
    <w:rsid w:val="005B344F"/>
    <w:rsid w:val="005B5DBD"/>
    <w:rsid w:val="005B7AAE"/>
    <w:rsid w:val="005C038B"/>
    <w:rsid w:val="005C0619"/>
    <w:rsid w:val="005C09FD"/>
    <w:rsid w:val="005C2111"/>
    <w:rsid w:val="005C2514"/>
    <w:rsid w:val="005C2684"/>
    <w:rsid w:val="005C2DDC"/>
    <w:rsid w:val="005C3569"/>
    <w:rsid w:val="005C5620"/>
    <w:rsid w:val="005C5979"/>
    <w:rsid w:val="005C7AFF"/>
    <w:rsid w:val="005D22F7"/>
    <w:rsid w:val="005D2AA5"/>
    <w:rsid w:val="005D41F9"/>
    <w:rsid w:val="005D4A4E"/>
    <w:rsid w:val="005D4D9D"/>
    <w:rsid w:val="005D6411"/>
    <w:rsid w:val="005D6EDE"/>
    <w:rsid w:val="005D722C"/>
    <w:rsid w:val="005E1297"/>
    <w:rsid w:val="005E249D"/>
    <w:rsid w:val="005E2754"/>
    <w:rsid w:val="005E724B"/>
    <w:rsid w:val="005F5122"/>
    <w:rsid w:val="005F7CC6"/>
    <w:rsid w:val="00600353"/>
    <w:rsid w:val="006005FE"/>
    <w:rsid w:val="00602EF7"/>
    <w:rsid w:val="00605662"/>
    <w:rsid w:val="00607B03"/>
    <w:rsid w:val="0061059D"/>
    <w:rsid w:val="00610D93"/>
    <w:rsid w:val="006112CB"/>
    <w:rsid w:val="00611EC8"/>
    <w:rsid w:val="00613017"/>
    <w:rsid w:val="006137C4"/>
    <w:rsid w:val="00614393"/>
    <w:rsid w:val="00614A4D"/>
    <w:rsid w:val="00615D25"/>
    <w:rsid w:val="00615F18"/>
    <w:rsid w:val="0061782A"/>
    <w:rsid w:val="0062217C"/>
    <w:rsid w:val="00622557"/>
    <w:rsid w:val="00623567"/>
    <w:rsid w:val="00624EBA"/>
    <w:rsid w:val="00625F2E"/>
    <w:rsid w:val="00626AE5"/>
    <w:rsid w:val="00635FCC"/>
    <w:rsid w:val="0063683F"/>
    <w:rsid w:val="006406D3"/>
    <w:rsid w:val="006412B5"/>
    <w:rsid w:val="00641932"/>
    <w:rsid w:val="0064275F"/>
    <w:rsid w:val="00643313"/>
    <w:rsid w:val="00643371"/>
    <w:rsid w:val="00643C16"/>
    <w:rsid w:val="0064477C"/>
    <w:rsid w:val="00644FFC"/>
    <w:rsid w:val="006464B5"/>
    <w:rsid w:val="00650903"/>
    <w:rsid w:val="00651441"/>
    <w:rsid w:val="00653F5C"/>
    <w:rsid w:val="00656743"/>
    <w:rsid w:val="006575D9"/>
    <w:rsid w:val="006577E0"/>
    <w:rsid w:val="006577ED"/>
    <w:rsid w:val="0066045A"/>
    <w:rsid w:val="00660546"/>
    <w:rsid w:val="00664688"/>
    <w:rsid w:val="00664CF1"/>
    <w:rsid w:val="006679C0"/>
    <w:rsid w:val="00667A0C"/>
    <w:rsid w:val="00672893"/>
    <w:rsid w:val="00673AB2"/>
    <w:rsid w:val="006752F4"/>
    <w:rsid w:val="006760E9"/>
    <w:rsid w:val="006804DF"/>
    <w:rsid w:val="006807D3"/>
    <w:rsid w:val="00680ED5"/>
    <w:rsid w:val="0068120D"/>
    <w:rsid w:val="0068149E"/>
    <w:rsid w:val="00681608"/>
    <w:rsid w:val="00681956"/>
    <w:rsid w:val="006826ED"/>
    <w:rsid w:val="00682893"/>
    <w:rsid w:val="00682E56"/>
    <w:rsid w:val="00682FBA"/>
    <w:rsid w:val="00683370"/>
    <w:rsid w:val="0068429A"/>
    <w:rsid w:val="00684E54"/>
    <w:rsid w:val="00687C2A"/>
    <w:rsid w:val="00690D31"/>
    <w:rsid w:val="006911BE"/>
    <w:rsid w:val="0069148C"/>
    <w:rsid w:val="00691C2E"/>
    <w:rsid w:val="006923C8"/>
    <w:rsid w:val="0069372F"/>
    <w:rsid w:val="00693FCB"/>
    <w:rsid w:val="00694BE6"/>
    <w:rsid w:val="00695086"/>
    <w:rsid w:val="00696AB4"/>
    <w:rsid w:val="006976BF"/>
    <w:rsid w:val="006A05D7"/>
    <w:rsid w:val="006A0772"/>
    <w:rsid w:val="006A15F7"/>
    <w:rsid w:val="006A284B"/>
    <w:rsid w:val="006A3AB2"/>
    <w:rsid w:val="006A4628"/>
    <w:rsid w:val="006A51B9"/>
    <w:rsid w:val="006A55F2"/>
    <w:rsid w:val="006A73F4"/>
    <w:rsid w:val="006A77E1"/>
    <w:rsid w:val="006B15A5"/>
    <w:rsid w:val="006B2D1B"/>
    <w:rsid w:val="006B3544"/>
    <w:rsid w:val="006B371E"/>
    <w:rsid w:val="006B4213"/>
    <w:rsid w:val="006B4DF0"/>
    <w:rsid w:val="006B51CB"/>
    <w:rsid w:val="006B573F"/>
    <w:rsid w:val="006B5A90"/>
    <w:rsid w:val="006B6348"/>
    <w:rsid w:val="006B7444"/>
    <w:rsid w:val="006B75D1"/>
    <w:rsid w:val="006B7BCC"/>
    <w:rsid w:val="006B7D6A"/>
    <w:rsid w:val="006C0C4A"/>
    <w:rsid w:val="006C1013"/>
    <w:rsid w:val="006C21BB"/>
    <w:rsid w:val="006C228B"/>
    <w:rsid w:val="006C2931"/>
    <w:rsid w:val="006C3DC6"/>
    <w:rsid w:val="006C4142"/>
    <w:rsid w:val="006C43ED"/>
    <w:rsid w:val="006C4A10"/>
    <w:rsid w:val="006C61D1"/>
    <w:rsid w:val="006C7FA2"/>
    <w:rsid w:val="006D2701"/>
    <w:rsid w:val="006D2D33"/>
    <w:rsid w:val="006D466E"/>
    <w:rsid w:val="006D4B70"/>
    <w:rsid w:val="006D6848"/>
    <w:rsid w:val="006E3B48"/>
    <w:rsid w:val="006E3E81"/>
    <w:rsid w:val="006E53C0"/>
    <w:rsid w:val="006E6184"/>
    <w:rsid w:val="006E64B4"/>
    <w:rsid w:val="006F03AA"/>
    <w:rsid w:val="006F096A"/>
    <w:rsid w:val="006F0A74"/>
    <w:rsid w:val="006F1CD1"/>
    <w:rsid w:val="006F3095"/>
    <w:rsid w:val="006F3C0E"/>
    <w:rsid w:val="006F5309"/>
    <w:rsid w:val="006F5455"/>
    <w:rsid w:val="006F5CB6"/>
    <w:rsid w:val="006F7A8B"/>
    <w:rsid w:val="007021E4"/>
    <w:rsid w:val="0070242A"/>
    <w:rsid w:val="00703194"/>
    <w:rsid w:val="0070472E"/>
    <w:rsid w:val="00706D54"/>
    <w:rsid w:val="0070737C"/>
    <w:rsid w:val="00711229"/>
    <w:rsid w:val="00714A68"/>
    <w:rsid w:val="00715018"/>
    <w:rsid w:val="007150FD"/>
    <w:rsid w:val="00715D38"/>
    <w:rsid w:val="00716045"/>
    <w:rsid w:val="007179FE"/>
    <w:rsid w:val="00717D6D"/>
    <w:rsid w:val="00717F25"/>
    <w:rsid w:val="007201B1"/>
    <w:rsid w:val="007201FF"/>
    <w:rsid w:val="00721870"/>
    <w:rsid w:val="007219B9"/>
    <w:rsid w:val="00721B2C"/>
    <w:rsid w:val="00724E14"/>
    <w:rsid w:val="00725AD5"/>
    <w:rsid w:val="007261F2"/>
    <w:rsid w:val="00726271"/>
    <w:rsid w:val="00726EB4"/>
    <w:rsid w:val="00726FF5"/>
    <w:rsid w:val="00727E47"/>
    <w:rsid w:val="00731945"/>
    <w:rsid w:val="00732471"/>
    <w:rsid w:val="0073698D"/>
    <w:rsid w:val="00736C0B"/>
    <w:rsid w:val="00736C43"/>
    <w:rsid w:val="0074266B"/>
    <w:rsid w:val="00742D57"/>
    <w:rsid w:val="007430CB"/>
    <w:rsid w:val="0074494C"/>
    <w:rsid w:val="007452AE"/>
    <w:rsid w:val="00745973"/>
    <w:rsid w:val="00746531"/>
    <w:rsid w:val="007503CD"/>
    <w:rsid w:val="0075127F"/>
    <w:rsid w:val="00751725"/>
    <w:rsid w:val="0075267B"/>
    <w:rsid w:val="0075316F"/>
    <w:rsid w:val="0075450A"/>
    <w:rsid w:val="00755A39"/>
    <w:rsid w:val="00755B01"/>
    <w:rsid w:val="00755F7C"/>
    <w:rsid w:val="00756B30"/>
    <w:rsid w:val="00757E7E"/>
    <w:rsid w:val="0076017E"/>
    <w:rsid w:val="00760DB6"/>
    <w:rsid w:val="00761F27"/>
    <w:rsid w:val="00762558"/>
    <w:rsid w:val="00762F4E"/>
    <w:rsid w:val="0076434A"/>
    <w:rsid w:val="007661AE"/>
    <w:rsid w:val="00766A51"/>
    <w:rsid w:val="00766E9D"/>
    <w:rsid w:val="00767629"/>
    <w:rsid w:val="00770899"/>
    <w:rsid w:val="00772F1C"/>
    <w:rsid w:val="00774273"/>
    <w:rsid w:val="00774288"/>
    <w:rsid w:val="007747F7"/>
    <w:rsid w:val="00775C1A"/>
    <w:rsid w:val="00777610"/>
    <w:rsid w:val="0077788E"/>
    <w:rsid w:val="007778F4"/>
    <w:rsid w:val="00777A67"/>
    <w:rsid w:val="0078248C"/>
    <w:rsid w:val="007834BF"/>
    <w:rsid w:val="00783AB2"/>
    <w:rsid w:val="00787E75"/>
    <w:rsid w:val="00793420"/>
    <w:rsid w:val="00793A2E"/>
    <w:rsid w:val="007951CB"/>
    <w:rsid w:val="00795693"/>
    <w:rsid w:val="00795B5B"/>
    <w:rsid w:val="00796A22"/>
    <w:rsid w:val="007A250A"/>
    <w:rsid w:val="007A3157"/>
    <w:rsid w:val="007A3758"/>
    <w:rsid w:val="007A5E2D"/>
    <w:rsid w:val="007A5E6B"/>
    <w:rsid w:val="007A6E20"/>
    <w:rsid w:val="007B080D"/>
    <w:rsid w:val="007B0AB2"/>
    <w:rsid w:val="007B10ED"/>
    <w:rsid w:val="007B15CF"/>
    <w:rsid w:val="007B16A8"/>
    <w:rsid w:val="007B188D"/>
    <w:rsid w:val="007B1E40"/>
    <w:rsid w:val="007B3BFC"/>
    <w:rsid w:val="007B4B03"/>
    <w:rsid w:val="007B4FC0"/>
    <w:rsid w:val="007B5197"/>
    <w:rsid w:val="007C1433"/>
    <w:rsid w:val="007C15F4"/>
    <w:rsid w:val="007C2727"/>
    <w:rsid w:val="007C3262"/>
    <w:rsid w:val="007C334C"/>
    <w:rsid w:val="007C44C1"/>
    <w:rsid w:val="007C65EF"/>
    <w:rsid w:val="007C69DD"/>
    <w:rsid w:val="007C7C6F"/>
    <w:rsid w:val="007D20FF"/>
    <w:rsid w:val="007D2961"/>
    <w:rsid w:val="007D3057"/>
    <w:rsid w:val="007D510C"/>
    <w:rsid w:val="007D615D"/>
    <w:rsid w:val="007D65B7"/>
    <w:rsid w:val="007D6744"/>
    <w:rsid w:val="007E02F1"/>
    <w:rsid w:val="007E5117"/>
    <w:rsid w:val="007E71B6"/>
    <w:rsid w:val="007E72B4"/>
    <w:rsid w:val="007F01AB"/>
    <w:rsid w:val="007F2ADC"/>
    <w:rsid w:val="007F2F8F"/>
    <w:rsid w:val="007F4538"/>
    <w:rsid w:val="007F502F"/>
    <w:rsid w:val="007F5245"/>
    <w:rsid w:val="007F7810"/>
    <w:rsid w:val="007F7A22"/>
    <w:rsid w:val="00800E3C"/>
    <w:rsid w:val="00800FEB"/>
    <w:rsid w:val="00801851"/>
    <w:rsid w:val="00804357"/>
    <w:rsid w:val="00805B85"/>
    <w:rsid w:val="00805D83"/>
    <w:rsid w:val="00807886"/>
    <w:rsid w:val="00807AD8"/>
    <w:rsid w:val="00813CFF"/>
    <w:rsid w:val="00813FC2"/>
    <w:rsid w:val="00814590"/>
    <w:rsid w:val="00814667"/>
    <w:rsid w:val="00814EAD"/>
    <w:rsid w:val="008156B7"/>
    <w:rsid w:val="00816464"/>
    <w:rsid w:val="00816672"/>
    <w:rsid w:val="00817D90"/>
    <w:rsid w:val="0082088C"/>
    <w:rsid w:val="00822B9D"/>
    <w:rsid w:val="0082402C"/>
    <w:rsid w:val="008241B9"/>
    <w:rsid w:val="0082540B"/>
    <w:rsid w:val="008262F1"/>
    <w:rsid w:val="00826C57"/>
    <w:rsid w:val="00827112"/>
    <w:rsid w:val="008311FA"/>
    <w:rsid w:val="008317EF"/>
    <w:rsid w:val="008325D4"/>
    <w:rsid w:val="0083302A"/>
    <w:rsid w:val="008363B3"/>
    <w:rsid w:val="00837090"/>
    <w:rsid w:val="00837A93"/>
    <w:rsid w:val="00837F62"/>
    <w:rsid w:val="008436A8"/>
    <w:rsid w:val="0084482A"/>
    <w:rsid w:val="00844F11"/>
    <w:rsid w:val="00845BCC"/>
    <w:rsid w:val="008502E5"/>
    <w:rsid w:val="00851465"/>
    <w:rsid w:val="0085243D"/>
    <w:rsid w:val="00852ED8"/>
    <w:rsid w:val="0085533A"/>
    <w:rsid w:val="00855543"/>
    <w:rsid w:val="00856160"/>
    <w:rsid w:val="00856F5F"/>
    <w:rsid w:val="0085738D"/>
    <w:rsid w:val="00857EDD"/>
    <w:rsid w:val="008605A8"/>
    <w:rsid w:val="00860793"/>
    <w:rsid w:val="008608E5"/>
    <w:rsid w:val="00861024"/>
    <w:rsid w:val="0086137F"/>
    <w:rsid w:val="00862395"/>
    <w:rsid w:val="008654A0"/>
    <w:rsid w:val="0086782C"/>
    <w:rsid w:val="008708D6"/>
    <w:rsid w:val="00872093"/>
    <w:rsid w:val="0087255F"/>
    <w:rsid w:val="008736D9"/>
    <w:rsid w:val="008760D0"/>
    <w:rsid w:val="00876D3A"/>
    <w:rsid w:val="00876ED3"/>
    <w:rsid w:val="00880499"/>
    <w:rsid w:val="00880573"/>
    <w:rsid w:val="00881317"/>
    <w:rsid w:val="008827E0"/>
    <w:rsid w:val="00883A6D"/>
    <w:rsid w:val="008843EE"/>
    <w:rsid w:val="00886043"/>
    <w:rsid w:val="00886764"/>
    <w:rsid w:val="0089255A"/>
    <w:rsid w:val="00896039"/>
    <w:rsid w:val="00896477"/>
    <w:rsid w:val="00896F5A"/>
    <w:rsid w:val="00897554"/>
    <w:rsid w:val="008A1110"/>
    <w:rsid w:val="008A1DDA"/>
    <w:rsid w:val="008A3C37"/>
    <w:rsid w:val="008A47F8"/>
    <w:rsid w:val="008A5B8A"/>
    <w:rsid w:val="008A5F59"/>
    <w:rsid w:val="008A6E23"/>
    <w:rsid w:val="008A715A"/>
    <w:rsid w:val="008A74CB"/>
    <w:rsid w:val="008B14C4"/>
    <w:rsid w:val="008B1840"/>
    <w:rsid w:val="008B1898"/>
    <w:rsid w:val="008B1C10"/>
    <w:rsid w:val="008B44F6"/>
    <w:rsid w:val="008B73A2"/>
    <w:rsid w:val="008C0A89"/>
    <w:rsid w:val="008C280B"/>
    <w:rsid w:val="008C41F1"/>
    <w:rsid w:val="008C440D"/>
    <w:rsid w:val="008C55EB"/>
    <w:rsid w:val="008C6A7B"/>
    <w:rsid w:val="008C6B74"/>
    <w:rsid w:val="008C6F74"/>
    <w:rsid w:val="008C7F5B"/>
    <w:rsid w:val="008D079A"/>
    <w:rsid w:val="008D1319"/>
    <w:rsid w:val="008D193F"/>
    <w:rsid w:val="008D1D84"/>
    <w:rsid w:val="008D5B52"/>
    <w:rsid w:val="008D5CF7"/>
    <w:rsid w:val="008D7E02"/>
    <w:rsid w:val="008E1C97"/>
    <w:rsid w:val="008E1CD8"/>
    <w:rsid w:val="008E481D"/>
    <w:rsid w:val="008E48FC"/>
    <w:rsid w:val="008E5C71"/>
    <w:rsid w:val="008E711D"/>
    <w:rsid w:val="008F14EF"/>
    <w:rsid w:val="008F2307"/>
    <w:rsid w:val="008F2350"/>
    <w:rsid w:val="008F2375"/>
    <w:rsid w:val="008F2AD6"/>
    <w:rsid w:val="008F47A1"/>
    <w:rsid w:val="008F4BA8"/>
    <w:rsid w:val="008F5ABF"/>
    <w:rsid w:val="008F5C07"/>
    <w:rsid w:val="008F696D"/>
    <w:rsid w:val="00900F7E"/>
    <w:rsid w:val="00901CF5"/>
    <w:rsid w:val="00902097"/>
    <w:rsid w:val="009061D7"/>
    <w:rsid w:val="009065E7"/>
    <w:rsid w:val="009072F9"/>
    <w:rsid w:val="00907C47"/>
    <w:rsid w:val="00910630"/>
    <w:rsid w:val="00910EA9"/>
    <w:rsid w:val="0091124F"/>
    <w:rsid w:val="00913276"/>
    <w:rsid w:val="00913611"/>
    <w:rsid w:val="00915797"/>
    <w:rsid w:val="00917758"/>
    <w:rsid w:val="0092206C"/>
    <w:rsid w:val="009221DF"/>
    <w:rsid w:val="009224FD"/>
    <w:rsid w:val="00923A87"/>
    <w:rsid w:val="00923D6F"/>
    <w:rsid w:val="00926CA7"/>
    <w:rsid w:val="00930026"/>
    <w:rsid w:val="009300EC"/>
    <w:rsid w:val="0093296C"/>
    <w:rsid w:val="00934EEB"/>
    <w:rsid w:val="00935450"/>
    <w:rsid w:val="00935629"/>
    <w:rsid w:val="00935CC7"/>
    <w:rsid w:val="0094002F"/>
    <w:rsid w:val="0094014A"/>
    <w:rsid w:val="00940658"/>
    <w:rsid w:val="0094129D"/>
    <w:rsid w:val="009419E8"/>
    <w:rsid w:val="00941D34"/>
    <w:rsid w:val="009440A7"/>
    <w:rsid w:val="0094444B"/>
    <w:rsid w:val="00944B5E"/>
    <w:rsid w:val="009455D4"/>
    <w:rsid w:val="00946556"/>
    <w:rsid w:val="00946A91"/>
    <w:rsid w:val="00951BAD"/>
    <w:rsid w:val="00952673"/>
    <w:rsid w:val="00955B16"/>
    <w:rsid w:val="00956C63"/>
    <w:rsid w:val="00956C81"/>
    <w:rsid w:val="00957F28"/>
    <w:rsid w:val="00960EBA"/>
    <w:rsid w:val="009611F3"/>
    <w:rsid w:val="00963FC8"/>
    <w:rsid w:val="0096456D"/>
    <w:rsid w:val="00967E4D"/>
    <w:rsid w:val="009704A5"/>
    <w:rsid w:val="0097198A"/>
    <w:rsid w:val="00973D1E"/>
    <w:rsid w:val="0098381F"/>
    <w:rsid w:val="00983DC2"/>
    <w:rsid w:val="00983DF0"/>
    <w:rsid w:val="00985E7B"/>
    <w:rsid w:val="0098718B"/>
    <w:rsid w:val="009922FF"/>
    <w:rsid w:val="0099279C"/>
    <w:rsid w:val="009939E8"/>
    <w:rsid w:val="00993E8E"/>
    <w:rsid w:val="00994596"/>
    <w:rsid w:val="00994C10"/>
    <w:rsid w:val="009965AC"/>
    <w:rsid w:val="009A0446"/>
    <w:rsid w:val="009A062C"/>
    <w:rsid w:val="009A48AF"/>
    <w:rsid w:val="009A522D"/>
    <w:rsid w:val="009B25A5"/>
    <w:rsid w:val="009B3064"/>
    <w:rsid w:val="009B3BCE"/>
    <w:rsid w:val="009B3F77"/>
    <w:rsid w:val="009B5132"/>
    <w:rsid w:val="009B6544"/>
    <w:rsid w:val="009B76E5"/>
    <w:rsid w:val="009C04EB"/>
    <w:rsid w:val="009C166A"/>
    <w:rsid w:val="009C398B"/>
    <w:rsid w:val="009C55CF"/>
    <w:rsid w:val="009C6FFB"/>
    <w:rsid w:val="009C786F"/>
    <w:rsid w:val="009C7EF5"/>
    <w:rsid w:val="009D0F4A"/>
    <w:rsid w:val="009D2CF4"/>
    <w:rsid w:val="009D2FAC"/>
    <w:rsid w:val="009D62CF"/>
    <w:rsid w:val="009E1311"/>
    <w:rsid w:val="009E151E"/>
    <w:rsid w:val="009E2EA2"/>
    <w:rsid w:val="009E3079"/>
    <w:rsid w:val="009E310E"/>
    <w:rsid w:val="009E37AB"/>
    <w:rsid w:val="009E54FD"/>
    <w:rsid w:val="009E56C5"/>
    <w:rsid w:val="009E5DB6"/>
    <w:rsid w:val="009E733B"/>
    <w:rsid w:val="009E7462"/>
    <w:rsid w:val="009F0675"/>
    <w:rsid w:val="009F0F3D"/>
    <w:rsid w:val="009F2930"/>
    <w:rsid w:val="009F2CC0"/>
    <w:rsid w:val="009F32DA"/>
    <w:rsid w:val="009F7F52"/>
    <w:rsid w:val="00A00BA5"/>
    <w:rsid w:val="00A0202C"/>
    <w:rsid w:val="00A0227E"/>
    <w:rsid w:val="00A02EE4"/>
    <w:rsid w:val="00A02FDD"/>
    <w:rsid w:val="00A044B2"/>
    <w:rsid w:val="00A047CD"/>
    <w:rsid w:val="00A04C30"/>
    <w:rsid w:val="00A04F7E"/>
    <w:rsid w:val="00A06B10"/>
    <w:rsid w:val="00A10974"/>
    <w:rsid w:val="00A121C3"/>
    <w:rsid w:val="00A13D72"/>
    <w:rsid w:val="00A143E7"/>
    <w:rsid w:val="00A14966"/>
    <w:rsid w:val="00A14A73"/>
    <w:rsid w:val="00A1696C"/>
    <w:rsid w:val="00A17CCB"/>
    <w:rsid w:val="00A207A2"/>
    <w:rsid w:val="00A20C2D"/>
    <w:rsid w:val="00A217C5"/>
    <w:rsid w:val="00A2219B"/>
    <w:rsid w:val="00A22577"/>
    <w:rsid w:val="00A2422A"/>
    <w:rsid w:val="00A24361"/>
    <w:rsid w:val="00A256A8"/>
    <w:rsid w:val="00A27A26"/>
    <w:rsid w:val="00A303A1"/>
    <w:rsid w:val="00A3209E"/>
    <w:rsid w:val="00A3212A"/>
    <w:rsid w:val="00A322FB"/>
    <w:rsid w:val="00A356FE"/>
    <w:rsid w:val="00A365C8"/>
    <w:rsid w:val="00A4030E"/>
    <w:rsid w:val="00A4041E"/>
    <w:rsid w:val="00A4077B"/>
    <w:rsid w:val="00A42386"/>
    <w:rsid w:val="00A42D76"/>
    <w:rsid w:val="00A42DA9"/>
    <w:rsid w:val="00A44699"/>
    <w:rsid w:val="00A453B3"/>
    <w:rsid w:val="00A463CD"/>
    <w:rsid w:val="00A4643B"/>
    <w:rsid w:val="00A469B9"/>
    <w:rsid w:val="00A47C4A"/>
    <w:rsid w:val="00A50751"/>
    <w:rsid w:val="00A50E72"/>
    <w:rsid w:val="00A53189"/>
    <w:rsid w:val="00A53419"/>
    <w:rsid w:val="00A54051"/>
    <w:rsid w:val="00A54BE7"/>
    <w:rsid w:val="00A55B5A"/>
    <w:rsid w:val="00A564EB"/>
    <w:rsid w:val="00A620C4"/>
    <w:rsid w:val="00A631F9"/>
    <w:rsid w:val="00A64E39"/>
    <w:rsid w:val="00A6500A"/>
    <w:rsid w:val="00A66694"/>
    <w:rsid w:val="00A671D3"/>
    <w:rsid w:val="00A705E3"/>
    <w:rsid w:val="00A71016"/>
    <w:rsid w:val="00A71BCD"/>
    <w:rsid w:val="00A724C7"/>
    <w:rsid w:val="00A72DE7"/>
    <w:rsid w:val="00A739F1"/>
    <w:rsid w:val="00A762EE"/>
    <w:rsid w:val="00A81EC4"/>
    <w:rsid w:val="00A8295A"/>
    <w:rsid w:val="00A82CBA"/>
    <w:rsid w:val="00A838FA"/>
    <w:rsid w:val="00A8478F"/>
    <w:rsid w:val="00A858C4"/>
    <w:rsid w:val="00A85936"/>
    <w:rsid w:val="00A87D82"/>
    <w:rsid w:val="00A91FE4"/>
    <w:rsid w:val="00A92F0B"/>
    <w:rsid w:val="00A9427F"/>
    <w:rsid w:val="00A974CA"/>
    <w:rsid w:val="00A97C02"/>
    <w:rsid w:val="00AA0CA6"/>
    <w:rsid w:val="00AA2A0D"/>
    <w:rsid w:val="00AA2CD5"/>
    <w:rsid w:val="00AA4597"/>
    <w:rsid w:val="00AA4F6C"/>
    <w:rsid w:val="00AA52E1"/>
    <w:rsid w:val="00AA5577"/>
    <w:rsid w:val="00AA77BA"/>
    <w:rsid w:val="00AB16AE"/>
    <w:rsid w:val="00AB18D5"/>
    <w:rsid w:val="00AB2011"/>
    <w:rsid w:val="00AB25B7"/>
    <w:rsid w:val="00AB4440"/>
    <w:rsid w:val="00AB47A6"/>
    <w:rsid w:val="00AB5A64"/>
    <w:rsid w:val="00AB79E9"/>
    <w:rsid w:val="00AC06B8"/>
    <w:rsid w:val="00AC276B"/>
    <w:rsid w:val="00AC6B83"/>
    <w:rsid w:val="00AC6FC7"/>
    <w:rsid w:val="00AD04F4"/>
    <w:rsid w:val="00AD083C"/>
    <w:rsid w:val="00AD0CE6"/>
    <w:rsid w:val="00AD242A"/>
    <w:rsid w:val="00AD42CE"/>
    <w:rsid w:val="00AD4C5A"/>
    <w:rsid w:val="00AD670F"/>
    <w:rsid w:val="00AE1662"/>
    <w:rsid w:val="00AE1E54"/>
    <w:rsid w:val="00AE478A"/>
    <w:rsid w:val="00AE4E97"/>
    <w:rsid w:val="00AE7A66"/>
    <w:rsid w:val="00AF0D99"/>
    <w:rsid w:val="00AF1480"/>
    <w:rsid w:val="00AF1A13"/>
    <w:rsid w:val="00AF223D"/>
    <w:rsid w:val="00AF3346"/>
    <w:rsid w:val="00AF3412"/>
    <w:rsid w:val="00AF50B1"/>
    <w:rsid w:val="00AF5F27"/>
    <w:rsid w:val="00AF6D5F"/>
    <w:rsid w:val="00AF7505"/>
    <w:rsid w:val="00B0012B"/>
    <w:rsid w:val="00B0032E"/>
    <w:rsid w:val="00B00404"/>
    <w:rsid w:val="00B00778"/>
    <w:rsid w:val="00B009FE"/>
    <w:rsid w:val="00B0109F"/>
    <w:rsid w:val="00B012ED"/>
    <w:rsid w:val="00B050C0"/>
    <w:rsid w:val="00B05642"/>
    <w:rsid w:val="00B05929"/>
    <w:rsid w:val="00B06097"/>
    <w:rsid w:val="00B061EC"/>
    <w:rsid w:val="00B0707D"/>
    <w:rsid w:val="00B07293"/>
    <w:rsid w:val="00B10514"/>
    <w:rsid w:val="00B10CAE"/>
    <w:rsid w:val="00B11B12"/>
    <w:rsid w:val="00B12190"/>
    <w:rsid w:val="00B1241F"/>
    <w:rsid w:val="00B14635"/>
    <w:rsid w:val="00B1632E"/>
    <w:rsid w:val="00B171BB"/>
    <w:rsid w:val="00B17797"/>
    <w:rsid w:val="00B204CB"/>
    <w:rsid w:val="00B209C9"/>
    <w:rsid w:val="00B2247A"/>
    <w:rsid w:val="00B22BDF"/>
    <w:rsid w:val="00B2303E"/>
    <w:rsid w:val="00B23683"/>
    <w:rsid w:val="00B2523A"/>
    <w:rsid w:val="00B27BEE"/>
    <w:rsid w:val="00B30FAE"/>
    <w:rsid w:val="00B323A5"/>
    <w:rsid w:val="00B36551"/>
    <w:rsid w:val="00B3669E"/>
    <w:rsid w:val="00B37EEF"/>
    <w:rsid w:val="00B40E38"/>
    <w:rsid w:val="00B44371"/>
    <w:rsid w:val="00B50825"/>
    <w:rsid w:val="00B51ACE"/>
    <w:rsid w:val="00B548A7"/>
    <w:rsid w:val="00B55061"/>
    <w:rsid w:val="00B5613F"/>
    <w:rsid w:val="00B60A65"/>
    <w:rsid w:val="00B61464"/>
    <w:rsid w:val="00B623D7"/>
    <w:rsid w:val="00B632B7"/>
    <w:rsid w:val="00B66623"/>
    <w:rsid w:val="00B66E7A"/>
    <w:rsid w:val="00B70780"/>
    <w:rsid w:val="00B72927"/>
    <w:rsid w:val="00B767E3"/>
    <w:rsid w:val="00B80BD7"/>
    <w:rsid w:val="00B840F6"/>
    <w:rsid w:val="00B84275"/>
    <w:rsid w:val="00B86855"/>
    <w:rsid w:val="00B9206A"/>
    <w:rsid w:val="00B939A4"/>
    <w:rsid w:val="00B94294"/>
    <w:rsid w:val="00B96C09"/>
    <w:rsid w:val="00BA1CFA"/>
    <w:rsid w:val="00BA1D21"/>
    <w:rsid w:val="00BA3890"/>
    <w:rsid w:val="00BA4002"/>
    <w:rsid w:val="00BA4326"/>
    <w:rsid w:val="00BA6822"/>
    <w:rsid w:val="00BA7603"/>
    <w:rsid w:val="00BA7D4E"/>
    <w:rsid w:val="00BB09BC"/>
    <w:rsid w:val="00BB1D7B"/>
    <w:rsid w:val="00BB279B"/>
    <w:rsid w:val="00BB6CE4"/>
    <w:rsid w:val="00BC0559"/>
    <w:rsid w:val="00BC2E80"/>
    <w:rsid w:val="00BC4779"/>
    <w:rsid w:val="00BC4BF4"/>
    <w:rsid w:val="00BC7ECB"/>
    <w:rsid w:val="00BD122E"/>
    <w:rsid w:val="00BD4D3C"/>
    <w:rsid w:val="00BD4FD9"/>
    <w:rsid w:val="00BD6C15"/>
    <w:rsid w:val="00BE042D"/>
    <w:rsid w:val="00BE2003"/>
    <w:rsid w:val="00BE2899"/>
    <w:rsid w:val="00BE3A5C"/>
    <w:rsid w:val="00BE4802"/>
    <w:rsid w:val="00BE7212"/>
    <w:rsid w:val="00BF0671"/>
    <w:rsid w:val="00BF331F"/>
    <w:rsid w:val="00BF3A49"/>
    <w:rsid w:val="00BF4829"/>
    <w:rsid w:val="00BF5036"/>
    <w:rsid w:val="00BF6BCF"/>
    <w:rsid w:val="00C011BF"/>
    <w:rsid w:val="00C024B8"/>
    <w:rsid w:val="00C046A4"/>
    <w:rsid w:val="00C05CC6"/>
    <w:rsid w:val="00C064C1"/>
    <w:rsid w:val="00C068C7"/>
    <w:rsid w:val="00C073C2"/>
    <w:rsid w:val="00C14BDA"/>
    <w:rsid w:val="00C14D70"/>
    <w:rsid w:val="00C160F4"/>
    <w:rsid w:val="00C1654C"/>
    <w:rsid w:val="00C17E1D"/>
    <w:rsid w:val="00C2120D"/>
    <w:rsid w:val="00C21A07"/>
    <w:rsid w:val="00C2224B"/>
    <w:rsid w:val="00C233E9"/>
    <w:rsid w:val="00C23A0B"/>
    <w:rsid w:val="00C25018"/>
    <w:rsid w:val="00C255D1"/>
    <w:rsid w:val="00C25D67"/>
    <w:rsid w:val="00C26A3D"/>
    <w:rsid w:val="00C303B4"/>
    <w:rsid w:val="00C34A9C"/>
    <w:rsid w:val="00C3621C"/>
    <w:rsid w:val="00C378A8"/>
    <w:rsid w:val="00C40EBC"/>
    <w:rsid w:val="00C41808"/>
    <w:rsid w:val="00C41FE1"/>
    <w:rsid w:val="00C4202E"/>
    <w:rsid w:val="00C42307"/>
    <w:rsid w:val="00C428FE"/>
    <w:rsid w:val="00C42ACA"/>
    <w:rsid w:val="00C42BA5"/>
    <w:rsid w:val="00C4349A"/>
    <w:rsid w:val="00C47261"/>
    <w:rsid w:val="00C51308"/>
    <w:rsid w:val="00C52865"/>
    <w:rsid w:val="00C539F8"/>
    <w:rsid w:val="00C53A47"/>
    <w:rsid w:val="00C57BB9"/>
    <w:rsid w:val="00C6101B"/>
    <w:rsid w:val="00C61699"/>
    <w:rsid w:val="00C62B02"/>
    <w:rsid w:val="00C63FA3"/>
    <w:rsid w:val="00C64908"/>
    <w:rsid w:val="00C64B8F"/>
    <w:rsid w:val="00C65006"/>
    <w:rsid w:val="00C66FB2"/>
    <w:rsid w:val="00C67500"/>
    <w:rsid w:val="00C705B5"/>
    <w:rsid w:val="00C7093C"/>
    <w:rsid w:val="00C73658"/>
    <w:rsid w:val="00C738BD"/>
    <w:rsid w:val="00C75D40"/>
    <w:rsid w:val="00C80204"/>
    <w:rsid w:val="00C805AF"/>
    <w:rsid w:val="00C82A95"/>
    <w:rsid w:val="00C82C45"/>
    <w:rsid w:val="00C83627"/>
    <w:rsid w:val="00C8518B"/>
    <w:rsid w:val="00C8581C"/>
    <w:rsid w:val="00C8634F"/>
    <w:rsid w:val="00C86D3C"/>
    <w:rsid w:val="00C876D9"/>
    <w:rsid w:val="00C91A79"/>
    <w:rsid w:val="00C92903"/>
    <w:rsid w:val="00C929DB"/>
    <w:rsid w:val="00C92AFE"/>
    <w:rsid w:val="00C9405D"/>
    <w:rsid w:val="00C95D81"/>
    <w:rsid w:val="00C960AA"/>
    <w:rsid w:val="00C96A4D"/>
    <w:rsid w:val="00C97B25"/>
    <w:rsid w:val="00CA121E"/>
    <w:rsid w:val="00CA1AD8"/>
    <w:rsid w:val="00CA374C"/>
    <w:rsid w:val="00CA4264"/>
    <w:rsid w:val="00CA501D"/>
    <w:rsid w:val="00CA55C4"/>
    <w:rsid w:val="00CA6118"/>
    <w:rsid w:val="00CA6E27"/>
    <w:rsid w:val="00CA7539"/>
    <w:rsid w:val="00CA7FEC"/>
    <w:rsid w:val="00CB13D6"/>
    <w:rsid w:val="00CB1789"/>
    <w:rsid w:val="00CB1CB2"/>
    <w:rsid w:val="00CB2557"/>
    <w:rsid w:val="00CB389A"/>
    <w:rsid w:val="00CB477A"/>
    <w:rsid w:val="00CB76EE"/>
    <w:rsid w:val="00CC0238"/>
    <w:rsid w:val="00CC1BDB"/>
    <w:rsid w:val="00CC2AD2"/>
    <w:rsid w:val="00CC39B1"/>
    <w:rsid w:val="00CC3DEA"/>
    <w:rsid w:val="00CC4B50"/>
    <w:rsid w:val="00CC6541"/>
    <w:rsid w:val="00CD3C40"/>
    <w:rsid w:val="00CD526B"/>
    <w:rsid w:val="00CD52D1"/>
    <w:rsid w:val="00CD5B93"/>
    <w:rsid w:val="00CD769B"/>
    <w:rsid w:val="00CE1F3B"/>
    <w:rsid w:val="00CF0826"/>
    <w:rsid w:val="00CF0D8A"/>
    <w:rsid w:val="00CF1839"/>
    <w:rsid w:val="00CF24BE"/>
    <w:rsid w:val="00CF267F"/>
    <w:rsid w:val="00CF271D"/>
    <w:rsid w:val="00CF2D02"/>
    <w:rsid w:val="00CF74A4"/>
    <w:rsid w:val="00CF776B"/>
    <w:rsid w:val="00CF7DA0"/>
    <w:rsid w:val="00D0156D"/>
    <w:rsid w:val="00D01670"/>
    <w:rsid w:val="00D04614"/>
    <w:rsid w:val="00D058F6"/>
    <w:rsid w:val="00D13F30"/>
    <w:rsid w:val="00D13F3F"/>
    <w:rsid w:val="00D14814"/>
    <w:rsid w:val="00D15314"/>
    <w:rsid w:val="00D15D27"/>
    <w:rsid w:val="00D17144"/>
    <w:rsid w:val="00D171EC"/>
    <w:rsid w:val="00D1723F"/>
    <w:rsid w:val="00D179E8"/>
    <w:rsid w:val="00D26272"/>
    <w:rsid w:val="00D26B64"/>
    <w:rsid w:val="00D2790C"/>
    <w:rsid w:val="00D27E00"/>
    <w:rsid w:val="00D30AA4"/>
    <w:rsid w:val="00D31863"/>
    <w:rsid w:val="00D35894"/>
    <w:rsid w:val="00D36590"/>
    <w:rsid w:val="00D3674A"/>
    <w:rsid w:val="00D37653"/>
    <w:rsid w:val="00D4085D"/>
    <w:rsid w:val="00D40C4A"/>
    <w:rsid w:val="00D40CC3"/>
    <w:rsid w:val="00D4437A"/>
    <w:rsid w:val="00D5004E"/>
    <w:rsid w:val="00D51106"/>
    <w:rsid w:val="00D51210"/>
    <w:rsid w:val="00D51BE9"/>
    <w:rsid w:val="00D522C7"/>
    <w:rsid w:val="00D522D3"/>
    <w:rsid w:val="00D52914"/>
    <w:rsid w:val="00D544FF"/>
    <w:rsid w:val="00D55F5C"/>
    <w:rsid w:val="00D5669B"/>
    <w:rsid w:val="00D57190"/>
    <w:rsid w:val="00D57346"/>
    <w:rsid w:val="00D60578"/>
    <w:rsid w:val="00D61911"/>
    <w:rsid w:val="00D61AD2"/>
    <w:rsid w:val="00D61DB7"/>
    <w:rsid w:val="00D62165"/>
    <w:rsid w:val="00D63E84"/>
    <w:rsid w:val="00D64CB3"/>
    <w:rsid w:val="00D677F9"/>
    <w:rsid w:val="00D7319F"/>
    <w:rsid w:val="00D73591"/>
    <w:rsid w:val="00D735B5"/>
    <w:rsid w:val="00D75FD5"/>
    <w:rsid w:val="00D802FC"/>
    <w:rsid w:val="00D80853"/>
    <w:rsid w:val="00D84D4C"/>
    <w:rsid w:val="00D8532B"/>
    <w:rsid w:val="00D9301F"/>
    <w:rsid w:val="00D9402A"/>
    <w:rsid w:val="00D973A5"/>
    <w:rsid w:val="00D97745"/>
    <w:rsid w:val="00DA126A"/>
    <w:rsid w:val="00DA1D33"/>
    <w:rsid w:val="00DA3A95"/>
    <w:rsid w:val="00DA3AA7"/>
    <w:rsid w:val="00DA552B"/>
    <w:rsid w:val="00DA641F"/>
    <w:rsid w:val="00DB0E36"/>
    <w:rsid w:val="00DB1640"/>
    <w:rsid w:val="00DB26C2"/>
    <w:rsid w:val="00DB4720"/>
    <w:rsid w:val="00DB4DA8"/>
    <w:rsid w:val="00DB7E9A"/>
    <w:rsid w:val="00DC05DC"/>
    <w:rsid w:val="00DC4CB9"/>
    <w:rsid w:val="00DC50E5"/>
    <w:rsid w:val="00DC5109"/>
    <w:rsid w:val="00DC6D30"/>
    <w:rsid w:val="00DC70FD"/>
    <w:rsid w:val="00DD093B"/>
    <w:rsid w:val="00DD0D43"/>
    <w:rsid w:val="00DD1898"/>
    <w:rsid w:val="00DD5398"/>
    <w:rsid w:val="00DD57CD"/>
    <w:rsid w:val="00DD5D97"/>
    <w:rsid w:val="00DE2155"/>
    <w:rsid w:val="00DE4A6C"/>
    <w:rsid w:val="00DE5673"/>
    <w:rsid w:val="00DE5A0C"/>
    <w:rsid w:val="00DE60D8"/>
    <w:rsid w:val="00DE64C1"/>
    <w:rsid w:val="00DF2704"/>
    <w:rsid w:val="00DF3994"/>
    <w:rsid w:val="00DF43A1"/>
    <w:rsid w:val="00DF49EE"/>
    <w:rsid w:val="00DF6A07"/>
    <w:rsid w:val="00E00242"/>
    <w:rsid w:val="00E02141"/>
    <w:rsid w:val="00E0263C"/>
    <w:rsid w:val="00E03424"/>
    <w:rsid w:val="00E05138"/>
    <w:rsid w:val="00E052D9"/>
    <w:rsid w:val="00E11471"/>
    <w:rsid w:val="00E11ACC"/>
    <w:rsid w:val="00E124E2"/>
    <w:rsid w:val="00E13217"/>
    <w:rsid w:val="00E14371"/>
    <w:rsid w:val="00E16C0E"/>
    <w:rsid w:val="00E1706D"/>
    <w:rsid w:val="00E2118C"/>
    <w:rsid w:val="00E21E55"/>
    <w:rsid w:val="00E220BC"/>
    <w:rsid w:val="00E220F6"/>
    <w:rsid w:val="00E23352"/>
    <w:rsid w:val="00E2341F"/>
    <w:rsid w:val="00E23581"/>
    <w:rsid w:val="00E24621"/>
    <w:rsid w:val="00E276F6"/>
    <w:rsid w:val="00E31BCF"/>
    <w:rsid w:val="00E32E94"/>
    <w:rsid w:val="00E33938"/>
    <w:rsid w:val="00E33F03"/>
    <w:rsid w:val="00E34AFB"/>
    <w:rsid w:val="00E354D8"/>
    <w:rsid w:val="00E356F1"/>
    <w:rsid w:val="00E35DB4"/>
    <w:rsid w:val="00E35E39"/>
    <w:rsid w:val="00E3658A"/>
    <w:rsid w:val="00E3706A"/>
    <w:rsid w:val="00E3710E"/>
    <w:rsid w:val="00E3738B"/>
    <w:rsid w:val="00E37446"/>
    <w:rsid w:val="00E40146"/>
    <w:rsid w:val="00E4099E"/>
    <w:rsid w:val="00E41B59"/>
    <w:rsid w:val="00E42085"/>
    <w:rsid w:val="00E426E0"/>
    <w:rsid w:val="00E430BD"/>
    <w:rsid w:val="00E456AA"/>
    <w:rsid w:val="00E4621A"/>
    <w:rsid w:val="00E506BB"/>
    <w:rsid w:val="00E50963"/>
    <w:rsid w:val="00E51D1B"/>
    <w:rsid w:val="00E52781"/>
    <w:rsid w:val="00E52DDB"/>
    <w:rsid w:val="00E55D2D"/>
    <w:rsid w:val="00E56C3D"/>
    <w:rsid w:val="00E579FF"/>
    <w:rsid w:val="00E60780"/>
    <w:rsid w:val="00E61C82"/>
    <w:rsid w:val="00E667E9"/>
    <w:rsid w:val="00E7195E"/>
    <w:rsid w:val="00E72F4A"/>
    <w:rsid w:val="00E73341"/>
    <w:rsid w:val="00E73C10"/>
    <w:rsid w:val="00E73FDA"/>
    <w:rsid w:val="00E752FD"/>
    <w:rsid w:val="00E7615E"/>
    <w:rsid w:val="00E8102B"/>
    <w:rsid w:val="00E82115"/>
    <w:rsid w:val="00E83448"/>
    <w:rsid w:val="00E836E7"/>
    <w:rsid w:val="00E83B7F"/>
    <w:rsid w:val="00E92345"/>
    <w:rsid w:val="00E92C8A"/>
    <w:rsid w:val="00E9334B"/>
    <w:rsid w:val="00E9346D"/>
    <w:rsid w:val="00E94941"/>
    <w:rsid w:val="00E968F6"/>
    <w:rsid w:val="00E97EB9"/>
    <w:rsid w:val="00EA0611"/>
    <w:rsid w:val="00EA0C13"/>
    <w:rsid w:val="00EA140E"/>
    <w:rsid w:val="00EA594C"/>
    <w:rsid w:val="00EA6C0E"/>
    <w:rsid w:val="00EA6CF4"/>
    <w:rsid w:val="00EA7E71"/>
    <w:rsid w:val="00EB7EDA"/>
    <w:rsid w:val="00EC1046"/>
    <w:rsid w:val="00EC10EB"/>
    <w:rsid w:val="00EC5206"/>
    <w:rsid w:val="00EC5449"/>
    <w:rsid w:val="00EC56AD"/>
    <w:rsid w:val="00ED0175"/>
    <w:rsid w:val="00ED0AC8"/>
    <w:rsid w:val="00ED1452"/>
    <w:rsid w:val="00ED249A"/>
    <w:rsid w:val="00ED4036"/>
    <w:rsid w:val="00ED5DD8"/>
    <w:rsid w:val="00ED6043"/>
    <w:rsid w:val="00ED64E5"/>
    <w:rsid w:val="00EE2BC6"/>
    <w:rsid w:val="00EE2D31"/>
    <w:rsid w:val="00EE4B91"/>
    <w:rsid w:val="00EE554B"/>
    <w:rsid w:val="00EE57AC"/>
    <w:rsid w:val="00EE6137"/>
    <w:rsid w:val="00EE691F"/>
    <w:rsid w:val="00EF04E8"/>
    <w:rsid w:val="00EF1408"/>
    <w:rsid w:val="00EF1B4D"/>
    <w:rsid w:val="00EF2400"/>
    <w:rsid w:val="00EF329F"/>
    <w:rsid w:val="00EF56A7"/>
    <w:rsid w:val="00EF5A56"/>
    <w:rsid w:val="00EF5F43"/>
    <w:rsid w:val="00EF72D4"/>
    <w:rsid w:val="00F000B3"/>
    <w:rsid w:val="00F0222D"/>
    <w:rsid w:val="00F05F0E"/>
    <w:rsid w:val="00F11A23"/>
    <w:rsid w:val="00F12ACD"/>
    <w:rsid w:val="00F130E1"/>
    <w:rsid w:val="00F130F7"/>
    <w:rsid w:val="00F15C10"/>
    <w:rsid w:val="00F1611B"/>
    <w:rsid w:val="00F16589"/>
    <w:rsid w:val="00F173BE"/>
    <w:rsid w:val="00F1758B"/>
    <w:rsid w:val="00F200C9"/>
    <w:rsid w:val="00F2068C"/>
    <w:rsid w:val="00F21B9D"/>
    <w:rsid w:val="00F2662D"/>
    <w:rsid w:val="00F27457"/>
    <w:rsid w:val="00F32416"/>
    <w:rsid w:val="00F3245D"/>
    <w:rsid w:val="00F35317"/>
    <w:rsid w:val="00F3573A"/>
    <w:rsid w:val="00F35C0D"/>
    <w:rsid w:val="00F37B8D"/>
    <w:rsid w:val="00F37D75"/>
    <w:rsid w:val="00F41783"/>
    <w:rsid w:val="00F41FDD"/>
    <w:rsid w:val="00F4251E"/>
    <w:rsid w:val="00F4377A"/>
    <w:rsid w:val="00F43AEC"/>
    <w:rsid w:val="00F46237"/>
    <w:rsid w:val="00F476B3"/>
    <w:rsid w:val="00F47765"/>
    <w:rsid w:val="00F47FF4"/>
    <w:rsid w:val="00F525E7"/>
    <w:rsid w:val="00F52EE9"/>
    <w:rsid w:val="00F538AE"/>
    <w:rsid w:val="00F5512D"/>
    <w:rsid w:val="00F56319"/>
    <w:rsid w:val="00F56568"/>
    <w:rsid w:val="00F571DD"/>
    <w:rsid w:val="00F57491"/>
    <w:rsid w:val="00F57DC5"/>
    <w:rsid w:val="00F6403E"/>
    <w:rsid w:val="00F65E00"/>
    <w:rsid w:val="00F71709"/>
    <w:rsid w:val="00F73DEB"/>
    <w:rsid w:val="00F74B41"/>
    <w:rsid w:val="00F76C87"/>
    <w:rsid w:val="00F7704D"/>
    <w:rsid w:val="00F775CF"/>
    <w:rsid w:val="00F77C2D"/>
    <w:rsid w:val="00F77DEE"/>
    <w:rsid w:val="00F821B4"/>
    <w:rsid w:val="00F82D80"/>
    <w:rsid w:val="00F83D17"/>
    <w:rsid w:val="00F853A2"/>
    <w:rsid w:val="00F85453"/>
    <w:rsid w:val="00F87F60"/>
    <w:rsid w:val="00F9063F"/>
    <w:rsid w:val="00F90838"/>
    <w:rsid w:val="00F91434"/>
    <w:rsid w:val="00F91FDB"/>
    <w:rsid w:val="00F953D3"/>
    <w:rsid w:val="00F95D26"/>
    <w:rsid w:val="00F962D8"/>
    <w:rsid w:val="00F969E0"/>
    <w:rsid w:val="00F97340"/>
    <w:rsid w:val="00F979C5"/>
    <w:rsid w:val="00F97D9E"/>
    <w:rsid w:val="00FA0CBF"/>
    <w:rsid w:val="00FA0E45"/>
    <w:rsid w:val="00FA1227"/>
    <w:rsid w:val="00FA529E"/>
    <w:rsid w:val="00FA64FD"/>
    <w:rsid w:val="00FA7B91"/>
    <w:rsid w:val="00FB2DD9"/>
    <w:rsid w:val="00FB3A10"/>
    <w:rsid w:val="00FB4200"/>
    <w:rsid w:val="00FB4B08"/>
    <w:rsid w:val="00FB5750"/>
    <w:rsid w:val="00FB6A2E"/>
    <w:rsid w:val="00FC0C93"/>
    <w:rsid w:val="00FC1B95"/>
    <w:rsid w:val="00FC2DD9"/>
    <w:rsid w:val="00FC326A"/>
    <w:rsid w:val="00FC52CE"/>
    <w:rsid w:val="00FC714E"/>
    <w:rsid w:val="00FD16D1"/>
    <w:rsid w:val="00FD20AE"/>
    <w:rsid w:val="00FD2D1E"/>
    <w:rsid w:val="00FD4437"/>
    <w:rsid w:val="00FD508B"/>
    <w:rsid w:val="00FE3088"/>
    <w:rsid w:val="00FE3214"/>
    <w:rsid w:val="00FE4510"/>
    <w:rsid w:val="00FE4A16"/>
    <w:rsid w:val="00FE63FB"/>
    <w:rsid w:val="00FE690D"/>
    <w:rsid w:val="00FE6B88"/>
    <w:rsid w:val="00FF2C8B"/>
    <w:rsid w:val="00FF4D83"/>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4817"/>
    <o:shapelayout v:ext="edit">
      <o:idmap v:ext="edit" data="1"/>
    </o:shapelayout>
  </w:shapeDefaults>
  <w:decimalSymbol w:val="."/>
  <w:listSeparator w:val=","/>
  <w14:docId w14:val="49B9AC5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8"/>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locked/>
    <w:rsid w:val="000373D8"/>
    <w:rPr>
      <w:rFonts w:ascii="Corbel" w:hAnsi="Corbel" w:cs="Times New Roman"/>
      <w:color w:val="000000"/>
    </w:rPr>
  </w:style>
  <w:style w:type="paragraph" w:customStyle="1" w:styleId="Bullet">
    <w:name w:val="Bullet"/>
    <w:basedOn w:val="Normal"/>
    <w:link w:val="BulletChar"/>
    <w:rsid w:val="000373D8"/>
    <w:pPr>
      <w:numPr>
        <w:numId w:val="11"/>
      </w:numPr>
    </w:pPr>
  </w:style>
  <w:style w:type="paragraph" w:customStyle="1" w:styleId="Dash">
    <w:name w:val="Dash"/>
    <w:basedOn w:val="Normal"/>
    <w:rsid w:val="000373D8"/>
    <w:pPr>
      <w:numPr>
        <w:ilvl w:val="1"/>
        <w:numId w:val="11"/>
      </w:numPr>
    </w:pPr>
  </w:style>
  <w:style w:type="paragraph" w:customStyle="1" w:styleId="DoubleDot">
    <w:name w:val="Double Dot"/>
    <w:basedOn w:val="Normal"/>
    <w:rsid w:val="000373D8"/>
    <w:pPr>
      <w:numPr>
        <w:ilvl w:val="2"/>
        <w:numId w:val="11"/>
      </w:numPr>
    </w:pPr>
  </w:style>
  <w:style w:type="paragraph" w:customStyle="1" w:styleId="OutlineNumbered1">
    <w:name w:val="Outline Numbered 1"/>
    <w:basedOn w:val="Normal"/>
    <w:rsid w:val="000373D8"/>
    <w:pPr>
      <w:numPr>
        <w:numId w:val="6"/>
      </w:numPr>
    </w:pPr>
  </w:style>
  <w:style w:type="paragraph" w:customStyle="1" w:styleId="OutlineNumbered2">
    <w:name w:val="Outline Numbered 2"/>
    <w:basedOn w:val="Normal"/>
    <w:rsid w:val="000373D8"/>
    <w:pPr>
      <w:numPr>
        <w:ilvl w:val="1"/>
        <w:numId w:val="6"/>
      </w:numPr>
    </w:pPr>
  </w:style>
  <w:style w:type="paragraph" w:customStyle="1" w:styleId="OutlineNumbered3">
    <w:name w:val="Outline Numbered 3"/>
    <w:basedOn w:val="Normal"/>
    <w:rsid w:val="000373D8"/>
    <w:pPr>
      <w:numPr>
        <w:ilvl w:val="2"/>
        <w:numId w:val="6"/>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7"/>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semiHidden/>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9"/>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8"/>
      </w:numPr>
    </w:pPr>
  </w:style>
  <w:style w:type="paragraph" w:customStyle="1" w:styleId="BoxDash">
    <w:name w:val="Box Dash"/>
    <w:basedOn w:val="Normal"/>
    <w:rsid w:val="000373D8"/>
    <w:pPr>
      <w:numPr>
        <w:ilvl w:val="1"/>
        <w:numId w:val="8"/>
      </w:numPr>
    </w:pPr>
  </w:style>
  <w:style w:type="paragraph" w:customStyle="1" w:styleId="BoxDoubleDot">
    <w:name w:val="Box Double Dot"/>
    <w:basedOn w:val="BoxTextBase"/>
    <w:rsid w:val="000373D8"/>
    <w:pPr>
      <w:numPr>
        <w:ilvl w:val="2"/>
        <w:numId w:val="8"/>
      </w:numPr>
    </w:pPr>
  </w:style>
  <w:style w:type="paragraph" w:customStyle="1" w:styleId="RecommendationBullet">
    <w:name w:val="Recommendation Bullet"/>
    <w:basedOn w:val="RecommendationTextBase"/>
    <w:rsid w:val="000373D8"/>
    <w:pPr>
      <w:numPr>
        <w:numId w:val="10"/>
      </w:numPr>
    </w:pPr>
  </w:style>
  <w:style w:type="paragraph" w:customStyle="1" w:styleId="RecommendationDash">
    <w:name w:val="Recommendation Dash"/>
    <w:basedOn w:val="RecommendationTextBase"/>
    <w:rsid w:val="000373D8"/>
    <w:pPr>
      <w:numPr>
        <w:ilvl w:val="1"/>
        <w:numId w:val="10"/>
      </w:numPr>
    </w:pPr>
  </w:style>
  <w:style w:type="paragraph" w:customStyle="1" w:styleId="RecommendationDoubleDot">
    <w:name w:val="Recommendation Double Dot"/>
    <w:basedOn w:val="RecommendationTextBase"/>
    <w:rsid w:val="000373D8"/>
    <w:pPr>
      <w:numPr>
        <w:ilvl w:val="2"/>
        <w:numId w:val="10"/>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tabs>
        <w:tab w:val="num" w:pos="1418"/>
      </w:tabs>
    </w:pPr>
  </w:style>
  <w:style w:type="paragraph" w:customStyle="1" w:styleId="Romannumeral">
    <w:name w:val="Roman numeral"/>
    <w:basedOn w:val="Normal"/>
    <w:rsid w:val="000373D8"/>
    <w:pPr>
      <w:numPr>
        <w:numId w:val="16"/>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9"/>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13"/>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9"/>
      </w:numPr>
      <w:tabs>
        <w:tab w:val="num" w:pos="2268"/>
      </w:tabs>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14"/>
      </w:numPr>
    </w:pPr>
  </w:style>
  <w:style w:type="paragraph" w:customStyle="1" w:styleId="AgreementParties">
    <w:name w:val="AgreementParties"/>
    <w:rsid w:val="000373D8"/>
    <w:pPr>
      <w:numPr>
        <w:numId w:val="17"/>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22"/>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3"/>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24"/>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4"/>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4"/>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4"/>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4"/>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4"/>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4"/>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4"/>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4"/>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paragraph" w:styleId="Revision">
    <w:name w:val="Revision"/>
    <w:hidden/>
    <w:uiPriority w:val="99"/>
    <w:semiHidden/>
    <w:rsid w:val="005163C8"/>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89827">
      <w:marLeft w:val="0"/>
      <w:marRight w:val="0"/>
      <w:marTop w:val="0"/>
      <w:marBottom w:val="0"/>
      <w:divBdr>
        <w:top w:val="none" w:sz="0" w:space="0" w:color="auto"/>
        <w:left w:val="none" w:sz="0" w:space="0" w:color="auto"/>
        <w:bottom w:val="none" w:sz="0" w:space="0" w:color="auto"/>
        <w:right w:val="none" w:sz="0" w:space="0" w:color="auto"/>
      </w:divBdr>
    </w:div>
    <w:div w:id="729689828">
      <w:marLeft w:val="0"/>
      <w:marRight w:val="0"/>
      <w:marTop w:val="0"/>
      <w:marBottom w:val="0"/>
      <w:divBdr>
        <w:top w:val="none" w:sz="0" w:space="0" w:color="auto"/>
        <w:left w:val="none" w:sz="0" w:space="0" w:color="auto"/>
        <w:bottom w:val="none" w:sz="0" w:space="0" w:color="auto"/>
        <w:right w:val="none" w:sz="0" w:space="0" w:color="auto"/>
      </w:divBdr>
    </w:div>
    <w:div w:id="729689829">
      <w:marLeft w:val="0"/>
      <w:marRight w:val="0"/>
      <w:marTop w:val="0"/>
      <w:marBottom w:val="0"/>
      <w:divBdr>
        <w:top w:val="none" w:sz="0" w:space="0" w:color="auto"/>
        <w:left w:val="none" w:sz="0" w:space="0" w:color="auto"/>
        <w:bottom w:val="none" w:sz="0" w:space="0" w:color="auto"/>
        <w:right w:val="none" w:sz="0" w:space="0" w:color="auto"/>
      </w:divBdr>
    </w:div>
    <w:div w:id="729689830">
      <w:marLeft w:val="0"/>
      <w:marRight w:val="0"/>
      <w:marTop w:val="0"/>
      <w:marBottom w:val="0"/>
      <w:divBdr>
        <w:top w:val="none" w:sz="0" w:space="0" w:color="auto"/>
        <w:left w:val="none" w:sz="0" w:space="0" w:color="auto"/>
        <w:bottom w:val="none" w:sz="0" w:space="0" w:color="auto"/>
        <w:right w:val="none" w:sz="0" w:space="0" w:color="auto"/>
      </w:divBdr>
    </w:div>
    <w:div w:id="729689831">
      <w:marLeft w:val="0"/>
      <w:marRight w:val="0"/>
      <w:marTop w:val="0"/>
      <w:marBottom w:val="0"/>
      <w:divBdr>
        <w:top w:val="none" w:sz="0" w:space="0" w:color="auto"/>
        <w:left w:val="none" w:sz="0" w:space="0" w:color="auto"/>
        <w:bottom w:val="none" w:sz="0" w:space="0" w:color="auto"/>
        <w:right w:val="none" w:sz="0" w:space="0" w:color="auto"/>
      </w:divBdr>
    </w:div>
    <w:div w:id="729689832">
      <w:marLeft w:val="0"/>
      <w:marRight w:val="0"/>
      <w:marTop w:val="0"/>
      <w:marBottom w:val="0"/>
      <w:divBdr>
        <w:top w:val="none" w:sz="0" w:space="0" w:color="auto"/>
        <w:left w:val="none" w:sz="0" w:space="0" w:color="auto"/>
        <w:bottom w:val="none" w:sz="0" w:space="0" w:color="auto"/>
        <w:right w:val="none" w:sz="0" w:space="0" w:color="auto"/>
      </w:divBdr>
    </w:div>
    <w:div w:id="729689833">
      <w:marLeft w:val="0"/>
      <w:marRight w:val="0"/>
      <w:marTop w:val="0"/>
      <w:marBottom w:val="0"/>
      <w:divBdr>
        <w:top w:val="none" w:sz="0" w:space="0" w:color="auto"/>
        <w:left w:val="none" w:sz="0" w:space="0" w:color="auto"/>
        <w:bottom w:val="none" w:sz="0" w:space="0" w:color="auto"/>
        <w:right w:val="none" w:sz="0" w:space="0" w:color="auto"/>
      </w:divBdr>
    </w:div>
    <w:div w:id="729689834">
      <w:marLeft w:val="0"/>
      <w:marRight w:val="0"/>
      <w:marTop w:val="0"/>
      <w:marBottom w:val="0"/>
      <w:divBdr>
        <w:top w:val="none" w:sz="0" w:space="0" w:color="auto"/>
        <w:left w:val="none" w:sz="0" w:space="0" w:color="auto"/>
        <w:bottom w:val="none" w:sz="0" w:space="0" w:color="auto"/>
        <w:right w:val="none" w:sz="0" w:space="0" w:color="auto"/>
      </w:divBdr>
    </w:div>
    <w:div w:id="729689835">
      <w:marLeft w:val="0"/>
      <w:marRight w:val="0"/>
      <w:marTop w:val="0"/>
      <w:marBottom w:val="0"/>
      <w:divBdr>
        <w:top w:val="none" w:sz="0" w:space="0" w:color="auto"/>
        <w:left w:val="none" w:sz="0" w:space="0" w:color="auto"/>
        <w:bottom w:val="none" w:sz="0" w:space="0" w:color="auto"/>
        <w:right w:val="none" w:sz="0" w:space="0" w:color="auto"/>
      </w:divBdr>
    </w:div>
    <w:div w:id="729689836">
      <w:marLeft w:val="0"/>
      <w:marRight w:val="0"/>
      <w:marTop w:val="0"/>
      <w:marBottom w:val="0"/>
      <w:divBdr>
        <w:top w:val="none" w:sz="0" w:space="0" w:color="auto"/>
        <w:left w:val="none" w:sz="0" w:space="0" w:color="auto"/>
        <w:bottom w:val="none" w:sz="0" w:space="0" w:color="auto"/>
        <w:right w:val="none" w:sz="0" w:space="0" w:color="auto"/>
      </w:divBdr>
    </w:div>
    <w:div w:id="729689837">
      <w:marLeft w:val="0"/>
      <w:marRight w:val="0"/>
      <w:marTop w:val="0"/>
      <w:marBottom w:val="0"/>
      <w:divBdr>
        <w:top w:val="none" w:sz="0" w:space="0" w:color="auto"/>
        <w:left w:val="none" w:sz="0" w:space="0" w:color="auto"/>
        <w:bottom w:val="none" w:sz="0" w:space="0" w:color="auto"/>
        <w:right w:val="none" w:sz="0" w:space="0" w:color="auto"/>
      </w:divBdr>
    </w:div>
    <w:div w:id="729689838">
      <w:marLeft w:val="0"/>
      <w:marRight w:val="0"/>
      <w:marTop w:val="0"/>
      <w:marBottom w:val="0"/>
      <w:divBdr>
        <w:top w:val="none" w:sz="0" w:space="0" w:color="auto"/>
        <w:left w:val="none" w:sz="0" w:space="0" w:color="auto"/>
        <w:bottom w:val="none" w:sz="0" w:space="0" w:color="auto"/>
        <w:right w:val="none" w:sz="0" w:space="0" w:color="auto"/>
      </w:divBdr>
    </w:div>
    <w:div w:id="207711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innovation.gov.au" TargetMode="External"/><Relationship Id="rId23"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fsc.gov.au"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2020FG-64-73852</_dlc_DocId>
    <TaxCatchAll xmlns="0f563589-9cf9-4143-b1eb-fb0534803d38">
      <Value>2</Value>
    </TaxCatchAll>
    <_dlc_DocIdUrl xmlns="0f563589-9cf9-4143-b1eb-fb0534803d38">
      <Url>http://tweb/sites/fg/csrd/_layouts/15/DocIdRedir.aspx?ID=2020FG-64-73852</Url>
      <Description>2020FG-64-73852</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235" ma:contentTypeDescription=" " ma:contentTypeScope="" ma:versionID="631628baa2cd0761122b48b9e87bb5ee">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B7B8-C327-4AC1-8AA2-5B5DC0F72C5C}">
  <ds:schemaRefs>
    <ds:schemaRef ds:uri="e544e5cc-ab70-42e1-849e-1a0f8bb1f4ef"/>
    <ds:schemaRef ds:uri="http://schemas.openxmlformats.org/package/2006/metadata/core-properties"/>
    <ds:schemaRef ds:uri="http://purl.org/dc/terms/"/>
    <ds:schemaRef ds:uri="http://schemas.microsoft.com/sharepoint/v4"/>
    <ds:schemaRef ds:uri="http://schemas.microsoft.com/office/infopath/2007/PartnerControls"/>
    <ds:schemaRef ds:uri="http://purl.org/dc/elements/1.1/"/>
    <ds:schemaRef ds:uri="http://www.w3.org/XML/1998/namespace"/>
    <ds:schemaRef ds:uri="http://schemas.microsoft.com/office/2006/documentManagement/types"/>
    <ds:schemaRef ds:uri="0f563589-9cf9-4143-b1eb-fb0534803d38"/>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74A6C2F-DEE3-4191-A625-4E0F3DBA35BC}"/>
</file>

<file path=customXml/itemProps3.xml><?xml version="1.0" encoding="utf-8"?>
<ds:datastoreItem xmlns:ds="http://schemas.openxmlformats.org/officeDocument/2006/customXml" ds:itemID="{24A3EBCB-0A08-43AC-9D13-FA554552F062}">
  <ds:schemaRefs>
    <ds:schemaRef ds:uri="http://schemas.microsoft.com/sharepoint/v3/contenttype/forms"/>
  </ds:schemaRefs>
</ds:datastoreItem>
</file>

<file path=customXml/itemProps4.xml><?xml version="1.0" encoding="utf-8"?>
<ds:datastoreItem xmlns:ds="http://schemas.openxmlformats.org/officeDocument/2006/customXml" ds:itemID="{3CC9620B-BE53-46BB-BA0A-B44205651BA9}">
  <ds:schemaRefs>
    <ds:schemaRef ds:uri="office.server.policy"/>
  </ds:schemaRefs>
</ds:datastoreItem>
</file>

<file path=customXml/itemProps5.xml><?xml version="1.0" encoding="utf-8"?>
<ds:datastoreItem xmlns:ds="http://schemas.openxmlformats.org/officeDocument/2006/customXml" ds:itemID="{45DDDE4C-F571-4568-B64F-462BF748B93B}">
  <ds:schemaRefs>
    <ds:schemaRef ds:uri="http://schemas.microsoft.com/sharepoint/events"/>
  </ds:schemaRefs>
</ds:datastoreItem>
</file>

<file path=customXml/itemProps6.xml><?xml version="1.0" encoding="utf-8"?>
<ds:datastoreItem xmlns:ds="http://schemas.openxmlformats.org/officeDocument/2006/customXml" ds:itemID="{8E81890E-A48A-4998-AD3F-4E804ED0532F}">
  <ds:schemaRefs>
    <ds:schemaRef ds:uri="Microsoft.SharePoint.Taxonomy.ContentTypeSync"/>
  </ds:schemaRefs>
</ds:datastoreItem>
</file>

<file path=customXml/itemProps7.xml><?xml version="1.0" encoding="utf-8"?>
<ds:datastoreItem xmlns:ds="http://schemas.openxmlformats.org/officeDocument/2006/customXml" ds:itemID="{6F373688-5AED-40A7-914A-55E741CA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6288</Words>
  <Characters>35844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2019-03-13T04:56:00Z</dcterms:created>
  <dcterms:modified xsi:type="dcterms:W3CDTF">2019-04-26T00:25:00Z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cce024ae-ca39-4fca-b815-339c06a6ce95</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{cce024ae-ca39-4fca-b815-339c06a6ce95}</vt:lpwstr>
  </property>
  <property fmtid="{D5CDD505-2E9C-101B-9397-08002B2CF9AE}" pid="9" name="RecordPoint_ActiveItemWebId">
    <vt:lpwstr>{a4589788-615f-4b8b-8296-7f9f6dfbab44}</vt:lpwstr>
  </property>
  <property fmtid="{D5CDD505-2E9C-101B-9397-08002B2CF9AE}" pid="10" name="RecordPoint_RecordNumberSubmitted">
    <vt:lpwstr>R0002259907</vt:lpwstr>
  </property>
  <property fmtid="{D5CDD505-2E9C-101B-9397-08002B2CF9AE}" pid="11" name="RecordPoint_SubmissionCompleted">
    <vt:lpwstr>2020-05-01T19:07:41.6475510+10:00</vt:lpwstr>
  </property>
</Properties>
</file>