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512"/>
        <w:gridCol w:w="8342"/>
      </w:tblGrid>
      <w:tr w:rsidR="00814667" w14:paraId="2D3E96E2" w14:textId="77777777">
        <w:tc>
          <w:tcPr>
            <w:tcW w:w="5000" w:type="pct"/>
            <w:gridSpan w:val="2"/>
          </w:tcPr>
          <w:p w14:paraId="26CD4E39" w14:textId="77777777" w:rsidR="00814667" w:rsidRDefault="00814667" w:rsidP="009063C4">
            <w:pPr>
              <w:pStyle w:val="CoverTitleMain"/>
            </w:pPr>
            <w:bookmarkStart w:id="0" w:name="_GoBack"/>
            <w:bookmarkEnd w:id="0"/>
            <w:r>
              <w:t>Nat</w:t>
            </w:r>
            <w:r w:rsidR="007A6E20">
              <w:t xml:space="preserve">ional partnership </w:t>
            </w:r>
            <w:r w:rsidR="00ED1DD3">
              <w:t>on Transfer of the mersey community hospital</w:t>
            </w:r>
          </w:p>
        </w:tc>
      </w:tr>
      <w:tr w:rsidR="00814667" w14:paraId="69A31FD1" w14:textId="77777777">
        <w:tc>
          <w:tcPr>
            <w:tcW w:w="767" w:type="pct"/>
          </w:tcPr>
          <w:p w14:paraId="552F1C17" w14:textId="77777777" w:rsidR="00814667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  <w:tc>
          <w:tcPr>
            <w:tcW w:w="4233" w:type="pct"/>
          </w:tcPr>
          <w:p w14:paraId="0B557CD8" w14:textId="77777777" w:rsidR="00814667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</w:tr>
      <w:tr w:rsidR="00814667" w14:paraId="2EABB666" w14:textId="77777777">
        <w:tc>
          <w:tcPr>
            <w:tcW w:w="767" w:type="pct"/>
          </w:tcPr>
          <w:p w14:paraId="32087B5B" w14:textId="77777777" w:rsidR="00814667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  <w:tc>
          <w:tcPr>
            <w:tcW w:w="4233" w:type="pct"/>
          </w:tcPr>
          <w:p w14:paraId="0A711127" w14:textId="77777777" w:rsidR="00814667" w:rsidRPr="001E74D0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</w:tr>
      <w:tr w:rsidR="00814667" w14:paraId="51D4EEB4" w14:textId="77777777">
        <w:tc>
          <w:tcPr>
            <w:tcW w:w="5000" w:type="pct"/>
            <w:gridSpan w:val="2"/>
          </w:tcPr>
          <w:p w14:paraId="0C81277F" w14:textId="77777777" w:rsidR="00814667" w:rsidRDefault="00814667">
            <w:pPr>
              <w:pStyle w:val="AgreementHeading"/>
              <w:tabs>
                <w:tab w:val="clear" w:pos="1134"/>
              </w:tabs>
            </w:pPr>
            <w:r>
              <w:t>An agreement between</w:t>
            </w:r>
          </w:p>
        </w:tc>
      </w:tr>
      <w:tr w:rsidR="00814667" w14:paraId="3DEB7B99" w14:textId="77777777">
        <w:tc>
          <w:tcPr>
            <w:tcW w:w="767" w:type="pct"/>
          </w:tcPr>
          <w:p w14:paraId="70D658BD" w14:textId="77777777" w:rsidR="00814667" w:rsidRPr="001E74D0" w:rsidRDefault="00814667">
            <w:pPr>
              <w:pStyle w:val="AgreementHeading"/>
              <w:tabs>
                <w:tab w:val="clear" w:pos="1134"/>
              </w:tabs>
              <w:ind w:left="522"/>
            </w:pPr>
          </w:p>
        </w:tc>
        <w:tc>
          <w:tcPr>
            <w:tcW w:w="4233" w:type="pct"/>
          </w:tcPr>
          <w:p w14:paraId="6A173355" w14:textId="77777777" w:rsidR="00814667" w:rsidRDefault="00814667">
            <w:pPr>
              <w:pStyle w:val="AgreementParties"/>
            </w:pPr>
            <w:r>
              <w:t xml:space="preserve">the </w:t>
            </w:r>
            <w:r>
              <w:rPr>
                <w:rStyle w:val="Bold"/>
              </w:rPr>
              <w:t>Commonwealth of Australia</w:t>
            </w:r>
            <w:r>
              <w:t xml:space="preserve"> and</w:t>
            </w:r>
          </w:p>
          <w:p w14:paraId="17193AA5" w14:textId="77777777" w:rsidR="00814667" w:rsidRPr="001E74D0" w:rsidRDefault="00ED1DD3">
            <w:pPr>
              <w:pStyle w:val="AgreementParties"/>
            </w:pPr>
            <w:r w:rsidRPr="00841DCF">
              <w:rPr>
                <w:b/>
              </w:rPr>
              <w:t>Tasmania</w:t>
            </w:r>
            <w:r w:rsidR="003562FD">
              <w:t>.</w:t>
            </w:r>
          </w:p>
        </w:tc>
      </w:tr>
      <w:tr w:rsidR="00814667" w14:paraId="46B07A3C" w14:textId="77777777">
        <w:tc>
          <w:tcPr>
            <w:tcW w:w="767" w:type="pct"/>
          </w:tcPr>
          <w:p w14:paraId="0DF16424" w14:textId="77777777" w:rsidR="00814667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  <w:tc>
          <w:tcPr>
            <w:tcW w:w="4233" w:type="pct"/>
            <w:tcBorders>
              <w:left w:val="nil"/>
            </w:tcBorders>
          </w:tcPr>
          <w:p w14:paraId="009B7E77" w14:textId="77777777" w:rsidR="00814667" w:rsidRDefault="00814667" w:rsidP="00ED1DD3">
            <w:pPr>
              <w:pStyle w:val="StatesList"/>
              <w:numPr>
                <w:ilvl w:val="0"/>
                <w:numId w:val="0"/>
              </w:numPr>
              <w:tabs>
                <w:tab w:val="clear" w:pos="1134"/>
              </w:tabs>
            </w:pPr>
          </w:p>
          <w:p w14:paraId="684F5659" w14:textId="77777777" w:rsidR="00EB7EDA" w:rsidRPr="00EB7EDA" w:rsidRDefault="00EB7EDA" w:rsidP="00EB7EDA">
            <w:pPr>
              <w:rPr>
                <w:i/>
              </w:rPr>
            </w:pPr>
          </w:p>
        </w:tc>
      </w:tr>
      <w:tr w:rsidR="00814667" w14:paraId="0285EE09" w14:textId="77777777">
        <w:tc>
          <w:tcPr>
            <w:tcW w:w="5000" w:type="pct"/>
            <w:gridSpan w:val="2"/>
          </w:tcPr>
          <w:p w14:paraId="7B4E364C" w14:textId="77777777" w:rsidR="00814667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</w:tr>
      <w:tr w:rsidR="00814667" w14:paraId="5A399006" w14:textId="77777777">
        <w:tc>
          <w:tcPr>
            <w:tcW w:w="5000" w:type="pct"/>
            <w:gridSpan w:val="2"/>
          </w:tcPr>
          <w:p w14:paraId="67097C73" w14:textId="77777777" w:rsidR="001A7A15" w:rsidRDefault="001A7A15">
            <w:pPr>
              <w:pStyle w:val="Abstract"/>
            </w:pPr>
          </w:p>
          <w:p w14:paraId="71F835EC" w14:textId="77777777" w:rsidR="00814667" w:rsidRDefault="00C7093C" w:rsidP="00142616">
            <w:pPr>
              <w:pStyle w:val="Abstract"/>
            </w:pPr>
            <w:r>
              <w:t xml:space="preserve">This Agreement will </w:t>
            </w:r>
            <w:r w:rsidR="00ED1DD3">
              <w:t xml:space="preserve">facilitate the transfer of the Mersey Community Hospital to the Tasmanian </w:t>
            </w:r>
            <w:r w:rsidR="00120B2C">
              <w:t>G</w:t>
            </w:r>
            <w:r w:rsidR="00ED1DD3">
              <w:t>overnment, and delivery of rehabilitation</w:t>
            </w:r>
            <w:r w:rsidR="00D02294">
              <w:t xml:space="preserve"> services</w:t>
            </w:r>
            <w:r w:rsidR="00ED1DD3">
              <w:t xml:space="preserve"> and palliative care</w:t>
            </w:r>
            <w:r w:rsidR="00D02294">
              <w:t xml:space="preserve"> </w:t>
            </w:r>
            <w:r w:rsidR="00ED1DD3">
              <w:t>services in Tasmania</w:t>
            </w:r>
            <w:r>
              <w:t xml:space="preserve">.  </w:t>
            </w:r>
          </w:p>
        </w:tc>
      </w:tr>
    </w:tbl>
    <w:p w14:paraId="6D572898" w14:textId="77777777" w:rsidR="00814667" w:rsidRDefault="007A6E20">
      <w:pPr>
        <w:pStyle w:val="Title"/>
        <w:pageBreakBefore/>
      </w:pPr>
      <w:r>
        <w:lastRenderedPageBreak/>
        <w:t>National Partnership</w:t>
      </w:r>
      <w:r>
        <w:br/>
      </w:r>
      <w:r w:rsidR="00814667">
        <w:t>on</w:t>
      </w:r>
      <w:r w:rsidR="00C7093C">
        <w:t xml:space="preserve"> </w:t>
      </w:r>
      <w:r w:rsidR="00ED1DD3" w:rsidRPr="00ED1DD3">
        <w:t>Transfer of the Mersey Community Hospital</w:t>
      </w:r>
    </w:p>
    <w:p w14:paraId="43BD3712" w14:textId="77777777" w:rsidR="003D26BA" w:rsidRPr="003D26BA" w:rsidRDefault="00F1611B" w:rsidP="003D26B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>
        <w:t>overview</w:t>
      </w:r>
    </w:p>
    <w:p w14:paraId="4CF67E16" w14:textId="77777777" w:rsidR="00C960AA" w:rsidRDefault="00C960AA" w:rsidP="00B72830">
      <w:pPr>
        <w:pStyle w:val="Normalnumbered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left"/>
        <w:rPr>
          <w:color w:val="auto"/>
        </w:rPr>
      </w:pPr>
      <w:r w:rsidRPr="00336F12">
        <w:rPr>
          <w:color w:val="auto"/>
        </w:rPr>
        <w:t xml:space="preserve">This National Partnership (the Agreement) is created subject to the provisions of the Intergovernmental Agreement on Federal Financial Relations </w:t>
      </w:r>
      <w:r w:rsidR="00E31BCF">
        <w:rPr>
          <w:color w:val="auto"/>
        </w:rPr>
        <w:t xml:space="preserve">(IGA FFR) </w:t>
      </w:r>
      <w:r w:rsidRPr="00336F12">
        <w:rPr>
          <w:color w:val="auto"/>
        </w:rPr>
        <w:t xml:space="preserve">and should be read in conjunction with that Agreement and </w:t>
      </w:r>
      <w:r w:rsidR="001C346E" w:rsidRPr="00336F12">
        <w:rPr>
          <w:color w:val="auto"/>
        </w:rPr>
        <w:t>its</w:t>
      </w:r>
      <w:r w:rsidRPr="00336F12">
        <w:rPr>
          <w:color w:val="auto"/>
        </w:rPr>
        <w:t xml:space="preserve"> </w:t>
      </w:r>
      <w:r w:rsidR="001C346E" w:rsidRPr="00336F12">
        <w:rPr>
          <w:color w:val="auto"/>
        </w:rPr>
        <w:t>S</w:t>
      </w:r>
      <w:r w:rsidRPr="00336F12">
        <w:rPr>
          <w:color w:val="auto"/>
        </w:rPr>
        <w:t>chedules</w:t>
      </w:r>
      <w:r w:rsidR="001C346E" w:rsidRPr="00336F12">
        <w:rPr>
          <w:color w:val="auto"/>
        </w:rPr>
        <w:t xml:space="preserve">, which provide information in relation to </w:t>
      </w:r>
      <w:r w:rsidRPr="00336F12">
        <w:rPr>
          <w:color w:val="auto"/>
        </w:rPr>
        <w:t>performance reporting and payment arrangements</w:t>
      </w:r>
      <w:r w:rsidR="001C346E" w:rsidRPr="00336F12">
        <w:rPr>
          <w:color w:val="auto"/>
        </w:rPr>
        <w:t xml:space="preserve"> under the IGA</w:t>
      </w:r>
      <w:r w:rsidR="00E31BCF">
        <w:rPr>
          <w:color w:val="auto"/>
        </w:rPr>
        <w:t xml:space="preserve"> FFR</w:t>
      </w:r>
      <w:r w:rsidRPr="00336F12">
        <w:rPr>
          <w:color w:val="auto"/>
        </w:rPr>
        <w:t>.</w:t>
      </w:r>
    </w:p>
    <w:p w14:paraId="274FF5F3" w14:textId="77777777" w:rsidR="00FE4A16" w:rsidRDefault="00FE4A16" w:rsidP="00FE4A16">
      <w:pPr>
        <w:pStyle w:val="Normal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left"/>
        <w:rPr>
          <w:color w:val="auto"/>
        </w:rPr>
      </w:pPr>
      <w:r w:rsidRPr="00FE4A16">
        <w:rPr>
          <w:rFonts w:cs="Arial"/>
          <w:b/>
          <w:bCs/>
          <w:iCs/>
          <w:color w:val="3D4B67"/>
          <w:sz w:val="29"/>
          <w:szCs w:val="28"/>
        </w:rPr>
        <w:t>Purpose</w:t>
      </w:r>
    </w:p>
    <w:p w14:paraId="419B2A98" w14:textId="77777777" w:rsidR="00F16FED" w:rsidRPr="00F16FED" w:rsidRDefault="00ED1DD3" w:rsidP="00B72830">
      <w:pPr>
        <w:pStyle w:val="Normalnumbered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left"/>
        <w:rPr>
          <w:color w:val="auto"/>
        </w:rPr>
      </w:pPr>
      <w:r>
        <w:t xml:space="preserve">This Agreement </w:t>
      </w:r>
      <w:r w:rsidR="00F16FED">
        <w:t>is a funding agreement to</w:t>
      </w:r>
      <w:r>
        <w:t xml:space="preserve"> facilitate the transfer of the Mersey Community Hospital to the Tasmanian </w:t>
      </w:r>
      <w:r w:rsidR="00120B2C">
        <w:t>G</w:t>
      </w:r>
      <w:r>
        <w:t>overnment</w:t>
      </w:r>
      <w:r w:rsidR="0090784D">
        <w:t>,</w:t>
      </w:r>
      <w:r>
        <w:t xml:space="preserve"> and the delivery of rehabilitation</w:t>
      </w:r>
      <w:r w:rsidR="00D02294">
        <w:t xml:space="preserve"> services</w:t>
      </w:r>
      <w:r>
        <w:t xml:space="preserve"> and palliative care</w:t>
      </w:r>
      <w:r w:rsidR="00D02294">
        <w:t xml:space="preserve"> </w:t>
      </w:r>
      <w:r>
        <w:t>services in Tasmania.</w:t>
      </w:r>
    </w:p>
    <w:p w14:paraId="78BDCF59" w14:textId="77777777" w:rsidR="00ED1DD3" w:rsidRDefault="00F16FED" w:rsidP="00B72830">
      <w:pPr>
        <w:pStyle w:val="Normalnumbered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left"/>
        <w:rPr>
          <w:color w:val="auto"/>
        </w:rPr>
      </w:pPr>
      <w:r>
        <w:t xml:space="preserve">Transfer of </w:t>
      </w:r>
      <w:r w:rsidR="009063C4">
        <w:t xml:space="preserve">ownership </w:t>
      </w:r>
      <w:r w:rsidR="0090784D">
        <w:t xml:space="preserve">of </w:t>
      </w:r>
      <w:r>
        <w:t>the property of the Mersey Community Hospital will occur under a separate deed which is the legal instrument for the purposes of the transfer. This Agreement and the transfer deed should be read in conjunction with each other</w:t>
      </w:r>
      <w:r w:rsidR="0090784D">
        <w:t>.</w:t>
      </w:r>
    </w:p>
    <w:p w14:paraId="24C88A23" w14:textId="77777777" w:rsidR="00FE4A16" w:rsidRDefault="00FE4A16" w:rsidP="00FE4A16">
      <w:pPr>
        <w:pStyle w:val="Normal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left"/>
        <w:rPr>
          <w:rFonts w:cs="Arial"/>
          <w:b/>
          <w:bCs/>
          <w:iCs/>
          <w:color w:val="3D4B67"/>
          <w:sz w:val="29"/>
          <w:szCs w:val="28"/>
        </w:rPr>
      </w:pPr>
      <w:r w:rsidRPr="00FE4A16">
        <w:rPr>
          <w:rFonts w:cs="Arial"/>
          <w:b/>
          <w:bCs/>
          <w:iCs/>
          <w:color w:val="3D4B67"/>
          <w:sz w:val="29"/>
          <w:szCs w:val="28"/>
        </w:rPr>
        <w:t>Reporting Arrangements</w:t>
      </w:r>
    </w:p>
    <w:p w14:paraId="3C681D7B" w14:textId="77777777" w:rsidR="00FE4A16" w:rsidRPr="00FE4A16" w:rsidRDefault="00ED1DD3" w:rsidP="00B72830">
      <w:pPr>
        <w:pStyle w:val="Normalnumbered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left"/>
        <w:rPr>
          <w:rFonts w:cs="Arial"/>
          <w:b/>
          <w:bCs/>
          <w:iCs/>
          <w:color w:val="3D4B67"/>
          <w:sz w:val="29"/>
          <w:szCs w:val="28"/>
        </w:rPr>
      </w:pPr>
      <w:r>
        <w:t xml:space="preserve">Tasmania will </w:t>
      </w:r>
      <w:r w:rsidR="003562FD">
        <w:t xml:space="preserve">report </w:t>
      </w:r>
      <w:r w:rsidR="009422A6" w:rsidRPr="009422A6">
        <w:rPr>
          <w:color w:val="auto"/>
        </w:rPr>
        <w:t>annually</w:t>
      </w:r>
      <w:r w:rsidR="00120B2C" w:rsidRPr="00120B2C">
        <w:rPr>
          <w:color w:val="C0504D" w:themeColor="accent2"/>
        </w:rPr>
        <w:t xml:space="preserve"> </w:t>
      </w:r>
      <w:r w:rsidR="00FE4A16">
        <w:t>during the operation of the Agreement</w:t>
      </w:r>
      <w:r w:rsidR="00F1611B">
        <w:t>, as set out in Part 4 – Performance Monitoring and Reporting</w:t>
      </w:r>
      <w:r w:rsidR="00FE4A16">
        <w:t>.</w:t>
      </w:r>
    </w:p>
    <w:p w14:paraId="013FDD71" w14:textId="77777777" w:rsidR="00FE4A16" w:rsidRDefault="00FE4A16" w:rsidP="00FE4A16">
      <w:pPr>
        <w:pStyle w:val="Normal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left"/>
        <w:rPr>
          <w:rFonts w:cs="Arial"/>
          <w:b/>
          <w:bCs/>
          <w:iCs/>
          <w:color w:val="3D4B67"/>
          <w:sz w:val="29"/>
          <w:szCs w:val="28"/>
        </w:rPr>
      </w:pPr>
      <w:r>
        <w:rPr>
          <w:rFonts w:cs="Arial"/>
          <w:b/>
          <w:bCs/>
          <w:iCs/>
          <w:color w:val="3D4B67"/>
          <w:sz w:val="29"/>
          <w:szCs w:val="28"/>
        </w:rPr>
        <w:t xml:space="preserve">Financial </w:t>
      </w:r>
      <w:r w:rsidR="003D26BA">
        <w:rPr>
          <w:rFonts w:cs="Arial"/>
          <w:b/>
          <w:bCs/>
          <w:iCs/>
          <w:color w:val="3D4B67"/>
          <w:sz w:val="29"/>
          <w:szCs w:val="28"/>
        </w:rPr>
        <w:t>Arrangements</w:t>
      </w:r>
      <w:r>
        <w:rPr>
          <w:rFonts w:cs="Arial"/>
          <w:b/>
          <w:bCs/>
          <w:iCs/>
          <w:color w:val="3D4B67"/>
          <w:sz w:val="29"/>
          <w:szCs w:val="28"/>
        </w:rPr>
        <w:t xml:space="preserve"> </w:t>
      </w:r>
    </w:p>
    <w:p w14:paraId="0A1EDECB" w14:textId="77777777" w:rsidR="00FE4A16" w:rsidRPr="00793A2E" w:rsidRDefault="00FE4A16" w:rsidP="00B72830">
      <w:pPr>
        <w:pStyle w:val="Normalnumbered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left"/>
        <w:rPr>
          <w:rFonts w:cs="Arial"/>
          <w:b/>
          <w:bCs/>
          <w:iCs/>
          <w:color w:val="3D4B67"/>
          <w:sz w:val="29"/>
          <w:szCs w:val="28"/>
        </w:rPr>
      </w:pPr>
      <w:r w:rsidRPr="007179FE">
        <w:t xml:space="preserve">The Commonwealth will provide </w:t>
      </w:r>
      <w:r w:rsidR="00F47560">
        <w:t>a</w:t>
      </w:r>
      <w:r>
        <w:t xml:space="preserve"> total </w:t>
      </w:r>
      <w:r w:rsidRPr="007179FE">
        <w:t xml:space="preserve">financial contribution to </w:t>
      </w:r>
      <w:r w:rsidR="00ED1DD3">
        <w:t>Tasmania</w:t>
      </w:r>
      <w:r w:rsidRPr="007179FE">
        <w:t xml:space="preserve"> </w:t>
      </w:r>
      <w:r w:rsidR="00ED1DD3">
        <w:t xml:space="preserve">of </w:t>
      </w:r>
      <w:r>
        <w:t>$</w:t>
      </w:r>
      <w:r w:rsidR="00ED1DD3">
        <w:t xml:space="preserve">736.6million </w:t>
      </w:r>
      <w:r w:rsidR="00337C78">
        <w:t>(GST exclusive)</w:t>
      </w:r>
      <w:r>
        <w:t xml:space="preserve"> in respect of this Agreement</w:t>
      </w:r>
      <w:r w:rsidR="001775DC">
        <w:t>,</w:t>
      </w:r>
      <w:r>
        <w:t xml:space="preserve"> as set out </w:t>
      </w:r>
      <w:r w:rsidRPr="007179FE">
        <w:t xml:space="preserve">in </w:t>
      </w:r>
      <w:r>
        <w:t>Part 5 – Financial Arrangements</w:t>
      </w:r>
      <w:r w:rsidRPr="007179FE">
        <w:t>.</w:t>
      </w:r>
      <w:r w:rsidR="00ED1DD3">
        <w:t xml:space="preserve"> </w:t>
      </w:r>
    </w:p>
    <w:p w14:paraId="5D55C1B3" w14:textId="77777777" w:rsidR="003D26BA" w:rsidRPr="00FE4A16" w:rsidRDefault="003D26BA" w:rsidP="003D26BA">
      <w:pPr>
        <w:pStyle w:val="Normal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left"/>
        <w:rPr>
          <w:rFonts w:cs="Arial"/>
          <w:b/>
          <w:bCs/>
          <w:iCs/>
          <w:color w:val="3D4B67"/>
          <w:sz w:val="29"/>
          <w:szCs w:val="28"/>
        </w:rPr>
      </w:pPr>
    </w:p>
    <w:p w14:paraId="3DF4DEF6" w14:textId="77777777" w:rsidR="00814667" w:rsidRDefault="00814667">
      <w:pPr>
        <w:pStyle w:val="Heading1"/>
      </w:pPr>
      <w:r>
        <w:t>Part 1 — Formalities</w:t>
      </w:r>
    </w:p>
    <w:p w14:paraId="761A46F3" w14:textId="77777777" w:rsidR="00814667" w:rsidRDefault="00814667">
      <w:pPr>
        <w:pStyle w:val="Heading2"/>
      </w:pPr>
      <w:r>
        <w:t>Parties to this Agreement</w:t>
      </w:r>
    </w:p>
    <w:p w14:paraId="6920D255" w14:textId="77777777" w:rsidR="007B4B03" w:rsidRPr="007B4B03" w:rsidRDefault="00E7195E" w:rsidP="00B72830">
      <w:pPr>
        <w:pStyle w:val="Normalnumbered"/>
        <w:numPr>
          <w:ilvl w:val="0"/>
          <w:numId w:val="10"/>
        </w:numPr>
        <w:jc w:val="left"/>
      </w:pPr>
      <w:r w:rsidRPr="003012DA">
        <w:t>This Agreement is between the Commonwealth of Au</w:t>
      </w:r>
      <w:r w:rsidR="00ED1DD3">
        <w:t xml:space="preserve">stralia (the Commonwealth) and Tasmania. </w:t>
      </w:r>
      <w:r w:rsidRPr="003012DA">
        <w:t xml:space="preserve"> </w:t>
      </w:r>
    </w:p>
    <w:p w14:paraId="2B320309" w14:textId="77777777" w:rsidR="00814667" w:rsidRDefault="00814667">
      <w:pPr>
        <w:pStyle w:val="Heading2"/>
      </w:pPr>
      <w:r>
        <w:t>Term of the Agreement</w:t>
      </w:r>
    </w:p>
    <w:p w14:paraId="38AB4949" w14:textId="77777777" w:rsidR="00E968F6" w:rsidRDefault="001D6C45" w:rsidP="00B72830">
      <w:pPr>
        <w:pStyle w:val="Normalnumbered"/>
        <w:numPr>
          <w:ilvl w:val="0"/>
          <w:numId w:val="10"/>
        </w:numPr>
      </w:pPr>
      <w:r w:rsidRPr="003012DA">
        <w:t xml:space="preserve">This </w:t>
      </w:r>
      <w:r>
        <w:t xml:space="preserve">Agreement will commence as soon as the Commonwealth and </w:t>
      </w:r>
      <w:r w:rsidR="00ED1DD3">
        <w:t>Tasmania</w:t>
      </w:r>
      <w:r>
        <w:t xml:space="preserve"> sign </w:t>
      </w:r>
      <w:r w:rsidR="00490352">
        <w:t xml:space="preserve">it </w:t>
      </w:r>
      <w:r>
        <w:t>and wi</w:t>
      </w:r>
      <w:r w:rsidR="00ED1DD3">
        <w:t xml:space="preserve">ll expire on </w:t>
      </w:r>
      <w:r w:rsidR="00120B2C" w:rsidRPr="009422A6">
        <w:rPr>
          <w:color w:val="auto"/>
        </w:rPr>
        <w:t>30 June 2027</w:t>
      </w:r>
      <w:r w:rsidR="00120B2C">
        <w:rPr>
          <w:color w:val="C0504D" w:themeColor="accent2"/>
        </w:rPr>
        <w:t xml:space="preserve"> </w:t>
      </w:r>
      <w:r w:rsidR="003562FD" w:rsidRPr="003562FD">
        <w:t xml:space="preserve">or on final performance reporting. </w:t>
      </w:r>
    </w:p>
    <w:p w14:paraId="1E274745" w14:textId="77777777" w:rsidR="00ED1DD3" w:rsidRDefault="00ED1DD3" w:rsidP="00ED1DD3">
      <w:pPr>
        <w:pStyle w:val="Normalnumbered"/>
        <w:numPr>
          <w:ilvl w:val="0"/>
          <w:numId w:val="0"/>
        </w:numPr>
        <w:ind w:left="567"/>
      </w:pPr>
    </w:p>
    <w:p w14:paraId="63E5DC0F" w14:textId="77777777" w:rsidR="00814667" w:rsidRDefault="00814667" w:rsidP="00E968F6">
      <w:pPr>
        <w:pStyle w:val="Heading1"/>
        <w:spacing w:before="100"/>
      </w:pPr>
      <w:r>
        <w:lastRenderedPageBreak/>
        <w:t>part 2 — objectives, outcomes and outputs</w:t>
      </w:r>
    </w:p>
    <w:p w14:paraId="04381BEC" w14:textId="77777777" w:rsidR="00F46237" w:rsidRPr="001A7A15" w:rsidRDefault="00F46237" w:rsidP="00F46237">
      <w:pPr>
        <w:pStyle w:val="Heading2"/>
      </w:pPr>
      <w:r>
        <w:t>Objectives</w:t>
      </w:r>
    </w:p>
    <w:p w14:paraId="7793D27F" w14:textId="77777777" w:rsidR="002F576E" w:rsidRPr="001A7A15" w:rsidRDefault="002F576E" w:rsidP="00B72830">
      <w:pPr>
        <w:pStyle w:val="Normalnumbered"/>
        <w:numPr>
          <w:ilvl w:val="0"/>
          <w:numId w:val="10"/>
        </w:numPr>
      </w:pPr>
      <w:r>
        <w:t xml:space="preserve">The </w:t>
      </w:r>
      <w:r w:rsidR="00490352">
        <w:t>objective of this Agreement is</w:t>
      </w:r>
      <w:r w:rsidR="004B27C1">
        <w:t xml:space="preserve"> to</w:t>
      </w:r>
      <w:r w:rsidR="00E3710E">
        <w:t xml:space="preserve"> </w:t>
      </w:r>
      <w:r w:rsidR="00427689">
        <w:t xml:space="preserve">consolidate ownership of Tasmanian public hospitals with the Tasmanian Government. </w:t>
      </w:r>
    </w:p>
    <w:p w14:paraId="7CFF40F4" w14:textId="77777777" w:rsidR="00814667" w:rsidRDefault="00814667">
      <w:pPr>
        <w:pStyle w:val="Heading2"/>
      </w:pPr>
      <w:r>
        <w:t>Outcomes</w:t>
      </w:r>
    </w:p>
    <w:p w14:paraId="676BC35B" w14:textId="77777777" w:rsidR="00852ED8" w:rsidRPr="001A7A15" w:rsidRDefault="00814667" w:rsidP="00B72830">
      <w:pPr>
        <w:pStyle w:val="Normalnumbered"/>
        <w:numPr>
          <w:ilvl w:val="0"/>
          <w:numId w:val="10"/>
        </w:numPr>
      </w:pPr>
      <w:r w:rsidRPr="001A7A15">
        <w:t>Th</w:t>
      </w:r>
      <w:r w:rsidR="00B06097">
        <w:t>is</w:t>
      </w:r>
      <w:r w:rsidRPr="001A7A15">
        <w:t xml:space="preserve"> Agreement will </w:t>
      </w:r>
      <w:r w:rsidR="001A7A15">
        <w:t>facilitate</w:t>
      </w:r>
      <w:r w:rsidR="00B06097">
        <w:t xml:space="preserve"> </w:t>
      </w:r>
      <w:r w:rsidR="002E4B66">
        <w:t xml:space="preserve">achievement of </w:t>
      </w:r>
      <w:r w:rsidR="00B06097">
        <w:t>the following outcomes</w:t>
      </w:r>
      <w:r w:rsidR="00852ED8" w:rsidRPr="001A7A15">
        <w:t>:</w:t>
      </w:r>
      <w:r w:rsidR="00852ED8" w:rsidRPr="001A7A15">
        <w:tab/>
      </w:r>
    </w:p>
    <w:p w14:paraId="2C32577F" w14:textId="77777777" w:rsidR="00D02294" w:rsidRDefault="00427689" w:rsidP="00B72830">
      <w:pPr>
        <w:pStyle w:val="AlphaParagraph"/>
        <w:numPr>
          <w:ilvl w:val="0"/>
          <w:numId w:val="22"/>
        </w:numPr>
        <w:ind w:left="1134"/>
      </w:pPr>
      <w:r>
        <w:t xml:space="preserve">ownership of the Mersey Community Hospital by the Tasmanian Government; </w:t>
      </w:r>
    </w:p>
    <w:p w14:paraId="22536A05" w14:textId="77777777" w:rsidR="00427689" w:rsidRDefault="00FA5D53" w:rsidP="00B72830">
      <w:pPr>
        <w:pStyle w:val="AlphaParagraph"/>
        <w:numPr>
          <w:ilvl w:val="0"/>
          <w:numId w:val="22"/>
        </w:numPr>
        <w:ind w:left="1134"/>
      </w:pPr>
      <w:r>
        <w:t>support for</w:t>
      </w:r>
      <w:r w:rsidR="00D02294">
        <w:t xml:space="preserve"> drug and alcohol residential rehabilitation treatment services; </w:t>
      </w:r>
      <w:r w:rsidR="00427689">
        <w:t>and</w:t>
      </w:r>
    </w:p>
    <w:p w14:paraId="75171535" w14:textId="77777777" w:rsidR="00852ED8" w:rsidRDefault="00FA5D53" w:rsidP="00B72830">
      <w:pPr>
        <w:pStyle w:val="AlphaParagraph"/>
        <w:numPr>
          <w:ilvl w:val="0"/>
          <w:numId w:val="22"/>
        </w:numPr>
        <w:ind w:left="1134"/>
      </w:pPr>
      <w:proofErr w:type="gramStart"/>
      <w:r>
        <w:t>support</w:t>
      </w:r>
      <w:proofErr w:type="gramEnd"/>
      <w:r>
        <w:t xml:space="preserve"> for</w:t>
      </w:r>
      <w:r w:rsidR="00B12275">
        <w:t xml:space="preserve"> </w:t>
      </w:r>
      <w:r w:rsidR="00427689">
        <w:t>palliative care services.</w:t>
      </w:r>
      <w:r w:rsidR="00852ED8">
        <w:t xml:space="preserve"> </w:t>
      </w:r>
    </w:p>
    <w:p w14:paraId="119598D4" w14:textId="77777777" w:rsidR="00814667" w:rsidRDefault="00814667">
      <w:pPr>
        <w:pStyle w:val="Heading2"/>
      </w:pPr>
      <w:r>
        <w:t>Outputs</w:t>
      </w:r>
    </w:p>
    <w:p w14:paraId="3314B92F" w14:textId="77777777" w:rsidR="0085738D" w:rsidRDefault="00814667" w:rsidP="00B72830">
      <w:pPr>
        <w:pStyle w:val="Normalnumbered"/>
        <w:numPr>
          <w:ilvl w:val="0"/>
          <w:numId w:val="10"/>
        </w:numPr>
      </w:pPr>
      <w:r w:rsidRPr="0085738D">
        <w:t>The objectives and outcomes of this Agreement will be achieved by</w:t>
      </w:r>
      <w:r w:rsidR="0085738D">
        <w:t>:</w:t>
      </w:r>
    </w:p>
    <w:p w14:paraId="3D111472" w14:textId="77777777" w:rsidR="00B06097" w:rsidRDefault="006B6663" w:rsidP="00B72830">
      <w:pPr>
        <w:pStyle w:val="AlphaParagraph"/>
        <w:numPr>
          <w:ilvl w:val="0"/>
          <w:numId w:val="21"/>
        </w:numPr>
        <w:ind w:left="1134"/>
      </w:pPr>
      <w:r>
        <w:t>transfer of the Mersey Community Hospital</w:t>
      </w:r>
      <w:r w:rsidR="00565143">
        <w:t xml:space="preserve"> </w:t>
      </w:r>
      <w:r w:rsidR="00FB61B8">
        <w:t>from 1 July 2017</w:t>
      </w:r>
      <w:r>
        <w:t>;</w:t>
      </w:r>
    </w:p>
    <w:p w14:paraId="534A211F" w14:textId="656E4782" w:rsidR="00120B2C" w:rsidRDefault="00120B2C" w:rsidP="00B72830">
      <w:pPr>
        <w:pStyle w:val="AlphaParagraph"/>
        <w:numPr>
          <w:ilvl w:val="0"/>
          <w:numId w:val="21"/>
        </w:numPr>
        <w:ind w:left="1134"/>
      </w:pPr>
      <w:r>
        <w:t xml:space="preserve">provision of </w:t>
      </w:r>
      <w:r w:rsidR="007C7FA5">
        <w:t xml:space="preserve">public </w:t>
      </w:r>
      <w:r>
        <w:t>hospital services in accordance with this Agreement;</w:t>
      </w:r>
    </w:p>
    <w:p w14:paraId="5DE57595" w14:textId="77777777" w:rsidR="00814667" w:rsidRDefault="006B6663" w:rsidP="00B72830">
      <w:pPr>
        <w:pStyle w:val="AlphaParagraph"/>
        <w:numPr>
          <w:ilvl w:val="0"/>
          <w:numId w:val="15"/>
        </w:numPr>
        <w:ind w:left="1134"/>
      </w:pPr>
      <w:r>
        <w:t xml:space="preserve">delivery of </w:t>
      </w:r>
      <w:r w:rsidR="00D02294">
        <w:t xml:space="preserve">residential </w:t>
      </w:r>
      <w:r>
        <w:t xml:space="preserve">rehabilitation services by </w:t>
      </w:r>
      <w:r w:rsidR="00B12275">
        <w:t xml:space="preserve">Launceston City Mission at </w:t>
      </w:r>
      <w:r>
        <w:t xml:space="preserve">the </w:t>
      </w:r>
      <w:proofErr w:type="spellStart"/>
      <w:r w:rsidR="002459EE">
        <w:t>Missiondale</w:t>
      </w:r>
      <w:proofErr w:type="spellEnd"/>
      <w:r w:rsidR="002459EE">
        <w:t xml:space="preserve"> Recovery Centre</w:t>
      </w:r>
      <w:r>
        <w:t xml:space="preserve"> </w:t>
      </w:r>
      <w:r w:rsidR="004039DE">
        <w:t xml:space="preserve">over the </w:t>
      </w:r>
      <w:r w:rsidR="00120B2C" w:rsidRPr="00DD68D7">
        <w:rPr>
          <w:color w:val="auto"/>
        </w:rPr>
        <w:t xml:space="preserve">2017-18 to 2020-21 </w:t>
      </w:r>
      <w:r w:rsidR="004039DE" w:rsidRPr="00DD68D7">
        <w:rPr>
          <w:color w:val="auto"/>
        </w:rPr>
        <w:t xml:space="preserve"> period</w:t>
      </w:r>
      <w:r w:rsidR="004039DE">
        <w:t>; and</w:t>
      </w:r>
    </w:p>
    <w:p w14:paraId="46DCAE5E" w14:textId="77777777" w:rsidR="0057503A" w:rsidRDefault="0057503A" w:rsidP="008562AE">
      <w:pPr>
        <w:pStyle w:val="AlphaParagraph"/>
        <w:numPr>
          <w:ilvl w:val="0"/>
          <w:numId w:val="15"/>
        </w:numPr>
        <w:ind w:left="1134"/>
      </w:pPr>
      <w:proofErr w:type="gramStart"/>
      <w:r>
        <w:t>support</w:t>
      </w:r>
      <w:proofErr w:type="gramEnd"/>
      <w:r>
        <w:t xml:space="preserve"> for Palliative Care Tasmania </w:t>
      </w:r>
      <w:r w:rsidRPr="0057503A">
        <w:rPr>
          <w:color w:val="auto"/>
        </w:rPr>
        <w:t xml:space="preserve">and The District Nurses for palliative care services </w:t>
      </w:r>
      <w:r>
        <w:t xml:space="preserve">over the </w:t>
      </w:r>
      <w:r>
        <w:rPr>
          <w:color w:val="auto"/>
        </w:rPr>
        <w:t xml:space="preserve">2017-18 to 2019-20 </w:t>
      </w:r>
      <w:r>
        <w:t xml:space="preserve">period. </w:t>
      </w:r>
    </w:p>
    <w:p w14:paraId="1B1A32CE" w14:textId="77777777" w:rsidR="00814667" w:rsidRDefault="00814667">
      <w:pPr>
        <w:pStyle w:val="Heading1"/>
      </w:pPr>
      <w:r>
        <w:t>Part 3 — roles and responsibilities of each party</w:t>
      </w:r>
    </w:p>
    <w:p w14:paraId="571BB677" w14:textId="77777777" w:rsidR="00814667" w:rsidRDefault="00AB79E9" w:rsidP="00B72830">
      <w:pPr>
        <w:pStyle w:val="Normalnumbered"/>
        <w:numPr>
          <w:ilvl w:val="0"/>
          <w:numId w:val="10"/>
        </w:numPr>
        <w:jc w:val="left"/>
      </w:pPr>
      <w:r>
        <w:t xml:space="preserve">To realise the objectives and commitments in this Agreement, each Party has specific roles and responsibilities, as outlined </w:t>
      </w:r>
      <w:r w:rsidRPr="00ED6043">
        <w:t>below</w:t>
      </w:r>
      <w:r>
        <w:t>.</w:t>
      </w:r>
    </w:p>
    <w:p w14:paraId="5D33E4D2" w14:textId="77777777" w:rsidR="00814667" w:rsidRDefault="00814667">
      <w:pPr>
        <w:pStyle w:val="Heading2"/>
      </w:pPr>
      <w:r w:rsidRPr="00814590">
        <w:t>Role of the Commonwealth</w:t>
      </w:r>
    </w:p>
    <w:p w14:paraId="2ADE3437" w14:textId="77777777" w:rsidR="00814590" w:rsidRPr="00336F12" w:rsidRDefault="00814590" w:rsidP="00B72830">
      <w:pPr>
        <w:pStyle w:val="Normalnumbered"/>
        <w:numPr>
          <w:ilvl w:val="0"/>
          <w:numId w:val="10"/>
        </w:numPr>
        <w:jc w:val="left"/>
        <w:rPr>
          <w:color w:val="auto"/>
        </w:rPr>
      </w:pPr>
      <w:r w:rsidRPr="00336F12">
        <w:rPr>
          <w:color w:val="auto"/>
        </w:rPr>
        <w:t xml:space="preserve">The Commonwealth agrees to be </w:t>
      </w:r>
      <w:r w:rsidR="00A10974">
        <w:rPr>
          <w:color w:val="auto"/>
        </w:rPr>
        <w:t>responsible</w:t>
      </w:r>
      <w:r w:rsidR="00AF3346" w:rsidRPr="00336F12">
        <w:rPr>
          <w:color w:val="auto"/>
        </w:rPr>
        <w:t xml:space="preserve"> </w:t>
      </w:r>
      <w:r w:rsidRPr="00336F12">
        <w:rPr>
          <w:color w:val="auto"/>
        </w:rPr>
        <w:t>for:</w:t>
      </w:r>
    </w:p>
    <w:p w14:paraId="2985F959" w14:textId="77777777" w:rsidR="00FB2B73" w:rsidRPr="00FB2B73" w:rsidRDefault="00AD670F" w:rsidP="00B72830">
      <w:pPr>
        <w:pStyle w:val="AlphaParagraph"/>
        <w:numPr>
          <w:ilvl w:val="0"/>
          <w:numId w:val="23"/>
        </w:numPr>
        <w:tabs>
          <w:tab w:val="clear" w:pos="567"/>
        </w:tabs>
        <w:ind w:left="1134"/>
      </w:pPr>
      <w:r w:rsidRPr="00C05CC6">
        <w:t xml:space="preserve">providing </w:t>
      </w:r>
      <w:r w:rsidR="00D802FC" w:rsidRPr="00C05CC6">
        <w:t>a financial contribution</w:t>
      </w:r>
      <w:r w:rsidRPr="00C05CC6">
        <w:t xml:space="preserve"> to </w:t>
      </w:r>
      <w:r w:rsidR="004039DE">
        <w:t>Tasmania</w:t>
      </w:r>
      <w:r w:rsidRPr="00C05CC6">
        <w:t xml:space="preserve"> to support the </w:t>
      </w:r>
      <w:r w:rsidR="001B7933" w:rsidRPr="00C05CC6">
        <w:t>implementation</w:t>
      </w:r>
      <w:r w:rsidR="00DE4A6C" w:rsidRPr="00C05CC6">
        <w:t xml:space="preserve"> of</w:t>
      </w:r>
      <w:r w:rsidRPr="00C05CC6">
        <w:t xml:space="preserve"> this Agreement;</w:t>
      </w:r>
    </w:p>
    <w:p w14:paraId="13BB9D3B" w14:textId="77777777" w:rsidR="00C05CC6" w:rsidRPr="00FB2B73" w:rsidRDefault="00FB2B73" w:rsidP="00B72830">
      <w:pPr>
        <w:pStyle w:val="AlphaParagraph"/>
        <w:numPr>
          <w:ilvl w:val="0"/>
          <w:numId w:val="23"/>
        </w:numPr>
        <w:ind w:left="1134"/>
      </w:pPr>
      <w:r>
        <w:t>transferring ownership of the Mersey Community Hospital to Tasmania</w:t>
      </w:r>
      <w:r w:rsidR="00FB61B8">
        <w:t xml:space="preserve"> from 1 July 2017</w:t>
      </w:r>
      <w:r>
        <w:t>;</w:t>
      </w:r>
      <w:r w:rsidR="00AD670F" w:rsidRPr="00C05CC6">
        <w:t xml:space="preserve"> </w:t>
      </w:r>
      <w:r w:rsidR="003562FD">
        <w:t>and</w:t>
      </w:r>
    </w:p>
    <w:p w14:paraId="1F8BA85E" w14:textId="77777777" w:rsidR="00C05CC6" w:rsidRPr="00FB2B73" w:rsidRDefault="00AD670F" w:rsidP="00B72830">
      <w:pPr>
        <w:pStyle w:val="AlphaParagraph"/>
        <w:numPr>
          <w:ilvl w:val="0"/>
          <w:numId w:val="23"/>
        </w:numPr>
        <w:ind w:left="1134"/>
      </w:pPr>
      <w:proofErr w:type="gramStart"/>
      <w:r w:rsidRPr="006B4DF0">
        <w:t>monitoring</w:t>
      </w:r>
      <w:proofErr w:type="gramEnd"/>
      <w:r w:rsidRPr="006B4DF0">
        <w:t xml:space="preserve"> and assessing the performance in the delivery of</w:t>
      </w:r>
      <w:r w:rsidRPr="00FB2B73">
        <w:t xml:space="preserve"> </w:t>
      </w:r>
      <w:r w:rsidR="000064E1" w:rsidRPr="000064E1">
        <w:t>services</w:t>
      </w:r>
      <w:r w:rsidRPr="00FB2B73">
        <w:t xml:space="preserve"> </w:t>
      </w:r>
      <w:r w:rsidRPr="00896477">
        <w:t>under this Agreement</w:t>
      </w:r>
      <w:r w:rsidR="00896477">
        <w:t xml:space="preserve"> to ensure that outputs are delivered and outcomes are achieved within the agreed timeframe</w:t>
      </w:r>
      <w:r w:rsidR="003562FD">
        <w:t>.</w:t>
      </w:r>
    </w:p>
    <w:p w14:paraId="4BC6E003" w14:textId="77777777" w:rsidR="001E6D8F" w:rsidRDefault="001E6D8F">
      <w:pPr>
        <w:spacing w:after="0" w:line="240" w:lineRule="auto"/>
        <w:jc w:val="left"/>
        <w:rPr>
          <w:rFonts w:cs="Arial"/>
          <w:b/>
          <w:bCs/>
          <w:iCs/>
          <w:color w:val="3D4B67"/>
          <w:sz w:val="29"/>
          <w:szCs w:val="28"/>
        </w:rPr>
      </w:pPr>
      <w:r>
        <w:br w:type="page"/>
      </w:r>
    </w:p>
    <w:p w14:paraId="278C9FF8" w14:textId="77777777" w:rsidR="00814667" w:rsidRPr="00751725" w:rsidRDefault="00814667">
      <w:pPr>
        <w:pStyle w:val="Heading2"/>
      </w:pPr>
      <w:r w:rsidRPr="00751725">
        <w:lastRenderedPageBreak/>
        <w:t xml:space="preserve">Role of </w:t>
      </w:r>
      <w:r w:rsidR="004039DE">
        <w:t>Tasmania</w:t>
      </w:r>
    </w:p>
    <w:p w14:paraId="58E1AE81" w14:textId="77777777" w:rsidR="00814590" w:rsidRPr="00751725" w:rsidRDefault="004039DE" w:rsidP="00B72830">
      <w:pPr>
        <w:pStyle w:val="Normalnumbered"/>
        <w:numPr>
          <w:ilvl w:val="0"/>
          <w:numId w:val="10"/>
        </w:numPr>
        <w:jc w:val="left"/>
      </w:pPr>
      <w:r>
        <w:t>Tasmania is</w:t>
      </w:r>
      <w:r w:rsidR="00814590" w:rsidRPr="00751725">
        <w:t xml:space="preserve"> </w:t>
      </w:r>
      <w:r w:rsidR="00AF3346">
        <w:t>responsible</w:t>
      </w:r>
      <w:r w:rsidR="00AF3346" w:rsidRPr="00751725">
        <w:t xml:space="preserve"> </w:t>
      </w:r>
      <w:r w:rsidR="00814590" w:rsidRPr="00751725">
        <w:t>for:</w:t>
      </w:r>
    </w:p>
    <w:p w14:paraId="64F07AA8" w14:textId="77777777" w:rsidR="006B4DF0" w:rsidRDefault="00120B2C" w:rsidP="00B72830">
      <w:pPr>
        <w:pStyle w:val="AlphaParagraph"/>
        <w:numPr>
          <w:ilvl w:val="0"/>
          <w:numId w:val="19"/>
        </w:numPr>
        <w:tabs>
          <w:tab w:val="left" w:pos="1134"/>
        </w:tabs>
        <w:ind w:left="1134"/>
      </w:pPr>
      <w:r>
        <w:rPr>
          <w:color w:val="auto"/>
        </w:rPr>
        <w:t>r</w:t>
      </w:r>
      <w:r w:rsidR="004039DE">
        <w:rPr>
          <w:color w:val="auto"/>
        </w:rPr>
        <w:t>esuming ownership of the Mersey Community Hospital</w:t>
      </w:r>
      <w:r w:rsidR="00FB61B8">
        <w:rPr>
          <w:color w:val="auto"/>
        </w:rPr>
        <w:t xml:space="preserve"> from 1 July 2017</w:t>
      </w:r>
      <w:r w:rsidR="004039DE">
        <w:rPr>
          <w:color w:val="auto"/>
        </w:rPr>
        <w:t>;</w:t>
      </w:r>
    </w:p>
    <w:p w14:paraId="789E592B" w14:textId="77777777" w:rsidR="00EB0CCF" w:rsidRDefault="00EF72D4" w:rsidP="00B72830">
      <w:pPr>
        <w:pStyle w:val="AlphaParagraph"/>
        <w:numPr>
          <w:ilvl w:val="0"/>
          <w:numId w:val="19"/>
        </w:numPr>
        <w:tabs>
          <w:tab w:val="clear" w:pos="567"/>
        </w:tabs>
        <w:ind w:left="1134"/>
      </w:pPr>
      <w:r w:rsidRPr="006B4DF0">
        <w:t xml:space="preserve">delivering on outcomes and outputs assigned to </w:t>
      </w:r>
      <w:r w:rsidR="004039DE">
        <w:t>Tasmania</w:t>
      </w:r>
      <w:r>
        <w:t xml:space="preserve"> </w:t>
      </w:r>
      <w:r w:rsidRPr="006B4DF0">
        <w:t>for implementation</w:t>
      </w:r>
      <w:r>
        <w:t>;</w:t>
      </w:r>
      <w:r w:rsidR="004039DE">
        <w:t xml:space="preserve"> </w:t>
      </w:r>
      <w:r w:rsidR="00B12275">
        <w:t>and</w:t>
      </w:r>
    </w:p>
    <w:p w14:paraId="6DCFB42A" w14:textId="77777777" w:rsidR="00DD1898" w:rsidRPr="00DD1898" w:rsidRDefault="00D802FC" w:rsidP="00B72830">
      <w:pPr>
        <w:pStyle w:val="AlphaParagraph"/>
        <w:numPr>
          <w:ilvl w:val="0"/>
          <w:numId w:val="19"/>
        </w:numPr>
        <w:tabs>
          <w:tab w:val="left" w:pos="567"/>
        </w:tabs>
        <w:spacing w:after="246"/>
        <w:ind w:left="1134"/>
        <w:rPr>
          <w:color w:val="00B050"/>
        </w:rPr>
      </w:pPr>
      <w:bookmarkStart w:id="1" w:name="OLE_LINK1"/>
      <w:bookmarkStart w:id="2" w:name="OLE_LINK2"/>
      <w:proofErr w:type="gramStart"/>
      <w:r w:rsidRPr="006B4DF0">
        <w:t>reporting</w:t>
      </w:r>
      <w:proofErr w:type="gramEnd"/>
      <w:r w:rsidRPr="006B4DF0">
        <w:t xml:space="preserve"> on the delivery of </w:t>
      </w:r>
      <w:r w:rsidR="004039DE">
        <w:t>services</w:t>
      </w:r>
      <w:r w:rsidR="00333506" w:rsidRPr="006B4DF0">
        <w:t xml:space="preserve"> </w:t>
      </w:r>
      <w:r w:rsidRPr="006B4DF0">
        <w:t xml:space="preserve">as set out in Part 4 – Performance </w:t>
      </w:r>
      <w:r w:rsidR="00755B01">
        <w:t>Monitoring</w:t>
      </w:r>
      <w:r w:rsidRPr="006B4DF0">
        <w:t xml:space="preserve"> and Reporting</w:t>
      </w:r>
      <w:bookmarkEnd w:id="1"/>
      <w:bookmarkEnd w:id="2"/>
      <w:r w:rsidR="004039DE">
        <w:t>.</w:t>
      </w:r>
    </w:p>
    <w:p w14:paraId="543F9EAD" w14:textId="77777777" w:rsidR="003562FD" w:rsidRPr="003562FD" w:rsidRDefault="003562FD" w:rsidP="003562FD">
      <w:pPr>
        <w:pStyle w:val="Heading2"/>
        <w:rPr>
          <w:rFonts w:ascii="Consolas" w:hAnsi="Consolas"/>
          <w:b w:val="0"/>
          <w:iCs w:val="0"/>
          <w:caps/>
          <w:kern w:val="32"/>
          <w:sz w:val="32"/>
          <w:szCs w:val="36"/>
        </w:rPr>
      </w:pPr>
      <w:r w:rsidRPr="003562FD">
        <w:rPr>
          <w:rFonts w:ascii="Consolas" w:hAnsi="Consolas"/>
          <w:b w:val="0"/>
          <w:iCs w:val="0"/>
          <w:caps/>
          <w:kern w:val="32"/>
          <w:sz w:val="32"/>
          <w:szCs w:val="36"/>
        </w:rPr>
        <w:t>PART 4 – PERF</w:t>
      </w:r>
      <w:r>
        <w:rPr>
          <w:rFonts w:ascii="Consolas" w:hAnsi="Consolas"/>
          <w:b w:val="0"/>
          <w:iCs w:val="0"/>
          <w:caps/>
          <w:kern w:val="32"/>
          <w:sz w:val="32"/>
          <w:szCs w:val="36"/>
        </w:rPr>
        <w:t>orM</w:t>
      </w:r>
      <w:r w:rsidRPr="003562FD">
        <w:rPr>
          <w:rFonts w:ascii="Consolas" w:hAnsi="Consolas"/>
          <w:b w:val="0"/>
          <w:iCs w:val="0"/>
          <w:caps/>
          <w:kern w:val="32"/>
          <w:sz w:val="32"/>
          <w:szCs w:val="36"/>
        </w:rPr>
        <w:t>ANCE MONITORING AND REPORTING</w:t>
      </w:r>
    </w:p>
    <w:p w14:paraId="27B73096" w14:textId="77777777" w:rsidR="00E74931" w:rsidRPr="00A10044" w:rsidRDefault="00E74931" w:rsidP="003562FD">
      <w:pPr>
        <w:pStyle w:val="Heading2"/>
        <w:rPr>
          <w:color w:val="365F91" w:themeColor="accent1" w:themeShade="BF"/>
        </w:rPr>
      </w:pPr>
      <w:r w:rsidRPr="00A10044">
        <w:rPr>
          <w:color w:val="365F91" w:themeColor="accent1" w:themeShade="BF"/>
        </w:rPr>
        <w:t xml:space="preserve">Activity </w:t>
      </w:r>
    </w:p>
    <w:p w14:paraId="39CFA6E3" w14:textId="77777777" w:rsidR="00312DEF" w:rsidRDefault="00312DEF" w:rsidP="00312DEF">
      <w:pPr>
        <w:pStyle w:val="Normalnumbered"/>
        <w:numPr>
          <w:ilvl w:val="0"/>
          <w:numId w:val="10"/>
        </w:numPr>
        <w:rPr>
          <w:color w:val="auto"/>
        </w:rPr>
      </w:pPr>
      <w:r>
        <w:rPr>
          <w:color w:val="auto"/>
        </w:rPr>
        <w:t>T</w:t>
      </w:r>
      <w:r w:rsidRPr="00F47560">
        <w:rPr>
          <w:color w:val="auto"/>
        </w:rPr>
        <w:t xml:space="preserve">o </w:t>
      </w:r>
      <w:r>
        <w:rPr>
          <w:color w:val="auto"/>
        </w:rPr>
        <w:t xml:space="preserve">ensure that Tasmania does not receive </w:t>
      </w:r>
      <w:r w:rsidRPr="00F47560">
        <w:rPr>
          <w:color w:val="auto"/>
        </w:rPr>
        <w:t>double</w:t>
      </w:r>
      <w:r>
        <w:rPr>
          <w:color w:val="auto"/>
        </w:rPr>
        <w:t xml:space="preserve"> funding</w:t>
      </w:r>
      <w:r w:rsidRPr="00F47560">
        <w:rPr>
          <w:color w:val="auto"/>
        </w:rPr>
        <w:t xml:space="preserve"> for </w:t>
      </w:r>
      <w:r>
        <w:rPr>
          <w:color w:val="auto"/>
        </w:rPr>
        <w:t xml:space="preserve">public </w:t>
      </w:r>
      <w:r w:rsidRPr="00F47560">
        <w:rPr>
          <w:color w:val="auto"/>
        </w:rPr>
        <w:t>hospital services, for the period of 2017-18 to 2026-27 inclusive, Tasmania will not be entitled to receive Activity Based Funding under the National Health Reform Agreement</w:t>
      </w:r>
      <w:r>
        <w:rPr>
          <w:color w:val="auto"/>
        </w:rPr>
        <w:t xml:space="preserve"> (NHRA)</w:t>
      </w:r>
      <w:r w:rsidRPr="00F47560">
        <w:rPr>
          <w:color w:val="auto"/>
        </w:rPr>
        <w:t xml:space="preserve">, or any subsequent agreement, for the agreed activity level under this </w:t>
      </w:r>
      <w:r>
        <w:rPr>
          <w:color w:val="auto"/>
        </w:rPr>
        <w:t>A</w:t>
      </w:r>
      <w:r w:rsidRPr="00F47560">
        <w:rPr>
          <w:color w:val="auto"/>
        </w:rPr>
        <w:t>greement</w:t>
      </w:r>
      <w:r>
        <w:rPr>
          <w:color w:val="auto"/>
        </w:rPr>
        <w:t xml:space="preserve">. </w:t>
      </w:r>
      <w:r w:rsidRPr="00F47560">
        <w:rPr>
          <w:color w:val="auto"/>
        </w:rPr>
        <w:t xml:space="preserve">This will apply whether the agreed activity </w:t>
      </w:r>
      <w:r>
        <w:rPr>
          <w:color w:val="auto"/>
        </w:rPr>
        <w:t>profile</w:t>
      </w:r>
      <w:r w:rsidRPr="00F47560">
        <w:rPr>
          <w:color w:val="auto"/>
        </w:rPr>
        <w:t xml:space="preserve"> is provided at the Mersey Community Hospital or elsewhere.</w:t>
      </w:r>
    </w:p>
    <w:p w14:paraId="6E421560" w14:textId="77777777" w:rsidR="00312DEF" w:rsidRDefault="00312DEF" w:rsidP="00312DEF">
      <w:pPr>
        <w:pStyle w:val="AlphaParagraph"/>
        <w:numPr>
          <w:ilvl w:val="1"/>
          <w:numId w:val="10"/>
        </w:numPr>
        <w:tabs>
          <w:tab w:val="clear" w:pos="567"/>
          <w:tab w:val="clear" w:pos="1440"/>
        </w:tabs>
        <w:ind w:left="1134" w:hanging="567"/>
        <w:rPr>
          <w:color w:val="000000" w:themeColor="text1"/>
        </w:rPr>
      </w:pPr>
      <w:r w:rsidRPr="00694362">
        <w:rPr>
          <w:color w:val="000000" w:themeColor="text1"/>
        </w:rPr>
        <w:t xml:space="preserve">The agreed activity </w:t>
      </w:r>
      <w:r>
        <w:rPr>
          <w:color w:val="000000" w:themeColor="text1"/>
        </w:rPr>
        <w:t>profile</w:t>
      </w:r>
      <w:r w:rsidRPr="00694362">
        <w:rPr>
          <w:color w:val="000000" w:themeColor="text1"/>
        </w:rPr>
        <w:t xml:space="preserve"> has been converted to an agreed funding </w:t>
      </w:r>
      <w:r>
        <w:rPr>
          <w:color w:val="000000" w:themeColor="text1"/>
        </w:rPr>
        <w:t>profile</w:t>
      </w:r>
      <w:r w:rsidRPr="00694362">
        <w:rPr>
          <w:color w:val="000000" w:themeColor="text1"/>
        </w:rPr>
        <w:t xml:space="preserve"> based on the Commonwealth contribution rate under the NHRA, as show</w:t>
      </w:r>
      <w:r>
        <w:rPr>
          <w:color w:val="000000" w:themeColor="text1"/>
        </w:rPr>
        <w:t>n</w:t>
      </w:r>
      <w:r w:rsidRPr="00694362">
        <w:rPr>
          <w:color w:val="000000" w:themeColor="text1"/>
        </w:rPr>
        <w:t xml:space="preserve"> in Table 1.</w:t>
      </w:r>
    </w:p>
    <w:p w14:paraId="783AE594" w14:textId="77777777" w:rsidR="00312DEF" w:rsidRPr="00C12BC0" w:rsidRDefault="00312DEF" w:rsidP="00312DEF">
      <w:pPr>
        <w:pStyle w:val="Normalnumbered"/>
        <w:numPr>
          <w:ilvl w:val="1"/>
          <w:numId w:val="10"/>
        </w:numPr>
        <w:tabs>
          <w:tab w:val="clear" w:pos="1440"/>
          <w:tab w:val="num" w:pos="1134"/>
        </w:tabs>
        <w:spacing w:before="120" w:line="240" w:lineRule="auto"/>
        <w:ind w:left="1134" w:hanging="567"/>
        <w:jc w:val="left"/>
        <w:rPr>
          <w:color w:val="000000" w:themeColor="text1"/>
        </w:rPr>
      </w:pPr>
      <w:r w:rsidRPr="00694362">
        <w:rPr>
          <w:color w:val="000000" w:themeColor="text1"/>
        </w:rPr>
        <w:t>This funding profile will be used by the Administrator of the National Health Funding Pool in applying clause A6 of the NHRA.</w:t>
      </w:r>
    </w:p>
    <w:p w14:paraId="06865994" w14:textId="77777777" w:rsidR="00312DEF" w:rsidRDefault="00312DEF" w:rsidP="00312DEF">
      <w:pPr>
        <w:pStyle w:val="AlphaParagraph"/>
        <w:tabs>
          <w:tab w:val="clear" w:pos="0"/>
          <w:tab w:val="clear" w:pos="567"/>
          <w:tab w:val="clear" w:pos="1134"/>
        </w:tabs>
        <w:ind w:firstLine="0"/>
        <w:rPr>
          <w:b/>
          <w:color w:val="000000" w:themeColor="text1"/>
        </w:rPr>
      </w:pPr>
      <w:r w:rsidRPr="00C12BC0">
        <w:rPr>
          <w:b/>
          <w:color w:val="000000" w:themeColor="text1"/>
        </w:rPr>
        <w:t>Ta</w:t>
      </w:r>
      <w:r w:rsidR="008F5E43">
        <w:rPr>
          <w:b/>
          <w:color w:val="000000" w:themeColor="text1"/>
        </w:rPr>
        <w:t>ble 1: Activity funding profile</w:t>
      </w:r>
    </w:p>
    <w:tbl>
      <w:tblPr>
        <w:tblW w:w="9103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1517"/>
        <w:gridCol w:w="1517"/>
        <w:gridCol w:w="1517"/>
        <w:gridCol w:w="1517"/>
        <w:gridCol w:w="1517"/>
        <w:gridCol w:w="1518"/>
      </w:tblGrid>
      <w:tr w:rsidR="00755927" w:rsidRPr="00D61174" w14:paraId="7A324C2D" w14:textId="77777777" w:rsidTr="00CF5B1A">
        <w:trPr>
          <w:trHeight w:val="315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272B26" w14:textId="77777777" w:rsidR="00755927" w:rsidRPr="00D61174" w:rsidRDefault="00755927" w:rsidP="00CF5B1A">
            <w:pPr>
              <w:spacing w:after="0" w:line="240" w:lineRule="auto"/>
              <w:jc w:val="center"/>
              <w:rPr>
                <w:b/>
                <w:bCs/>
                <w:szCs w:val="23"/>
              </w:rPr>
            </w:pPr>
            <w:r w:rsidRPr="00D61174">
              <w:rPr>
                <w:b/>
                <w:bCs/>
                <w:szCs w:val="23"/>
              </w:rPr>
              <w:t>Year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AF4D56" w14:textId="77777777" w:rsidR="00755927" w:rsidRPr="00D61174" w:rsidRDefault="00755927" w:rsidP="00CF5B1A">
            <w:pPr>
              <w:spacing w:after="0" w:line="240" w:lineRule="auto"/>
              <w:jc w:val="center"/>
              <w:rPr>
                <w:b/>
                <w:bCs/>
                <w:szCs w:val="23"/>
              </w:rPr>
            </w:pPr>
            <w:r w:rsidRPr="00D61174">
              <w:rPr>
                <w:b/>
                <w:bCs/>
                <w:szCs w:val="23"/>
              </w:rPr>
              <w:t>2017-18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36B1E2" w14:textId="77777777" w:rsidR="00755927" w:rsidRPr="00D61174" w:rsidRDefault="00755927" w:rsidP="00CF5B1A">
            <w:pPr>
              <w:spacing w:after="0" w:line="240" w:lineRule="auto"/>
              <w:jc w:val="center"/>
              <w:rPr>
                <w:b/>
                <w:bCs/>
                <w:szCs w:val="23"/>
              </w:rPr>
            </w:pPr>
            <w:r w:rsidRPr="00D61174">
              <w:rPr>
                <w:b/>
                <w:bCs/>
                <w:szCs w:val="23"/>
              </w:rPr>
              <w:t>2018-19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531C8B" w14:textId="77777777" w:rsidR="00755927" w:rsidRPr="00D61174" w:rsidRDefault="00755927" w:rsidP="00CF5B1A">
            <w:pPr>
              <w:spacing w:after="0" w:line="240" w:lineRule="auto"/>
              <w:jc w:val="center"/>
              <w:rPr>
                <w:b/>
                <w:bCs/>
                <w:szCs w:val="23"/>
              </w:rPr>
            </w:pPr>
            <w:r w:rsidRPr="00D61174">
              <w:rPr>
                <w:b/>
                <w:bCs/>
                <w:szCs w:val="23"/>
              </w:rPr>
              <w:t>2019-20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7ADA7D" w14:textId="77777777" w:rsidR="00755927" w:rsidRPr="00D61174" w:rsidRDefault="00755927" w:rsidP="00CF5B1A">
            <w:pPr>
              <w:spacing w:after="0" w:line="240" w:lineRule="auto"/>
              <w:jc w:val="center"/>
              <w:rPr>
                <w:b/>
                <w:bCs/>
                <w:szCs w:val="23"/>
              </w:rPr>
            </w:pPr>
            <w:r w:rsidRPr="00D61174">
              <w:rPr>
                <w:b/>
                <w:bCs/>
                <w:szCs w:val="23"/>
              </w:rPr>
              <w:t>2020-21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1CA6A8" w14:textId="77777777" w:rsidR="00755927" w:rsidRPr="00D61174" w:rsidRDefault="00755927" w:rsidP="00CF5B1A">
            <w:pPr>
              <w:spacing w:after="0" w:line="240" w:lineRule="auto"/>
              <w:jc w:val="center"/>
              <w:rPr>
                <w:b/>
                <w:bCs/>
                <w:szCs w:val="23"/>
              </w:rPr>
            </w:pPr>
            <w:r w:rsidRPr="00D61174">
              <w:rPr>
                <w:b/>
                <w:bCs/>
                <w:szCs w:val="23"/>
              </w:rPr>
              <w:t>2021-22</w:t>
            </w:r>
          </w:p>
        </w:tc>
      </w:tr>
      <w:tr w:rsidR="00755927" w:rsidRPr="00D61174" w14:paraId="7FA4AA73" w14:textId="77777777" w:rsidTr="00CF5B1A">
        <w:trPr>
          <w:trHeight w:val="465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14FAF" w14:textId="77777777" w:rsidR="00755927" w:rsidRPr="00D61174" w:rsidRDefault="00755927" w:rsidP="00CF5B1A">
            <w:pPr>
              <w:spacing w:after="0" w:line="240" w:lineRule="auto"/>
              <w:jc w:val="center"/>
              <w:rPr>
                <w:b/>
                <w:bCs/>
                <w:szCs w:val="23"/>
              </w:rPr>
            </w:pPr>
            <w:r w:rsidRPr="00D61174">
              <w:rPr>
                <w:b/>
                <w:bCs/>
                <w:szCs w:val="23"/>
              </w:rPr>
              <w:t>$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AD7CC" w14:textId="77777777" w:rsidR="00755927" w:rsidRPr="00D61174" w:rsidRDefault="00755927" w:rsidP="00CF5B1A">
            <w:pPr>
              <w:spacing w:after="0" w:line="240" w:lineRule="auto"/>
              <w:rPr>
                <w:szCs w:val="23"/>
              </w:rPr>
            </w:pPr>
            <w:r w:rsidRPr="00D61174">
              <w:rPr>
                <w:szCs w:val="23"/>
              </w:rPr>
              <w:t xml:space="preserve">   26,235,689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58440" w14:textId="77777777" w:rsidR="00755927" w:rsidRPr="00D61174" w:rsidRDefault="00755927" w:rsidP="00CF5B1A">
            <w:pPr>
              <w:spacing w:after="0" w:line="240" w:lineRule="auto"/>
              <w:rPr>
                <w:szCs w:val="23"/>
              </w:rPr>
            </w:pPr>
            <w:r w:rsidRPr="00D61174">
              <w:rPr>
                <w:szCs w:val="23"/>
              </w:rPr>
              <w:t xml:space="preserve">   26,978,922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F6E9A" w14:textId="77777777" w:rsidR="00755927" w:rsidRPr="00D61174" w:rsidRDefault="00755927" w:rsidP="00CF5B1A">
            <w:pPr>
              <w:spacing w:after="0" w:line="240" w:lineRule="auto"/>
              <w:rPr>
                <w:szCs w:val="23"/>
              </w:rPr>
            </w:pPr>
            <w:r w:rsidRPr="00D61174">
              <w:rPr>
                <w:szCs w:val="23"/>
              </w:rPr>
              <w:t xml:space="preserve">   27,744,915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304C0" w14:textId="77777777" w:rsidR="00755927" w:rsidRPr="00D61174" w:rsidRDefault="00755927" w:rsidP="00CF5B1A">
            <w:pPr>
              <w:spacing w:after="0" w:line="240" w:lineRule="auto"/>
              <w:rPr>
                <w:szCs w:val="23"/>
              </w:rPr>
            </w:pPr>
            <w:r w:rsidRPr="00D61174">
              <w:rPr>
                <w:szCs w:val="23"/>
              </w:rPr>
              <w:t xml:space="preserve">   28,534,355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A2EDE" w14:textId="77777777" w:rsidR="00755927" w:rsidRPr="00D61174" w:rsidRDefault="00755927" w:rsidP="00CF5B1A">
            <w:pPr>
              <w:spacing w:after="0" w:line="240" w:lineRule="auto"/>
              <w:rPr>
                <w:szCs w:val="23"/>
              </w:rPr>
            </w:pPr>
            <w:r w:rsidRPr="00D61174">
              <w:rPr>
                <w:szCs w:val="23"/>
              </w:rPr>
              <w:t xml:space="preserve">   29,347,948 </w:t>
            </w:r>
          </w:p>
        </w:tc>
      </w:tr>
      <w:tr w:rsidR="00755927" w:rsidRPr="00D61174" w14:paraId="45355713" w14:textId="77777777" w:rsidTr="00CF5B1A">
        <w:trPr>
          <w:trHeight w:val="315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2BF9A2" w14:textId="77777777" w:rsidR="00755927" w:rsidRPr="00D61174" w:rsidRDefault="00755927" w:rsidP="00CF5B1A">
            <w:pPr>
              <w:spacing w:after="0" w:line="240" w:lineRule="auto"/>
              <w:jc w:val="center"/>
              <w:rPr>
                <w:b/>
                <w:bCs/>
                <w:szCs w:val="23"/>
              </w:rPr>
            </w:pPr>
            <w:r w:rsidRPr="00D61174">
              <w:rPr>
                <w:b/>
                <w:bCs/>
                <w:szCs w:val="23"/>
              </w:rPr>
              <w:t>2022-23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149F6F" w14:textId="77777777" w:rsidR="00755927" w:rsidRPr="00D61174" w:rsidRDefault="00755927" w:rsidP="00CF5B1A">
            <w:pPr>
              <w:spacing w:after="0" w:line="240" w:lineRule="auto"/>
              <w:jc w:val="center"/>
              <w:rPr>
                <w:b/>
                <w:bCs/>
                <w:szCs w:val="23"/>
              </w:rPr>
            </w:pPr>
            <w:r w:rsidRPr="00D61174">
              <w:rPr>
                <w:b/>
                <w:bCs/>
                <w:szCs w:val="23"/>
              </w:rPr>
              <w:t>2023-24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35283C" w14:textId="77777777" w:rsidR="00755927" w:rsidRPr="00D61174" w:rsidRDefault="00755927" w:rsidP="00CF5B1A">
            <w:pPr>
              <w:spacing w:after="0" w:line="240" w:lineRule="auto"/>
              <w:jc w:val="center"/>
              <w:rPr>
                <w:b/>
                <w:bCs/>
                <w:szCs w:val="23"/>
              </w:rPr>
            </w:pPr>
            <w:r w:rsidRPr="00D61174">
              <w:rPr>
                <w:b/>
                <w:bCs/>
                <w:szCs w:val="23"/>
              </w:rPr>
              <w:t>2024-25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556782" w14:textId="77777777" w:rsidR="00755927" w:rsidRPr="00D61174" w:rsidRDefault="00755927" w:rsidP="00CF5B1A">
            <w:pPr>
              <w:spacing w:after="0" w:line="240" w:lineRule="auto"/>
              <w:jc w:val="center"/>
              <w:rPr>
                <w:b/>
                <w:bCs/>
                <w:szCs w:val="23"/>
              </w:rPr>
            </w:pPr>
            <w:r w:rsidRPr="00D61174">
              <w:rPr>
                <w:b/>
                <w:bCs/>
                <w:szCs w:val="23"/>
              </w:rPr>
              <w:t>2025-26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709450" w14:textId="77777777" w:rsidR="00755927" w:rsidRPr="00D61174" w:rsidRDefault="00755927" w:rsidP="00CF5B1A">
            <w:pPr>
              <w:spacing w:after="0" w:line="240" w:lineRule="auto"/>
              <w:jc w:val="center"/>
              <w:rPr>
                <w:b/>
                <w:bCs/>
                <w:szCs w:val="23"/>
              </w:rPr>
            </w:pPr>
            <w:r w:rsidRPr="00D61174">
              <w:rPr>
                <w:b/>
                <w:bCs/>
                <w:szCs w:val="23"/>
              </w:rPr>
              <w:t>2026-27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F6695F" w14:textId="77777777" w:rsidR="00755927" w:rsidRPr="00D61174" w:rsidRDefault="00755927" w:rsidP="00CF5B1A">
            <w:pPr>
              <w:spacing w:after="0" w:line="240" w:lineRule="auto"/>
              <w:jc w:val="center"/>
              <w:rPr>
                <w:b/>
                <w:bCs/>
                <w:szCs w:val="23"/>
              </w:rPr>
            </w:pPr>
            <w:r w:rsidRPr="00D61174">
              <w:rPr>
                <w:b/>
                <w:bCs/>
                <w:szCs w:val="23"/>
              </w:rPr>
              <w:t>Total</w:t>
            </w:r>
          </w:p>
        </w:tc>
      </w:tr>
      <w:tr w:rsidR="00755927" w:rsidRPr="00D61174" w14:paraId="0846BF57" w14:textId="77777777" w:rsidTr="00CF5B1A">
        <w:trPr>
          <w:trHeight w:val="465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A4D85" w14:textId="77777777" w:rsidR="00755927" w:rsidRPr="00D61174" w:rsidRDefault="00755927" w:rsidP="00CF5B1A">
            <w:pPr>
              <w:spacing w:after="0" w:line="240" w:lineRule="auto"/>
              <w:rPr>
                <w:szCs w:val="23"/>
              </w:rPr>
            </w:pPr>
            <w:r w:rsidRPr="00D61174">
              <w:rPr>
                <w:szCs w:val="23"/>
              </w:rPr>
              <w:t xml:space="preserve">   30,186,420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CA415" w14:textId="77777777" w:rsidR="00755927" w:rsidRPr="00D61174" w:rsidRDefault="00755927" w:rsidP="00CF5B1A">
            <w:pPr>
              <w:spacing w:after="0" w:line="240" w:lineRule="auto"/>
              <w:rPr>
                <w:szCs w:val="23"/>
              </w:rPr>
            </w:pPr>
            <w:r w:rsidRPr="00D61174">
              <w:rPr>
                <w:szCs w:val="23"/>
              </w:rPr>
              <w:t xml:space="preserve">   31,050,521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F9F62" w14:textId="77777777" w:rsidR="00755927" w:rsidRPr="00D61174" w:rsidRDefault="00755927" w:rsidP="00CF5B1A">
            <w:pPr>
              <w:spacing w:after="0" w:line="240" w:lineRule="auto"/>
              <w:rPr>
                <w:szCs w:val="23"/>
              </w:rPr>
            </w:pPr>
            <w:r w:rsidRPr="00D61174">
              <w:rPr>
                <w:szCs w:val="23"/>
              </w:rPr>
              <w:t xml:space="preserve">   31,941,023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23FB4" w14:textId="77777777" w:rsidR="00755927" w:rsidRPr="00D61174" w:rsidRDefault="00755927" w:rsidP="00CF5B1A">
            <w:pPr>
              <w:spacing w:after="0" w:line="240" w:lineRule="auto"/>
              <w:rPr>
                <w:szCs w:val="23"/>
              </w:rPr>
            </w:pPr>
            <w:r w:rsidRPr="00D61174">
              <w:rPr>
                <w:szCs w:val="23"/>
              </w:rPr>
              <w:t xml:space="preserve">   32,858,722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2B2B5" w14:textId="77777777" w:rsidR="00755927" w:rsidRPr="00D61174" w:rsidRDefault="00755927" w:rsidP="00CF5B1A">
            <w:pPr>
              <w:spacing w:after="0" w:line="240" w:lineRule="auto"/>
              <w:rPr>
                <w:szCs w:val="23"/>
              </w:rPr>
            </w:pPr>
            <w:r w:rsidRPr="00D61174">
              <w:rPr>
                <w:szCs w:val="23"/>
              </w:rPr>
              <w:t xml:space="preserve">   33,804,436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EAD30" w14:textId="77777777" w:rsidR="00755927" w:rsidRPr="00D61174" w:rsidRDefault="00755927" w:rsidP="00CF5B1A">
            <w:pPr>
              <w:spacing w:after="0" w:line="240" w:lineRule="auto"/>
              <w:rPr>
                <w:szCs w:val="23"/>
              </w:rPr>
            </w:pPr>
            <w:r w:rsidRPr="00D61174">
              <w:rPr>
                <w:szCs w:val="23"/>
              </w:rPr>
              <w:t>298,682,951</w:t>
            </w:r>
          </w:p>
        </w:tc>
      </w:tr>
    </w:tbl>
    <w:p w14:paraId="1D27293A" w14:textId="77777777" w:rsidR="00312DEF" w:rsidRDefault="00312DEF" w:rsidP="00312DEF">
      <w:pPr>
        <w:rPr>
          <w:rFonts w:ascii="Tahoma" w:eastAsiaTheme="minorHAnsi" w:hAnsi="Tahoma" w:cs="Tahoma"/>
          <w:sz w:val="20"/>
          <w:lang w:eastAsia="en-US"/>
        </w:rPr>
      </w:pPr>
    </w:p>
    <w:p w14:paraId="02654787" w14:textId="4764BDD4" w:rsidR="00D14D78" w:rsidRDefault="00D14D78" w:rsidP="00D14D78">
      <w:pPr>
        <w:pStyle w:val="Normalnumbered"/>
        <w:numPr>
          <w:ilvl w:val="0"/>
          <w:numId w:val="10"/>
        </w:numPr>
        <w:rPr>
          <w:color w:val="auto"/>
        </w:rPr>
      </w:pPr>
      <w:r>
        <w:rPr>
          <w:color w:val="auto"/>
        </w:rPr>
        <w:t xml:space="preserve">For the avoidance of doubt, </w:t>
      </w:r>
      <w:r w:rsidR="00D61174">
        <w:rPr>
          <w:color w:val="auto"/>
        </w:rPr>
        <w:t>Tasmania</w:t>
      </w:r>
      <w:r>
        <w:rPr>
          <w:color w:val="auto"/>
        </w:rPr>
        <w:t xml:space="preserve"> will be eligible for activity based funding under the NHRA for activity delivered above </w:t>
      </w:r>
      <w:r w:rsidRPr="00F47560">
        <w:rPr>
          <w:color w:val="auto"/>
        </w:rPr>
        <w:t xml:space="preserve">the agreed </w:t>
      </w:r>
      <w:r w:rsidR="00C12BC0">
        <w:rPr>
          <w:color w:val="auto"/>
        </w:rPr>
        <w:t>funding</w:t>
      </w:r>
      <w:r w:rsidRPr="00F47560">
        <w:rPr>
          <w:color w:val="auto"/>
        </w:rPr>
        <w:t xml:space="preserve"> </w:t>
      </w:r>
      <w:r w:rsidR="00613647">
        <w:rPr>
          <w:color w:val="auto"/>
        </w:rPr>
        <w:t>profile</w:t>
      </w:r>
      <w:r w:rsidRPr="00F47560">
        <w:rPr>
          <w:color w:val="auto"/>
        </w:rPr>
        <w:t xml:space="preserve"> under this </w:t>
      </w:r>
      <w:r>
        <w:rPr>
          <w:color w:val="auto"/>
        </w:rPr>
        <w:t>A</w:t>
      </w:r>
      <w:r w:rsidRPr="00F47560">
        <w:rPr>
          <w:color w:val="auto"/>
        </w:rPr>
        <w:t>greement</w:t>
      </w:r>
      <w:r>
        <w:rPr>
          <w:color w:val="auto"/>
        </w:rPr>
        <w:t>.</w:t>
      </w:r>
    </w:p>
    <w:p w14:paraId="0275B507" w14:textId="0AAF0BC7" w:rsidR="00755927" w:rsidRDefault="00B70D93" w:rsidP="00D14D78">
      <w:pPr>
        <w:pStyle w:val="Normalnumbered"/>
        <w:numPr>
          <w:ilvl w:val="0"/>
          <w:numId w:val="10"/>
        </w:numPr>
        <w:rPr>
          <w:color w:val="auto"/>
        </w:rPr>
      </w:pPr>
      <w:r w:rsidRPr="00B70D93">
        <w:rPr>
          <w:color w:val="auto"/>
        </w:rPr>
        <w:t xml:space="preserve">From 2027-28 onwards, Tasmanian public hospital services will be funded under the NHRA or any subsequent agreement with no further adjustment being made for the activity funding profile under this Agreement. </w:t>
      </w:r>
      <w:r w:rsidR="00755927">
        <w:rPr>
          <w:color w:val="auto"/>
        </w:rPr>
        <w:t xml:space="preserve">However, </w:t>
      </w:r>
      <w:r w:rsidR="00FC4DA6">
        <w:rPr>
          <w:color w:val="auto"/>
        </w:rPr>
        <w:t>n</w:t>
      </w:r>
      <w:r w:rsidR="00FC4DA6" w:rsidRPr="00B70D93">
        <w:rPr>
          <w:color w:val="auto"/>
        </w:rPr>
        <w:t xml:space="preserve">ational </w:t>
      </w:r>
      <w:r w:rsidRPr="00B70D93">
        <w:rPr>
          <w:color w:val="auto"/>
        </w:rPr>
        <w:t>public hospital funding arrangements for 2027-28 have not yet been settled and any future funding arrangements may affect the treatment of activity funded under this Agreement upon its expiry. To ensure that Tasmania is not disadvantaged</w:t>
      </w:r>
      <w:r w:rsidR="00755927">
        <w:rPr>
          <w:color w:val="auto"/>
        </w:rPr>
        <w:t xml:space="preserve"> </w:t>
      </w:r>
      <w:r w:rsidR="00755927" w:rsidRPr="00B70D93">
        <w:rPr>
          <w:color w:val="auto"/>
        </w:rPr>
        <w:t xml:space="preserve">the </w:t>
      </w:r>
      <w:r w:rsidR="00755927">
        <w:rPr>
          <w:color w:val="auto"/>
        </w:rPr>
        <w:t>P</w:t>
      </w:r>
      <w:r w:rsidR="00755927" w:rsidRPr="00B70D93">
        <w:rPr>
          <w:color w:val="auto"/>
        </w:rPr>
        <w:t>arties agree</w:t>
      </w:r>
      <w:r w:rsidR="00755927">
        <w:rPr>
          <w:color w:val="auto"/>
        </w:rPr>
        <w:t>:</w:t>
      </w:r>
    </w:p>
    <w:p w14:paraId="78AE7CBF" w14:textId="1C9E8E9A" w:rsidR="00755927" w:rsidRDefault="00B70D93" w:rsidP="00755927">
      <w:pPr>
        <w:pStyle w:val="AlphaParagraph"/>
        <w:numPr>
          <w:ilvl w:val="1"/>
          <w:numId w:val="10"/>
        </w:numPr>
        <w:tabs>
          <w:tab w:val="clear" w:pos="567"/>
          <w:tab w:val="clear" w:pos="1440"/>
        </w:tabs>
        <w:ind w:left="1134" w:hanging="567"/>
        <w:rPr>
          <w:color w:val="auto"/>
        </w:rPr>
      </w:pPr>
      <w:r w:rsidRPr="00B70D93">
        <w:rPr>
          <w:color w:val="auto"/>
        </w:rPr>
        <w:t xml:space="preserve">that </w:t>
      </w:r>
      <w:r w:rsidR="00D61174">
        <w:rPr>
          <w:color w:val="auto"/>
        </w:rPr>
        <w:t>Tasmania</w:t>
      </w:r>
      <w:r w:rsidRPr="00B70D93">
        <w:rPr>
          <w:color w:val="auto"/>
        </w:rPr>
        <w:t xml:space="preserve"> will receive Commonwealth funding </w:t>
      </w:r>
      <w:r w:rsidR="00D61174">
        <w:rPr>
          <w:color w:val="auto"/>
        </w:rPr>
        <w:t xml:space="preserve">for the Mersey Community </w:t>
      </w:r>
      <w:r w:rsidR="00D61174" w:rsidRPr="00755927">
        <w:rPr>
          <w:color w:val="000000" w:themeColor="text1"/>
        </w:rPr>
        <w:t>Hospital</w:t>
      </w:r>
      <w:r w:rsidR="00D61174">
        <w:rPr>
          <w:color w:val="auto"/>
        </w:rPr>
        <w:t xml:space="preserve"> </w:t>
      </w:r>
      <w:r w:rsidRPr="00B70D93">
        <w:rPr>
          <w:color w:val="auto"/>
        </w:rPr>
        <w:t>in line with other public hospitals in Tasmania</w:t>
      </w:r>
      <w:r w:rsidR="00755927">
        <w:rPr>
          <w:color w:val="auto"/>
        </w:rPr>
        <w:t xml:space="preserve"> from 2027-28 onwards; and</w:t>
      </w:r>
    </w:p>
    <w:p w14:paraId="58F4ACDB" w14:textId="77777777" w:rsidR="00B70D93" w:rsidRDefault="00554E7D" w:rsidP="00755927">
      <w:pPr>
        <w:pStyle w:val="AlphaParagraph"/>
        <w:numPr>
          <w:ilvl w:val="1"/>
          <w:numId w:val="10"/>
        </w:numPr>
        <w:tabs>
          <w:tab w:val="clear" w:pos="567"/>
          <w:tab w:val="clear" w:pos="1440"/>
        </w:tabs>
        <w:ind w:left="1134" w:hanging="567"/>
        <w:rPr>
          <w:color w:val="auto"/>
        </w:rPr>
      </w:pPr>
      <w:proofErr w:type="gramStart"/>
      <w:r w:rsidRPr="00B70D93">
        <w:rPr>
          <w:color w:val="auto"/>
        </w:rPr>
        <w:t>to</w:t>
      </w:r>
      <w:proofErr w:type="gramEnd"/>
      <w:r w:rsidRPr="00B70D93">
        <w:rPr>
          <w:color w:val="auto"/>
        </w:rPr>
        <w:t xml:space="preserve"> work together to take account of public hospital activity funded by the Commonwealth under this Agreement in negotiating the national public hospital funding arrangements covering 2027-28, with jurisdictions</w:t>
      </w:r>
      <w:r>
        <w:rPr>
          <w:color w:val="auto"/>
        </w:rPr>
        <w:t>.</w:t>
      </w:r>
    </w:p>
    <w:p w14:paraId="3D984179" w14:textId="77777777" w:rsidR="003562FD" w:rsidRDefault="003562FD" w:rsidP="003562FD">
      <w:pPr>
        <w:pStyle w:val="Heading2"/>
      </w:pPr>
      <w:r>
        <w:lastRenderedPageBreak/>
        <w:t>Reporting arrangements</w:t>
      </w:r>
    </w:p>
    <w:p w14:paraId="151498B9" w14:textId="77777777" w:rsidR="00BD42FC" w:rsidRDefault="00BD42FC" w:rsidP="00B72830">
      <w:pPr>
        <w:pStyle w:val="Normalnumbered"/>
        <w:numPr>
          <w:ilvl w:val="0"/>
          <w:numId w:val="10"/>
        </w:numPr>
      </w:pPr>
      <w:r>
        <w:t xml:space="preserve">During the </w:t>
      </w:r>
      <w:r w:rsidRPr="008377B8">
        <w:rPr>
          <w:color w:val="auto"/>
        </w:rPr>
        <w:t>operation</w:t>
      </w:r>
      <w:r>
        <w:t xml:space="preserve"> of this Agreement, </w:t>
      </w:r>
      <w:r w:rsidR="00D422A7">
        <w:t>Tasmania</w:t>
      </w:r>
      <w:r w:rsidR="003562FD" w:rsidRPr="003562FD">
        <w:t xml:space="preserve"> will</w:t>
      </w:r>
      <w:r>
        <w:t>:</w:t>
      </w:r>
    </w:p>
    <w:p w14:paraId="5233BBE9" w14:textId="77777777" w:rsidR="00BD42FC" w:rsidRDefault="00283123" w:rsidP="00B72830">
      <w:pPr>
        <w:pStyle w:val="AlphaParagraph"/>
        <w:numPr>
          <w:ilvl w:val="0"/>
          <w:numId w:val="27"/>
        </w:numPr>
        <w:tabs>
          <w:tab w:val="clear" w:pos="567"/>
        </w:tabs>
        <w:ind w:left="1134" w:hanging="567"/>
      </w:pPr>
      <w:r>
        <w:t xml:space="preserve">in relation to public hospital activity, </w:t>
      </w:r>
      <w:r w:rsidR="001E6D8F">
        <w:t>i</w:t>
      </w:r>
      <w:r w:rsidR="00234D51">
        <w:t>ncur no additional reporting burden</w:t>
      </w:r>
      <w:r w:rsidR="002F5EE2">
        <w:t>, but will be required to meet</w:t>
      </w:r>
      <w:r w:rsidR="00234D51">
        <w:t xml:space="preserve"> </w:t>
      </w:r>
      <w:r w:rsidR="001E6D8F">
        <w:t xml:space="preserve">existing reporting </w:t>
      </w:r>
      <w:r w:rsidR="002F5EE2">
        <w:t>obligations</w:t>
      </w:r>
      <w:r w:rsidR="00234D51">
        <w:t xml:space="preserve"> </w:t>
      </w:r>
      <w:r w:rsidR="001E6D8F">
        <w:t xml:space="preserve">including </w:t>
      </w:r>
      <w:r w:rsidR="00234D51">
        <w:t>under intergovernmental agreements</w:t>
      </w:r>
      <w:r w:rsidR="00B44CAD">
        <w:t xml:space="preserve"> and the NHRA</w:t>
      </w:r>
      <w:r w:rsidR="00BD42FC">
        <w:t>; and</w:t>
      </w:r>
    </w:p>
    <w:p w14:paraId="25BCB728" w14:textId="77777777" w:rsidR="0093541C" w:rsidRDefault="0093541C" w:rsidP="0093541C">
      <w:pPr>
        <w:pStyle w:val="AlphaParagraph"/>
        <w:numPr>
          <w:ilvl w:val="0"/>
          <w:numId w:val="27"/>
        </w:numPr>
        <w:tabs>
          <w:tab w:val="clear" w:pos="567"/>
        </w:tabs>
        <w:ind w:left="1134" w:hanging="567"/>
      </w:pPr>
      <w:proofErr w:type="gramStart"/>
      <w:r>
        <w:t>in</w:t>
      </w:r>
      <w:proofErr w:type="gramEnd"/>
      <w:r>
        <w:t xml:space="preserve"> relation to rehabilitation and palliative care services, </w:t>
      </w:r>
      <w:r w:rsidRPr="0093541C">
        <w:t xml:space="preserve">provide a statement </w:t>
      </w:r>
      <w:r>
        <w:t xml:space="preserve">to the Commonwealth on how funding for the </w:t>
      </w:r>
      <w:proofErr w:type="spellStart"/>
      <w:r>
        <w:t>Missiondale</w:t>
      </w:r>
      <w:proofErr w:type="spellEnd"/>
      <w:r>
        <w:t xml:space="preserve"> Recovery Centre and palliative care services under this Agreement </w:t>
      </w:r>
      <w:r w:rsidRPr="0093541C">
        <w:t xml:space="preserve">has </w:t>
      </w:r>
      <w:r>
        <w:t>been distributed.</w:t>
      </w:r>
    </w:p>
    <w:p w14:paraId="53CB4762" w14:textId="09D17B65" w:rsidR="00F243A9" w:rsidRPr="00CC6722" w:rsidRDefault="0093541C" w:rsidP="00CC6722">
      <w:pPr>
        <w:pStyle w:val="AlphaParagraph"/>
        <w:numPr>
          <w:ilvl w:val="0"/>
          <w:numId w:val="32"/>
        </w:numPr>
        <w:tabs>
          <w:tab w:val="clear" w:pos="567"/>
          <w:tab w:val="clear" w:pos="1134"/>
          <w:tab w:val="num" w:pos="1701"/>
        </w:tabs>
        <w:ind w:left="1701" w:hanging="567"/>
      </w:pPr>
      <w:r w:rsidRPr="0093541C">
        <w:t xml:space="preserve">A statement under clause </w:t>
      </w:r>
      <w:r w:rsidR="00755927">
        <w:t xml:space="preserve">17(b) </w:t>
      </w:r>
      <w:r w:rsidRPr="0093541C">
        <w:t xml:space="preserve">is only required for financial years </w:t>
      </w:r>
      <w:r>
        <w:t>in which</w:t>
      </w:r>
      <w:r w:rsidRPr="0093541C">
        <w:t xml:space="preserve"> funds have been distributed to the </w:t>
      </w:r>
      <w:proofErr w:type="spellStart"/>
      <w:r w:rsidRPr="0093541C">
        <w:t>Missiondale</w:t>
      </w:r>
      <w:proofErr w:type="spellEnd"/>
      <w:r w:rsidRPr="0093541C">
        <w:t xml:space="preserve"> Recovery Centre or for palliative care services under this Agreement. Such statements should be provided within 30 days of the end of the relevant financial year.</w:t>
      </w:r>
    </w:p>
    <w:p w14:paraId="387E49E0" w14:textId="77777777" w:rsidR="003562FD" w:rsidRDefault="003562FD" w:rsidP="003562FD">
      <w:pPr>
        <w:pStyle w:val="Normalnumbered"/>
        <w:numPr>
          <w:ilvl w:val="0"/>
          <w:numId w:val="0"/>
        </w:numPr>
        <w:spacing w:before="120" w:line="240" w:lineRule="auto"/>
        <w:jc w:val="left"/>
        <w:rPr>
          <w:rFonts w:ascii="Consolas" w:hAnsi="Consolas" w:cs="Arial"/>
          <w:bCs/>
          <w:caps/>
          <w:color w:val="3D4B67"/>
          <w:kern w:val="32"/>
          <w:sz w:val="32"/>
          <w:szCs w:val="36"/>
        </w:rPr>
      </w:pPr>
      <w:r w:rsidRPr="003562FD">
        <w:rPr>
          <w:rFonts w:ascii="Consolas" w:hAnsi="Consolas" w:cs="Arial"/>
          <w:bCs/>
          <w:caps/>
          <w:color w:val="3D4B67"/>
          <w:kern w:val="32"/>
          <w:sz w:val="32"/>
          <w:szCs w:val="36"/>
        </w:rPr>
        <w:t>Part 5 — financial arrangements</w:t>
      </w:r>
    </w:p>
    <w:p w14:paraId="5FE4F6F5" w14:textId="77777777" w:rsidR="003562FD" w:rsidRPr="003562FD" w:rsidRDefault="003562FD" w:rsidP="003562FD">
      <w:pPr>
        <w:pStyle w:val="Heading2"/>
      </w:pPr>
      <w:r w:rsidRPr="003562FD">
        <w:t>Financial contributions</w:t>
      </w:r>
    </w:p>
    <w:p w14:paraId="6DE2F403" w14:textId="77777777" w:rsidR="003562FD" w:rsidRDefault="00CC39B1" w:rsidP="00B72830">
      <w:pPr>
        <w:pStyle w:val="Normalnumbered"/>
        <w:numPr>
          <w:ilvl w:val="0"/>
          <w:numId w:val="10"/>
        </w:numPr>
        <w:spacing w:before="120" w:line="240" w:lineRule="auto"/>
        <w:jc w:val="left"/>
      </w:pPr>
      <w:r w:rsidRPr="000E48C3">
        <w:t xml:space="preserve">The Commonwealth will </w:t>
      </w:r>
      <w:r w:rsidR="002B7E1B">
        <w:t>provide</w:t>
      </w:r>
      <w:r w:rsidRPr="000E48C3">
        <w:t xml:space="preserve"> </w:t>
      </w:r>
      <w:r w:rsidR="00CE7264">
        <w:t>a</w:t>
      </w:r>
      <w:r w:rsidR="00FA64FD">
        <w:t xml:space="preserve"> total</w:t>
      </w:r>
      <w:r w:rsidRPr="000E48C3">
        <w:t xml:space="preserve"> financial contribution to </w:t>
      </w:r>
      <w:r w:rsidR="00E46CF0">
        <w:t>Tasmania</w:t>
      </w:r>
      <w:r w:rsidR="00D57346">
        <w:t xml:space="preserve"> </w:t>
      </w:r>
      <w:r w:rsidR="00E579FF">
        <w:t xml:space="preserve">of </w:t>
      </w:r>
      <w:r w:rsidR="007B7B0E">
        <w:t>$736.6 million</w:t>
      </w:r>
      <w:r w:rsidR="002B7E1B">
        <w:t xml:space="preserve"> </w:t>
      </w:r>
      <w:r w:rsidR="00CB1789">
        <w:t>in respect</w:t>
      </w:r>
      <w:r w:rsidR="00FA64FD">
        <w:t xml:space="preserve"> of this </w:t>
      </w:r>
      <w:r w:rsidR="0094129D">
        <w:t>A</w:t>
      </w:r>
      <w:r w:rsidR="00FA64FD">
        <w:t>greement</w:t>
      </w:r>
      <w:r w:rsidR="00ED6A59">
        <w:t xml:space="preserve"> on transfer of ownership of the property of the Mersey Community Hospital</w:t>
      </w:r>
      <w:r w:rsidR="00FA64FD">
        <w:t xml:space="preserve">. </w:t>
      </w:r>
      <w:r w:rsidRPr="000E48C3">
        <w:t xml:space="preserve"> </w:t>
      </w:r>
      <w:r w:rsidR="000447B9">
        <w:t>All payments are exclusive of GST.</w:t>
      </w:r>
    </w:p>
    <w:p w14:paraId="36B7FD38" w14:textId="77777777" w:rsidR="00C233E9" w:rsidRDefault="00C233E9" w:rsidP="00B72830">
      <w:pPr>
        <w:pStyle w:val="Normalnumbered"/>
        <w:numPr>
          <w:ilvl w:val="0"/>
          <w:numId w:val="10"/>
        </w:numPr>
        <w:spacing w:before="120" w:line="240" w:lineRule="auto"/>
        <w:jc w:val="left"/>
        <w:rPr>
          <w:color w:val="auto"/>
        </w:rPr>
      </w:pPr>
      <w:r w:rsidRPr="003562FD">
        <w:rPr>
          <w:color w:val="auto"/>
        </w:rPr>
        <w:t>The Commonwealth’s financial contribution</w:t>
      </w:r>
      <w:r w:rsidR="0062217C" w:rsidRPr="003562FD">
        <w:rPr>
          <w:color w:val="auto"/>
        </w:rPr>
        <w:t>s</w:t>
      </w:r>
      <w:r w:rsidRPr="003562FD">
        <w:rPr>
          <w:color w:val="auto"/>
        </w:rPr>
        <w:t xml:space="preserve"> to the operation of this Agreement, including through National Partnership payments to the States paid in accordance with </w:t>
      </w:r>
      <w:r w:rsidRPr="003562FD">
        <w:rPr>
          <w:i/>
          <w:color w:val="auto"/>
        </w:rPr>
        <w:t>Schedule D — Payment Arrangements</w:t>
      </w:r>
      <w:r w:rsidRPr="003562FD">
        <w:rPr>
          <w:color w:val="auto"/>
        </w:rPr>
        <w:t xml:space="preserve"> of the I</w:t>
      </w:r>
      <w:r w:rsidR="00E31BCF" w:rsidRPr="003562FD">
        <w:rPr>
          <w:color w:val="auto"/>
        </w:rPr>
        <w:t>GA FFR</w:t>
      </w:r>
      <w:r w:rsidRPr="003562FD">
        <w:rPr>
          <w:color w:val="auto"/>
        </w:rPr>
        <w:t>, are shown in Table 1.</w:t>
      </w:r>
    </w:p>
    <w:p w14:paraId="4B7A16FF" w14:textId="77777777" w:rsidR="00B44CAD" w:rsidRDefault="00B44CAD" w:rsidP="00694362">
      <w:pPr>
        <w:pStyle w:val="TableMainHeading"/>
        <w:keepLines/>
      </w:pPr>
      <w:r>
        <w:t xml:space="preserve">Table 1: Financial contributions </w:t>
      </w:r>
    </w:p>
    <w:p w14:paraId="25D123AF" w14:textId="77777777" w:rsidR="00B44CAD" w:rsidRDefault="00B44CAD" w:rsidP="00694362">
      <w:pPr>
        <w:pStyle w:val="TableGraphic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25"/>
        <w:gridCol w:w="2732"/>
        <w:gridCol w:w="2732"/>
      </w:tblGrid>
      <w:tr w:rsidR="00ED6A59" w14:paraId="6CE24BCC" w14:textId="77777777" w:rsidTr="00ED6A59">
        <w:trPr>
          <w:cantSplit/>
        </w:trPr>
        <w:tc>
          <w:tcPr>
            <w:tcW w:w="4425" w:type="dxa"/>
            <w:tcBorders>
              <w:top w:val="single" w:sz="4" w:space="0" w:color="000080"/>
            </w:tcBorders>
          </w:tcPr>
          <w:p w14:paraId="6352AB64" w14:textId="77777777" w:rsidR="00ED6A59" w:rsidRPr="00DD68D7" w:rsidRDefault="00ED6A59" w:rsidP="0007595A">
            <w:pPr>
              <w:keepNext/>
              <w:keepLines/>
              <w:spacing w:before="40" w:after="40"/>
              <w:jc w:val="left"/>
              <w:rPr>
                <w:b/>
                <w:sz w:val="20"/>
              </w:rPr>
            </w:pPr>
            <w:r w:rsidRPr="00DD68D7">
              <w:rPr>
                <w:b/>
                <w:sz w:val="20"/>
              </w:rPr>
              <w:t>($ million)</w:t>
            </w:r>
          </w:p>
        </w:tc>
        <w:tc>
          <w:tcPr>
            <w:tcW w:w="2732" w:type="dxa"/>
            <w:tcBorders>
              <w:top w:val="single" w:sz="4" w:space="0" w:color="000080"/>
              <w:bottom w:val="single" w:sz="4" w:space="0" w:color="000080"/>
            </w:tcBorders>
          </w:tcPr>
          <w:p w14:paraId="75860BB8" w14:textId="77777777" w:rsidR="00ED6A59" w:rsidRPr="00DD68D7" w:rsidRDefault="00ED6A59" w:rsidP="0007595A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DD68D7">
              <w:rPr>
                <w:sz w:val="20"/>
              </w:rPr>
              <w:t>2016-17</w:t>
            </w:r>
          </w:p>
        </w:tc>
        <w:tc>
          <w:tcPr>
            <w:tcW w:w="2732" w:type="dxa"/>
            <w:tcBorders>
              <w:top w:val="single" w:sz="4" w:space="0" w:color="000080"/>
              <w:bottom w:val="single" w:sz="4" w:space="0" w:color="000080"/>
            </w:tcBorders>
          </w:tcPr>
          <w:p w14:paraId="327C7D5E" w14:textId="77777777" w:rsidR="00ED6A59" w:rsidRPr="00DD68D7" w:rsidRDefault="00ED6A59" w:rsidP="0007595A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DD68D7">
              <w:rPr>
                <w:sz w:val="20"/>
              </w:rPr>
              <w:t>Total</w:t>
            </w:r>
          </w:p>
        </w:tc>
      </w:tr>
      <w:tr w:rsidR="00ED6A59" w14:paraId="3B05833D" w14:textId="77777777" w:rsidTr="00ED6A59">
        <w:trPr>
          <w:cantSplit/>
        </w:trPr>
        <w:tc>
          <w:tcPr>
            <w:tcW w:w="4425" w:type="dxa"/>
          </w:tcPr>
          <w:p w14:paraId="4082CA58" w14:textId="77777777" w:rsidR="00ED6A59" w:rsidRPr="00DD68D7" w:rsidRDefault="00ED6A59" w:rsidP="0007595A">
            <w:pPr>
              <w:keepNext/>
              <w:keepLines/>
              <w:spacing w:before="60" w:after="60"/>
              <w:jc w:val="left"/>
              <w:rPr>
                <w:sz w:val="20"/>
              </w:rPr>
            </w:pPr>
            <w:r w:rsidRPr="00DD68D7">
              <w:rPr>
                <w:b/>
                <w:i/>
                <w:sz w:val="20"/>
              </w:rPr>
              <w:t>Estimated</w:t>
            </w:r>
            <w:r w:rsidRPr="00DD68D7">
              <w:rPr>
                <w:sz w:val="20"/>
              </w:rPr>
              <w:t xml:space="preserve"> total budget (1)</w:t>
            </w:r>
          </w:p>
        </w:tc>
        <w:tc>
          <w:tcPr>
            <w:tcW w:w="2732" w:type="dxa"/>
            <w:tcBorders>
              <w:top w:val="single" w:sz="4" w:space="0" w:color="000080"/>
              <w:bottom w:val="single" w:sz="4" w:space="0" w:color="000080"/>
            </w:tcBorders>
          </w:tcPr>
          <w:p w14:paraId="749967E9" w14:textId="77777777" w:rsidR="00ED6A59" w:rsidRPr="00DD68D7" w:rsidRDefault="00ED6A59" w:rsidP="0007595A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DD68D7">
              <w:rPr>
                <w:sz w:val="20"/>
              </w:rPr>
              <w:t>73</w:t>
            </w:r>
            <w:r>
              <w:rPr>
                <w:sz w:val="20"/>
              </w:rPr>
              <w:t>6.6</w:t>
            </w:r>
          </w:p>
        </w:tc>
        <w:tc>
          <w:tcPr>
            <w:tcW w:w="2732" w:type="dxa"/>
            <w:tcBorders>
              <w:top w:val="single" w:sz="4" w:space="0" w:color="000080"/>
              <w:bottom w:val="single" w:sz="4" w:space="0" w:color="000080"/>
            </w:tcBorders>
          </w:tcPr>
          <w:p w14:paraId="3C343C99" w14:textId="77777777" w:rsidR="00ED6A59" w:rsidRPr="00DD68D7" w:rsidRDefault="00ED6A59" w:rsidP="0007595A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736.6</w:t>
            </w:r>
          </w:p>
        </w:tc>
      </w:tr>
      <w:tr w:rsidR="00ED6A59" w14:paraId="39FC662B" w14:textId="77777777" w:rsidTr="00ED6A59">
        <w:trPr>
          <w:cantSplit/>
        </w:trPr>
        <w:tc>
          <w:tcPr>
            <w:tcW w:w="4425" w:type="dxa"/>
          </w:tcPr>
          <w:p w14:paraId="5D8883D7" w14:textId="77777777" w:rsidR="00ED6A59" w:rsidRPr="00DD68D7" w:rsidRDefault="00ED6A59" w:rsidP="0007595A">
            <w:pPr>
              <w:keepNext/>
              <w:keepLines/>
              <w:spacing w:before="60" w:after="60"/>
              <w:jc w:val="left"/>
              <w:rPr>
                <w:sz w:val="20"/>
              </w:rPr>
            </w:pPr>
            <w:r w:rsidRPr="00DD68D7">
              <w:rPr>
                <w:b/>
                <w:i/>
                <w:sz w:val="20"/>
              </w:rPr>
              <w:t>Estimated</w:t>
            </w:r>
            <w:r w:rsidRPr="00DD68D7">
              <w:rPr>
                <w:sz w:val="20"/>
              </w:rPr>
              <w:t xml:space="preserve"> National Partnership payment (2)</w:t>
            </w:r>
          </w:p>
        </w:tc>
        <w:tc>
          <w:tcPr>
            <w:tcW w:w="2732" w:type="dxa"/>
            <w:tcBorders>
              <w:top w:val="single" w:sz="4" w:space="0" w:color="000080"/>
            </w:tcBorders>
          </w:tcPr>
          <w:p w14:paraId="5936B049" w14:textId="77777777" w:rsidR="00ED6A59" w:rsidRPr="00DD68D7" w:rsidRDefault="00ED6A59" w:rsidP="0007595A">
            <w:pPr>
              <w:keepNext/>
              <w:keepLines/>
              <w:spacing w:before="40" w:after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736.6</w:t>
            </w:r>
          </w:p>
        </w:tc>
        <w:tc>
          <w:tcPr>
            <w:tcW w:w="2732" w:type="dxa"/>
            <w:tcBorders>
              <w:top w:val="single" w:sz="4" w:space="0" w:color="000080"/>
            </w:tcBorders>
          </w:tcPr>
          <w:p w14:paraId="2215D0EA" w14:textId="77777777" w:rsidR="00ED6A59" w:rsidRPr="00DD68D7" w:rsidRDefault="00ED6A59" w:rsidP="0007595A">
            <w:pPr>
              <w:keepNext/>
              <w:keepLines/>
              <w:spacing w:before="40" w:after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736.6</w:t>
            </w:r>
          </w:p>
        </w:tc>
      </w:tr>
      <w:tr w:rsidR="00ED6A59" w14:paraId="0719B705" w14:textId="77777777" w:rsidTr="00ED6A59">
        <w:trPr>
          <w:cantSplit/>
        </w:trPr>
        <w:tc>
          <w:tcPr>
            <w:tcW w:w="4425" w:type="dxa"/>
          </w:tcPr>
          <w:p w14:paraId="22E84C33" w14:textId="77777777" w:rsidR="00ED6A59" w:rsidRPr="00DD68D7" w:rsidRDefault="00ED6A59" w:rsidP="0007595A">
            <w:pPr>
              <w:keepNext/>
              <w:keepLines/>
              <w:spacing w:before="60" w:after="60"/>
              <w:ind w:left="426"/>
              <w:jc w:val="left"/>
              <w:rPr>
                <w:sz w:val="20"/>
              </w:rPr>
            </w:pPr>
            <w:r w:rsidRPr="00DD68D7">
              <w:rPr>
                <w:sz w:val="20"/>
              </w:rPr>
              <w:t>Mersey Community Hospital</w:t>
            </w:r>
            <w:r w:rsidR="00C82EE8">
              <w:rPr>
                <w:sz w:val="20"/>
              </w:rPr>
              <w:t xml:space="preserve"> Transfer</w:t>
            </w:r>
          </w:p>
        </w:tc>
        <w:tc>
          <w:tcPr>
            <w:tcW w:w="2732" w:type="dxa"/>
            <w:tcBorders>
              <w:top w:val="single" w:sz="4" w:space="0" w:color="000080"/>
            </w:tcBorders>
          </w:tcPr>
          <w:p w14:paraId="44C00C6E" w14:textId="77777777" w:rsidR="00ED6A59" w:rsidRPr="00DD68D7" w:rsidRDefault="00ED6A59" w:rsidP="0007595A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730.4</w:t>
            </w:r>
          </w:p>
        </w:tc>
        <w:tc>
          <w:tcPr>
            <w:tcW w:w="2732" w:type="dxa"/>
            <w:tcBorders>
              <w:top w:val="single" w:sz="4" w:space="0" w:color="000080"/>
            </w:tcBorders>
          </w:tcPr>
          <w:p w14:paraId="16A9B1E1" w14:textId="77777777" w:rsidR="00ED6A59" w:rsidRPr="00DD68D7" w:rsidRDefault="00ED6A59" w:rsidP="0007595A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730.4</w:t>
            </w:r>
          </w:p>
        </w:tc>
      </w:tr>
      <w:tr w:rsidR="00ED6A59" w14:paraId="25C46A32" w14:textId="77777777" w:rsidTr="00ED6A59">
        <w:trPr>
          <w:cantSplit/>
        </w:trPr>
        <w:tc>
          <w:tcPr>
            <w:tcW w:w="4425" w:type="dxa"/>
          </w:tcPr>
          <w:p w14:paraId="008EE9BA" w14:textId="77777777" w:rsidR="00ED6A59" w:rsidRPr="00E912DA" w:rsidRDefault="00ED6A59" w:rsidP="0007595A">
            <w:pPr>
              <w:keepNext/>
              <w:keepLines/>
              <w:spacing w:before="60" w:after="60"/>
              <w:ind w:left="426"/>
              <w:jc w:val="left"/>
              <w:rPr>
                <w:sz w:val="20"/>
              </w:rPr>
            </w:pPr>
            <w:proofErr w:type="spellStart"/>
            <w:r w:rsidRPr="00E912DA">
              <w:rPr>
                <w:sz w:val="20"/>
              </w:rPr>
              <w:t>Missiondale</w:t>
            </w:r>
            <w:proofErr w:type="spellEnd"/>
            <w:r w:rsidRPr="00E912DA">
              <w:rPr>
                <w:sz w:val="20"/>
              </w:rPr>
              <w:t xml:space="preserve"> Recovery Centre</w:t>
            </w:r>
          </w:p>
        </w:tc>
        <w:tc>
          <w:tcPr>
            <w:tcW w:w="2732" w:type="dxa"/>
            <w:tcBorders>
              <w:top w:val="single" w:sz="4" w:space="0" w:color="000080"/>
            </w:tcBorders>
          </w:tcPr>
          <w:p w14:paraId="05A92CD0" w14:textId="77777777" w:rsidR="00ED6A59" w:rsidRPr="00DD68D7" w:rsidRDefault="00ED6A59" w:rsidP="0007595A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732" w:type="dxa"/>
            <w:tcBorders>
              <w:top w:val="single" w:sz="4" w:space="0" w:color="000080"/>
            </w:tcBorders>
          </w:tcPr>
          <w:p w14:paraId="4628C96E" w14:textId="77777777" w:rsidR="00ED6A59" w:rsidRPr="00DD68D7" w:rsidRDefault="00ED6A59" w:rsidP="0007595A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</w:tr>
      <w:tr w:rsidR="0057503A" w14:paraId="190878DE" w14:textId="77777777" w:rsidTr="00ED6A59">
        <w:trPr>
          <w:cantSplit/>
        </w:trPr>
        <w:tc>
          <w:tcPr>
            <w:tcW w:w="4425" w:type="dxa"/>
          </w:tcPr>
          <w:p w14:paraId="7B2AC399" w14:textId="77777777" w:rsidR="0057503A" w:rsidRPr="0057503A" w:rsidRDefault="0057503A" w:rsidP="0057503A">
            <w:pPr>
              <w:keepNext/>
              <w:keepLines/>
              <w:spacing w:before="60" w:after="60"/>
              <w:ind w:left="426"/>
              <w:jc w:val="left"/>
              <w:rPr>
                <w:color w:val="auto"/>
                <w:sz w:val="20"/>
              </w:rPr>
            </w:pPr>
            <w:r w:rsidRPr="0057503A">
              <w:rPr>
                <w:color w:val="auto"/>
                <w:sz w:val="20"/>
              </w:rPr>
              <w:t>Palliative Care Tasmania</w:t>
            </w:r>
          </w:p>
        </w:tc>
        <w:tc>
          <w:tcPr>
            <w:tcW w:w="2732" w:type="dxa"/>
            <w:tcBorders>
              <w:top w:val="single" w:sz="4" w:space="0" w:color="000080"/>
            </w:tcBorders>
          </w:tcPr>
          <w:p w14:paraId="329EB0B4" w14:textId="77777777" w:rsidR="0057503A" w:rsidRPr="0057503A" w:rsidRDefault="0057503A" w:rsidP="0007595A">
            <w:pPr>
              <w:keepNext/>
              <w:keepLines/>
              <w:spacing w:before="40" w:after="40"/>
              <w:jc w:val="right"/>
              <w:rPr>
                <w:color w:val="auto"/>
                <w:sz w:val="20"/>
              </w:rPr>
            </w:pPr>
            <w:r w:rsidRPr="0057503A">
              <w:rPr>
                <w:color w:val="auto"/>
                <w:sz w:val="20"/>
              </w:rPr>
              <w:t>1.5</w:t>
            </w:r>
          </w:p>
        </w:tc>
        <w:tc>
          <w:tcPr>
            <w:tcW w:w="2732" w:type="dxa"/>
            <w:tcBorders>
              <w:top w:val="single" w:sz="4" w:space="0" w:color="000080"/>
            </w:tcBorders>
          </w:tcPr>
          <w:p w14:paraId="0CEDC76E" w14:textId="77777777" w:rsidR="0057503A" w:rsidRPr="0057503A" w:rsidRDefault="0057503A" w:rsidP="0007595A">
            <w:pPr>
              <w:keepNext/>
              <w:keepLines/>
              <w:spacing w:before="40" w:after="40"/>
              <w:jc w:val="right"/>
              <w:rPr>
                <w:color w:val="auto"/>
                <w:sz w:val="20"/>
              </w:rPr>
            </w:pPr>
            <w:r w:rsidRPr="0057503A">
              <w:rPr>
                <w:color w:val="auto"/>
                <w:sz w:val="20"/>
              </w:rPr>
              <w:t>1.5</w:t>
            </w:r>
          </w:p>
        </w:tc>
      </w:tr>
      <w:tr w:rsidR="0057503A" w:rsidRPr="0057503A" w14:paraId="7451A962" w14:textId="77777777" w:rsidTr="00ED6A59">
        <w:trPr>
          <w:cantSplit/>
        </w:trPr>
        <w:tc>
          <w:tcPr>
            <w:tcW w:w="4425" w:type="dxa"/>
          </w:tcPr>
          <w:p w14:paraId="75118F13" w14:textId="77777777" w:rsidR="0057503A" w:rsidRPr="0057503A" w:rsidRDefault="0057503A" w:rsidP="0057503A">
            <w:pPr>
              <w:keepNext/>
              <w:keepLines/>
              <w:spacing w:before="40" w:after="40"/>
              <w:ind w:left="426"/>
              <w:jc w:val="left"/>
              <w:rPr>
                <w:color w:val="auto"/>
                <w:sz w:val="20"/>
              </w:rPr>
            </w:pPr>
            <w:r w:rsidRPr="0057503A">
              <w:rPr>
                <w:color w:val="auto"/>
                <w:sz w:val="20"/>
              </w:rPr>
              <w:t>The District Nurses</w:t>
            </w:r>
          </w:p>
        </w:tc>
        <w:tc>
          <w:tcPr>
            <w:tcW w:w="2732" w:type="dxa"/>
            <w:tcBorders>
              <w:bottom w:val="single" w:sz="4" w:space="0" w:color="000080"/>
            </w:tcBorders>
          </w:tcPr>
          <w:p w14:paraId="3DAAAF1C" w14:textId="77777777" w:rsidR="0057503A" w:rsidRPr="0057503A" w:rsidRDefault="0057503A" w:rsidP="0007595A">
            <w:pPr>
              <w:keepNext/>
              <w:keepLines/>
              <w:spacing w:before="40" w:after="40"/>
              <w:jc w:val="right"/>
              <w:rPr>
                <w:color w:val="auto"/>
                <w:sz w:val="20"/>
              </w:rPr>
            </w:pPr>
            <w:r w:rsidRPr="0057503A">
              <w:rPr>
                <w:color w:val="auto"/>
                <w:sz w:val="20"/>
              </w:rPr>
              <w:t>1.5</w:t>
            </w:r>
          </w:p>
        </w:tc>
        <w:tc>
          <w:tcPr>
            <w:tcW w:w="2732" w:type="dxa"/>
            <w:tcBorders>
              <w:bottom w:val="single" w:sz="4" w:space="0" w:color="000080"/>
            </w:tcBorders>
          </w:tcPr>
          <w:p w14:paraId="580C8B87" w14:textId="77777777" w:rsidR="0057503A" w:rsidRPr="0057503A" w:rsidRDefault="0057503A" w:rsidP="0007595A">
            <w:pPr>
              <w:keepNext/>
              <w:keepLines/>
              <w:spacing w:before="40" w:after="40"/>
              <w:jc w:val="right"/>
              <w:rPr>
                <w:color w:val="auto"/>
                <w:sz w:val="20"/>
              </w:rPr>
            </w:pPr>
            <w:r w:rsidRPr="0057503A">
              <w:rPr>
                <w:color w:val="auto"/>
                <w:sz w:val="20"/>
              </w:rPr>
              <w:t>1.5</w:t>
            </w:r>
          </w:p>
        </w:tc>
      </w:tr>
      <w:tr w:rsidR="00ED6A59" w14:paraId="6348B4DE" w14:textId="77777777" w:rsidTr="00ED6A59">
        <w:trPr>
          <w:cantSplit/>
        </w:trPr>
        <w:tc>
          <w:tcPr>
            <w:tcW w:w="4425" w:type="dxa"/>
          </w:tcPr>
          <w:p w14:paraId="7BDC11A7" w14:textId="77777777" w:rsidR="00ED6A59" w:rsidRPr="00DD68D7" w:rsidRDefault="00ED6A59" w:rsidP="0007595A">
            <w:pPr>
              <w:keepNext/>
              <w:keepLines/>
              <w:spacing w:before="40" w:after="40"/>
              <w:jc w:val="left"/>
              <w:rPr>
                <w:sz w:val="20"/>
              </w:rPr>
            </w:pPr>
            <w:r w:rsidRPr="00DD68D7">
              <w:rPr>
                <w:sz w:val="20"/>
              </w:rPr>
              <w:t>Commonwealth own purpose expense (3)</w:t>
            </w:r>
          </w:p>
        </w:tc>
        <w:tc>
          <w:tcPr>
            <w:tcW w:w="2732" w:type="dxa"/>
            <w:tcBorders>
              <w:bottom w:val="single" w:sz="4" w:space="0" w:color="000080"/>
            </w:tcBorders>
          </w:tcPr>
          <w:p w14:paraId="449E3A04" w14:textId="77777777" w:rsidR="00ED6A59" w:rsidRPr="00DD68D7" w:rsidRDefault="00ED6A59" w:rsidP="0007595A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732" w:type="dxa"/>
            <w:tcBorders>
              <w:bottom w:val="single" w:sz="4" w:space="0" w:color="000080"/>
            </w:tcBorders>
          </w:tcPr>
          <w:p w14:paraId="05247928" w14:textId="77777777" w:rsidR="00ED6A59" w:rsidRPr="00DD68D7" w:rsidRDefault="00ED6A59" w:rsidP="0007595A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FC4654">
              <w:rPr>
                <w:sz w:val="20"/>
              </w:rPr>
              <w:t>0.0</w:t>
            </w:r>
          </w:p>
        </w:tc>
      </w:tr>
      <w:tr w:rsidR="00ED6A59" w14:paraId="4557D856" w14:textId="77777777" w:rsidTr="00ED6A59">
        <w:trPr>
          <w:cantSplit/>
        </w:trPr>
        <w:tc>
          <w:tcPr>
            <w:tcW w:w="4425" w:type="dxa"/>
          </w:tcPr>
          <w:p w14:paraId="774F9178" w14:textId="77777777" w:rsidR="00ED6A59" w:rsidRPr="00DD68D7" w:rsidRDefault="00ED6A59" w:rsidP="0007595A">
            <w:pPr>
              <w:keepNext/>
              <w:keepLines/>
              <w:spacing w:before="40" w:after="40"/>
              <w:jc w:val="left"/>
              <w:rPr>
                <w:sz w:val="20"/>
              </w:rPr>
            </w:pPr>
            <w:r w:rsidRPr="00DD68D7">
              <w:rPr>
                <w:sz w:val="20"/>
              </w:rPr>
              <w:t xml:space="preserve">Total Commonwealth contribution </w:t>
            </w:r>
            <w:r w:rsidRPr="00DD68D7">
              <w:rPr>
                <w:sz w:val="20"/>
              </w:rPr>
              <w:br/>
              <w:t>(4) = (2) + (3)</w:t>
            </w:r>
          </w:p>
        </w:tc>
        <w:tc>
          <w:tcPr>
            <w:tcW w:w="2732" w:type="dxa"/>
            <w:tcBorders>
              <w:top w:val="single" w:sz="4" w:space="0" w:color="000080"/>
              <w:bottom w:val="single" w:sz="4" w:space="0" w:color="000080"/>
            </w:tcBorders>
          </w:tcPr>
          <w:p w14:paraId="428CAD38" w14:textId="77777777" w:rsidR="00ED6A59" w:rsidRPr="00DD68D7" w:rsidRDefault="00ED6A59" w:rsidP="0057503A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736.6</w:t>
            </w:r>
          </w:p>
        </w:tc>
        <w:tc>
          <w:tcPr>
            <w:tcW w:w="2732" w:type="dxa"/>
            <w:tcBorders>
              <w:top w:val="single" w:sz="4" w:space="0" w:color="000080"/>
              <w:bottom w:val="single" w:sz="4" w:space="0" w:color="000080"/>
            </w:tcBorders>
          </w:tcPr>
          <w:p w14:paraId="29DE044D" w14:textId="77777777" w:rsidR="00ED6A59" w:rsidRPr="00DD68D7" w:rsidRDefault="00ED6A59" w:rsidP="0007595A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736.6</w:t>
            </w:r>
          </w:p>
        </w:tc>
      </w:tr>
      <w:tr w:rsidR="00ED6A59" w14:paraId="25461318" w14:textId="77777777" w:rsidTr="00ED6A59">
        <w:trPr>
          <w:cantSplit/>
        </w:trPr>
        <w:tc>
          <w:tcPr>
            <w:tcW w:w="4425" w:type="dxa"/>
            <w:tcBorders>
              <w:bottom w:val="single" w:sz="4" w:space="0" w:color="000080"/>
            </w:tcBorders>
          </w:tcPr>
          <w:p w14:paraId="56133754" w14:textId="77777777" w:rsidR="00ED6A59" w:rsidRPr="00DD68D7" w:rsidRDefault="00ED6A59" w:rsidP="0007595A">
            <w:pPr>
              <w:keepNext/>
              <w:keepLines/>
              <w:spacing w:before="40" w:after="40"/>
              <w:jc w:val="left"/>
              <w:rPr>
                <w:sz w:val="20"/>
              </w:rPr>
            </w:pPr>
            <w:r w:rsidRPr="00DD68D7">
              <w:rPr>
                <w:sz w:val="20"/>
              </w:rPr>
              <w:t xml:space="preserve">Balance of non-Commonwealth contributions </w:t>
            </w:r>
            <w:r w:rsidRPr="00DD68D7">
              <w:rPr>
                <w:sz w:val="20"/>
              </w:rPr>
              <w:br/>
              <w:t xml:space="preserve">(5) = (1) – (4) </w:t>
            </w:r>
          </w:p>
        </w:tc>
        <w:tc>
          <w:tcPr>
            <w:tcW w:w="2732" w:type="dxa"/>
            <w:tcBorders>
              <w:top w:val="single" w:sz="4" w:space="0" w:color="000080"/>
              <w:bottom w:val="single" w:sz="4" w:space="0" w:color="000080"/>
            </w:tcBorders>
          </w:tcPr>
          <w:p w14:paraId="3A3E746C" w14:textId="77777777" w:rsidR="00ED6A59" w:rsidRPr="00DD68D7" w:rsidRDefault="00ED6A59" w:rsidP="0007595A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732" w:type="dxa"/>
            <w:tcBorders>
              <w:top w:val="single" w:sz="4" w:space="0" w:color="000080"/>
              <w:bottom w:val="single" w:sz="4" w:space="0" w:color="000080"/>
            </w:tcBorders>
          </w:tcPr>
          <w:p w14:paraId="09052416" w14:textId="77777777" w:rsidR="00ED6A59" w:rsidRPr="00DD68D7" w:rsidRDefault="00ED6A59" w:rsidP="0007595A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</w:tbl>
    <w:p w14:paraId="0C5754EA" w14:textId="77777777" w:rsidR="00E92C8A" w:rsidRDefault="00A8295A" w:rsidP="00C738BD">
      <w:pPr>
        <w:pStyle w:val="Heading2"/>
      </w:pPr>
      <w:r>
        <w:t xml:space="preserve">Financial </w:t>
      </w:r>
      <w:r w:rsidR="00C738BD">
        <w:t>risk</w:t>
      </w:r>
      <w:r>
        <w:t xml:space="preserve"> management</w:t>
      </w:r>
    </w:p>
    <w:p w14:paraId="0D615CA5" w14:textId="77777777" w:rsidR="007E02F1" w:rsidRDefault="00C738BD" w:rsidP="00B72830">
      <w:pPr>
        <w:pStyle w:val="Normalnumbered"/>
        <w:numPr>
          <w:ilvl w:val="0"/>
          <w:numId w:val="10"/>
        </w:numPr>
        <w:jc w:val="left"/>
      </w:pPr>
      <w:r w:rsidRPr="00C738BD">
        <w:t>Having regard to the agreed costs of projects</w:t>
      </w:r>
      <w:r w:rsidR="00A8295A">
        <w:t xml:space="preserve"> or reforms</w:t>
      </w:r>
      <w:r w:rsidRPr="00C738BD">
        <w:t xml:space="preserve"> </w:t>
      </w:r>
      <w:r w:rsidR="00A8295A" w:rsidRPr="0094014A">
        <w:t>under this Agreement</w:t>
      </w:r>
      <w:r w:rsidRPr="00C738BD">
        <w:t xml:space="preserve">, </w:t>
      </w:r>
      <w:r w:rsidR="007B7B0E">
        <w:t>Tasmania</w:t>
      </w:r>
      <w:r w:rsidRPr="00C738BD">
        <w:t xml:space="preserve"> will not be required to pay a refund to the Commonwealth if the actual cost is less than the agreed cost. </w:t>
      </w:r>
      <w:r w:rsidR="00D422A7">
        <w:t xml:space="preserve"> </w:t>
      </w:r>
      <w:r w:rsidRPr="00C738BD">
        <w:t xml:space="preserve">Similarly, </w:t>
      </w:r>
      <w:r w:rsidR="007B7B0E">
        <w:t>Tasmania</w:t>
      </w:r>
      <w:r w:rsidR="00D57346">
        <w:t xml:space="preserve"> </w:t>
      </w:r>
      <w:r w:rsidRPr="00C738BD">
        <w:t>bear</w:t>
      </w:r>
      <w:r w:rsidR="007B7B0E">
        <w:t>s</w:t>
      </w:r>
      <w:r w:rsidRPr="00C738BD">
        <w:t xml:space="preserve"> all risk should the costs exceed the agreed cost</w:t>
      </w:r>
      <w:r w:rsidR="00C95D81">
        <w:t>s.</w:t>
      </w:r>
      <w:r w:rsidRPr="00C738BD">
        <w:t xml:space="preserve"> The Parties acknowledge that this arrangement provides the maximum incentive for </w:t>
      </w:r>
      <w:r w:rsidR="003562FD">
        <w:t>Tasmania</w:t>
      </w:r>
      <w:r w:rsidRPr="00C738BD">
        <w:t xml:space="preserve"> to deliver projects cost effectively and efficiently.</w:t>
      </w:r>
    </w:p>
    <w:p w14:paraId="6B2BCBEE" w14:textId="77777777" w:rsidR="00814667" w:rsidRDefault="00814667" w:rsidP="007E02F1">
      <w:pPr>
        <w:pStyle w:val="Heading1"/>
        <w:spacing w:before="180"/>
      </w:pPr>
      <w:r>
        <w:lastRenderedPageBreak/>
        <w:t>Part 6 — governance arrangements</w:t>
      </w:r>
    </w:p>
    <w:p w14:paraId="0A3B46D3" w14:textId="77777777" w:rsidR="000A7553" w:rsidRDefault="000A7553" w:rsidP="000A7553">
      <w:pPr>
        <w:pStyle w:val="Heading2"/>
      </w:pPr>
      <w:r w:rsidRPr="006F096A">
        <w:t>Enforceability of the Agreement</w:t>
      </w:r>
    </w:p>
    <w:p w14:paraId="1F18CCB8" w14:textId="4F81BFD1" w:rsidR="000A7553" w:rsidRPr="00C40EBC" w:rsidRDefault="004E6528" w:rsidP="00B72830">
      <w:pPr>
        <w:pStyle w:val="Normalnumbered"/>
        <w:numPr>
          <w:ilvl w:val="0"/>
          <w:numId w:val="10"/>
        </w:numPr>
        <w:spacing w:line="240" w:lineRule="auto"/>
        <w:jc w:val="left"/>
      </w:pPr>
      <w:r>
        <w:rPr>
          <w:szCs w:val="23"/>
        </w:rPr>
        <w:t>T</w:t>
      </w:r>
      <w:r w:rsidR="000A7553">
        <w:rPr>
          <w:szCs w:val="23"/>
        </w:rPr>
        <w:t xml:space="preserve">he Parties do not intend any of the provisions of this Agreement to be legally enforceable. However, </w:t>
      </w:r>
      <w:r w:rsidR="007219B9">
        <w:rPr>
          <w:szCs w:val="23"/>
        </w:rPr>
        <w:t xml:space="preserve">this </w:t>
      </w:r>
      <w:r w:rsidR="000A7553">
        <w:rPr>
          <w:szCs w:val="23"/>
        </w:rPr>
        <w:t>does not lessen the Parties’ commitment to this Agreement.</w:t>
      </w:r>
      <w:r w:rsidR="00E46CF0">
        <w:rPr>
          <w:szCs w:val="23"/>
        </w:rPr>
        <w:t xml:space="preserve"> </w:t>
      </w:r>
      <w:r w:rsidR="00F835A8">
        <w:rPr>
          <w:szCs w:val="23"/>
        </w:rPr>
        <w:t>I</w:t>
      </w:r>
      <w:r w:rsidR="00B514CB">
        <w:rPr>
          <w:szCs w:val="23"/>
        </w:rPr>
        <w:t xml:space="preserve">n accordance with clause 3 of this Agreement, </w:t>
      </w:r>
      <w:r w:rsidR="00E46CF0">
        <w:rPr>
          <w:szCs w:val="23"/>
        </w:rPr>
        <w:t>t</w:t>
      </w:r>
      <w:r w:rsidR="00E46CF0">
        <w:t>ransfer of the property of the Mersey Community Hospital will occur under a separate deed which is the legal instrument for the purposes of the transfer.</w:t>
      </w:r>
    </w:p>
    <w:p w14:paraId="15726DF0" w14:textId="77777777" w:rsidR="00E51D1B" w:rsidRDefault="00E51D1B" w:rsidP="00E51D1B">
      <w:pPr>
        <w:pStyle w:val="Heading2"/>
      </w:pPr>
      <w:r>
        <w:t>Variation of the Agreement</w:t>
      </w:r>
    </w:p>
    <w:p w14:paraId="61F0416A" w14:textId="77777777" w:rsidR="00E51D1B" w:rsidRDefault="00E51D1B" w:rsidP="00B72830">
      <w:pPr>
        <w:pStyle w:val="Normalnumbered"/>
        <w:numPr>
          <w:ilvl w:val="0"/>
          <w:numId w:val="10"/>
        </w:numPr>
        <w:jc w:val="left"/>
      </w:pPr>
      <w:r>
        <w:t>The Agreement may be amended at any ti</w:t>
      </w:r>
      <w:r w:rsidR="007B7B0E">
        <w:t>me by agreement in writing by both</w:t>
      </w:r>
      <w:r>
        <w:t xml:space="preserve"> Parties.</w:t>
      </w:r>
    </w:p>
    <w:p w14:paraId="590A664F" w14:textId="77777777" w:rsidR="002665E5" w:rsidRDefault="002665E5" w:rsidP="002665E5">
      <w:pPr>
        <w:pStyle w:val="Heading2"/>
      </w:pPr>
      <w:r>
        <w:t>Delegations</w:t>
      </w:r>
    </w:p>
    <w:p w14:paraId="7F03C6A1" w14:textId="77777777" w:rsidR="002665E5" w:rsidRDefault="002665E5" w:rsidP="00B72830">
      <w:pPr>
        <w:pStyle w:val="Normalnumbered"/>
        <w:numPr>
          <w:ilvl w:val="0"/>
          <w:numId w:val="10"/>
        </w:numPr>
        <w:jc w:val="left"/>
      </w:pPr>
      <w:r>
        <w:t xml:space="preserve">The Commonwealth Minister may delegate the authorisation of payments to senior Commonwealth officials, having regard to the financial and policy risks associated with those payments.  </w:t>
      </w:r>
    </w:p>
    <w:p w14:paraId="4EE7F7D6" w14:textId="77777777" w:rsidR="002665E5" w:rsidRDefault="002665E5" w:rsidP="002665E5">
      <w:pPr>
        <w:pStyle w:val="Heading2"/>
      </w:pPr>
      <w:r>
        <w:t>Dispute resolution</w:t>
      </w:r>
    </w:p>
    <w:p w14:paraId="341BB591" w14:textId="77777777" w:rsidR="002665E5" w:rsidRDefault="007B7B0E" w:rsidP="00B72830">
      <w:pPr>
        <w:pStyle w:val="Normalnumbered"/>
        <w:numPr>
          <w:ilvl w:val="0"/>
          <w:numId w:val="10"/>
        </w:numPr>
        <w:jc w:val="left"/>
      </w:pPr>
      <w:r>
        <w:t>Either</w:t>
      </w:r>
      <w:r w:rsidR="002665E5">
        <w:t xml:space="preserve"> Party may give notice to</w:t>
      </w:r>
      <w:r>
        <w:t xml:space="preserve"> the other Party</w:t>
      </w:r>
      <w:r w:rsidR="002665E5">
        <w:t xml:space="preserve"> of a dispute under this Agreement.</w:t>
      </w:r>
    </w:p>
    <w:p w14:paraId="261159F0" w14:textId="77777777" w:rsidR="002665E5" w:rsidRDefault="007B7B0E" w:rsidP="00B72830">
      <w:pPr>
        <w:pStyle w:val="Normalnumbered"/>
        <w:numPr>
          <w:ilvl w:val="0"/>
          <w:numId w:val="10"/>
        </w:numPr>
        <w:jc w:val="left"/>
      </w:pPr>
      <w:r>
        <w:t>Officials of both</w:t>
      </w:r>
      <w:r w:rsidR="002665E5">
        <w:t xml:space="preserve"> Parties will attempt to resolve any dispute in the first insta</w:t>
      </w:r>
      <w:r w:rsidR="00B0730A">
        <w:t>n</w:t>
      </w:r>
      <w:r w:rsidR="002665E5">
        <w:t>ce.</w:t>
      </w:r>
    </w:p>
    <w:p w14:paraId="02B41300" w14:textId="77777777" w:rsidR="002665E5" w:rsidRDefault="002665E5" w:rsidP="00B72830">
      <w:pPr>
        <w:pStyle w:val="Normalnumbered"/>
        <w:numPr>
          <w:ilvl w:val="0"/>
          <w:numId w:val="10"/>
        </w:numPr>
        <w:jc w:val="left"/>
      </w:pPr>
      <w:r>
        <w:t>If a dispute cannot be resolved by officials, it may be escalated to the relevant Ministers.</w:t>
      </w:r>
    </w:p>
    <w:p w14:paraId="51498D10" w14:textId="77777777" w:rsidR="00775961" w:rsidRDefault="00775961" w:rsidP="00775961">
      <w:pPr>
        <w:pStyle w:val="Heading2"/>
      </w:pPr>
      <w:r>
        <w:t>Interpretation</w:t>
      </w:r>
    </w:p>
    <w:p w14:paraId="0DB58326" w14:textId="77777777" w:rsidR="00775961" w:rsidRDefault="00775961" w:rsidP="00775961">
      <w:r>
        <w:t>For the purposes of this Agreement:</w:t>
      </w:r>
    </w:p>
    <w:p w14:paraId="0774F53E" w14:textId="77777777" w:rsidR="002665E5" w:rsidRDefault="00775961" w:rsidP="002665E5">
      <w:pPr>
        <w:pStyle w:val="AlphaParagraph"/>
        <w:tabs>
          <w:tab w:val="clear" w:pos="0"/>
        </w:tabs>
        <w:ind w:left="0" w:firstLine="0"/>
      </w:pPr>
      <w:r w:rsidRPr="00EE4369">
        <w:rPr>
          <w:b/>
        </w:rPr>
        <w:t>National Weighted Activity Units</w:t>
      </w:r>
      <w:r w:rsidRPr="00B608AE">
        <w:rPr>
          <w:b/>
        </w:rPr>
        <w:t xml:space="preserve"> </w:t>
      </w:r>
      <w:r>
        <w:t>means the 'national weighted activity u</w:t>
      </w:r>
      <w:r w:rsidRPr="00EE4369">
        <w:t>nits</w:t>
      </w:r>
      <w:r>
        <w:t xml:space="preserve">' </w:t>
      </w:r>
      <w:r w:rsidRPr="005E61FB">
        <w:t xml:space="preserve">in </w:t>
      </w:r>
      <w:r>
        <w:t>the 'national pricing model technical s</w:t>
      </w:r>
      <w:r w:rsidRPr="005E61FB">
        <w:t>pecifications</w:t>
      </w:r>
      <w:r>
        <w:t>'</w:t>
      </w:r>
      <w:r w:rsidRPr="005E61FB">
        <w:t xml:space="preserve"> </w:t>
      </w:r>
      <w:r>
        <w:t xml:space="preserve">published </w:t>
      </w:r>
      <w:r w:rsidRPr="002B01B2">
        <w:t xml:space="preserve">by the </w:t>
      </w:r>
      <w:r w:rsidRPr="00560EB6">
        <w:t>Independent Hospital Pricing Authority</w:t>
      </w:r>
      <w:r>
        <w:t xml:space="preserve"> </w:t>
      </w:r>
      <w:r w:rsidRPr="005E61FB">
        <w:t>from time to time</w:t>
      </w:r>
      <w:r w:rsidR="00FC4654">
        <w:t>.</w:t>
      </w:r>
      <w:r w:rsidR="002665E5">
        <w:br w:type="page"/>
      </w:r>
    </w:p>
    <w:p w14:paraId="2CF0F3FC" w14:textId="77777777" w:rsidR="002665E5" w:rsidRPr="002665E5" w:rsidRDefault="002665E5" w:rsidP="002665E5">
      <w:pPr>
        <w:pStyle w:val="AlphaParagraph"/>
        <w:tabs>
          <w:tab w:val="clear" w:pos="0"/>
        </w:tabs>
        <w:ind w:left="0" w:firstLine="0"/>
      </w:pPr>
      <w:r w:rsidRPr="00A50751">
        <w:rPr>
          <w:lang w:val="en-GB"/>
        </w:rPr>
        <w:lastRenderedPageBreak/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agreement as follows: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284"/>
        <w:gridCol w:w="4536"/>
      </w:tblGrid>
      <w:tr w:rsidR="002665E5" w:rsidRPr="00A50751" w14:paraId="390C0683" w14:textId="77777777" w:rsidTr="00B40E38">
        <w:trPr>
          <w:cantSplit/>
          <w:jc w:val="center"/>
        </w:trPr>
        <w:tc>
          <w:tcPr>
            <w:tcW w:w="4536" w:type="dxa"/>
            <w:gridSpan w:val="2"/>
          </w:tcPr>
          <w:p w14:paraId="32CCE7AF" w14:textId="77777777" w:rsidR="002665E5" w:rsidRPr="004A0AE7" w:rsidRDefault="002665E5" w:rsidP="00B40E38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>Commonwealth of Australia by</w:t>
            </w:r>
          </w:p>
          <w:p w14:paraId="79E0F5F1" w14:textId="77777777" w:rsidR="002665E5" w:rsidRPr="00A50751" w:rsidRDefault="002665E5" w:rsidP="00B40E38">
            <w:pPr>
              <w:pStyle w:val="LineForSignature"/>
            </w:pPr>
            <w:r>
              <w:tab/>
            </w:r>
          </w:p>
          <w:p w14:paraId="464828CB" w14:textId="3FFB4C91" w:rsidR="002665E5" w:rsidRDefault="002665E5" w:rsidP="00B40E38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755927">
              <w:rPr>
                <w:rStyle w:val="Bold"/>
              </w:rPr>
              <w:t>Greg Hunt MP</w:t>
            </w:r>
            <w:r w:rsidR="003E6C6F">
              <w:rPr>
                <w:rStyle w:val="Bold"/>
              </w:rPr>
              <w:t xml:space="preserve"> </w:t>
            </w:r>
          </w:p>
          <w:p w14:paraId="5951D287" w14:textId="26B52594" w:rsidR="002665E5" w:rsidRDefault="00686B2F" w:rsidP="00B40E38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>Commonwealth Health Minister</w:t>
            </w:r>
          </w:p>
          <w:p w14:paraId="33067CA1" w14:textId="77777777" w:rsidR="002665E5" w:rsidRDefault="002665E5" w:rsidP="00B40E3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1AE8026F" w14:textId="77777777" w:rsidR="002665E5" w:rsidRPr="00A50751" w:rsidRDefault="002665E5" w:rsidP="00B40E38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1B21CE9" w14:textId="77777777" w:rsidR="002665E5" w:rsidRPr="00A50751" w:rsidRDefault="002665E5" w:rsidP="00B40E38">
            <w:pPr>
              <w:rPr>
                <w:rFonts w:ascii="Book Antiqua" w:hAnsi="Book Antiqua"/>
                <w:lang w:val="en-GB"/>
              </w:rPr>
            </w:pPr>
          </w:p>
        </w:tc>
      </w:tr>
      <w:tr w:rsidR="003E6C6F" w:rsidRPr="00A50751" w14:paraId="0BBA6361" w14:textId="77777777" w:rsidTr="00B40E38">
        <w:trPr>
          <w:gridAfter w:val="2"/>
          <w:wAfter w:w="4820" w:type="dxa"/>
          <w:cantSplit/>
          <w:jc w:val="center"/>
        </w:trPr>
        <w:tc>
          <w:tcPr>
            <w:tcW w:w="4536" w:type="dxa"/>
            <w:gridSpan w:val="2"/>
          </w:tcPr>
          <w:p w14:paraId="1D62B0B3" w14:textId="77777777" w:rsidR="003E6C6F" w:rsidRPr="004A0AE7" w:rsidRDefault="003E6C6F" w:rsidP="003E6C6F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 w:rsidRPr="004A0AE7">
              <w:br/>
              <w:t>State of Tasmania by</w:t>
            </w:r>
          </w:p>
          <w:p w14:paraId="6E218616" w14:textId="77777777" w:rsidR="003E6C6F" w:rsidRPr="00A50751" w:rsidRDefault="003E6C6F" w:rsidP="003E6C6F">
            <w:pPr>
              <w:pStyle w:val="LineForSignature"/>
            </w:pPr>
            <w:r w:rsidRPr="00A50751">
              <w:tab/>
            </w:r>
          </w:p>
          <w:p w14:paraId="1721E9A3" w14:textId="1686AF33" w:rsidR="003E6C6F" w:rsidRDefault="003E6C6F" w:rsidP="003E6C6F">
            <w:pPr>
              <w:pStyle w:val="SingleParagraph"/>
              <w:jc w:val="left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245754">
              <w:rPr>
                <w:rStyle w:val="Bold"/>
              </w:rPr>
              <w:t>Michael Ferguson</w:t>
            </w:r>
            <w:r>
              <w:rPr>
                <w:rStyle w:val="Bold"/>
              </w:rPr>
              <w:t xml:space="preserve"> M</w:t>
            </w:r>
            <w:r w:rsidR="00336EAF">
              <w:rPr>
                <w:rStyle w:val="Bold"/>
              </w:rPr>
              <w:t>HA</w:t>
            </w:r>
          </w:p>
          <w:p w14:paraId="47FBF69E" w14:textId="2830E2FE" w:rsidR="00336EAF" w:rsidRPr="00336EAF" w:rsidRDefault="003E6C6F" w:rsidP="003E6C6F">
            <w:pPr>
              <w:pStyle w:val="Position"/>
              <w:rPr>
                <w:bCs w:val="0"/>
                <w:lang w:val="en-GB"/>
              </w:rPr>
            </w:pPr>
            <w:r w:rsidRPr="00B12190">
              <w:rPr>
                <w:bCs w:val="0"/>
                <w:lang w:val="en-GB"/>
              </w:rPr>
              <w:t>Tasmania</w:t>
            </w:r>
            <w:r w:rsidR="00245754">
              <w:rPr>
                <w:bCs w:val="0"/>
                <w:lang w:val="en-GB"/>
              </w:rPr>
              <w:t>n Minister for Health</w:t>
            </w:r>
          </w:p>
          <w:p w14:paraId="07C33E0A" w14:textId="77777777" w:rsidR="003E6C6F" w:rsidRDefault="003E6C6F" w:rsidP="003E6C6F">
            <w:r>
              <w:rPr>
                <w:lang w:val="en-GB"/>
              </w:rPr>
              <w:t>[Day]  [Month]  [Year]</w:t>
            </w:r>
          </w:p>
          <w:p w14:paraId="682FC58B" w14:textId="77777777" w:rsidR="003E6C6F" w:rsidRPr="00A50751" w:rsidRDefault="003E6C6F" w:rsidP="00B40E38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</w:tr>
      <w:tr w:rsidR="007B7B0E" w:rsidRPr="00A50751" w14:paraId="009059D1" w14:textId="77777777" w:rsidTr="00B40E38">
        <w:trPr>
          <w:gridAfter w:val="1"/>
          <w:wAfter w:w="4536" w:type="dxa"/>
          <w:cantSplit/>
          <w:trHeight w:val="143"/>
          <w:jc w:val="center"/>
        </w:trPr>
        <w:tc>
          <w:tcPr>
            <w:tcW w:w="284" w:type="dxa"/>
            <w:tcMar>
              <w:left w:w="0" w:type="dxa"/>
              <w:right w:w="0" w:type="dxa"/>
            </w:tcMar>
          </w:tcPr>
          <w:p w14:paraId="088339B6" w14:textId="77777777" w:rsidR="007B7B0E" w:rsidRPr="00A50751" w:rsidRDefault="007B7B0E" w:rsidP="00B40E38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  <w:gridSpan w:val="2"/>
          </w:tcPr>
          <w:p w14:paraId="2D49BACF" w14:textId="77777777" w:rsidR="007B7B0E" w:rsidRPr="00A50751" w:rsidRDefault="007B7B0E" w:rsidP="003E6C6F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lang w:val="en-GB"/>
              </w:rPr>
            </w:pPr>
          </w:p>
        </w:tc>
      </w:tr>
      <w:tr w:rsidR="002665E5" w:rsidRPr="00A50751" w14:paraId="44EE9DB0" w14:textId="77777777" w:rsidTr="00B40E38">
        <w:trPr>
          <w:cantSplit/>
          <w:jc w:val="center"/>
        </w:trPr>
        <w:tc>
          <w:tcPr>
            <w:tcW w:w="4536" w:type="dxa"/>
            <w:gridSpan w:val="2"/>
          </w:tcPr>
          <w:p w14:paraId="3CD24665" w14:textId="77777777" w:rsidR="002665E5" w:rsidRPr="00A50751" w:rsidRDefault="002665E5" w:rsidP="00B40E38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69E3759E" w14:textId="77777777" w:rsidR="002665E5" w:rsidRPr="00A50751" w:rsidRDefault="002665E5" w:rsidP="00B40E38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6242D67" w14:textId="77777777" w:rsidR="002665E5" w:rsidRPr="00A50751" w:rsidRDefault="002665E5" w:rsidP="00B40E38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</w:tr>
    </w:tbl>
    <w:p w14:paraId="1124378A" w14:textId="77777777" w:rsidR="008843EE" w:rsidRDefault="008843EE" w:rsidP="003E6C6F"/>
    <w:sectPr w:rsidR="008843EE" w:rsidSect="00423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pgNumType w:start="1" w:chapStyle="9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5C0312" w15:done="0"/>
  <w15:commentEx w15:paraId="37EEB2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63CEF" w14:textId="77777777" w:rsidR="00255C9E" w:rsidRDefault="00255C9E">
      <w:r>
        <w:separator/>
      </w:r>
    </w:p>
  </w:endnote>
  <w:endnote w:type="continuationSeparator" w:id="0">
    <w:p w14:paraId="5FA6C810" w14:textId="77777777" w:rsidR="00255C9E" w:rsidRDefault="00255C9E">
      <w:r>
        <w:continuationSeparator/>
      </w:r>
    </w:p>
  </w:endnote>
  <w:endnote w:type="continuationNotice" w:id="1">
    <w:p w14:paraId="2837313C" w14:textId="77777777" w:rsidR="00255C9E" w:rsidRDefault="00255C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AE3AE" w14:textId="77777777" w:rsidR="0033378C" w:rsidRDefault="0033378C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77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3C160" w14:textId="5E85B676" w:rsidR="00233AC2" w:rsidRDefault="00233A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46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5CE549F" w14:textId="77777777" w:rsidR="0033378C" w:rsidRDefault="0033378C">
    <w:pPr>
      <w:pStyle w:val="FooterOd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27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9F7FF" w14:textId="6C9AC91E" w:rsidR="00233AC2" w:rsidRDefault="00233A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4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DBA663" w14:textId="77777777" w:rsidR="0033378C" w:rsidRDefault="0033378C" w:rsidP="00751725">
    <w:pPr>
      <w:pStyle w:val="FooterEven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FCC40" w14:textId="77777777" w:rsidR="00255C9E" w:rsidRDefault="00255C9E">
      <w:r>
        <w:separator/>
      </w:r>
    </w:p>
  </w:footnote>
  <w:footnote w:type="continuationSeparator" w:id="0">
    <w:p w14:paraId="5F03F43B" w14:textId="77777777" w:rsidR="00255C9E" w:rsidRDefault="00255C9E">
      <w:r>
        <w:continuationSeparator/>
      </w:r>
    </w:p>
  </w:footnote>
  <w:footnote w:type="continuationNotice" w:id="1">
    <w:p w14:paraId="3F6B42D6" w14:textId="77777777" w:rsidR="00255C9E" w:rsidRDefault="00255C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2703B" w14:textId="77777777" w:rsidR="00E11464" w:rsidRDefault="00E114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C64B4" w14:textId="05A92BD1" w:rsidR="00233AC2" w:rsidRDefault="00233A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EBDD2" w14:textId="77777777" w:rsidR="00E11464" w:rsidRDefault="00E114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469"/>
    <w:multiLevelType w:val="multilevel"/>
    <w:tmpl w:val="4F9EF4A2"/>
    <w:name w:val="StandardBulletedList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C909FF"/>
    <w:multiLevelType w:val="multilevel"/>
    <w:tmpl w:val="34421FBC"/>
    <w:lvl w:ilvl="0">
      <w:start w:val="1"/>
      <w:numFmt w:val="lowerRoman"/>
      <w:lvlText w:val="(%1)"/>
      <w:lvlJc w:val="left"/>
      <w:pPr>
        <w:tabs>
          <w:tab w:val="num" w:pos="2268"/>
        </w:tabs>
        <w:ind w:left="1701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6237"/>
        </w:tabs>
        <w:ind w:left="6237" w:hanging="567"/>
      </w:pPr>
      <w:rPr>
        <w:rFonts w:cs="Times New Roman" w:hint="default"/>
        <w:b w:val="0"/>
        <w:i w:val="0"/>
        <w:color w:val="000000"/>
      </w:rPr>
    </w:lvl>
  </w:abstractNum>
  <w:abstractNum w:abstractNumId="2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3">
    <w:nsid w:val="0EC42909"/>
    <w:multiLevelType w:val="multilevel"/>
    <w:tmpl w:val="753AC1FE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4">
    <w:nsid w:val="151173E5"/>
    <w:multiLevelType w:val="multilevel"/>
    <w:tmpl w:val="E946B04A"/>
    <w:lvl w:ilvl="0">
      <w:start w:val="1"/>
      <w:numFmt w:val="lowerRoman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5">
    <w:nsid w:val="19C960FD"/>
    <w:multiLevelType w:val="multilevel"/>
    <w:tmpl w:val="F9EA08CE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6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1FAC2E6F"/>
    <w:multiLevelType w:val="hybridMultilevel"/>
    <w:tmpl w:val="469AD774"/>
    <w:name w:val="OneLevelNumberedParagraphList"/>
    <w:lvl w:ilvl="0" w:tplc="80E42D8A">
      <w:start w:val="1"/>
      <w:numFmt w:val="decimal"/>
      <w:lvlText w:val="A%1."/>
      <w:lvlJc w:val="left"/>
      <w:pPr>
        <w:tabs>
          <w:tab w:val="num" w:pos="680"/>
        </w:tabs>
        <w:ind w:left="680" w:hanging="680"/>
      </w:pPr>
      <w:rPr>
        <w:rFonts w:ascii="Corbel" w:hAnsi="Corbel" w:cs="Corbel" w:hint="default"/>
        <w:b w:val="0"/>
        <w:bCs w:val="0"/>
        <w:i w:val="0"/>
        <w:iCs w:val="0"/>
        <w:color w:val="000000"/>
        <w:sz w:val="23"/>
        <w:szCs w:val="23"/>
      </w:rPr>
    </w:lvl>
    <w:lvl w:ilvl="1" w:tplc="8166A6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6655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A84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04DD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8A23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D63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62E7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86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9">
    <w:nsid w:val="244237C5"/>
    <w:multiLevelType w:val="multilevel"/>
    <w:tmpl w:val="58FC54CC"/>
    <w:name w:val="AGSTableDash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0">
    <w:nsid w:val="27440C8B"/>
    <w:multiLevelType w:val="multilevel"/>
    <w:tmpl w:val="F2A403A2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1">
    <w:nsid w:val="274D6DF4"/>
    <w:multiLevelType w:val="hybridMultilevel"/>
    <w:tmpl w:val="D6E46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D78E7"/>
    <w:multiLevelType w:val="multilevel"/>
    <w:tmpl w:val="5C4AE05C"/>
    <w:name w:val="StandardNumberedList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3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328B3D39"/>
    <w:multiLevelType w:val="hybridMultilevel"/>
    <w:tmpl w:val="652836B2"/>
    <w:lvl w:ilvl="0" w:tplc="B3BA57A6">
      <w:start w:val="1"/>
      <w:numFmt w:val="bullet"/>
      <w:pStyle w:val="Normalnumbered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CFA81DD0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37E6D9BA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630E83C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C7F23C8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E564D0A0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484E26A4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A5A2D0F2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575E19F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389E42CD"/>
    <w:multiLevelType w:val="multilevel"/>
    <w:tmpl w:val="E916B2C2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16">
    <w:nsid w:val="3ABA1F25"/>
    <w:multiLevelType w:val="hybridMultilevel"/>
    <w:tmpl w:val="B6BE1B6C"/>
    <w:name w:val="AGSDash"/>
    <w:lvl w:ilvl="0" w:tplc="3838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A2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48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4E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E3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86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0F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6F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E6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44182"/>
    <w:multiLevelType w:val="multilevel"/>
    <w:tmpl w:val="03786CE8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18">
    <w:nsid w:val="3D5C2584"/>
    <w:multiLevelType w:val="hybridMultilevel"/>
    <w:tmpl w:val="17B8502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C534D"/>
    <w:multiLevelType w:val="multilevel"/>
    <w:tmpl w:val="3E20E07C"/>
    <w:lvl w:ilvl="0">
      <w:start w:val="1"/>
      <w:numFmt w:val="lowerLetter"/>
      <w:lvlRestart w:val="0"/>
      <w:lvlText w:val="(%1)"/>
      <w:lvlJc w:val="left"/>
      <w:pPr>
        <w:tabs>
          <w:tab w:val="num" w:pos="1593"/>
        </w:tabs>
        <w:ind w:left="1026" w:firstLine="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593"/>
        </w:tabs>
        <w:ind w:left="1593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727"/>
        </w:tabs>
        <w:ind w:left="2727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294"/>
        </w:tabs>
        <w:ind w:left="3294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861"/>
        </w:tabs>
        <w:ind w:left="3861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428"/>
        </w:tabs>
        <w:ind w:left="4428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995"/>
        </w:tabs>
        <w:ind w:left="4995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562"/>
        </w:tabs>
        <w:ind w:left="5562" w:hanging="567"/>
      </w:pPr>
      <w:rPr>
        <w:rFonts w:cs="Times New Roman" w:hint="default"/>
        <w:b w:val="0"/>
        <w:i w:val="0"/>
        <w:color w:val="000000"/>
      </w:rPr>
    </w:lvl>
  </w:abstractNum>
  <w:abstractNum w:abstractNumId="20">
    <w:nsid w:val="404716C8"/>
    <w:multiLevelType w:val="multilevel"/>
    <w:tmpl w:val="03786CE8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1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22">
    <w:nsid w:val="469E645D"/>
    <w:multiLevelType w:val="multilevel"/>
    <w:tmpl w:val="03786CE8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3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4">
    <w:nsid w:val="55CE0768"/>
    <w:multiLevelType w:val="hybridMultilevel"/>
    <w:tmpl w:val="9190AFEA"/>
    <w:lvl w:ilvl="0" w:tplc="FA9865A2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41826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C2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05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E5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867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20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4E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27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6">
    <w:nsid w:val="59B70749"/>
    <w:multiLevelType w:val="multilevel"/>
    <w:tmpl w:val="03786CE8"/>
    <w:lvl w:ilvl="0">
      <w:start w:val="1"/>
      <w:numFmt w:val="lowerLetter"/>
      <w:lvlRestart w:val="0"/>
      <w:lvlText w:val="(%1)"/>
      <w:lvlJc w:val="left"/>
      <w:pPr>
        <w:tabs>
          <w:tab w:val="num" w:pos="1593"/>
        </w:tabs>
        <w:ind w:left="1026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593"/>
        </w:tabs>
        <w:ind w:left="1593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727"/>
        </w:tabs>
        <w:ind w:left="2727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294"/>
        </w:tabs>
        <w:ind w:left="3294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861"/>
        </w:tabs>
        <w:ind w:left="3861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428"/>
        </w:tabs>
        <w:ind w:left="4428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995"/>
        </w:tabs>
        <w:ind w:left="4995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562"/>
        </w:tabs>
        <w:ind w:left="5562" w:hanging="567"/>
      </w:pPr>
      <w:rPr>
        <w:rFonts w:cs="Times New Roman" w:hint="default"/>
        <w:b w:val="0"/>
        <w:i w:val="0"/>
        <w:color w:val="000000"/>
      </w:rPr>
    </w:lvl>
  </w:abstractNum>
  <w:abstractNum w:abstractNumId="27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8">
    <w:nsid w:val="61066772"/>
    <w:multiLevelType w:val="multilevel"/>
    <w:tmpl w:val="87FA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67D21F91"/>
    <w:multiLevelType w:val="hybridMultilevel"/>
    <w:tmpl w:val="7A30F5CA"/>
    <w:lvl w:ilvl="0" w:tplc="D5BC4416">
      <w:start w:val="1"/>
      <w:numFmt w:val="lowerRoman"/>
      <w:lvlText w:val="(%1)"/>
      <w:lvlJc w:val="left"/>
      <w:pPr>
        <w:ind w:left="18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15" w:hanging="360"/>
      </w:pPr>
    </w:lvl>
    <w:lvl w:ilvl="2" w:tplc="0C09001B" w:tentative="1">
      <w:start w:val="1"/>
      <w:numFmt w:val="lowerRoman"/>
      <w:lvlText w:val="%3."/>
      <w:lvlJc w:val="right"/>
      <w:pPr>
        <w:ind w:left="3335" w:hanging="180"/>
      </w:pPr>
    </w:lvl>
    <w:lvl w:ilvl="3" w:tplc="0C09000F" w:tentative="1">
      <w:start w:val="1"/>
      <w:numFmt w:val="decimal"/>
      <w:lvlText w:val="%4."/>
      <w:lvlJc w:val="left"/>
      <w:pPr>
        <w:ind w:left="4055" w:hanging="360"/>
      </w:pPr>
    </w:lvl>
    <w:lvl w:ilvl="4" w:tplc="0C090019" w:tentative="1">
      <w:start w:val="1"/>
      <w:numFmt w:val="lowerLetter"/>
      <w:lvlText w:val="%5."/>
      <w:lvlJc w:val="left"/>
      <w:pPr>
        <w:ind w:left="4775" w:hanging="360"/>
      </w:pPr>
    </w:lvl>
    <w:lvl w:ilvl="5" w:tplc="0C09001B" w:tentative="1">
      <w:start w:val="1"/>
      <w:numFmt w:val="lowerRoman"/>
      <w:lvlText w:val="%6."/>
      <w:lvlJc w:val="right"/>
      <w:pPr>
        <w:ind w:left="5495" w:hanging="180"/>
      </w:pPr>
    </w:lvl>
    <w:lvl w:ilvl="6" w:tplc="0C09000F" w:tentative="1">
      <w:start w:val="1"/>
      <w:numFmt w:val="decimal"/>
      <w:lvlText w:val="%7."/>
      <w:lvlJc w:val="left"/>
      <w:pPr>
        <w:ind w:left="6215" w:hanging="360"/>
      </w:pPr>
    </w:lvl>
    <w:lvl w:ilvl="7" w:tplc="0C090019" w:tentative="1">
      <w:start w:val="1"/>
      <w:numFmt w:val="lowerLetter"/>
      <w:lvlText w:val="%8."/>
      <w:lvlJc w:val="left"/>
      <w:pPr>
        <w:ind w:left="6935" w:hanging="360"/>
      </w:pPr>
    </w:lvl>
    <w:lvl w:ilvl="8" w:tplc="0C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30">
    <w:nsid w:val="6D7A39BC"/>
    <w:multiLevelType w:val="multilevel"/>
    <w:tmpl w:val="8684E98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cs="Times New Roman" w:hint="default"/>
        <w:color w:val="800000"/>
      </w:rPr>
    </w:lvl>
  </w:abstractNum>
  <w:abstractNum w:abstractNumId="31">
    <w:nsid w:val="7072154F"/>
    <w:multiLevelType w:val="hybridMultilevel"/>
    <w:tmpl w:val="3A22B778"/>
    <w:lvl w:ilvl="0" w:tplc="660EB7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33">
    <w:nsid w:val="78854AAC"/>
    <w:multiLevelType w:val="hybridMultilevel"/>
    <w:tmpl w:val="4BD8F0BC"/>
    <w:lvl w:ilvl="0" w:tplc="C6C895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660EB73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ED617B"/>
    <w:multiLevelType w:val="hybridMultilevel"/>
    <w:tmpl w:val="130069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5"/>
  </w:num>
  <w:num w:numId="5">
    <w:abstractNumId w:val="27"/>
  </w:num>
  <w:num w:numId="6">
    <w:abstractNumId w:val="10"/>
  </w:num>
  <w:num w:numId="7">
    <w:abstractNumId w:val="14"/>
  </w:num>
  <w:num w:numId="8">
    <w:abstractNumId w:val="6"/>
  </w:num>
  <w:num w:numId="9">
    <w:abstractNumId w:val="12"/>
  </w:num>
  <w:num w:numId="10">
    <w:abstractNumId w:val="33"/>
  </w:num>
  <w:num w:numId="11">
    <w:abstractNumId w:val="2"/>
  </w:num>
  <w:num w:numId="12">
    <w:abstractNumId w:val="24"/>
  </w:num>
  <w:num w:numId="13">
    <w:abstractNumId w:val="30"/>
  </w:num>
  <w:num w:numId="14">
    <w:abstractNumId w:val="21"/>
  </w:num>
  <w:num w:numId="15">
    <w:abstractNumId w:val="26"/>
  </w:num>
  <w:num w:numId="16">
    <w:abstractNumId w:val="32"/>
  </w:num>
  <w:num w:numId="17">
    <w:abstractNumId w:val="8"/>
  </w:num>
  <w:num w:numId="18">
    <w:abstractNumId w:val="13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0"/>
  </w:num>
  <w:num w:numId="25">
    <w:abstractNumId w:val="22"/>
  </w:num>
  <w:num w:numId="26">
    <w:abstractNumId w:val="1"/>
  </w:num>
  <w:num w:numId="27">
    <w:abstractNumId w:val="15"/>
  </w:num>
  <w:num w:numId="28">
    <w:abstractNumId w:val="29"/>
  </w:num>
  <w:num w:numId="29">
    <w:abstractNumId w:val="31"/>
  </w:num>
  <w:num w:numId="30">
    <w:abstractNumId w:val="18"/>
  </w:num>
  <w:num w:numId="31">
    <w:abstractNumId w:val="19"/>
  </w:num>
  <w:num w:numId="32">
    <w:abstractNumId w:val="4"/>
  </w:num>
  <w:num w:numId="33">
    <w:abstractNumId w:val="2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  <w:num w:numId="44">
    <w:abstractNumId w:val="34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ckiss, Joshua">
    <w15:presenceInfo w15:providerId="AD" w15:userId="S-1-5-21-672394970-180755160-2318422700-69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67"/>
    <w:rsid w:val="00002DE8"/>
    <w:rsid w:val="00005A5D"/>
    <w:rsid w:val="000064E1"/>
    <w:rsid w:val="000076D9"/>
    <w:rsid w:val="00012EF4"/>
    <w:rsid w:val="00013D4E"/>
    <w:rsid w:val="00017E7B"/>
    <w:rsid w:val="00021708"/>
    <w:rsid w:val="00025539"/>
    <w:rsid w:val="0003074A"/>
    <w:rsid w:val="000373D8"/>
    <w:rsid w:val="000416E1"/>
    <w:rsid w:val="000447B9"/>
    <w:rsid w:val="00047F6E"/>
    <w:rsid w:val="00051895"/>
    <w:rsid w:val="0006140E"/>
    <w:rsid w:val="0006451A"/>
    <w:rsid w:val="00065EE6"/>
    <w:rsid w:val="0007004C"/>
    <w:rsid w:val="0007028A"/>
    <w:rsid w:val="000724F6"/>
    <w:rsid w:val="00073A8D"/>
    <w:rsid w:val="00074611"/>
    <w:rsid w:val="000768EA"/>
    <w:rsid w:val="00077F4D"/>
    <w:rsid w:val="00080983"/>
    <w:rsid w:val="00085966"/>
    <w:rsid w:val="000869CA"/>
    <w:rsid w:val="000912AD"/>
    <w:rsid w:val="00091DF8"/>
    <w:rsid w:val="00093AD3"/>
    <w:rsid w:val="00093DD8"/>
    <w:rsid w:val="000A05AC"/>
    <w:rsid w:val="000A0C9E"/>
    <w:rsid w:val="000A2C32"/>
    <w:rsid w:val="000A442E"/>
    <w:rsid w:val="000A5191"/>
    <w:rsid w:val="000A5250"/>
    <w:rsid w:val="000A72D2"/>
    <w:rsid w:val="000A7553"/>
    <w:rsid w:val="000B31AB"/>
    <w:rsid w:val="000C202C"/>
    <w:rsid w:val="000C714F"/>
    <w:rsid w:val="000C7C9A"/>
    <w:rsid w:val="000C7EF6"/>
    <w:rsid w:val="000C7F8B"/>
    <w:rsid w:val="000D19D8"/>
    <w:rsid w:val="000D1C37"/>
    <w:rsid w:val="000D3CD9"/>
    <w:rsid w:val="000D4377"/>
    <w:rsid w:val="000E0898"/>
    <w:rsid w:val="000E10B9"/>
    <w:rsid w:val="000E19C0"/>
    <w:rsid w:val="000E3C70"/>
    <w:rsid w:val="000E48C3"/>
    <w:rsid w:val="000F041A"/>
    <w:rsid w:val="000F0880"/>
    <w:rsid w:val="000F3508"/>
    <w:rsid w:val="000F6CF6"/>
    <w:rsid w:val="00103FD6"/>
    <w:rsid w:val="001049DA"/>
    <w:rsid w:val="0010573C"/>
    <w:rsid w:val="001065EE"/>
    <w:rsid w:val="00110F5D"/>
    <w:rsid w:val="00112617"/>
    <w:rsid w:val="00112657"/>
    <w:rsid w:val="00113ADB"/>
    <w:rsid w:val="00114AA5"/>
    <w:rsid w:val="001165C0"/>
    <w:rsid w:val="00116D32"/>
    <w:rsid w:val="00120B2C"/>
    <w:rsid w:val="00122DBA"/>
    <w:rsid w:val="0013156A"/>
    <w:rsid w:val="00132587"/>
    <w:rsid w:val="001337AA"/>
    <w:rsid w:val="001354D9"/>
    <w:rsid w:val="0013646D"/>
    <w:rsid w:val="001404A9"/>
    <w:rsid w:val="00140F43"/>
    <w:rsid w:val="00141912"/>
    <w:rsid w:val="00142616"/>
    <w:rsid w:val="00143273"/>
    <w:rsid w:val="00143DCA"/>
    <w:rsid w:val="00145D5C"/>
    <w:rsid w:val="0015073F"/>
    <w:rsid w:val="00150CEF"/>
    <w:rsid w:val="00153DE8"/>
    <w:rsid w:val="00160506"/>
    <w:rsid w:val="001619BC"/>
    <w:rsid w:val="00162E9B"/>
    <w:rsid w:val="00163C3F"/>
    <w:rsid w:val="00166312"/>
    <w:rsid w:val="00166581"/>
    <w:rsid w:val="00166BAE"/>
    <w:rsid w:val="00167BB8"/>
    <w:rsid w:val="00173F81"/>
    <w:rsid w:val="00174C2A"/>
    <w:rsid w:val="00175FB9"/>
    <w:rsid w:val="00176A36"/>
    <w:rsid w:val="001775DC"/>
    <w:rsid w:val="001804EC"/>
    <w:rsid w:val="00181240"/>
    <w:rsid w:val="00183EAB"/>
    <w:rsid w:val="00185CC1"/>
    <w:rsid w:val="001876C2"/>
    <w:rsid w:val="00187B0E"/>
    <w:rsid w:val="00187BEB"/>
    <w:rsid w:val="00190809"/>
    <w:rsid w:val="00191CFE"/>
    <w:rsid w:val="001931E8"/>
    <w:rsid w:val="00194232"/>
    <w:rsid w:val="0019788A"/>
    <w:rsid w:val="001A0FD0"/>
    <w:rsid w:val="001A1422"/>
    <w:rsid w:val="001A3527"/>
    <w:rsid w:val="001A3A9A"/>
    <w:rsid w:val="001A4093"/>
    <w:rsid w:val="001A668D"/>
    <w:rsid w:val="001A7A15"/>
    <w:rsid w:val="001B19A0"/>
    <w:rsid w:val="001B1CA3"/>
    <w:rsid w:val="001B7933"/>
    <w:rsid w:val="001C346E"/>
    <w:rsid w:val="001C3717"/>
    <w:rsid w:val="001C4E90"/>
    <w:rsid w:val="001C5CC5"/>
    <w:rsid w:val="001D230F"/>
    <w:rsid w:val="001D3663"/>
    <w:rsid w:val="001D4852"/>
    <w:rsid w:val="001D6C45"/>
    <w:rsid w:val="001E20EC"/>
    <w:rsid w:val="001E2591"/>
    <w:rsid w:val="001E4055"/>
    <w:rsid w:val="001E6D8F"/>
    <w:rsid w:val="001E7173"/>
    <w:rsid w:val="001E74D0"/>
    <w:rsid w:val="001E7670"/>
    <w:rsid w:val="001F4549"/>
    <w:rsid w:val="001F6F39"/>
    <w:rsid w:val="001F6FE8"/>
    <w:rsid w:val="00203681"/>
    <w:rsid w:val="00203BD2"/>
    <w:rsid w:val="00205E18"/>
    <w:rsid w:val="002077C7"/>
    <w:rsid w:val="002106A6"/>
    <w:rsid w:val="002204CF"/>
    <w:rsid w:val="00221308"/>
    <w:rsid w:val="0022141E"/>
    <w:rsid w:val="00222C97"/>
    <w:rsid w:val="00226D19"/>
    <w:rsid w:val="002315EE"/>
    <w:rsid w:val="0023212B"/>
    <w:rsid w:val="00233AC2"/>
    <w:rsid w:val="00234D51"/>
    <w:rsid w:val="00240716"/>
    <w:rsid w:val="00245754"/>
    <w:rsid w:val="002459EE"/>
    <w:rsid w:val="00247D45"/>
    <w:rsid w:val="00254106"/>
    <w:rsid w:val="00254AF8"/>
    <w:rsid w:val="00255C9E"/>
    <w:rsid w:val="002561CF"/>
    <w:rsid w:val="00262E18"/>
    <w:rsid w:val="0026455E"/>
    <w:rsid w:val="002665E5"/>
    <w:rsid w:val="0027078E"/>
    <w:rsid w:val="00272C83"/>
    <w:rsid w:val="00277646"/>
    <w:rsid w:val="00282C25"/>
    <w:rsid w:val="00283123"/>
    <w:rsid w:val="00283C73"/>
    <w:rsid w:val="002847F2"/>
    <w:rsid w:val="00285003"/>
    <w:rsid w:val="00285D2A"/>
    <w:rsid w:val="00287DCC"/>
    <w:rsid w:val="00291CF1"/>
    <w:rsid w:val="002A143D"/>
    <w:rsid w:val="002A493A"/>
    <w:rsid w:val="002A49B0"/>
    <w:rsid w:val="002A530A"/>
    <w:rsid w:val="002A69B0"/>
    <w:rsid w:val="002B7922"/>
    <w:rsid w:val="002B7E1B"/>
    <w:rsid w:val="002C04DA"/>
    <w:rsid w:val="002C0FFC"/>
    <w:rsid w:val="002C2529"/>
    <w:rsid w:val="002C4242"/>
    <w:rsid w:val="002C62B3"/>
    <w:rsid w:val="002C7620"/>
    <w:rsid w:val="002D0EF4"/>
    <w:rsid w:val="002D1A33"/>
    <w:rsid w:val="002D1A59"/>
    <w:rsid w:val="002D1D66"/>
    <w:rsid w:val="002D4CC0"/>
    <w:rsid w:val="002D7115"/>
    <w:rsid w:val="002D7CF9"/>
    <w:rsid w:val="002E2593"/>
    <w:rsid w:val="002E29CA"/>
    <w:rsid w:val="002E2B50"/>
    <w:rsid w:val="002E4B66"/>
    <w:rsid w:val="002E50EA"/>
    <w:rsid w:val="002F576E"/>
    <w:rsid w:val="002F5C6C"/>
    <w:rsid w:val="002F5EE2"/>
    <w:rsid w:val="002F7CCE"/>
    <w:rsid w:val="002F7E40"/>
    <w:rsid w:val="003012DA"/>
    <w:rsid w:val="00301A73"/>
    <w:rsid w:val="003056FE"/>
    <w:rsid w:val="003068DC"/>
    <w:rsid w:val="00307C5C"/>
    <w:rsid w:val="003105F2"/>
    <w:rsid w:val="00312DEF"/>
    <w:rsid w:val="00313480"/>
    <w:rsid w:val="00315028"/>
    <w:rsid w:val="003155BD"/>
    <w:rsid w:val="00315E33"/>
    <w:rsid w:val="0032082B"/>
    <w:rsid w:val="00320D3F"/>
    <w:rsid w:val="00321E0A"/>
    <w:rsid w:val="00325F86"/>
    <w:rsid w:val="00326883"/>
    <w:rsid w:val="00327E9A"/>
    <w:rsid w:val="00331553"/>
    <w:rsid w:val="00332E5D"/>
    <w:rsid w:val="00333506"/>
    <w:rsid w:val="0033378C"/>
    <w:rsid w:val="00333EE4"/>
    <w:rsid w:val="00334D7E"/>
    <w:rsid w:val="00335E2C"/>
    <w:rsid w:val="00336371"/>
    <w:rsid w:val="00336EAF"/>
    <w:rsid w:val="00336F12"/>
    <w:rsid w:val="00337C78"/>
    <w:rsid w:val="003410AA"/>
    <w:rsid w:val="003517EC"/>
    <w:rsid w:val="00352A6B"/>
    <w:rsid w:val="00352EC1"/>
    <w:rsid w:val="003562FD"/>
    <w:rsid w:val="00364CF3"/>
    <w:rsid w:val="00365A66"/>
    <w:rsid w:val="00367EAB"/>
    <w:rsid w:val="00372573"/>
    <w:rsid w:val="00377AB2"/>
    <w:rsid w:val="00380453"/>
    <w:rsid w:val="003814B3"/>
    <w:rsid w:val="00391D29"/>
    <w:rsid w:val="0039201F"/>
    <w:rsid w:val="0039283B"/>
    <w:rsid w:val="003929D5"/>
    <w:rsid w:val="00396EA4"/>
    <w:rsid w:val="003A22B3"/>
    <w:rsid w:val="003A3363"/>
    <w:rsid w:val="003A3905"/>
    <w:rsid w:val="003A3CC1"/>
    <w:rsid w:val="003A6635"/>
    <w:rsid w:val="003A6B0E"/>
    <w:rsid w:val="003B073D"/>
    <w:rsid w:val="003B5562"/>
    <w:rsid w:val="003B737F"/>
    <w:rsid w:val="003C044E"/>
    <w:rsid w:val="003C179F"/>
    <w:rsid w:val="003C2450"/>
    <w:rsid w:val="003D1BEF"/>
    <w:rsid w:val="003D26BA"/>
    <w:rsid w:val="003D448E"/>
    <w:rsid w:val="003E4C17"/>
    <w:rsid w:val="003E5D96"/>
    <w:rsid w:val="003E6BA0"/>
    <w:rsid w:val="003E6C6F"/>
    <w:rsid w:val="003E73DB"/>
    <w:rsid w:val="003E7F07"/>
    <w:rsid w:val="003F236C"/>
    <w:rsid w:val="003F59E6"/>
    <w:rsid w:val="00401CF3"/>
    <w:rsid w:val="004039DE"/>
    <w:rsid w:val="004040EB"/>
    <w:rsid w:val="0040426D"/>
    <w:rsid w:val="004043B6"/>
    <w:rsid w:val="00404A4A"/>
    <w:rsid w:val="004104B2"/>
    <w:rsid w:val="004120B1"/>
    <w:rsid w:val="004124D3"/>
    <w:rsid w:val="0041421D"/>
    <w:rsid w:val="00414A5C"/>
    <w:rsid w:val="004156B4"/>
    <w:rsid w:val="0041697F"/>
    <w:rsid w:val="00421F66"/>
    <w:rsid w:val="004223AA"/>
    <w:rsid w:val="00423104"/>
    <w:rsid w:val="004267D3"/>
    <w:rsid w:val="00427689"/>
    <w:rsid w:val="004278D2"/>
    <w:rsid w:val="00433656"/>
    <w:rsid w:val="00433C6B"/>
    <w:rsid w:val="00433E65"/>
    <w:rsid w:val="00436E0B"/>
    <w:rsid w:val="004374B2"/>
    <w:rsid w:val="00440A90"/>
    <w:rsid w:val="00442AB8"/>
    <w:rsid w:val="004436EA"/>
    <w:rsid w:val="00443CB6"/>
    <w:rsid w:val="00450B39"/>
    <w:rsid w:val="00454498"/>
    <w:rsid w:val="00456C59"/>
    <w:rsid w:val="00462AEA"/>
    <w:rsid w:val="0046371B"/>
    <w:rsid w:val="00466FC6"/>
    <w:rsid w:val="00470CC9"/>
    <w:rsid w:val="00472C5A"/>
    <w:rsid w:val="004829C1"/>
    <w:rsid w:val="0048535D"/>
    <w:rsid w:val="00485C09"/>
    <w:rsid w:val="004868F8"/>
    <w:rsid w:val="00487FE4"/>
    <w:rsid w:val="00490198"/>
    <w:rsid w:val="00490352"/>
    <w:rsid w:val="00490E28"/>
    <w:rsid w:val="00491A9F"/>
    <w:rsid w:val="00494435"/>
    <w:rsid w:val="0049645A"/>
    <w:rsid w:val="00496930"/>
    <w:rsid w:val="00497362"/>
    <w:rsid w:val="00497E2A"/>
    <w:rsid w:val="004A0AE7"/>
    <w:rsid w:val="004A5DF7"/>
    <w:rsid w:val="004A6062"/>
    <w:rsid w:val="004A770F"/>
    <w:rsid w:val="004B1F38"/>
    <w:rsid w:val="004B27C1"/>
    <w:rsid w:val="004C1697"/>
    <w:rsid w:val="004C1A03"/>
    <w:rsid w:val="004C5EFB"/>
    <w:rsid w:val="004C665A"/>
    <w:rsid w:val="004D23DA"/>
    <w:rsid w:val="004D310E"/>
    <w:rsid w:val="004D34C8"/>
    <w:rsid w:val="004D37D8"/>
    <w:rsid w:val="004D4B81"/>
    <w:rsid w:val="004E2310"/>
    <w:rsid w:val="004E2BF1"/>
    <w:rsid w:val="004E6270"/>
    <w:rsid w:val="004E6528"/>
    <w:rsid w:val="004F0471"/>
    <w:rsid w:val="004F1A05"/>
    <w:rsid w:val="004F6683"/>
    <w:rsid w:val="004F6B2B"/>
    <w:rsid w:val="005005DF"/>
    <w:rsid w:val="00500B17"/>
    <w:rsid w:val="00505045"/>
    <w:rsid w:val="00511501"/>
    <w:rsid w:val="00514505"/>
    <w:rsid w:val="0051602E"/>
    <w:rsid w:val="0051640E"/>
    <w:rsid w:val="00516741"/>
    <w:rsid w:val="0051697E"/>
    <w:rsid w:val="005175A3"/>
    <w:rsid w:val="0052046C"/>
    <w:rsid w:val="00525719"/>
    <w:rsid w:val="00526868"/>
    <w:rsid w:val="00527ABC"/>
    <w:rsid w:val="0053094D"/>
    <w:rsid w:val="00532095"/>
    <w:rsid w:val="005350F1"/>
    <w:rsid w:val="0054193D"/>
    <w:rsid w:val="005427B7"/>
    <w:rsid w:val="00542D59"/>
    <w:rsid w:val="00545C94"/>
    <w:rsid w:val="005462A5"/>
    <w:rsid w:val="00552455"/>
    <w:rsid w:val="00554E7D"/>
    <w:rsid w:val="0055503F"/>
    <w:rsid w:val="00560D16"/>
    <w:rsid w:val="00561768"/>
    <w:rsid w:val="005624A6"/>
    <w:rsid w:val="00565143"/>
    <w:rsid w:val="00566234"/>
    <w:rsid w:val="00567371"/>
    <w:rsid w:val="0057262B"/>
    <w:rsid w:val="0057503A"/>
    <w:rsid w:val="00577721"/>
    <w:rsid w:val="00581A66"/>
    <w:rsid w:val="0058297B"/>
    <w:rsid w:val="00582A03"/>
    <w:rsid w:val="00583BD6"/>
    <w:rsid w:val="005870C4"/>
    <w:rsid w:val="00591D5D"/>
    <w:rsid w:val="00596E88"/>
    <w:rsid w:val="005A0969"/>
    <w:rsid w:val="005A09B1"/>
    <w:rsid w:val="005A4B86"/>
    <w:rsid w:val="005A5107"/>
    <w:rsid w:val="005A53F6"/>
    <w:rsid w:val="005B30C5"/>
    <w:rsid w:val="005B344F"/>
    <w:rsid w:val="005B7AAE"/>
    <w:rsid w:val="005C038B"/>
    <w:rsid w:val="005C0619"/>
    <w:rsid w:val="005C09FD"/>
    <w:rsid w:val="005C2111"/>
    <w:rsid w:val="005C2684"/>
    <w:rsid w:val="005C2DDC"/>
    <w:rsid w:val="005C5620"/>
    <w:rsid w:val="005C5979"/>
    <w:rsid w:val="005C7AFF"/>
    <w:rsid w:val="005D22F7"/>
    <w:rsid w:val="005D41F9"/>
    <w:rsid w:val="005D4A4E"/>
    <w:rsid w:val="005E1297"/>
    <w:rsid w:val="005E4589"/>
    <w:rsid w:val="005E724B"/>
    <w:rsid w:val="005F32B2"/>
    <w:rsid w:val="005F7CC6"/>
    <w:rsid w:val="00600353"/>
    <w:rsid w:val="006005FE"/>
    <w:rsid w:val="00602EF7"/>
    <w:rsid w:val="00607B03"/>
    <w:rsid w:val="0061059D"/>
    <w:rsid w:val="00610D93"/>
    <w:rsid w:val="00613647"/>
    <w:rsid w:val="00614393"/>
    <w:rsid w:val="00614A4D"/>
    <w:rsid w:val="0062217C"/>
    <w:rsid w:val="00622557"/>
    <w:rsid w:val="00623567"/>
    <w:rsid w:val="00625F2E"/>
    <w:rsid w:val="00626AE5"/>
    <w:rsid w:val="00634B99"/>
    <w:rsid w:val="006412B5"/>
    <w:rsid w:val="00641932"/>
    <w:rsid w:val="0064477C"/>
    <w:rsid w:val="0064789D"/>
    <w:rsid w:val="00647F8C"/>
    <w:rsid w:val="00650903"/>
    <w:rsid w:val="00651441"/>
    <w:rsid w:val="00656743"/>
    <w:rsid w:val="00664688"/>
    <w:rsid w:val="006679C0"/>
    <w:rsid w:val="00673AB2"/>
    <w:rsid w:val="006804DF"/>
    <w:rsid w:val="006807D3"/>
    <w:rsid w:val="00680ED5"/>
    <w:rsid w:val="0068149E"/>
    <w:rsid w:val="00681608"/>
    <w:rsid w:val="00681956"/>
    <w:rsid w:val="00682893"/>
    <w:rsid w:val="00682E56"/>
    <w:rsid w:val="00682FBA"/>
    <w:rsid w:val="00683370"/>
    <w:rsid w:val="00684042"/>
    <w:rsid w:val="00684E54"/>
    <w:rsid w:val="00686B2F"/>
    <w:rsid w:val="006911BE"/>
    <w:rsid w:val="0069148C"/>
    <w:rsid w:val="00691C2E"/>
    <w:rsid w:val="006923C8"/>
    <w:rsid w:val="0069372F"/>
    <w:rsid w:val="00694362"/>
    <w:rsid w:val="00696AB4"/>
    <w:rsid w:val="006976BF"/>
    <w:rsid w:val="006A05D7"/>
    <w:rsid w:val="006A4628"/>
    <w:rsid w:val="006A55F2"/>
    <w:rsid w:val="006A781C"/>
    <w:rsid w:val="006B2D1B"/>
    <w:rsid w:val="006B3544"/>
    <w:rsid w:val="006B4213"/>
    <w:rsid w:val="006B4B4E"/>
    <w:rsid w:val="006B4DF0"/>
    <w:rsid w:val="006B573F"/>
    <w:rsid w:val="006B5A90"/>
    <w:rsid w:val="006B6663"/>
    <w:rsid w:val="006B7444"/>
    <w:rsid w:val="006B7D6A"/>
    <w:rsid w:val="006C1013"/>
    <w:rsid w:val="006C228B"/>
    <w:rsid w:val="006C2931"/>
    <w:rsid w:val="006C4142"/>
    <w:rsid w:val="006C7FA2"/>
    <w:rsid w:val="006D2D33"/>
    <w:rsid w:val="006D466E"/>
    <w:rsid w:val="006D4B70"/>
    <w:rsid w:val="006D6848"/>
    <w:rsid w:val="006E3B48"/>
    <w:rsid w:val="006E3E81"/>
    <w:rsid w:val="006E53C0"/>
    <w:rsid w:val="006E6184"/>
    <w:rsid w:val="006E64B4"/>
    <w:rsid w:val="006F03AA"/>
    <w:rsid w:val="006F096A"/>
    <w:rsid w:val="006F3095"/>
    <w:rsid w:val="006F5455"/>
    <w:rsid w:val="006F5CB6"/>
    <w:rsid w:val="006F7366"/>
    <w:rsid w:val="0070242A"/>
    <w:rsid w:val="00703194"/>
    <w:rsid w:val="0070472E"/>
    <w:rsid w:val="00706D54"/>
    <w:rsid w:val="0070737C"/>
    <w:rsid w:val="00707D37"/>
    <w:rsid w:val="00711229"/>
    <w:rsid w:val="00715018"/>
    <w:rsid w:val="007150FD"/>
    <w:rsid w:val="00715D38"/>
    <w:rsid w:val="00716853"/>
    <w:rsid w:val="007179FE"/>
    <w:rsid w:val="00717F25"/>
    <w:rsid w:val="007201B1"/>
    <w:rsid w:val="007201FF"/>
    <w:rsid w:val="007219B9"/>
    <w:rsid w:val="00721B2C"/>
    <w:rsid w:val="00724E14"/>
    <w:rsid w:val="00725AD5"/>
    <w:rsid w:val="00726271"/>
    <w:rsid w:val="00726EB4"/>
    <w:rsid w:val="00726FF5"/>
    <w:rsid w:val="00731945"/>
    <w:rsid w:val="0073698D"/>
    <w:rsid w:val="00736C0B"/>
    <w:rsid w:val="007452AE"/>
    <w:rsid w:val="00746531"/>
    <w:rsid w:val="007503CD"/>
    <w:rsid w:val="00751725"/>
    <w:rsid w:val="0075316F"/>
    <w:rsid w:val="0075450A"/>
    <w:rsid w:val="00755927"/>
    <w:rsid w:val="00755B01"/>
    <w:rsid w:val="00757E7E"/>
    <w:rsid w:val="0076017E"/>
    <w:rsid w:val="00760DB6"/>
    <w:rsid w:val="00762558"/>
    <w:rsid w:val="007661AE"/>
    <w:rsid w:val="00766A51"/>
    <w:rsid w:val="00772F1C"/>
    <w:rsid w:val="00774288"/>
    <w:rsid w:val="00775961"/>
    <w:rsid w:val="00775C1A"/>
    <w:rsid w:val="00777610"/>
    <w:rsid w:val="0077788E"/>
    <w:rsid w:val="007778F4"/>
    <w:rsid w:val="00787E75"/>
    <w:rsid w:val="00793420"/>
    <w:rsid w:val="00793A2E"/>
    <w:rsid w:val="007A250A"/>
    <w:rsid w:val="007A3157"/>
    <w:rsid w:val="007A6E20"/>
    <w:rsid w:val="007B080D"/>
    <w:rsid w:val="007B0AB2"/>
    <w:rsid w:val="007B10ED"/>
    <w:rsid w:val="007B3BFC"/>
    <w:rsid w:val="007B4B03"/>
    <w:rsid w:val="007B4FC0"/>
    <w:rsid w:val="007B5197"/>
    <w:rsid w:val="007B7B0E"/>
    <w:rsid w:val="007C1433"/>
    <w:rsid w:val="007C7FA5"/>
    <w:rsid w:val="007D20FF"/>
    <w:rsid w:val="007D615D"/>
    <w:rsid w:val="007E02F1"/>
    <w:rsid w:val="007E5117"/>
    <w:rsid w:val="007F2F8F"/>
    <w:rsid w:val="007F4538"/>
    <w:rsid w:val="007F5245"/>
    <w:rsid w:val="007F5A06"/>
    <w:rsid w:val="00800FEB"/>
    <w:rsid w:val="00804357"/>
    <w:rsid w:val="008068B3"/>
    <w:rsid w:val="00807AD8"/>
    <w:rsid w:val="00813CFF"/>
    <w:rsid w:val="00813FC2"/>
    <w:rsid w:val="00814590"/>
    <w:rsid w:val="00814667"/>
    <w:rsid w:val="00814EAD"/>
    <w:rsid w:val="008156B7"/>
    <w:rsid w:val="00816464"/>
    <w:rsid w:val="00817D90"/>
    <w:rsid w:val="0082088C"/>
    <w:rsid w:val="0082402C"/>
    <w:rsid w:val="008262F1"/>
    <w:rsid w:val="00826C57"/>
    <w:rsid w:val="008311FA"/>
    <w:rsid w:val="008317EF"/>
    <w:rsid w:val="008325D4"/>
    <w:rsid w:val="0083302A"/>
    <w:rsid w:val="008339B5"/>
    <w:rsid w:val="00837090"/>
    <w:rsid w:val="008377B8"/>
    <w:rsid w:val="00837A93"/>
    <w:rsid w:val="00841DCF"/>
    <w:rsid w:val="00844F11"/>
    <w:rsid w:val="00845BCC"/>
    <w:rsid w:val="00851465"/>
    <w:rsid w:val="00852ED8"/>
    <w:rsid w:val="0085369B"/>
    <w:rsid w:val="0085533A"/>
    <w:rsid w:val="00855543"/>
    <w:rsid w:val="008562AE"/>
    <w:rsid w:val="00856F5F"/>
    <w:rsid w:val="0085738D"/>
    <w:rsid w:val="008605A8"/>
    <w:rsid w:val="00862395"/>
    <w:rsid w:val="0086782C"/>
    <w:rsid w:val="008708D6"/>
    <w:rsid w:val="00872093"/>
    <w:rsid w:val="0087255F"/>
    <w:rsid w:val="0087603D"/>
    <w:rsid w:val="008760D0"/>
    <w:rsid w:val="00876D3A"/>
    <w:rsid w:val="00880573"/>
    <w:rsid w:val="00881317"/>
    <w:rsid w:val="00881AF3"/>
    <w:rsid w:val="008827D7"/>
    <w:rsid w:val="008827E0"/>
    <w:rsid w:val="008843EE"/>
    <w:rsid w:val="0089255A"/>
    <w:rsid w:val="00896477"/>
    <w:rsid w:val="00896F5A"/>
    <w:rsid w:val="008A3C37"/>
    <w:rsid w:val="008A47F8"/>
    <w:rsid w:val="008A5B8A"/>
    <w:rsid w:val="008A6E23"/>
    <w:rsid w:val="008A715A"/>
    <w:rsid w:val="008B1840"/>
    <w:rsid w:val="008B1C10"/>
    <w:rsid w:val="008B44F6"/>
    <w:rsid w:val="008B73A2"/>
    <w:rsid w:val="008B761F"/>
    <w:rsid w:val="008C41F1"/>
    <w:rsid w:val="008C6A7B"/>
    <w:rsid w:val="008C7F5B"/>
    <w:rsid w:val="008D079A"/>
    <w:rsid w:val="008D5B52"/>
    <w:rsid w:val="008E0513"/>
    <w:rsid w:val="008E1C97"/>
    <w:rsid w:val="008E48FC"/>
    <w:rsid w:val="008F099E"/>
    <w:rsid w:val="008F2350"/>
    <w:rsid w:val="008F2AD6"/>
    <w:rsid w:val="008F4BA8"/>
    <w:rsid w:val="008F5C07"/>
    <w:rsid w:val="008F5E43"/>
    <w:rsid w:val="008F696D"/>
    <w:rsid w:val="00901CF5"/>
    <w:rsid w:val="00902097"/>
    <w:rsid w:val="009054B0"/>
    <w:rsid w:val="009063C4"/>
    <w:rsid w:val="009065E7"/>
    <w:rsid w:val="0090784D"/>
    <w:rsid w:val="00910467"/>
    <w:rsid w:val="00910EA9"/>
    <w:rsid w:val="00913276"/>
    <w:rsid w:val="00913611"/>
    <w:rsid w:val="00915797"/>
    <w:rsid w:val="009221DF"/>
    <w:rsid w:val="009224FD"/>
    <w:rsid w:val="00926CA7"/>
    <w:rsid w:val="00930026"/>
    <w:rsid w:val="0093296C"/>
    <w:rsid w:val="0093541C"/>
    <w:rsid w:val="00935450"/>
    <w:rsid w:val="00935CC7"/>
    <w:rsid w:val="0094002F"/>
    <w:rsid w:val="0094014A"/>
    <w:rsid w:val="0094129D"/>
    <w:rsid w:val="009419E8"/>
    <w:rsid w:val="00941D34"/>
    <w:rsid w:val="009422A6"/>
    <w:rsid w:val="0094444B"/>
    <w:rsid w:val="00946A91"/>
    <w:rsid w:val="00951BAD"/>
    <w:rsid w:val="00955B16"/>
    <w:rsid w:val="00956C81"/>
    <w:rsid w:val="009572E9"/>
    <w:rsid w:val="00960EBA"/>
    <w:rsid w:val="00963FC8"/>
    <w:rsid w:val="00967E4D"/>
    <w:rsid w:val="009704A5"/>
    <w:rsid w:val="0097198A"/>
    <w:rsid w:val="00983DC2"/>
    <w:rsid w:val="00983DF0"/>
    <w:rsid w:val="009860FC"/>
    <w:rsid w:val="0099279C"/>
    <w:rsid w:val="00994C10"/>
    <w:rsid w:val="009A0446"/>
    <w:rsid w:val="009A062C"/>
    <w:rsid w:val="009A48AF"/>
    <w:rsid w:val="009A522D"/>
    <w:rsid w:val="009B3BCE"/>
    <w:rsid w:val="009B3F77"/>
    <w:rsid w:val="009B5132"/>
    <w:rsid w:val="009B76E5"/>
    <w:rsid w:val="009C166A"/>
    <w:rsid w:val="009C6FFB"/>
    <w:rsid w:val="009C7EF5"/>
    <w:rsid w:val="009D2CF4"/>
    <w:rsid w:val="009D2FAC"/>
    <w:rsid w:val="009D62CF"/>
    <w:rsid w:val="009E1311"/>
    <w:rsid w:val="009E151E"/>
    <w:rsid w:val="009E5DB6"/>
    <w:rsid w:val="009E733B"/>
    <w:rsid w:val="009E7462"/>
    <w:rsid w:val="009F7F52"/>
    <w:rsid w:val="00A00BA5"/>
    <w:rsid w:val="00A0202C"/>
    <w:rsid w:val="00A0227E"/>
    <w:rsid w:val="00A02D32"/>
    <w:rsid w:val="00A04C30"/>
    <w:rsid w:val="00A06B7E"/>
    <w:rsid w:val="00A10044"/>
    <w:rsid w:val="00A10974"/>
    <w:rsid w:val="00A143E7"/>
    <w:rsid w:val="00A14966"/>
    <w:rsid w:val="00A14A73"/>
    <w:rsid w:val="00A16A95"/>
    <w:rsid w:val="00A17CCB"/>
    <w:rsid w:val="00A207A2"/>
    <w:rsid w:val="00A2219B"/>
    <w:rsid w:val="00A2422A"/>
    <w:rsid w:val="00A24361"/>
    <w:rsid w:val="00A26894"/>
    <w:rsid w:val="00A303A1"/>
    <w:rsid w:val="00A309BD"/>
    <w:rsid w:val="00A3209E"/>
    <w:rsid w:val="00A3212A"/>
    <w:rsid w:val="00A322FB"/>
    <w:rsid w:val="00A33ED1"/>
    <w:rsid w:val="00A4030E"/>
    <w:rsid w:val="00A4077B"/>
    <w:rsid w:val="00A41661"/>
    <w:rsid w:val="00A42386"/>
    <w:rsid w:val="00A42D76"/>
    <w:rsid w:val="00A42DA9"/>
    <w:rsid w:val="00A44699"/>
    <w:rsid w:val="00A453B3"/>
    <w:rsid w:val="00A469B9"/>
    <w:rsid w:val="00A50751"/>
    <w:rsid w:val="00A50E72"/>
    <w:rsid w:val="00A53189"/>
    <w:rsid w:val="00A54051"/>
    <w:rsid w:val="00A54BE7"/>
    <w:rsid w:val="00A55B5A"/>
    <w:rsid w:val="00A564EB"/>
    <w:rsid w:val="00A620C4"/>
    <w:rsid w:val="00A631F9"/>
    <w:rsid w:val="00A64E39"/>
    <w:rsid w:val="00A6500A"/>
    <w:rsid w:val="00A671D3"/>
    <w:rsid w:val="00A705E3"/>
    <w:rsid w:val="00A71016"/>
    <w:rsid w:val="00A71369"/>
    <w:rsid w:val="00A739F1"/>
    <w:rsid w:val="00A81EC4"/>
    <w:rsid w:val="00A8295A"/>
    <w:rsid w:val="00A838FA"/>
    <w:rsid w:val="00A8478F"/>
    <w:rsid w:val="00A858C4"/>
    <w:rsid w:val="00A91FE4"/>
    <w:rsid w:val="00A92F0B"/>
    <w:rsid w:val="00A95A9F"/>
    <w:rsid w:val="00A974CA"/>
    <w:rsid w:val="00A97C02"/>
    <w:rsid w:val="00AA0CA6"/>
    <w:rsid w:val="00AA2A0D"/>
    <w:rsid w:val="00AA2CD5"/>
    <w:rsid w:val="00AA4F6C"/>
    <w:rsid w:val="00AB16AE"/>
    <w:rsid w:val="00AB2011"/>
    <w:rsid w:val="00AB4440"/>
    <w:rsid w:val="00AB5A64"/>
    <w:rsid w:val="00AB79E9"/>
    <w:rsid w:val="00AC0BD0"/>
    <w:rsid w:val="00AC276B"/>
    <w:rsid w:val="00AC6B83"/>
    <w:rsid w:val="00AC6FC7"/>
    <w:rsid w:val="00AD04F4"/>
    <w:rsid w:val="00AD0CCE"/>
    <w:rsid w:val="00AD0CE6"/>
    <w:rsid w:val="00AD42CE"/>
    <w:rsid w:val="00AD670F"/>
    <w:rsid w:val="00AE1E54"/>
    <w:rsid w:val="00AE478A"/>
    <w:rsid w:val="00AE7314"/>
    <w:rsid w:val="00AF0D99"/>
    <w:rsid w:val="00AF1571"/>
    <w:rsid w:val="00AF3346"/>
    <w:rsid w:val="00AF3412"/>
    <w:rsid w:val="00B00778"/>
    <w:rsid w:val="00B009FE"/>
    <w:rsid w:val="00B012ED"/>
    <w:rsid w:val="00B050C0"/>
    <w:rsid w:val="00B05642"/>
    <w:rsid w:val="00B06097"/>
    <w:rsid w:val="00B0730A"/>
    <w:rsid w:val="00B07FD7"/>
    <w:rsid w:val="00B10514"/>
    <w:rsid w:val="00B10CAE"/>
    <w:rsid w:val="00B12190"/>
    <w:rsid w:val="00B12275"/>
    <w:rsid w:val="00B14635"/>
    <w:rsid w:val="00B171BB"/>
    <w:rsid w:val="00B204CB"/>
    <w:rsid w:val="00B2247A"/>
    <w:rsid w:val="00B2386F"/>
    <w:rsid w:val="00B27E68"/>
    <w:rsid w:val="00B36551"/>
    <w:rsid w:val="00B3669E"/>
    <w:rsid w:val="00B36CDD"/>
    <w:rsid w:val="00B37EEF"/>
    <w:rsid w:val="00B40E38"/>
    <w:rsid w:val="00B44371"/>
    <w:rsid w:val="00B44CAD"/>
    <w:rsid w:val="00B47300"/>
    <w:rsid w:val="00B514CB"/>
    <w:rsid w:val="00B51ACE"/>
    <w:rsid w:val="00B55061"/>
    <w:rsid w:val="00B623D7"/>
    <w:rsid w:val="00B66623"/>
    <w:rsid w:val="00B66E7A"/>
    <w:rsid w:val="00B70780"/>
    <w:rsid w:val="00B70D93"/>
    <w:rsid w:val="00B72830"/>
    <w:rsid w:val="00B72927"/>
    <w:rsid w:val="00B801C1"/>
    <w:rsid w:val="00B80BD7"/>
    <w:rsid w:val="00B84275"/>
    <w:rsid w:val="00B85B16"/>
    <w:rsid w:val="00B9206A"/>
    <w:rsid w:val="00B96C09"/>
    <w:rsid w:val="00BA1CFA"/>
    <w:rsid w:val="00BA1D21"/>
    <w:rsid w:val="00BA7603"/>
    <w:rsid w:val="00BB1D7B"/>
    <w:rsid w:val="00BB6CE4"/>
    <w:rsid w:val="00BC2E80"/>
    <w:rsid w:val="00BC4BF4"/>
    <w:rsid w:val="00BC7B9F"/>
    <w:rsid w:val="00BC7ECB"/>
    <w:rsid w:val="00BD42FC"/>
    <w:rsid w:val="00BD546F"/>
    <w:rsid w:val="00BE042D"/>
    <w:rsid w:val="00BE4802"/>
    <w:rsid w:val="00BE7212"/>
    <w:rsid w:val="00BF0671"/>
    <w:rsid w:val="00BF331F"/>
    <w:rsid w:val="00BF5036"/>
    <w:rsid w:val="00BF691A"/>
    <w:rsid w:val="00BF6BCF"/>
    <w:rsid w:val="00C011BF"/>
    <w:rsid w:val="00C024B8"/>
    <w:rsid w:val="00C046A4"/>
    <w:rsid w:val="00C05CC6"/>
    <w:rsid w:val="00C064C1"/>
    <w:rsid w:val="00C068C7"/>
    <w:rsid w:val="00C073C2"/>
    <w:rsid w:val="00C12BC0"/>
    <w:rsid w:val="00C160F4"/>
    <w:rsid w:val="00C2120D"/>
    <w:rsid w:val="00C233E9"/>
    <w:rsid w:val="00C23562"/>
    <w:rsid w:val="00C25018"/>
    <w:rsid w:val="00C255D1"/>
    <w:rsid w:val="00C26A3D"/>
    <w:rsid w:val="00C303B4"/>
    <w:rsid w:val="00C40EBC"/>
    <w:rsid w:val="00C41FE1"/>
    <w:rsid w:val="00C4202E"/>
    <w:rsid w:val="00C42ACA"/>
    <w:rsid w:val="00C42BA5"/>
    <w:rsid w:val="00C4349A"/>
    <w:rsid w:val="00C47261"/>
    <w:rsid w:val="00C51308"/>
    <w:rsid w:val="00C52865"/>
    <w:rsid w:val="00C539F8"/>
    <w:rsid w:val="00C53A47"/>
    <w:rsid w:val="00C57BB9"/>
    <w:rsid w:val="00C61699"/>
    <w:rsid w:val="00C62B02"/>
    <w:rsid w:val="00C64908"/>
    <w:rsid w:val="00C67500"/>
    <w:rsid w:val="00C705B5"/>
    <w:rsid w:val="00C7093C"/>
    <w:rsid w:val="00C73658"/>
    <w:rsid w:val="00C738BD"/>
    <w:rsid w:val="00C75D40"/>
    <w:rsid w:val="00C80204"/>
    <w:rsid w:val="00C82EE8"/>
    <w:rsid w:val="00C83627"/>
    <w:rsid w:val="00C8634F"/>
    <w:rsid w:val="00C876D9"/>
    <w:rsid w:val="00C929DB"/>
    <w:rsid w:val="00C92AFE"/>
    <w:rsid w:val="00C9405D"/>
    <w:rsid w:val="00C95D81"/>
    <w:rsid w:val="00C960AA"/>
    <w:rsid w:val="00CA121E"/>
    <w:rsid w:val="00CA4396"/>
    <w:rsid w:val="00CA501D"/>
    <w:rsid w:val="00CA55C4"/>
    <w:rsid w:val="00CB1789"/>
    <w:rsid w:val="00CB1CB2"/>
    <w:rsid w:val="00CB2557"/>
    <w:rsid w:val="00CB477A"/>
    <w:rsid w:val="00CB76EE"/>
    <w:rsid w:val="00CC39B1"/>
    <w:rsid w:val="00CC6722"/>
    <w:rsid w:val="00CD526B"/>
    <w:rsid w:val="00CD5B93"/>
    <w:rsid w:val="00CD769B"/>
    <w:rsid w:val="00CE7264"/>
    <w:rsid w:val="00CF0826"/>
    <w:rsid w:val="00CF0D8A"/>
    <w:rsid w:val="00CF1839"/>
    <w:rsid w:val="00CF267F"/>
    <w:rsid w:val="00CF2D02"/>
    <w:rsid w:val="00CF68A0"/>
    <w:rsid w:val="00CF776B"/>
    <w:rsid w:val="00CF7DA0"/>
    <w:rsid w:val="00D02294"/>
    <w:rsid w:val="00D04614"/>
    <w:rsid w:val="00D13F30"/>
    <w:rsid w:val="00D14D78"/>
    <w:rsid w:val="00D17144"/>
    <w:rsid w:val="00D171EC"/>
    <w:rsid w:val="00D1723F"/>
    <w:rsid w:val="00D26B64"/>
    <w:rsid w:val="00D27E00"/>
    <w:rsid w:val="00D30AA4"/>
    <w:rsid w:val="00D35894"/>
    <w:rsid w:val="00D36590"/>
    <w:rsid w:val="00D3674A"/>
    <w:rsid w:val="00D4085D"/>
    <w:rsid w:val="00D422A7"/>
    <w:rsid w:val="00D4437A"/>
    <w:rsid w:val="00D51210"/>
    <w:rsid w:val="00D522D3"/>
    <w:rsid w:val="00D52914"/>
    <w:rsid w:val="00D55F5C"/>
    <w:rsid w:val="00D57190"/>
    <w:rsid w:val="00D57346"/>
    <w:rsid w:val="00D61174"/>
    <w:rsid w:val="00D615AC"/>
    <w:rsid w:val="00D61911"/>
    <w:rsid w:val="00D63E84"/>
    <w:rsid w:val="00D66ADE"/>
    <w:rsid w:val="00D677F9"/>
    <w:rsid w:val="00D7319F"/>
    <w:rsid w:val="00D73591"/>
    <w:rsid w:val="00D802FC"/>
    <w:rsid w:val="00D84D4C"/>
    <w:rsid w:val="00D8532B"/>
    <w:rsid w:val="00D9402A"/>
    <w:rsid w:val="00D973A5"/>
    <w:rsid w:val="00DA126A"/>
    <w:rsid w:val="00DA1D33"/>
    <w:rsid w:val="00DA2049"/>
    <w:rsid w:val="00DA3AA7"/>
    <w:rsid w:val="00DA552B"/>
    <w:rsid w:val="00DB1640"/>
    <w:rsid w:val="00DB4DA8"/>
    <w:rsid w:val="00DC50E5"/>
    <w:rsid w:val="00DC5109"/>
    <w:rsid w:val="00DD093B"/>
    <w:rsid w:val="00DD0D43"/>
    <w:rsid w:val="00DD1898"/>
    <w:rsid w:val="00DD461F"/>
    <w:rsid w:val="00DD57CD"/>
    <w:rsid w:val="00DD68D7"/>
    <w:rsid w:val="00DE2D6A"/>
    <w:rsid w:val="00DE4A6C"/>
    <w:rsid w:val="00DE5673"/>
    <w:rsid w:val="00DE5A0C"/>
    <w:rsid w:val="00DE64C1"/>
    <w:rsid w:val="00DF2704"/>
    <w:rsid w:val="00DF6A07"/>
    <w:rsid w:val="00E0263C"/>
    <w:rsid w:val="00E079C1"/>
    <w:rsid w:val="00E11464"/>
    <w:rsid w:val="00E11ACC"/>
    <w:rsid w:val="00E13217"/>
    <w:rsid w:val="00E2118C"/>
    <w:rsid w:val="00E21E55"/>
    <w:rsid w:val="00E21FF2"/>
    <w:rsid w:val="00E220BC"/>
    <w:rsid w:val="00E23352"/>
    <w:rsid w:val="00E24621"/>
    <w:rsid w:val="00E31BCF"/>
    <w:rsid w:val="00E32E94"/>
    <w:rsid w:val="00E33938"/>
    <w:rsid w:val="00E33F03"/>
    <w:rsid w:val="00E34AFB"/>
    <w:rsid w:val="00E354D8"/>
    <w:rsid w:val="00E35E39"/>
    <w:rsid w:val="00E3658A"/>
    <w:rsid w:val="00E3706A"/>
    <w:rsid w:val="00E3710E"/>
    <w:rsid w:val="00E3738B"/>
    <w:rsid w:val="00E37446"/>
    <w:rsid w:val="00E4099E"/>
    <w:rsid w:val="00E42085"/>
    <w:rsid w:val="00E426E0"/>
    <w:rsid w:val="00E456AA"/>
    <w:rsid w:val="00E46CF0"/>
    <w:rsid w:val="00E506BB"/>
    <w:rsid w:val="00E50963"/>
    <w:rsid w:val="00E515B8"/>
    <w:rsid w:val="00E51D1B"/>
    <w:rsid w:val="00E55D2D"/>
    <w:rsid w:val="00E56C3D"/>
    <w:rsid w:val="00E579FF"/>
    <w:rsid w:val="00E60780"/>
    <w:rsid w:val="00E7195E"/>
    <w:rsid w:val="00E72F4A"/>
    <w:rsid w:val="00E73341"/>
    <w:rsid w:val="00E73E1A"/>
    <w:rsid w:val="00E73FDA"/>
    <w:rsid w:val="00E74931"/>
    <w:rsid w:val="00E752FD"/>
    <w:rsid w:val="00E82115"/>
    <w:rsid w:val="00E83448"/>
    <w:rsid w:val="00E836E7"/>
    <w:rsid w:val="00E912DA"/>
    <w:rsid w:val="00E92C8A"/>
    <w:rsid w:val="00E9334B"/>
    <w:rsid w:val="00E9346D"/>
    <w:rsid w:val="00E968F6"/>
    <w:rsid w:val="00EA594C"/>
    <w:rsid w:val="00EB0CCF"/>
    <w:rsid w:val="00EB59DD"/>
    <w:rsid w:val="00EB7EDA"/>
    <w:rsid w:val="00EC1046"/>
    <w:rsid w:val="00EC10EB"/>
    <w:rsid w:val="00EC5206"/>
    <w:rsid w:val="00EC5449"/>
    <w:rsid w:val="00EC56AD"/>
    <w:rsid w:val="00ED0175"/>
    <w:rsid w:val="00ED0AC8"/>
    <w:rsid w:val="00ED0F88"/>
    <w:rsid w:val="00ED1452"/>
    <w:rsid w:val="00ED1DD3"/>
    <w:rsid w:val="00ED249A"/>
    <w:rsid w:val="00ED4036"/>
    <w:rsid w:val="00ED6043"/>
    <w:rsid w:val="00ED6A59"/>
    <w:rsid w:val="00EE2D31"/>
    <w:rsid w:val="00EE4B91"/>
    <w:rsid w:val="00EE554B"/>
    <w:rsid w:val="00EE57AC"/>
    <w:rsid w:val="00EF04E8"/>
    <w:rsid w:val="00EF2400"/>
    <w:rsid w:val="00EF56A7"/>
    <w:rsid w:val="00EF5F43"/>
    <w:rsid w:val="00EF72D4"/>
    <w:rsid w:val="00F11A23"/>
    <w:rsid w:val="00F12ACD"/>
    <w:rsid w:val="00F1611B"/>
    <w:rsid w:val="00F16589"/>
    <w:rsid w:val="00F16FED"/>
    <w:rsid w:val="00F173BE"/>
    <w:rsid w:val="00F2068C"/>
    <w:rsid w:val="00F21B9D"/>
    <w:rsid w:val="00F243A9"/>
    <w:rsid w:val="00F3245D"/>
    <w:rsid w:val="00F34B0F"/>
    <w:rsid w:val="00F35317"/>
    <w:rsid w:val="00F35C0D"/>
    <w:rsid w:val="00F4377A"/>
    <w:rsid w:val="00F46237"/>
    <w:rsid w:val="00F47560"/>
    <w:rsid w:val="00F47765"/>
    <w:rsid w:val="00F538AE"/>
    <w:rsid w:val="00F5512D"/>
    <w:rsid w:val="00F56568"/>
    <w:rsid w:val="00F6403E"/>
    <w:rsid w:val="00F65E00"/>
    <w:rsid w:val="00F73DEB"/>
    <w:rsid w:val="00F74B41"/>
    <w:rsid w:val="00F76C87"/>
    <w:rsid w:val="00F775CF"/>
    <w:rsid w:val="00F82D80"/>
    <w:rsid w:val="00F835A8"/>
    <w:rsid w:val="00F83D17"/>
    <w:rsid w:val="00F87F60"/>
    <w:rsid w:val="00F9063F"/>
    <w:rsid w:val="00F90838"/>
    <w:rsid w:val="00F9295A"/>
    <w:rsid w:val="00F953D3"/>
    <w:rsid w:val="00F95D26"/>
    <w:rsid w:val="00F979C5"/>
    <w:rsid w:val="00FA0CBF"/>
    <w:rsid w:val="00FA0E45"/>
    <w:rsid w:val="00FA1227"/>
    <w:rsid w:val="00FA22DA"/>
    <w:rsid w:val="00FA529E"/>
    <w:rsid w:val="00FA5D53"/>
    <w:rsid w:val="00FA64FD"/>
    <w:rsid w:val="00FB2B73"/>
    <w:rsid w:val="00FB2DD9"/>
    <w:rsid w:val="00FB4200"/>
    <w:rsid w:val="00FB4E86"/>
    <w:rsid w:val="00FB5750"/>
    <w:rsid w:val="00FB61B8"/>
    <w:rsid w:val="00FB6A2E"/>
    <w:rsid w:val="00FC4654"/>
    <w:rsid w:val="00FC4DA6"/>
    <w:rsid w:val="00FD16D1"/>
    <w:rsid w:val="00FD4437"/>
    <w:rsid w:val="00FE3088"/>
    <w:rsid w:val="00FE3214"/>
    <w:rsid w:val="00FE4A16"/>
    <w:rsid w:val="00FF2C8B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786E2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D8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0373D8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0373D8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0373D8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0373D8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0373D8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0373D8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0373D8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0373D8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0373D8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373D8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373D8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373D8"/>
    <w:rPr>
      <w:rFonts w:ascii="Calibri" w:hAnsi="Calibri" w:cs="Times New Roman"/>
      <w:b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373D8"/>
    <w:rPr>
      <w:rFonts w:ascii="Calibri" w:hAnsi="Calibri" w:cs="Times New Roman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373D8"/>
    <w:rPr>
      <w:rFonts w:ascii="Calibri" w:hAnsi="Calibri" w:cs="Times New Roman"/>
      <w:i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373D8"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0373D8"/>
    <w:pPr>
      <w:spacing w:after="0"/>
    </w:pPr>
  </w:style>
  <w:style w:type="character" w:styleId="Hyperlink">
    <w:name w:val="Hyperlink"/>
    <w:basedOn w:val="DefaultParagraphFont"/>
    <w:uiPriority w:val="99"/>
    <w:rsid w:val="000373D8"/>
    <w:rPr>
      <w:rFonts w:cs="Times New Roman"/>
      <w:color w:val="auto"/>
      <w:u w:val="none"/>
    </w:rPr>
  </w:style>
  <w:style w:type="character" w:customStyle="1" w:styleId="BoldandItalic">
    <w:name w:val="Bold and Italic"/>
    <w:rsid w:val="000373D8"/>
    <w:rPr>
      <w:rFonts w:ascii="Corbel" w:hAnsi="Corbel"/>
      <w:b/>
      <w:i/>
    </w:rPr>
  </w:style>
  <w:style w:type="table" w:styleId="TableGrid">
    <w:name w:val="Table Grid"/>
    <w:basedOn w:val="TableNormal"/>
    <w:uiPriority w:val="59"/>
    <w:rsid w:val="000373D8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0373D8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0373D8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0373D8"/>
    <w:pPr>
      <w:numPr>
        <w:numId w:val="6"/>
      </w:numPr>
    </w:pPr>
  </w:style>
  <w:style w:type="paragraph" w:customStyle="1" w:styleId="Dash">
    <w:name w:val="Dash"/>
    <w:basedOn w:val="Normal"/>
    <w:rsid w:val="000373D8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0373D8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0373D8"/>
    <w:pPr>
      <w:numPr>
        <w:numId w:val="1"/>
      </w:numPr>
    </w:pPr>
  </w:style>
  <w:style w:type="paragraph" w:customStyle="1" w:styleId="OutlineNumbered2">
    <w:name w:val="Outline Numbered 2"/>
    <w:basedOn w:val="Normal"/>
    <w:rsid w:val="000373D8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0373D8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0373D8"/>
    <w:pPr>
      <w:tabs>
        <w:tab w:val="num" w:pos="0"/>
        <w:tab w:val="num" w:pos="567"/>
        <w:tab w:val="num" w:pos="1134"/>
      </w:tabs>
      <w:ind w:left="567" w:hanging="567"/>
    </w:pPr>
  </w:style>
  <w:style w:type="paragraph" w:customStyle="1" w:styleId="HeadingBase">
    <w:name w:val="Heading Base"/>
    <w:next w:val="Normal"/>
    <w:link w:val="HeadingBaseChar"/>
    <w:rsid w:val="000373D8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0373D8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0373D8"/>
    <w:rPr>
      <w:b/>
    </w:rPr>
  </w:style>
  <w:style w:type="paragraph" w:customStyle="1" w:styleId="BoxHeading">
    <w:name w:val="Box Heading"/>
    <w:basedOn w:val="HeadingBase"/>
    <w:next w:val="BoxText"/>
    <w:rsid w:val="000373D8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0373D8"/>
  </w:style>
  <w:style w:type="paragraph" w:customStyle="1" w:styleId="ChartandTableFootnoteAlpha">
    <w:name w:val="Chart and Table Footnote Alpha"/>
    <w:rsid w:val="000373D8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0373D8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0373D8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0373D8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0373D8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0373D8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0373D8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73D8"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0373D8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0373D8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0373D8"/>
    <w:rPr>
      <w:color w:val="FFFFFF"/>
      <w:sz w:val="36"/>
    </w:rPr>
  </w:style>
  <w:style w:type="paragraph" w:customStyle="1" w:styleId="FooterCentered">
    <w:name w:val="Footer Centered"/>
    <w:basedOn w:val="Footer"/>
    <w:rsid w:val="000373D8"/>
    <w:pPr>
      <w:jc w:val="center"/>
    </w:pPr>
  </w:style>
  <w:style w:type="paragraph" w:customStyle="1" w:styleId="FooterEven">
    <w:name w:val="Footer Even"/>
    <w:basedOn w:val="Footer"/>
    <w:rsid w:val="000373D8"/>
    <w:pPr>
      <w:keepNext w:val="0"/>
    </w:pPr>
  </w:style>
  <w:style w:type="paragraph" w:customStyle="1" w:styleId="FooterOdd">
    <w:name w:val="Footer Odd"/>
    <w:basedOn w:val="Footer"/>
    <w:rsid w:val="000373D8"/>
    <w:pPr>
      <w:keepNext w:val="0"/>
      <w:jc w:val="right"/>
    </w:pPr>
  </w:style>
  <w:style w:type="character" w:customStyle="1" w:styleId="FramedFooter">
    <w:name w:val="Framed Footer"/>
    <w:rsid w:val="000373D8"/>
    <w:rPr>
      <w:rFonts w:ascii="Arial" w:hAnsi="Arial"/>
      <w:sz w:val="18"/>
    </w:rPr>
  </w:style>
  <w:style w:type="character" w:customStyle="1" w:styleId="FramedHeader">
    <w:name w:val="Framed Header"/>
    <w:rsid w:val="000373D8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0373D8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0373D8"/>
    <w:pPr>
      <w:keepNext w:val="0"/>
    </w:pPr>
  </w:style>
  <w:style w:type="paragraph" w:customStyle="1" w:styleId="HeaderOdd">
    <w:name w:val="Header Odd"/>
    <w:basedOn w:val="Header"/>
    <w:rsid w:val="000373D8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0373D8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0373D8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0373D8"/>
    <w:rPr>
      <w:i/>
    </w:rPr>
  </w:style>
  <w:style w:type="paragraph" w:customStyle="1" w:styleId="RecommendationText">
    <w:name w:val="Recommendation Text"/>
    <w:basedOn w:val="RecommendationTextBase"/>
    <w:rsid w:val="000373D8"/>
  </w:style>
  <w:style w:type="paragraph" w:customStyle="1" w:styleId="TableTextBase">
    <w:name w:val="Table Text Base"/>
    <w:rsid w:val="000373D8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0373D8"/>
    <w:pPr>
      <w:jc w:val="center"/>
    </w:pPr>
  </w:style>
  <w:style w:type="paragraph" w:customStyle="1" w:styleId="TableColumnHeadingLeft">
    <w:name w:val="Table Column Heading Left"/>
    <w:basedOn w:val="TableColumnHeadingBase"/>
    <w:rsid w:val="000373D8"/>
  </w:style>
  <w:style w:type="paragraph" w:customStyle="1" w:styleId="TableColumnHeadingRight">
    <w:name w:val="Table Column Heading Right"/>
    <w:basedOn w:val="TableColumnHeadingBase"/>
    <w:rsid w:val="000373D8"/>
    <w:pPr>
      <w:jc w:val="right"/>
    </w:pPr>
  </w:style>
  <w:style w:type="paragraph" w:customStyle="1" w:styleId="TableGraphic">
    <w:name w:val="Table Graphic"/>
    <w:basedOn w:val="HeadingBase"/>
    <w:next w:val="Normal"/>
    <w:rsid w:val="000373D8"/>
  </w:style>
  <w:style w:type="paragraph" w:customStyle="1" w:styleId="TableMainHeading">
    <w:name w:val="Table Main Heading"/>
    <w:basedOn w:val="HeadingBase"/>
    <w:next w:val="TableGraphic"/>
    <w:rsid w:val="000373D8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0373D8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0373D8"/>
    <w:pPr>
      <w:spacing w:after="20"/>
    </w:pPr>
  </w:style>
  <w:style w:type="paragraph" w:customStyle="1" w:styleId="TableTextCentered">
    <w:name w:val="Table Text Centered"/>
    <w:basedOn w:val="TableTextBase"/>
    <w:rsid w:val="000373D8"/>
    <w:pPr>
      <w:jc w:val="center"/>
    </w:pPr>
  </w:style>
  <w:style w:type="paragraph" w:customStyle="1" w:styleId="TableTextIndented">
    <w:name w:val="Table Text Indented"/>
    <w:basedOn w:val="TableTextBase"/>
    <w:rsid w:val="000373D8"/>
    <w:pPr>
      <w:ind w:left="284"/>
    </w:pPr>
  </w:style>
  <w:style w:type="paragraph" w:customStyle="1" w:styleId="TableTextLeft">
    <w:name w:val="Table Text Left"/>
    <w:basedOn w:val="TableTextBase"/>
    <w:rsid w:val="000373D8"/>
  </w:style>
  <w:style w:type="paragraph" w:customStyle="1" w:styleId="TableTextRight">
    <w:name w:val="Table Text Right"/>
    <w:basedOn w:val="TableTextBase"/>
    <w:rsid w:val="000373D8"/>
    <w:pPr>
      <w:jc w:val="right"/>
    </w:pPr>
  </w:style>
  <w:style w:type="paragraph" w:styleId="TOC1">
    <w:name w:val="toc 1"/>
    <w:basedOn w:val="HeadingBase"/>
    <w:next w:val="Normal"/>
    <w:uiPriority w:val="39"/>
    <w:rsid w:val="000373D8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0373D8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0373D8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0373D8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0373D8"/>
    <w:rPr>
      <w:i/>
    </w:rPr>
  </w:style>
  <w:style w:type="paragraph" w:customStyle="1" w:styleId="OneLevelNumberedParagraph">
    <w:name w:val="One Level Numbered Paragraph"/>
    <w:basedOn w:val="Normal"/>
    <w:rsid w:val="000373D8"/>
    <w:pPr>
      <w:numPr>
        <w:numId w:val="4"/>
      </w:numPr>
    </w:pPr>
  </w:style>
  <w:style w:type="paragraph" w:customStyle="1" w:styleId="BoxText">
    <w:name w:val="Box Text"/>
    <w:basedOn w:val="BoxTextBase"/>
    <w:rsid w:val="000373D8"/>
  </w:style>
  <w:style w:type="paragraph" w:customStyle="1" w:styleId="BoxBullet">
    <w:name w:val="Box Bullet"/>
    <w:basedOn w:val="BoxTextBase"/>
    <w:rsid w:val="000373D8"/>
    <w:pPr>
      <w:numPr>
        <w:numId w:val="3"/>
      </w:numPr>
    </w:pPr>
  </w:style>
  <w:style w:type="paragraph" w:customStyle="1" w:styleId="BoxDash">
    <w:name w:val="Box Dash"/>
    <w:basedOn w:val="Normal"/>
    <w:rsid w:val="000373D8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rsid w:val="000373D8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0373D8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0373D8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0373D8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0373D8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0373D8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0373D8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0373D8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0373D8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03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0373D8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373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73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73D8"/>
    <w:rPr>
      <w:rFonts w:ascii="Corbel" w:hAnsi="Corbel" w:cs="Times New Roman"/>
      <w:b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0373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character" w:styleId="EndnoteReference">
    <w:name w:val="endnote reference"/>
    <w:basedOn w:val="DefaultParagraphFont"/>
    <w:uiPriority w:val="99"/>
    <w:semiHidden/>
    <w:rsid w:val="000373D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373D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373D8"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0373D8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0373D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373D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373D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373D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373D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373D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373D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373D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373D8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373D8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0373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373D8"/>
    <w:rPr>
      <w:rFonts w:ascii="Courier New" w:hAnsi="Courier New" w:cs="Times New Roman"/>
      <w:color w:val="000000"/>
      <w:lang w:val="en-AU" w:eastAsia="en-AU"/>
    </w:rPr>
  </w:style>
  <w:style w:type="paragraph" w:styleId="TableofAuthorities">
    <w:name w:val="table of authorities"/>
    <w:basedOn w:val="Normal"/>
    <w:next w:val="Normal"/>
    <w:uiPriority w:val="99"/>
    <w:rsid w:val="000373D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0373D8"/>
  </w:style>
  <w:style w:type="paragraph" w:styleId="TOAHeading">
    <w:name w:val="toa heading"/>
    <w:basedOn w:val="Normal"/>
    <w:next w:val="Normal"/>
    <w:uiPriority w:val="99"/>
    <w:semiHidden/>
    <w:rsid w:val="000373D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0373D8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373D8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373D8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373D8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373D8"/>
    <w:pPr>
      <w:ind w:left="1600"/>
    </w:pPr>
  </w:style>
  <w:style w:type="paragraph" w:customStyle="1" w:styleId="Heading5NotNumbered">
    <w:name w:val="Heading 5 Not Numbered"/>
    <w:basedOn w:val="HeadingBase"/>
    <w:rsid w:val="000373D8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0373D8"/>
    <w:pPr>
      <w:numPr>
        <w:numId w:val="7"/>
      </w:numPr>
    </w:pPr>
  </w:style>
  <w:style w:type="paragraph" w:customStyle="1" w:styleId="Romannumeral">
    <w:name w:val="Roman numeral"/>
    <w:basedOn w:val="Normal"/>
    <w:rsid w:val="000373D8"/>
    <w:pPr>
      <w:numPr>
        <w:numId w:val="11"/>
      </w:numPr>
    </w:pPr>
  </w:style>
  <w:style w:type="paragraph" w:customStyle="1" w:styleId="FileProperties">
    <w:name w:val="File Properties"/>
    <w:basedOn w:val="Normal"/>
    <w:rsid w:val="000373D8"/>
    <w:rPr>
      <w:i/>
      <w:color w:val="auto"/>
    </w:rPr>
  </w:style>
  <w:style w:type="paragraph" w:customStyle="1" w:styleId="StatesList">
    <w:name w:val="StatesList"/>
    <w:basedOn w:val="AgreementParties"/>
    <w:rsid w:val="000373D8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0373D8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0373D8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0373D8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0373D8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0373D8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0373D8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0373D8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0373D8"/>
    <w:rPr>
      <w:rFonts w:cs="Times New Roman"/>
    </w:rPr>
  </w:style>
  <w:style w:type="paragraph" w:customStyle="1" w:styleId="CoverStatesList">
    <w:name w:val="CoverStatesList"/>
    <w:basedOn w:val="Normal"/>
    <w:rsid w:val="000373D8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0373D8"/>
    <w:pPr>
      <w:spacing w:after="120"/>
    </w:pPr>
    <w:rPr>
      <w:bCs/>
      <w:sz w:val="20"/>
    </w:rPr>
  </w:style>
  <w:style w:type="character" w:customStyle="1" w:styleId="SignedBold">
    <w:name w:val="SignedBold"/>
    <w:rsid w:val="000373D8"/>
    <w:rPr>
      <w:b/>
      <w:i/>
    </w:rPr>
  </w:style>
  <w:style w:type="paragraph" w:customStyle="1" w:styleId="LineForSignature">
    <w:name w:val="LineForSignature"/>
    <w:basedOn w:val="Normal"/>
    <w:rsid w:val="000373D8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0373D8"/>
    <w:pPr>
      <w:numPr>
        <w:ilvl w:val="1"/>
        <w:numId w:val="14"/>
      </w:numPr>
      <w:tabs>
        <w:tab w:val="num" w:pos="2268"/>
      </w:tabs>
    </w:pPr>
  </w:style>
  <w:style w:type="paragraph" w:customStyle="1" w:styleId="Heading1Red">
    <w:name w:val="Heading 1 Red"/>
    <w:basedOn w:val="Heading1"/>
    <w:rsid w:val="000373D8"/>
    <w:rPr>
      <w:color w:val="980033"/>
    </w:rPr>
  </w:style>
  <w:style w:type="paragraph" w:customStyle="1" w:styleId="Indentednumberpara">
    <w:name w:val="Indented number para"/>
    <w:basedOn w:val="Romannumeral"/>
    <w:rsid w:val="000373D8"/>
    <w:pPr>
      <w:numPr>
        <w:ilvl w:val="1"/>
        <w:numId w:val="9"/>
      </w:numPr>
    </w:pPr>
  </w:style>
  <w:style w:type="paragraph" w:customStyle="1" w:styleId="AgreementParties">
    <w:name w:val="AgreementParties"/>
    <w:rsid w:val="000373D8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0373D8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0373D8"/>
    <w:rPr>
      <w:i/>
    </w:rPr>
  </w:style>
  <w:style w:type="paragraph" w:customStyle="1" w:styleId="HeaderEvenRed">
    <w:name w:val="Header Even Red"/>
    <w:basedOn w:val="HeaderEven"/>
    <w:rsid w:val="000373D8"/>
    <w:rPr>
      <w:color w:val="980033"/>
    </w:rPr>
  </w:style>
  <w:style w:type="paragraph" w:customStyle="1" w:styleId="HeaderOddRed">
    <w:name w:val="Header Odd Red"/>
    <w:basedOn w:val="HeaderOdd"/>
    <w:rsid w:val="000373D8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link w:val="NumberedParagraphChar"/>
    <w:uiPriority w:val="99"/>
    <w:rsid w:val="004B1F38"/>
    <w:pPr>
      <w:numPr>
        <w:numId w:val="16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7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8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8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8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8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8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8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8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basedOn w:val="Normal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character" w:customStyle="1" w:styleId="NumberedParagraphChar">
    <w:name w:val="Numbered Paragraph Char"/>
    <w:link w:val="NumberedParagraph"/>
    <w:uiPriority w:val="99"/>
    <w:locked/>
    <w:rsid w:val="00E21E55"/>
    <w:rPr>
      <w:sz w:val="24"/>
    </w:rPr>
  </w:style>
  <w:style w:type="character" w:styleId="Strong">
    <w:name w:val="Strong"/>
    <w:basedOn w:val="DefaultParagraphFont"/>
    <w:uiPriority w:val="22"/>
    <w:qFormat/>
    <w:rsid w:val="00A620C4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706D54"/>
    <w:pPr>
      <w:spacing w:after="0" w:line="240" w:lineRule="auto"/>
      <w:jc w:val="left"/>
    </w:pPr>
    <w:rPr>
      <w:rFonts w:ascii="Consolas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6D54"/>
    <w:rPr>
      <w:rFonts w:ascii="Consolas" w:hAnsi="Consolas" w:cs="Times New Roman"/>
      <w:sz w:val="21"/>
      <w:lang w:val="x-none" w:eastAsia="en-US"/>
    </w:rPr>
  </w:style>
  <w:style w:type="paragraph" w:styleId="Revision">
    <w:name w:val="Revision"/>
    <w:hidden/>
    <w:uiPriority w:val="99"/>
    <w:semiHidden/>
    <w:rsid w:val="00462AEA"/>
    <w:rPr>
      <w:rFonts w:ascii="Corbel" w:hAnsi="Corbel"/>
      <w:color w:val="00000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D8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0373D8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0373D8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0373D8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0373D8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0373D8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0373D8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0373D8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0373D8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0373D8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373D8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373D8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373D8"/>
    <w:rPr>
      <w:rFonts w:ascii="Calibri" w:hAnsi="Calibri" w:cs="Times New Roman"/>
      <w:b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373D8"/>
    <w:rPr>
      <w:rFonts w:ascii="Calibri" w:hAnsi="Calibri" w:cs="Times New Roman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373D8"/>
    <w:rPr>
      <w:rFonts w:ascii="Calibri" w:hAnsi="Calibri" w:cs="Times New Roman"/>
      <w:i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373D8"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0373D8"/>
    <w:pPr>
      <w:spacing w:after="0"/>
    </w:pPr>
  </w:style>
  <w:style w:type="character" w:styleId="Hyperlink">
    <w:name w:val="Hyperlink"/>
    <w:basedOn w:val="DefaultParagraphFont"/>
    <w:uiPriority w:val="99"/>
    <w:rsid w:val="000373D8"/>
    <w:rPr>
      <w:rFonts w:cs="Times New Roman"/>
      <w:color w:val="auto"/>
      <w:u w:val="none"/>
    </w:rPr>
  </w:style>
  <w:style w:type="character" w:customStyle="1" w:styleId="BoldandItalic">
    <w:name w:val="Bold and Italic"/>
    <w:rsid w:val="000373D8"/>
    <w:rPr>
      <w:rFonts w:ascii="Corbel" w:hAnsi="Corbel"/>
      <w:b/>
      <w:i/>
    </w:rPr>
  </w:style>
  <w:style w:type="table" w:styleId="TableGrid">
    <w:name w:val="Table Grid"/>
    <w:basedOn w:val="TableNormal"/>
    <w:uiPriority w:val="59"/>
    <w:rsid w:val="000373D8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0373D8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0373D8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0373D8"/>
    <w:pPr>
      <w:numPr>
        <w:numId w:val="6"/>
      </w:numPr>
    </w:pPr>
  </w:style>
  <w:style w:type="paragraph" w:customStyle="1" w:styleId="Dash">
    <w:name w:val="Dash"/>
    <w:basedOn w:val="Normal"/>
    <w:rsid w:val="000373D8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0373D8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0373D8"/>
    <w:pPr>
      <w:numPr>
        <w:numId w:val="1"/>
      </w:numPr>
    </w:pPr>
  </w:style>
  <w:style w:type="paragraph" w:customStyle="1" w:styleId="OutlineNumbered2">
    <w:name w:val="Outline Numbered 2"/>
    <w:basedOn w:val="Normal"/>
    <w:rsid w:val="000373D8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0373D8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0373D8"/>
    <w:pPr>
      <w:tabs>
        <w:tab w:val="num" w:pos="0"/>
        <w:tab w:val="num" w:pos="567"/>
        <w:tab w:val="num" w:pos="1134"/>
      </w:tabs>
      <w:ind w:left="567" w:hanging="567"/>
    </w:pPr>
  </w:style>
  <w:style w:type="paragraph" w:customStyle="1" w:styleId="HeadingBase">
    <w:name w:val="Heading Base"/>
    <w:next w:val="Normal"/>
    <w:link w:val="HeadingBaseChar"/>
    <w:rsid w:val="000373D8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0373D8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0373D8"/>
    <w:rPr>
      <w:b/>
    </w:rPr>
  </w:style>
  <w:style w:type="paragraph" w:customStyle="1" w:styleId="BoxHeading">
    <w:name w:val="Box Heading"/>
    <w:basedOn w:val="HeadingBase"/>
    <w:next w:val="BoxText"/>
    <w:rsid w:val="000373D8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0373D8"/>
  </w:style>
  <w:style w:type="paragraph" w:customStyle="1" w:styleId="ChartandTableFootnoteAlpha">
    <w:name w:val="Chart and Table Footnote Alpha"/>
    <w:rsid w:val="000373D8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0373D8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0373D8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0373D8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0373D8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0373D8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0373D8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73D8"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0373D8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0373D8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0373D8"/>
    <w:rPr>
      <w:color w:val="FFFFFF"/>
      <w:sz w:val="36"/>
    </w:rPr>
  </w:style>
  <w:style w:type="paragraph" w:customStyle="1" w:styleId="FooterCentered">
    <w:name w:val="Footer Centered"/>
    <w:basedOn w:val="Footer"/>
    <w:rsid w:val="000373D8"/>
    <w:pPr>
      <w:jc w:val="center"/>
    </w:pPr>
  </w:style>
  <w:style w:type="paragraph" w:customStyle="1" w:styleId="FooterEven">
    <w:name w:val="Footer Even"/>
    <w:basedOn w:val="Footer"/>
    <w:rsid w:val="000373D8"/>
    <w:pPr>
      <w:keepNext w:val="0"/>
    </w:pPr>
  </w:style>
  <w:style w:type="paragraph" w:customStyle="1" w:styleId="FooterOdd">
    <w:name w:val="Footer Odd"/>
    <w:basedOn w:val="Footer"/>
    <w:rsid w:val="000373D8"/>
    <w:pPr>
      <w:keepNext w:val="0"/>
      <w:jc w:val="right"/>
    </w:pPr>
  </w:style>
  <w:style w:type="character" w:customStyle="1" w:styleId="FramedFooter">
    <w:name w:val="Framed Footer"/>
    <w:rsid w:val="000373D8"/>
    <w:rPr>
      <w:rFonts w:ascii="Arial" w:hAnsi="Arial"/>
      <w:sz w:val="18"/>
    </w:rPr>
  </w:style>
  <w:style w:type="character" w:customStyle="1" w:styleId="FramedHeader">
    <w:name w:val="Framed Header"/>
    <w:rsid w:val="000373D8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0373D8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0373D8"/>
    <w:pPr>
      <w:keepNext w:val="0"/>
    </w:pPr>
  </w:style>
  <w:style w:type="paragraph" w:customStyle="1" w:styleId="HeaderOdd">
    <w:name w:val="Header Odd"/>
    <w:basedOn w:val="Header"/>
    <w:rsid w:val="000373D8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0373D8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0373D8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0373D8"/>
    <w:rPr>
      <w:i/>
    </w:rPr>
  </w:style>
  <w:style w:type="paragraph" w:customStyle="1" w:styleId="RecommendationText">
    <w:name w:val="Recommendation Text"/>
    <w:basedOn w:val="RecommendationTextBase"/>
    <w:rsid w:val="000373D8"/>
  </w:style>
  <w:style w:type="paragraph" w:customStyle="1" w:styleId="TableTextBase">
    <w:name w:val="Table Text Base"/>
    <w:rsid w:val="000373D8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0373D8"/>
    <w:pPr>
      <w:jc w:val="center"/>
    </w:pPr>
  </w:style>
  <w:style w:type="paragraph" w:customStyle="1" w:styleId="TableColumnHeadingLeft">
    <w:name w:val="Table Column Heading Left"/>
    <w:basedOn w:val="TableColumnHeadingBase"/>
    <w:rsid w:val="000373D8"/>
  </w:style>
  <w:style w:type="paragraph" w:customStyle="1" w:styleId="TableColumnHeadingRight">
    <w:name w:val="Table Column Heading Right"/>
    <w:basedOn w:val="TableColumnHeadingBase"/>
    <w:rsid w:val="000373D8"/>
    <w:pPr>
      <w:jc w:val="right"/>
    </w:pPr>
  </w:style>
  <w:style w:type="paragraph" w:customStyle="1" w:styleId="TableGraphic">
    <w:name w:val="Table Graphic"/>
    <w:basedOn w:val="HeadingBase"/>
    <w:next w:val="Normal"/>
    <w:rsid w:val="000373D8"/>
  </w:style>
  <w:style w:type="paragraph" w:customStyle="1" w:styleId="TableMainHeading">
    <w:name w:val="Table Main Heading"/>
    <w:basedOn w:val="HeadingBase"/>
    <w:next w:val="TableGraphic"/>
    <w:rsid w:val="000373D8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0373D8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0373D8"/>
    <w:pPr>
      <w:spacing w:after="20"/>
    </w:pPr>
  </w:style>
  <w:style w:type="paragraph" w:customStyle="1" w:styleId="TableTextCentered">
    <w:name w:val="Table Text Centered"/>
    <w:basedOn w:val="TableTextBase"/>
    <w:rsid w:val="000373D8"/>
    <w:pPr>
      <w:jc w:val="center"/>
    </w:pPr>
  </w:style>
  <w:style w:type="paragraph" w:customStyle="1" w:styleId="TableTextIndented">
    <w:name w:val="Table Text Indented"/>
    <w:basedOn w:val="TableTextBase"/>
    <w:rsid w:val="000373D8"/>
    <w:pPr>
      <w:ind w:left="284"/>
    </w:pPr>
  </w:style>
  <w:style w:type="paragraph" w:customStyle="1" w:styleId="TableTextLeft">
    <w:name w:val="Table Text Left"/>
    <w:basedOn w:val="TableTextBase"/>
    <w:rsid w:val="000373D8"/>
  </w:style>
  <w:style w:type="paragraph" w:customStyle="1" w:styleId="TableTextRight">
    <w:name w:val="Table Text Right"/>
    <w:basedOn w:val="TableTextBase"/>
    <w:rsid w:val="000373D8"/>
    <w:pPr>
      <w:jc w:val="right"/>
    </w:pPr>
  </w:style>
  <w:style w:type="paragraph" w:styleId="TOC1">
    <w:name w:val="toc 1"/>
    <w:basedOn w:val="HeadingBase"/>
    <w:next w:val="Normal"/>
    <w:uiPriority w:val="39"/>
    <w:rsid w:val="000373D8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0373D8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0373D8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0373D8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0373D8"/>
    <w:rPr>
      <w:i/>
    </w:rPr>
  </w:style>
  <w:style w:type="paragraph" w:customStyle="1" w:styleId="OneLevelNumberedParagraph">
    <w:name w:val="One Level Numbered Paragraph"/>
    <w:basedOn w:val="Normal"/>
    <w:rsid w:val="000373D8"/>
    <w:pPr>
      <w:numPr>
        <w:numId w:val="4"/>
      </w:numPr>
    </w:pPr>
  </w:style>
  <w:style w:type="paragraph" w:customStyle="1" w:styleId="BoxText">
    <w:name w:val="Box Text"/>
    <w:basedOn w:val="BoxTextBase"/>
    <w:rsid w:val="000373D8"/>
  </w:style>
  <w:style w:type="paragraph" w:customStyle="1" w:styleId="BoxBullet">
    <w:name w:val="Box Bullet"/>
    <w:basedOn w:val="BoxTextBase"/>
    <w:rsid w:val="000373D8"/>
    <w:pPr>
      <w:numPr>
        <w:numId w:val="3"/>
      </w:numPr>
    </w:pPr>
  </w:style>
  <w:style w:type="paragraph" w:customStyle="1" w:styleId="BoxDash">
    <w:name w:val="Box Dash"/>
    <w:basedOn w:val="Normal"/>
    <w:rsid w:val="000373D8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rsid w:val="000373D8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0373D8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0373D8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0373D8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0373D8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0373D8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0373D8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0373D8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0373D8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03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0373D8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373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73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73D8"/>
    <w:rPr>
      <w:rFonts w:ascii="Corbel" w:hAnsi="Corbel" w:cs="Times New Roman"/>
      <w:b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0373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character" w:styleId="EndnoteReference">
    <w:name w:val="endnote reference"/>
    <w:basedOn w:val="DefaultParagraphFont"/>
    <w:uiPriority w:val="99"/>
    <w:semiHidden/>
    <w:rsid w:val="000373D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373D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373D8"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0373D8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0373D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373D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373D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373D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373D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373D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373D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373D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373D8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373D8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0373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373D8"/>
    <w:rPr>
      <w:rFonts w:ascii="Courier New" w:hAnsi="Courier New" w:cs="Times New Roman"/>
      <w:color w:val="000000"/>
      <w:lang w:val="en-AU" w:eastAsia="en-AU"/>
    </w:rPr>
  </w:style>
  <w:style w:type="paragraph" w:styleId="TableofAuthorities">
    <w:name w:val="table of authorities"/>
    <w:basedOn w:val="Normal"/>
    <w:next w:val="Normal"/>
    <w:uiPriority w:val="99"/>
    <w:rsid w:val="000373D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0373D8"/>
  </w:style>
  <w:style w:type="paragraph" w:styleId="TOAHeading">
    <w:name w:val="toa heading"/>
    <w:basedOn w:val="Normal"/>
    <w:next w:val="Normal"/>
    <w:uiPriority w:val="99"/>
    <w:semiHidden/>
    <w:rsid w:val="000373D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0373D8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373D8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373D8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373D8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373D8"/>
    <w:pPr>
      <w:ind w:left="1600"/>
    </w:pPr>
  </w:style>
  <w:style w:type="paragraph" w:customStyle="1" w:styleId="Heading5NotNumbered">
    <w:name w:val="Heading 5 Not Numbered"/>
    <w:basedOn w:val="HeadingBase"/>
    <w:rsid w:val="000373D8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0373D8"/>
    <w:pPr>
      <w:numPr>
        <w:numId w:val="7"/>
      </w:numPr>
    </w:pPr>
  </w:style>
  <w:style w:type="paragraph" w:customStyle="1" w:styleId="Romannumeral">
    <w:name w:val="Roman numeral"/>
    <w:basedOn w:val="Normal"/>
    <w:rsid w:val="000373D8"/>
    <w:pPr>
      <w:numPr>
        <w:numId w:val="11"/>
      </w:numPr>
    </w:pPr>
  </w:style>
  <w:style w:type="paragraph" w:customStyle="1" w:styleId="FileProperties">
    <w:name w:val="File Properties"/>
    <w:basedOn w:val="Normal"/>
    <w:rsid w:val="000373D8"/>
    <w:rPr>
      <w:i/>
      <w:color w:val="auto"/>
    </w:rPr>
  </w:style>
  <w:style w:type="paragraph" w:customStyle="1" w:styleId="StatesList">
    <w:name w:val="StatesList"/>
    <w:basedOn w:val="AgreementParties"/>
    <w:rsid w:val="000373D8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0373D8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0373D8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0373D8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0373D8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0373D8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0373D8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0373D8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0373D8"/>
    <w:rPr>
      <w:rFonts w:cs="Times New Roman"/>
    </w:rPr>
  </w:style>
  <w:style w:type="paragraph" w:customStyle="1" w:styleId="CoverStatesList">
    <w:name w:val="CoverStatesList"/>
    <w:basedOn w:val="Normal"/>
    <w:rsid w:val="000373D8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0373D8"/>
    <w:pPr>
      <w:spacing w:after="120"/>
    </w:pPr>
    <w:rPr>
      <w:bCs/>
      <w:sz w:val="20"/>
    </w:rPr>
  </w:style>
  <w:style w:type="character" w:customStyle="1" w:styleId="SignedBold">
    <w:name w:val="SignedBold"/>
    <w:rsid w:val="000373D8"/>
    <w:rPr>
      <w:b/>
      <w:i/>
    </w:rPr>
  </w:style>
  <w:style w:type="paragraph" w:customStyle="1" w:styleId="LineForSignature">
    <w:name w:val="LineForSignature"/>
    <w:basedOn w:val="Normal"/>
    <w:rsid w:val="000373D8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0373D8"/>
    <w:pPr>
      <w:numPr>
        <w:ilvl w:val="1"/>
        <w:numId w:val="14"/>
      </w:numPr>
      <w:tabs>
        <w:tab w:val="num" w:pos="2268"/>
      </w:tabs>
    </w:pPr>
  </w:style>
  <w:style w:type="paragraph" w:customStyle="1" w:styleId="Heading1Red">
    <w:name w:val="Heading 1 Red"/>
    <w:basedOn w:val="Heading1"/>
    <w:rsid w:val="000373D8"/>
    <w:rPr>
      <w:color w:val="980033"/>
    </w:rPr>
  </w:style>
  <w:style w:type="paragraph" w:customStyle="1" w:styleId="Indentednumberpara">
    <w:name w:val="Indented number para"/>
    <w:basedOn w:val="Romannumeral"/>
    <w:rsid w:val="000373D8"/>
    <w:pPr>
      <w:numPr>
        <w:ilvl w:val="1"/>
        <w:numId w:val="9"/>
      </w:numPr>
    </w:pPr>
  </w:style>
  <w:style w:type="paragraph" w:customStyle="1" w:styleId="AgreementParties">
    <w:name w:val="AgreementParties"/>
    <w:rsid w:val="000373D8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0373D8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0373D8"/>
    <w:rPr>
      <w:i/>
    </w:rPr>
  </w:style>
  <w:style w:type="paragraph" w:customStyle="1" w:styleId="HeaderEvenRed">
    <w:name w:val="Header Even Red"/>
    <w:basedOn w:val="HeaderEven"/>
    <w:rsid w:val="000373D8"/>
    <w:rPr>
      <w:color w:val="980033"/>
    </w:rPr>
  </w:style>
  <w:style w:type="paragraph" w:customStyle="1" w:styleId="HeaderOddRed">
    <w:name w:val="Header Odd Red"/>
    <w:basedOn w:val="HeaderOdd"/>
    <w:rsid w:val="000373D8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link w:val="NumberedParagraphChar"/>
    <w:uiPriority w:val="99"/>
    <w:rsid w:val="004B1F38"/>
    <w:pPr>
      <w:numPr>
        <w:numId w:val="16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7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8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8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8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8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8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8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8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basedOn w:val="Normal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character" w:customStyle="1" w:styleId="NumberedParagraphChar">
    <w:name w:val="Numbered Paragraph Char"/>
    <w:link w:val="NumberedParagraph"/>
    <w:uiPriority w:val="99"/>
    <w:locked/>
    <w:rsid w:val="00E21E55"/>
    <w:rPr>
      <w:sz w:val="24"/>
    </w:rPr>
  </w:style>
  <w:style w:type="character" w:styleId="Strong">
    <w:name w:val="Strong"/>
    <w:basedOn w:val="DefaultParagraphFont"/>
    <w:uiPriority w:val="22"/>
    <w:qFormat/>
    <w:rsid w:val="00A620C4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706D54"/>
    <w:pPr>
      <w:spacing w:after="0" w:line="240" w:lineRule="auto"/>
      <w:jc w:val="left"/>
    </w:pPr>
    <w:rPr>
      <w:rFonts w:ascii="Consolas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6D54"/>
    <w:rPr>
      <w:rFonts w:ascii="Consolas" w:hAnsi="Consolas" w:cs="Times New Roman"/>
      <w:sz w:val="21"/>
      <w:lang w:val="x-none" w:eastAsia="en-US"/>
    </w:rPr>
  </w:style>
  <w:style w:type="paragraph" w:styleId="Revision">
    <w:name w:val="Revision"/>
    <w:hidden/>
    <w:uiPriority w:val="99"/>
    <w:semiHidden/>
    <w:rsid w:val="00462AEA"/>
    <w:rPr>
      <w:rFonts w:ascii="Corbel" w:hAnsi="Corbe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openxmlformats.org/officeDocument/2006/relationships/customXml" Target="../customXml/item4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openxmlformats.org/officeDocument/2006/relationships/customXml" Target="../customXml/item1.xml"/><Relationship Id="rId28" Type="http://schemas.openxmlformats.org/officeDocument/2006/relationships/customXml" Target="../customXml/item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1/relationships/commentsExtended" Target="commentsExtended.xml"/><Relationship Id="rId27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1045" ma:contentTypeDescription=" " ma:contentTypeScope="" ma:versionID="6063051a2c0b49441809793b6cdfd9e1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2020FG-64-73404</_dlc_DocId>
    <TaxCatchAll xmlns="0f563589-9cf9-4143-b1eb-fb0534803d38">
      <Value>2</Value>
    </TaxCatchAll>
    <_dlc_DocIdUrl xmlns="0f563589-9cf9-4143-b1eb-fb0534803d38">
      <Url>http://tweb/sites/fg/csrd/_layouts/15/DocIdRedir.aspx?ID=2020FG-64-73404</Url>
      <Description>2020FG-64-73404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D88245C-43E5-4FC4-82F6-E24536253316}"/>
</file>

<file path=customXml/itemProps2.xml><?xml version="1.0" encoding="utf-8"?>
<ds:datastoreItem xmlns:ds="http://schemas.openxmlformats.org/officeDocument/2006/customXml" ds:itemID="{E578B174-016E-4A07-84E7-877E0294E404}"/>
</file>

<file path=customXml/itemProps3.xml><?xml version="1.0" encoding="utf-8"?>
<ds:datastoreItem xmlns:ds="http://schemas.openxmlformats.org/officeDocument/2006/customXml" ds:itemID="{957443C3-848E-4E50-A35A-AC1D2E5DEC6E}"/>
</file>

<file path=customXml/itemProps4.xml><?xml version="1.0" encoding="utf-8"?>
<ds:datastoreItem xmlns:ds="http://schemas.openxmlformats.org/officeDocument/2006/customXml" ds:itemID="{BBF1AF2D-0766-4E00-9B9A-30C175FB9153}"/>
</file>

<file path=customXml/itemProps5.xml><?xml version="1.0" encoding="utf-8"?>
<ds:datastoreItem xmlns:ds="http://schemas.openxmlformats.org/officeDocument/2006/customXml" ds:itemID="{AB92D2EE-02A5-42E3-BB3A-42A3DC2A23DA}"/>
</file>

<file path=customXml/itemProps6.xml><?xml version="1.0" encoding="utf-8"?>
<ds:datastoreItem xmlns:ds="http://schemas.openxmlformats.org/officeDocument/2006/customXml" ds:itemID="{BE549093-870F-41F8-A7CF-4AE563778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Partnership Agreement Template</dc:title>
  <dc:subject/>
  <dc:creator/>
  <cp:keywords/>
  <cp:lastModifiedBy/>
  <cp:revision>1</cp:revision>
  <dcterms:created xsi:type="dcterms:W3CDTF">2017-06-21T01:49:00Z</dcterms:created>
  <dcterms:modified xsi:type="dcterms:W3CDTF">2017-06-21T01:49:00Z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c5042da8-f213-489b-a3da-79e40681dce8</vt:lpwstr>
  </property>
  <property fmtid="{D5CDD505-2E9C-101B-9397-08002B2CF9AE}" pid="3" name="ContentTypeId">
    <vt:lpwstr>0x010100348D01E61E107C4DA4B97E380EA20D47005CDF45B49E80F24CAD80DFC012154DA9</vt:lpwstr>
  </property>
  <property fmtid="{D5CDD505-2E9C-101B-9397-08002B2CF9AE}" pid="4" name="TSYRecordClass">
    <vt:lpwstr>2;#TSY RA-8748 - Retain as national archives|243f2231-dbfc-4282-b24a-c9b768286bd0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UniqueId">
    <vt:lpwstr>{c5042da8-f213-489b-a3da-79e40681dce8}</vt:lpwstr>
  </property>
  <property fmtid="{D5CDD505-2E9C-101B-9397-08002B2CF9AE}" pid="9" name="RecordPoint_ActiveItemWebId">
    <vt:lpwstr>{a4589788-615f-4b8b-8296-7f9f6dfbab44}</vt:lpwstr>
  </property>
  <property fmtid="{D5CDD505-2E9C-101B-9397-08002B2CF9AE}" pid="10" name="RecordPoint_RecordNumberSubmitted">
    <vt:lpwstr>R0002256436</vt:lpwstr>
  </property>
  <property fmtid="{D5CDD505-2E9C-101B-9397-08002B2CF9AE}" pid="11" name="RecordPoint_SubmissionCompleted">
    <vt:lpwstr>2020-04-24T08:51:04.0848720+10:00</vt:lpwstr>
  </property>
</Properties>
</file>