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1512"/>
        <w:gridCol w:w="8342"/>
      </w:tblGrid>
      <w:tr w:rsidR="00814667" w14:paraId="6D03CDDB" w14:textId="77777777">
        <w:tc>
          <w:tcPr>
            <w:tcW w:w="5000" w:type="pct"/>
            <w:gridSpan w:val="2"/>
          </w:tcPr>
          <w:p w14:paraId="6286EB75" w14:textId="4ADFE0D0" w:rsidR="00814667" w:rsidRDefault="00BA4284" w:rsidP="00187B4E">
            <w:pPr>
              <w:pStyle w:val="CoverTitleMain"/>
            </w:pPr>
            <w:r>
              <w:t>Project AGreement</w:t>
            </w:r>
            <w:r w:rsidR="00292587">
              <w:t xml:space="preserve"> </w:t>
            </w:r>
            <w:r w:rsidR="00187B4E">
              <w:t>on</w:t>
            </w:r>
            <w:r w:rsidR="00292587">
              <w:t xml:space="preserve"> </w:t>
            </w:r>
            <w:r w:rsidR="00F35BD1">
              <w:t>Healthcare</w:t>
            </w:r>
            <w:r w:rsidR="002E10DF">
              <w:t xml:space="preserve"> AND DISEASE PREVENTION</w:t>
            </w:r>
            <w:r w:rsidR="00B74218">
              <w:t xml:space="preserve"> in the torres strait</w:t>
            </w:r>
            <w:r w:rsidR="00D87008">
              <w:t xml:space="preserve"> islands</w:t>
            </w:r>
          </w:p>
        </w:tc>
      </w:tr>
      <w:tr w:rsidR="00814667" w14:paraId="089FF40E" w14:textId="77777777">
        <w:tc>
          <w:tcPr>
            <w:tcW w:w="767" w:type="pct"/>
          </w:tcPr>
          <w:p w14:paraId="45FD290B" w14:textId="77777777" w:rsidR="00814667" w:rsidRDefault="00814667">
            <w:pPr>
              <w:pStyle w:val="SingleParagraph"/>
              <w:tabs>
                <w:tab w:val="num" w:pos="1134"/>
              </w:tabs>
              <w:spacing w:after="240"/>
              <w:ind w:left="1134" w:hanging="567"/>
            </w:pPr>
          </w:p>
        </w:tc>
        <w:tc>
          <w:tcPr>
            <w:tcW w:w="4233" w:type="pct"/>
          </w:tcPr>
          <w:p w14:paraId="1C1C66C9" w14:textId="77777777" w:rsidR="00814667" w:rsidRDefault="00814667">
            <w:pPr>
              <w:pStyle w:val="SingleParagraph"/>
              <w:tabs>
                <w:tab w:val="num" w:pos="1134"/>
              </w:tabs>
              <w:spacing w:after="240"/>
              <w:ind w:left="1134" w:hanging="567"/>
            </w:pPr>
          </w:p>
        </w:tc>
      </w:tr>
      <w:tr w:rsidR="00814667" w14:paraId="422A9B01" w14:textId="77777777">
        <w:tc>
          <w:tcPr>
            <w:tcW w:w="767" w:type="pct"/>
          </w:tcPr>
          <w:p w14:paraId="7B62780D" w14:textId="77777777" w:rsidR="00814667" w:rsidRDefault="00814667">
            <w:pPr>
              <w:pStyle w:val="SingleParagraph"/>
              <w:tabs>
                <w:tab w:val="num" w:pos="1134"/>
              </w:tabs>
              <w:spacing w:after="240"/>
              <w:ind w:left="1134" w:hanging="567"/>
            </w:pPr>
          </w:p>
        </w:tc>
        <w:tc>
          <w:tcPr>
            <w:tcW w:w="4233" w:type="pct"/>
          </w:tcPr>
          <w:p w14:paraId="0BA4890E" w14:textId="77777777" w:rsidR="00814667" w:rsidRPr="001E74D0" w:rsidRDefault="00814667">
            <w:pPr>
              <w:pStyle w:val="SingleParagraph"/>
              <w:tabs>
                <w:tab w:val="num" w:pos="1134"/>
              </w:tabs>
              <w:spacing w:after="240"/>
              <w:ind w:left="1134" w:hanging="567"/>
            </w:pPr>
          </w:p>
        </w:tc>
      </w:tr>
      <w:tr w:rsidR="00814667" w14:paraId="67D04528" w14:textId="77777777">
        <w:tc>
          <w:tcPr>
            <w:tcW w:w="5000" w:type="pct"/>
            <w:gridSpan w:val="2"/>
          </w:tcPr>
          <w:p w14:paraId="778942B0" w14:textId="77777777" w:rsidR="00814667" w:rsidRDefault="00814667">
            <w:pPr>
              <w:pStyle w:val="AgreementHeading"/>
              <w:tabs>
                <w:tab w:val="clear" w:pos="1134"/>
              </w:tabs>
            </w:pPr>
            <w:r>
              <w:t>An agreement between</w:t>
            </w:r>
            <w:r w:rsidR="00697494">
              <w:t>:</w:t>
            </w:r>
          </w:p>
        </w:tc>
      </w:tr>
      <w:tr w:rsidR="00814667" w14:paraId="31F2DE97" w14:textId="77777777">
        <w:tc>
          <w:tcPr>
            <w:tcW w:w="767" w:type="pct"/>
          </w:tcPr>
          <w:p w14:paraId="3BFA0D09" w14:textId="77777777" w:rsidR="00814667" w:rsidRPr="001E74D0" w:rsidRDefault="00814667">
            <w:pPr>
              <w:pStyle w:val="AgreementHeading"/>
              <w:tabs>
                <w:tab w:val="clear" w:pos="1134"/>
              </w:tabs>
              <w:ind w:left="522"/>
            </w:pPr>
          </w:p>
        </w:tc>
        <w:tc>
          <w:tcPr>
            <w:tcW w:w="4233" w:type="pct"/>
          </w:tcPr>
          <w:p w14:paraId="02D2F5A1" w14:textId="77777777" w:rsidR="00814667" w:rsidRDefault="00814667">
            <w:pPr>
              <w:pStyle w:val="AgreementParties"/>
            </w:pPr>
            <w:r>
              <w:t xml:space="preserve">the </w:t>
            </w:r>
            <w:r>
              <w:rPr>
                <w:rStyle w:val="Bold"/>
              </w:rPr>
              <w:t>Commonwealth of Australia</w:t>
            </w:r>
            <w:r w:rsidR="00697494">
              <w:rPr>
                <w:rStyle w:val="Bold"/>
              </w:rPr>
              <w:t>;</w:t>
            </w:r>
            <w:r>
              <w:t xml:space="preserve"> and</w:t>
            </w:r>
          </w:p>
          <w:p w14:paraId="7225CF6B" w14:textId="77777777" w:rsidR="00814667" w:rsidRPr="00920DA9" w:rsidRDefault="00B74218" w:rsidP="00B74218">
            <w:pPr>
              <w:pStyle w:val="AgreementParties"/>
              <w:rPr>
                <w:rStyle w:val="Bold"/>
                <w:b w:val="0"/>
              </w:rPr>
            </w:pPr>
            <w:r>
              <w:rPr>
                <w:rStyle w:val="Bold"/>
              </w:rPr>
              <w:t>Queensland.</w:t>
            </w:r>
          </w:p>
          <w:p w14:paraId="2F9322FA" w14:textId="77777777" w:rsidR="00920DA9" w:rsidRDefault="00920DA9" w:rsidP="00920DA9">
            <w:pPr>
              <w:pStyle w:val="AgreementParties"/>
              <w:numPr>
                <w:ilvl w:val="0"/>
                <w:numId w:val="0"/>
              </w:numPr>
              <w:ind w:left="567" w:hanging="567"/>
              <w:rPr>
                <w:rStyle w:val="Bold"/>
              </w:rPr>
            </w:pPr>
          </w:p>
          <w:p w14:paraId="3AB198D4" w14:textId="77777777" w:rsidR="00920DA9" w:rsidRDefault="00920DA9" w:rsidP="00920DA9">
            <w:pPr>
              <w:pStyle w:val="AgreementParties"/>
              <w:numPr>
                <w:ilvl w:val="0"/>
                <w:numId w:val="0"/>
              </w:numPr>
              <w:ind w:left="567" w:hanging="567"/>
              <w:rPr>
                <w:rStyle w:val="Bold"/>
              </w:rPr>
            </w:pPr>
          </w:p>
          <w:p w14:paraId="4A40C5D8" w14:textId="09C0645B" w:rsidR="00920DA9" w:rsidRPr="002B7687" w:rsidRDefault="00C44249" w:rsidP="00747027">
            <w:pPr>
              <w:pStyle w:val="AgreementParties"/>
              <w:numPr>
                <w:ilvl w:val="0"/>
                <w:numId w:val="0"/>
              </w:numPr>
            </w:pPr>
            <w:r>
              <w:rPr>
                <w:sz w:val="20"/>
                <w:szCs w:val="26"/>
                <w:lang w:eastAsia="en-AU"/>
              </w:rPr>
              <w:t>This agreement will supp</w:t>
            </w:r>
            <w:r w:rsidR="00747027">
              <w:rPr>
                <w:sz w:val="20"/>
                <w:szCs w:val="26"/>
                <w:lang w:eastAsia="en-AU"/>
              </w:rPr>
              <w:t>o</w:t>
            </w:r>
            <w:r>
              <w:rPr>
                <w:sz w:val="20"/>
                <w:szCs w:val="26"/>
                <w:lang w:eastAsia="en-AU"/>
              </w:rPr>
              <w:t>rt</w:t>
            </w:r>
            <w:r w:rsidR="00920DA9" w:rsidRPr="00A25215">
              <w:rPr>
                <w:sz w:val="20"/>
                <w:szCs w:val="26"/>
                <w:lang w:eastAsia="en-AU"/>
              </w:rPr>
              <w:t xml:space="preserve"> the delivery of healthcare</w:t>
            </w:r>
            <w:r w:rsidR="002E10DF">
              <w:rPr>
                <w:sz w:val="20"/>
                <w:szCs w:val="26"/>
                <w:lang w:eastAsia="en-AU"/>
              </w:rPr>
              <w:t xml:space="preserve"> and disease prevention</w:t>
            </w:r>
            <w:r w:rsidR="00920DA9" w:rsidRPr="00A25215">
              <w:rPr>
                <w:sz w:val="20"/>
                <w:szCs w:val="26"/>
                <w:lang w:eastAsia="en-AU"/>
              </w:rPr>
              <w:t xml:space="preserve"> projects in the Torres Strait Islands.</w:t>
            </w:r>
          </w:p>
        </w:tc>
      </w:tr>
      <w:tr w:rsidR="00814667" w14:paraId="45F6DBBB" w14:textId="77777777">
        <w:tc>
          <w:tcPr>
            <w:tcW w:w="767" w:type="pct"/>
          </w:tcPr>
          <w:p w14:paraId="4D5208A4" w14:textId="77777777" w:rsidR="00814667" w:rsidRDefault="00814667">
            <w:pPr>
              <w:pStyle w:val="SingleParagraph"/>
              <w:tabs>
                <w:tab w:val="num" w:pos="1134"/>
              </w:tabs>
              <w:spacing w:after="240"/>
              <w:ind w:left="1134" w:hanging="567"/>
            </w:pPr>
          </w:p>
        </w:tc>
        <w:tc>
          <w:tcPr>
            <w:tcW w:w="4233" w:type="pct"/>
            <w:tcBorders>
              <w:left w:val="nil"/>
            </w:tcBorders>
          </w:tcPr>
          <w:p w14:paraId="5F2267D9" w14:textId="77777777" w:rsidR="00EB7EDA" w:rsidRPr="00EB7EDA" w:rsidRDefault="00EB7EDA" w:rsidP="00B74218">
            <w:pPr>
              <w:rPr>
                <w:i/>
              </w:rPr>
            </w:pPr>
          </w:p>
        </w:tc>
      </w:tr>
      <w:tr w:rsidR="00814667" w14:paraId="1B1A9093" w14:textId="77777777">
        <w:tc>
          <w:tcPr>
            <w:tcW w:w="5000" w:type="pct"/>
            <w:gridSpan w:val="2"/>
          </w:tcPr>
          <w:p w14:paraId="2A585DFE" w14:textId="77777777" w:rsidR="00814667" w:rsidRDefault="00814667">
            <w:pPr>
              <w:pStyle w:val="SingleParagraph"/>
              <w:tabs>
                <w:tab w:val="num" w:pos="1134"/>
              </w:tabs>
              <w:spacing w:after="240"/>
              <w:ind w:left="1134" w:hanging="567"/>
            </w:pPr>
          </w:p>
        </w:tc>
      </w:tr>
      <w:tr w:rsidR="00814667" w14:paraId="72DDE80B" w14:textId="77777777">
        <w:tc>
          <w:tcPr>
            <w:tcW w:w="5000" w:type="pct"/>
            <w:gridSpan w:val="2"/>
          </w:tcPr>
          <w:p w14:paraId="65290CD3" w14:textId="77777777" w:rsidR="00814667" w:rsidRDefault="00814667" w:rsidP="00312CFE">
            <w:pPr>
              <w:pStyle w:val="Abstract"/>
            </w:pPr>
          </w:p>
        </w:tc>
      </w:tr>
    </w:tbl>
    <w:p w14:paraId="461BF5B1" w14:textId="34D6B3E7" w:rsidR="00814667" w:rsidRDefault="00FF5029">
      <w:pPr>
        <w:pStyle w:val="Title"/>
        <w:pageBreakBefore/>
      </w:pPr>
      <w:r>
        <w:lastRenderedPageBreak/>
        <w:t xml:space="preserve">Project </w:t>
      </w:r>
      <w:r w:rsidR="00D7336A">
        <w:t>Agreement</w:t>
      </w:r>
      <w:r>
        <w:t xml:space="preserve"> </w:t>
      </w:r>
      <w:r w:rsidR="00DB0292">
        <w:t>on</w:t>
      </w:r>
      <w:r w:rsidR="00C7093C">
        <w:t xml:space="preserve"> </w:t>
      </w:r>
      <w:r w:rsidR="007A6E20">
        <w:br/>
      </w:r>
      <w:r w:rsidR="00B74218">
        <w:t>Healthcare</w:t>
      </w:r>
      <w:r w:rsidR="002E10DF">
        <w:t xml:space="preserve"> and Disease Prevention</w:t>
      </w:r>
      <w:r w:rsidR="00B74218">
        <w:t xml:space="preserve"> in the Torres Strait</w:t>
      </w:r>
      <w:r w:rsidR="00D87008">
        <w:t xml:space="preserve"> Islands</w:t>
      </w:r>
    </w:p>
    <w:p w14:paraId="39AD5F58" w14:textId="77777777" w:rsidR="00596E88" w:rsidRPr="006F79D3" w:rsidRDefault="00B74218" w:rsidP="002A143D">
      <w:pPr>
        <w:jc w:val="left"/>
        <w:rPr>
          <w:i/>
        </w:rPr>
      </w:pPr>
      <w:r>
        <w:rPr>
          <w:i/>
        </w:rPr>
        <w:t xml:space="preserve"> </w:t>
      </w:r>
    </w:p>
    <w:p w14:paraId="4B2F76DA" w14:textId="77777777" w:rsidR="004B2EF6" w:rsidRPr="004B2EF6" w:rsidRDefault="0080410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14:paraId="76EF78C3" w14:textId="77777777" w:rsidR="00C960AA" w:rsidRPr="0096732C" w:rsidRDefault="00C960AA" w:rsidP="002E10DF">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14:paraId="5BF8BC6F" w14:textId="77777777" w:rsidR="0096732C" w:rsidRPr="004B1F38"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14:paraId="7061E83B" w14:textId="4C5BD0AB" w:rsidR="00B74218" w:rsidRDefault="00852ED8" w:rsidP="00C013E5">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67"/>
        </w:tabs>
      </w:pPr>
      <w:r w:rsidRPr="004B1F38">
        <w:t xml:space="preserve">This Agreement will </w:t>
      </w:r>
      <w:r w:rsidR="006146F2">
        <w:t>support the delivery of</w:t>
      </w:r>
      <w:r w:rsidR="00B74218">
        <w:t xml:space="preserve"> healthcare </w:t>
      </w:r>
      <w:r w:rsidR="002E10DF">
        <w:t xml:space="preserve">and disease prevention </w:t>
      </w:r>
      <w:r w:rsidR="00B74218">
        <w:t>projects in the Torres Strait Islands. The outputs of individual projects are set out in Schedules to this Agreement (‘Schedules’).</w:t>
      </w:r>
    </w:p>
    <w:p w14:paraId="77170D93" w14:textId="77777777" w:rsid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6732C">
        <w:rPr>
          <w:rFonts w:cs="Arial"/>
          <w:b/>
          <w:bCs/>
          <w:iCs/>
          <w:color w:val="3D4B67"/>
          <w:sz w:val="29"/>
          <w:szCs w:val="28"/>
        </w:rPr>
        <w:t>Reporting Arrangements</w:t>
      </w:r>
      <w:r>
        <w:t xml:space="preserve"> </w:t>
      </w:r>
    </w:p>
    <w:p w14:paraId="4A70C10E" w14:textId="124E168C" w:rsidR="0096732C" w:rsidRDefault="00B03F3D" w:rsidP="004C6660">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pPr>
      <w:r>
        <w:t xml:space="preserve">Queensland </w:t>
      </w:r>
      <w:r w:rsidR="00C44249">
        <w:t xml:space="preserve">will report against agreed milestones during the operation of this Agreement, as set out in Part 4 – Milestones, Reporting and Payments and in the </w:t>
      </w:r>
      <w:r w:rsidR="009D0BAE">
        <w:t>S</w:t>
      </w:r>
      <w:r w:rsidR="00C44249">
        <w:t>chedules</w:t>
      </w:r>
      <w:r w:rsidR="009D0BAE">
        <w:t xml:space="preserve"> to this Agreement</w:t>
      </w:r>
      <w:r w:rsidR="00C44249">
        <w:t>.</w:t>
      </w:r>
    </w:p>
    <w:p w14:paraId="62AB0B47" w14:textId="77777777" w:rsidR="0096732C" w:rsidRP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 xml:space="preserve">Financial Arrangements </w:t>
      </w:r>
    </w:p>
    <w:p w14:paraId="66AB61BC" w14:textId="718CA0A8" w:rsidR="0096732C" w:rsidRPr="004B1F38" w:rsidRDefault="00B03F3D" w:rsidP="004C6660">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pPr>
      <w:r>
        <w:t xml:space="preserve">The Commonwealth will provide </w:t>
      </w:r>
      <w:r w:rsidR="00E07574">
        <w:t xml:space="preserve">an estimated total </w:t>
      </w:r>
      <w:r>
        <w:t xml:space="preserve">financial contribution to </w:t>
      </w:r>
      <w:r w:rsidR="00D53A7B">
        <w:t>Queensland</w:t>
      </w:r>
      <w:r w:rsidR="001E4117">
        <w:t xml:space="preserve"> of $</w:t>
      </w:r>
      <w:r w:rsidR="004C6660">
        <w:t>26</w:t>
      </w:r>
      <w:r w:rsidR="001E4117">
        <w:t>.</w:t>
      </w:r>
      <w:r w:rsidR="004C6660">
        <w:t>522</w:t>
      </w:r>
      <w:r w:rsidR="001E4117">
        <w:t xml:space="preserve"> million, exclusive of GST, in respect of this Agreement</w:t>
      </w:r>
      <w:r w:rsidR="001A3C32">
        <w:t>,</w:t>
      </w:r>
      <w:r w:rsidR="001E4117">
        <w:t xml:space="preserve"> </w:t>
      </w:r>
      <w:r w:rsidR="009D0BAE">
        <w:t xml:space="preserve">as set out in Part 5 – Financial Arrangements and in the </w:t>
      </w:r>
      <w:r>
        <w:t>Schedules to this Agreement.</w:t>
      </w:r>
    </w:p>
    <w:p w14:paraId="57D146A8" w14:textId="77777777" w:rsidR="00814667" w:rsidRDefault="00814667">
      <w:pPr>
        <w:pStyle w:val="Heading1"/>
      </w:pPr>
      <w:r>
        <w:t>Part 1 — Formalities</w:t>
      </w:r>
    </w:p>
    <w:p w14:paraId="12908150" w14:textId="3AFC4238" w:rsidR="00804105" w:rsidRDefault="00804105" w:rsidP="00C013E5">
      <w:pPr>
        <w:pStyle w:val="Normalnumbered"/>
        <w:numPr>
          <w:ilvl w:val="0"/>
          <w:numId w:val="9"/>
        </w:numPr>
      </w:pPr>
      <w:r>
        <w:t>This Agreement constitutes the entire agreement for this project.</w:t>
      </w:r>
      <w:r w:rsidR="009D0BAE">
        <w:t xml:space="preserve"> Arrangements for agreed projects are set out in Schedules to this Agreement.</w:t>
      </w:r>
    </w:p>
    <w:p w14:paraId="4CBD8B37" w14:textId="77777777" w:rsidR="00814667" w:rsidRDefault="00814667">
      <w:pPr>
        <w:pStyle w:val="Heading2"/>
      </w:pPr>
      <w:r>
        <w:t>Parties to this Agreement</w:t>
      </w:r>
    </w:p>
    <w:p w14:paraId="1E929CD1" w14:textId="53EA81D2" w:rsidR="007B4B03" w:rsidRPr="007B4B03" w:rsidRDefault="00E7195E" w:rsidP="00C013E5">
      <w:pPr>
        <w:pStyle w:val="Normalnumbered"/>
        <w:numPr>
          <w:ilvl w:val="0"/>
          <w:numId w:val="9"/>
        </w:numPr>
      </w:pPr>
      <w:r w:rsidRPr="003012DA">
        <w:t xml:space="preserve">This </w:t>
      </w:r>
      <w:r w:rsidR="00E31096">
        <w:t xml:space="preserve">Agreement </w:t>
      </w:r>
      <w:r w:rsidRPr="003012DA">
        <w:t>is between the Commonwealth of Australia (the</w:t>
      </w:r>
      <w:r w:rsidR="00593821">
        <w:t xml:space="preserve"> Commonwealth</w:t>
      </w:r>
      <w:r w:rsidRPr="003012DA">
        <w:t xml:space="preserve">) and </w:t>
      </w:r>
      <w:r w:rsidR="00B03F3D">
        <w:t>Queensland.</w:t>
      </w:r>
    </w:p>
    <w:p w14:paraId="7996BD9D" w14:textId="77777777" w:rsidR="00814667" w:rsidRDefault="00814667">
      <w:pPr>
        <w:pStyle w:val="Heading2"/>
      </w:pPr>
      <w:r>
        <w:t>Term of the Agreement</w:t>
      </w:r>
    </w:p>
    <w:p w14:paraId="26F51903" w14:textId="2B7A4BF9" w:rsidR="00814667" w:rsidRPr="00DE36EB" w:rsidRDefault="00814667" w:rsidP="00C013E5">
      <w:pPr>
        <w:pStyle w:val="Normalnumbered"/>
        <w:numPr>
          <w:ilvl w:val="0"/>
          <w:numId w:val="9"/>
        </w:numPr>
      </w:pPr>
      <w:r w:rsidRPr="00DE36EB">
        <w:t xml:space="preserve">This Agreement will commence as soon as the Commonwealth and </w:t>
      </w:r>
      <w:r w:rsidR="00B03F3D">
        <w:t xml:space="preserve">Queensland sign </w:t>
      </w:r>
      <w:r w:rsidR="0096732C">
        <w:t xml:space="preserve">it </w:t>
      </w:r>
      <w:r w:rsidRPr="00DE36EB">
        <w:t xml:space="preserve">and will expire </w:t>
      </w:r>
      <w:r w:rsidR="00B03F3D">
        <w:t>when all the Schedules expire</w:t>
      </w:r>
      <w:r w:rsidR="00062AA6">
        <w:t xml:space="preserve">, or on completion of the projects, including final </w:t>
      </w:r>
      <w:r w:rsidR="00062AA6">
        <w:lastRenderedPageBreak/>
        <w:t>performance reporting and processing of final payments against milestones, unless terminated earlier in writing</w:t>
      </w:r>
      <w:r w:rsidR="00B03F3D">
        <w:t>.</w:t>
      </w:r>
    </w:p>
    <w:p w14:paraId="0DC14EB3" w14:textId="5AC5A77D" w:rsidR="00062AA6" w:rsidRDefault="008F44F1">
      <w:pPr>
        <w:pStyle w:val="Heading1"/>
      </w:pPr>
      <w:r>
        <w:t xml:space="preserve">Part </w:t>
      </w:r>
      <w:r w:rsidR="002B7687">
        <w:t>2</w:t>
      </w:r>
      <w:r>
        <w:t xml:space="preserve"> — </w:t>
      </w:r>
      <w:r w:rsidR="00062AA6">
        <w:t>output</w:t>
      </w:r>
      <w:r w:rsidR="00747027">
        <w:t>S</w:t>
      </w:r>
    </w:p>
    <w:p w14:paraId="0D7C7E5D" w14:textId="0EF2910F" w:rsidR="00062AA6" w:rsidRPr="00062AA6" w:rsidRDefault="00062AA6" w:rsidP="00062AA6">
      <w:pPr>
        <w:pStyle w:val="Normalnumbered"/>
        <w:numPr>
          <w:ilvl w:val="0"/>
          <w:numId w:val="9"/>
        </w:numPr>
        <w:jc w:val="left"/>
      </w:pPr>
      <w:r w:rsidRPr="00062AA6">
        <w:t xml:space="preserve">The </w:t>
      </w:r>
      <w:r>
        <w:t>output</w:t>
      </w:r>
      <w:r w:rsidR="00747027">
        <w:t>s</w:t>
      </w:r>
      <w:r>
        <w:t xml:space="preserve"> of this agreement will be healthcare </w:t>
      </w:r>
      <w:r w:rsidR="002E10DF">
        <w:t xml:space="preserve">and disease prevention </w:t>
      </w:r>
      <w:r>
        <w:t>projects in the Torres Strait Islands.</w:t>
      </w:r>
    </w:p>
    <w:p w14:paraId="23CD4E00" w14:textId="40A8AEB0" w:rsidR="008F44F1" w:rsidRDefault="00062AA6">
      <w:pPr>
        <w:pStyle w:val="Heading1"/>
      </w:pPr>
      <w:r>
        <w:t xml:space="preserve">PART 3 – </w:t>
      </w:r>
      <w:r w:rsidR="008F44F1">
        <w:t>roles and responsibilities of each party</w:t>
      </w:r>
    </w:p>
    <w:p w14:paraId="34CB1FD3" w14:textId="77777777" w:rsidR="002B7687" w:rsidRDefault="002B7687" w:rsidP="002B7687">
      <w:pPr>
        <w:pStyle w:val="Heading2"/>
      </w:pPr>
      <w:r w:rsidRPr="00814590">
        <w:t>Role of the Commonwealth</w:t>
      </w:r>
    </w:p>
    <w:p w14:paraId="7E1CBB2D" w14:textId="77777777" w:rsidR="00D53A7B" w:rsidRDefault="00D84DC3" w:rsidP="00C013E5">
      <w:pPr>
        <w:pStyle w:val="Normalnumbered"/>
        <w:numPr>
          <w:ilvl w:val="0"/>
          <w:numId w:val="9"/>
        </w:numPr>
        <w:jc w:val="left"/>
      </w:pPr>
      <w:r>
        <w:t xml:space="preserve">The Commonwealth </w:t>
      </w:r>
      <w:r w:rsidR="00D53A7B">
        <w:t>will be responsible for:</w:t>
      </w:r>
    </w:p>
    <w:p w14:paraId="6E86AC5D" w14:textId="0499194E" w:rsidR="00D53A7B" w:rsidRDefault="00D53A7B" w:rsidP="004C6660">
      <w:pPr>
        <w:pStyle w:val="Normalnumbered"/>
        <w:numPr>
          <w:ilvl w:val="1"/>
          <w:numId w:val="20"/>
        </w:numPr>
        <w:tabs>
          <w:tab w:val="clear" w:pos="1440"/>
          <w:tab w:val="num" w:pos="1134"/>
        </w:tabs>
        <w:ind w:left="1134" w:hanging="567"/>
      </w:pPr>
      <w:r w:rsidRPr="000614F9">
        <w:rPr>
          <w:color w:val="auto"/>
        </w:rPr>
        <w:t>monitoring</w:t>
      </w:r>
      <w:r w:rsidRPr="004B6083">
        <w:t xml:space="preserve"> and assessing achievement against milestones</w:t>
      </w:r>
      <w:r>
        <w:t xml:space="preserve"> set out in Schedules to this Agreement</w:t>
      </w:r>
      <w:r w:rsidRPr="004B6083">
        <w:t xml:space="preserve"> to ensure that outputs are delivered within the agreed timeframe</w:t>
      </w:r>
      <w:r>
        <w:t>; and</w:t>
      </w:r>
    </w:p>
    <w:p w14:paraId="6F90BF4F" w14:textId="34AA262C" w:rsidR="00920DA9" w:rsidRDefault="00D84DC3" w:rsidP="004C6660">
      <w:pPr>
        <w:pStyle w:val="Normalnumbered"/>
        <w:numPr>
          <w:ilvl w:val="1"/>
          <w:numId w:val="20"/>
        </w:numPr>
        <w:tabs>
          <w:tab w:val="clear" w:pos="1440"/>
          <w:tab w:val="num" w:pos="1134"/>
        </w:tabs>
        <w:ind w:left="1134" w:hanging="567"/>
      </w:pPr>
      <w:proofErr w:type="gramStart"/>
      <w:r>
        <w:t>providing</w:t>
      </w:r>
      <w:proofErr w:type="gramEnd"/>
      <w:r>
        <w:t xml:space="preserve"> a</w:t>
      </w:r>
      <w:r w:rsidR="00D53A7B">
        <w:t xml:space="preserve"> consequent</w:t>
      </w:r>
      <w:r>
        <w:t xml:space="preserve"> financial contribution to </w:t>
      </w:r>
      <w:r w:rsidR="00D53A7B">
        <w:t>Queensland</w:t>
      </w:r>
      <w:r>
        <w:t xml:space="preserve"> to support the implementation of this Agreement, as set out in Schedules to this Agreement.</w:t>
      </w:r>
    </w:p>
    <w:p w14:paraId="1F083BDA" w14:textId="0461E366" w:rsidR="00920DA9" w:rsidRDefault="00920DA9" w:rsidP="002B7687">
      <w:pPr>
        <w:pStyle w:val="Heading2"/>
      </w:pPr>
      <w:r>
        <w:t>Role of</w:t>
      </w:r>
      <w:r w:rsidR="00062AA6">
        <w:t xml:space="preserve"> Queensland</w:t>
      </w:r>
    </w:p>
    <w:p w14:paraId="19ECE14E" w14:textId="06D216BA" w:rsidR="00D84DC3" w:rsidRDefault="006B0416" w:rsidP="00C013E5">
      <w:pPr>
        <w:pStyle w:val="Normalnumbered"/>
        <w:numPr>
          <w:ilvl w:val="0"/>
          <w:numId w:val="9"/>
        </w:numPr>
        <w:jc w:val="left"/>
      </w:pPr>
      <w:r>
        <w:t xml:space="preserve">Queensland </w:t>
      </w:r>
      <w:r w:rsidR="00D53A7B">
        <w:t>will be responsible for</w:t>
      </w:r>
      <w:r w:rsidR="00D84DC3">
        <w:t xml:space="preserve">: </w:t>
      </w:r>
    </w:p>
    <w:p w14:paraId="705BF4A9" w14:textId="3BDD1B7F" w:rsidR="00D53A7B" w:rsidRDefault="00D53A7B" w:rsidP="00062AA6">
      <w:pPr>
        <w:pStyle w:val="AlphaParagraph"/>
        <w:numPr>
          <w:ilvl w:val="1"/>
          <w:numId w:val="21"/>
        </w:numPr>
        <w:tabs>
          <w:tab w:val="clear" w:pos="283"/>
          <w:tab w:val="clear" w:pos="567"/>
          <w:tab w:val="clear" w:pos="1440"/>
          <w:tab w:val="clear" w:pos="1701"/>
        </w:tabs>
        <w:ind w:left="1134" w:hanging="567"/>
      </w:pPr>
      <w:r w:rsidRPr="00062AA6">
        <w:rPr>
          <w:color w:val="auto"/>
          <w:szCs w:val="23"/>
        </w:rPr>
        <w:t xml:space="preserve">where </w:t>
      </w:r>
      <w:r w:rsidRPr="00062AA6">
        <w:t>relevant,</w:t>
      </w:r>
      <w:r>
        <w:t xml:space="preserve"> </w:t>
      </w:r>
      <w:r w:rsidRPr="00751725">
        <w:t>providing a</w:t>
      </w:r>
      <w:r w:rsidR="00AA2CB5">
        <w:t>n</w:t>
      </w:r>
      <w:r w:rsidRPr="000614F9">
        <w:t xml:space="preserve"> in-kind</w:t>
      </w:r>
      <w:r>
        <w:t xml:space="preserve"> </w:t>
      </w:r>
      <w:r w:rsidRPr="00751725">
        <w:t>contribution to support the implementation of this Agreement;</w:t>
      </w:r>
    </w:p>
    <w:p w14:paraId="2F8C2F46" w14:textId="03AD6F15" w:rsidR="00D84DC3" w:rsidRDefault="00D53A7B" w:rsidP="00062AA6">
      <w:pPr>
        <w:pStyle w:val="Normalnumbered"/>
        <w:numPr>
          <w:ilvl w:val="1"/>
          <w:numId w:val="21"/>
        </w:numPr>
        <w:tabs>
          <w:tab w:val="clear" w:pos="1440"/>
          <w:tab w:val="num" w:pos="1134"/>
        </w:tabs>
        <w:ind w:left="1134" w:hanging="567"/>
        <w:jc w:val="left"/>
      </w:pPr>
      <w:r>
        <w:t xml:space="preserve">all aspects of </w:t>
      </w:r>
      <w:r w:rsidR="00D84DC3">
        <w:t>delivering on outp</w:t>
      </w:r>
      <w:r w:rsidR="006B0416">
        <w:t>uts</w:t>
      </w:r>
      <w:r w:rsidR="00747027">
        <w:t xml:space="preserve"> </w:t>
      </w:r>
      <w:r w:rsidR="00D84DC3">
        <w:t xml:space="preserve">set out in Schedules to this Agreement; and </w:t>
      </w:r>
    </w:p>
    <w:p w14:paraId="2FFE6447" w14:textId="294C5264" w:rsidR="00920DA9" w:rsidRDefault="00D84DC3" w:rsidP="00062AA6">
      <w:pPr>
        <w:pStyle w:val="Normalnumbered"/>
        <w:numPr>
          <w:ilvl w:val="1"/>
          <w:numId w:val="21"/>
        </w:numPr>
        <w:tabs>
          <w:tab w:val="clear" w:pos="1440"/>
          <w:tab w:val="num" w:pos="1134"/>
        </w:tabs>
        <w:ind w:left="1134" w:hanging="567"/>
        <w:jc w:val="left"/>
      </w:pPr>
      <w:proofErr w:type="gramStart"/>
      <w:r>
        <w:t>reporting</w:t>
      </w:r>
      <w:proofErr w:type="gramEnd"/>
      <w:r>
        <w:t xml:space="preserve"> on the delivery of outputs set out in the Schedules to this Agreement. </w:t>
      </w:r>
    </w:p>
    <w:p w14:paraId="4D59B515" w14:textId="77777777" w:rsidR="00D84DC3" w:rsidRDefault="00920DA9" w:rsidP="002B7687">
      <w:pPr>
        <w:pStyle w:val="Heading2"/>
      </w:pPr>
      <w:r>
        <w:t>Shared roles</w:t>
      </w:r>
    </w:p>
    <w:p w14:paraId="4136C3AA" w14:textId="4654E8FD" w:rsidR="00062AA6" w:rsidRDefault="00062AA6" w:rsidP="00C013E5">
      <w:pPr>
        <w:pStyle w:val="Normalnumbered"/>
        <w:numPr>
          <w:ilvl w:val="0"/>
          <w:numId w:val="9"/>
        </w:numPr>
        <w:jc w:val="left"/>
      </w:pPr>
      <w:r>
        <w:t>The Commonwealth and Queensland will:</w:t>
      </w:r>
    </w:p>
    <w:p w14:paraId="481F79FB" w14:textId="239DD28B" w:rsidR="00062AA6" w:rsidRDefault="00062AA6" w:rsidP="002A7D4D">
      <w:pPr>
        <w:pStyle w:val="AlphaParagraph"/>
        <w:numPr>
          <w:ilvl w:val="0"/>
          <w:numId w:val="22"/>
        </w:numPr>
        <w:tabs>
          <w:tab w:val="clear" w:pos="283"/>
          <w:tab w:val="clear" w:pos="567"/>
          <w:tab w:val="clear" w:pos="1134"/>
          <w:tab w:val="clear" w:pos="1418"/>
          <w:tab w:val="clear" w:pos="1701"/>
        </w:tabs>
        <w:ind w:left="1134" w:hanging="570"/>
      </w:pPr>
      <w:r>
        <w:t xml:space="preserve">be jointly responsible for developing and agreeing Schedules which set out agreed projects and associated milestones, reporting and payment arrangements in accordance with clause </w:t>
      </w:r>
      <w:r w:rsidR="00981A01">
        <w:t>12</w:t>
      </w:r>
      <w:r>
        <w:t xml:space="preserve"> of this Agreement; and</w:t>
      </w:r>
    </w:p>
    <w:p w14:paraId="0584D6CD" w14:textId="427B17BD" w:rsidR="00D84DC3" w:rsidRDefault="00D84DC3" w:rsidP="002A7D4D">
      <w:pPr>
        <w:pStyle w:val="AlphaParagraph"/>
        <w:numPr>
          <w:ilvl w:val="0"/>
          <w:numId w:val="22"/>
        </w:numPr>
        <w:tabs>
          <w:tab w:val="clear" w:pos="283"/>
          <w:tab w:val="clear" w:pos="567"/>
          <w:tab w:val="clear" w:pos="1134"/>
          <w:tab w:val="clear" w:pos="1418"/>
          <w:tab w:val="clear" w:pos="1701"/>
        </w:tabs>
        <w:ind w:left="1134" w:hanging="570"/>
      </w:pPr>
      <w:proofErr w:type="gramStart"/>
      <w:r>
        <w:t>will</w:t>
      </w:r>
      <w:proofErr w:type="gramEnd"/>
      <w:r>
        <w:t xml:space="preserve"> meet the requirements of Schedule E, Clause 26 of the IGA FFR, by ensuring </w:t>
      </w:r>
      <w:r w:rsidR="00A14F23">
        <w:t xml:space="preserve">that </w:t>
      </w:r>
      <w:r>
        <w:t>prior agreement is reached on the nature and content of any events, announcements, promotional material or publicity relating to activities under this Agreement, and that the roles of both Parties will be acknowledged and recognised appropriately.</w:t>
      </w:r>
    </w:p>
    <w:p w14:paraId="786A7C4E" w14:textId="77777777" w:rsidR="002A7D4D" w:rsidRDefault="003A2157">
      <w:pPr>
        <w:pStyle w:val="Heading1"/>
      </w:pPr>
      <w:bookmarkStart w:id="0" w:name="top"/>
      <w:bookmarkEnd w:id="0"/>
      <w:r>
        <w:t xml:space="preserve">Part </w:t>
      </w:r>
      <w:r w:rsidR="002A7D4D">
        <w:t>4 – milestones, reporting and payments</w:t>
      </w:r>
    </w:p>
    <w:p w14:paraId="4A6CF928" w14:textId="78A2E526" w:rsidR="001E4117" w:rsidRDefault="001E4117" w:rsidP="004C6660">
      <w:pPr>
        <w:pStyle w:val="Normalnumbered"/>
        <w:numPr>
          <w:ilvl w:val="0"/>
          <w:numId w:val="9"/>
        </w:numPr>
      </w:pPr>
      <w:r>
        <w:t xml:space="preserve">Milestones, their relationship to the projects, agreed completion dates, relevant reporting dates and expected payments will be </w:t>
      </w:r>
      <w:r w:rsidR="001C6A16">
        <w:t xml:space="preserve">set out </w:t>
      </w:r>
      <w:r>
        <w:t>in the Schedules to this Agreement.  The Commonwealth will make payments subject to performance reports demonstrating that relevant milestones have been met.</w:t>
      </w:r>
    </w:p>
    <w:p w14:paraId="0741F420" w14:textId="67F890EA" w:rsidR="001E4117" w:rsidRDefault="001E4117" w:rsidP="004C6660">
      <w:pPr>
        <w:pStyle w:val="Normalnumbered"/>
        <w:numPr>
          <w:ilvl w:val="0"/>
          <w:numId w:val="9"/>
        </w:numPr>
      </w:pPr>
      <w:r>
        <w:t xml:space="preserve">If a milestone is met in advance of the due date and the relevant performance report demonstrates that the milestone has been met, the Commonwealth may make the associated </w:t>
      </w:r>
      <w:r>
        <w:lastRenderedPageBreak/>
        <w:t>payment earlier than scheduled, provided that it falls within the same financial year as the original payment date.</w:t>
      </w:r>
    </w:p>
    <w:p w14:paraId="2E657603" w14:textId="77777777" w:rsidR="001E4117" w:rsidRPr="00C7764F" w:rsidRDefault="001E4117" w:rsidP="001E4117">
      <w:pPr>
        <w:pStyle w:val="Heading2"/>
      </w:pPr>
      <w:r w:rsidRPr="00C7764F">
        <w:t>Reporting arrangements</w:t>
      </w:r>
    </w:p>
    <w:p w14:paraId="056D1C9F" w14:textId="441CEB24" w:rsidR="001E4117" w:rsidRDefault="001E4117" w:rsidP="001E4117">
      <w:pPr>
        <w:pStyle w:val="Normalnumbered"/>
        <w:numPr>
          <w:ilvl w:val="0"/>
          <w:numId w:val="9"/>
        </w:numPr>
      </w:pPr>
      <w:r>
        <w:t>Queensland will provide performance reports for projects agreed under the relevant Schedules during the operation of this Agreement.  Each performance report is to contain a description of actual performance in the period</w:t>
      </w:r>
      <w:r w:rsidR="00FC058E">
        <w:t xml:space="preserve"> to date against the project mi</w:t>
      </w:r>
      <w:r>
        <w:t>l</w:t>
      </w:r>
      <w:r w:rsidR="00FC058E">
        <w:t>e</w:t>
      </w:r>
      <w:r>
        <w:t>stones.</w:t>
      </w:r>
    </w:p>
    <w:p w14:paraId="6B2CBCB5" w14:textId="77777777" w:rsidR="002A7D4D" w:rsidRDefault="002A7D4D">
      <w:pPr>
        <w:pStyle w:val="Heading1"/>
      </w:pPr>
      <w:r>
        <w:t>part 5</w:t>
      </w:r>
      <w:r w:rsidR="00814667">
        <w:t xml:space="preserve"> — </w:t>
      </w:r>
      <w:r>
        <w:t>financial arrangements</w:t>
      </w:r>
    </w:p>
    <w:p w14:paraId="139D0E04" w14:textId="0EE1228A" w:rsidR="001A3C32" w:rsidRDefault="001A3C32" w:rsidP="001A3C32">
      <w:pPr>
        <w:pStyle w:val="Normalnumbered"/>
        <w:numPr>
          <w:ilvl w:val="0"/>
          <w:numId w:val="9"/>
        </w:numPr>
      </w:pPr>
      <w:r>
        <w:t xml:space="preserve">The Commonwealth will provide an estimated total financial contribution to </w:t>
      </w:r>
      <w:r w:rsidR="001D16D9">
        <w:t>Queensland</w:t>
      </w:r>
      <w:r>
        <w:t xml:space="preserve"> of $</w:t>
      </w:r>
      <w:r w:rsidR="00E868F9">
        <w:t>26.522</w:t>
      </w:r>
      <w:r>
        <w:t xml:space="preserve"> million in respect of this Agreement. All payments are GST exclusive.</w:t>
      </w:r>
    </w:p>
    <w:p w14:paraId="0B2F5A04" w14:textId="30C11C3A" w:rsidR="001A3C32" w:rsidRDefault="001A3C32" w:rsidP="001A3C32">
      <w:pPr>
        <w:pStyle w:val="Normalnumbered"/>
        <w:numPr>
          <w:ilvl w:val="0"/>
          <w:numId w:val="9"/>
        </w:numPr>
      </w:pPr>
      <w:r>
        <w:t xml:space="preserve">The Commonwealth’s funding contribution will not be reduced where </w:t>
      </w:r>
      <w:r w:rsidR="001D16D9">
        <w:t xml:space="preserve">Queensland </w:t>
      </w:r>
      <w:r>
        <w:t>secure</w:t>
      </w:r>
      <w:r w:rsidR="001D16D9">
        <w:t>s</w:t>
      </w:r>
      <w:r>
        <w:t xml:space="preserve"> funding from other activity partners.</w:t>
      </w:r>
    </w:p>
    <w:p w14:paraId="6296AF26" w14:textId="6A5719D9" w:rsidR="0038395F" w:rsidRDefault="001A3C32" w:rsidP="0038395F">
      <w:pPr>
        <w:pStyle w:val="Normalnumbered"/>
        <w:numPr>
          <w:ilvl w:val="0"/>
          <w:numId w:val="9"/>
        </w:numPr>
      </w:pPr>
      <w:r>
        <w:t xml:space="preserve">The Commonwealth’s and </w:t>
      </w:r>
      <w:r w:rsidR="001D16D9">
        <w:t>Queensland’s</w:t>
      </w:r>
      <w:r>
        <w:t xml:space="preserve"> estimated financial contribution to the operation of this Agreement, including through National Partnership payments to </w:t>
      </w:r>
      <w:r w:rsidR="001D16D9">
        <w:t xml:space="preserve">Queensland </w:t>
      </w:r>
      <w:r>
        <w:t xml:space="preserve">paid in accordance with </w:t>
      </w:r>
      <w:r w:rsidRPr="0038395F">
        <w:rPr>
          <w:i/>
        </w:rPr>
        <w:t xml:space="preserve">Schedule D – Payment Arrangements </w:t>
      </w:r>
      <w:r w:rsidRPr="009E6A1B">
        <w:t>of the IGA FFR</w:t>
      </w:r>
      <w:r>
        <w:t xml:space="preserve">, </w:t>
      </w:r>
      <w:r w:rsidR="00444AF1">
        <w:t>are</w:t>
      </w:r>
      <w:r>
        <w:t xml:space="preserve"> shown in Table 1.</w:t>
      </w:r>
    </w:p>
    <w:p w14:paraId="51208795" w14:textId="49CA2CE1" w:rsidR="001A3C32" w:rsidRPr="0038395F" w:rsidRDefault="001A3C32" w:rsidP="0038395F">
      <w:pPr>
        <w:pStyle w:val="Normalnumbered"/>
        <w:numPr>
          <w:ilvl w:val="0"/>
          <w:numId w:val="0"/>
        </w:numPr>
      </w:pPr>
      <w:r w:rsidRPr="0038395F">
        <w:rPr>
          <w:b/>
        </w:rPr>
        <w:t>Table 1: Estimated financial contributions</w:t>
      </w:r>
    </w:p>
    <w:tbl>
      <w:tblPr>
        <w:tblW w:w="0" w:type="auto"/>
        <w:tblLook w:val="01E0" w:firstRow="1" w:lastRow="1" w:firstColumn="1" w:lastColumn="1" w:noHBand="0" w:noVBand="0"/>
      </w:tblPr>
      <w:tblGrid>
        <w:gridCol w:w="4890"/>
        <w:gridCol w:w="1129"/>
        <w:gridCol w:w="989"/>
        <w:gridCol w:w="989"/>
        <w:gridCol w:w="990"/>
        <w:gridCol w:w="867"/>
      </w:tblGrid>
      <w:tr w:rsidR="001A3C32" w14:paraId="7E5AA16B" w14:textId="77777777" w:rsidTr="00E30E41">
        <w:trPr>
          <w:cantSplit/>
        </w:trPr>
        <w:tc>
          <w:tcPr>
            <w:tcW w:w="4928" w:type="dxa"/>
            <w:tcBorders>
              <w:top w:val="single" w:sz="4" w:space="0" w:color="000080"/>
            </w:tcBorders>
          </w:tcPr>
          <w:p w14:paraId="67FE4CE6" w14:textId="77777777" w:rsidR="001A3C32" w:rsidRPr="00C2711B" w:rsidRDefault="001A3C32" w:rsidP="00E30E41">
            <w:pPr>
              <w:keepNext/>
              <w:keepLines/>
              <w:spacing w:before="40" w:after="40"/>
              <w:jc w:val="left"/>
              <w:rPr>
                <w:b/>
              </w:rPr>
            </w:pPr>
            <w:r w:rsidRPr="00C2711B">
              <w:rPr>
                <w:b/>
              </w:rPr>
              <w:t>($ million)</w:t>
            </w:r>
          </w:p>
        </w:tc>
        <w:tc>
          <w:tcPr>
            <w:tcW w:w="1134" w:type="dxa"/>
            <w:tcBorders>
              <w:top w:val="single" w:sz="4" w:space="0" w:color="000080"/>
              <w:bottom w:val="single" w:sz="4" w:space="0" w:color="000080"/>
            </w:tcBorders>
          </w:tcPr>
          <w:p w14:paraId="21D8F15E" w14:textId="3562B43A" w:rsidR="001A3C32" w:rsidRDefault="001A3C32" w:rsidP="00E868F9">
            <w:pPr>
              <w:keepNext/>
              <w:keepLines/>
              <w:spacing w:before="40" w:after="40"/>
              <w:jc w:val="right"/>
            </w:pPr>
            <w:r>
              <w:t>201</w:t>
            </w:r>
            <w:r w:rsidR="00E868F9">
              <w:t>6</w:t>
            </w:r>
            <w:r>
              <w:t>-1</w:t>
            </w:r>
            <w:r w:rsidR="00E868F9">
              <w:t>7</w:t>
            </w:r>
          </w:p>
        </w:tc>
        <w:tc>
          <w:tcPr>
            <w:tcW w:w="992" w:type="dxa"/>
            <w:tcBorders>
              <w:top w:val="single" w:sz="4" w:space="0" w:color="000080"/>
              <w:bottom w:val="single" w:sz="4" w:space="0" w:color="000080"/>
            </w:tcBorders>
          </w:tcPr>
          <w:p w14:paraId="1AB06683" w14:textId="1374F37F" w:rsidR="001A3C32" w:rsidRDefault="001A3C32" w:rsidP="00E868F9">
            <w:pPr>
              <w:keepNext/>
              <w:keepLines/>
              <w:spacing w:before="40" w:after="40"/>
              <w:jc w:val="right"/>
            </w:pPr>
            <w:r>
              <w:t>201</w:t>
            </w:r>
            <w:r w:rsidR="00E868F9">
              <w:t>7</w:t>
            </w:r>
            <w:r>
              <w:t>-1</w:t>
            </w:r>
            <w:r w:rsidR="00E868F9">
              <w:t>8</w:t>
            </w:r>
          </w:p>
        </w:tc>
        <w:tc>
          <w:tcPr>
            <w:tcW w:w="992" w:type="dxa"/>
            <w:tcBorders>
              <w:top w:val="single" w:sz="4" w:space="0" w:color="000080"/>
              <w:bottom w:val="single" w:sz="4" w:space="0" w:color="000080"/>
            </w:tcBorders>
          </w:tcPr>
          <w:p w14:paraId="7C596E60" w14:textId="33F465E6" w:rsidR="001A3C32" w:rsidRDefault="001A3C32" w:rsidP="00E868F9">
            <w:pPr>
              <w:keepNext/>
              <w:keepLines/>
              <w:spacing w:before="40" w:after="40"/>
              <w:jc w:val="right"/>
            </w:pPr>
            <w:r>
              <w:t>201</w:t>
            </w:r>
            <w:r w:rsidR="00E868F9">
              <w:t>8</w:t>
            </w:r>
            <w:r>
              <w:t>-1</w:t>
            </w:r>
            <w:r w:rsidR="00E868F9">
              <w:t>9</w:t>
            </w:r>
          </w:p>
        </w:tc>
        <w:tc>
          <w:tcPr>
            <w:tcW w:w="993" w:type="dxa"/>
            <w:tcBorders>
              <w:top w:val="single" w:sz="4" w:space="0" w:color="000080"/>
              <w:bottom w:val="single" w:sz="4" w:space="0" w:color="000080"/>
            </w:tcBorders>
          </w:tcPr>
          <w:p w14:paraId="0DEC6153" w14:textId="0BC3A02C" w:rsidR="001A3C32" w:rsidRDefault="001A3C32" w:rsidP="00E868F9">
            <w:pPr>
              <w:keepNext/>
              <w:keepLines/>
              <w:spacing w:before="40" w:after="40"/>
              <w:jc w:val="right"/>
            </w:pPr>
            <w:r>
              <w:t>201</w:t>
            </w:r>
            <w:r w:rsidR="00E868F9">
              <w:t>9</w:t>
            </w:r>
            <w:r>
              <w:t>-</w:t>
            </w:r>
            <w:r w:rsidR="00E868F9">
              <w:t>20</w:t>
            </w:r>
          </w:p>
        </w:tc>
        <w:tc>
          <w:tcPr>
            <w:tcW w:w="815" w:type="dxa"/>
            <w:tcBorders>
              <w:top w:val="single" w:sz="4" w:space="0" w:color="000080"/>
              <w:bottom w:val="single" w:sz="4" w:space="0" w:color="000080"/>
            </w:tcBorders>
          </w:tcPr>
          <w:p w14:paraId="405E57C9" w14:textId="77777777" w:rsidR="001A3C32" w:rsidRDefault="001A3C32" w:rsidP="00E30E41">
            <w:pPr>
              <w:keepNext/>
              <w:keepLines/>
              <w:spacing w:before="40" w:after="40"/>
              <w:jc w:val="right"/>
            </w:pPr>
            <w:r>
              <w:t>Total</w:t>
            </w:r>
          </w:p>
        </w:tc>
      </w:tr>
      <w:tr w:rsidR="00A7674C" w:rsidRPr="005B4C1B" w14:paraId="3967E003" w14:textId="77777777" w:rsidTr="00E30E41">
        <w:trPr>
          <w:cantSplit/>
        </w:trPr>
        <w:tc>
          <w:tcPr>
            <w:tcW w:w="4928" w:type="dxa"/>
          </w:tcPr>
          <w:p w14:paraId="75EF792F" w14:textId="77777777" w:rsidR="00A7674C" w:rsidRPr="005B4C1B" w:rsidRDefault="00A7674C" w:rsidP="00E30E41">
            <w:pPr>
              <w:keepNext/>
              <w:keepLines/>
              <w:spacing w:before="60" w:after="60"/>
              <w:rPr>
                <w:b/>
              </w:rPr>
            </w:pPr>
            <w:r w:rsidRPr="005B4C1B">
              <w:rPr>
                <w:b/>
              </w:rPr>
              <w:t>Estimated total budget</w:t>
            </w:r>
          </w:p>
        </w:tc>
        <w:tc>
          <w:tcPr>
            <w:tcW w:w="1134" w:type="dxa"/>
            <w:tcBorders>
              <w:top w:val="single" w:sz="4" w:space="0" w:color="000080"/>
            </w:tcBorders>
          </w:tcPr>
          <w:p w14:paraId="7F08EEE4" w14:textId="0D9C3908" w:rsidR="00A7674C" w:rsidRPr="005B4C1B" w:rsidRDefault="00E868F9" w:rsidP="00E30E41">
            <w:pPr>
              <w:keepNext/>
              <w:keepLines/>
              <w:spacing w:before="40" w:after="40"/>
              <w:jc w:val="right"/>
              <w:rPr>
                <w:b/>
              </w:rPr>
            </w:pPr>
            <w:r>
              <w:rPr>
                <w:b/>
              </w:rPr>
              <w:t>5.773</w:t>
            </w:r>
          </w:p>
        </w:tc>
        <w:tc>
          <w:tcPr>
            <w:tcW w:w="992" w:type="dxa"/>
            <w:tcBorders>
              <w:top w:val="single" w:sz="4" w:space="0" w:color="000080"/>
            </w:tcBorders>
          </w:tcPr>
          <w:p w14:paraId="14C1938C" w14:textId="12174620" w:rsidR="00A7674C" w:rsidRPr="005B4C1B" w:rsidRDefault="00E868F9" w:rsidP="00E30E41">
            <w:pPr>
              <w:keepNext/>
              <w:keepLines/>
              <w:spacing w:before="40" w:after="40"/>
              <w:jc w:val="right"/>
              <w:rPr>
                <w:b/>
              </w:rPr>
            </w:pPr>
            <w:r>
              <w:rPr>
                <w:b/>
              </w:rPr>
              <w:t>6.829</w:t>
            </w:r>
          </w:p>
        </w:tc>
        <w:tc>
          <w:tcPr>
            <w:tcW w:w="992" w:type="dxa"/>
            <w:tcBorders>
              <w:top w:val="single" w:sz="4" w:space="0" w:color="000080"/>
            </w:tcBorders>
          </w:tcPr>
          <w:p w14:paraId="614618EE" w14:textId="765BBD5D" w:rsidR="00A7674C" w:rsidRPr="005B4C1B" w:rsidRDefault="00E868F9" w:rsidP="00E30E41">
            <w:pPr>
              <w:keepNext/>
              <w:keepLines/>
              <w:spacing w:before="40" w:after="40"/>
              <w:jc w:val="right"/>
              <w:rPr>
                <w:b/>
              </w:rPr>
            </w:pPr>
            <w:r>
              <w:rPr>
                <w:b/>
              </w:rPr>
              <w:t>6.914</w:t>
            </w:r>
          </w:p>
        </w:tc>
        <w:tc>
          <w:tcPr>
            <w:tcW w:w="993" w:type="dxa"/>
            <w:tcBorders>
              <w:top w:val="single" w:sz="4" w:space="0" w:color="000080"/>
            </w:tcBorders>
          </w:tcPr>
          <w:p w14:paraId="59374FB5" w14:textId="4024D421" w:rsidR="00A7674C" w:rsidRPr="005B4C1B" w:rsidRDefault="00E868F9" w:rsidP="00E30E41">
            <w:pPr>
              <w:keepNext/>
              <w:keepLines/>
              <w:spacing w:before="40" w:after="40"/>
              <w:jc w:val="right"/>
              <w:rPr>
                <w:b/>
              </w:rPr>
            </w:pPr>
            <w:r>
              <w:rPr>
                <w:b/>
              </w:rPr>
              <w:t>7.006</w:t>
            </w:r>
          </w:p>
        </w:tc>
        <w:tc>
          <w:tcPr>
            <w:tcW w:w="815" w:type="dxa"/>
            <w:tcBorders>
              <w:top w:val="single" w:sz="4" w:space="0" w:color="000080"/>
            </w:tcBorders>
          </w:tcPr>
          <w:p w14:paraId="39F9A626" w14:textId="7A7DAC96" w:rsidR="00A7674C" w:rsidRPr="005B4C1B" w:rsidRDefault="00E868F9" w:rsidP="00E868F9">
            <w:pPr>
              <w:keepNext/>
              <w:keepLines/>
              <w:spacing w:before="40" w:after="40"/>
              <w:jc w:val="right"/>
              <w:rPr>
                <w:b/>
              </w:rPr>
            </w:pPr>
            <w:r>
              <w:rPr>
                <w:b/>
              </w:rPr>
              <w:t>26.522</w:t>
            </w:r>
          </w:p>
        </w:tc>
      </w:tr>
      <w:tr w:rsidR="00A7674C" w:rsidRPr="005B4C1B" w14:paraId="47563D46" w14:textId="77777777" w:rsidTr="00E30E41">
        <w:trPr>
          <w:cantSplit/>
        </w:trPr>
        <w:tc>
          <w:tcPr>
            <w:tcW w:w="4928" w:type="dxa"/>
          </w:tcPr>
          <w:p w14:paraId="6109B59E" w14:textId="2A8786C8" w:rsidR="00A7674C" w:rsidRPr="004A673A" w:rsidRDefault="00A7674C" w:rsidP="00E30E41">
            <w:pPr>
              <w:keepNext/>
              <w:keepLines/>
              <w:spacing w:before="60" w:after="60"/>
              <w:jc w:val="left"/>
            </w:pPr>
            <w:r>
              <w:t xml:space="preserve">Less estimated National Partnership </w:t>
            </w:r>
            <w:r w:rsidR="00444AF1">
              <w:t>P</w:t>
            </w:r>
            <w:r>
              <w:t>ayments</w:t>
            </w:r>
            <w:r w:rsidRPr="00E924A5">
              <w:rPr>
                <w:vertAlign w:val="superscript"/>
              </w:rPr>
              <w:t>(a)</w:t>
            </w:r>
          </w:p>
        </w:tc>
        <w:tc>
          <w:tcPr>
            <w:tcW w:w="1134" w:type="dxa"/>
            <w:tcBorders>
              <w:bottom w:val="single" w:sz="4" w:space="0" w:color="000080"/>
            </w:tcBorders>
          </w:tcPr>
          <w:p w14:paraId="4C896921" w14:textId="7CFC4EE4" w:rsidR="00A7674C" w:rsidRPr="005B4C1B" w:rsidRDefault="00E868F9" w:rsidP="00E30E41">
            <w:pPr>
              <w:keepNext/>
              <w:keepLines/>
              <w:spacing w:before="40" w:after="40"/>
              <w:jc w:val="right"/>
            </w:pPr>
            <w:r>
              <w:t>5.773</w:t>
            </w:r>
          </w:p>
        </w:tc>
        <w:tc>
          <w:tcPr>
            <w:tcW w:w="992" w:type="dxa"/>
            <w:tcBorders>
              <w:bottom w:val="single" w:sz="4" w:space="0" w:color="000080"/>
            </w:tcBorders>
          </w:tcPr>
          <w:p w14:paraId="4E93050F" w14:textId="28E5F157" w:rsidR="00A7674C" w:rsidRPr="005B4C1B" w:rsidRDefault="00E868F9" w:rsidP="00E30E41">
            <w:pPr>
              <w:keepNext/>
              <w:keepLines/>
              <w:spacing w:before="40" w:after="40"/>
              <w:jc w:val="right"/>
            </w:pPr>
            <w:r>
              <w:t>6.829</w:t>
            </w:r>
          </w:p>
        </w:tc>
        <w:tc>
          <w:tcPr>
            <w:tcW w:w="992" w:type="dxa"/>
            <w:tcBorders>
              <w:bottom w:val="single" w:sz="4" w:space="0" w:color="000080"/>
            </w:tcBorders>
          </w:tcPr>
          <w:p w14:paraId="7935E3C4" w14:textId="1DC9C1E3" w:rsidR="00A7674C" w:rsidRPr="005B4C1B" w:rsidRDefault="00E868F9" w:rsidP="00E30E41">
            <w:pPr>
              <w:keepNext/>
              <w:keepLines/>
              <w:spacing w:before="40" w:after="40"/>
              <w:jc w:val="right"/>
            </w:pPr>
            <w:r>
              <w:t>6.914</w:t>
            </w:r>
          </w:p>
        </w:tc>
        <w:tc>
          <w:tcPr>
            <w:tcW w:w="993" w:type="dxa"/>
            <w:tcBorders>
              <w:bottom w:val="single" w:sz="4" w:space="0" w:color="000080"/>
            </w:tcBorders>
          </w:tcPr>
          <w:p w14:paraId="236FD5CF" w14:textId="2D373FC6" w:rsidR="00A7674C" w:rsidRPr="005B4C1B" w:rsidRDefault="00E868F9" w:rsidP="00E30E41">
            <w:pPr>
              <w:keepNext/>
              <w:keepLines/>
              <w:spacing w:before="40" w:after="40"/>
              <w:jc w:val="right"/>
            </w:pPr>
            <w:r>
              <w:t>7.006</w:t>
            </w:r>
          </w:p>
        </w:tc>
        <w:tc>
          <w:tcPr>
            <w:tcW w:w="815" w:type="dxa"/>
            <w:tcBorders>
              <w:bottom w:val="single" w:sz="4" w:space="0" w:color="000080"/>
            </w:tcBorders>
          </w:tcPr>
          <w:p w14:paraId="146A2691" w14:textId="3BE97140" w:rsidR="00A7674C" w:rsidRPr="005B4C1B" w:rsidRDefault="00E868F9" w:rsidP="00E30E41">
            <w:pPr>
              <w:keepNext/>
              <w:keepLines/>
              <w:spacing w:before="40" w:after="40"/>
              <w:jc w:val="right"/>
            </w:pPr>
            <w:r>
              <w:t>26.522</w:t>
            </w:r>
          </w:p>
        </w:tc>
      </w:tr>
      <w:tr w:rsidR="00A7674C" w14:paraId="08FE4775" w14:textId="77777777" w:rsidTr="00E30E41">
        <w:trPr>
          <w:cantSplit/>
        </w:trPr>
        <w:tc>
          <w:tcPr>
            <w:tcW w:w="4928" w:type="dxa"/>
            <w:tcBorders>
              <w:bottom w:val="single" w:sz="4" w:space="0" w:color="000080"/>
            </w:tcBorders>
          </w:tcPr>
          <w:p w14:paraId="527993E6" w14:textId="1657E3FC" w:rsidR="00A7674C" w:rsidRPr="006146F2" w:rsidRDefault="00A7674C" w:rsidP="00E30E41">
            <w:pPr>
              <w:keepNext/>
              <w:keepLines/>
              <w:spacing w:before="40" w:after="40"/>
            </w:pPr>
            <w:r w:rsidRPr="006146F2">
              <w:t>Balance of non-Commonwealth contribution</w:t>
            </w:r>
            <w:r>
              <w:t>s</w:t>
            </w:r>
          </w:p>
        </w:tc>
        <w:tc>
          <w:tcPr>
            <w:tcW w:w="1134" w:type="dxa"/>
            <w:tcBorders>
              <w:bottom w:val="single" w:sz="4" w:space="0" w:color="000080"/>
            </w:tcBorders>
          </w:tcPr>
          <w:p w14:paraId="1D2BC6DB" w14:textId="5649E94F" w:rsidR="00A7674C" w:rsidRDefault="00E868F9" w:rsidP="00E30E41">
            <w:pPr>
              <w:keepNext/>
              <w:keepLines/>
              <w:spacing w:before="40" w:after="40"/>
              <w:jc w:val="right"/>
            </w:pPr>
            <w:r>
              <w:t>0.00</w:t>
            </w:r>
          </w:p>
        </w:tc>
        <w:tc>
          <w:tcPr>
            <w:tcW w:w="992" w:type="dxa"/>
            <w:tcBorders>
              <w:bottom w:val="single" w:sz="4" w:space="0" w:color="000080"/>
            </w:tcBorders>
          </w:tcPr>
          <w:p w14:paraId="33789368" w14:textId="47FE0182" w:rsidR="00A7674C" w:rsidRDefault="00E868F9" w:rsidP="00E30E41">
            <w:pPr>
              <w:keepNext/>
              <w:keepLines/>
              <w:spacing w:before="40" w:after="40"/>
              <w:jc w:val="right"/>
            </w:pPr>
            <w:r>
              <w:t>0.00</w:t>
            </w:r>
          </w:p>
        </w:tc>
        <w:tc>
          <w:tcPr>
            <w:tcW w:w="992" w:type="dxa"/>
            <w:tcBorders>
              <w:bottom w:val="single" w:sz="4" w:space="0" w:color="000080"/>
            </w:tcBorders>
          </w:tcPr>
          <w:p w14:paraId="33BBBA13" w14:textId="0E8C885E" w:rsidR="00A7674C" w:rsidRDefault="00E868F9" w:rsidP="00E30E41">
            <w:pPr>
              <w:keepNext/>
              <w:keepLines/>
              <w:spacing w:before="40" w:after="40"/>
              <w:jc w:val="right"/>
            </w:pPr>
            <w:r>
              <w:t>0.00</w:t>
            </w:r>
          </w:p>
        </w:tc>
        <w:tc>
          <w:tcPr>
            <w:tcW w:w="993" w:type="dxa"/>
            <w:tcBorders>
              <w:bottom w:val="single" w:sz="4" w:space="0" w:color="000080"/>
            </w:tcBorders>
          </w:tcPr>
          <w:p w14:paraId="43DE34B5" w14:textId="14E17CDE" w:rsidR="00A7674C" w:rsidRDefault="00E868F9" w:rsidP="00E30E41">
            <w:pPr>
              <w:keepNext/>
              <w:keepLines/>
              <w:spacing w:before="40" w:after="40"/>
              <w:jc w:val="right"/>
            </w:pPr>
            <w:r>
              <w:t>0.00</w:t>
            </w:r>
          </w:p>
        </w:tc>
        <w:tc>
          <w:tcPr>
            <w:tcW w:w="815" w:type="dxa"/>
            <w:tcBorders>
              <w:bottom w:val="single" w:sz="4" w:space="0" w:color="000080"/>
            </w:tcBorders>
          </w:tcPr>
          <w:p w14:paraId="3E98DA5F" w14:textId="7A6F76F1" w:rsidR="00A7674C" w:rsidRDefault="00E868F9" w:rsidP="00E30E41">
            <w:pPr>
              <w:keepNext/>
              <w:keepLines/>
              <w:spacing w:before="40" w:after="40"/>
              <w:jc w:val="right"/>
            </w:pPr>
            <w:r>
              <w:t>0.00</w:t>
            </w:r>
          </w:p>
        </w:tc>
      </w:tr>
      <w:tr w:rsidR="001A3C32" w14:paraId="32BED6DA" w14:textId="77777777" w:rsidTr="001A3C32">
        <w:trPr>
          <w:cantSplit/>
          <w:trHeight w:val="270"/>
        </w:trPr>
        <w:tc>
          <w:tcPr>
            <w:tcW w:w="9854" w:type="dxa"/>
            <w:gridSpan w:val="6"/>
            <w:tcBorders>
              <w:top w:val="single" w:sz="4" w:space="0" w:color="auto"/>
            </w:tcBorders>
          </w:tcPr>
          <w:p w14:paraId="1E07F7EC" w14:textId="2C4A5E2E" w:rsidR="001A3C32" w:rsidRPr="003B5E41" w:rsidRDefault="001A3C32" w:rsidP="001A3C32">
            <w:r>
              <w:rPr>
                <w:b/>
                <w:vertAlign w:val="superscript"/>
              </w:rPr>
              <w:t xml:space="preserve">(a)  </w:t>
            </w:r>
            <w:r w:rsidRPr="00C7764F">
              <w:rPr>
                <w:sz w:val="20"/>
              </w:rPr>
              <w:t xml:space="preserve">Estimated National Partnership </w:t>
            </w:r>
            <w:r w:rsidR="00444AF1">
              <w:rPr>
                <w:sz w:val="20"/>
              </w:rPr>
              <w:t>P</w:t>
            </w:r>
            <w:r w:rsidRPr="00C7764F">
              <w:rPr>
                <w:sz w:val="20"/>
              </w:rPr>
              <w:t xml:space="preserve">ayments </w:t>
            </w:r>
            <w:r>
              <w:rPr>
                <w:sz w:val="20"/>
              </w:rPr>
              <w:t>for each project</w:t>
            </w:r>
            <w:r w:rsidRPr="00C7764F">
              <w:rPr>
                <w:sz w:val="20"/>
              </w:rPr>
              <w:t xml:space="preserve"> are set out in the </w:t>
            </w:r>
            <w:r>
              <w:rPr>
                <w:sz w:val="20"/>
              </w:rPr>
              <w:t>S</w:t>
            </w:r>
            <w:r w:rsidRPr="00C7764F">
              <w:rPr>
                <w:sz w:val="20"/>
              </w:rPr>
              <w:t>chedules to this Agreement.</w:t>
            </w:r>
          </w:p>
        </w:tc>
      </w:tr>
    </w:tbl>
    <w:p w14:paraId="574B0B2B" w14:textId="20059CDB" w:rsidR="00981A01" w:rsidRPr="00F31F3D" w:rsidRDefault="00981A01" w:rsidP="00B0488D">
      <w:pPr>
        <w:pStyle w:val="Normalnumbered"/>
        <w:numPr>
          <w:ilvl w:val="0"/>
          <w:numId w:val="9"/>
        </w:numPr>
        <w:spacing w:before="240"/>
      </w:pPr>
      <w:r w:rsidRPr="00F31F3D">
        <w:t xml:space="preserve">Having regard to the agreed estimated costs of projects specified in this </w:t>
      </w:r>
      <w:r>
        <w:t>Schedule</w:t>
      </w:r>
      <w:r w:rsidRPr="00F31F3D">
        <w:t>, Queensland will not be required to pay a refund to the Commonwealth if the actual cost of the project is less than the agreed estimated cost of the project. Similarly, Queensland bears all risk should the costs of a project exceed the agreed estimated costs. The Parties acknowledge that this arrangement provides the maximum incentive for Queensland to deliver projects cost effectively and efficiently.</w:t>
      </w:r>
    </w:p>
    <w:p w14:paraId="543126BA" w14:textId="7E46D034" w:rsidR="00814667" w:rsidRDefault="002A7D4D" w:rsidP="00B0488D">
      <w:pPr>
        <w:pStyle w:val="Heading1"/>
        <w:spacing w:before="0"/>
      </w:pPr>
      <w:r>
        <w:t xml:space="preserve">part 6 – </w:t>
      </w:r>
      <w:r w:rsidR="00814667">
        <w:t>governance arrangements</w:t>
      </w:r>
    </w:p>
    <w:p w14:paraId="7CA78682" w14:textId="77777777" w:rsidR="00BC4728" w:rsidRDefault="00BC4728" w:rsidP="00BC4728">
      <w:pPr>
        <w:pStyle w:val="Heading2"/>
      </w:pPr>
      <w:r w:rsidRPr="006F096A">
        <w:t>Enforceability of the Agreement</w:t>
      </w:r>
    </w:p>
    <w:p w14:paraId="41E01A5E" w14:textId="77777777" w:rsidR="00BC4728" w:rsidRPr="00C40EBC" w:rsidRDefault="00BC4728" w:rsidP="00C013E5">
      <w:pPr>
        <w:pStyle w:val="Normalnumbered"/>
        <w:numPr>
          <w:ilvl w:val="0"/>
          <w:numId w:val="9"/>
        </w:numPr>
        <w:spacing w:line="240" w:lineRule="auto"/>
      </w:pPr>
      <w:r>
        <w:rPr>
          <w:szCs w:val="23"/>
        </w:rPr>
        <w:t>The Parties do not intend any of the provisions of this Agreement to be legally enforceable. However, that does not lessen the Parties’ commitment to this Agreement.</w:t>
      </w:r>
    </w:p>
    <w:p w14:paraId="4D606CA0" w14:textId="77777777" w:rsidR="00814667" w:rsidRDefault="00814667">
      <w:pPr>
        <w:pStyle w:val="Heading2"/>
      </w:pPr>
      <w:r>
        <w:t>Variation of the Agreement</w:t>
      </w:r>
    </w:p>
    <w:p w14:paraId="07342639" w14:textId="78912A0E" w:rsidR="00814667" w:rsidRPr="00DE36EB" w:rsidRDefault="00607B03" w:rsidP="00C013E5">
      <w:pPr>
        <w:pStyle w:val="Normalnumbered"/>
        <w:numPr>
          <w:ilvl w:val="0"/>
          <w:numId w:val="9"/>
        </w:numPr>
      </w:pPr>
      <w:r>
        <w:t>The A</w:t>
      </w:r>
      <w:r w:rsidR="00814667">
        <w:t xml:space="preserve">greement </w:t>
      </w:r>
      <w:r w:rsidR="00127E5B">
        <w:t xml:space="preserve">and </w:t>
      </w:r>
      <w:r w:rsidR="001A3C32">
        <w:t xml:space="preserve">its </w:t>
      </w:r>
      <w:r w:rsidR="00127E5B">
        <w:t xml:space="preserve">Schedules </w:t>
      </w:r>
      <w:r w:rsidR="00814667">
        <w:t xml:space="preserve">may be amended at any </w:t>
      </w:r>
      <w:r w:rsidR="00D21190">
        <w:t>time by agreement in writing by both</w:t>
      </w:r>
      <w:r w:rsidR="002B1C50" w:rsidRPr="00DE36EB">
        <w:t xml:space="preserve"> </w:t>
      </w:r>
      <w:r w:rsidR="00814667" w:rsidRPr="00DE36EB">
        <w:t>the Parties.</w:t>
      </w:r>
    </w:p>
    <w:p w14:paraId="76AB01FD" w14:textId="46091AFA" w:rsidR="00292587" w:rsidRDefault="00D21190" w:rsidP="00C013E5">
      <w:pPr>
        <w:pStyle w:val="Normalnumbered"/>
        <w:numPr>
          <w:ilvl w:val="0"/>
          <w:numId w:val="9"/>
        </w:numPr>
      </w:pPr>
      <w:r>
        <w:t xml:space="preserve">Either </w:t>
      </w:r>
      <w:r w:rsidR="00814667" w:rsidRPr="00DE36EB">
        <w:t xml:space="preserve">Party to the Agreement </w:t>
      </w:r>
      <w:r w:rsidR="00B33B2D">
        <w:t xml:space="preserve">may terminate their participation in the Agreement </w:t>
      </w:r>
      <w:r>
        <w:t>at any time by notifying</w:t>
      </w:r>
      <w:r w:rsidR="00C2605C">
        <w:t xml:space="preserve"> </w:t>
      </w:r>
      <w:r w:rsidR="00814667">
        <w:t>the other Part</w:t>
      </w:r>
      <w:r>
        <w:t>y</w:t>
      </w:r>
      <w:r w:rsidR="00C2605C">
        <w:rPr>
          <w:i/>
        </w:rPr>
        <w:t xml:space="preserve"> </w:t>
      </w:r>
      <w:r w:rsidR="00814667">
        <w:t>in writing.</w:t>
      </w:r>
    </w:p>
    <w:p w14:paraId="19784A56" w14:textId="77777777" w:rsidR="009526E4" w:rsidRDefault="009526E4" w:rsidP="0036119D">
      <w:pPr>
        <w:pStyle w:val="Heading2"/>
      </w:pPr>
      <w:r>
        <w:lastRenderedPageBreak/>
        <w:t>Delegations</w:t>
      </w:r>
    </w:p>
    <w:p w14:paraId="36C88FA6" w14:textId="77777777" w:rsidR="009526E4" w:rsidRDefault="009526E4" w:rsidP="00C013E5">
      <w:pPr>
        <w:pStyle w:val="Normalnumbered"/>
        <w:numPr>
          <w:ilvl w:val="0"/>
          <w:numId w:val="9"/>
        </w:numPr>
      </w:pPr>
      <w:r>
        <w:t xml:space="preserve">The Commonwealth Minister may delegate the assessment of performance </w:t>
      </w:r>
      <w:r w:rsidR="00115A97">
        <w:t>against</w:t>
      </w:r>
      <w:r>
        <w:t xml:space="preserve"> milestones and the authorisation of related project payments to senior Commonwealth officials, having regard to the financial and policy risks associated with those payments.</w:t>
      </w:r>
    </w:p>
    <w:p w14:paraId="473B94F1" w14:textId="77777777" w:rsidR="0036119D" w:rsidRDefault="0036119D" w:rsidP="0036119D">
      <w:pPr>
        <w:pStyle w:val="Heading2"/>
      </w:pPr>
      <w:r>
        <w:t>Dispute resolution</w:t>
      </w:r>
    </w:p>
    <w:p w14:paraId="53CDBFE2" w14:textId="77777777" w:rsidR="0036119D" w:rsidRPr="00DE36EB" w:rsidRDefault="00697494" w:rsidP="00C013E5">
      <w:pPr>
        <w:pStyle w:val="Normalnumbered"/>
        <w:numPr>
          <w:ilvl w:val="0"/>
          <w:numId w:val="9"/>
        </w:numPr>
      </w:pPr>
      <w:r w:rsidRPr="00DE36EB">
        <w:t>E</w:t>
      </w:r>
      <w:r w:rsidR="00D21190">
        <w:t>ither</w:t>
      </w:r>
      <w:r w:rsidR="002B1C50" w:rsidRPr="00DE36EB">
        <w:t xml:space="preserve"> </w:t>
      </w:r>
      <w:r w:rsidR="0036119D" w:rsidRPr="00DE36EB">
        <w:t>Party may give notice to</w:t>
      </w:r>
      <w:r w:rsidR="00D21190">
        <w:t xml:space="preserve"> the</w:t>
      </w:r>
      <w:r w:rsidR="0036119D" w:rsidRPr="00DE36EB">
        <w:t xml:space="preserve"> other </w:t>
      </w:r>
      <w:r w:rsidR="00D21190">
        <w:t>Party</w:t>
      </w:r>
      <w:r w:rsidR="00684EC1" w:rsidRPr="00DE36EB">
        <w:t xml:space="preserve"> </w:t>
      </w:r>
      <w:r w:rsidR="0036119D" w:rsidRPr="00DE36EB">
        <w:t>of a dispute under this Agreement.</w:t>
      </w:r>
    </w:p>
    <w:p w14:paraId="1747353E" w14:textId="77777777" w:rsidR="0036119D" w:rsidRPr="00DE36EB" w:rsidRDefault="0036119D" w:rsidP="00C013E5">
      <w:pPr>
        <w:pStyle w:val="Normalnumbered"/>
        <w:numPr>
          <w:ilvl w:val="0"/>
          <w:numId w:val="9"/>
        </w:numPr>
      </w:pPr>
      <w:r w:rsidRPr="00DE36EB">
        <w:t xml:space="preserve">Officials of </w:t>
      </w:r>
      <w:r w:rsidR="00D21190">
        <w:t>both</w:t>
      </w:r>
      <w:r w:rsidR="002B1C50" w:rsidRPr="00DE36EB">
        <w:rPr>
          <w:i/>
        </w:rPr>
        <w:t xml:space="preserve"> </w:t>
      </w:r>
      <w:r w:rsidRPr="00DE36EB">
        <w:t>Parties will attempt to resolve any dispute in the first instance.</w:t>
      </w:r>
    </w:p>
    <w:p w14:paraId="21D253D5" w14:textId="77777777" w:rsidR="0036119D" w:rsidRPr="00DE36EB" w:rsidRDefault="0036119D" w:rsidP="00C013E5">
      <w:pPr>
        <w:pStyle w:val="Normalnumbered"/>
        <w:numPr>
          <w:ilvl w:val="0"/>
          <w:numId w:val="9"/>
        </w:numPr>
      </w:pPr>
      <w:r w:rsidRPr="00DE36EB">
        <w:t>If a dispute cannot be resolved by officials, it may be escalated to the relevant Ministers.</w:t>
      </w:r>
    </w:p>
    <w:p w14:paraId="1CE6D0B9" w14:textId="77777777" w:rsidR="0036119D" w:rsidRDefault="0036119D" w:rsidP="000614F9">
      <w:pPr>
        <w:pStyle w:val="Normalnumbered"/>
        <w:numPr>
          <w:ilvl w:val="0"/>
          <w:numId w:val="0"/>
        </w:numPr>
        <w:jc w:val="left"/>
        <w:sectPr w:rsidR="0036119D" w:rsidSect="00CB6703">
          <w:headerReference w:type="even" r:id="rId15"/>
          <w:headerReference w:type="default" r:id="rId16"/>
          <w:footerReference w:type="even" r:id="rId17"/>
          <w:footerReference w:type="default" r:id="rId18"/>
          <w:footerReference w:type="first" r:id="rId19"/>
          <w:pgSz w:w="11906" w:h="16838" w:code="9"/>
          <w:pgMar w:top="1134" w:right="1134" w:bottom="1134" w:left="1134" w:header="709" w:footer="709" w:gutter="0"/>
          <w:cols w:space="708"/>
          <w:titlePg/>
          <w:docGrid w:linePitch="360"/>
        </w:sectPr>
      </w:pPr>
    </w:p>
    <w:p w14:paraId="5DE2017A" w14:textId="77777777" w:rsidR="00814667" w:rsidRPr="00A50751" w:rsidRDefault="00814667">
      <w:pPr>
        <w:rPr>
          <w:lang w:val="en-GB"/>
        </w:rPr>
      </w:pPr>
      <w:r w:rsidRPr="00A50751">
        <w:rPr>
          <w:lang w:val="en-GB"/>
        </w:rPr>
        <w:lastRenderedPageBreak/>
        <w:t xml:space="preserve">The </w:t>
      </w:r>
      <w:r w:rsidRPr="00C57BB9">
        <w:rPr>
          <w:sz w:val="24"/>
          <w:szCs w:val="24"/>
        </w:rPr>
        <w:t>Parties</w:t>
      </w:r>
      <w:r w:rsidRPr="00A50751">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814667" w:rsidRPr="00A50751" w14:paraId="0036BCA1" w14:textId="77777777">
        <w:trPr>
          <w:cantSplit/>
          <w:jc w:val="center"/>
        </w:trPr>
        <w:tc>
          <w:tcPr>
            <w:tcW w:w="4536" w:type="dxa"/>
          </w:tcPr>
          <w:p w14:paraId="425F8EF8" w14:textId="41CB8F0B" w:rsidR="00814667" w:rsidRPr="004A0AE7" w:rsidRDefault="00814667">
            <w:pPr>
              <w:pStyle w:val="Signed"/>
            </w:pPr>
            <w:r>
              <w:rPr>
                <w:rStyle w:val="SignedBold"/>
              </w:rPr>
              <w:t>Signed</w:t>
            </w:r>
            <w:r w:rsidRPr="004A0AE7">
              <w:t xml:space="preserve"> for and on behalf of the</w:t>
            </w:r>
            <w:r>
              <w:t xml:space="preserve"> </w:t>
            </w:r>
            <w:r w:rsidRPr="004A0AE7">
              <w:t>Commonwealth of Australia by</w:t>
            </w:r>
          </w:p>
          <w:p w14:paraId="66FC9E47" w14:textId="77777777" w:rsidR="00A25215" w:rsidRDefault="00A25215">
            <w:pPr>
              <w:pStyle w:val="LineForSignature"/>
            </w:pPr>
          </w:p>
          <w:p w14:paraId="0450F000" w14:textId="77777777" w:rsidR="00814667" w:rsidRPr="00A50751" w:rsidRDefault="00814667">
            <w:pPr>
              <w:pStyle w:val="LineForSignature"/>
            </w:pPr>
            <w:r>
              <w:tab/>
            </w:r>
          </w:p>
          <w:p w14:paraId="3013DA30" w14:textId="5AEDAB13" w:rsidR="00814667" w:rsidRDefault="00DD2890">
            <w:pPr>
              <w:pStyle w:val="SingleParagraph"/>
              <w:rPr>
                <w:rStyle w:val="Bold"/>
              </w:rPr>
            </w:pPr>
            <w:r>
              <w:rPr>
                <w:rStyle w:val="Bold"/>
              </w:rPr>
              <w:t>The Honourable Greg Hunt MP</w:t>
            </w:r>
          </w:p>
          <w:p w14:paraId="59FC5EBE" w14:textId="63211D53" w:rsidR="00A82C83" w:rsidRDefault="0099742A" w:rsidP="00A82C83">
            <w:pPr>
              <w:pStyle w:val="Position"/>
              <w:spacing w:after="0"/>
              <w:rPr>
                <w:lang w:val="en-GB"/>
              </w:rPr>
            </w:pPr>
            <w:r>
              <w:rPr>
                <w:lang w:val="en-GB"/>
              </w:rPr>
              <w:t xml:space="preserve">Minister for </w:t>
            </w:r>
            <w:r w:rsidR="00447FB0">
              <w:rPr>
                <w:lang w:val="en-GB"/>
              </w:rPr>
              <w:t>Health</w:t>
            </w:r>
          </w:p>
          <w:p w14:paraId="744DEF38" w14:textId="1E790062" w:rsidR="00814667" w:rsidRDefault="00444AF1">
            <w:pPr>
              <w:pStyle w:val="SingleParagraph"/>
              <w:tabs>
                <w:tab w:val="num" w:pos="1134"/>
              </w:tabs>
              <w:spacing w:after="240"/>
              <w:ind w:left="1134" w:hanging="567"/>
              <w:rPr>
                <w:b/>
                <w:lang w:val="en-GB"/>
              </w:rPr>
            </w:pPr>
            <w:r w:rsidDel="00444AF1">
              <w:rPr>
                <w:lang w:val="en-GB"/>
              </w:rPr>
              <w:t xml:space="preserve"> </w:t>
            </w:r>
            <w:r w:rsidR="006679C0">
              <w:rPr>
                <w:lang w:val="en-GB"/>
              </w:rPr>
              <w:t>[Day]  [</w:t>
            </w:r>
            <w:r w:rsidR="001B1CA3">
              <w:rPr>
                <w:lang w:val="en-GB"/>
              </w:rPr>
              <w:t>Month</w:t>
            </w:r>
            <w:r w:rsidR="006679C0">
              <w:rPr>
                <w:lang w:val="en-GB"/>
              </w:rPr>
              <w:t>]</w:t>
            </w:r>
            <w:r w:rsidR="001B1CA3">
              <w:rPr>
                <w:lang w:val="en-GB"/>
              </w:rPr>
              <w:t xml:space="preserve"> </w:t>
            </w:r>
            <w:r w:rsidR="006679C0">
              <w:rPr>
                <w:lang w:val="en-GB"/>
              </w:rPr>
              <w:t xml:space="preserve"> [Year]</w:t>
            </w:r>
          </w:p>
        </w:tc>
        <w:tc>
          <w:tcPr>
            <w:tcW w:w="284" w:type="dxa"/>
            <w:tcMar>
              <w:left w:w="0" w:type="dxa"/>
              <w:right w:w="0" w:type="dxa"/>
            </w:tcMar>
          </w:tcPr>
          <w:p w14:paraId="6CDF23D6" w14:textId="77777777" w:rsidR="00814667" w:rsidRPr="00A50751" w:rsidRDefault="00814667">
            <w:pPr>
              <w:rPr>
                <w:rFonts w:ascii="Book Antiqua" w:hAnsi="Book Antiqua"/>
                <w:lang w:val="en-GB"/>
              </w:rPr>
            </w:pPr>
          </w:p>
        </w:tc>
        <w:tc>
          <w:tcPr>
            <w:tcW w:w="4536" w:type="dxa"/>
          </w:tcPr>
          <w:p w14:paraId="476EC98B" w14:textId="77777777" w:rsidR="00814667" w:rsidRPr="00A50751" w:rsidRDefault="00814667">
            <w:pPr>
              <w:rPr>
                <w:rFonts w:ascii="Book Antiqua" w:hAnsi="Book Antiqua"/>
                <w:lang w:val="en-GB"/>
              </w:rPr>
            </w:pPr>
          </w:p>
        </w:tc>
      </w:tr>
      <w:tr w:rsidR="00814667" w:rsidRPr="00A50751" w14:paraId="2CF48AD6" w14:textId="77777777">
        <w:trPr>
          <w:cantSplit/>
          <w:jc w:val="center"/>
        </w:trPr>
        <w:tc>
          <w:tcPr>
            <w:tcW w:w="4536" w:type="dxa"/>
          </w:tcPr>
          <w:p w14:paraId="4EEF2BE1"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487323D7" w14:textId="77777777" w:rsidR="00814667" w:rsidRPr="00A50751" w:rsidRDefault="00814667">
            <w:pPr>
              <w:pStyle w:val="SingleParagraph"/>
              <w:rPr>
                <w:rFonts w:ascii="Book Antiqua" w:hAnsi="Book Antiqua"/>
                <w:lang w:val="en-GB"/>
              </w:rPr>
            </w:pPr>
          </w:p>
        </w:tc>
        <w:tc>
          <w:tcPr>
            <w:tcW w:w="4536" w:type="dxa"/>
          </w:tcPr>
          <w:p w14:paraId="0432D3D0" w14:textId="77777777" w:rsidR="00814667" w:rsidRPr="00A50751" w:rsidRDefault="00814667">
            <w:pPr>
              <w:pStyle w:val="SingleParagraph"/>
              <w:rPr>
                <w:rFonts w:ascii="Book Antiqua" w:hAnsi="Book Antiqua"/>
                <w:lang w:val="en-GB"/>
              </w:rPr>
            </w:pPr>
          </w:p>
        </w:tc>
      </w:tr>
      <w:tr w:rsidR="00814667" w:rsidRPr="00A50751" w14:paraId="4BFAD5FC" w14:textId="77777777">
        <w:trPr>
          <w:cantSplit/>
          <w:jc w:val="center"/>
        </w:trPr>
        <w:tc>
          <w:tcPr>
            <w:tcW w:w="4536" w:type="dxa"/>
          </w:tcPr>
          <w:p w14:paraId="3C7EF707" w14:textId="279A57A4" w:rsidR="00814667" w:rsidRPr="004A0AE7" w:rsidRDefault="00814667">
            <w:pPr>
              <w:pStyle w:val="Signed"/>
            </w:pPr>
            <w:r>
              <w:rPr>
                <w:rStyle w:val="SignedBold"/>
              </w:rPr>
              <w:t>Signed</w:t>
            </w:r>
            <w:r w:rsidRPr="004A0AE7">
              <w:t xml:space="preserve"> for and on behalf of the</w:t>
            </w:r>
            <w:r w:rsidRPr="004A0AE7">
              <w:br/>
              <w:t>State of Queensland by</w:t>
            </w:r>
          </w:p>
          <w:p w14:paraId="6DD7A5BA" w14:textId="77777777" w:rsidR="00A25215" w:rsidRDefault="00A25215">
            <w:pPr>
              <w:pStyle w:val="LineForSignature"/>
            </w:pPr>
          </w:p>
          <w:p w14:paraId="04FDB6C7" w14:textId="77777777" w:rsidR="00814667" w:rsidRPr="00A50751" w:rsidRDefault="00814667">
            <w:pPr>
              <w:pStyle w:val="LineForSignature"/>
            </w:pPr>
            <w:r w:rsidRPr="00A50751">
              <w:tab/>
            </w:r>
          </w:p>
          <w:p w14:paraId="14599A7B" w14:textId="54244EC2" w:rsidR="00814667" w:rsidRDefault="00814667">
            <w:pPr>
              <w:pStyle w:val="SingleParagraph"/>
              <w:rPr>
                <w:b/>
              </w:rPr>
            </w:pPr>
            <w:r>
              <w:rPr>
                <w:b/>
              </w:rPr>
              <w:t xml:space="preserve">The Honourable </w:t>
            </w:r>
            <w:r w:rsidR="00612109">
              <w:rPr>
                <w:rStyle w:val="Bold"/>
              </w:rPr>
              <w:t>Yvette D’Ath</w:t>
            </w:r>
            <w:r w:rsidR="0099742A">
              <w:rPr>
                <w:rStyle w:val="Bold"/>
              </w:rPr>
              <w:t xml:space="preserve"> </w:t>
            </w:r>
            <w:r>
              <w:rPr>
                <w:b/>
              </w:rPr>
              <w:t>MP</w:t>
            </w:r>
          </w:p>
          <w:p w14:paraId="57565F7E" w14:textId="0FEE3F2C" w:rsidR="00A82C83" w:rsidRDefault="00612109" w:rsidP="00A82C83">
            <w:pPr>
              <w:pStyle w:val="Position"/>
              <w:spacing w:after="0"/>
              <w:rPr>
                <w:lang w:val="en-GB"/>
              </w:rPr>
            </w:pPr>
            <w:r>
              <w:rPr>
                <w:lang w:val="en-GB"/>
              </w:rPr>
              <w:t xml:space="preserve">Acting </w:t>
            </w:r>
            <w:r w:rsidR="00542A8C">
              <w:rPr>
                <w:lang w:val="en-GB"/>
              </w:rPr>
              <w:t xml:space="preserve">Minister for </w:t>
            </w:r>
            <w:r w:rsidR="00A82C83">
              <w:rPr>
                <w:lang w:val="en-GB"/>
              </w:rPr>
              <w:t>Health</w:t>
            </w:r>
          </w:p>
          <w:p w14:paraId="1CFE491C" w14:textId="46288A0B" w:rsidR="00814667" w:rsidRPr="00A50751" w:rsidRDefault="006679C0">
            <w:pPr>
              <w:pStyle w:val="SingleParagraph"/>
              <w:tabs>
                <w:tab w:val="num" w:pos="1134"/>
              </w:tabs>
              <w:spacing w:after="240"/>
              <w:ind w:left="1134" w:hanging="567"/>
              <w:rPr>
                <w:lang w:val="en-GB"/>
              </w:rPr>
            </w:pPr>
            <w:bookmarkStart w:id="1" w:name="_GoBack"/>
            <w:bookmarkEnd w:id="1"/>
            <w:r>
              <w:rPr>
                <w:lang w:val="en-GB"/>
              </w:rPr>
              <w:t>[Day]  [Month]  [Year]</w:t>
            </w:r>
          </w:p>
        </w:tc>
        <w:tc>
          <w:tcPr>
            <w:tcW w:w="284" w:type="dxa"/>
            <w:tcMar>
              <w:left w:w="0" w:type="dxa"/>
              <w:right w:w="0" w:type="dxa"/>
            </w:tcMar>
          </w:tcPr>
          <w:p w14:paraId="62477D4E" w14:textId="77777777" w:rsidR="00814667" w:rsidRPr="00A50751" w:rsidRDefault="00814667">
            <w:pPr>
              <w:rPr>
                <w:rFonts w:ascii="Book Antiqua" w:hAnsi="Book Antiqua"/>
                <w:lang w:val="en-GB"/>
              </w:rPr>
            </w:pPr>
          </w:p>
        </w:tc>
        <w:tc>
          <w:tcPr>
            <w:tcW w:w="4536" w:type="dxa"/>
          </w:tcPr>
          <w:p w14:paraId="6B9EF3C6" w14:textId="77777777" w:rsidR="00814667" w:rsidRPr="00A50751" w:rsidRDefault="00814667">
            <w:pPr>
              <w:pStyle w:val="SingleParagraph"/>
              <w:tabs>
                <w:tab w:val="num" w:pos="1134"/>
              </w:tabs>
              <w:spacing w:after="240"/>
              <w:ind w:left="1134" w:hanging="567"/>
              <w:rPr>
                <w:lang w:val="en-GB"/>
              </w:rPr>
            </w:pPr>
          </w:p>
        </w:tc>
      </w:tr>
      <w:tr w:rsidR="00814667" w:rsidRPr="00A50751" w14:paraId="32E038EB" w14:textId="77777777">
        <w:trPr>
          <w:cantSplit/>
          <w:jc w:val="center"/>
        </w:trPr>
        <w:tc>
          <w:tcPr>
            <w:tcW w:w="4536" w:type="dxa"/>
          </w:tcPr>
          <w:p w14:paraId="70F00354"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42BCA51A" w14:textId="77777777" w:rsidR="00814667" w:rsidRPr="00A50751" w:rsidRDefault="00814667">
            <w:pPr>
              <w:pStyle w:val="SingleParagraph"/>
              <w:rPr>
                <w:rFonts w:ascii="Book Antiqua" w:hAnsi="Book Antiqua"/>
                <w:lang w:val="en-GB"/>
              </w:rPr>
            </w:pPr>
          </w:p>
        </w:tc>
        <w:tc>
          <w:tcPr>
            <w:tcW w:w="4536" w:type="dxa"/>
          </w:tcPr>
          <w:p w14:paraId="5A16AC63" w14:textId="77777777" w:rsidR="00814667" w:rsidRPr="00A50751" w:rsidRDefault="00814667">
            <w:pPr>
              <w:pStyle w:val="SingleParagraph"/>
              <w:rPr>
                <w:rFonts w:ascii="Book Antiqua" w:hAnsi="Book Antiqua"/>
                <w:lang w:val="en-GB"/>
              </w:rPr>
            </w:pPr>
          </w:p>
        </w:tc>
      </w:tr>
    </w:tbl>
    <w:p w14:paraId="5EF458E0" w14:textId="77777777" w:rsidR="008843EE" w:rsidRDefault="008843EE" w:rsidP="0020144E"/>
    <w:sectPr w:rsidR="008843EE" w:rsidSect="00C606F6">
      <w:headerReference w:type="first" r:id="rId20"/>
      <w:footerReference w:type="first" r:id="rId21"/>
      <w:type w:val="oddPage"/>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60107" w14:textId="77777777" w:rsidR="00811F38" w:rsidRDefault="00811F38">
      <w:r>
        <w:separator/>
      </w:r>
    </w:p>
  </w:endnote>
  <w:endnote w:type="continuationSeparator" w:id="0">
    <w:p w14:paraId="7ACFC377" w14:textId="77777777" w:rsidR="00811F38" w:rsidRDefault="00811F38">
      <w:r>
        <w:continuationSeparator/>
      </w:r>
    </w:p>
  </w:endnote>
  <w:endnote w:type="continuationNotice" w:id="1">
    <w:p w14:paraId="554278DD" w14:textId="77777777" w:rsidR="00811F38" w:rsidRDefault="00811F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8EC14" w14:textId="77777777" w:rsidR="00AB76C6" w:rsidRDefault="00AB76C6">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B6703">
      <w:rPr>
        <w:rStyle w:val="PageNumber"/>
        <w:noProof/>
      </w:rPr>
      <w:t>2</w:t>
    </w:r>
    <w:r>
      <w:rPr>
        <w:rStyle w:val="PageNumber"/>
      </w:rPr>
      <w:fldChar w:fldCharType="end"/>
    </w:r>
  </w:p>
  <w:p w14:paraId="2DC5600F" w14:textId="77777777" w:rsidR="00AB76C6" w:rsidRDefault="00AB76C6">
    <w:pPr>
      <w:pStyle w:val="FooterEven"/>
      <w:keepNext/>
      <w:tabs>
        <w:tab w:val="num" w:pos="17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3B37B" w14:textId="77777777" w:rsidR="00AB76C6" w:rsidRDefault="00AB76C6">
    <w:pPr>
      <w:pStyle w:val="FooterOdd"/>
      <w:keepNext/>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sidR="00612109">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D457D" w14:textId="77777777" w:rsidR="00AB76C6" w:rsidRDefault="00AB76C6">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12109">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BEB91" w14:textId="445C4AB6" w:rsidR="00AB76C6" w:rsidRDefault="00AB76C6" w:rsidP="00751725">
    <w:pPr>
      <w:pStyle w:val="FooterEven"/>
      <w:jc w:val="right"/>
    </w:pPr>
    <w:r>
      <w:t xml:space="preserve">Page </w:t>
    </w:r>
    <w:r w:rsidR="00AA2CB5">
      <w:rPr>
        <w:rStyle w:val="PageNumber"/>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71208" w14:textId="77777777" w:rsidR="00811F38" w:rsidRDefault="00811F38">
      <w:r>
        <w:separator/>
      </w:r>
    </w:p>
  </w:footnote>
  <w:footnote w:type="continuationSeparator" w:id="0">
    <w:p w14:paraId="5BF03EF3" w14:textId="77777777" w:rsidR="00811F38" w:rsidRDefault="00811F38">
      <w:r>
        <w:continuationSeparator/>
      </w:r>
    </w:p>
  </w:footnote>
  <w:footnote w:type="continuationNotice" w:id="1">
    <w:p w14:paraId="1B9DF0C3" w14:textId="77777777" w:rsidR="00811F38" w:rsidRDefault="00811F3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0BCB6" w14:textId="77777777" w:rsidR="00AB76C6" w:rsidRPr="00814590" w:rsidRDefault="00CB6703">
    <w:pPr>
      <w:rPr>
        <w:color w:val="800000"/>
        <w:sz w:val="18"/>
        <w:szCs w:val="18"/>
      </w:rPr>
    </w:pPr>
    <w:r>
      <w:rPr>
        <w:color w:val="800000"/>
        <w:sz w:val="18"/>
        <w:szCs w:val="18"/>
      </w:rPr>
      <w:t>Project Agreement for [title of Project]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6FCE2" w14:textId="2AC7C1A0" w:rsidR="00AB76C6" w:rsidRDefault="00AB76C6">
    <w:pPr>
      <w:pStyle w:val="HeaderOdd"/>
      <w:tabs>
        <w:tab w:val="num" w:pos="1134"/>
      </w:tabs>
      <w:rPr>
        <w:color w:val="800000"/>
      </w:rPr>
    </w:pPr>
    <w:r>
      <w:rPr>
        <w:color w:val="800000"/>
      </w:rPr>
      <w:t xml:space="preserve">Project Agreement </w:t>
    </w:r>
    <w:r w:rsidR="00513454">
      <w:rPr>
        <w:color w:val="800000"/>
      </w:rPr>
      <w:t>on</w:t>
    </w:r>
    <w:r>
      <w:rPr>
        <w:color w:val="800000"/>
      </w:rPr>
      <w:t xml:space="preserve"> </w:t>
    </w:r>
    <w:r w:rsidR="00F35BD1">
      <w:rPr>
        <w:color w:val="800000"/>
      </w:rPr>
      <w:t xml:space="preserve">Healthcare </w:t>
    </w:r>
    <w:r w:rsidR="002E10DF">
      <w:rPr>
        <w:color w:val="800000"/>
      </w:rPr>
      <w:t xml:space="preserve">and Disease Prevention </w:t>
    </w:r>
    <w:r w:rsidR="00D21190">
      <w:rPr>
        <w:color w:val="800000"/>
      </w:rPr>
      <w:t>in the Torres Strait Islands</w:t>
    </w:r>
  </w:p>
  <w:p w14:paraId="48705B2B" w14:textId="77777777" w:rsidR="00D87008" w:rsidRPr="00814590" w:rsidRDefault="00D87008" w:rsidP="00D87008">
    <w:pPr>
      <w:pStyle w:val="HeaderOdd"/>
      <w:tabs>
        <w:tab w:val="num" w:pos="1134"/>
      </w:tabs>
      <w:jc w:val="center"/>
      <w:rPr>
        <w:color w:val="8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49164" w14:textId="36D1DFAE" w:rsidR="00FC058E" w:rsidRDefault="00AB76C6" w:rsidP="00FC058E">
    <w:pPr>
      <w:pStyle w:val="HeaderOdd"/>
      <w:tabs>
        <w:tab w:val="num" w:pos="1134"/>
      </w:tabs>
      <w:rPr>
        <w:color w:val="800000"/>
      </w:rPr>
    </w:pPr>
    <w:r>
      <w:rPr>
        <w:color w:val="800000"/>
      </w:rPr>
      <w:t xml:space="preserve">Project Agreement </w:t>
    </w:r>
    <w:r w:rsidR="00FC058E">
      <w:rPr>
        <w:color w:val="800000"/>
      </w:rPr>
      <w:t xml:space="preserve">on Healthcare </w:t>
    </w:r>
    <w:r w:rsidR="00444AF1">
      <w:rPr>
        <w:color w:val="800000"/>
      </w:rPr>
      <w:t xml:space="preserve">and Disease Prevention </w:t>
    </w:r>
    <w:r w:rsidR="00FC058E">
      <w:rPr>
        <w:color w:val="800000"/>
      </w:rPr>
      <w:t>in the Torres Strait Islands</w:t>
    </w:r>
  </w:p>
  <w:p w14:paraId="2793C98B" w14:textId="77777777" w:rsidR="00AB76C6" w:rsidRPr="00751725" w:rsidRDefault="00AB76C6" w:rsidP="0028187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
    <w:nsid w:val="12377923"/>
    <w:multiLevelType w:val="hybridMultilevel"/>
    <w:tmpl w:val="FD38D434"/>
    <w:lvl w:ilvl="0" w:tplc="660EB736">
      <w:start w:val="1"/>
      <w:numFmt w:val="lowerLetter"/>
      <w:lvlText w:val="(%1)"/>
      <w:lvlJc w:val="left"/>
      <w:pPr>
        <w:ind w:left="924" w:hanging="360"/>
      </w:pPr>
      <w:rPr>
        <w:rFonts w:hint="default"/>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3">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4">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6">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7">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8">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9">
    <w:nsid w:val="371E3683"/>
    <w:multiLevelType w:val="hybridMultilevel"/>
    <w:tmpl w:val="ECDC6F2E"/>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660EB736">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44361203"/>
    <w:multiLevelType w:val="hybridMultilevel"/>
    <w:tmpl w:val="550411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2">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3">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14">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5">
    <w:nsid w:val="59B70749"/>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6">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7">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18">
    <w:nsid w:val="7594038F"/>
    <w:multiLevelType w:val="hybridMultilevel"/>
    <w:tmpl w:val="82962A0C"/>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660EB736">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0">
    <w:nsid w:val="78854AAC"/>
    <w:multiLevelType w:val="hybridMultilevel"/>
    <w:tmpl w:val="54B4E8A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12"/>
  </w:num>
  <w:num w:numId="4">
    <w:abstractNumId w:val="14"/>
  </w:num>
  <w:num w:numId="5">
    <w:abstractNumId w:val="3"/>
  </w:num>
  <w:num w:numId="6">
    <w:abstractNumId w:val="16"/>
  </w:num>
  <w:num w:numId="7">
    <w:abstractNumId w:val="4"/>
  </w:num>
  <w:num w:numId="8">
    <w:abstractNumId w:val="7"/>
  </w:num>
  <w:num w:numId="9">
    <w:abstractNumId w:val="20"/>
  </w:num>
  <w:num w:numId="10">
    <w:abstractNumId w:val="1"/>
  </w:num>
  <w:num w:numId="11">
    <w:abstractNumId w:val="13"/>
  </w:num>
  <w:num w:numId="12">
    <w:abstractNumId w:val="17"/>
  </w:num>
  <w:num w:numId="13">
    <w:abstractNumId w:val="11"/>
  </w:num>
  <w:num w:numId="14">
    <w:abstractNumId w:val="19"/>
  </w:num>
  <w:num w:numId="15">
    <w:abstractNumId w:val="5"/>
  </w:num>
  <w:num w:numId="16">
    <w:abstractNumId w:val="8"/>
  </w:num>
  <w:num w:numId="17">
    <w:abstractNumId w:val="1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8"/>
  </w:num>
  <w:num w:numId="21">
    <w:abstractNumId w:val="9"/>
  </w:num>
  <w:num w:numId="22">
    <w:abstractNumId w:val="2"/>
  </w:num>
  <w:num w:numId="23">
    <w:abstractNumId w:val="0"/>
  </w:num>
  <w:num w:numId="24">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67"/>
    <w:rsid w:val="00005A5D"/>
    <w:rsid w:val="000076D9"/>
    <w:rsid w:val="00021708"/>
    <w:rsid w:val="00030CB2"/>
    <w:rsid w:val="000343F1"/>
    <w:rsid w:val="00035D6C"/>
    <w:rsid w:val="00044700"/>
    <w:rsid w:val="00057F19"/>
    <w:rsid w:val="0006051B"/>
    <w:rsid w:val="00060A96"/>
    <w:rsid w:val="000614F9"/>
    <w:rsid w:val="00062AA6"/>
    <w:rsid w:val="000640AA"/>
    <w:rsid w:val="0006451A"/>
    <w:rsid w:val="0006551D"/>
    <w:rsid w:val="00065679"/>
    <w:rsid w:val="0007004C"/>
    <w:rsid w:val="000724F6"/>
    <w:rsid w:val="00074611"/>
    <w:rsid w:val="00074613"/>
    <w:rsid w:val="00074A62"/>
    <w:rsid w:val="00086712"/>
    <w:rsid w:val="00091DF8"/>
    <w:rsid w:val="00093CB6"/>
    <w:rsid w:val="00093DD8"/>
    <w:rsid w:val="00097794"/>
    <w:rsid w:val="000A0C9E"/>
    <w:rsid w:val="000A5191"/>
    <w:rsid w:val="000B4080"/>
    <w:rsid w:val="000B7685"/>
    <w:rsid w:val="000C4E43"/>
    <w:rsid w:val="000C714F"/>
    <w:rsid w:val="000D19D8"/>
    <w:rsid w:val="000D1C37"/>
    <w:rsid w:val="000D4377"/>
    <w:rsid w:val="000E075D"/>
    <w:rsid w:val="000E2AF6"/>
    <w:rsid w:val="000E36B7"/>
    <w:rsid w:val="000E3C70"/>
    <w:rsid w:val="000E48C3"/>
    <w:rsid w:val="000F0880"/>
    <w:rsid w:val="000F25D5"/>
    <w:rsid w:val="000F6CF6"/>
    <w:rsid w:val="00103FD6"/>
    <w:rsid w:val="001065EE"/>
    <w:rsid w:val="00110F5D"/>
    <w:rsid w:val="001134AC"/>
    <w:rsid w:val="00115166"/>
    <w:rsid w:val="00115A97"/>
    <w:rsid w:val="00122DBA"/>
    <w:rsid w:val="001262B5"/>
    <w:rsid w:val="00127E5B"/>
    <w:rsid w:val="00132587"/>
    <w:rsid w:val="001404A9"/>
    <w:rsid w:val="00140F43"/>
    <w:rsid w:val="00143260"/>
    <w:rsid w:val="00145D5C"/>
    <w:rsid w:val="00151133"/>
    <w:rsid w:val="00160506"/>
    <w:rsid w:val="001629FA"/>
    <w:rsid w:val="00165CAB"/>
    <w:rsid w:val="00166312"/>
    <w:rsid w:val="00167BB8"/>
    <w:rsid w:val="00172360"/>
    <w:rsid w:val="00172E3A"/>
    <w:rsid w:val="00173F81"/>
    <w:rsid w:val="00174C2A"/>
    <w:rsid w:val="00175FB9"/>
    <w:rsid w:val="00177A0A"/>
    <w:rsid w:val="00180F76"/>
    <w:rsid w:val="00183EAB"/>
    <w:rsid w:val="001843B1"/>
    <w:rsid w:val="00185CC1"/>
    <w:rsid w:val="00187B4E"/>
    <w:rsid w:val="00187BEB"/>
    <w:rsid w:val="001931E8"/>
    <w:rsid w:val="00194232"/>
    <w:rsid w:val="00194587"/>
    <w:rsid w:val="00195718"/>
    <w:rsid w:val="001A1422"/>
    <w:rsid w:val="001A14C1"/>
    <w:rsid w:val="001A3A9A"/>
    <w:rsid w:val="001A3C32"/>
    <w:rsid w:val="001A3F52"/>
    <w:rsid w:val="001A4093"/>
    <w:rsid w:val="001A79C1"/>
    <w:rsid w:val="001A7A15"/>
    <w:rsid w:val="001B19A0"/>
    <w:rsid w:val="001B1CA3"/>
    <w:rsid w:val="001B447F"/>
    <w:rsid w:val="001B580E"/>
    <w:rsid w:val="001B7933"/>
    <w:rsid w:val="001C346E"/>
    <w:rsid w:val="001C3717"/>
    <w:rsid w:val="001C5CC5"/>
    <w:rsid w:val="001C6A16"/>
    <w:rsid w:val="001D16D9"/>
    <w:rsid w:val="001D2C27"/>
    <w:rsid w:val="001D3CAD"/>
    <w:rsid w:val="001D6E9A"/>
    <w:rsid w:val="001E20EC"/>
    <w:rsid w:val="001E4117"/>
    <w:rsid w:val="001E4479"/>
    <w:rsid w:val="001E7173"/>
    <w:rsid w:val="001E74D0"/>
    <w:rsid w:val="001E7803"/>
    <w:rsid w:val="001F1D48"/>
    <w:rsid w:val="001F6F39"/>
    <w:rsid w:val="001F6FE8"/>
    <w:rsid w:val="0020144E"/>
    <w:rsid w:val="00205E18"/>
    <w:rsid w:val="00206773"/>
    <w:rsid w:val="002069F9"/>
    <w:rsid w:val="00212869"/>
    <w:rsid w:val="0021500B"/>
    <w:rsid w:val="00221308"/>
    <w:rsid w:val="00222C97"/>
    <w:rsid w:val="00225761"/>
    <w:rsid w:val="00233835"/>
    <w:rsid w:val="00241EE9"/>
    <w:rsid w:val="00244500"/>
    <w:rsid w:val="00247D45"/>
    <w:rsid w:val="00252551"/>
    <w:rsid w:val="00261ABA"/>
    <w:rsid w:val="00262A31"/>
    <w:rsid w:val="00262E18"/>
    <w:rsid w:val="00263359"/>
    <w:rsid w:val="0026571E"/>
    <w:rsid w:val="00280EA9"/>
    <w:rsid w:val="00281874"/>
    <w:rsid w:val="00282C25"/>
    <w:rsid w:val="00284884"/>
    <w:rsid w:val="00285003"/>
    <w:rsid w:val="002869F5"/>
    <w:rsid w:val="00287DCC"/>
    <w:rsid w:val="00291CF1"/>
    <w:rsid w:val="00292587"/>
    <w:rsid w:val="002A143D"/>
    <w:rsid w:val="002A3DE9"/>
    <w:rsid w:val="002A493A"/>
    <w:rsid w:val="002A530A"/>
    <w:rsid w:val="002A5884"/>
    <w:rsid w:val="002A6981"/>
    <w:rsid w:val="002A7D4D"/>
    <w:rsid w:val="002B1C50"/>
    <w:rsid w:val="002B207C"/>
    <w:rsid w:val="002B7687"/>
    <w:rsid w:val="002B7922"/>
    <w:rsid w:val="002B7E1B"/>
    <w:rsid w:val="002C2529"/>
    <w:rsid w:val="002C2A03"/>
    <w:rsid w:val="002C3C3D"/>
    <w:rsid w:val="002C62B3"/>
    <w:rsid w:val="002C7620"/>
    <w:rsid w:val="002D122C"/>
    <w:rsid w:val="002D7CF9"/>
    <w:rsid w:val="002E10DF"/>
    <w:rsid w:val="002E144A"/>
    <w:rsid w:val="002E2DE2"/>
    <w:rsid w:val="002E4B66"/>
    <w:rsid w:val="002F576E"/>
    <w:rsid w:val="002F5B29"/>
    <w:rsid w:val="002F5B54"/>
    <w:rsid w:val="002F5C6C"/>
    <w:rsid w:val="002F7E40"/>
    <w:rsid w:val="003012DA"/>
    <w:rsid w:val="00304B7D"/>
    <w:rsid w:val="00307C5C"/>
    <w:rsid w:val="00312CFE"/>
    <w:rsid w:val="00313480"/>
    <w:rsid w:val="00313C98"/>
    <w:rsid w:val="00313FD9"/>
    <w:rsid w:val="003155BD"/>
    <w:rsid w:val="003177B9"/>
    <w:rsid w:val="00321E0A"/>
    <w:rsid w:val="00327F34"/>
    <w:rsid w:val="0033324C"/>
    <w:rsid w:val="00333506"/>
    <w:rsid w:val="00340987"/>
    <w:rsid w:val="003410AA"/>
    <w:rsid w:val="0034465F"/>
    <w:rsid w:val="00352A6B"/>
    <w:rsid w:val="00352EC1"/>
    <w:rsid w:val="00355893"/>
    <w:rsid w:val="00361054"/>
    <w:rsid w:val="0036119D"/>
    <w:rsid w:val="003637A0"/>
    <w:rsid w:val="0036474E"/>
    <w:rsid w:val="00364CF3"/>
    <w:rsid w:val="00365CAA"/>
    <w:rsid w:val="00367EAB"/>
    <w:rsid w:val="00372573"/>
    <w:rsid w:val="00377AB2"/>
    <w:rsid w:val="0038395F"/>
    <w:rsid w:val="003877C3"/>
    <w:rsid w:val="0039283B"/>
    <w:rsid w:val="00396EA4"/>
    <w:rsid w:val="003A2157"/>
    <w:rsid w:val="003A3363"/>
    <w:rsid w:val="003A3905"/>
    <w:rsid w:val="003A3CC1"/>
    <w:rsid w:val="003A6635"/>
    <w:rsid w:val="003A6B0E"/>
    <w:rsid w:val="003A78C6"/>
    <w:rsid w:val="003B5562"/>
    <w:rsid w:val="003B6363"/>
    <w:rsid w:val="003B737F"/>
    <w:rsid w:val="003C0CF7"/>
    <w:rsid w:val="003C2E5D"/>
    <w:rsid w:val="003C59E0"/>
    <w:rsid w:val="003C6F2A"/>
    <w:rsid w:val="003D743C"/>
    <w:rsid w:val="003E33BA"/>
    <w:rsid w:val="003E6BA0"/>
    <w:rsid w:val="003E73DB"/>
    <w:rsid w:val="003F0ADC"/>
    <w:rsid w:val="003F379A"/>
    <w:rsid w:val="003F4F23"/>
    <w:rsid w:val="003F59E6"/>
    <w:rsid w:val="003F5BE6"/>
    <w:rsid w:val="003F6C00"/>
    <w:rsid w:val="00405742"/>
    <w:rsid w:val="004120B1"/>
    <w:rsid w:val="00413E74"/>
    <w:rsid w:val="0041421D"/>
    <w:rsid w:val="0041490D"/>
    <w:rsid w:val="00414A5C"/>
    <w:rsid w:val="004156B4"/>
    <w:rsid w:val="0041697F"/>
    <w:rsid w:val="00420235"/>
    <w:rsid w:val="004223AA"/>
    <w:rsid w:val="00423104"/>
    <w:rsid w:val="004267D3"/>
    <w:rsid w:val="00427E2A"/>
    <w:rsid w:val="00433E65"/>
    <w:rsid w:val="004374B2"/>
    <w:rsid w:val="00442AB8"/>
    <w:rsid w:val="004436EA"/>
    <w:rsid w:val="0044456C"/>
    <w:rsid w:val="00444AF1"/>
    <w:rsid w:val="0044502E"/>
    <w:rsid w:val="00447FB0"/>
    <w:rsid w:val="00450B39"/>
    <w:rsid w:val="00453BC6"/>
    <w:rsid w:val="00454498"/>
    <w:rsid w:val="00456C59"/>
    <w:rsid w:val="00477931"/>
    <w:rsid w:val="004811D9"/>
    <w:rsid w:val="00490198"/>
    <w:rsid w:val="00490E28"/>
    <w:rsid w:val="00497362"/>
    <w:rsid w:val="00497C77"/>
    <w:rsid w:val="004A0AE7"/>
    <w:rsid w:val="004A523F"/>
    <w:rsid w:val="004A6062"/>
    <w:rsid w:val="004A673A"/>
    <w:rsid w:val="004A770F"/>
    <w:rsid w:val="004B0813"/>
    <w:rsid w:val="004B136A"/>
    <w:rsid w:val="004B1F38"/>
    <w:rsid w:val="004B21C5"/>
    <w:rsid w:val="004B2EF6"/>
    <w:rsid w:val="004B34A6"/>
    <w:rsid w:val="004B5612"/>
    <w:rsid w:val="004B5AA7"/>
    <w:rsid w:val="004B6083"/>
    <w:rsid w:val="004B6927"/>
    <w:rsid w:val="004B7E5C"/>
    <w:rsid w:val="004C3CC4"/>
    <w:rsid w:val="004C4D5E"/>
    <w:rsid w:val="004C6660"/>
    <w:rsid w:val="004D11ED"/>
    <w:rsid w:val="004D310E"/>
    <w:rsid w:val="004D37D8"/>
    <w:rsid w:val="004D4B81"/>
    <w:rsid w:val="004F6B2B"/>
    <w:rsid w:val="005005DF"/>
    <w:rsid w:val="00505045"/>
    <w:rsid w:val="00510B96"/>
    <w:rsid w:val="00511501"/>
    <w:rsid w:val="00511B5B"/>
    <w:rsid w:val="00513044"/>
    <w:rsid w:val="00513454"/>
    <w:rsid w:val="00515AF2"/>
    <w:rsid w:val="0051640E"/>
    <w:rsid w:val="00516741"/>
    <w:rsid w:val="0051684E"/>
    <w:rsid w:val="00527ABC"/>
    <w:rsid w:val="0054193D"/>
    <w:rsid w:val="00542A8C"/>
    <w:rsid w:val="00542D59"/>
    <w:rsid w:val="00543637"/>
    <w:rsid w:val="00545DF7"/>
    <w:rsid w:val="00546CA2"/>
    <w:rsid w:val="005539F5"/>
    <w:rsid w:val="0055415C"/>
    <w:rsid w:val="00554AAC"/>
    <w:rsid w:val="0055503F"/>
    <w:rsid w:val="005572D7"/>
    <w:rsid w:val="00563797"/>
    <w:rsid w:val="005651B5"/>
    <w:rsid w:val="00566234"/>
    <w:rsid w:val="0057262B"/>
    <w:rsid w:val="005815B3"/>
    <w:rsid w:val="00582A03"/>
    <w:rsid w:val="00587E37"/>
    <w:rsid w:val="005928AD"/>
    <w:rsid w:val="00593821"/>
    <w:rsid w:val="00596E88"/>
    <w:rsid w:val="00597CBD"/>
    <w:rsid w:val="005A0969"/>
    <w:rsid w:val="005A5E7A"/>
    <w:rsid w:val="005B0DEF"/>
    <w:rsid w:val="005B2A03"/>
    <w:rsid w:val="005B4C1B"/>
    <w:rsid w:val="005C1B8A"/>
    <w:rsid w:val="005C2684"/>
    <w:rsid w:val="005C2DDC"/>
    <w:rsid w:val="005C5620"/>
    <w:rsid w:val="005C578C"/>
    <w:rsid w:val="005D1F0F"/>
    <w:rsid w:val="005D29DB"/>
    <w:rsid w:val="005D41F9"/>
    <w:rsid w:val="005E4143"/>
    <w:rsid w:val="005E724B"/>
    <w:rsid w:val="005F7A8D"/>
    <w:rsid w:val="00601F7C"/>
    <w:rsid w:val="006027AE"/>
    <w:rsid w:val="00602A48"/>
    <w:rsid w:val="00602EF7"/>
    <w:rsid w:val="00606F11"/>
    <w:rsid w:val="00607B03"/>
    <w:rsid w:val="0061059D"/>
    <w:rsid w:val="00612109"/>
    <w:rsid w:val="0061326F"/>
    <w:rsid w:val="00613772"/>
    <w:rsid w:val="00614393"/>
    <w:rsid w:val="006146F2"/>
    <w:rsid w:val="00614C00"/>
    <w:rsid w:val="00623567"/>
    <w:rsid w:val="006412B5"/>
    <w:rsid w:val="00641932"/>
    <w:rsid w:val="00644083"/>
    <w:rsid w:val="0064429B"/>
    <w:rsid w:val="0064477C"/>
    <w:rsid w:val="00650903"/>
    <w:rsid w:val="006650A8"/>
    <w:rsid w:val="006679C0"/>
    <w:rsid w:val="00680ED5"/>
    <w:rsid w:val="00681956"/>
    <w:rsid w:val="00682FBA"/>
    <w:rsid w:val="00683370"/>
    <w:rsid w:val="00684EC1"/>
    <w:rsid w:val="00685A1A"/>
    <w:rsid w:val="006903F9"/>
    <w:rsid w:val="006923C8"/>
    <w:rsid w:val="00696AB4"/>
    <w:rsid w:val="00697494"/>
    <w:rsid w:val="006976BF"/>
    <w:rsid w:val="006A05D7"/>
    <w:rsid w:val="006A4628"/>
    <w:rsid w:val="006B0416"/>
    <w:rsid w:val="006B3F39"/>
    <w:rsid w:val="006B4213"/>
    <w:rsid w:val="006B43AF"/>
    <w:rsid w:val="006B4DF0"/>
    <w:rsid w:val="006C1013"/>
    <w:rsid w:val="006C163A"/>
    <w:rsid w:val="006C228B"/>
    <w:rsid w:val="006C2931"/>
    <w:rsid w:val="006D466E"/>
    <w:rsid w:val="006D4B70"/>
    <w:rsid w:val="006D4C35"/>
    <w:rsid w:val="006D7A92"/>
    <w:rsid w:val="006E3B48"/>
    <w:rsid w:val="006E6184"/>
    <w:rsid w:val="006E631B"/>
    <w:rsid w:val="006F096A"/>
    <w:rsid w:val="006F22E3"/>
    <w:rsid w:val="006F3095"/>
    <w:rsid w:val="006F5455"/>
    <w:rsid w:val="006F5CB6"/>
    <w:rsid w:val="006F79D3"/>
    <w:rsid w:val="00703194"/>
    <w:rsid w:val="0070531D"/>
    <w:rsid w:val="00706E50"/>
    <w:rsid w:val="0070737C"/>
    <w:rsid w:val="00711229"/>
    <w:rsid w:val="00715018"/>
    <w:rsid w:val="007179FE"/>
    <w:rsid w:val="00717F25"/>
    <w:rsid w:val="007201B1"/>
    <w:rsid w:val="007201D7"/>
    <w:rsid w:val="00724E14"/>
    <w:rsid w:val="00725AD5"/>
    <w:rsid w:val="00726DB5"/>
    <w:rsid w:val="00726EB4"/>
    <w:rsid w:val="00731945"/>
    <w:rsid w:val="007363DE"/>
    <w:rsid w:val="0073698D"/>
    <w:rsid w:val="00736C0B"/>
    <w:rsid w:val="00744D93"/>
    <w:rsid w:val="00746531"/>
    <w:rsid w:val="00747027"/>
    <w:rsid w:val="00751725"/>
    <w:rsid w:val="00752028"/>
    <w:rsid w:val="0075450A"/>
    <w:rsid w:val="0075717D"/>
    <w:rsid w:val="0076017E"/>
    <w:rsid w:val="00760DB6"/>
    <w:rsid w:val="007634B6"/>
    <w:rsid w:val="0076361C"/>
    <w:rsid w:val="007661AE"/>
    <w:rsid w:val="00766A51"/>
    <w:rsid w:val="00771FFF"/>
    <w:rsid w:val="00772818"/>
    <w:rsid w:val="0077685D"/>
    <w:rsid w:val="0077788E"/>
    <w:rsid w:val="00783629"/>
    <w:rsid w:val="00784439"/>
    <w:rsid w:val="00787E75"/>
    <w:rsid w:val="00797257"/>
    <w:rsid w:val="007A3157"/>
    <w:rsid w:val="007A6E20"/>
    <w:rsid w:val="007B10ED"/>
    <w:rsid w:val="007B2B2E"/>
    <w:rsid w:val="007B3BFC"/>
    <w:rsid w:val="007B4B03"/>
    <w:rsid w:val="007C4F31"/>
    <w:rsid w:val="007E5257"/>
    <w:rsid w:val="007E5391"/>
    <w:rsid w:val="007F4EF5"/>
    <w:rsid w:val="007F6509"/>
    <w:rsid w:val="007F7272"/>
    <w:rsid w:val="00800A63"/>
    <w:rsid w:val="00804105"/>
    <w:rsid w:val="0080545D"/>
    <w:rsid w:val="00806D94"/>
    <w:rsid w:val="00807AD8"/>
    <w:rsid w:val="00811800"/>
    <w:rsid w:val="00811F38"/>
    <w:rsid w:val="00812E1C"/>
    <w:rsid w:val="00813CFF"/>
    <w:rsid w:val="008140C5"/>
    <w:rsid w:val="00814590"/>
    <w:rsid w:val="00814667"/>
    <w:rsid w:val="008148E2"/>
    <w:rsid w:val="008149E4"/>
    <w:rsid w:val="008156B7"/>
    <w:rsid w:val="00817D90"/>
    <w:rsid w:val="00822355"/>
    <w:rsid w:val="0082332D"/>
    <w:rsid w:val="0082402C"/>
    <w:rsid w:val="00825FF5"/>
    <w:rsid w:val="008262F1"/>
    <w:rsid w:val="008311FA"/>
    <w:rsid w:val="008317EF"/>
    <w:rsid w:val="00845BCC"/>
    <w:rsid w:val="00851465"/>
    <w:rsid w:val="008514B8"/>
    <w:rsid w:val="00852ED8"/>
    <w:rsid w:val="0085330A"/>
    <w:rsid w:val="00853B91"/>
    <w:rsid w:val="008550CA"/>
    <w:rsid w:val="0085533A"/>
    <w:rsid w:val="00855543"/>
    <w:rsid w:val="0085738D"/>
    <w:rsid w:val="00862395"/>
    <w:rsid w:val="00864DD3"/>
    <w:rsid w:val="008708D6"/>
    <w:rsid w:val="00874608"/>
    <w:rsid w:val="008760D0"/>
    <w:rsid w:val="00881317"/>
    <w:rsid w:val="008843EE"/>
    <w:rsid w:val="00892CA4"/>
    <w:rsid w:val="00896477"/>
    <w:rsid w:val="00896BD6"/>
    <w:rsid w:val="00896F5A"/>
    <w:rsid w:val="00897A51"/>
    <w:rsid w:val="008A3C37"/>
    <w:rsid w:val="008B1840"/>
    <w:rsid w:val="008B70D3"/>
    <w:rsid w:val="008B73A2"/>
    <w:rsid w:val="008B7FE2"/>
    <w:rsid w:val="008C0BBA"/>
    <w:rsid w:val="008C2450"/>
    <w:rsid w:val="008C7817"/>
    <w:rsid w:val="008C7F5B"/>
    <w:rsid w:val="008D079A"/>
    <w:rsid w:val="008D2F40"/>
    <w:rsid w:val="008D5B52"/>
    <w:rsid w:val="008E0AD6"/>
    <w:rsid w:val="008E4209"/>
    <w:rsid w:val="008E48FC"/>
    <w:rsid w:val="008E55BD"/>
    <w:rsid w:val="008E7527"/>
    <w:rsid w:val="008F2AD6"/>
    <w:rsid w:val="008F44F1"/>
    <w:rsid w:val="008F4BA8"/>
    <w:rsid w:val="008F5C07"/>
    <w:rsid w:val="008F696D"/>
    <w:rsid w:val="008F7777"/>
    <w:rsid w:val="00901CF5"/>
    <w:rsid w:val="00901F53"/>
    <w:rsid w:val="00906431"/>
    <w:rsid w:val="009115AF"/>
    <w:rsid w:val="00913276"/>
    <w:rsid w:val="00920DA9"/>
    <w:rsid w:val="009221DF"/>
    <w:rsid w:val="009224FD"/>
    <w:rsid w:val="0093296C"/>
    <w:rsid w:val="00935CC7"/>
    <w:rsid w:val="0094002F"/>
    <w:rsid w:val="0094129D"/>
    <w:rsid w:val="00941BB7"/>
    <w:rsid w:val="00944760"/>
    <w:rsid w:val="00946A91"/>
    <w:rsid w:val="00946AE5"/>
    <w:rsid w:val="00950865"/>
    <w:rsid w:val="00951BAD"/>
    <w:rsid w:val="00952204"/>
    <w:rsid w:val="0095223D"/>
    <w:rsid w:val="009526E4"/>
    <w:rsid w:val="00953AA1"/>
    <w:rsid w:val="00954B44"/>
    <w:rsid w:val="009644B8"/>
    <w:rsid w:val="0096732C"/>
    <w:rsid w:val="009703B6"/>
    <w:rsid w:val="00971A4C"/>
    <w:rsid w:val="00975EB5"/>
    <w:rsid w:val="00981A01"/>
    <w:rsid w:val="00983979"/>
    <w:rsid w:val="00983DC2"/>
    <w:rsid w:val="00983DF0"/>
    <w:rsid w:val="0099742A"/>
    <w:rsid w:val="009A0446"/>
    <w:rsid w:val="009A062C"/>
    <w:rsid w:val="009A48AF"/>
    <w:rsid w:val="009A522D"/>
    <w:rsid w:val="009B0C68"/>
    <w:rsid w:val="009B3F77"/>
    <w:rsid w:val="009B5132"/>
    <w:rsid w:val="009B7EAF"/>
    <w:rsid w:val="009C01D7"/>
    <w:rsid w:val="009C166A"/>
    <w:rsid w:val="009C2059"/>
    <w:rsid w:val="009C6FFB"/>
    <w:rsid w:val="009C7EF5"/>
    <w:rsid w:val="009D0BAE"/>
    <w:rsid w:val="009D0C93"/>
    <w:rsid w:val="009D2FAC"/>
    <w:rsid w:val="009E093C"/>
    <w:rsid w:val="009E1311"/>
    <w:rsid w:val="009E151E"/>
    <w:rsid w:val="009E3ACF"/>
    <w:rsid w:val="009E5B85"/>
    <w:rsid w:val="009E5DB6"/>
    <w:rsid w:val="009E6A1B"/>
    <w:rsid w:val="009F777E"/>
    <w:rsid w:val="009F7F52"/>
    <w:rsid w:val="00A0202C"/>
    <w:rsid w:val="00A0227E"/>
    <w:rsid w:val="00A05C1E"/>
    <w:rsid w:val="00A0603F"/>
    <w:rsid w:val="00A112E6"/>
    <w:rsid w:val="00A14966"/>
    <w:rsid w:val="00A14F23"/>
    <w:rsid w:val="00A15CAB"/>
    <w:rsid w:val="00A16E8F"/>
    <w:rsid w:val="00A17CCB"/>
    <w:rsid w:val="00A201DE"/>
    <w:rsid w:val="00A211A9"/>
    <w:rsid w:val="00A2422A"/>
    <w:rsid w:val="00A25215"/>
    <w:rsid w:val="00A25265"/>
    <w:rsid w:val="00A26FC8"/>
    <w:rsid w:val="00A303A1"/>
    <w:rsid w:val="00A42386"/>
    <w:rsid w:val="00A50751"/>
    <w:rsid w:val="00A50E72"/>
    <w:rsid w:val="00A54B81"/>
    <w:rsid w:val="00A54BE7"/>
    <w:rsid w:val="00A564EB"/>
    <w:rsid w:val="00A6500A"/>
    <w:rsid w:val="00A65333"/>
    <w:rsid w:val="00A6719E"/>
    <w:rsid w:val="00A739F1"/>
    <w:rsid w:val="00A758DE"/>
    <w:rsid w:val="00A7674C"/>
    <w:rsid w:val="00A8189A"/>
    <w:rsid w:val="00A81C2E"/>
    <w:rsid w:val="00A81EC4"/>
    <w:rsid w:val="00A82C83"/>
    <w:rsid w:val="00A8478F"/>
    <w:rsid w:val="00A858C4"/>
    <w:rsid w:val="00A9141E"/>
    <w:rsid w:val="00A9341B"/>
    <w:rsid w:val="00A974CA"/>
    <w:rsid w:val="00AA2CB5"/>
    <w:rsid w:val="00AA2CD5"/>
    <w:rsid w:val="00AA4F6C"/>
    <w:rsid w:val="00AB16AE"/>
    <w:rsid w:val="00AB392A"/>
    <w:rsid w:val="00AB5801"/>
    <w:rsid w:val="00AB5A64"/>
    <w:rsid w:val="00AB71A5"/>
    <w:rsid w:val="00AB76C6"/>
    <w:rsid w:val="00AB79E9"/>
    <w:rsid w:val="00AC5567"/>
    <w:rsid w:val="00AD04F4"/>
    <w:rsid w:val="00AD576C"/>
    <w:rsid w:val="00AD670F"/>
    <w:rsid w:val="00AD6C71"/>
    <w:rsid w:val="00AE1E4B"/>
    <w:rsid w:val="00AE1E54"/>
    <w:rsid w:val="00AE2AFD"/>
    <w:rsid w:val="00AE4372"/>
    <w:rsid w:val="00AE478A"/>
    <w:rsid w:val="00AF0C8D"/>
    <w:rsid w:val="00B00778"/>
    <w:rsid w:val="00B03F3D"/>
    <w:rsid w:val="00B0488D"/>
    <w:rsid w:val="00B04E8C"/>
    <w:rsid w:val="00B050C0"/>
    <w:rsid w:val="00B05642"/>
    <w:rsid w:val="00B06097"/>
    <w:rsid w:val="00B10045"/>
    <w:rsid w:val="00B100DF"/>
    <w:rsid w:val="00B10CAE"/>
    <w:rsid w:val="00B12190"/>
    <w:rsid w:val="00B1294B"/>
    <w:rsid w:val="00B137C3"/>
    <w:rsid w:val="00B171BB"/>
    <w:rsid w:val="00B2247A"/>
    <w:rsid w:val="00B33B2D"/>
    <w:rsid w:val="00B36551"/>
    <w:rsid w:val="00B36E9E"/>
    <w:rsid w:val="00B40E38"/>
    <w:rsid w:val="00B45C9E"/>
    <w:rsid w:val="00B478F9"/>
    <w:rsid w:val="00B51ACE"/>
    <w:rsid w:val="00B619AA"/>
    <w:rsid w:val="00B623D7"/>
    <w:rsid w:val="00B66E7A"/>
    <w:rsid w:val="00B74218"/>
    <w:rsid w:val="00B74EA9"/>
    <w:rsid w:val="00B8096A"/>
    <w:rsid w:val="00B91564"/>
    <w:rsid w:val="00B9206A"/>
    <w:rsid w:val="00B9279E"/>
    <w:rsid w:val="00BA1CFA"/>
    <w:rsid w:val="00BA4284"/>
    <w:rsid w:val="00BC1029"/>
    <w:rsid w:val="00BC1929"/>
    <w:rsid w:val="00BC2720"/>
    <w:rsid w:val="00BC4728"/>
    <w:rsid w:val="00BC4BF4"/>
    <w:rsid w:val="00BC60B3"/>
    <w:rsid w:val="00BD2253"/>
    <w:rsid w:val="00BD7496"/>
    <w:rsid w:val="00BE042D"/>
    <w:rsid w:val="00BE4802"/>
    <w:rsid w:val="00BE7212"/>
    <w:rsid w:val="00BF0D7C"/>
    <w:rsid w:val="00BF331F"/>
    <w:rsid w:val="00C013E5"/>
    <w:rsid w:val="00C053A4"/>
    <w:rsid w:val="00C05CC6"/>
    <w:rsid w:val="00C068C7"/>
    <w:rsid w:val="00C073C2"/>
    <w:rsid w:val="00C13C12"/>
    <w:rsid w:val="00C160F4"/>
    <w:rsid w:val="00C20F99"/>
    <w:rsid w:val="00C2120D"/>
    <w:rsid w:val="00C215E7"/>
    <w:rsid w:val="00C233E9"/>
    <w:rsid w:val="00C2605C"/>
    <w:rsid w:val="00C26C5B"/>
    <w:rsid w:val="00C2711B"/>
    <w:rsid w:val="00C303B4"/>
    <w:rsid w:val="00C40EBC"/>
    <w:rsid w:val="00C41265"/>
    <w:rsid w:val="00C4202E"/>
    <w:rsid w:val="00C42ACA"/>
    <w:rsid w:val="00C44249"/>
    <w:rsid w:val="00C51308"/>
    <w:rsid w:val="00C51F78"/>
    <w:rsid w:val="00C539F8"/>
    <w:rsid w:val="00C53A47"/>
    <w:rsid w:val="00C53B5C"/>
    <w:rsid w:val="00C57BB9"/>
    <w:rsid w:val="00C606F6"/>
    <w:rsid w:val="00C6082E"/>
    <w:rsid w:val="00C61699"/>
    <w:rsid w:val="00C62B02"/>
    <w:rsid w:val="00C64908"/>
    <w:rsid w:val="00C705B5"/>
    <w:rsid w:val="00C7093C"/>
    <w:rsid w:val="00C710BE"/>
    <w:rsid w:val="00C738BD"/>
    <w:rsid w:val="00C75D40"/>
    <w:rsid w:val="00C80A36"/>
    <w:rsid w:val="00C83627"/>
    <w:rsid w:val="00C85E44"/>
    <w:rsid w:val="00C92F94"/>
    <w:rsid w:val="00C95D81"/>
    <w:rsid w:val="00C960AA"/>
    <w:rsid w:val="00CA121E"/>
    <w:rsid w:val="00CA501D"/>
    <w:rsid w:val="00CA55C4"/>
    <w:rsid w:val="00CB1789"/>
    <w:rsid w:val="00CB1CB2"/>
    <w:rsid w:val="00CB2557"/>
    <w:rsid w:val="00CB44C4"/>
    <w:rsid w:val="00CB47FE"/>
    <w:rsid w:val="00CB4D35"/>
    <w:rsid w:val="00CB6703"/>
    <w:rsid w:val="00CC39B1"/>
    <w:rsid w:val="00CD526B"/>
    <w:rsid w:val="00CD5B93"/>
    <w:rsid w:val="00CD7039"/>
    <w:rsid w:val="00CE3B32"/>
    <w:rsid w:val="00CE4A24"/>
    <w:rsid w:val="00CE613B"/>
    <w:rsid w:val="00CE7403"/>
    <w:rsid w:val="00CF0826"/>
    <w:rsid w:val="00CF0D8A"/>
    <w:rsid w:val="00CF267F"/>
    <w:rsid w:val="00CF7DA0"/>
    <w:rsid w:val="00D0312C"/>
    <w:rsid w:val="00D04614"/>
    <w:rsid w:val="00D1723F"/>
    <w:rsid w:val="00D21190"/>
    <w:rsid w:val="00D26B64"/>
    <w:rsid w:val="00D30AA4"/>
    <w:rsid w:val="00D30CE5"/>
    <w:rsid w:val="00D3674A"/>
    <w:rsid w:val="00D40383"/>
    <w:rsid w:val="00D4085D"/>
    <w:rsid w:val="00D428F4"/>
    <w:rsid w:val="00D434F3"/>
    <w:rsid w:val="00D46E83"/>
    <w:rsid w:val="00D51386"/>
    <w:rsid w:val="00D52914"/>
    <w:rsid w:val="00D53A7B"/>
    <w:rsid w:val="00D5485B"/>
    <w:rsid w:val="00D57346"/>
    <w:rsid w:val="00D61911"/>
    <w:rsid w:val="00D62258"/>
    <w:rsid w:val="00D625A7"/>
    <w:rsid w:val="00D677F9"/>
    <w:rsid w:val="00D702F1"/>
    <w:rsid w:val="00D729FA"/>
    <w:rsid w:val="00D7336A"/>
    <w:rsid w:val="00D73591"/>
    <w:rsid w:val="00D802FC"/>
    <w:rsid w:val="00D84DC3"/>
    <w:rsid w:val="00D8532B"/>
    <w:rsid w:val="00D85463"/>
    <w:rsid w:val="00D87008"/>
    <w:rsid w:val="00D96696"/>
    <w:rsid w:val="00D973A5"/>
    <w:rsid w:val="00D97BD4"/>
    <w:rsid w:val="00D97F7F"/>
    <w:rsid w:val="00DA205D"/>
    <w:rsid w:val="00DA7233"/>
    <w:rsid w:val="00DB0292"/>
    <w:rsid w:val="00DC4D62"/>
    <w:rsid w:val="00DC50E5"/>
    <w:rsid w:val="00DC76C7"/>
    <w:rsid w:val="00DD2890"/>
    <w:rsid w:val="00DE311A"/>
    <w:rsid w:val="00DE36EB"/>
    <w:rsid w:val="00DE4A6C"/>
    <w:rsid w:val="00DE64C1"/>
    <w:rsid w:val="00DF5BAB"/>
    <w:rsid w:val="00E07574"/>
    <w:rsid w:val="00E10555"/>
    <w:rsid w:val="00E11087"/>
    <w:rsid w:val="00E16E0A"/>
    <w:rsid w:val="00E204BB"/>
    <w:rsid w:val="00E220BC"/>
    <w:rsid w:val="00E31096"/>
    <w:rsid w:val="00E33938"/>
    <w:rsid w:val="00E33F03"/>
    <w:rsid w:val="00E354D8"/>
    <w:rsid w:val="00E3658A"/>
    <w:rsid w:val="00E3706A"/>
    <w:rsid w:val="00E3738B"/>
    <w:rsid w:val="00E37446"/>
    <w:rsid w:val="00E37730"/>
    <w:rsid w:val="00E4099E"/>
    <w:rsid w:val="00E456AA"/>
    <w:rsid w:val="00E5057E"/>
    <w:rsid w:val="00E5201F"/>
    <w:rsid w:val="00E579FF"/>
    <w:rsid w:val="00E6698B"/>
    <w:rsid w:val="00E7195E"/>
    <w:rsid w:val="00E72F4A"/>
    <w:rsid w:val="00E7467D"/>
    <w:rsid w:val="00E82115"/>
    <w:rsid w:val="00E832FF"/>
    <w:rsid w:val="00E83448"/>
    <w:rsid w:val="00E838D3"/>
    <w:rsid w:val="00E868F9"/>
    <w:rsid w:val="00E90BF8"/>
    <w:rsid w:val="00E92C8A"/>
    <w:rsid w:val="00E9346D"/>
    <w:rsid w:val="00E94A65"/>
    <w:rsid w:val="00EA21BF"/>
    <w:rsid w:val="00EA594C"/>
    <w:rsid w:val="00EA7329"/>
    <w:rsid w:val="00EA7A1C"/>
    <w:rsid w:val="00EB5170"/>
    <w:rsid w:val="00EB7EDA"/>
    <w:rsid w:val="00EC3E78"/>
    <w:rsid w:val="00EC5206"/>
    <w:rsid w:val="00EC5D22"/>
    <w:rsid w:val="00ED0175"/>
    <w:rsid w:val="00ED0AC8"/>
    <w:rsid w:val="00ED2AC4"/>
    <w:rsid w:val="00ED4036"/>
    <w:rsid w:val="00EE041B"/>
    <w:rsid w:val="00EE57AC"/>
    <w:rsid w:val="00EE74C4"/>
    <w:rsid w:val="00EE7D29"/>
    <w:rsid w:val="00EF33DE"/>
    <w:rsid w:val="00EF6486"/>
    <w:rsid w:val="00EF72D4"/>
    <w:rsid w:val="00F11A23"/>
    <w:rsid w:val="00F11DDE"/>
    <w:rsid w:val="00F120E6"/>
    <w:rsid w:val="00F12ACD"/>
    <w:rsid w:val="00F13DF0"/>
    <w:rsid w:val="00F16589"/>
    <w:rsid w:val="00F2068C"/>
    <w:rsid w:val="00F234AB"/>
    <w:rsid w:val="00F24478"/>
    <w:rsid w:val="00F31DE0"/>
    <w:rsid w:val="00F3245D"/>
    <w:rsid w:val="00F34E70"/>
    <w:rsid w:val="00F35BD1"/>
    <w:rsid w:val="00F4377A"/>
    <w:rsid w:val="00F46237"/>
    <w:rsid w:val="00F47765"/>
    <w:rsid w:val="00F501C6"/>
    <w:rsid w:val="00F574D1"/>
    <w:rsid w:val="00F630DB"/>
    <w:rsid w:val="00F630EF"/>
    <w:rsid w:val="00F6403E"/>
    <w:rsid w:val="00F71346"/>
    <w:rsid w:val="00F715F2"/>
    <w:rsid w:val="00F730C7"/>
    <w:rsid w:val="00F76C87"/>
    <w:rsid w:val="00F8684A"/>
    <w:rsid w:val="00F94C3D"/>
    <w:rsid w:val="00F95D26"/>
    <w:rsid w:val="00F979C5"/>
    <w:rsid w:val="00FA0CBF"/>
    <w:rsid w:val="00FA0E45"/>
    <w:rsid w:val="00FA2EC0"/>
    <w:rsid w:val="00FA4E87"/>
    <w:rsid w:val="00FA64FD"/>
    <w:rsid w:val="00FB4200"/>
    <w:rsid w:val="00FB5750"/>
    <w:rsid w:val="00FB6A2E"/>
    <w:rsid w:val="00FC055C"/>
    <w:rsid w:val="00FC058E"/>
    <w:rsid w:val="00FD4437"/>
    <w:rsid w:val="00FE26A5"/>
    <w:rsid w:val="00FE347C"/>
    <w:rsid w:val="00FE4A16"/>
    <w:rsid w:val="00FF264B"/>
    <w:rsid w:val="00FF5029"/>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4BAD42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2"/>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5"/>
      </w:numPr>
      <w:tabs>
        <w:tab w:val="num" w:pos="567"/>
        <w:tab w:val="num" w:pos="850"/>
      </w:tabs>
      <w:ind w:left="850" w:hanging="284"/>
    </w:pPr>
  </w:style>
  <w:style w:type="paragraph" w:customStyle="1" w:styleId="DoubleDot">
    <w:name w:val="Double Dot"/>
    <w:basedOn w:val="Normal"/>
    <w:rsid w:val="00D51386"/>
    <w:pPr>
      <w:numPr>
        <w:ilvl w:val="2"/>
        <w:numId w:val="5"/>
      </w:numPr>
      <w:tabs>
        <w:tab w:val="num" w:pos="850"/>
        <w:tab w:val="num" w:pos="1133"/>
      </w:tabs>
      <w:ind w:left="1133" w:hanging="283"/>
    </w:pPr>
  </w:style>
  <w:style w:type="paragraph" w:customStyle="1" w:styleId="OutlineNumbered1">
    <w:name w:val="Outline Numbered 1"/>
    <w:basedOn w:val="Normal"/>
    <w:rsid w:val="00D51386"/>
    <w:pPr>
      <w:numPr>
        <w:numId w:val="2"/>
      </w:numPr>
    </w:pPr>
  </w:style>
  <w:style w:type="paragraph" w:customStyle="1" w:styleId="OutlineNumbered2">
    <w:name w:val="Outline Numbered 2"/>
    <w:basedOn w:val="Normal"/>
    <w:rsid w:val="00D51386"/>
    <w:pPr>
      <w:numPr>
        <w:ilvl w:val="1"/>
        <w:numId w:val="2"/>
      </w:numPr>
    </w:pPr>
  </w:style>
  <w:style w:type="paragraph" w:customStyle="1" w:styleId="OutlineNumbered3">
    <w:name w:val="Outline Numbered 3"/>
    <w:basedOn w:val="Normal"/>
    <w:rsid w:val="00D51386"/>
    <w:pPr>
      <w:numPr>
        <w:ilvl w:val="2"/>
        <w:numId w:val="2"/>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3"/>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5"/>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4"/>
      </w:numPr>
    </w:pPr>
  </w:style>
  <w:style w:type="paragraph" w:customStyle="1" w:styleId="BoxDash">
    <w:name w:val="Box Dash"/>
    <w:basedOn w:val="Normal"/>
    <w:uiPriority w:val="99"/>
    <w:rsid w:val="00D51386"/>
    <w:pPr>
      <w:numPr>
        <w:ilvl w:val="1"/>
        <w:numId w:val="4"/>
      </w:numPr>
    </w:pPr>
  </w:style>
  <w:style w:type="paragraph" w:customStyle="1" w:styleId="BoxDoubleDot">
    <w:name w:val="Box Double Dot"/>
    <w:basedOn w:val="BoxTextBase"/>
    <w:uiPriority w:val="99"/>
    <w:rsid w:val="00D51386"/>
    <w:pPr>
      <w:numPr>
        <w:ilvl w:val="2"/>
        <w:numId w:val="4"/>
      </w:numPr>
    </w:pPr>
  </w:style>
  <w:style w:type="paragraph" w:customStyle="1" w:styleId="RecommendationBullet">
    <w:name w:val="Recommendation Bullet"/>
    <w:basedOn w:val="RecommendationTextBase"/>
    <w:rsid w:val="00D51386"/>
    <w:pPr>
      <w:numPr>
        <w:numId w:val="6"/>
      </w:numPr>
    </w:pPr>
  </w:style>
  <w:style w:type="paragraph" w:customStyle="1" w:styleId="RecommendationDash">
    <w:name w:val="Recommendation Dash"/>
    <w:basedOn w:val="RecommendationTextBase"/>
    <w:rsid w:val="00D51386"/>
    <w:pPr>
      <w:numPr>
        <w:ilvl w:val="1"/>
        <w:numId w:val="6"/>
      </w:numPr>
    </w:pPr>
  </w:style>
  <w:style w:type="paragraph" w:customStyle="1" w:styleId="RecommendationDoubleDot">
    <w:name w:val="Recommendation Double Dot"/>
    <w:basedOn w:val="RecommendationTextBase"/>
    <w:rsid w:val="00D51386"/>
    <w:pPr>
      <w:numPr>
        <w:ilvl w:val="2"/>
        <w:numId w:val="6"/>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1"/>
      </w:numPr>
    </w:pPr>
  </w:style>
  <w:style w:type="paragraph" w:customStyle="1" w:styleId="Romannumeral">
    <w:name w:val="Roman numeral"/>
    <w:basedOn w:val="Normal"/>
    <w:rsid w:val="00D51386"/>
    <w:pPr>
      <w:numPr>
        <w:numId w:val="10"/>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3"/>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7"/>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3"/>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8"/>
      </w:numPr>
    </w:pPr>
  </w:style>
  <w:style w:type="paragraph" w:customStyle="1" w:styleId="AgreementParties">
    <w:name w:val="AgreementParties"/>
    <w:rsid w:val="00D51386"/>
    <w:pPr>
      <w:numPr>
        <w:numId w:val="11"/>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uiPriority w:val="99"/>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4"/>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5"/>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6"/>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6"/>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6"/>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6"/>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6"/>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6"/>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6"/>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6"/>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6"/>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D53A7B"/>
    <w:rPr>
      <w:rFonts w:ascii="Corbel" w:hAnsi="Corbel"/>
      <w:color w:val="000000"/>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2"/>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5"/>
      </w:numPr>
      <w:tabs>
        <w:tab w:val="num" w:pos="567"/>
        <w:tab w:val="num" w:pos="850"/>
      </w:tabs>
      <w:ind w:left="850" w:hanging="284"/>
    </w:pPr>
  </w:style>
  <w:style w:type="paragraph" w:customStyle="1" w:styleId="DoubleDot">
    <w:name w:val="Double Dot"/>
    <w:basedOn w:val="Normal"/>
    <w:rsid w:val="00D51386"/>
    <w:pPr>
      <w:numPr>
        <w:ilvl w:val="2"/>
        <w:numId w:val="5"/>
      </w:numPr>
      <w:tabs>
        <w:tab w:val="num" w:pos="850"/>
        <w:tab w:val="num" w:pos="1133"/>
      </w:tabs>
      <w:ind w:left="1133" w:hanging="283"/>
    </w:pPr>
  </w:style>
  <w:style w:type="paragraph" w:customStyle="1" w:styleId="OutlineNumbered1">
    <w:name w:val="Outline Numbered 1"/>
    <w:basedOn w:val="Normal"/>
    <w:rsid w:val="00D51386"/>
    <w:pPr>
      <w:numPr>
        <w:numId w:val="2"/>
      </w:numPr>
    </w:pPr>
  </w:style>
  <w:style w:type="paragraph" w:customStyle="1" w:styleId="OutlineNumbered2">
    <w:name w:val="Outline Numbered 2"/>
    <w:basedOn w:val="Normal"/>
    <w:rsid w:val="00D51386"/>
    <w:pPr>
      <w:numPr>
        <w:ilvl w:val="1"/>
        <w:numId w:val="2"/>
      </w:numPr>
    </w:pPr>
  </w:style>
  <w:style w:type="paragraph" w:customStyle="1" w:styleId="OutlineNumbered3">
    <w:name w:val="Outline Numbered 3"/>
    <w:basedOn w:val="Normal"/>
    <w:rsid w:val="00D51386"/>
    <w:pPr>
      <w:numPr>
        <w:ilvl w:val="2"/>
        <w:numId w:val="2"/>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3"/>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5"/>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4"/>
      </w:numPr>
    </w:pPr>
  </w:style>
  <w:style w:type="paragraph" w:customStyle="1" w:styleId="BoxDash">
    <w:name w:val="Box Dash"/>
    <w:basedOn w:val="Normal"/>
    <w:uiPriority w:val="99"/>
    <w:rsid w:val="00D51386"/>
    <w:pPr>
      <w:numPr>
        <w:ilvl w:val="1"/>
        <w:numId w:val="4"/>
      </w:numPr>
    </w:pPr>
  </w:style>
  <w:style w:type="paragraph" w:customStyle="1" w:styleId="BoxDoubleDot">
    <w:name w:val="Box Double Dot"/>
    <w:basedOn w:val="BoxTextBase"/>
    <w:uiPriority w:val="99"/>
    <w:rsid w:val="00D51386"/>
    <w:pPr>
      <w:numPr>
        <w:ilvl w:val="2"/>
        <w:numId w:val="4"/>
      </w:numPr>
    </w:pPr>
  </w:style>
  <w:style w:type="paragraph" w:customStyle="1" w:styleId="RecommendationBullet">
    <w:name w:val="Recommendation Bullet"/>
    <w:basedOn w:val="RecommendationTextBase"/>
    <w:rsid w:val="00D51386"/>
    <w:pPr>
      <w:numPr>
        <w:numId w:val="6"/>
      </w:numPr>
    </w:pPr>
  </w:style>
  <w:style w:type="paragraph" w:customStyle="1" w:styleId="RecommendationDash">
    <w:name w:val="Recommendation Dash"/>
    <w:basedOn w:val="RecommendationTextBase"/>
    <w:rsid w:val="00D51386"/>
    <w:pPr>
      <w:numPr>
        <w:ilvl w:val="1"/>
        <w:numId w:val="6"/>
      </w:numPr>
    </w:pPr>
  </w:style>
  <w:style w:type="paragraph" w:customStyle="1" w:styleId="RecommendationDoubleDot">
    <w:name w:val="Recommendation Double Dot"/>
    <w:basedOn w:val="RecommendationTextBase"/>
    <w:rsid w:val="00D51386"/>
    <w:pPr>
      <w:numPr>
        <w:ilvl w:val="2"/>
        <w:numId w:val="6"/>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1"/>
      </w:numPr>
    </w:pPr>
  </w:style>
  <w:style w:type="paragraph" w:customStyle="1" w:styleId="Romannumeral">
    <w:name w:val="Roman numeral"/>
    <w:basedOn w:val="Normal"/>
    <w:rsid w:val="00D51386"/>
    <w:pPr>
      <w:numPr>
        <w:numId w:val="10"/>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3"/>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7"/>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3"/>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8"/>
      </w:numPr>
    </w:pPr>
  </w:style>
  <w:style w:type="paragraph" w:customStyle="1" w:styleId="AgreementParties">
    <w:name w:val="AgreementParties"/>
    <w:rsid w:val="00D51386"/>
    <w:pPr>
      <w:numPr>
        <w:numId w:val="11"/>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uiPriority w:val="99"/>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4"/>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5"/>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6"/>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6"/>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6"/>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6"/>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6"/>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6"/>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6"/>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6"/>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6"/>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D53A7B"/>
    <w:rPr>
      <w:rFonts w:ascii="Corbel" w:hAnsi="Corbe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188476">
      <w:marLeft w:val="0"/>
      <w:marRight w:val="0"/>
      <w:marTop w:val="0"/>
      <w:marBottom w:val="0"/>
      <w:divBdr>
        <w:top w:val="none" w:sz="0" w:space="0" w:color="auto"/>
        <w:left w:val="none" w:sz="0" w:space="0" w:color="auto"/>
        <w:bottom w:val="none" w:sz="0" w:space="0" w:color="auto"/>
        <w:right w:val="none" w:sz="0" w:space="0" w:color="auto"/>
      </w:divBdr>
    </w:div>
    <w:div w:id="2014188477">
      <w:marLeft w:val="0"/>
      <w:marRight w:val="0"/>
      <w:marTop w:val="0"/>
      <w:marBottom w:val="0"/>
      <w:divBdr>
        <w:top w:val="none" w:sz="0" w:space="0" w:color="auto"/>
        <w:left w:val="none" w:sz="0" w:space="0" w:color="auto"/>
        <w:bottom w:val="none" w:sz="0" w:space="0" w:color="auto"/>
        <w:right w:val="none" w:sz="0" w:space="0" w:color="auto"/>
      </w:divBdr>
    </w:div>
    <w:div w:id="2014188478">
      <w:marLeft w:val="0"/>
      <w:marRight w:val="0"/>
      <w:marTop w:val="0"/>
      <w:marBottom w:val="0"/>
      <w:divBdr>
        <w:top w:val="none" w:sz="0" w:space="0" w:color="auto"/>
        <w:left w:val="none" w:sz="0" w:space="0" w:color="auto"/>
        <w:bottom w:val="none" w:sz="0" w:space="0" w:color="auto"/>
        <w:right w:val="none" w:sz="0" w:space="0" w:color="auto"/>
      </w:divBdr>
    </w:div>
    <w:div w:id="2014188479">
      <w:marLeft w:val="0"/>
      <w:marRight w:val="0"/>
      <w:marTop w:val="0"/>
      <w:marBottom w:val="0"/>
      <w:divBdr>
        <w:top w:val="none" w:sz="0" w:space="0" w:color="auto"/>
        <w:left w:val="none" w:sz="0" w:space="0" w:color="auto"/>
        <w:bottom w:val="none" w:sz="0" w:space="0" w:color="auto"/>
        <w:right w:val="none" w:sz="0" w:space="0" w:color="auto"/>
      </w:divBdr>
    </w:div>
    <w:div w:id="2014188480">
      <w:marLeft w:val="0"/>
      <w:marRight w:val="0"/>
      <w:marTop w:val="0"/>
      <w:marBottom w:val="0"/>
      <w:divBdr>
        <w:top w:val="none" w:sz="0" w:space="0" w:color="auto"/>
        <w:left w:val="none" w:sz="0" w:space="0" w:color="auto"/>
        <w:bottom w:val="none" w:sz="0" w:space="0" w:color="auto"/>
        <w:right w:val="none" w:sz="0" w:space="0" w:color="auto"/>
      </w:divBdr>
    </w:div>
    <w:div w:id="20141884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Value>2</Value>
    </TaxCatchAll>
    <_dlc_DocId xmlns="0f563589-9cf9-4143-b1eb-fb0534803d38">2020FG-64-75264</_dlc_DocId>
    <_dlc_DocIdUrl xmlns="0f563589-9cf9-4143-b1eb-fb0534803d38">
      <Url>http://tweb/sites/fg/csrd/_layouts/15/DocIdRedir.aspx?ID=2020FG-64-75264</Url>
      <Description>2020FG-64-75264</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115" ma:contentTypeDescription=" " ma:contentTypeScope="" ma:versionID="6b7e861b069c10e40c0c1842d76e7e50">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2.xml><?xml version="1.0" encoding="utf-8"?>
<ds:datastoreItem xmlns:ds="http://schemas.openxmlformats.org/officeDocument/2006/customXml" ds:itemID="{1D6CA73D-198C-4219-ADE7-E1E176A05BBA}">
  <ds:schemaRefs>
    <ds:schemaRef ds:uri="Microsoft.SharePoint.Taxonomy.ContentTypeSync"/>
  </ds:schemaRefs>
</ds:datastoreItem>
</file>

<file path=customXml/itemProps3.xml><?xml version="1.0" encoding="utf-8"?>
<ds:datastoreItem xmlns:ds="http://schemas.openxmlformats.org/officeDocument/2006/customXml" ds:itemID="{CE8CEB83-4C75-4DD8-BCB3-D3B63BA07107}">
  <ds:schemaRefs>
    <ds:schemaRef ds:uri="http://schemas.microsoft.com/sharepoint/events"/>
  </ds:schemaRefs>
</ds:datastoreItem>
</file>

<file path=customXml/itemProps4.xml><?xml version="1.0" encoding="utf-8"?>
<ds:datastoreItem xmlns:ds="http://schemas.openxmlformats.org/officeDocument/2006/customXml" ds:itemID="{226AE49D-5510-41AD-ABE5-E6656F1822F4}">
  <ds:schemaRefs>
    <ds:schemaRef ds:uri="office.server.policy"/>
  </ds:schemaRefs>
</ds:datastoreItem>
</file>

<file path=customXml/itemProps5.xml><?xml version="1.0" encoding="utf-8"?>
<ds:datastoreItem xmlns:ds="http://schemas.openxmlformats.org/officeDocument/2006/customXml" ds:itemID="{34B4F22B-5801-4308-AF58-4BEF93CE760A}">
  <ds:schemaRefs>
    <ds:schemaRef ds:uri="e544e5cc-ab70-42e1-849e-1a0f8bb1f4ef"/>
    <ds:schemaRef ds:uri="http://www.w3.org/XML/1998/namespace"/>
    <ds:schemaRef ds:uri="http://schemas.openxmlformats.org/package/2006/metadata/core-properties"/>
    <ds:schemaRef ds:uri="http://schemas.microsoft.com/office/infopath/2007/PartnerControls"/>
    <ds:schemaRef ds:uri="http://schemas.microsoft.com/sharepoint/v3"/>
    <ds:schemaRef ds:uri="http://schemas.microsoft.com/office/2006/documentManagement/types"/>
    <ds:schemaRef ds:uri="http://schemas.microsoft.com/sharepoint/v4"/>
    <ds:schemaRef ds:uri="http://purl.org/dc/terms/"/>
    <ds:schemaRef ds:uri="http://purl.org/dc/elements/1.1/"/>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7F5A1251-8D7D-44DF-97C6-C14E44365B60}"/>
</file>

<file path=customXml/itemProps7.xml><?xml version="1.0" encoding="utf-8"?>
<ds:datastoreItem xmlns:ds="http://schemas.openxmlformats.org/officeDocument/2006/customXml" ds:itemID="{B823A117-9C48-45CB-8969-E9E459AB3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COAG.dot</Template>
  <TotalTime>11</TotalTime>
  <Pages>6</Pages>
  <Words>1109</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creator>Council of Australian Governments</dc:creator>
  <cp:lastModifiedBy>Jegatheeswaran, Gerthika</cp:lastModifiedBy>
  <cp:revision>4</cp:revision>
  <cp:lastPrinted>2017-02-24T00:27:00Z</cp:lastPrinted>
  <dcterms:created xsi:type="dcterms:W3CDTF">2017-03-27T01:18:00Z</dcterms:created>
  <dcterms:modified xsi:type="dcterms:W3CDTF">2018-06-05T04:07:00Z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YRecordClass">
    <vt:lpwstr>2;#TSY RA-8748 - Retain as national archives|243f2231-dbfc-4282-b24a-c9b768286bd0</vt:lpwstr>
  </property>
  <property fmtid="{D5CDD505-2E9C-101B-9397-08002B2CF9AE}" pid="3" name="ContentTypeId">
    <vt:lpwstr>0x010100348D01E61E107C4DA4B97E380EA20D47005CDF45B49E80F24CAD80DFC012154DA9</vt:lpwstr>
  </property>
  <property fmtid="{D5CDD505-2E9C-101B-9397-08002B2CF9AE}" pid="4" name="_dlc_DocIdItemGuid">
    <vt:lpwstr>9a73fff6-4ebb-46b2-bebe-aba088b20a6d</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{9a73fff6-4ebb-46b2-bebe-aba088b20a6d}</vt:lpwstr>
  </property>
  <property fmtid="{D5CDD505-2E9C-101B-9397-08002B2CF9AE}" pid="9" name="RecordPoint_ActiveItemWebId">
    <vt:lpwstr>{a4589788-615f-4b8b-8296-7f9f6dfbab44}</vt:lpwstr>
  </property>
  <property fmtid="{D5CDD505-2E9C-101B-9397-08002B2CF9AE}" pid="10" name="_NewReviewCycle">
    <vt:lpwstr/>
  </property>
  <property fmtid="{D5CDD505-2E9C-101B-9397-08002B2CF9AE}" pid="11" name="RecordPoint_SubmissionCompleted">
    <vt:lpwstr>2020-06-12T21:02:30.5322672+10:00</vt:lpwstr>
  </property>
  <property fmtid="{D5CDD505-2E9C-101B-9397-08002B2CF9AE}" pid="12" name="RecordPoint_SubmissionDate">
    <vt:lpwstr/>
  </property>
  <property fmtid="{D5CDD505-2E9C-101B-9397-08002B2CF9AE}" pid="13" name="RecordPoint_RecordNumberSubmitted">
    <vt:lpwstr>R0002277599</vt:lpwstr>
  </property>
  <property fmtid="{D5CDD505-2E9C-101B-9397-08002B2CF9AE}" pid="14" name="RecordPoint_ActiveItemMoved">
    <vt:lpwstr/>
  </property>
  <property fmtid="{D5CDD505-2E9C-101B-9397-08002B2CF9AE}" pid="15" name="RecordPoint_RecordFormat">
    <vt:lpwstr/>
  </property>
  <property fmtid="{D5CDD505-2E9C-101B-9397-08002B2CF9AE}" pid="16" name="_AdHocReviewCycleID">
    <vt:i4>-1354671248</vt:i4>
  </property>
  <property fmtid="{D5CDD505-2E9C-101B-9397-08002B2CF9AE}" pid="17" name="_EmailSubject">
    <vt:lpwstr>P&amp;D Change to Existing Webpage</vt:lpwstr>
  </property>
  <property fmtid="{D5CDD505-2E9C-101B-9397-08002B2CF9AE}" pid="18" name="_AuthorEmail">
    <vt:lpwstr>Gerthika.Jegatheeswaran@TREASURY.GOV.AU</vt:lpwstr>
  </property>
  <property fmtid="{D5CDD505-2E9C-101B-9397-08002B2CF9AE}" pid="19" name="_AuthorEmailDisplayName">
    <vt:lpwstr>Jegatheeswaran, Gerthika</vt:lpwstr>
  </property>
  <property fmtid="{D5CDD505-2E9C-101B-9397-08002B2CF9AE}" pid="21" name="_PreviousAdHocReviewCycleID">
    <vt:i4>-1848733616</vt:i4>
  </property>
</Properties>
</file>