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14:paraId="5FD9724F" w14:textId="77777777">
        <w:tc>
          <w:tcPr>
            <w:tcW w:w="5000" w:type="pct"/>
            <w:gridSpan w:val="2"/>
          </w:tcPr>
          <w:p w14:paraId="7CD3AE7A" w14:textId="77777777" w:rsidR="00814667" w:rsidRDefault="00BA4284" w:rsidP="007D2C3D">
            <w:pPr>
              <w:pStyle w:val="CoverTitleMain"/>
            </w:pPr>
            <w:bookmarkStart w:id="0" w:name="_GoBack"/>
            <w:bookmarkEnd w:id="0"/>
            <w:r>
              <w:t>Project AGreement</w:t>
            </w:r>
            <w:r w:rsidR="00292587">
              <w:t xml:space="preserve"> FOR </w:t>
            </w:r>
            <w:r w:rsidR="0069650B">
              <w:t>VACCINE PREVENTABLE DISEASES SURVEILLANCE PROGRAM</w:t>
            </w:r>
          </w:p>
        </w:tc>
      </w:tr>
      <w:tr w:rsidR="00814667" w14:paraId="1720532B" w14:textId="77777777">
        <w:tc>
          <w:tcPr>
            <w:tcW w:w="767" w:type="pct"/>
          </w:tcPr>
          <w:p w14:paraId="3403216F" w14:textId="77777777" w:rsidR="00814667" w:rsidRDefault="00814667">
            <w:pPr>
              <w:pStyle w:val="SingleParagraph"/>
              <w:tabs>
                <w:tab w:val="num" w:pos="1134"/>
              </w:tabs>
              <w:spacing w:after="240"/>
              <w:ind w:left="1134" w:hanging="567"/>
            </w:pPr>
          </w:p>
        </w:tc>
        <w:tc>
          <w:tcPr>
            <w:tcW w:w="4233" w:type="pct"/>
          </w:tcPr>
          <w:p w14:paraId="772665E7" w14:textId="77777777" w:rsidR="00814667" w:rsidRDefault="00814667">
            <w:pPr>
              <w:pStyle w:val="SingleParagraph"/>
              <w:tabs>
                <w:tab w:val="num" w:pos="1134"/>
              </w:tabs>
              <w:spacing w:after="240"/>
              <w:ind w:left="1134" w:hanging="567"/>
            </w:pPr>
          </w:p>
        </w:tc>
      </w:tr>
      <w:tr w:rsidR="00814667" w14:paraId="528B540B" w14:textId="77777777">
        <w:tc>
          <w:tcPr>
            <w:tcW w:w="767" w:type="pct"/>
          </w:tcPr>
          <w:p w14:paraId="4E236306" w14:textId="77777777" w:rsidR="00814667" w:rsidRDefault="00814667">
            <w:pPr>
              <w:pStyle w:val="SingleParagraph"/>
              <w:tabs>
                <w:tab w:val="num" w:pos="1134"/>
              </w:tabs>
              <w:spacing w:after="240"/>
              <w:ind w:left="1134" w:hanging="567"/>
            </w:pPr>
          </w:p>
        </w:tc>
        <w:tc>
          <w:tcPr>
            <w:tcW w:w="4233" w:type="pct"/>
          </w:tcPr>
          <w:p w14:paraId="3E9AC52E" w14:textId="77777777" w:rsidR="00814667" w:rsidRPr="001E74D0" w:rsidRDefault="00814667">
            <w:pPr>
              <w:pStyle w:val="SingleParagraph"/>
              <w:tabs>
                <w:tab w:val="num" w:pos="1134"/>
              </w:tabs>
              <w:spacing w:after="240"/>
              <w:ind w:left="1134" w:hanging="567"/>
            </w:pPr>
          </w:p>
        </w:tc>
      </w:tr>
      <w:tr w:rsidR="00814667" w14:paraId="72A4ED05" w14:textId="77777777">
        <w:tc>
          <w:tcPr>
            <w:tcW w:w="5000" w:type="pct"/>
            <w:gridSpan w:val="2"/>
          </w:tcPr>
          <w:p w14:paraId="46241E23" w14:textId="77777777" w:rsidR="00814667" w:rsidRDefault="00814667">
            <w:pPr>
              <w:pStyle w:val="AgreementHeading"/>
              <w:tabs>
                <w:tab w:val="clear" w:pos="1134"/>
              </w:tabs>
            </w:pPr>
            <w:r>
              <w:t>An agreement between</w:t>
            </w:r>
            <w:r w:rsidR="00697494">
              <w:t>:</w:t>
            </w:r>
          </w:p>
        </w:tc>
      </w:tr>
      <w:tr w:rsidR="00814667" w14:paraId="752E6648" w14:textId="77777777">
        <w:tc>
          <w:tcPr>
            <w:tcW w:w="767" w:type="pct"/>
          </w:tcPr>
          <w:p w14:paraId="3C25BD85" w14:textId="77777777" w:rsidR="00814667" w:rsidRPr="001E74D0" w:rsidRDefault="00814667">
            <w:pPr>
              <w:pStyle w:val="AgreementHeading"/>
              <w:tabs>
                <w:tab w:val="clear" w:pos="1134"/>
              </w:tabs>
              <w:ind w:left="522"/>
            </w:pPr>
          </w:p>
        </w:tc>
        <w:tc>
          <w:tcPr>
            <w:tcW w:w="4233" w:type="pct"/>
          </w:tcPr>
          <w:p w14:paraId="0EE475F4"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D8DD4EC" w14:textId="77777777" w:rsidR="00814667" w:rsidRPr="001E74D0" w:rsidRDefault="00814667" w:rsidP="00A0349A">
            <w:pPr>
              <w:pStyle w:val="AgreementParties"/>
            </w:pPr>
            <w:r>
              <w:t xml:space="preserve">the </w:t>
            </w:r>
            <w:r>
              <w:rPr>
                <w:rStyle w:val="Bold"/>
              </w:rPr>
              <w:t>States and Territorie</w:t>
            </w:r>
            <w:r w:rsidR="00697494">
              <w:rPr>
                <w:rStyle w:val="Bold"/>
              </w:rPr>
              <w:t xml:space="preserve">s </w:t>
            </w:r>
            <w:r w:rsidR="00697494" w:rsidRPr="00DE36EB">
              <w:rPr>
                <w:rStyle w:val="Bold"/>
              </w:rPr>
              <w:t>of</w:t>
            </w:r>
          </w:p>
        </w:tc>
      </w:tr>
      <w:tr w:rsidR="00814667" w14:paraId="3ADD6930" w14:textId="77777777">
        <w:tc>
          <w:tcPr>
            <w:tcW w:w="767" w:type="pct"/>
          </w:tcPr>
          <w:p w14:paraId="1016BE70" w14:textId="77777777" w:rsidR="00814667" w:rsidRDefault="00814667">
            <w:pPr>
              <w:pStyle w:val="SingleParagraph"/>
              <w:tabs>
                <w:tab w:val="num" w:pos="1134"/>
              </w:tabs>
              <w:spacing w:after="240"/>
              <w:ind w:left="1134" w:hanging="567"/>
            </w:pPr>
          </w:p>
        </w:tc>
        <w:tc>
          <w:tcPr>
            <w:tcW w:w="4233" w:type="pct"/>
            <w:tcBorders>
              <w:left w:val="nil"/>
            </w:tcBorders>
          </w:tcPr>
          <w:p w14:paraId="53947FEA" w14:textId="77777777" w:rsidR="00814667" w:rsidRPr="00064BF5" w:rsidRDefault="00814667" w:rsidP="009F3AC5">
            <w:pPr>
              <w:pStyle w:val="StatesList"/>
              <w:numPr>
                <w:ilvl w:val="0"/>
                <w:numId w:val="9"/>
              </w:numPr>
            </w:pPr>
            <w:r w:rsidRPr="00064BF5">
              <w:t>New South Wales</w:t>
            </w:r>
            <w:r w:rsidR="00697494" w:rsidRPr="00064BF5">
              <w:t>,</w:t>
            </w:r>
          </w:p>
          <w:p w14:paraId="02FC1AD0" w14:textId="77777777" w:rsidR="00814667" w:rsidRPr="00064BF5" w:rsidRDefault="00814667" w:rsidP="009F3AC5">
            <w:pPr>
              <w:pStyle w:val="StatesList"/>
              <w:numPr>
                <w:ilvl w:val="0"/>
                <w:numId w:val="9"/>
              </w:numPr>
            </w:pPr>
            <w:r w:rsidRPr="00064BF5">
              <w:t>Victoria</w:t>
            </w:r>
            <w:r w:rsidR="00697494" w:rsidRPr="00064BF5">
              <w:t>,</w:t>
            </w:r>
          </w:p>
          <w:p w14:paraId="1C9D5922" w14:textId="77777777" w:rsidR="00814667" w:rsidRPr="00064BF5" w:rsidRDefault="00814667" w:rsidP="009F3AC5">
            <w:pPr>
              <w:pStyle w:val="StatesList"/>
              <w:numPr>
                <w:ilvl w:val="0"/>
                <w:numId w:val="9"/>
              </w:numPr>
            </w:pPr>
            <w:r w:rsidRPr="00064BF5">
              <w:t>Queensland</w:t>
            </w:r>
            <w:r w:rsidR="00697494" w:rsidRPr="00064BF5">
              <w:t>,</w:t>
            </w:r>
          </w:p>
          <w:p w14:paraId="5B713057" w14:textId="77777777" w:rsidR="00814667" w:rsidRPr="00064BF5" w:rsidRDefault="00814667" w:rsidP="009F3AC5">
            <w:pPr>
              <w:pStyle w:val="StatesList"/>
              <w:numPr>
                <w:ilvl w:val="0"/>
                <w:numId w:val="9"/>
              </w:numPr>
            </w:pPr>
            <w:r w:rsidRPr="00064BF5">
              <w:t>Western Australia</w:t>
            </w:r>
            <w:r w:rsidR="00697494" w:rsidRPr="00064BF5">
              <w:t>,</w:t>
            </w:r>
          </w:p>
          <w:p w14:paraId="205852EC" w14:textId="77777777" w:rsidR="00814667" w:rsidRPr="00064BF5" w:rsidRDefault="00814667" w:rsidP="009F3AC5">
            <w:pPr>
              <w:pStyle w:val="StatesList"/>
              <w:numPr>
                <w:ilvl w:val="0"/>
                <w:numId w:val="9"/>
              </w:numPr>
            </w:pPr>
            <w:r w:rsidRPr="00064BF5">
              <w:t>South Australia</w:t>
            </w:r>
            <w:r w:rsidR="00697494" w:rsidRPr="00064BF5">
              <w:t>,</w:t>
            </w:r>
          </w:p>
          <w:p w14:paraId="7771EEFD" w14:textId="77777777" w:rsidR="00814667" w:rsidRPr="00064BF5" w:rsidRDefault="00814667" w:rsidP="009F3AC5">
            <w:pPr>
              <w:pStyle w:val="StatesList"/>
              <w:numPr>
                <w:ilvl w:val="0"/>
                <w:numId w:val="9"/>
              </w:numPr>
            </w:pPr>
            <w:r w:rsidRPr="00064BF5">
              <w:t>Tasmania</w:t>
            </w:r>
            <w:r w:rsidR="00697494" w:rsidRPr="00064BF5">
              <w:t>,</w:t>
            </w:r>
          </w:p>
          <w:p w14:paraId="68EA5625" w14:textId="77777777" w:rsidR="00814667" w:rsidRPr="00064BF5" w:rsidRDefault="004B6083" w:rsidP="009F3AC5">
            <w:pPr>
              <w:pStyle w:val="StatesList"/>
              <w:numPr>
                <w:ilvl w:val="0"/>
                <w:numId w:val="9"/>
              </w:numPr>
            </w:pPr>
            <w:r w:rsidRPr="00064BF5">
              <w:t xml:space="preserve">the </w:t>
            </w:r>
            <w:r w:rsidR="00814667" w:rsidRPr="00064BF5">
              <w:t>Australian Capital Territory</w:t>
            </w:r>
            <w:r w:rsidR="00697494" w:rsidRPr="00064BF5">
              <w:t xml:space="preserve">, </w:t>
            </w:r>
            <w:r w:rsidR="00726DB5" w:rsidRPr="00064BF5">
              <w:t>and</w:t>
            </w:r>
          </w:p>
          <w:p w14:paraId="00F7BB69" w14:textId="77777777" w:rsidR="00EB7EDA" w:rsidRPr="0069650B" w:rsidRDefault="004B6083" w:rsidP="009F3AC5">
            <w:pPr>
              <w:pStyle w:val="StatesList"/>
              <w:numPr>
                <w:ilvl w:val="0"/>
                <w:numId w:val="9"/>
              </w:numPr>
            </w:pPr>
            <w:proofErr w:type="gramStart"/>
            <w:r w:rsidRPr="00064BF5">
              <w:t>t</w:t>
            </w:r>
            <w:r w:rsidR="00814667" w:rsidRPr="00064BF5">
              <w:t>he</w:t>
            </w:r>
            <w:proofErr w:type="gramEnd"/>
            <w:r w:rsidR="00814667" w:rsidRPr="00064BF5">
              <w:t xml:space="preserve"> Northern Territory</w:t>
            </w:r>
            <w:r w:rsidR="00726DB5" w:rsidRPr="00064BF5">
              <w:t>.</w:t>
            </w:r>
          </w:p>
        </w:tc>
      </w:tr>
      <w:tr w:rsidR="00814667" w14:paraId="6CE898C2" w14:textId="77777777">
        <w:tc>
          <w:tcPr>
            <w:tcW w:w="5000" w:type="pct"/>
            <w:gridSpan w:val="2"/>
          </w:tcPr>
          <w:p w14:paraId="5B191933" w14:textId="77777777" w:rsidR="00814667" w:rsidRDefault="00814667">
            <w:pPr>
              <w:pStyle w:val="SingleParagraph"/>
              <w:tabs>
                <w:tab w:val="num" w:pos="1134"/>
              </w:tabs>
              <w:spacing w:after="240"/>
              <w:ind w:left="1134" w:hanging="567"/>
            </w:pPr>
          </w:p>
        </w:tc>
      </w:tr>
      <w:tr w:rsidR="00814667" w14:paraId="657C0301" w14:textId="77777777">
        <w:tc>
          <w:tcPr>
            <w:tcW w:w="5000" w:type="pct"/>
            <w:gridSpan w:val="2"/>
          </w:tcPr>
          <w:p w14:paraId="32394583" w14:textId="77777777" w:rsidR="001014BC" w:rsidRDefault="001014BC" w:rsidP="0069650B">
            <w:pPr>
              <w:pStyle w:val="Abstract"/>
            </w:pPr>
          </w:p>
          <w:p w14:paraId="5A2C6FCE" w14:textId="77777777" w:rsidR="001014BC" w:rsidRDefault="001014BC" w:rsidP="0069650B">
            <w:pPr>
              <w:pStyle w:val="Abstract"/>
            </w:pPr>
          </w:p>
          <w:p w14:paraId="75CA1B08" w14:textId="77777777" w:rsidR="00814667" w:rsidRDefault="00771FFF" w:rsidP="0069650B">
            <w:pPr>
              <w:pStyle w:val="Abstract"/>
            </w:pPr>
            <w:r>
              <w:t>The output of this project will be</w:t>
            </w:r>
            <w:r w:rsidR="00845BCC">
              <w:t xml:space="preserve"> </w:t>
            </w:r>
            <w:r w:rsidR="0069650B">
              <w:t>surveillance reporting of nationally notifiable vaccine preventable diseases, as outlined in the National Health Security Agreement’s National Notifiable Disease List and covered by the National Immunisation Program</w:t>
            </w:r>
            <w:r w:rsidR="00C7093C">
              <w:t>.</w:t>
            </w:r>
          </w:p>
        </w:tc>
      </w:tr>
    </w:tbl>
    <w:p w14:paraId="618C3C5D" w14:textId="77777777" w:rsidR="00814667" w:rsidRDefault="00FF5029" w:rsidP="00087AC4">
      <w:pPr>
        <w:pStyle w:val="Title"/>
        <w:pageBreakBefore/>
        <w:spacing w:after="240"/>
      </w:pPr>
      <w:r>
        <w:lastRenderedPageBreak/>
        <w:t xml:space="preserve">Project </w:t>
      </w:r>
      <w:r w:rsidR="00D7336A">
        <w:t>Agreement</w:t>
      </w:r>
      <w:r>
        <w:t xml:space="preserve"> for</w:t>
      </w:r>
      <w:r w:rsidR="00C7093C">
        <w:t xml:space="preserve"> </w:t>
      </w:r>
      <w:r w:rsidR="007A6E20">
        <w:br/>
      </w:r>
      <w:r w:rsidR="001A2D76">
        <w:t>Vaccine Preventable Diseases Surveillance Program</w:t>
      </w:r>
    </w:p>
    <w:p w14:paraId="5BF4B76A"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562D5278" w14:textId="77777777" w:rsidR="00C960AA" w:rsidRPr="0096732C" w:rsidRDefault="00C960AA" w:rsidP="009F3AC5">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23C1B431"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592A732C" w14:textId="77777777" w:rsidR="0096732C" w:rsidRDefault="00852ED8" w:rsidP="009F3AC5">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delivery of </w:t>
      </w:r>
      <w:r w:rsidR="003F5811">
        <w:t>surveillance reporting of nationally notifiable vaccine preventable diseases, as outlined in the National Health Security Agreement’s National Notifiable Disease List and covered by the National Immunisation Program.</w:t>
      </w:r>
    </w:p>
    <w:p w14:paraId="4C9141BD"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7B93D8EE" w14:textId="77777777" w:rsidR="00A00346" w:rsidRDefault="000825CA" w:rsidP="00A00346">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States will report annually </w:t>
      </w:r>
      <w:r w:rsidR="0096732C">
        <w:t>against the agreed milestones during the operation of this Agreement, as set out in Part 4 – Project Mile</w:t>
      </w:r>
      <w:r>
        <w:t>stones, Reporting and Payments.</w:t>
      </w:r>
    </w:p>
    <w:p w14:paraId="71F62A87"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0BCA77DB" w14:textId="77777777" w:rsidR="0096732C" w:rsidRPr="0096732C" w:rsidRDefault="0096732C" w:rsidP="009F3AC5">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the States </w:t>
      </w:r>
      <w:r>
        <w:t xml:space="preserve">of </w:t>
      </w:r>
      <w:r w:rsidR="00327722">
        <w:t>$2.6</w:t>
      </w:r>
      <w:r w:rsidR="00E15DB0">
        <w:t> </w:t>
      </w:r>
      <w:r w:rsidR="007617C2">
        <w:t>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7164B4F1" w14:textId="77777777" w:rsidR="0096732C" w:rsidRPr="004B1F38"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p>
    <w:p w14:paraId="3F7E7E15" w14:textId="77777777" w:rsidR="00814667" w:rsidRDefault="00814667">
      <w:pPr>
        <w:pStyle w:val="Heading1"/>
      </w:pPr>
      <w:r>
        <w:t>Part 1 — Formalities</w:t>
      </w:r>
    </w:p>
    <w:p w14:paraId="72B7C11F" w14:textId="77777777" w:rsidR="00804105" w:rsidRDefault="00804105" w:rsidP="009F3AC5">
      <w:pPr>
        <w:pStyle w:val="Normalnumbered"/>
        <w:numPr>
          <w:ilvl w:val="0"/>
          <w:numId w:val="12"/>
        </w:numPr>
      </w:pPr>
      <w:r>
        <w:t>This Agreement constitutes the entire agreement for this project.</w:t>
      </w:r>
    </w:p>
    <w:p w14:paraId="0E78A5C5" w14:textId="77777777" w:rsidR="00814667" w:rsidRDefault="00814667">
      <w:pPr>
        <w:pStyle w:val="Heading2"/>
      </w:pPr>
      <w:r>
        <w:t>Parties to this Agreement</w:t>
      </w:r>
    </w:p>
    <w:p w14:paraId="457C326F" w14:textId="77777777" w:rsidR="007B4B03" w:rsidRPr="007B4B03" w:rsidRDefault="00E7195E" w:rsidP="009F3AC5">
      <w:pPr>
        <w:pStyle w:val="Normalnumbered"/>
        <w:numPr>
          <w:ilvl w:val="0"/>
          <w:numId w:val="12"/>
        </w:numPr>
      </w:pPr>
      <w:r w:rsidRPr="003012DA">
        <w:t xml:space="preserve">This </w:t>
      </w:r>
      <w:r w:rsidR="00E31096">
        <w:t xml:space="preserve">Agreement </w:t>
      </w:r>
      <w:r w:rsidRPr="003012DA">
        <w:t>is between the Commonwealth of Australia (the</w:t>
      </w:r>
      <w:r w:rsidR="00593821">
        <w:t xml:space="preserve"> Commonwealth</w:t>
      </w:r>
      <w:r w:rsidRPr="003012DA">
        <w:t>) and t</w:t>
      </w:r>
      <w:r w:rsidR="00593821">
        <w:t xml:space="preserve">he States and Territories (the </w:t>
      </w:r>
      <w:r w:rsidRPr="003012DA">
        <w:t>States)</w:t>
      </w:r>
      <w:r w:rsidR="003F5811">
        <w:t>.</w:t>
      </w:r>
    </w:p>
    <w:p w14:paraId="48A7AB2F" w14:textId="77777777" w:rsidR="00814667" w:rsidRDefault="00814667">
      <w:pPr>
        <w:pStyle w:val="Heading2"/>
      </w:pPr>
      <w:r>
        <w:t>Term of the Agreement</w:t>
      </w:r>
    </w:p>
    <w:p w14:paraId="635F0243" w14:textId="77777777" w:rsidR="00814667" w:rsidRPr="00DE36EB" w:rsidRDefault="00814667" w:rsidP="009F3AC5">
      <w:pPr>
        <w:pStyle w:val="Normalnumbered"/>
        <w:numPr>
          <w:ilvl w:val="0"/>
          <w:numId w:val="12"/>
        </w:numPr>
      </w:pPr>
      <w:r w:rsidRPr="00DE36EB">
        <w:t>This Agreement will commence as soon as the Commonwealth and on</w:t>
      </w:r>
      <w:r w:rsidR="00C7093C" w:rsidRPr="00DE36EB">
        <w:t>e</w:t>
      </w:r>
      <w:r w:rsidRPr="00DE36EB">
        <w:t xml:space="preserve"> other Party</w:t>
      </w:r>
      <w:r w:rsidR="00726DB5" w:rsidRPr="00DE36EB">
        <w:t xml:space="preserve"> sign</w:t>
      </w:r>
      <w:r w:rsidR="003F5811">
        <w:t>s</w:t>
      </w:r>
      <w:r w:rsidR="00726DB5" w:rsidRPr="003F5811">
        <w:t xml:space="preserve"> </w:t>
      </w:r>
      <w:r w:rsidR="003F5811" w:rsidRPr="003F5811">
        <w:t>the Agreement</w:t>
      </w:r>
      <w:r w:rsidRPr="003F5811">
        <w:t xml:space="preserve"> </w:t>
      </w:r>
      <w:r w:rsidRPr="00DE36EB">
        <w:t>and will expire on</w:t>
      </w:r>
      <w:r w:rsidR="00C7093C" w:rsidRPr="00DE36EB">
        <w:t xml:space="preserve"> </w:t>
      </w:r>
      <w:r w:rsidR="003F5811">
        <w:t>3</w:t>
      </w:r>
      <w:r w:rsidR="005C54FC">
        <w:t>0 June 202</w:t>
      </w:r>
      <w:r w:rsidR="007617C2">
        <w:t>0</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4EE6BC86"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p>
    <w:p w14:paraId="04DB4802" w14:textId="77777777" w:rsidR="00814667" w:rsidRDefault="00814667">
      <w:pPr>
        <w:pStyle w:val="Heading2"/>
      </w:pPr>
      <w:r>
        <w:t>Output</w:t>
      </w:r>
    </w:p>
    <w:p w14:paraId="6B663AB5" w14:textId="77777777" w:rsidR="0085738D" w:rsidRDefault="00814667" w:rsidP="009F3AC5">
      <w:pPr>
        <w:pStyle w:val="Normalnumbered"/>
        <w:numPr>
          <w:ilvl w:val="0"/>
          <w:numId w:val="12"/>
        </w:numPr>
        <w:jc w:val="left"/>
      </w:pPr>
      <w:r w:rsidRPr="0085738D">
        <w:t>The o</w:t>
      </w:r>
      <w:r w:rsidR="001014BC">
        <w:t>utput of this Agreement will be reporting of surveillance data on nationally notifiable vaccine preventable diseases to agreed standards.</w:t>
      </w:r>
    </w:p>
    <w:p w14:paraId="4BE7249E" w14:textId="77777777" w:rsidR="008F44F1" w:rsidRDefault="008F44F1">
      <w:pPr>
        <w:pStyle w:val="Heading1"/>
      </w:pPr>
      <w:r>
        <w:t>Part 3 — roles and responsibilities of each party</w:t>
      </w:r>
    </w:p>
    <w:p w14:paraId="7D74ACC4" w14:textId="77777777" w:rsidR="008F44F1" w:rsidRDefault="008F44F1" w:rsidP="008F44F1">
      <w:pPr>
        <w:pStyle w:val="Heading2"/>
      </w:pPr>
      <w:r w:rsidRPr="00814590">
        <w:t>Role of the Commonwealth</w:t>
      </w:r>
    </w:p>
    <w:p w14:paraId="0014E693" w14:textId="77777777" w:rsidR="008F44F1" w:rsidRDefault="008F44F1" w:rsidP="009F3AC5">
      <w:pPr>
        <w:pStyle w:val="Normalnumbered"/>
        <w:numPr>
          <w:ilvl w:val="0"/>
          <w:numId w:val="12"/>
        </w:numPr>
        <w:jc w:val="left"/>
      </w:pPr>
      <w:r>
        <w:t>The Commonwealth will be responsible for:</w:t>
      </w:r>
    </w:p>
    <w:p w14:paraId="3CDE432F" w14:textId="77777777" w:rsidR="008F44F1" w:rsidRPr="000614F9" w:rsidRDefault="008F44F1" w:rsidP="009F3AC5">
      <w:pPr>
        <w:pStyle w:val="AlphaParagraph"/>
        <w:numPr>
          <w:ilvl w:val="0"/>
          <w:numId w:val="22"/>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 </w:t>
      </w:r>
      <w:r w:rsidR="007B7978">
        <w:t>Vaccine Preventable Diseases Surveillance Program</w:t>
      </w:r>
      <w:r w:rsidRPr="000614F9">
        <w:t xml:space="preserve"> </w:t>
      </w:r>
      <w:r w:rsidRPr="000614F9">
        <w:rPr>
          <w:color w:val="auto"/>
        </w:rPr>
        <w:t>under</w:t>
      </w:r>
      <w:r w:rsidRPr="004B6083">
        <w:t xml:space="preserve"> this Agreement to ensure that outputs are delivered within the agreed timeframe; </w:t>
      </w:r>
    </w:p>
    <w:p w14:paraId="35C43B3E" w14:textId="77777777" w:rsidR="008F44F1" w:rsidRPr="000614F9" w:rsidRDefault="008F44F1" w:rsidP="009F3AC5">
      <w:pPr>
        <w:pStyle w:val="AlphaParagraph"/>
        <w:numPr>
          <w:ilvl w:val="0"/>
          <w:numId w:val="17"/>
        </w:numPr>
        <w:tabs>
          <w:tab w:val="clear" w:pos="567"/>
          <w:tab w:val="clear" w:pos="1418"/>
          <w:tab w:val="clear" w:pos="1701"/>
        </w:tabs>
        <w:ind w:left="1134" w:hanging="567"/>
        <w:rPr>
          <w:color w:val="auto"/>
        </w:rPr>
      </w:pPr>
      <w:r w:rsidRPr="004B6083">
        <w:rPr>
          <w:color w:val="auto"/>
        </w:rPr>
        <w:t xml:space="preserve">providing a consequent financial contribution to the States to support the </w:t>
      </w:r>
      <w:r w:rsidRPr="000614F9">
        <w:t>implementation</w:t>
      </w:r>
      <w:r w:rsidRPr="004B6083">
        <w:rPr>
          <w:color w:val="auto"/>
        </w:rPr>
        <w:t xml:space="preserve"> of this Agreement;</w:t>
      </w:r>
      <w:r w:rsidR="007B7978">
        <w:rPr>
          <w:color w:val="auto"/>
        </w:rPr>
        <w:t xml:space="preserve"> and</w:t>
      </w:r>
    </w:p>
    <w:p w14:paraId="4421807B" w14:textId="77777777" w:rsidR="008F44F1" w:rsidRPr="00B100DF" w:rsidRDefault="007B7978" w:rsidP="009E4F66">
      <w:pPr>
        <w:pStyle w:val="AlphaParagraph"/>
        <w:numPr>
          <w:ilvl w:val="0"/>
          <w:numId w:val="17"/>
        </w:numPr>
        <w:tabs>
          <w:tab w:val="clear" w:pos="283"/>
          <w:tab w:val="clear" w:pos="567"/>
          <w:tab w:val="clear" w:pos="1418"/>
          <w:tab w:val="clear" w:pos="1701"/>
        </w:tabs>
        <w:ind w:left="1134" w:hanging="567"/>
        <w:rPr>
          <w:i/>
          <w:color w:val="auto"/>
        </w:rPr>
      </w:pPr>
      <w:proofErr w:type="gramStart"/>
      <w:r>
        <w:rPr>
          <w:color w:val="auto"/>
          <w:szCs w:val="23"/>
        </w:rPr>
        <w:t>maintaining</w:t>
      </w:r>
      <w:proofErr w:type="gramEnd"/>
      <w:r>
        <w:rPr>
          <w:color w:val="auto"/>
          <w:szCs w:val="23"/>
        </w:rPr>
        <w:t xml:space="preserve"> a national surveillance database and producing regular reporting of national surveillance data on vaccine preventable diseases.</w:t>
      </w:r>
    </w:p>
    <w:p w14:paraId="544AC90C" w14:textId="77777777" w:rsidR="008F44F1" w:rsidRPr="00751725" w:rsidRDefault="008F44F1" w:rsidP="008F44F1">
      <w:pPr>
        <w:pStyle w:val="Heading2"/>
      </w:pPr>
      <w:r w:rsidRPr="00751725">
        <w:t xml:space="preserve">Role of the States </w:t>
      </w:r>
      <w:r>
        <w:t>and Territories</w:t>
      </w:r>
    </w:p>
    <w:p w14:paraId="540FAD72" w14:textId="77777777" w:rsidR="008F44F1" w:rsidRPr="00751725" w:rsidRDefault="008F44F1" w:rsidP="009F3AC5">
      <w:pPr>
        <w:pStyle w:val="Normalnumbered"/>
        <w:numPr>
          <w:ilvl w:val="0"/>
          <w:numId w:val="12"/>
        </w:numPr>
        <w:jc w:val="left"/>
      </w:pPr>
      <w:r w:rsidRPr="00751725">
        <w:t xml:space="preserve">The States </w:t>
      </w:r>
      <w:r>
        <w:t>will be responsible for</w:t>
      </w:r>
      <w:r w:rsidR="00545DF7">
        <w:t>:</w:t>
      </w:r>
    </w:p>
    <w:p w14:paraId="787DD151" w14:textId="77777777" w:rsidR="008F44F1" w:rsidRDefault="00237660" w:rsidP="009F3AC5">
      <w:pPr>
        <w:pStyle w:val="AlphaParagraph"/>
        <w:numPr>
          <w:ilvl w:val="0"/>
          <w:numId w:val="21"/>
        </w:numPr>
        <w:tabs>
          <w:tab w:val="clear" w:pos="567"/>
          <w:tab w:val="clear" w:pos="1418"/>
          <w:tab w:val="clear" w:pos="1701"/>
        </w:tabs>
        <w:ind w:left="1134" w:hanging="567"/>
      </w:pPr>
      <w:r>
        <w:t>all aspects of delivering on the project outputs set out in this Agreement;</w:t>
      </w:r>
    </w:p>
    <w:p w14:paraId="0DD407A4" w14:textId="77777777" w:rsidR="008F44F1" w:rsidRDefault="00237660" w:rsidP="009F3AC5">
      <w:pPr>
        <w:pStyle w:val="AlphaParagraph"/>
        <w:numPr>
          <w:ilvl w:val="0"/>
          <w:numId w:val="17"/>
        </w:numPr>
        <w:tabs>
          <w:tab w:val="clear" w:pos="567"/>
          <w:tab w:val="clear" w:pos="1418"/>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p>
    <w:p w14:paraId="1A35D1C2" w14:textId="77777777" w:rsidR="008F44F1" w:rsidRDefault="00237660" w:rsidP="00E87290">
      <w:pPr>
        <w:pStyle w:val="AlphaParagraph"/>
        <w:numPr>
          <w:ilvl w:val="0"/>
          <w:numId w:val="17"/>
        </w:numPr>
        <w:tabs>
          <w:tab w:val="clear" w:pos="567"/>
          <w:tab w:val="clear" w:pos="1418"/>
          <w:tab w:val="clear" w:pos="1701"/>
        </w:tabs>
        <w:ind w:left="1134" w:hanging="567"/>
      </w:pPr>
      <w:r>
        <w:t xml:space="preserve">providing the Commonwealth with high quality data, in a timely manner, on nationally notifiable vaccine preventable diseases, according to the core National Notifiable Diseases Surveillance System (NNDSS) dataset field specifications and enhanced data </w:t>
      </w:r>
      <w:r w:rsidR="0092117B">
        <w:t xml:space="preserve">specifications </w:t>
      </w:r>
      <w:r>
        <w:t>as agreed by the Communicable Diseases Network Australia</w:t>
      </w:r>
      <w:r w:rsidR="006B43AF">
        <w:t>;</w:t>
      </w:r>
    </w:p>
    <w:p w14:paraId="1DBCB547" w14:textId="77777777" w:rsidR="008F44F1" w:rsidRPr="00237660" w:rsidRDefault="00237660" w:rsidP="009F3AC5">
      <w:pPr>
        <w:pStyle w:val="AlphaParagraph"/>
        <w:numPr>
          <w:ilvl w:val="0"/>
          <w:numId w:val="17"/>
        </w:numPr>
        <w:tabs>
          <w:tab w:val="clear" w:pos="567"/>
          <w:tab w:val="clear" w:pos="1418"/>
          <w:tab w:val="clear" w:pos="1701"/>
        </w:tabs>
        <w:ind w:left="1134" w:hanging="567"/>
        <w:rPr>
          <w:szCs w:val="23"/>
        </w:rPr>
      </w:pPr>
      <w:r>
        <w:rPr>
          <w:color w:val="auto"/>
          <w:szCs w:val="23"/>
        </w:rPr>
        <w:t>implement</w:t>
      </w:r>
      <w:r w:rsidR="00EA3C4A">
        <w:rPr>
          <w:color w:val="auto"/>
          <w:szCs w:val="23"/>
        </w:rPr>
        <w:t>ing</w:t>
      </w:r>
      <w:r>
        <w:rPr>
          <w:color w:val="auto"/>
          <w:szCs w:val="23"/>
        </w:rPr>
        <w:t xml:space="preserve"> decisions agreed by the National Surveillance Committee aimed at improvements to data quality, such as through consistent use of NNDSS dataset field specifications, improved reporting of Indigenous status in notifications that require follow up of individual cases and conducting data quality assurance activities; and</w:t>
      </w:r>
    </w:p>
    <w:p w14:paraId="6B83284D" w14:textId="77777777" w:rsidR="00037023" w:rsidRPr="00656AFF" w:rsidRDefault="00EA3C4A" w:rsidP="009F3AC5">
      <w:pPr>
        <w:pStyle w:val="AlphaParagraph"/>
        <w:numPr>
          <w:ilvl w:val="0"/>
          <w:numId w:val="17"/>
        </w:numPr>
        <w:tabs>
          <w:tab w:val="clear" w:pos="567"/>
          <w:tab w:val="clear" w:pos="1418"/>
          <w:tab w:val="clear" w:pos="1701"/>
        </w:tabs>
        <w:ind w:left="1134" w:hanging="567"/>
        <w:rPr>
          <w:szCs w:val="23"/>
        </w:rPr>
      </w:pPr>
      <w:proofErr w:type="gramStart"/>
      <w:r>
        <w:rPr>
          <w:color w:val="auto"/>
          <w:szCs w:val="23"/>
        </w:rPr>
        <w:t>where</w:t>
      </w:r>
      <w:proofErr w:type="gramEnd"/>
      <w:r>
        <w:rPr>
          <w:color w:val="auto"/>
          <w:szCs w:val="23"/>
        </w:rPr>
        <w:t xml:space="preserve"> relevant, </w:t>
      </w:r>
      <w:r w:rsidR="00656AFF">
        <w:rPr>
          <w:color w:val="auto"/>
          <w:szCs w:val="23"/>
        </w:rPr>
        <w:t>assisting the Office of Health Protection in its production of annual reports on disease surveillance activity</w:t>
      </w:r>
      <w:r w:rsidR="0092117B">
        <w:rPr>
          <w:color w:val="auto"/>
          <w:szCs w:val="23"/>
        </w:rPr>
        <w:t>,</w:t>
      </w:r>
      <w:r w:rsidR="00656AFF">
        <w:rPr>
          <w:color w:val="auto"/>
          <w:szCs w:val="23"/>
        </w:rPr>
        <w:t xml:space="preserve"> including for publication in the </w:t>
      </w:r>
      <w:r>
        <w:rPr>
          <w:color w:val="auto"/>
          <w:szCs w:val="23"/>
        </w:rPr>
        <w:t xml:space="preserve">Commonwealth </w:t>
      </w:r>
      <w:r w:rsidR="00656AFF">
        <w:rPr>
          <w:color w:val="auto"/>
          <w:szCs w:val="23"/>
        </w:rPr>
        <w:t>Department</w:t>
      </w:r>
      <w:r>
        <w:rPr>
          <w:color w:val="auto"/>
          <w:szCs w:val="23"/>
        </w:rPr>
        <w:t xml:space="preserve"> of Health</w:t>
      </w:r>
      <w:r w:rsidR="00656AFF">
        <w:rPr>
          <w:color w:val="auto"/>
          <w:szCs w:val="23"/>
        </w:rPr>
        <w:t xml:space="preserve">’s </w:t>
      </w:r>
      <w:r w:rsidR="00656AFF" w:rsidRPr="00A00346">
        <w:rPr>
          <w:i/>
          <w:color w:val="auto"/>
        </w:rPr>
        <w:t>Communicable Diseases Intelligence</w:t>
      </w:r>
      <w:r w:rsidR="00656AFF">
        <w:rPr>
          <w:color w:val="auto"/>
          <w:szCs w:val="23"/>
        </w:rPr>
        <w:t xml:space="preserve"> journal.</w:t>
      </w:r>
    </w:p>
    <w:p w14:paraId="21AE0511" w14:textId="77777777" w:rsidR="00237660" w:rsidRPr="00037023" w:rsidRDefault="00EA3C4A" w:rsidP="00656AFF">
      <w:pPr>
        <w:pStyle w:val="Normalnumbered"/>
        <w:numPr>
          <w:ilvl w:val="0"/>
          <w:numId w:val="12"/>
        </w:numPr>
        <w:jc w:val="left"/>
      </w:pPr>
      <w:r>
        <w:t>In addition to these roles, t</w:t>
      </w:r>
      <w:r w:rsidR="00CF6238">
        <w:t xml:space="preserve">he </w:t>
      </w:r>
      <w:r w:rsidR="00237660" w:rsidRPr="00656AFF">
        <w:t>Northern Territory</w:t>
      </w:r>
      <w:r w:rsidR="00037023">
        <w:t xml:space="preserve"> will be responsible for the</w:t>
      </w:r>
      <w:r w:rsidR="00237660" w:rsidRPr="00656AFF">
        <w:t xml:space="preserve"> provision of secretariat</w:t>
      </w:r>
      <w:r w:rsidR="009348DA" w:rsidRPr="00656AFF">
        <w:t xml:space="preserve"> services for the coordination of the Enhanced Invasive Pneumococcal Disease Surveillance Wo</w:t>
      </w:r>
      <w:r w:rsidR="00740A35" w:rsidRPr="00656AFF">
        <w:t>rking Group (EIPDSWG). The EIPD</w:t>
      </w:r>
      <w:r w:rsidR="009348DA" w:rsidRPr="00656AFF">
        <w:t>SWG meets quarterly and works to provide nationally consistent enhanced data on invasive pneumococcal disease (IPD) in Australia.</w:t>
      </w:r>
    </w:p>
    <w:p w14:paraId="2C0510A7" w14:textId="77777777" w:rsidR="008F44F1" w:rsidRDefault="008F44F1" w:rsidP="008F44F1">
      <w:pPr>
        <w:pStyle w:val="Heading2"/>
      </w:pPr>
      <w:r>
        <w:t>Shared roles</w:t>
      </w:r>
    </w:p>
    <w:p w14:paraId="595CA857" w14:textId="77777777" w:rsidR="008F44F1" w:rsidRDefault="008F44F1" w:rsidP="009F3AC5">
      <w:pPr>
        <w:pStyle w:val="Normalnumbered"/>
        <w:numPr>
          <w:ilvl w:val="0"/>
          <w:numId w:val="12"/>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 xml:space="preserve">t is reached on the nature and content of any events, announcements, </w:t>
      </w:r>
      <w:r>
        <w:lastRenderedPageBreak/>
        <w:t>promotional material or publicity relating to activities under this Agreement, and that the roles of both Parties will be acknowledged and recognised appropriately.</w:t>
      </w:r>
    </w:p>
    <w:p w14:paraId="52B2EAFE"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34EE06DD" w14:textId="77777777" w:rsidR="004B6083" w:rsidRDefault="00545DF7" w:rsidP="009F3AC5">
      <w:pPr>
        <w:pStyle w:val="Normalnumbered"/>
        <w:numPr>
          <w:ilvl w:val="0"/>
          <w:numId w:val="12"/>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2A8A180A" w14:textId="77777777" w:rsidR="00F3245D" w:rsidRPr="000E2AF6" w:rsidRDefault="0095223D" w:rsidP="008E0AD6">
      <w:pPr>
        <w:pStyle w:val="Normalnumbered"/>
        <w:keepNext/>
        <w:numPr>
          <w:ilvl w:val="0"/>
          <w:numId w:val="0"/>
        </w:numPr>
      </w:pPr>
      <w:r w:rsidRPr="001D3CAD">
        <w:rPr>
          <w:b/>
        </w:rPr>
        <w:t xml:space="preserve">Table </w:t>
      </w:r>
      <w:r w:rsidR="00E204BB">
        <w:rPr>
          <w:b/>
        </w:rPr>
        <w:t>1</w:t>
      </w:r>
      <w:r w:rsidRPr="001D3CAD">
        <w:t xml:space="preserve">: </w:t>
      </w:r>
      <w:r w:rsidR="00806D94">
        <w:rPr>
          <w:b/>
        </w:rPr>
        <w:t>Performance requirements</w:t>
      </w:r>
      <w:r w:rsidRPr="001D3CAD">
        <w:rPr>
          <w:b/>
        </w:rPr>
        <w:t>, reporting and payment summary</w:t>
      </w:r>
    </w:p>
    <w:tbl>
      <w:tblPr>
        <w:tblW w:w="1074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3544"/>
        <w:gridCol w:w="1559"/>
        <w:gridCol w:w="1418"/>
        <w:gridCol w:w="1701"/>
      </w:tblGrid>
      <w:tr w:rsidR="00E15DB0" w:rsidRPr="003E1DF8" w14:paraId="7DADA454" w14:textId="77777777" w:rsidTr="00720D03">
        <w:trPr>
          <w:trHeight w:val="1171"/>
          <w:jc w:val="center"/>
        </w:trPr>
        <w:tc>
          <w:tcPr>
            <w:tcW w:w="2518" w:type="dxa"/>
            <w:tcBorders>
              <w:bottom w:val="single" w:sz="18" w:space="0" w:color="4F81BD"/>
            </w:tcBorders>
          </w:tcPr>
          <w:p w14:paraId="0EC9039D" w14:textId="77777777" w:rsidR="00E15DB0" w:rsidRPr="003E1DF8" w:rsidRDefault="00E15DB0" w:rsidP="00E15DB0">
            <w:pPr>
              <w:pStyle w:val="Heading2"/>
              <w:rPr>
                <w:bCs w:val="0"/>
                <w:sz w:val="24"/>
                <w:szCs w:val="24"/>
              </w:rPr>
            </w:pPr>
            <w:r w:rsidRPr="003E1DF8">
              <w:rPr>
                <w:bCs w:val="0"/>
                <w:sz w:val="24"/>
                <w:szCs w:val="24"/>
              </w:rPr>
              <w:t>Output</w:t>
            </w:r>
          </w:p>
        </w:tc>
        <w:tc>
          <w:tcPr>
            <w:tcW w:w="3544" w:type="dxa"/>
            <w:tcBorders>
              <w:bottom w:val="single" w:sz="18" w:space="0" w:color="4F81BD"/>
            </w:tcBorders>
          </w:tcPr>
          <w:p w14:paraId="509C588E" w14:textId="77777777" w:rsidR="00E15DB0" w:rsidRPr="003E1DF8" w:rsidRDefault="00E15DB0" w:rsidP="000543FD">
            <w:pPr>
              <w:pStyle w:val="Heading2"/>
              <w:rPr>
                <w:bCs w:val="0"/>
                <w:sz w:val="24"/>
                <w:szCs w:val="24"/>
              </w:rPr>
            </w:pPr>
            <w:r>
              <w:rPr>
                <w:bCs w:val="0"/>
                <w:sz w:val="24"/>
                <w:szCs w:val="24"/>
              </w:rPr>
              <w:t>M</w:t>
            </w:r>
            <w:r w:rsidRPr="003E1DF8">
              <w:rPr>
                <w:bCs w:val="0"/>
                <w:sz w:val="24"/>
                <w:szCs w:val="24"/>
              </w:rPr>
              <w:t>ilestones</w:t>
            </w:r>
          </w:p>
        </w:tc>
        <w:tc>
          <w:tcPr>
            <w:tcW w:w="1559" w:type="dxa"/>
            <w:tcBorders>
              <w:bottom w:val="single" w:sz="18" w:space="0" w:color="4F81BD"/>
            </w:tcBorders>
          </w:tcPr>
          <w:p w14:paraId="18FE141C" w14:textId="77777777" w:rsidR="00E15DB0" w:rsidRPr="003E1DF8" w:rsidRDefault="00E15DB0" w:rsidP="000543FD">
            <w:pPr>
              <w:pStyle w:val="Heading2"/>
              <w:rPr>
                <w:bCs w:val="0"/>
                <w:sz w:val="24"/>
                <w:szCs w:val="24"/>
              </w:rPr>
            </w:pPr>
            <w:r w:rsidRPr="003E1DF8">
              <w:rPr>
                <w:bCs w:val="0"/>
                <w:sz w:val="24"/>
                <w:szCs w:val="24"/>
              </w:rPr>
              <w:t>Reporting Period</w:t>
            </w:r>
          </w:p>
        </w:tc>
        <w:tc>
          <w:tcPr>
            <w:tcW w:w="1418" w:type="dxa"/>
            <w:tcBorders>
              <w:bottom w:val="single" w:sz="18" w:space="0" w:color="4F81BD"/>
            </w:tcBorders>
          </w:tcPr>
          <w:p w14:paraId="66562573" w14:textId="77777777" w:rsidR="00E15DB0" w:rsidRPr="003E1DF8" w:rsidRDefault="00E15DB0" w:rsidP="000543FD">
            <w:pPr>
              <w:pStyle w:val="Heading2"/>
              <w:rPr>
                <w:sz w:val="18"/>
                <w:szCs w:val="18"/>
              </w:rPr>
            </w:pPr>
            <w:r w:rsidRPr="003E1DF8">
              <w:rPr>
                <w:bCs w:val="0"/>
                <w:sz w:val="24"/>
                <w:szCs w:val="24"/>
              </w:rPr>
              <w:t xml:space="preserve">Report due </w:t>
            </w:r>
          </w:p>
        </w:tc>
        <w:tc>
          <w:tcPr>
            <w:tcW w:w="1701" w:type="dxa"/>
            <w:tcBorders>
              <w:bottom w:val="single" w:sz="18" w:space="0" w:color="4F81BD"/>
            </w:tcBorders>
          </w:tcPr>
          <w:p w14:paraId="11E79E39" w14:textId="77777777" w:rsidR="00E15DB0" w:rsidRPr="003E1DF8" w:rsidRDefault="00E15DB0" w:rsidP="000543FD">
            <w:pPr>
              <w:pStyle w:val="Heading2"/>
              <w:rPr>
                <w:bCs w:val="0"/>
                <w:sz w:val="24"/>
                <w:szCs w:val="24"/>
              </w:rPr>
            </w:pPr>
            <w:r w:rsidRPr="003E1DF8">
              <w:rPr>
                <w:bCs w:val="0"/>
                <w:sz w:val="24"/>
                <w:szCs w:val="24"/>
              </w:rPr>
              <w:t>Payment</w:t>
            </w:r>
          </w:p>
        </w:tc>
      </w:tr>
      <w:tr w:rsidR="00E15DB0" w:rsidRPr="00927FE4" w14:paraId="3DC2CF88" w14:textId="77777777" w:rsidTr="00720D03">
        <w:trPr>
          <w:jc w:val="center"/>
        </w:trPr>
        <w:tc>
          <w:tcPr>
            <w:tcW w:w="2518" w:type="dxa"/>
            <w:vMerge w:val="restart"/>
            <w:shd w:val="clear" w:color="auto" w:fill="D3DFEE"/>
          </w:tcPr>
          <w:p w14:paraId="0986307E" w14:textId="77777777" w:rsidR="00E15DB0" w:rsidRPr="003E1DF8" w:rsidRDefault="00E15DB0" w:rsidP="001B6737">
            <w:pPr>
              <w:pStyle w:val="Heading2"/>
              <w:rPr>
                <w:b w:val="0"/>
                <w:color w:val="auto"/>
                <w:sz w:val="23"/>
                <w:szCs w:val="23"/>
              </w:rPr>
            </w:pPr>
            <w:r>
              <w:rPr>
                <w:b w:val="0"/>
                <w:color w:val="auto"/>
                <w:sz w:val="23"/>
                <w:szCs w:val="23"/>
              </w:rPr>
              <w:t xml:space="preserve">The reporting of surveillance data on nationally notifiable vaccine preventable diseases to agreed standards </w:t>
            </w:r>
            <w:r w:rsidR="001B6737">
              <w:rPr>
                <w:b w:val="0"/>
                <w:color w:val="auto"/>
                <w:sz w:val="23"/>
                <w:szCs w:val="23"/>
              </w:rPr>
              <w:t xml:space="preserve">in accordance </w:t>
            </w:r>
            <w:r>
              <w:rPr>
                <w:b w:val="0"/>
                <w:color w:val="auto"/>
                <w:sz w:val="23"/>
                <w:szCs w:val="23"/>
              </w:rPr>
              <w:t>with clause 8</w:t>
            </w:r>
            <w:r w:rsidR="00EA3C4A">
              <w:rPr>
                <w:b w:val="0"/>
                <w:color w:val="auto"/>
                <w:sz w:val="23"/>
                <w:szCs w:val="23"/>
              </w:rPr>
              <w:t>, 10(c) and 15(a)</w:t>
            </w:r>
            <w:r>
              <w:rPr>
                <w:b w:val="0"/>
                <w:color w:val="auto"/>
                <w:sz w:val="23"/>
                <w:szCs w:val="23"/>
              </w:rPr>
              <w:t xml:space="preserve"> of this Agreement</w:t>
            </w:r>
            <w:r w:rsidRPr="003E1DF8">
              <w:rPr>
                <w:b w:val="0"/>
                <w:color w:val="auto"/>
                <w:sz w:val="23"/>
                <w:szCs w:val="23"/>
              </w:rPr>
              <w:t xml:space="preserve"> </w:t>
            </w:r>
          </w:p>
        </w:tc>
        <w:tc>
          <w:tcPr>
            <w:tcW w:w="3544" w:type="dxa"/>
            <w:shd w:val="clear" w:color="auto" w:fill="auto"/>
          </w:tcPr>
          <w:p w14:paraId="7BFEFC8E" w14:textId="77777777" w:rsidR="00E15DB0" w:rsidRPr="003E1DF8" w:rsidRDefault="001F6CBD" w:rsidP="00EA3C4A">
            <w:pPr>
              <w:pStyle w:val="Heading2"/>
              <w:rPr>
                <w:b w:val="0"/>
                <w:color w:val="auto"/>
                <w:sz w:val="23"/>
                <w:szCs w:val="23"/>
              </w:rPr>
            </w:pPr>
            <w:r>
              <w:rPr>
                <w:b w:val="0"/>
                <w:color w:val="auto"/>
                <w:sz w:val="23"/>
                <w:szCs w:val="23"/>
              </w:rPr>
              <w:t>V</w:t>
            </w:r>
            <w:r w:rsidR="00E15DB0">
              <w:rPr>
                <w:b w:val="0"/>
                <w:color w:val="auto"/>
                <w:sz w:val="23"/>
                <w:szCs w:val="23"/>
              </w:rPr>
              <w:t>accine preventable disease</w:t>
            </w:r>
            <w:r>
              <w:rPr>
                <w:b w:val="0"/>
                <w:color w:val="auto"/>
                <w:sz w:val="23"/>
                <w:szCs w:val="23"/>
              </w:rPr>
              <w:t>s</w:t>
            </w:r>
            <w:r w:rsidR="00E15DB0">
              <w:rPr>
                <w:b w:val="0"/>
                <w:color w:val="auto"/>
                <w:sz w:val="23"/>
                <w:szCs w:val="23"/>
              </w:rPr>
              <w:t xml:space="preserve"> surveillance data </w:t>
            </w:r>
            <w:r>
              <w:rPr>
                <w:b w:val="0"/>
                <w:color w:val="auto"/>
                <w:sz w:val="23"/>
                <w:szCs w:val="23"/>
              </w:rPr>
              <w:t xml:space="preserve">provided for the period 01/07/2017 to 31/12/2017 </w:t>
            </w:r>
            <w:r w:rsidR="00E15DB0">
              <w:rPr>
                <w:b w:val="0"/>
                <w:color w:val="auto"/>
                <w:sz w:val="23"/>
                <w:szCs w:val="23"/>
              </w:rPr>
              <w:t>against the agreed indicators</w:t>
            </w:r>
            <w:r w:rsidR="0007657F">
              <w:rPr>
                <w:b w:val="0"/>
                <w:color w:val="auto"/>
                <w:sz w:val="23"/>
                <w:szCs w:val="23"/>
              </w:rPr>
              <w:t xml:space="preserve"> outlined in clause 15(a)</w:t>
            </w:r>
          </w:p>
        </w:tc>
        <w:tc>
          <w:tcPr>
            <w:tcW w:w="1559" w:type="dxa"/>
            <w:shd w:val="clear" w:color="auto" w:fill="auto"/>
          </w:tcPr>
          <w:p w14:paraId="002BC8EE" w14:textId="77777777" w:rsidR="00E15DB0" w:rsidRPr="00927FE4" w:rsidRDefault="00E15DB0" w:rsidP="00B87541">
            <w:pPr>
              <w:pStyle w:val="Heading2"/>
              <w:rPr>
                <w:b w:val="0"/>
                <w:iCs w:val="0"/>
                <w:color w:val="auto"/>
                <w:sz w:val="23"/>
                <w:szCs w:val="23"/>
              </w:rPr>
            </w:pPr>
            <w:r w:rsidRPr="00927FE4">
              <w:rPr>
                <w:b w:val="0"/>
                <w:color w:val="auto"/>
                <w:sz w:val="23"/>
                <w:szCs w:val="23"/>
              </w:rPr>
              <w:t>01/0</w:t>
            </w:r>
            <w:r w:rsidR="00B87541">
              <w:rPr>
                <w:b w:val="0"/>
                <w:color w:val="auto"/>
                <w:sz w:val="23"/>
                <w:szCs w:val="23"/>
              </w:rPr>
              <w:t>7</w:t>
            </w:r>
            <w:r w:rsidRPr="00927FE4">
              <w:rPr>
                <w:b w:val="0"/>
                <w:color w:val="auto"/>
                <w:sz w:val="23"/>
                <w:szCs w:val="23"/>
              </w:rPr>
              <w:t>/201</w:t>
            </w:r>
            <w:r>
              <w:rPr>
                <w:b w:val="0"/>
                <w:color w:val="auto"/>
                <w:sz w:val="23"/>
                <w:szCs w:val="23"/>
              </w:rPr>
              <w:t>7</w:t>
            </w:r>
            <w:r w:rsidRPr="00927FE4">
              <w:rPr>
                <w:b w:val="0"/>
                <w:color w:val="auto"/>
                <w:sz w:val="23"/>
                <w:szCs w:val="23"/>
              </w:rPr>
              <w:t xml:space="preserve"> to 31/12/201</w:t>
            </w:r>
            <w:r>
              <w:rPr>
                <w:b w:val="0"/>
                <w:color w:val="auto"/>
                <w:sz w:val="23"/>
                <w:szCs w:val="23"/>
              </w:rPr>
              <w:t>7</w:t>
            </w:r>
          </w:p>
        </w:tc>
        <w:tc>
          <w:tcPr>
            <w:tcW w:w="1418" w:type="dxa"/>
            <w:shd w:val="clear" w:color="auto" w:fill="auto"/>
          </w:tcPr>
          <w:p w14:paraId="2AC7F0CF" w14:textId="77777777" w:rsidR="00E15DB0" w:rsidRPr="00927FE4" w:rsidRDefault="00E15DB0" w:rsidP="00E15DB0">
            <w:pPr>
              <w:pStyle w:val="Heading2"/>
              <w:rPr>
                <w:b w:val="0"/>
                <w:iCs w:val="0"/>
                <w:color w:val="auto"/>
                <w:sz w:val="23"/>
                <w:szCs w:val="23"/>
              </w:rPr>
            </w:pPr>
            <w:r>
              <w:rPr>
                <w:b w:val="0"/>
                <w:color w:val="auto"/>
                <w:sz w:val="23"/>
                <w:szCs w:val="23"/>
              </w:rPr>
              <w:t>3</w:t>
            </w:r>
            <w:r w:rsidRPr="00927FE4">
              <w:rPr>
                <w:b w:val="0"/>
                <w:color w:val="auto"/>
                <w:sz w:val="23"/>
                <w:szCs w:val="23"/>
              </w:rPr>
              <w:t>1/0</w:t>
            </w:r>
            <w:r>
              <w:rPr>
                <w:b w:val="0"/>
                <w:color w:val="auto"/>
                <w:sz w:val="23"/>
                <w:szCs w:val="23"/>
              </w:rPr>
              <w:t>3</w:t>
            </w:r>
            <w:r w:rsidRPr="00927FE4">
              <w:rPr>
                <w:b w:val="0"/>
                <w:color w:val="auto"/>
                <w:sz w:val="23"/>
                <w:szCs w:val="23"/>
              </w:rPr>
              <w:t>/201</w:t>
            </w:r>
            <w:r>
              <w:rPr>
                <w:b w:val="0"/>
                <w:color w:val="auto"/>
                <w:sz w:val="23"/>
                <w:szCs w:val="23"/>
              </w:rPr>
              <w:t>8</w:t>
            </w:r>
          </w:p>
        </w:tc>
        <w:tc>
          <w:tcPr>
            <w:tcW w:w="1701" w:type="dxa"/>
            <w:shd w:val="clear" w:color="auto" w:fill="auto"/>
          </w:tcPr>
          <w:p w14:paraId="536DFE54" w14:textId="77777777" w:rsidR="00E15DB0" w:rsidRPr="00927FE4" w:rsidRDefault="00E15DB0" w:rsidP="000543FD">
            <w:pPr>
              <w:pStyle w:val="Heading2"/>
              <w:rPr>
                <w:b w:val="0"/>
                <w:iCs w:val="0"/>
                <w:color w:val="auto"/>
                <w:sz w:val="23"/>
                <w:szCs w:val="23"/>
              </w:rPr>
            </w:pPr>
            <w:r>
              <w:rPr>
                <w:b w:val="0"/>
                <w:color w:val="auto"/>
                <w:sz w:val="23"/>
                <w:szCs w:val="23"/>
              </w:rPr>
              <w:t>100% of annual allocation in accordance with Table 2</w:t>
            </w:r>
          </w:p>
        </w:tc>
      </w:tr>
      <w:tr w:rsidR="00D60881" w:rsidRPr="00927FE4" w14:paraId="37D04B3C" w14:textId="77777777" w:rsidTr="00720D03">
        <w:trPr>
          <w:jc w:val="center"/>
        </w:trPr>
        <w:tc>
          <w:tcPr>
            <w:tcW w:w="2518" w:type="dxa"/>
            <w:vMerge/>
          </w:tcPr>
          <w:p w14:paraId="75A06746" w14:textId="77777777" w:rsidR="00D60881" w:rsidRPr="003E1DF8" w:rsidRDefault="00D60881" w:rsidP="000543FD">
            <w:pPr>
              <w:pStyle w:val="Heading2"/>
              <w:rPr>
                <w:b w:val="0"/>
                <w:bCs w:val="0"/>
                <w:sz w:val="23"/>
                <w:szCs w:val="23"/>
              </w:rPr>
            </w:pPr>
          </w:p>
        </w:tc>
        <w:tc>
          <w:tcPr>
            <w:tcW w:w="3544" w:type="dxa"/>
            <w:shd w:val="clear" w:color="auto" w:fill="DBE5F1" w:themeFill="accent1" w:themeFillTint="33"/>
          </w:tcPr>
          <w:p w14:paraId="25A6E496" w14:textId="77777777" w:rsidR="00D60881" w:rsidRPr="00944BC4" w:rsidRDefault="001F6CBD" w:rsidP="001F6CBD">
            <w:pPr>
              <w:pStyle w:val="Heading2"/>
              <w:rPr>
                <w:b w:val="0"/>
                <w:color w:val="auto"/>
                <w:sz w:val="23"/>
                <w:szCs w:val="23"/>
              </w:rPr>
            </w:pPr>
            <w:r>
              <w:rPr>
                <w:b w:val="0"/>
                <w:color w:val="auto"/>
                <w:sz w:val="23"/>
                <w:szCs w:val="23"/>
              </w:rPr>
              <w:t>V</w:t>
            </w:r>
            <w:r w:rsidR="00D60881">
              <w:rPr>
                <w:b w:val="0"/>
                <w:color w:val="auto"/>
                <w:sz w:val="23"/>
                <w:szCs w:val="23"/>
              </w:rPr>
              <w:t>accine preventable disease</w:t>
            </w:r>
            <w:r>
              <w:rPr>
                <w:b w:val="0"/>
                <w:color w:val="auto"/>
                <w:sz w:val="23"/>
                <w:szCs w:val="23"/>
              </w:rPr>
              <w:t>s</w:t>
            </w:r>
            <w:r w:rsidR="00D60881">
              <w:rPr>
                <w:b w:val="0"/>
                <w:color w:val="auto"/>
                <w:sz w:val="23"/>
                <w:szCs w:val="23"/>
              </w:rPr>
              <w:t xml:space="preserve"> surveillance data</w:t>
            </w:r>
            <w:r>
              <w:rPr>
                <w:b w:val="0"/>
                <w:color w:val="auto"/>
                <w:sz w:val="23"/>
                <w:szCs w:val="23"/>
              </w:rPr>
              <w:t xml:space="preserve"> provided for the period 01/01/2018 to 31/12/2018</w:t>
            </w:r>
            <w:r w:rsidR="00D60881">
              <w:rPr>
                <w:b w:val="0"/>
                <w:color w:val="auto"/>
                <w:sz w:val="23"/>
                <w:szCs w:val="23"/>
              </w:rPr>
              <w:t xml:space="preserve"> against the agreed indicators</w:t>
            </w:r>
            <w:r w:rsidR="0007657F">
              <w:rPr>
                <w:b w:val="0"/>
                <w:color w:val="auto"/>
                <w:sz w:val="23"/>
                <w:szCs w:val="23"/>
              </w:rPr>
              <w:t xml:space="preserve"> outlined in clause 15(a)</w:t>
            </w:r>
          </w:p>
        </w:tc>
        <w:tc>
          <w:tcPr>
            <w:tcW w:w="1559" w:type="dxa"/>
            <w:shd w:val="clear" w:color="auto" w:fill="DBE5F1" w:themeFill="accent1" w:themeFillTint="33"/>
          </w:tcPr>
          <w:p w14:paraId="0E9C2796" w14:textId="77777777" w:rsidR="00D60881" w:rsidRPr="00944BC4" w:rsidRDefault="00D60881" w:rsidP="00B87541">
            <w:pPr>
              <w:pStyle w:val="Heading2"/>
              <w:rPr>
                <w:b w:val="0"/>
                <w:color w:val="auto"/>
                <w:sz w:val="23"/>
                <w:szCs w:val="23"/>
              </w:rPr>
            </w:pPr>
            <w:r w:rsidRPr="00927FE4">
              <w:rPr>
                <w:b w:val="0"/>
                <w:color w:val="auto"/>
                <w:sz w:val="23"/>
                <w:szCs w:val="23"/>
              </w:rPr>
              <w:t>01/01/201</w:t>
            </w:r>
            <w:r w:rsidR="00B87541">
              <w:rPr>
                <w:b w:val="0"/>
                <w:color w:val="auto"/>
                <w:sz w:val="23"/>
                <w:szCs w:val="23"/>
              </w:rPr>
              <w:t>8</w:t>
            </w:r>
            <w:r w:rsidRPr="00927FE4">
              <w:rPr>
                <w:b w:val="0"/>
                <w:color w:val="auto"/>
                <w:sz w:val="23"/>
                <w:szCs w:val="23"/>
              </w:rPr>
              <w:t xml:space="preserve"> to 31/12/201</w:t>
            </w:r>
            <w:r w:rsidR="00B87541">
              <w:rPr>
                <w:b w:val="0"/>
                <w:color w:val="auto"/>
                <w:sz w:val="23"/>
                <w:szCs w:val="23"/>
              </w:rPr>
              <w:t>8</w:t>
            </w:r>
          </w:p>
        </w:tc>
        <w:tc>
          <w:tcPr>
            <w:tcW w:w="1418" w:type="dxa"/>
            <w:shd w:val="clear" w:color="auto" w:fill="DBE5F1" w:themeFill="accent1" w:themeFillTint="33"/>
          </w:tcPr>
          <w:p w14:paraId="17A757D9" w14:textId="77777777" w:rsidR="00D60881" w:rsidRPr="00944BC4" w:rsidRDefault="00D60881" w:rsidP="00E15DB0">
            <w:pPr>
              <w:pStyle w:val="Heading2"/>
              <w:rPr>
                <w:b w:val="0"/>
                <w:color w:val="auto"/>
                <w:sz w:val="23"/>
                <w:szCs w:val="23"/>
              </w:rPr>
            </w:pPr>
            <w:r>
              <w:rPr>
                <w:b w:val="0"/>
                <w:color w:val="auto"/>
                <w:sz w:val="23"/>
                <w:szCs w:val="23"/>
              </w:rPr>
              <w:t>3</w:t>
            </w:r>
            <w:r w:rsidRPr="00927FE4">
              <w:rPr>
                <w:b w:val="0"/>
                <w:color w:val="auto"/>
                <w:sz w:val="23"/>
                <w:szCs w:val="23"/>
              </w:rPr>
              <w:t>1/0</w:t>
            </w:r>
            <w:r>
              <w:rPr>
                <w:b w:val="0"/>
                <w:color w:val="auto"/>
                <w:sz w:val="23"/>
                <w:szCs w:val="23"/>
              </w:rPr>
              <w:t>3</w:t>
            </w:r>
            <w:r w:rsidRPr="00927FE4">
              <w:rPr>
                <w:b w:val="0"/>
                <w:color w:val="auto"/>
                <w:sz w:val="23"/>
                <w:szCs w:val="23"/>
              </w:rPr>
              <w:t>/201</w:t>
            </w:r>
            <w:r>
              <w:rPr>
                <w:b w:val="0"/>
                <w:color w:val="auto"/>
                <w:sz w:val="23"/>
                <w:szCs w:val="23"/>
              </w:rPr>
              <w:t>9</w:t>
            </w:r>
          </w:p>
        </w:tc>
        <w:tc>
          <w:tcPr>
            <w:tcW w:w="1701" w:type="dxa"/>
            <w:shd w:val="clear" w:color="auto" w:fill="DBE5F1" w:themeFill="accent1" w:themeFillTint="33"/>
          </w:tcPr>
          <w:p w14:paraId="09E1D5B6" w14:textId="77777777" w:rsidR="00D60881" w:rsidRPr="00944BC4" w:rsidRDefault="00D60881" w:rsidP="000543FD">
            <w:pPr>
              <w:pStyle w:val="Heading2"/>
              <w:rPr>
                <w:b w:val="0"/>
                <w:color w:val="auto"/>
                <w:sz w:val="23"/>
                <w:szCs w:val="23"/>
              </w:rPr>
            </w:pPr>
            <w:r>
              <w:rPr>
                <w:b w:val="0"/>
                <w:color w:val="auto"/>
                <w:sz w:val="23"/>
                <w:szCs w:val="23"/>
              </w:rPr>
              <w:t>100% of annual allocation in accordance with Table 2</w:t>
            </w:r>
          </w:p>
        </w:tc>
      </w:tr>
      <w:tr w:rsidR="00D60881" w:rsidRPr="00927FE4" w14:paraId="0A21816E" w14:textId="77777777" w:rsidTr="00720D03">
        <w:trPr>
          <w:jc w:val="center"/>
        </w:trPr>
        <w:tc>
          <w:tcPr>
            <w:tcW w:w="2518" w:type="dxa"/>
            <w:vMerge/>
          </w:tcPr>
          <w:p w14:paraId="4CE30567" w14:textId="77777777" w:rsidR="00D60881" w:rsidRPr="003E1DF8" w:rsidRDefault="00D60881" w:rsidP="000543FD">
            <w:pPr>
              <w:pStyle w:val="Heading2"/>
              <w:rPr>
                <w:b w:val="0"/>
                <w:bCs w:val="0"/>
                <w:sz w:val="23"/>
                <w:szCs w:val="23"/>
              </w:rPr>
            </w:pPr>
          </w:p>
        </w:tc>
        <w:tc>
          <w:tcPr>
            <w:tcW w:w="3544" w:type="dxa"/>
            <w:shd w:val="clear" w:color="auto" w:fill="auto"/>
          </w:tcPr>
          <w:p w14:paraId="3C531AA2" w14:textId="77777777" w:rsidR="00D60881" w:rsidRPr="00927FE4" w:rsidRDefault="001F6CBD" w:rsidP="007D2C3D">
            <w:pPr>
              <w:pStyle w:val="Heading2"/>
              <w:rPr>
                <w:b w:val="0"/>
                <w:iCs w:val="0"/>
                <w:color w:val="auto"/>
                <w:sz w:val="23"/>
                <w:szCs w:val="23"/>
              </w:rPr>
            </w:pPr>
            <w:r>
              <w:rPr>
                <w:b w:val="0"/>
                <w:color w:val="auto"/>
                <w:sz w:val="23"/>
                <w:szCs w:val="23"/>
              </w:rPr>
              <w:t>V</w:t>
            </w:r>
            <w:r w:rsidR="00D60881">
              <w:rPr>
                <w:b w:val="0"/>
                <w:color w:val="auto"/>
                <w:sz w:val="23"/>
                <w:szCs w:val="23"/>
              </w:rPr>
              <w:t>accine preventable disease</w:t>
            </w:r>
            <w:r>
              <w:rPr>
                <w:b w:val="0"/>
                <w:color w:val="auto"/>
                <w:sz w:val="23"/>
                <w:szCs w:val="23"/>
              </w:rPr>
              <w:t>s</w:t>
            </w:r>
            <w:r w:rsidR="00D60881">
              <w:rPr>
                <w:b w:val="0"/>
                <w:color w:val="auto"/>
                <w:sz w:val="23"/>
                <w:szCs w:val="23"/>
              </w:rPr>
              <w:t xml:space="preserve"> surveillance data </w:t>
            </w:r>
            <w:r>
              <w:rPr>
                <w:b w:val="0"/>
                <w:color w:val="auto"/>
                <w:sz w:val="23"/>
                <w:szCs w:val="23"/>
              </w:rPr>
              <w:t>provided for the period 01/01/2019 to 31/12/201</w:t>
            </w:r>
            <w:r w:rsidR="00683562">
              <w:rPr>
                <w:b w:val="0"/>
                <w:color w:val="auto"/>
                <w:sz w:val="23"/>
                <w:szCs w:val="23"/>
              </w:rPr>
              <w:t>9</w:t>
            </w:r>
            <w:r>
              <w:rPr>
                <w:b w:val="0"/>
                <w:color w:val="auto"/>
                <w:sz w:val="23"/>
                <w:szCs w:val="23"/>
              </w:rPr>
              <w:t xml:space="preserve"> </w:t>
            </w:r>
            <w:r w:rsidR="00D60881">
              <w:rPr>
                <w:b w:val="0"/>
                <w:color w:val="auto"/>
                <w:sz w:val="23"/>
                <w:szCs w:val="23"/>
              </w:rPr>
              <w:t>against the agreed indicators</w:t>
            </w:r>
            <w:r w:rsidR="0007657F">
              <w:rPr>
                <w:b w:val="0"/>
                <w:color w:val="auto"/>
                <w:sz w:val="23"/>
                <w:szCs w:val="23"/>
              </w:rPr>
              <w:t xml:space="preserve"> outlined in clause 15(a)</w:t>
            </w:r>
          </w:p>
        </w:tc>
        <w:tc>
          <w:tcPr>
            <w:tcW w:w="1559" w:type="dxa"/>
            <w:shd w:val="clear" w:color="auto" w:fill="auto"/>
          </w:tcPr>
          <w:p w14:paraId="5B318700" w14:textId="77777777" w:rsidR="00D60881" w:rsidRPr="00927FE4" w:rsidRDefault="00D60881" w:rsidP="00B87541">
            <w:pPr>
              <w:pStyle w:val="Heading2"/>
              <w:rPr>
                <w:b w:val="0"/>
                <w:iCs w:val="0"/>
                <w:color w:val="auto"/>
                <w:sz w:val="23"/>
                <w:szCs w:val="23"/>
              </w:rPr>
            </w:pPr>
            <w:r w:rsidRPr="00927FE4">
              <w:rPr>
                <w:b w:val="0"/>
                <w:color w:val="auto"/>
                <w:sz w:val="23"/>
                <w:szCs w:val="23"/>
              </w:rPr>
              <w:t>01/01/201</w:t>
            </w:r>
            <w:r w:rsidR="00B87541">
              <w:rPr>
                <w:b w:val="0"/>
                <w:color w:val="auto"/>
                <w:sz w:val="23"/>
                <w:szCs w:val="23"/>
              </w:rPr>
              <w:t>9</w:t>
            </w:r>
            <w:r w:rsidRPr="00927FE4">
              <w:rPr>
                <w:b w:val="0"/>
                <w:color w:val="auto"/>
                <w:sz w:val="23"/>
                <w:szCs w:val="23"/>
              </w:rPr>
              <w:t xml:space="preserve"> to 31/12/201</w:t>
            </w:r>
            <w:r w:rsidR="00B87541">
              <w:rPr>
                <w:b w:val="0"/>
                <w:color w:val="auto"/>
                <w:sz w:val="23"/>
                <w:szCs w:val="23"/>
              </w:rPr>
              <w:t>9</w:t>
            </w:r>
          </w:p>
        </w:tc>
        <w:tc>
          <w:tcPr>
            <w:tcW w:w="1418" w:type="dxa"/>
            <w:shd w:val="clear" w:color="auto" w:fill="auto"/>
          </w:tcPr>
          <w:p w14:paraId="1614F626" w14:textId="77777777" w:rsidR="00D60881" w:rsidRPr="00927FE4" w:rsidRDefault="00D60881" w:rsidP="00E15DB0">
            <w:pPr>
              <w:pStyle w:val="Heading2"/>
              <w:rPr>
                <w:b w:val="0"/>
                <w:iCs w:val="0"/>
                <w:color w:val="auto"/>
                <w:sz w:val="23"/>
                <w:szCs w:val="23"/>
              </w:rPr>
            </w:pPr>
            <w:r>
              <w:rPr>
                <w:b w:val="0"/>
                <w:color w:val="auto"/>
                <w:sz w:val="23"/>
                <w:szCs w:val="23"/>
              </w:rPr>
              <w:t>3</w:t>
            </w:r>
            <w:r w:rsidRPr="00927FE4">
              <w:rPr>
                <w:b w:val="0"/>
                <w:color w:val="auto"/>
                <w:sz w:val="23"/>
                <w:szCs w:val="23"/>
              </w:rPr>
              <w:t>1/0</w:t>
            </w:r>
            <w:r>
              <w:rPr>
                <w:b w:val="0"/>
                <w:color w:val="auto"/>
                <w:sz w:val="23"/>
                <w:szCs w:val="23"/>
              </w:rPr>
              <w:t>3</w:t>
            </w:r>
            <w:r w:rsidRPr="00927FE4">
              <w:rPr>
                <w:b w:val="0"/>
                <w:color w:val="auto"/>
                <w:sz w:val="23"/>
                <w:szCs w:val="23"/>
              </w:rPr>
              <w:t>/20</w:t>
            </w:r>
            <w:r>
              <w:rPr>
                <w:b w:val="0"/>
                <w:color w:val="auto"/>
                <w:sz w:val="23"/>
                <w:szCs w:val="23"/>
              </w:rPr>
              <w:t>20</w:t>
            </w:r>
          </w:p>
        </w:tc>
        <w:tc>
          <w:tcPr>
            <w:tcW w:w="1701" w:type="dxa"/>
            <w:shd w:val="clear" w:color="auto" w:fill="auto"/>
          </w:tcPr>
          <w:p w14:paraId="3D33DFE7" w14:textId="77777777" w:rsidR="00D60881" w:rsidRPr="00927FE4" w:rsidRDefault="00D60881" w:rsidP="000543FD">
            <w:pPr>
              <w:pStyle w:val="Heading2"/>
              <w:rPr>
                <w:b w:val="0"/>
                <w:iCs w:val="0"/>
                <w:color w:val="auto"/>
                <w:sz w:val="23"/>
                <w:szCs w:val="23"/>
              </w:rPr>
            </w:pPr>
            <w:r>
              <w:rPr>
                <w:b w:val="0"/>
                <w:color w:val="auto"/>
                <w:sz w:val="23"/>
                <w:szCs w:val="23"/>
              </w:rPr>
              <w:t>100% of annual allocation in accordance with Table 2</w:t>
            </w:r>
          </w:p>
        </w:tc>
      </w:tr>
    </w:tbl>
    <w:p w14:paraId="426F0AA3" w14:textId="77777777" w:rsidR="00172360" w:rsidRDefault="00172360" w:rsidP="00281874">
      <w:pPr>
        <w:pStyle w:val="Normalnumbered"/>
        <w:numPr>
          <w:ilvl w:val="0"/>
          <w:numId w:val="0"/>
        </w:numPr>
        <w:ind w:left="567"/>
      </w:pPr>
    </w:p>
    <w:p w14:paraId="38F7F977" w14:textId="77777777" w:rsidR="00172360" w:rsidRDefault="002E144A" w:rsidP="009F3AC5">
      <w:pPr>
        <w:pStyle w:val="Normalnumbered"/>
        <w:numPr>
          <w:ilvl w:val="0"/>
          <w:numId w:val="12"/>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p>
    <w:p w14:paraId="1C2A1370" w14:textId="77777777" w:rsidR="00F3245D" w:rsidRDefault="00F3245D" w:rsidP="00F3245D">
      <w:pPr>
        <w:pStyle w:val="Heading2"/>
      </w:pPr>
      <w:r>
        <w:t>Reporting arrangements</w:t>
      </w:r>
    </w:p>
    <w:p w14:paraId="153874ED" w14:textId="77777777" w:rsidR="00ED2AC4" w:rsidRPr="006B0FC2" w:rsidRDefault="009E151E" w:rsidP="009F3AC5">
      <w:pPr>
        <w:pStyle w:val="Normalnumbered"/>
        <w:numPr>
          <w:ilvl w:val="0"/>
          <w:numId w:val="12"/>
        </w:numPr>
        <w:spacing w:before="120" w:line="240" w:lineRule="auto"/>
        <w:rPr>
          <w:szCs w:val="23"/>
        </w:rPr>
      </w:pPr>
      <w:r>
        <w:t>The</w:t>
      </w:r>
      <w:r w:rsidR="00167BB8">
        <w:t xml:space="preserve"> </w:t>
      </w:r>
      <w:r w:rsidRPr="00DE36EB">
        <w:t>States</w:t>
      </w:r>
      <w:r w:rsidR="0095223D" w:rsidRPr="00DE36EB">
        <w:t xml:space="preserve"> </w:t>
      </w:r>
      <w:r>
        <w:t xml:space="preserve">will </w:t>
      </w:r>
      <w:r w:rsidR="0095223D">
        <w:t xml:space="preserve">provide performance reports in accordance with </w:t>
      </w:r>
      <w:r w:rsidR="00C2605C">
        <w:t>T</w:t>
      </w:r>
      <w:r w:rsidR="0095223D">
        <w:t xml:space="preserve">able </w:t>
      </w:r>
      <w:r w:rsidR="00C2605C">
        <w:t xml:space="preserve">1 </w:t>
      </w:r>
      <w:r>
        <w:t>during</w:t>
      </w:r>
      <w:r w:rsidR="00C42ACA">
        <w:t xml:space="preserve"> </w:t>
      </w:r>
      <w:r>
        <w:t>t</w:t>
      </w:r>
      <w:r w:rsidR="006B0FC2">
        <w:t xml:space="preserve">he operation of the Agreement. </w:t>
      </w:r>
      <w:r w:rsidR="0095223D">
        <w:t>Each performance report is to contai</w:t>
      </w:r>
      <w:r w:rsidR="00ED2AC4">
        <w:t xml:space="preserve">n </w:t>
      </w:r>
      <w:r w:rsidR="006B0FC2">
        <w:t>the following information:</w:t>
      </w:r>
    </w:p>
    <w:p w14:paraId="31EA5548" w14:textId="77777777" w:rsidR="006B0FC2" w:rsidRDefault="006B0FC2" w:rsidP="009F3AC5">
      <w:pPr>
        <w:pStyle w:val="AlphaParagraph"/>
        <w:numPr>
          <w:ilvl w:val="0"/>
          <w:numId w:val="24"/>
        </w:numPr>
        <w:tabs>
          <w:tab w:val="clear" w:pos="283"/>
          <w:tab w:val="clear" w:pos="567"/>
          <w:tab w:val="clear" w:pos="1134"/>
          <w:tab w:val="clear" w:pos="1418"/>
          <w:tab w:val="clear" w:pos="1701"/>
        </w:tabs>
        <w:ind w:left="1134" w:hanging="567"/>
        <w:rPr>
          <w:szCs w:val="23"/>
        </w:rPr>
      </w:pPr>
      <w:r>
        <w:rPr>
          <w:szCs w:val="23"/>
        </w:rPr>
        <w:t xml:space="preserve">a description of actual performance of the States in the period </w:t>
      </w:r>
      <w:r w:rsidR="00D51CD5">
        <w:rPr>
          <w:szCs w:val="23"/>
        </w:rPr>
        <w:t xml:space="preserve">assessed </w:t>
      </w:r>
      <w:r>
        <w:rPr>
          <w:szCs w:val="23"/>
        </w:rPr>
        <w:t xml:space="preserve">against the project milestones as measured by the </w:t>
      </w:r>
      <w:r w:rsidR="00E87290">
        <w:rPr>
          <w:szCs w:val="23"/>
        </w:rPr>
        <w:t xml:space="preserve">following </w:t>
      </w:r>
      <w:r>
        <w:rPr>
          <w:szCs w:val="23"/>
        </w:rPr>
        <w:t>agreed indicators</w:t>
      </w:r>
      <w:r w:rsidR="00E87290">
        <w:rPr>
          <w:szCs w:val="23"/>
        </w:rPr>
        <w:t>:</w:t>
      </w:r>
      <w:r>
        <w:rPr>
          <w:szCs w:val="23"/>
        </w:rPr>
        <w:t xml:space="preserve"> </w:t>
      </w:r>
    </w:p>
    <w:p w14:paraId="05D672F1" w14:textId="77777777" w:rsidR="006B0FC2" w:rsidRDefault="006B0FC2" w:rsidP="008C2BDB">
      <w:pPr>
        <w:pStyle w:val="AlphaParagraph"/>
        <w:numPr>
          <w:ilvl w:val="0"/>
          <w:numId w:val="28"/>
        </w:numPr>
        <w:tabs>
          <w:tab w:val="clear" w:pos="283"/>
          <w:tab w:val="clear" w:pos="567"/>
          <w:tab w:val="clear" w:pos="1134"/>
          <w:tab w:val="clear" w:pos="1418"/>
          <w:tab w:val="clear" w:pos="1701"/>
          <w:tab w:val="num" w:pos="2574"/>
        </w:tabs>
        <w:ind w:left="1418" w:hanging="142"/>
        <w:rPr>
          <w:szCs w:val="23"/>
        </w:rPr>
      </w:pPr>
      <w:r>
        <w:rPr>
          <w:szCs w:val="23"/>
        </w:rPr>
        <w:t>notifications of nationally notifiable vaccine preventable diseases are electronically reported to NNDSS on a daily basis;</w:t>
      </w:r>
    </w:p>
    <w:p w14:paraId="0F043B7B" w14:textId="77777777" w:rsidR="00BB540F" w:rsidRPr="007D2C3D" w:rsidRDefault="006B0FC2" w:rsidP="007D2C3D">
      <w:pPr>
        <w:pStyle w:val="AlphaParagraph"/>
        <w:numPr>
          <w:ilvl w:val="0"/>
          <w:numId w:val="28"/>
        </w:numPr>
        <w:tabs>
          <w:tab w:val="clear" w:pos="283"/>
          <w:tab w:val="clear" w:pos="567"/>
          <w:tab w:val="clear" w:pos="1134"/>
          <w:tab w:val="clear" w:pos="1418"/>
          <w:tab w:val="clear" w:pos="1701"/>
          <w:tab w:val="num" w:pos="2574"/>
        </w:tabs>
        <w:ind w:left="1418" w:hanging="142"/>
        <w:rPr>
          <w:szCs w:val="23"/>
        </w:rPr>
      </w:pPr>
      <w:r w:rsidRPr="007D2C3D">
        <w:rPr>
          <w:szCs w:val="23"/>
        </w:rPr>
        <w:lastRenderedPageBreak/>
        <w:t xml:space="preserve">the </w:t>
      </w:r>
      <w:r w:rsidR="000E3109" w:rsidRPr="007D2C3D">
        <w:rPr>
          <w:szCs w:val="23"/>
        </w:rPr>
        <w:t>“</w:t>
      </w:r>
      <w:r w:rsidRPr="007D2C3D">
        <w:rPr>
          <w:szCs w:val="23"/>
        </w:rPr>
        <w:t>Serogroup Subtype</w:t>
      </w:r>
      <w:r w:rsidR="000E3109" w:rsidRPr="007D2C3D">
        <w:rPr>
          <w:szCs w:val="23"/>
        </w:rPr>
        <w:t>”</w:t>
      </w:r>
      <w:r w:rsidRPr="007D2C3D">
        <w:rPr>
          <w:szCs w:val="23"/>
        </w:rPr>
        <w:t xml:space="preserve"> field is completed (where lab diagnosis method allows) for invasive meningococcal disease  for equal to or greater than 80% of notified cases;</w:t>
      </w:r>
    </w:p>
    <w:p w14:paraId="306A8C71" w14:textId="77777777" w:rsidR="006B0FC2" w:rsidRDefault="006B0FC2" w:rsidP="008C2BDB">
      <w:pPr>
        <w:pStyle w:val="AlphaParagraph"/>
        <w:numPr>
          <w:ilvl w:val="0"/>
          <w:numId w:val="28"/>
        </w:numPr>
        <w:tabs>
          <w:tab w:val="clear" w:pos="283"/>
          <w:tab w:val="clear" w:pos="567"/>
          <w:tab w:val="clear" w:pos="1134"/>
          <w:tab w:val="clear" w:pos="1418"/>
          <w:tab w:val="clear" w:pos="1701"/>
          <w:tab w:val="num" w:pos="2574"/>
        </w:tabs>
        <w:ind w:left="1418" w:hanging="142"/>
        <w:rPr>
          <w:szCs w:val="23"/>
        </w:rPr>
      </w:pPr>
      <w:r>
        <w:rPr>
          <w:szCs w:val="23"/>
        </w:rPr>
        <w:t xml:space="preserve">the </w:t>
      </w:r>
      <w:r w:rsidR="000E3109">
        <w:rPr>
          <w:szCs w:val="23"/>
        </w:rPr>
        <w:t>“</w:t>
      </w:r>
      <w:r>
        <w:rPr>
          <w:szCs w:val="23"/>
        </w:rPr>
        <w:t>Serogroup Subtype</w:t>
      </w:r>
      <w:r w:rsidR="000E3109">
        <w:rPr>
          <w:szCs w:val="23"/>
        </w:rPr>
        <w:t>”</w:t>
      </w:r>
      <w:r>
        <w:rPr>
          <w:szCs w:val="23"/>
        </w:rPr>
        <w:t xml:space="preserve"> field is completed (where lab diagnosis method allows) for </w:t>
      </w:r>
      <w:r w:rsidR="00F0077A">
        <w:rPr>
          <w:szCs w:val="23"/>
        </w:rPr>
        <w:t>IPD</w:t>
      </w:r>
      <w:r w:rsidR="00BB540F">
        <w:rPr>
          <w:szCs w:val="23"/>
        </w:rPr>
        <w:t xml:space="preserve"> in </w:t>
      </w:r>
      <w:r w:rsidR="000E3109">
        <w:rPr>
          <w:szCs w:val="23"/>
        </w:rPr>
        <w:t>c</w:t>
      </w:r>
      <w:r>
        <w:rPr>
          <w:szCs w:val="23"/>
        </w:rPr>
        <w:t xml:space="preserve">ases younger than </w:t>
      </w:r>
      <w:r w:rsidR="00CF55EA">
        <w:rPr>
          <w:szCs w:val="23"/>
        </w:rPr>
        <w:t>five (5)</w:t>
      </w:r>
      <w:r>
        <w:rPr>
          <w:szCs w:val="23"/>
        </w:rPr>
        <w:t xml:space="preserve"> years or older than 50 years for equal to or greater than 80% of notified cases;</w:t>
      </w:r>
    </w:p>
    <w:p w14:paraId="029A8BB8" w14:textId="77777777" w:rsidR="00CF55EA" w:rsidRDefault="00CF55EA" w:rsidP="008C2BDB">
      <w:pPr>
        <w:pStyle w:val="AlphaParagraph"/>
        <w:numPr>
          <w:ilvl w:val="0"/>
          <w:numId w:val="28"/>
        </w:numPr>
        <w:tabs>
          <w:tab w:val="clear" w:pos="283"/>
          <w:tab w:val="clear" w:pos="567"/>
          <w:tab w:val="clear" w:pos="1134"/>
          <w:tab w:val="clear" w:pos="1418"/>
          <w:tab w:val="clear" w:pos="1701"/>
          <w:tab w:val="num" w:pos="2574"/>
        </w:tabs>
        <w:ind w:left="1418" w:hanging="142"/>
        <w:rPr>
          <w:szCs w:val="23"/>
        </w:rPr>
      </w:pPr>
      <w:r>
        <w:rPr>
          <w:szCs w:val="23"/>
        </w:rPr>
        <w:t xml:space="preserve">the genotype is recorded </w:t>
      </w:r>
      <w:r w:rsidR="00BB540F">
        <w:rPr>
          <w:szCs w:val="23"/>
        </w:rPr>
        <w:t xml:space="preserve">in the NNDSS </w:t>
      </w:r>
      <w:r>
        <w:rPr>
          <w:szCs w:val="23"/>
        </w:rPr>
        <w:t>for at least one measles case per epidemiologically-linked measles cluster for equal to or greater than 80% of identified clusters;</w:t>
      </w:r>
      <w:r w:rsidR="0053699C">
        <w:rPr>
          <w:szCs w:val="23"/>
        </w:rPr>
        <w:t xml:space="preserve"> and</w:t>
      </w:r>
    </w:p>
    <w:p w14:paraId="7DEEBBF3" w14:textId="77777777" w:rsidR="00CF55EA" w:rsidRDefault="00CF55EA" w:rsidP="008C2BDB">
      <w:pPr>
        <w:pStyle w:val="AlphaParagraph"/>
        <w:numPr>
          <w:ilvl w:val="0"/>
          <w:numId w:val="28"/>
        </w:numPr>
        <w:tabs>
          <w:tab w:val="clear" w:pos="283"/>
          <w:tab w:val="clear" w:pos="567"/>
          <w:tab w:val="clear" w:pos="1134"/>
          <w:tab w:val="clear" w:pos="1418"/>
          <w:tab w:val="clear" w:pos="1701"/>
          <w:tab w:val="num" w:pos="2574"/>
        </w:tabs>
        <w:ind w:left="1418" w:hanging="142"/>
        <w:rPr>
          <w:szCs w:val="23"/>
        </w:rPr>
      </w:pPr>
      <w:proofErr w:type="gramStart"/>
      <w:r>
        <w:rPr>
          <w:szCs w:val="23"/>
        </w:rPr>
        <w:t>vaccination</w:t>
      </w:r>
      <w:proofErr w:type="gramEnd"/>
      <w:r>
        <w:rPr>
          <w:szCs w:val="23"/>
        </w:rPr>
        <w:t xml:space="preserve"> information is completed for </w:t>
      </w:r>
      <w:r w:rsidR="000E3109">
        <w:rPr>
          <w:szCs w:val="23"/>
        </w:rPr>
        <w:t xml:space="preserve">children aged less than </w:t>
      </w:r>
      <w:r w:rsidR="007D2C3D">
        <w:rPr>
          <w:szCs w:val="23"/>
        </w:rPr>
        <w:t>10</w:t>
      </w:r>
      <w:r w:rsidR="000E3109">
        <w:rPr>
          <w:szCs w:val="23"/>
        </w:rPr>
        <w:t xml:space="preserve"> years for</w:t>
      </w:r>
      <w:r>
        <w:rPr>
          <w:szCs w:val="23"/>
        </w:rPr>
        <w:t xml:space="preserve"> all nationally notifiable vaccine preventable diseases </w:t>
      </w:r>
      <w:r w:rsidR="007C615A">
        <w:rPr>
          <w:szCs w:val="23"/>
        </w:rPr>
        <w:t xml:space="preserve">that require </w:t>
      </w:r>
      <w:r w:rsidR="000E3109">
        <w:rPr>
          <w:szCs w:val="23"/>
        </w:rPr>
        <w:t xml:space="preserve">public health </w:t>
      </w:r>
      <w:r w:rsidR="007C615A">
        <w:rPr>
          <w:szCs w:val="23"/>
        </w:rPr>
        <w:t>follow</w:t>
      </w:r>
      <w:r w:rsidR="000E3109">
        <w:rPr>
          <w:szCs w:val="23"/>
        </w:rPr>
        <w:t>-</w:t>
      </w:r>
      <w:r w:rsidR="007C615A">
        <w:rPr>
          <w:szCs w:val="23"/>
        </w:rPr>
        <w:t xml:space="preserve">up </w:t>
      </w:r>
      <w:r w:rsidR="000E3109">
        <w:rPr>
          <w:szCs w:val="23"/>
        </w:rPr>
        <w:t xml:space="preserve">for </w:t>
      </w:r>
      <w:r>
        <w:rPr>
          <w:szCs w:val="23"/>
        </w:rPr>
        <w:t>equal to or gr</w:t>
      </w:r>
      <w:r w:rsidR="00C275AF">
        <w:rPr>
          <w:szCs w:val="23"/>
        </w:rPr>
        <w:t>e</w:t>
      </w:r>
      <w:r>
        <w:rPr>
          <w:szCs w:val="23"/>
        </w:rPr>
        <w:t xml:space="preserve">ater than 95% of notified cases where their vaccination status is recorded on the Australian </w:t>
      </w:r>
      <w:r w:rsidR="0053699C">
        <w:rPr>
          <w:szCs w:val="23"/>
        </w:rPr>
        <w:t>Immunisation Register (AIR).</w:t>
      </w:r>
    </w:p>
    <w:p w14:paraId="4AAD5CA1" w14:textId="77777777" w:rsidR="00EA51F8" w:rsidRDefault="00A61ADC" w:rsidP="00A61ADC">
      <w:pPr>
        <w:pStyle w:val="AlphaParagraph"/>
        <w:numPr>
          <w:ilvl w:val="0"/>
          <w:numId w:val="24"/>
        </w:numPr>
        <w:tabs>
          <w:tab w:val="clear" w:pos="283"/>
          <w:tab w:val="clear" w:pos="567"/>
          <w:tab w:val="clear" w:pos="1418"/>
          <w:tab w:val="clear" w:pos="1701"/>
        </w:tabs>
        <w:ind w:left="1134" w:hanging="567"/>
        <w:rPr>
          <w:szCs w:val="23"/>
        </w:rPr>
      </w:pPr>
      <w:proofErr w:type="gramStart"/>
      <w:r>
        <w:rPr>
          <w:szCs w:val="23"/>
        </w:rPr>
        <w:t>a</w:t>
      </w:r>
      <w:proofErr w:type="gramEnd"/>
      <w:r>
        <w:rPr>
          <w:szCs w:val="23"/>
        </w:rPr>
        <w:t xml:space="preserve"> </w:t>
      </w:r>
      <w:r w:rsidR="00EA51F8">
        <w:rPr>
          <w:szCs w:val="23"/>
        </w:rPr>
        <w:t>descri</w:t>
      </w:r>
      <w:r>
        <w:rPr>
          <w:szCs w:val="23"/>
        </w:rPr>
        <w:t>ption of</w:t>
      </w:r>
      <w:r w:rsidR="00EA51F8">
        <w:rPr>
          <w:szCs w:val="23"/>
        </w:rPr>
        <w:t xml:space="preserve"> </w:t>
      </w:r>
      <w:r w:rsidR="00EA51F8" w:rsidRPr="002D64A1">
        <w:rPr>
          <w:szCs w:val="23"/>
        </w:rPr>
        <w:t>any risks and benefits of ongoing surveillance of vaccine preventable diseases, including suggestions for possible improvements to the Program</w:t>
      </w:r>
      <w:r w:rsidR="00EA51F8">
        <w:rPr>
          <w:szCs w:val="23"/>
        </w:rPr>
        <w:t>.</w:t>
      </w:r>
    </w:p>
    <w:p w14:paraId="77C766EC" w14:textId="77777777" w:rsidR="00D60881" w:rsidRPr="00B76F78" w:rsidRDefault="00B50430" w:rsidP="00B76F78">
      <w:pPr>
        <w:pStyle w:val="Normalnumbered"/>
        <w:numPr>
          <w:ilvl w:val="0"/>
          <w:numId w:val="12"/>
        </w:numPr>
        <w:jc w:val="left"/>
        <w:rPr>
          <w:szCs w:val="23"/>
        </w:rPr>
      </w:pPr>
      <w:r>
        <w:t xml:space="preserve">The </w:t>
      </w:r>
      <w:r w:rsidRPr="00DE36EB">
        <w:t xml:space="preserve">States </w:t>
      </w:r>
      <w:r>
        <w:t xml:space="preserve">will also prepare a final Project Report </w:t>
      </w:r>
      <w:r w:rsidR="002D64A1">
        <w:t>by 30 September 2020</w:t>
      </w:r>
      <w:r>
        <w:t>. The final Project Report will</w:t>
      </w:r>
      <w:r w:rsidR="00B76F78">
        <w:t xml:space="preserve"> i</w:t>
      </w:r>
      <w:r w:rsidR="00D75B6A" w:rsidRPr="00B76F78">
        <w:rPr>
          <w:color w:val="auto"/>
          <w:szCs w:val="23"/>
        </w:rPr>
        <w:t xml:space="preserve">nclude </w:t>
      </w:r>
      <w:r w:rsidR="00EA3C4A" w:rsidRPr="00B76F78">
        <w:rPr>
          <w:color w:val="auto"/>
          <w:szCs w:val="23"/>
        </w:rPr>
        <w:t xml:space="preserve">vaccine </w:t>
      </w:r>
      <w:r w:rsidR="00EA3C4A" w:rsidRPr="00B76F78">
        <w:t>preventable</w:t>
      </w:r>
      <w:r w:rsidR="00EA3C4A" w:rsidRPr="00B76F78">
        <w:rPr>
          <w:color w:val="auto"/>
          <w:szCs w:val="23"/>
        </w:rPr>
        <w:t xml:space="preserve"> disease surveillance data </w:t>
      </w:r>
      <w:r w:rsidR="002D64A1" w:rsidRPr="00B76F78">
        <w:rPr>
          <w:color w:val="auto"/>
          <w:szCs w:val="23"/>
        </w:rPr>
        <w:t xml:space="preserve">for the period of 01 January 2020 to 30 June 2020 </w:t>
      </w:r>
      <w:r w:rsidR="00DC318C" w:rsidRPr="00B76F78">
        <w:rPr>
          <w:color w:val="auto"/>
          <w:szCs w:val="23"/>
        </w:rPr>
        <w:t xml:space="preserve">against </w:t>
      </w:r>
      <w:r w:rsidR="00EA3C4A" w:rsidRPr="00B76F78">
        <w:rPr>
          <w:color w:val="auto"/>
          <w:szCs w:val="23"/>
        </w:rPr>
        <w:t>the agreed indicators</w:t>
      </w:r>
      <w:r w:rsidR="00EA3C4A" w:rsidRPr="00B76F78">
        <w:rPr>
          <w:szCs w:val="23"/>
        </w:rPr>
        <w:t xml:space="preserve"> </w:t>
      </w:r>
      <w:r w:rsidR="00DC318C" w:rsidRPr="00B76F78">
        <w:rPr>
          <w:szCs w:val="23"/>
        </w:rPr>
        <w:t xml:space="preserve">consistent with clauses 8, 10(c) and </w:t>
      </w:r>
      <w:r w:rsidR="00EA3C4A" w:rsidRPr="00B76F78">
        <w:rPr>
          <w:szCs w:val="23"/>
        </w:rPr>
        <w:t xml:space="preserve">15(a) </w:t>
      </w:r>
      <w:r w:rsidR="00A61ADC">
        <w:rPr>
          <w:szCs w:val="23"/>
        </w:rPr>
        <w:t xml:space="preserve">and (b) </w:t>
      </w:r>
      <w:r w:rsidR="00EA3C4A" w:rsidRPr="00B76F78">
        <w:rPr>
          <w:szCs w:val="23"/>
        </w:rPr>
        <w:t>of this Agreement</w:t>
      </w:r>
      <w:r w:rsidR="00B76F78" w:rsidRPr="00B76F78">
        <w:rPr>
          <w:szCs w:val="23"/>
        </w:rPr>
        <w:t>.</w:t>
      </w:r>
    </w:p>
    <w:p w14:paraId="37C47527" w14:textId="77777777" w:rsidR="008E7527" w:rsidRDefault="008E7527" w:rsidP="009E093C">
      <w:pPr>
        <w:pStyle w:val="Heading1"/>
      </w:pPr>
      <w:r>
        <w:t>Part 5</w:t>
      </w:r>
      <w:r w:rsidRPr="00751725">
        <w:t xml:space="preserve"> — financial arrangements</w:t>
      </w:r>
    </w:p>
    <w:p w14:paraId="06CF37F5" w14:textId="77777777" w:rsidR="008E7527" w:rsidRDefault="008E7527" w:rsidP="009F3AC5">
      <w:pPr>
        <w:pStyle w:val="Normalnumbered"/>
        <w:numPr>
          <w:ilvl w:val="0"/>
          <w:numId w:val="12"/>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t xml:space="preserve">the States of </w:t>
      </w:r>
      <w:r w:rsidRPr="00CD526B">
        <w:t>$</w:t>
      </w:r>
      <w:r w:rsidR="00327722">
        <w:t>2.6</w:t>
      </w:r>
      <w:r w:rsidR="00D60881">
        <w:t> </w:t>
      </w:r>
      <w:r>
        <w:t>m</w:t>
      </w:r>
      <w:r w:rsidR="00D60881">
        <w:t>illion</w:t>
      </w:r>
      <w:r>
        <w:t xml:space="preserve"> in respect of this Agreement. All payments are GST exclusive.</w:t>
      </w:r>
    </w:p>
    <w:p w14:paraId="56A25CDD" w14:textId="77777777" w:rsidR="008E7527" w:rsidRDefault="005A5E7A" w:rsidP="009F3AC5">
      <w:pPr>
        <w:pStyle w:val="Normalnumbered"/>
        <w:numPr>
          <w:ilvl w:val="0"/>
          <w:numId w:val="12"/>
        </w:numPr>
      </w:pPr>
      <w:r>
        <w:t>T</w:t>
      </w:r>
      <w:r w:rsidR="008E7527" w:rsidRPr="002B7E1B">
        <w:t>he Commonwealth’s funding contribution will not be reduced where the States secure funding from other activity partners</w:t>
      </w:r>
      <w:r w:rsidR="002E144A">
        <w:t>.</w:t>
      </w:r>
    </w:p>
    <w:p w14:paraId="2DD1603B" w14:textId="77777777" w:rsidR="008E7527" w:rsidRPr="00751725" w:rsidRDefault="008E7527" w:rsidP="009F3AC5">
      <w:pPr>
        <w:pStyle w:val="Normalnumbered"/>
        <w:keepNext/>
        <w:keepLines/>
        <w:numPr>
          <w:ilvl w:val="0"/>
          <w:numId w:val="12"/>
        </w:numPr>
      </w:pPr>
      <w:r w:rsidRPr="00751725">
        <w:t>The Commonwealth</w:t>
      </w:r>
      <w:r>
        <w:t>’s</w:t>
      </w:r>
      <w:r w:rsidRPr="00751725">
        <w:t xml:space="preserve"> </w:t>
      </w:r>
      <w:r>
        <w:t xml:space="preserve">estimated </w:t>
      </w:r>
      <w:r w:rsidRPr="00751725">
        <w:t xml:space="preserve">financial contribution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54657805" w14:textId="77777777" w:rsidR="00990983" w:rsidRDefault="00990983">
      <w:pPr>
        <w:spacing w:after="0" w:line="240" w:lineRule="auto"/>
        <w:jc w:val="left"/>
        <w:rPr>
          <w:b/>
        </w:rPr>
      </w:pPr>
      <w:r>
        <w:rPr>
          <w:b/>
        </w:rPr>
        <w:br w:type="page"/>
      </w:r>
    </w:p>
    <w:p w14:paraId="53BA47AF" w14:textId="77777777" w:rsidR="008E7527" w:rsidRPr="00A05C1E" w:rsidRDefault="00E204BB" w:rsidP="00E204BB">
      <w:pPr>
        <w:pStyle w:val="Normalnumbered"/>
        <w:numPr>
          <w:ilvl w:val="0"/>
          <w:numId w:val="0"/>
        </w:numPr>
        <w:rPr>
          <w:b/>
          <w:i/>
        </w:rPr>
      </w:pPr>
      <w:r>
        <w:rPr>
          <w:b/>
        </w:rPr>
        <w:lastRenderedPageBreak/>
        <w:t>Table 2</w:t>
      </w:r>
      <w:r w:rsidR="008E7527" w:rsidRPr="00E204BB">
        <w:rPr>
          <w:b/>
        </w:rPr>
        <w:t>: Estimated financial contributions</w:t>
      </w:r>
    </w:p>
    <w:tbl>
      <w:tblPr>
        <w:tblW w:w="0" w:type="auto"/>
        <w:tblLook w:val="01E0" w:firstRow="1" w:lastRow="1" w:firstColumn="1" w:lastColumn="1" w:noHBand="0" w:noVBand="0"/>
      </w:tblPr>
      <w:tblGrid>
        <w:gridCol w:w="5920"/>
        <w:gridCol w:w="992"/>
        <w:gridCol w:w="993"/>
        <w:gridCol w:w="992"/>
        <w:gridCol w:w="850"/>
      </w:tblGrid>
      <w:tr w:rsidR="007D2C3D" w14:paraId="2AE92B59" w14:textId="77777777" w:rsidTr="00502F2C">
        <w:trPr>
          <w:cantSplit/>
        </w:trPr>
        <w:tc>
          <w:tcPr>
            <w:tcW w:w="5920" w:type="dxa"/>
            <w:tcBorders>
              <w:top w:val="single" w:sz="4" w:space="0" w:color="000080"/>
            </w:tcBorders>
          </w:tcPr>
          <w:p w14:paraId="2C5CE5AF" w14:textId="77777777" w:rsidR="00E6313E" w:rsidRPr="00C2711B" w:rsidRDefault="00E6313E" w:rsidP="00AB71A5">
            <w:pPr>
              <w:keepNext/>
              <w:keepLines/>
              <w:spacing w:before="40" w:after="40"/>
              <w:jc w:val="left"/>
              <w:rPr>
                <w:b/>
              </w:rPr>
            </w:pPr>
            <w:r w:rsidRPr="00C2711B">
              <w:rPr>
                <w:b/>
              </w:rPr>
              <w:t>($ million)</w:t>
            </w:r>
          </w:p>
        </w:tc>
        <w:tc>
          <w:tcPr>
            <w:tcW w:w="992" w:type="dxa"/>
            <w:tcBorders>
              <w:top w:val="single" w:sz="4" w:space="0" w:color="000080"/>
              <w:bottom w:val="single" w:sz="4" w:space="0" w:color="000080"/>
            </w:tcBorders>
          </w:tcPr>
          <w:p w14:paraId="02E42DA4" w14:textId="77777777" w:rsidR="00E6313E" w:rsidRDefault="00E6313E" w:rsidP="00AB71A5">
            <w:pPr>
              <w:keepNext/>
              <w:keepLines/>
              <w:spacing w:before="40" w:after="40"/>
              <w:jc w:val="right"/>
            </w:pPr>
            <w:r>
              <w:t>2017-18</w:t>
            </w:r>
          </w:p>
        </w:tc>
        <w:tc>
          <w:tcPr>
            <w:tcW w:w="993" w:type="dxa"/>
            <w:tcBorders>
              <w:top w:val="single" w:sz="4" w:space="0" w:color="000080"/>
              <w:bottom w:val="single" w:sz="4" w:space="0" w:color="000080"/>
            </w:tcBorders>
          </w:tcPr>
          <w:p w14:paraId="06B78F80" w14:textId="77777777" w:rsidR="00E6313E" w:rsidRDefault="00E6313E" w:rsidP="00AB71A5">
            <w:pPr>
              <w:keepNext/>
              <w:keepLines/>
              <w:spacing w:before="40" w:after="40"/>
              <w:jc w:val="right"/>
            </w:pPr>
            <w:r>
              <w:t>2018-19</w:t>
            </w:r>
          </w:p>
        </w:tc>
        <w:tc>
          <w:tcPr>
            <w:tcW w:w="992" w:type="dxa"/>
            <w:tcBorders>
              <w:top w:val="single" w:sz="4" w:space="0" w:color="000080"/>
              <w:bottom w:val="single" w:sz="4" w:space="0" w:color="000080"/>
            </w:tcBorders>
          </w:tcPr>
          <w:p w14:paraId="4B08C757" w14:textId="77777777" w:rsidR="00E6313E" w:rsidRDefault="00E6313E" w:rsidP="00AB71A5">
            <w:pPr>
              <w:keepNext/>
              <w:keepLines/>
              <w:spacing w:before="40" w:after="40"/>
              <w:jc w:val="right"/>
            </w:pPr>
            <w:r>
              <w:t>2019-20</w:t>
            </w:r>
          </w:p>
        </w:tc>
        <w:tc>
          <w:tcPr>
            <w:tcW w:w="850" w:type="dxa"/>
            <w:tcBorders>
              <w:top w:val="single" w:sz="4" w:space="0" w:color="000080"/>
              <w:bottom w:val="single" w:sz="4" w:space="0" w:color="000080"/>
            </w:tcBorders>
          </w:tcPr>
          <w:p w14:paraId="2AD43B06" w14:textId="77777777" w:rsidR="00E6313E" w:rsidRDefault="00E6313E" w:rsidP="00AB71A5">
            <w:pPr>
              <w:keepNext/>
              <w:keepLines/>
              <w:spacing w:before="40" w:after="40"/>
              <w:jc w:val="right"/>
            </w:pPr>
            <w:r>
              <w:t>Total</w:t>
            </w:r>
          </w:p>
        </w:tc>
      </w:tr>
      <w:tr w:rsidR="007D2C3D" w14:paraId="2D6CE82B" w14:textId="77777777" w:rsidTr="001A5588">
        <w:trPr>
          <w:cantSplit/>
        </w:trPr>
        <w:tc>
          <w:tcPr>
            <w:tcW w:w="5920" w:type="dxa"/>
            <w:tcBorders>
              <w:top w:val="single" w:sz="4" w:space="0" w:color="000080"/>
            </w:tcBorders>
          </w:tcPr>
          <w:p w14:paraId="4E30CAD3" w14:textId="77777777" w:rsidR="00656AFF" w:rsidRPr="00C2711B" w:rsidRDefault="00656AFF" w:rsidP="00AB71A5">
            <w:pPr>
              <w:keepNext/>
              <w:keepLines/>
              <w:spacing w:before="40" w:after="40"/>
              <w:jc w:val="left"/>
              <w:rPr>
                <w:b/>
              </w:rPr>
            </w:pPr>
            <w:r>
              <w:rPr>
                <w:b/>
              </w:rPr>
              <w:t>Estimated total budget</w:t>
            </w:r>
          </w:p>
        </w:tc>
        <w:tc>
          <w:tcPr>
            <w:tcW w:w="992" w:type="dxa"/>
            <w:tcBorders>
              <w:top w:val="single" w:sz="4" w:space="0" w:color="000080"/>
              <w:bottom w:val="single" w:sz="4" w:space="0" w:color="000080"/>
            </w:tcBorders>
          </w:tcPr>
          <w:p w14:paraId="40E1E428" w14:textId="77777777" w:rsidR="00656AFF" w:rsidRDefault="00656AFF" w:rsidP="00AB71A5">
            <w:pPr>
              <w:keepNext/>
              <w:keepLines/>
              <w:spacing w:before="40" w:after="40"/>
              <w:jc w:val="right"/>
            </w:pPr>
            <w:r>
              <w:rPr>
                <w:b/>
              </w:rPr>
              <w:t>0.849</w:t>
            </w:r>
          </w:p>
        </w:tc>
        <w:tc>
          <w:tcPr>
            <w:tcW w:w="993" w:type="dxa"/>
            <w:tcBorders>
              <w:top w:val="single" w:sz="4" w:space="0" w:color="000080"/>
              <w:bottom w:val="single" w:sz="4" w:space="0" w:color="000080"/>
            </w:tcBorders>
          </w:tcPr>
          <w:p w14:paraId="34FAB4C3" w14:textId="77777777" w:rsidR="00656AFF" w:rsidRDefault="00656AFF" w:rsidP="00AB71A5">
            <w:pPr>
              <w:keepNext/>
              <w:keepLines/>
              <w:spacing w:before="40" w:after="40"/>
              <w:jc w:val="right"/>
            </w:pPr>
            <w:r>
              <w:rPr>
                <w:b/>
              </w:rPr>
              <w:t>0.862</w:t>
            </w:r>
          </w:p>
        </w:tc>
        <w:tc>
          <w:tcPr>
            <w:tcW w:w="992" w:type="dxa"/>
            <w:tcBorders>
              <w:top w:val="single" w:sz="4" w:space="0" w:color="000080"/>
              <w:bottom w:val="single" w:sz="4" w:space="0" w:color="000080"/>
            </w:tcBorders>
          </w:tcPr>
          <w:p w14:paraId="10F57BB4" w14:textId="77777777" w:rsidR="00656AFF" w:rsidRDefault="00656AFF" w:rsidP="00AB71A5">
            <w:pPr>
              <w:keepNext/>
              <w:keepLines/>
              <w:spacing w:before="40" w:after="40"/>
              <w:jc w:val="right"/>
            </w:pPr>
            <w:r>
              <w:rPr>
                <w:b/>
              </w:rPr>
              <w:t>0.876</w:t>
            </w:r>
          </w:p>
        </w:tc>
        <w:tc>
          <w:tcPr>
            <w:tcW w:w="850" w:type="dxa"/>
            <w:tcBorders>
              <w:top w:val="single" w:sz="4" w:space="0" w:color="000080"/>
              <w:bottom w:val="single" w:sz="4" w:space="0" w:color="000080"/>
            </w:tcBorders>
          </w:tcPr>
          <w:p w14:paraId="34975A38" w14:textId="77777777" w:rsidR="00656AFF" w:rsidRDefault="00656AFF" w:rsidP="00AB71A5">
            <w:pPr>
              <w:keepNext/>
              <w:keepLines/>
              <w:spacing w:before="40" w:after="40"/>
              <w:jc w:val="right"/>
            </w:pPr>
            <w:r>
              <w:rPr>
                <w:b/>
              </w:rPr>
              <w:t>2.587</w:t>
            </w:r>
          </w:p>
        </w:tc>
      </w:tr>
      <w:tr w:rsidR="007D2C3D" w14:paraId="57A1C633" w14:textId="77777777" w:rsidTr="00502F2C">
        <w:trPr>
          <w:cantSplit/>
        </w:trPr>
        <w:tc>
          <w:tcPr>
            <w:tcW w:w="5920" w:type="dxa"/>
          </w:tcPr>
          <w:p w14:paraId="46137A95" w14:textId="77777777" w:rsidR="00656AFF" w:rsidRPr="006779B4" w:rsidRDefault="00656AFF" w:rsidP="00AB71A5">
            <w:pPr>
              <w:keepNext/>
              <w:keepLines/>
              <w:spacing w:before="60" w:after="60"/>
            </w:pPr>
            <w:r w:rsidRPr="006779B4">
              <w:tab/>
              <w:t>N</w:t>
            </w:r>
            <w:r>
              <w:t xml:space="preserve">ew </w:t>
            </w:r>
            <w:r w:rsidRPr="006779B4">
              <w:t>S</w:t>
            </w:r>
            <w:r>
              <w:t xml:space="preserve">outh </w:t>
            </w:r>
            <w:r w:rsidRPr="006779B4">
              <w:t>W</w:t>
            </w:r>
            <w:r>
              <w:t>ales</w:t>
            </w:r>
          </w:p>
        </w:tc>
        <w:tc>
          <w:tcPr>
            <w:tcW w:w="992" w:type="dxa"/>
            <w:tcBorders>
              <w:top w:val="single" w:sz="4" w:space="0" w:color="000080"/>
            </w:tcBorders>
          </w:tcPr>
          <w:p w14:paraId="74529279" w14:textId="77777777" w:rsidR="00656AFF" w:rsidRPr="006779B4" w:rsidRDefault="00656AFF" w:rsidP="00AB71A5">
            <w:pPr>
              <w:keepNext/>
              <w:keepLines/>
              <w:spacing w:before="40" w:after="40"/>
              <w:jc w:val="right"/>
            </w:pPr>
            <w:r w:rsidRPr="006779B4">
              <w:t>0.206</w:t>
            </w:r>
          </w:p>
        </w:tc>
        <w:tc>
          <w:tcPr>
            <w:tcW w:w="993" w:type="dxa"/>
            <w:tcBorders>
              <w:top w:val="single" w:sz="4" w:space="0" w:color="000080"/>
            </w:tcBorders>
          </w:tcPr>
          <w:p w14:paraId="1ECA1ED3" w14:textId="77777777" w:rsidR="00656AFF" w:rsidRPr="006779B4" w:rsidRDefault="00656AFF" w:rsidP="00AB71A5">
            <w:pPr>
              <w:keepNext/>
              <w:keepLines/>
              <w:spacing w:before="40" w:after="40"/>
              <w:jc w:val="right"/>
            </w:pPr>
            <w:r w:rsidRPr="006779B4">
              <w:t>0.208</w:t>
            </w:r>
          </w:p>
        </w:tc>
        <w:tc>
          <w:tcPr>
            <w:tcW w:w="992" w:type="dxa"/>
            <w:tcBorders>
              <w:top w:val="single" w:sz="4" w:space="0" w:color="000080"/>
            </w:tcBorders>
          </w:tcPr>
          <w:p w14:paraId="4B0D49A9" w14:textId="77777777" w:rsidR="00656AFF" w:rsidRPr="006779B4" w:rsidRDefault="00656AFF" w:rsidP="00AB71A5">
            <w:pPr>
              <w:keepNext/>
              <w:keepLines/>
              <w:spacing w:before="40" w:after="40"/>
              <w:jc w:val="right"/>
            </w:pPr>
            <w:r w:rsidRPr="006779B4">
              <w:t>0.210</w:t>
            </w:r>
          </w:p>
        </w:tc>
        <w:tc>
          <w:tcPr>
            <w:tcW w:w="850" w:type="dxa"/>
            <w:tcBorders>
              <w:top w:val="single" w:sz="4" w:space="0" w:color="000080"/>
            </w:tcBorders>
          </w:tcPr>
          <w:p w14:paraId="57CFBD66" w14:textId="77777777" w:rsidR="00656AFF" w:rsidRPr="006779B4" w:rsidRDefault="00656AFF" w:rsidP="00AB71A5">
            <w:pPr>
              <w:keepNext/>
              <w:keepLines/>
              <w:spacing w:before="40" w:after="40"/>
              <w:jc w:val="right"/>
            </w:pPr>
            <w:r w:rsidRPr="006779B4">
              <w:t>0.624</w:t>
            </w:r>
          </w:p>
        </w:tc>
      </w:tr>
      <w:tr w:rsidR="007D2C3D" w14:paraId="01ACAFF8" w14:textId="77777777" w:rsidTr="00502F2C">
        <w:trPr>
          <w:cantSplit/>
        </w:trPr>
        <w:tc>
          <w:tcPr>
            <w:tcW w:w="5920" w:type="dxa"/>
          </w:tcPr>
          <w:p w14:paraId="743D6BB0" w14:textId="77777777" w:rsidR="00656AFF" w:rsidRPr="006779B4" w:rsidRDefault="00656AFF" w:rsidP="00656AFF">
            <w:pPr>
              <w:keepNext/>
              <w:keepLines/>
              <w:spacing w:before="60" w:after="60"/>
            </w:pPr>
            <w:r w:rsidRPr="006779B4">
              <w:tab/>
              <w:t>V</w:t>
            </w:r>
            <w:r>
              <w:t>ictoria</w:t>
            </w:r>
          </w:p>
        </w:tc>
        <w:tc>
          <w:tcPr>
            <w:tcW w:w="992" w:type="dxa"/>
            <w:tcBorders>
              <w:top w:val="single" w:sz="4" w:space="0" w:color="000080"/>
            </w:tcBorders>
          </w:tcPr>
          <w:p w14:paraId="735944FB" w14:textId="77777777" w:rsidR="00656AFF" w:rsidRPr="006779B4" w:rsidRDefault="00656AFF" w:rsidP="00AB71A5">
            <w:pPr>
              <w:keepNext/>
              <w:keepLines/>
              <w:spacing w:before="40" w:after="40"/>
              <w:jc w:val="right"/>
            </w:pPr>
            <w:r w:rsidRPr="006779B4">
              <w:t>0.192</w:t>
            </w:r>
          </w:p>
        </w:tc>
        <w:tc>
          <w:tcPr>
            <w:tcW w:w="993" w:type="dxa"/>
            <w:tcBorders>
              <w:top w:val="single" w:sz="4" w:space="0" w:color="000080"/>
            </w:tcBorders>
          </w:tcPr>
          <w:p w14:paraId="42B84FBD" w14:textId="77777777" w:rsidR="00656AFF" w:rsidRPr="006779B4" w:rsidRDefault="00656AFF" w:rsidP="00AB71A5">
            <w:pPr>
              <w:keepNext/>
              <w:keepLines/>
              <w:spacing w:before="40" w:after="40"/>
              <w:jc w:val="right"/>
            </w:pPr>
            <w:r w:rsidRPr="006779B4">
              <w:t>0.194</w:t>
            </w:r>
          </w:p>
        </w:tc>
        <w:tc>
          <w:tcPr>
            <w:tcW w:w="992" w:type="dxa"/>
            <w:tcBorders>
              <w:top w:val="single" w:sz="4" w:space="0" w:color="000080"/>
            </w:tcBorders>
          </w:tcPr>
          <w:p w14:paraId="33D7D78F" w14:textId="77777777" w:rsidR="00656AFF" w:rsidRPr="006779B4" w:rsidRDefault="00656AFF" w:rsidP="00AB71A5">
            <w:pPr>
              <w:keepNext/>
              <w:keepLines/>
              <w:spacing w:before="40" w:after="40"/>
              <w:jc w:val="right"/>
            </w:pPr>
            <w:r w:rsidRPr="006779B4">
              <w:t>0.197</w:t>
            </w:r>
          </w:p>
        </w:tc>
        <w:tc>
          <w:tcPr>
            <w:tcW w:w="850" w:type="dxa"/>
            <w:tcBorders>
              <w:top w:val="single" w:sz="4" w:space="0" w:color="000080"/>
            </w:tcBorders>
          </w:tcPr>
          <w:p w14:paraId="7A7550E1" w14:textId="77777777" w:rsidR="00656AFF" w:rsidRPr="006779B4" w:rsidRDefault="00656AFF" w:rsidP="00AB71A5">
            <w:pPr>
              <w:keepNext/>
              <w:keepLines/>
              <w:spacing w:before="40" w:after="40"/>
              <w:jc w:val="right"/>
            </w:pPr>
            <w:r w:rsidRPr="006779B4">
              <w:t>0.583</w:t>
            </w:r>
          </w:p>
        </w:tc>
      </w:tr>
      <w:tr w:rsidR="007D2C3D" w14:paraId="07559E84" w14:textId="77777777" w:rsidTr="00E6313E">
        <w:trPr>
          <w:cantSplit/>
        </w:trPr>
        <w:tc>
          <w:tcPr>
            <w:tcW w:w="5920" w:type="dxa"/>
          </w:tcPr>
          <w:p w14:paraId="58E763AE" w14:textId="77777777" w:rsidR="00656AFF" w:rsidRPr="006779B4" w:rsidRDefault="00656AFF" w:rsidP="00656AFF">
            <w:pPr>
              <w:keepNext/>
              <w:keepLines/>
              <w:spacing w:before="60" w:after="60"/>
            </w:pPr>
            <w:r w:rsidRPr="006779B4">
              <w:tab/>
              <w:t>Q</w:t>
            </w:r>
            <w:r>
              <w:t>ueensland</w:t>
            </w:r>
          </w:p>
        </w:tc>
        <w:tc>
          <w:tcPr>
            <w:tcW w:w="992" w:type="dxa"/>
            <w:tcBorders>
              <w:top w:val="single" w:sz="4" w:space="0" w:color="000080"/>
            </w:tcBorders>
          </w:tcPr>
          <w:p w14:paraId="3FE7F8F5" w14:textId="77777777" w:rsidR="00656AFF" w:rsidRPr="006779B4" w:rsidRDefault="00656AFF" w:rsidP="00AB71A5">
            <w:pPr>
              <w:keepNext/>
              <w:keepLines/>
              <w:spacing w:before="40" w:after="40"/>
              <w:jc w:val="right"/>
            </w:pPr>
            <w:r w:rsidRPr="006779B4">
              <w:t>0.166</w:t>
            </w:r>
          </w:p>
        </w:tc>
        <w:tc>
          <w:tcPr>
            <w:tcW w:w="993" w:type="dxa"/>
            <w:tcBorders>
              <w:top w:val="single" w:sz="4" w:space="0" w:color="000080"/>
            </w:tcBorders>
          </w:tcPr>
          <w:p w14:paraId="4146AB51" w14:textId="77777777" w:rsidR="00656AFF" w:rsidRPr="006779B4" w:rsidRDefault="00656AFF" w:rsidP="00AB71A5">
            <w:pPr>
              <w:keepNext/>
              <w:keepLines/>
              <w:spacing w:before="40" w:after="40"/>
              <w:jc w:val="right"/>
            </w:pPr>
            <w:r w:rsidRPr="006779B4">
              <w:t>0.168</w:t>
            </w:r>
          </w:p>
        </w:tc>
        <w:tc>
          <w:tcPr>
            <w:tcW w:w="992" w:type="dxa"/>
            <w:tcBorders>
              <w:top w:val="single" w:sz="4" w:space="0" w:color="000080"/>
            </w:tcBorders>
          </w:tcPr>
          <w:p w14:paraId="4F2713DF" w14:textId="77777777" w:rsidR="00656AFF" w:rsidRPr="006779B4" w:rsidRDefault="00656AFF" w:rsidP="00AB71A5">
            <w:pPr>
              <w:keepNext/>
              <w:keepLines/>
              <w:spacing w:before="40" w:after="40"/>
              <w:jc w:val="right"/>
            </w:pPr>
            <w:r w:rsidRPr="006779B4">
              <w:t>0.170</w:t>
            </w:r>
          </w:p>
        </w:tc>
        <w:tc>
          <w:tcPr>
            <w:tcW w:w="850" w:type="dxa"/>
            <w:tcBorders>
              <w:top w:val="single" w:sz="4" w:space="0" w:color="000080"/>
            </w:tcBorders>
          </w:tcPr>
          <w:p w14:paraId="29323CDC" w14:textId="77777777" w:rsidR="00656AFF" w:rsidRPr="006779B4" w:rsidRDefault="00656AFF" w:rsidP="00AB71A5">
            <w:pPr>
              <w:keepNext/>
              <w:keepLines/>
              <w:spacing w:before="40" w:after="40"/>
              <w:jc w:val="right"/>
            </w:pPr>
            <w:r w:rsidRPr="006779B4">
              <w:t>0.504</w:t>
            </w:r>
          </w:p>
        </w:tc>
      </w:tr>
      <w:tr w:rsidR="007D2C3D" w14:paraId="1FC8B20A" w14:textId="77777777" w:rsidTr="00502F2C">
        <w:trPr>
          <w:cantSplit/>
        </w:trPr>
        <w:tc>
          <w:tcPr>
            <w:tcW w:w="5920" w:type="dxa"/>
          </w:tcPr>
          <w:p w14:paraId="7AAED237" w14:textId="77777777" w:rsidR="00656AFF" w:rsidRPr="006779B4" w:rsidRDefault="00656AFF" w:rsidP="00AB71A5">
            <w:pPr>
              <w:keepNext/>
              <w:keepLines/>
              <w:spacing w:before="60" w:after="60"/>
            </w:pPr>
            <w:r w:rsidRPr="006779B4">
              <w:tab/>
              <w:t>W</w:t>
            </w:r>
            <w:r>
              <w:t xml:space="preserve">estern </w:t>
            </w:r>
            <w:r w:rsidRPr="006779B4">
              <w:t>A</w:t>
            </w:r>
            <w:r>
              <w:t>ustralia</w:t>
            </w:r>
          </w:p>
        </w:tc>
        <w:tc>
          <w:tcPr>
            <w:tcW w:w="992" w:type="dxa"/>
            <w:tcBorders>
              <w:top w:val="single" w:sz="4" w:space="0" w:color="000080"/>
            </w:tcBorders>
          </w:tcPr>
          <w:p w14:paraId="1FC384E3" w14:textId="77777777" w:rsidR="00656AFF" w:rsidRPr="006779B4" w:rsidRDefault="00656AFF" w:rsidP="00AB71A5">
            <w:pPr>
              <w:keepNext/>
              <w:keepLines/>
              <w:spacing w:before="40" w:after="40"/>
              <w:jc w:val="right"/>
            </w:pPr>
            <w:r w:rsidRPr="006779B4">
              <w:t>0.084</w:t>
            </w:r>
          </w:p>
        </w:tc>
        <w:tc>
          <w:tcPr>
            <w:tcW w:w="993" w:type="dxa"/>
            <w:tcBorders>
              <w:top w:val="single" w:sz="4" w:space="0" w:color="000080"/>
            </w:tcBorders>
          </w:tcPr>
          <w:p w14:paraId="2ACDCA83" w14:textId="77777777" w:rsidR="00656AFF" w:rsidRPr="006779B4" w:rsidRDefault="00656AFF" w:rsidP="00AB71A5">
            <w:pPr>
              <w:keepNext/>
              <w:keepLines/>
              <w:spacing w:before="40" w:after="40"/>
              <w:jc w:val="right"/>
            </w:pPr>
            <w:r w:rsidRPr="006779B4">
              <w:t>0.086</w:t>
            </w:r>
          </w:p>
        </w:tc>
        <w:tc>
          <w:tcPr>
            <w:tcW w:w="992" w:type="dxa"/>
            <w:tcBorders>
              <w:top w:val="single" w:sz="4" w:space="0" w:color="000080"/>
            </w:tcBorders>
          </w:tcPr>
          <w:p w14:paraId="33DED975" w14:textId="77777777" w:rsidR="00656AFF" w:rsidRPr="006779B4" w:rsidRDefault="00656AFF" w:rsidP="00AB71A5">
            <w:pPr>
              <w:keepNext/>
              <w:keepLines/>
              <w:spacing w:before="40" w:after="40"/>
              <w:jc w:val="right"/>
            </w:pPr>
            <w:r w:rsidRPr="006779B4">
              <w:t>0.087</w:t>
            </w:r>
          </w:p>
        </w:tc>
        <w:tc>
          <w:tcPr>
            <w:tcW w:w="850" w:type="dxa"/>
            <w:tcBorders>
              <w:top w:val="single" w:sz="4" w:space="0" w:color="000080"/>
            </w:tcBorders>
          </w:tcPr>
          <w:p w14:paraId="07493D7E" w14:textId="77777777" w:rsidR="00656AFF" w:rsidRPr="006779B4" w:rsidRDefault="00656AFF" w:rsidP="00AB71A5">
            <w:pPr>
              <w:keepNext/>
              <w:keepLines/>
              <w:spacing w:before="40" w:after="40"/>
              <w:jc w:val="right"/>
            </w:pPr>
            <w:r w:rsidRPr="006779B4">
              <w:t>0.257</w:t>
            </w:r>
          </w:p>
        </w:tc>
      </w:tr>
      <w:tr w:rsidR="007D2C3D" w14:paraId="48548D15" w14:textId="77777777" w:rsidTr="00502F2C">
        <w:trPr>
          <w:cantSplit/>
        </w:trPr>
        <w:tc>
          <w:tcPr>
            <w:tcW w:w="5920" w:type="dxa"/>
          </w:tcPr>
          <w:p w14:paraId="7162E400" w14:textId="77777777" w:rsidR="00656AFF" w:rsidRPr="006779B4" w:rsidRDefault="00656AFF" w:rsidP="00AB71A5">
            <w:pPr>
              <w:keepNext/>
              <w:keepLines/>
              <w:spacing w:before="60" w:after="60"/>
            </w:pPr>
            <w:r w:rsidRPr="006779B4">
              <w:tab/>
              <w:t>S</w:t>
            </w:r>
            <w:r>
              <w:t xml:space="preserve">outh </w:t>
            </w:r>
            <w:r w:rsidRPr="006779B4">
              <w:t>A</w:t>
            </w:r>
            <w:r>
              <w:t>ustralia</w:t>
            </w:r>
          </w:p>
        </w:tc>
        <w:tc>
          <w:tcPr>
            <w:tcW w:w="992" w:type="dxa"/>
            <w:tcBorders>
              <w:top w:val="single" w:sz="4" w:space="0" w:color="000080"/>
            </w:tcBorders>
          </w:tcPr>
          <w:p w14:paraId="79D1C0F1" w14:textId="77777777" w:rsidR="00656AFF" w:rsidRPr="006779B4" w:rsidRDefault="00656AFF" w:rsidP="00AB71A5">
            <w:pPr>
              <w:keepNext/>
              <w:keepLines/>
              <w:spacing w:before="40" w:after="40"/>
              <w:jc w:val="right"/>
            </w:pPr>
            <w:r w:rsidRPr="006779B4">
              <w:t>0.081</w:t>
            </w:r>
          </w:p>
        </w:tc>
        <w:tc>
          <w:tcPr>
            <w:tcW w:w="993" w:type="dxa"/>
            <w:tcBorders>
              <w:top w:val="single" w:sz="4" w:space="0" w:color="000080"/>
            </w:tcBorders>
          </w:tcPr>
          <w:p w14:paraId="7EE3E1CC" w14:textId="77777777" w:rsidR="00656AFF" w:rsidRPr="006779B4" w:rsidRDefault="00656AFF" w:rsidP="00AB71A5">
            <w:pPr>
              <w:keepNext/>
              <w:keepLines/>
              <w:spacing w:before="40" w:after="40"/>
              <w:jc w:val="right"/>
            </w:pPr>
            <w:r w:rsidRPr="006779B4">
              <w:t>0.082</w:t>
            </w:r>
          </w:p>
        </w:tc>
        <w:tc>
          <w:tcPr>
            <w:tcW w:w="992" w:type="dxa"/>
            <w:tcBorders>
              <w:top w:val="single" w:sz="4" w:space="0" w:color="000080"/>
            </w:tcBorders>
          </w:tcPr>
          <w:p w14:paraId="075A3FE1" w14:textId="77777777" w:rsidR="00656AFF" w:rsidRPr="006779B4" w:rsidRDefault="00656AFF" w:rsidP="00AB71A5">
            <w:pPr>
              <w:keepNext/>
              <w:keepLines/>
              <w:spacing w:before="40" w:after="40"/>
              <w:jc w:val="right"/>
            </w:pPr>
            <w:r w:rsidRPr="006779B4">
              <w:t>0.084</w:t>
            </w:r>
          </w:p>
        </w:tc>
        <w:tc>
          <w:tcPr>
            <w:tcW w:w="850" w:type="dxa"/>
            <w:tcBorders>
              <w:top w:val="single" w:sz="4" w:space="0" w:color="000080"/>
            </w:tcBorders>
          </w:tcPr>
          <w:p w14:paraId="2C515C74" w14:textId="77777777" w:rsidR="00656AFF" w:rsidRPr="006779B4" w:rsidRDefault="00656AFF" w:rsidP="00AB71A5">
            <w:pPr>
              <w:keepNext/>
              <w:keepLines/>
              <w:spacing w:before="40" w:after="40"/>
              <w:jc w:val="right"/>
            </w:pPr>
            <w:r w:rsidRPr="006779B4">
              <w:t>0.247</w:t>
            </w:r>
          </w:p>
        </w:tc>
      </w:tr>
      <w:tr w:rsidR="007D2C3D" w14:paraId="33E0E862" w14:textId="77777777" w:rsidTr="00502F2C">
        <w:trPr>
          <w:cantSplit/>
        </w:trPr>
        <w:tc>
          <w:tcPr>
            <w:tcW w:w="5920" w:type="dxa"/>
          </w:tcPr>
          <w:p w14:paraId="6EB52848" w14:textId="77777777" w:rsidR="00656AFF" w:rsidRPr="006779B4" w:rsidRDefault="00656AFF" w:rsidP="00656AFF">
            <w:pPr>
              <w:keepNext/>
              <w:keepLines/>
              <w:spacing w:before="60" w:after="60"/>
            </w:pPr>
            <w:r w:rsidRPr="006779B4">
              <w:tab/>
              <w:t>T</w:t>
            </w:r>
            <w:r>
              <w:t>asmania</w:t>
            </w:r>
          </w:p>
        </w:tc>
        <w:tc>
          <w:tcPr>
            <w:tcW w:w="992" w:type="dxa"/>
            <w:tcBorders>
              <w:top w:val="single" w:sz="4" w:space="0" w:color="000080"/>
            </w:tcBorders>
          </w:tcPr>
          <w:p w14:paraId="36D74133" w14:textId="77777777" w:rsidR="00656AFF" w:rsidRPr="006779B4" w:rsidRDefault="00656AFF" w:rsidP="00AB71A5">
            <w:pPr>
              <w:keepNext/>
              <w:keepLines/>
              <w:spacing w:before="40" w:after="40"/>
              <w:jc w:val="right"/>
            </w:pPr>
            <w:r w:rsidRPr="006779B4">
              <w:t>0.036</w:t>
            </w:r>
          </w:p>
        </w:tc>
        <w:tc>
          <w:tcPr>
            <w:tcW w:w="993" w:type="dxa"/>
            <w:tcBorders>
              <w:top w:val="single" w:sz="4" w:space="0" w:color="000080"/>
            </w:tcBorders>
          </w:tcPr>
          <w:p w14:paraId="7AED22B5" w14:textId="77777777" w:rsidR="00656AFF" w:rsidRPr="006779B4" w:rsidRDefault="00656AFF" w:rsidP="00AB71A5">
            <w:pPr>
              <w:keepNext/>
              <w:keepLines/>
              <w:spacing w:before="40" w:after="40"/>
              <w:jc w:val="right"/>
            </w:pPr>
            <w:r w:rsidRPr="006779B4">
              <w:t>0.037</w:t>
            </w:r>
          </w:p>
        </w:tc>
        <w:tc>
          <w:tcPr>
            <w:tcW w:w="992" w:type="dxa"/>
            <w:tcBorders>
              <w:top w:val="single" w:sz="4" w:space="0" w:color="000080"/>
            </w:tcBorders>
          </w:tcPr>
          <w:p w14:paraId="76596A25" w14:textId="77777777" w:rsidR="00656AFF" w:rsidRPr="006779B4" w:rsidRDefault="00656AFF" w:rsidP="00AB71A5">
            <w:pPr>
              <w:keepNext/>
              <w:keepLines/>
              <w:spacing w:before="40" w:after="40"/>
              <w:jc w:val="right"/>
            </w:pPr>
            <w:r w:rsidRPr="006779B4">
              <w:t>0.038</w:t>
            </w:r>
          </w:p>
        </w:tc>
        <w:tc>
          <w:tcPr>
            <w:tcW w:w="850" w:type="dxa"/>
            <w:tcBorders>
              <w:top w:val="single" w:sz="4" w:space="0" w:color="000080"/>
            </w:tcBorders>
          </w:tcPr>
          <w:p w14:paraId="5F49F8F6" w14:textId="77777777" w:rsidR="00656AFF" w:rsidRPr="006779B4" w:rsidRDefault="00656AFF" w:rsidP="00AB71A5">
            <w:pPr>
              <w:keepNext/>
              <w:keepLines/>
              <w:spacing w:before="40" w:after="40"/>
              <w:jc w:val="right"/>
            </w:pPr>
            <w:r w:rsidRPr="006779B4">
              <w:t>0.111</w:t>
            </w:r>
          </w:p>
        </w:tc>
      </w:tr>
      <w:tr w:rsidR="007D2C3D" w14:paraId="52E78851" w14:textId="77777777" w:rsidTr="00502F2C">
        <w:trPr>
          <w:cantSplit/>
        </w:trPr>
        <w:tc>
          <w:tcPr>
            <w:tcW w:w="5920" w:type="dxa"/>
          </w:tcPr>
          <w:p w14:paraId="563FCA79" w14:textId="77777777" w:rsidR="00656AFF" w:rsidRPr="006779B4" w:rsidRDefault="00656AFF" w:rsidP="00AB71A5">
            <w:pPr>
              <w:keepNext/>
              <w:keepLines/>
              <w:spacing w:before="60" w:after="60"/>
            </w:pPr>
            <w:r w:rsidRPr="006779B4">
              <w:tab/>
              <w:t>A</w:t>
            </w:r>
            <w:r w:rsidR="006904F7">
              <w:t xml:space="preserve">ustralian </w:t>
            </w:r>
            <w:r w:rsidRPr="006779B4">
              <w:t>C</w:t>
            </w:r>
            <w:r w:rsidR="006904F7">
              <w:t xml:space="preserve">apital </w:t>
            </w:r>
            <w:r w:rsidRPr="006779B4">
              <w:t>T</w:t>
            </w:r>
            <w:r w:rsidR="006904F7">
              <w:t>erritory</w:t>
            </w:r>
          </w:p>
        </w:tc>
        <w:tc>
          <w:tcPr>
            <w:tcW w:w="992" w:type="dxa"/>
            <w:tcBorders>
              <w:top w:val="single" w:sz="4" w:space="0" w:color="000080"/>
              <w:bottom w:val="single" w:sz="4" w:space="0" w:color="000080"/>
            </w:tcBorders>
          </w:tcPr>
          <w:p w14:paraId="684759BF" w14:textId="77777777" w:rsidR="00656AFF" w:rsidRPr="006779B4" w:rsidRDefault="00656AFF" w:rsidP="00AB71A5">
            <w:pPr>
              <w:keepNext/>
              <w:keepLines/>
              <w:spacing w:before="40" w:after="40"/>
              <w:jc w:val="right"/>
            </w:pPr>
            <w:r w:rsidRPr="006779B4">
              <w:t>0.036</w:t>
            </w:r>
          </w:p>
        </w:tc>
        <w:tc>
          <w:tcPr>
            <w:tcW w:w="993" w:type="dxa"/>
            <w:tcBorders>
              <w:top w:val="single" w:sz="4" w:space="0" w:color="000080"/>
              <w:bottom w:val="single" w:sz="4" w:space="0" w:color="000080"/>
            </w:tcBorders>
          </w:tcPr>
          <w:p w14:paraId="144AF3C5" w14:textId="77777777" w:rsidR="00656AFF" w:rsidRPr="006779B4" w:rsidRDefault="00656AFF" w:rsidP="00AB71A5">
            <w:pPr>
              <w:keepNext/>
              <w:keepLines/>
              <w:spacing w:before="40" w:after="40"/>
              <w:jc w:val="right"/>
            </w:pPr>
            <w:r w:rsidRPr="006779B4">
              <w:t>0.037</w:t>
            </w:r>
          </w:p>
        </w:tc>
        <w:tc>
          <w:tcPr>
            <w:tcW w:w="992" w:type="dxa"/>
            <w:tcBorders>
              <w:top w:val="single" w:sz="4" w:space="0" w:color="000080"/>
              <w:bottom w:val="single" w:sz="4" w:space="0" w:color="000080"/>
            </w:tcBorders>
          </w:tcPr>
          <w:p w14:paraId="1A7677F4" w14:textId="77777777" w:rsidR="00656AFF" w:rsidRPr="006779B4" w:rsidRDefault="00656AFF" w:rsidP="00AB71A5">
            <w:pPr>
              <w:keepNext/>
              <w:keepLines/>
              <w:spacing w:before="40" w:after="40"/>
              <w:jc w:val="right"/>
            </w:pPr>
            <w:r w:rsidRPr="006779B4">
              <w:t>0.038</w:t>
            </w:r>
          </w:p>
        </w:tc>
        <w:tc>
          <w:tcPr>
            <w:tcW w:w="850" w:type="dxa"/>
            <w:tcBorders>
              <w:top w:val="single" w:sz="4" w:space="0" w:color="000080"/>
              <w:bottom w:val="single" w:sz="4" w:space="0" w:color="000080"/>
            </w:tcBorders>
          </w:tcPr>
          <w:p w14:paraId="4DE485A2" w14:textId="77777777" w:rsidR="00656AFF" w:rsidRPr="006779B4" w:rsidRDefault="00656AFF" w:rsidP="00AB71A5">
            <w:pPr>
              <w:keepNext/>
              <w:keepLines/>
              <w:spacing w:before="40" w:after="40"/>
              <w:jc w:val="right"/>
            </w:pPr>
            <w:r w:rsidRPr="006779B4">
              <w:t>0.111</w:t>
            </w:r>
          </w:p>
        </w:tc>
      </w:tr>
      <w:tr w:rsidR="007D2C3D" w14:paraId="203CA12E" w14:textId="77777777" w:rsidTr="00502F2C">
        <w:trPr>
          <w:cantSplit/>
        </w:trPr>
        <w:tc>
          <w:tcPr>
            <w:tcW w:w="5920" w:type="dxa"/>
          </w:tcPr>
          <w:p w14:paraId="17657DEB" w14:textId="77777777" w:rsidR="00656AFF" w:rsidRPr="006779B4" w:rsidRDefault="00656AFF" w:rsidP="00AB71A5">
            <w:pPr>
              <w:keepNext/>
              <w:keepLines/>
              <w:spacing w:before="60" w:after="60"/>
            </w:pPr>
            <w:r w:rsidRPr="006779B4">
              <w:tab/>
              <w:t>N</w:t>
            </w:r>
            <w:r w:rsidR="006904F7">
              <w:t xml:space="preserve">orthern </w:t>
            </w:r>
            <w:r w:rsidRPr="006779B4">
              <w:t>T</w:t>
            </w:r>
            <w:r w:rsidR="006904F7">
              <w:t>erritory</w:t>
            </w:r>
          </w:p>
        </w:tc>
        <w:tc>
          <w:tcPr>
            <w:tcW w:w="992" w:type="dxa"/>
            <w:tcBorders>
              <w:top w:val="single" w:sz="4" w:space="0" w:color="000080"/>
              <w:bottom w:val="single" w:sz="4" w:space="0" w:color="000080"/>
            </w:tcBorders>
          </w:tcPr>
          <w:p w14:paraId="2B9C68D4" w14:textId="77777777" w:rsidR="00656AFF" w:rsidRPr="006779B4" w:rsidRDefault="00656AFF" w:rsidP="00AB71A5">
            <w:pPr>
              <w:keepNext/>
              <w:keepLines/>
              <w:spacing w:before="40" w:after="40"/>
              <w:jc w:val="right"/>
            </w:pPr>
            <w:r w:rsidRPr="006779B4">
              <w:t>0.048</w:t>
            </w:r>
          </w:p>
        </w:tc>
        <w:tc>
          <w:tcPr>
            <w:tcW w:w="993" w:type="dxa"/>
            <w:tcBorders>
              <w:top w:val="single" w:sz="4" w:space="0" w:color="000080"/>
              <w:bottom w:val="single" w:sz="4" w:space="0" w:color="000080"/>
            </w:tcBorders>
          </w:tcPr>
          <w:p w14:paraId="2A6E594B" w14:textId="77777777" w:rsidR="00656AFF" w:rsidRPr="006779B4" w:rsidRDefault="00656AFF" w:rsidP="00AB71A5">
            <w:pPr>
              <w:keepNext/>
              <w:keepLines/>
              <w:spacing w:before="40" w:after="40"/>
              <w:jc w:val="right"/>
            </w:pPr>
            <w:r w:rsidRPr="006779B4">
              <w:t>0.050</w:t>
            </w:r>
          </w:p>
        </w:tc>
        <w:tc>
          <w:tcPr>
            <w:tcW w:w="992" w:type="dxa"/>
            <w:tcBorders>
              <w:top w:val="single" w:sz="4" w:space="0" w:color="000080"/>
              <w:bottom w:val="single" w:sz="4" w:space="0" w:color="000080"/>
            </w:tcBorders>
          </w:tcPr>
          <w:p w14:paraId="666468A3" w14:textId="77777777" w:rsidR="00656AFF" w:rsidRPr="006779B4" w:rsidRDefault="00656AFF" w:rsidP="00AB71A5">
            <w:pPr>
              <w:keepNext/>
              <w:keepLines/>
              <w:spacing w:before="40" w:after="40"/>
              <w:jc w:val="right"/>
            </w:pPr>
            <w:r w:rsidRPr="006779B4">
              <w:t>0.052</w:t>
            </w:r>
          </w:p>
        </w:tc>
        <w:tc>
          <w:tcPr>
            <w:tcW w:w="850" w:type="dxa"/>
            <w:tcBorders>
              <w:top w:val="single" w:sz="4" w:space="0" w:color="000080"/>
              <w:bottom w:val="single" w:sz="4" w:space="0" w:color="000080"/>
            </w:tcBorders>
          </w:tcPr>
          <w:p w14:paraId="350F1F9D" w14:textId="77777777" w:rsidR="00656AFF" w:rsidRPr="006779B4" w:rsidRDefault="00656AFF" w:rsidP="00AB71A5">
            <w:pPr>
              <w:keepNext/>
              <w:keepLines/>
              <w:spacing w:before="40" w:after="40"/>
              <w:jc w:val="right"/>
            </w:pPr>
            <w:r w:rsidRPr="006779B4">
              <w:t>0.150</w:t>
            </w:r>
          </w:p>
        </w:tc>
      </w:tr>
      <w:tr w:rsidR="007D2C3D" w14:paraId="6B5CE36E" w14:textId="77777777" w:rsidTr="00502F2C">
        <w:trPr>
          <w:cantSplit/>
        </w:trPr>
        <w:tc>
          <w:tcPr>
            <w:tcW w:w="5920" w:type="dxa"/>
          </w:tcPr>
          <w:p w14:paraId="51001EB4" w14:textId="77777777" w:rsidR="00656AFF" w:rsidRPr="004A673A" w:rsidRDefault="00656AFF" w:rsidP="00AB71A5">
            <w:pPr>
              <w:keepNext/>
              <w:keepLines/>
              <w:spacing w:before="60" w:after="60"/>
            </w:pPr>
            <w:r>
              <w:t>Less estimated National Partnership Payments</w:t>
            </w:r>
          </w:p>
        </w:tc>
        <w:tc>
          <w:tcPr>
            <w:tcW w:w="992" w:type="dxa"/>
            <w:tcBorders>
              <w:top w:val="single" w:sz="4" w:space="0" w:color="000080"/>
              <w:bottom w:val="single" w:sz="4" w:space="0" w:color="000080"/>
            </w:tcBorders>
          </w:tcPr>
          <w:p w14:paraId="0CA6B3B0" w14:textId="77777777" w:rsidR="00656AFF" w:rsidRPr="005B4C1B" w:rsidRDefault="00656AFF" w:rsidP="00AB71A5">
            <w:pPr>
              <w:keepNext/>
              <w:keepLines/>
              <w:spacing w:before="40" w:after="40"/>
              <w:jc w:val="right"/>
            </w:pPr>
            <w:r>
              <w:rPr>
                <w:b/>
              </w:rPr>
              <w:t>0.849</w:t>
            </w:r>
          </w:p>
        </w:tc>
        <w:tc>
          <w:tcPr>
            <w:tcW w:w="993" w:type="dxa"/>
            <w:tcBorders>
              <w:top w:val="single" w:sz="4" w:space="0" w:color="000080"/>
              <w:bottom w:val="single" w:sz="4" w:space="0" w:color="000080"/>
            </w:tcBorders>
          </w:tcPr>
          <w:p w14:paraId="724827AC" w14:textId="77777777" w:rsidR="00656AFF" w:rsidRPr="005B4C1B" w:rsidRDefault="00656AFF" w:rsidP="00AB71A5">
            <w:pPr>
              <w:keepNext/>
              <w:keepLines/>
              <w:spacing w:before="40" w:after="40"/>
              <w:jc w:val="right"/>
            </w:pPr>
            <w:r>
              <w:rPr>
                <w:b/>
              </w:rPr>
              <w:t>0.862</w:t>
            </w:r>
          </w:p>
        </w:tc>
        <w:tc>
          <w:tcPr>
            <w:tcW w:w="992" w:type="dxa"/>
            <w:tcBorders>
              <w:top w:val="single" w:sz="4" w:space="0" w:color="000080"/>
              <w:bottom w:val="single" w:sz="4" w:space="0" w:color="000080"/>
            </w:tcBorders>
          </w:tcPr>
          <w:p w14:paraId="5526EF4A" w14:textId="77777777" w:rsidR="00656AFF" w:rsidRPr="005B4C1B" w:rsidRDefault="00656AFF" w:rsidP="00AB71A5">
            <w:pPr>
              <w:keepNext/>
              <w:keepLines/>
              <w:spacing w:before="40" w:after="40"/>
              <w:jc w:val="right"/>
            </w:pPr>
            <w:r>
              <w:rPr>
                <w:b/>
              </w:rPr>
              <w:t>0.876</w:t>
            </w:r>
          </w:p>
        </w:tc>
        <w:tc>
          <w:tcPr>
            <w:tcW w:w="850" w:type="dxa"/>
            <w:tcBorders>
              <w:top w:val="single" w:sz="4" w:space="0" w:color="000080"/>
              <w:bottom w:val="single" w:sz="4" w:space="0" w:color="000080"/>
            </w:tcBorders>
          </w:tcPr>
          <w:p w14:paraId="51B6C2D2" w14:textId="77777777" w:rsidR="00656AFF" w:rsidRPr="005B4C1B" w:rsidRDefault="00656AFF" w:rsidP="00AB71A5">
            <w:pPr>
              <w:keepNext/>
              <w:keepLines/>
              <w:spacing w:before="40" w:after="40"/>
              <w:jc w:val="right"/>
            </w:pPr>
            <w:r>
              <w:rPr>
                <w:b/>
              </w:rPr>
              <w:t>2.587</w:t>
            </w:r>
          </w:p>
        </w:tc>
      </w:tr>
      <w:tr w:rsidR="007D2C3D" w14:paraId="73B90EDF" w14:textId="77777777" w:rsidTr="00502F2C">
        <w:trPr>
          <w:cantSplit/>
        </w:trPr>
        <w:tc>
          <w:tcPr>
            <w:tcW w:w="5920" w:type="dxa"/>
            <w:tcBorders>
              <w:bottom w:val="single" w:sz="4" w:space="0" w:color="000080"/>
            </w:tcBorders>
          </w:tcPr>
          <w:p w14:paraId="658DD770" w14:textId="77777777" w:rsidR="00656AFF" w:rsidRPr="006146F2" w:rsidRDefault="00656AFF" w:rsidP="00AB71A5">
            <w:pPr>
              <w:keepNext/>
              <w:keepLines/>
              <w:spacing w:before="40" w:after="40"/>
            </w:pPr>
            <w:r w:rsidRPr="006146F2">
              <w:t>Balance of non-Commonwealth contribution</w:t>
            </w:r>
            <w:r>
              <w:t>s</w:t>
            </w:r>
          </w:p>
        </w:tc>
        <w:tc>
          <w:tcPr>
            <w:tcW w:w="992" w:type="dxa"/>
            <w:tcBorders>
              <w:bottom w:val="single" w:sz="4" w:space="0" w:color="000080"/>
            </w:tcBorders>
          </w:tcPr>
          <w:p w14:paraId="0D8ED3DC" w14:textId="77777777" w:rsidR="00656AFF" w:rsidRDefault="00656AFF" w:rsidP="00AB71A5">
            <w:pPr>
              <w:keepNext/>
              <w:keepLines/>
              <w:spacing w:before="40" w:after="40"/>
              <w:jc w:val="right"/>
            </w:pPr>
            <w:r>
              <w:t>0.0</w:t>
            </w:r>
          </w:p>
        </w:tc>
        <w:tc>
          <w:tcPr>
            <w:tcW w:w="993" w:type="dxa"/>
            <w:tcBorders>
              <w:bottom w:val="single" w:sz="4" w:space="0" w:color="000080"/>
            </w:tcBorders>
          </w:tcPr>
          <w:p w14:paraId="3B624F2D" w14:textId="77777777" w:rsidR="00656AFF" w:rsidRDefault="00656AFF" w:rsidP="00AB71A5">
            <w:pPr>
              <w:keepNext/>
              <w:keepLines/>
              <w:spacing w:before="40" w:after="40"/>
              <w:jc w:val="right"/>
            </w:pPr>
            <w:r>
              <w:t>0.0</w:t>
            </w:r>
          </w:p>
        </w:tc>
        <w:tc>
          <w:tcPr>
            <w:tcW w:w="992" w:type="dxa"/>
            <w:tcBorders>
              <w:bottom w:val="single" w:sz="4" w:space="0" w:color="000080"/>
            </w:tcBorders>
          </w:tcPr>
          <w:p w14:paraId="45844A4A" w14:textId="77777777" w:rsidR="00656AFF" w:rsidRDefault="00656AFF" w:rsidP="00AB71A5">
            <w:pPr>
              <w:keepNext/>
              <w:keepLines/>
              <w:spacing w:before="40" w:after="40"/>
              <w:jc w:val="right"/>
            </w:pPr>
            <w:r>
              <w:t>0.0</w:t>
            </w:r>
          </w:p>
        </w:tc>
        <w:tc>
          <w:tcPr>
            <w:tcW w:w="850" w:type="dxa"/>
            <w:tcBorders>
              <w:bottom w:val="single" w:sz="4" w:space="0" w:color="000080"/>
            </w:tcBorders>
          </w:tcPr>
          <w:p w14:paraId="7F22C3A8" w14:textId="77777777" w:rsidR="00656AFF" w:rsidRDefault="00656AFF" w:rsidP="00AB71A5">
            <w:pPr>
              <w:keepNext/>
              <w:keepLines/>
              <w:spacing w:before="40" w:after="40"/>
              <w:jc w:val="right"/>
            </w:pPr>
            <w:r>
              <w:t>0.0</w:t>
            </w:r>
          </w:p>
        </w:tc>
      </w:tr>
    </w:tbl>
    <w:p w14:paraId="1D7C712F" w14:textId="77777777" w:rsidR="008E7527" w:rsidRDefault="008E7527" w:rsidP="00E6313E">
      <w:pPr>
        <w:pStyle w:val="ChartandTableFootnoteAlpha"/>
        <w:numPr>
          <w:ilvl w:val="0"/>
          <w:numId w:val="0"/>
        </w:numPr>
        <w:spacing w:after="240"/>
        <w:ind w:left="283" w:hanging="283"/>
      </w:pPr>
    </w:p>
    <w:p w14:paraId="4A0EC867" w14:textId="77777777" w:rsidR="008E7527" w:rsidRDefault="008E7527" w:rsidP="009F3AC5">
      <w:pPr>
        <w:pStyle w:val="Normalnumbered"/>
        <w:numPr>
          <w:ilvl w:val="0"/>
          <w:numId w:val="12"/>
        </w:numPr>
      </w:pPr>
      <w:r w:rsidRPr="00C738BD">
        <w:t xml:space="preserve">Having regard to the agreed estimated costs of projects specified in </w:t>
      </w:r>
      <w:r w:rsidR="006B43AF">
        <w:t>this</w:t>
      </w:r>
      <w:r>
        <w:t xml:space="preserve"> Agreement</w:t>
      </w:r>
      <w:r w:rsidRPr="00C738BD">
        <w:t>, a State or Territory will not be required to pay a refund to the Commonwealth if the actual cost of the project is less than the agreed</w:t>
      </w:r>
      <w:r w:rsidR="00515AF2">
        <w:t xml:space="preserve"> </w:t>
      </w:r>
      <w:r w:rsidR="00027701">
        <w:t xml:space="preserve">estimated cost of the project.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342AF754" w14:textId="77777777" w:rsidR="00814667" w:rsidRDefault="003A2157">
      <w:pPr>
        <w:pStyle w:val="Heading1"/>
      </w:pPr>
      <w:bookmarkStart w:id="1" w:name="top"/>
      <w:bookmarkEnd w:id="1"/>
      <w:r>
        <w:t xml:space="preserve">Part </w:t>
      </w:r>
      <w:r w:rsidR="000B4080">
        <w:t>6</w:t>
      </w:r>
      <w:r w:rsidR="00814667">
        <w:t xml:space="preserve"> — governance arrangements</w:t>
      </w:r>
    </w:p>
    <w:p w14:paraId="6F5F182C" w14:textId="77777777" w:rsidR="00BC4728" w:rsidRDefault="00BC4728" w:rsidP="00BC4728">
      <w:pPr>
        <w:pStyle w:val="Heading2"/>
      </w:pPr>
      <w:r w:rsidRPr="006F096A">
        <w:t>Enforceability of the Agreement</w:t>
      </w:r>
    </w:p>
    <w:p w14:paraId="2E2F34D7" w14:textId="77777777" w:rsidR="00BC4728" w:rsidRPr="00C40EBC" w:rsidRDefault="00BC4728" w:rsidP="009F3AC5">
      <w:pPr>
        <w:pStyle w:val="Normalnumbered"/>
        <w:numPr>
          <w:ilvl w:val="0"/>
          <w:numId w:val="12"/>
        </w:numPr>
        <w:spacing w:line="240" w:lineRule="auto"/>
      </w:pPr>
      <w:r>
        <w:rPr>
          <w:szCs w:val="23"/>
        </w:rPr>
        <w:t>The Parties do not intend any of the provisions of this Agreement to be legally enforceable. However, that does not lessen the Parties’ commitment to this Agreement.</w:t>
      </w:r>
    </w:p>
    <w:p w14:paraId="640AE250" w14:textId="77777777" w:rsidR="00814667" w:rsidRDefault="00814667">
      <w:pPr>
        <w:pStyle w:val="Heading2"/>
      </w:pPr>
      <w:r>
        <w:t>Variation of the Agreement</w:t>
      </w:r>
    </w:p>
    <w:p w14:paraId="1098F879" w14:textId="77777777" w:rsidR="00814667" w:rsidRPr="00DE36EB" w:rsidRDefault="00607B03" w:rsidP="009F3AC5">
      <w:pPr>
        <w:pStyle w:val="Normalnumbered"/>
        <w:numPr>
          <w:ilvl w:val="0"/>
          <w:numId w:val="12"/>
        </w:numPr>
      </w:pPr>
      <w:r>
        <w:t>The A</w:t>
      </w:r>
      <w:r w:rsidR="00814667">
        <w:t xml:space="preserve">greement may be amended at any time by agreement in writing by </w:t>
      </w:r>
      <w:r w:rsidR="00814667" w:rsidRPr="00DE36EB">
        <w:t>all the Parties.</w:t>
      </w:r>
    </w:p>
    <w:p w14:paraId="5780F287" w14:textId="77777777" w:rsidR="00292587" w:rsidRDefault="00C747CE" w:rsidP="009F3AC5">
      <w:pPr>
        <w:pStyle w:val="Normalnumbered"/>
        <w:numPr>
          <w:ilvl w:val="0"/>
          <w:numId w:val="12"/>
        </w:numPr>
      </w:pPr>
      <w:r w:rsidRPr="00DE36EB">
        <w:t xml:space="preserve"> </w:t>
      </w:r>
      <w:r w:rsidR="00C2605C" w:rsidRPr="00DE36EB">
        <w:t xml:space="preserve">A </w:t>
      </w:r>
      <w:r w:rsidR="00814667" w:rsidRPr="00DE36EB">
        <w:t>Party to the Agreement may terminate their part</w:t>
      </w:r>
      <w:r w:rsidR="00814667">
        <w:t xml:space="preserve">icipation in the Agreement at any time by notifying all </w:t>
      </w:r>
      <w:r w:rsidR="00C2605C">
        <w:t xml:space="preserve">Parties </w:t>
      </w:r>
      <w:r w:rsidR="00814667">
        <w:t>in writing.</w:t>
      </w:r>
    </w:p>
    <w:p w14:paraId="08E50435" w14:textId="77777777" w:rsidR="009526E4" w:rsidRDefault="009526E4" w:rsidP="0036119D">
      <w:pPr>
        <w:pStyle w:val="Heading2"/>
      </w:pPr>
      <w:r>
        <w:t>Delegations</w:t>
      </w:r>
    </w:p>
    <w:p w14:paraId="54DF0C97" w14:textId="77777777" w:rsidR="009526E4" w:rsidRDefault="009526E4" w:rsidP="009F3AC5">
      <w:pPr>
        <w:pStyle w:val="Normalnumbered"/>
        <w:numPr>
          <w:ilvl w:val="0"/>
          <w:numId w:val="23"/>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0BF2E48F" w14:textId="77777777" w:rsidR="0036119D" w:rsidRDefault="0036119D" w:rsidP="0036119D">
      <w:pPr>
        <w:pStyle w:val="Heading2"/>
      </w:pPr>
      <w:r>
        <w:t>Dispute resolution</w:t>
      </w:r>
    </w:p>
    <w:p w14:paraId="0037046A" w14:textId="77777777" w:rsidR="0036119D" w:rsidRPr="00DE36EB" w:rsidRDefault="00A14313" w:rsidP="009F3AC5">
      <w:pPr>
        <w:pStyle w:val="Normalnumbered"/>
        <w:numPr>
          <w:ilvl w:val="0"/>
          <w:numId w:val="23"/>
        </w:numPr>
      </w:pPr>
      <w:r w:rsidRPr="00DE36EB">
        <w:t xml:space="preserve"> </w:t>
      </w:r>
      <w:r w:rsidR="0036119D" w:rsidRPr="00DE36EB">
        <w:t xml:space="preserve">Any Party may give notice to other </w:t>
      </w:r>
      <w:r>
        <w:t>Parties</w:t>
      </w:r>
      <w:r w:rsidR="00684EC1" w:rsidRPr="00DE36EB">
        <w:t xml:space="preserve"> </w:t>
      </w:r>
      <w:r w:rsidR="0036119D" w:rsidRPr="00DE36EB">
        <w:t>of a dispute under this Agreement.</w:t>
      </w:r>
    </w:p>
    <w:p w14:paraId="59B10E67" w14:textId="77777777" w:rsidR="0036119D" w:rsidRPr="00DE36EB" w:rsidRDefault="0036119D" w:rsidP="009F3AC5">
      <w:pPr>
        <w:pStyle w:val="Normalnumbered"/>
        <w:numPr>
          <w:ilvl w:val="0"/>
          <w:numId w:val="23"/>
        </w:numPr>
      </w:pPr>
      <w:r w:rsidRPr="00DE36EB">
        <w:t>Officials of relevant Parties will attempt to resolve any dispute in the first instance.</w:t>
      </w:r>
    </w:p>
    <w:p w14:paraId="78827296" w14:textId="77777777" w:rsidR="0036119D" w:rsidRPr="00FB6A2E" w:rsidRDefault="0036119D" w:rsidP="00BB171F">
      <w:pPr>
        <w:pStyle w:val="Normalnumbered"/>
        <w:numPr>
          <w:ilvl w:val="0"/>
          <w:numId w:val="23"/>
        </w:numPr>
      </w:pPr>
      <w:r w:rsidRPr="00DE36EB">
        <w:t>If a dispute cannot be resolved by officials, it may be escalated to the relevant Ministers.</w:t>
      </w:r>
    </w:p>
    <w:p w14:paraId="3F72E5AB" w14:textId="77777777" w:rsidR="0036119D" w:rsidRDefault="0036119D" w:rsidP="00BB171F">
      <w:pPr>
        <w:pStyle w:val="Normalnumbered"/>
        <w:numPr>
          <w:ilvl w:val="0"/>
          <w:numId w:val="23"/>
        </w:numPr>
        <w:sectPr w:rsidR="0036119D" w:rsidSect="00CB6703">
          <w:headerReference w:type="even" r:id="rId15"/>
          <w:headerReference w:type="default" r:id="rId16"/>
          <w:footerReference w:type="even" r:id="rId17"/>
          <w:footerReference w:type="default" r:id="rId18"/>
          <w:footerReference w:type="first" r:id="rId19"/>
          <w:pgSz w:w="11906" w:h="16838" w:code="9"/>
          <w:pgMar w:top="1134" w:right="1134" w:bottom="1134" w:left="1134" w:header="709" w:footer="709" w:gutter="0"/>
          <w:cols w:space="708"/>
          <w:titlePg/>
          <w:docGrid w:linePitch="360"/>
        </w:sectPr>
      </w:pPr>
    </w:p>
    <w:p w14:paraId="35E1B0A8"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2E5111C6" w14:textId="77777777">
        <w:trPr>
          <w:cantSplit/>
          <w:jc w:val="center"/>
        </w:trPr>
        <w:tc>
          <w:tcPr>
            <w:tcW w:w="4536" w:type="dxa"/>
          </w:tcPr>
          <w:p w14:paraId="2E42E736"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57ACD5B6" w14:textId="77777777" w:rsidR="00814667" w:rsidRPr="00A50751" w:rsidRDefault="00814667">
            <w:pPr>
              <w:pStyle w:val="LineForSignature"/>
            </w:pPr>
            <w:r>
              <w:tab/>
            </w:r>
          </w:p>
          <w:p w14:paraId="1C8F91D1" w14:textId="77777777" w:rsidR="00814667" w:rsidRDefault="00CC35CF">
            <w:pPr>
              <w:pStyle w:val="SingleParagraph"/>
              <w:rPr>
                <w:rStyle w:val="Bold"/>
              </w:rPr>
            </w:pPr>
            <w:r w:rsidRPr="00CC35CF">
              <w:rPr>
                <w:rStyle w:val="Bold"/>
              </w:rPr>
              <w:t>The Honourable Greg Hunt MP</w:t>
            </w:r>
          </w:p>
          <w:p w14:paraId="4AD9CB94" w14:textId="77777777" w:rsidR="00814667" w:rsidRDefault="0099742A">
            <w:pPr>
              <w:pStyle w:val="Position"/>
              <w:rPr>
                <w:lang w:val="en-GB"/>
              </w:rPr>
            </w:pPr>
            <w:r>
              <w:rPr>
                <w:lang w:val="en-GB"/>
              </w:rPr>
              <w:t xml:space="preserve">Minister for </w:t>
            </w:r>
            <w:r w:rsidR="004507F6">
              <w:rPr>
                <w:lang w:val="en-GB"/>
              </w:rPr>
              <w:t>Health</w:t>
            </w:r>
          </w:p>
          <w:p w14:paraId="2063BFA3" w14:textId="77777777" w:rsidR="00814667" w:rsidRDefault="006679C0">
            <w:pPr>
              <w:pStyle w:val="SingleParagraph"/>
              <w:tabs>
                <w:tab w:val="num" w:pos="1134"/>
              </w:tabs>
              <w:spacing w:after="240"/>
              <w:ind w:left="1134" w:hanging="567"/>
              <w:rPr>
                <w:b/>
                <w:lang w:val="en-GB"/>
              </w:rPr>
            </w:pPr>
            <w:r>
              <w:rPr>
                <w:lang w:val="en-GB"/>
              </w:rPr>
              <w:t>[Day]  [</w:t>
            </w:r>
            <w:r w:rsidR="001B1CA3">
              <w:rPr>
                <w:lang w:val="en-GB"/>
              </w:rPr>
              <w:t>Month</w:t>
            </w:r>
            <w:r>
              <w:rPr>
                <w:lang w:val="en-GB"/>
              </w:rPr>
              <w:t>]</w:t>
            </w:r>
            <w:r w:rsidR="001B1CA3">
              <w:rPr>
                <w:lang w:val="en-GB"/>
              </w:rPr>
              <w:t xml:space="preserve"> </w:t>
            </w:r>
            <w:r>
              <w:rPr>
                <w:lang w:val="en-GB"/>
              </w:rPr>
              <w:t xml:space="preserve"> [Year]</w:t>
            </w:r>
          </w:p>
        </w:tc>
        <w:tc>
          <w:tcPr>
            <w:tcW w:w="284" w:type="dxa"/>
            <w:tcMar>
              <w:left w:w="0" w:type="dxa"/>
              <w:right w:w="0" w:type="dxa"/>
            </w:tcMar>
          </w:tcPr>
          <w:p w14:paraId="2DBBA602" w14:textId="77777777" w:rsidR="00814667" w:rsidRPr="00A50751" w:rsidRDefault="00814667">
            <w:pPr>
              <w:rPr>
                <w:rFonts w:ascii="Book Antiqua" w:hAnsi="Book Antiqua"/>
                <w:lang w:val="en-GB"/>
              </w:rPr>
            </w:pPr>
          </w:p>
        </w:tc>
        <w:tc>
          <w:tcPr>
            <w:tcW w:w="4536" w:type="dxa"/>
          </w:tcPr>
          <w:p w14:paraId="12DC73BF" w14:textId="77777777" w:rsidR="00814667" w:rsidRPr="00A50751" w:rsidRDefault="00814667">
            <w:pPr>
              <w:rPr>
                <w:rFonts w:ascii="Book Antiqua" w:hAnsi="Book Antiqua"/>
                <w:lang w:val="en-GB"/>
              </w:rPr>
            </w:pPr>
          </w:p>
        </w:tc>
      </w:tr>
      <w:tr w:rsidR="00814667" w:rsidRPr="00A50751" w14:paraId="283A5B25" w14:textId="77777777">
        <w:trPr>
          <w:cantSplit/>
          <w:jc w:val="center"/>
        </w:trPr>
        <w:tc>
          <w:tcPr>
            <w:tcW w:w="4536" w:type="dxa"/>
          </w:tcPr>
          <w:p w14:paraId="772392EC"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2AC85834" w14:textId="77777777" w:rsidR="00814667" w:rsidRPr="00A50751" w:rsidRDefault="00814667">
            <w:pPr>
              <w:pStyle w:val="SingleParagraph"/>
              <w:rPr>
                <w:rFonts w:ascii="Book Antiqua" w:hAnsi="Book Antiqua"/>
                <w:lang w:val="en-GB"/>
              </w:rPr>
            </w:pPr>
          </w:p>
        </w:tc>
        <w:tc>
          <w:tcPr>
            <w:tcW w:w="4536" w:type="dxa"/>
          </w:tcPr>
          <w:p w14:paraId="62EC8F17" w14:textId="77777777" w:rsidR="00814667" w:rsidRPr="00A50751" w:rsidRDefault="00814667">
            <w:pPr>
              <w:pStyle w:val="SingleParagraph"/>
              <w:rPr>
                <w:rFonts w:ascii="Book Antiqua" w:hAnsi="Book Antiqua"/>
                <w:lang w:val="en-GB"/>
              </w:rPr>
            </w:pPr>
          </w:p>
        </w:tc>
      </w:tr>
      <w:tr w:rsidR="00814667" w:rsidRPr="00A50751" w14:paraId="6C1A5A40" w14:textId="77777777">
        <w:trPr>
          <w:cantSplit/>
          <w:jc w:val="center"/>
        </w:trPr>
        <w:tc>
          <w:tcPr>
            <w:tcW w:w="4536" w:type="dxa"/>
          </w:tcPr>
          <w:p w14:paraId="61C76298" w14:textId="77777777" w:rsidR="00814667" w:rsidRPr="004A0AE7" w:rsidRDefault="00814667">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State">
              <w:smartTag w:uri="urn:schemas-microsoft-com:office:smarttags" w:element="place">
                <w:r w:rsidRPr="004A0AE7">
                  <w:t>New South Wales</w:t>
                </w:r>
              </w:smartTag>
            </w:smartTag>
            <w:r w:rsidRPr="004A0AE7">
              <w:t xml:space="preserve"> by</w:t>
            </w:r>
          </w:p>
          <w:p w14:paraId="391E5E5A" w14:textId="77777777" w:rsidR="00814667" w:rsidRPr="00A50751" w:rsidRDefault="00814667">
            <w:pPr>
              <w:pStyle w:val="LineForSignature"/>
            </w:pPr>
            <w:r w:rsidRPr="00A50751">
              <w:tab/>
            </w:r>
          </w:p>
          <w:p w14:paraId="5D166335" w14:textId="77777777" w:rsidR="00814667" w:rsidRDefault="00814667">
            <w:pPr>
              <w:pStyle w:val="SingleParagraph"/>
              <w:rPr>
                <w:rStyle w:val="Bold"/>
              </w:rPr>
            </w:pPr>
            <w:r>
              <w:rPr>
                <w:rStyle w:val="Bold"/>
              </w:rPr>
              <w:t xml:space="preserve">The Honourable </w:t>
            </w:r>
            <w:r w:rsidR="00C86375">
              <w:rPr>
                <w:rStyle w:val="Bold"/>
              </w:rPr>
              <w:t>Brad Hazzard</w:t>
            </w:r>
            <w:r w:rsidR="0099742A">
              <w:rPr>
                <w:rStyle w:val="Bold"/>
              </w:rPr>
              <w:t xml:space="preserve"> </w:t>
            </w:r>
            <w:r>
              <w:rPr>
                <w:rStyle w:val="Bold"/>
              </w:rPr>
              <w:t>MP</w:t>
            </w:r>
          </w:p>
          <w:p w14:paraId="3EE8D127" w14:textId="77777777" w:rsidR="00542A8C" w:rsidRDefault="00542A8C" w:rsidP="00542A8C">
            <w:pPr>
              <w:pStyle w:val="Position"/>
              <w:rPr>
                <w:lang w:val="en-GB"/>
              </w:rPr>
            </w:pPr>
            <w:r>
              <w:rPr>
                <w:lang w:val="en-GB"/>
              </w:rPr>
              <w:t xml:space="preserve">Minister for </w:t>
            </w:r>
            <w:r w:rsidR="004507F6">
              <w:rPr>
                <w:lang w:val="en-GB"/>
              </w:rPr>
              <w:t>Health</w:t>
            </w:r>
          </w:p>
          <w:p w14:paraId="04ACAA66" w14:textId="77777777" w:rsidR="00814667" w:rsidRPr="00A50751" w:rsidRDefault="00542A8C">
            <w:pPr>
              <w:pStyle w:val="SingleParagraph"/>
              <w:tabs>
                <w:tab w:val="num" w:pos="1134"/>
              </w:tabs>
              <w:spacing w:after="240"/>
              <w:ind w:left="1134" w:hanging="567"/>
              <w:rPr>
                <w:szCs w:val="22"/>
                <w:lang w:val="en-GB"/>
              </w:rPr>
            </w:pPr>
            <w:r w:rsidRPr="001F6FE8" w:rsidDel="00542A8C">
              <w:rPr>
                <w:bCs/>
                <w:lang w:val="en-GB"/>
              </w:rPr>
              <w:t xml:space="preserve"> </w:t>
            </w:r>
            <w:r w:rsidR="006679C0">
              <w:rPr>
                <w:lang w:val="en-GB"/>
              </w:rPr>
              <w:t>[Day]  [Month]  [Year]</w:t>
            </w:r>
          </w:p>
        </w:tc>
        <w:tc>
          <w:tcPr>
            <w:tcW w:w="284" w:type="dxa"/>
            <w:tcMar>
              <w:left w:w="0" w:type="dxa"/>
              <w:right w:w="0" w:type="dxa"/>
            </w:tcMar>
          </w:tcPr>
          <w:p w14:paraId="6F11CDBD" w14:textId="77777777" w:rsidR="00814667" w:rsidRPr="00A50751" w:rsidRDefault="00814667">
            <w:pPr>
              <w:rPr>
                <w:rFonts w:ascii="Book Antiqua" w:hAnsi="Book Antiqua"/>
                <w:lang w:val="en-GB"/>
              </w:rPr>
            </w:pPr>
          </w:p>
        </w:tc>
        <w:tc>
          <w:tcPr>
            <w:tcW w:w="4536" w:type="dxa"/>
          </w:tcPr>
          <w:p w14:paraId="190EBED4"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Victoria</w:t>
                </w:r>
              </w:smartTag>
            </w:smartTag>
            <w:r w:rsidRPr="004A0AE7">
              <w:t xml:space="preserve"> by</w:t>
            </w:r>
          </w:p>
          <w:p w14:paraId="65BB8588" w14:textId="77777777" w:rsidR="00814667" w:rsidRPr="00A50751" w:rsidRDefault="00814667">
            <w:pPr>
              <w:pStyle w:val="LineForSignature"/>
            </w:pPr>
            <w:r w:rsidRPr="00A50751">
              <w:tab/>
            </w:r>
          </w:p>
          <w:p w14:paraId="65FEAD49" w14:textId="77777777" w:rsidR="00814667" w:rsidRDefault="00814667">
            <w:pPr>
              <w:pStyle w:val="SingleParagraph"/>
              <w:rPr>
                <w:rStyle w:val="Bold"/>
              </w:rPr>
            </w:pPr>
            <w:r>
              <w:rPr>
                <w:rStyle w:val="Bold"/>
              </w:rPr>
              <w:t xml:space="preserve">The Honourable </w:t>
            </w:r>
            <w:r w:rsidR="004507F6">
              <w:rPr>
                <w:rStyle w:val="Bold"/>
              </w:rPr>
              <w:t>Jill Hennessy</w:t>
            </w:r>
            <w:r w:rsidR="0099742A">
              <w:rPr>
                <w:rStyle w:val="Bold"/>
              </w:rPr>
              <w:t xml:space="preserve"> </w:t>
            </w:r>
            <w:r>
              <w:rPr>
                <w:rStyle w:val="Bold"/>
              </w:rPr>
              <w:t>MP</w:t>
            </w:r>
          </w:p>
          <w:p w14:paraId="764AC586" w14:textId="77777777" w:rsidR="00542A8C" w:rsidRDefault="00542A8C" w:rsidP="00542A8C">
            <w:pPr>
              <w:pStyle w:val="Position"/>
              <w:rPr>
                <w:lang w:val="en-GB"/>
              </w:rPr>
            </w:pPr>
            <w:r>
              <w:rPr>
                <w:lang w:val="en-GB"/>
              </w:rPr>
              <w:t xml:space="preserve">Minister for </w:t>
            </w:r>
            <w:r w:rsidR="004507F6">
              <w:rPr>
                <w:lang w:val="en-GB"/>
              </w:rPr>
              <w:t>Health</w:t>
            </w:r>
          </w:p>
          <w:p w14:paraId="2D88971F"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r>
      <w:tr w:rsidR="00814667" w:rsidRPr="00A50751" w14:paraId="499A02AA" w14:textId="77777777">
        <w:trPr>
          <w:cantSplit/>
          <w:jc w:val="center"/>
        </w:trPr>
        <w:tc>
          <w:tcPr>
            <w:tcW w:w="4536" w:type="dxa"/>
          </w:tcPr>
          <w:p w14:paraId="4A0528DC"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42FD5112" w14:textId="77777777" w:rsidR="00814667" w:rsidRPr="00A50751" w:rsidRDefault="00814667">
            <w:pPr>
              <w:pStyle w:val="SingleParagraph"/>
              <w:rPr>
                <w:rFonts w:ascii="Book Antiqua" w:hAnsi="Book Antiqua"/>
                <w:lang w:val="en-GB"/>
              </w:rPr>
            </w:pPr>
          </w:p>
        </w:tc>
        <w:tc>
          <w:tcPr>
            <w:tcW w:w="4536" w:type="dxa"/>
          </w:tcPr>
          <w:p w14:paraId="0B1BEE84" w14:textId="77777777" w:rsidR="00814667" w:rsidRPr="00A50751" w:rsidRDefault="00814667">
            <w:pPr>
              <w:pStyle w:val="SingleParagraph"/>
              <w:rPr>
                <w:rFonts w:ascii="Book Antiqua" w:hAnsi="Book Antiqua"/>
                <w:lang w:val="en-GB"/>
              </w:rPr>
            </w:pPr>
          </w:p>
        </w:tc>
      </w:tr>
      <w:tr w:rsidR="00814667" w:rsidRPr="00A50751" w14:paraId="469EFFB7" w14:textId="77777777">
        <w:trPr>
          <w:cantSplit/>
          <w:jc w:val="center"/>
        </w:trPr>
        <w:tc>
          <w:tcPr>
            <w:tcW w:w="4536" w:type="dxa"/>
          </w:tcPr>
          <w:p w14:paraId="3464FCE4"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Queensland</w:t>
                </w:r>
              </w:smartTag>
            </w:smartTag>
            <w:r w:rsidRPr="004A0AE7">
              <w:t xml:space="preserve"> by</w:t>
            </w:r>
          </w:p>
          <w:p w14:paraId="21467519" w14:textId="77777777" w:rsidR="00814667" w:rsidRPr="00A50751" w:rsidRDefault="00814667">
            <w:pPr>
              <w:pStyle w:val="LineForSignature"/>
            </w:pPr>
            <w:r w:rsidRPr="00A50751">
              <w:tab/>
            </w:r>
          </w:p>
          <w:p w14:paraId="2706F163" w14:textId="77777777" w:rsidR="00814667" w:rsidRDefault="00814667">
            <w:pPr>
              <w:pStyle w:val="SingleParagraph"/>
              <w:rPr>
                <w:b/>
              </w:rPr>
            </w:pPr>
            <w:r>
              <w:rPr>
                <w:b/>
              </w:rPr>
              <w:t xml:space="preserve">The Honourable </w:t>
            </w:r>
            <w:r w:rsidR="004507F6">
              <w:rPr>
                <w:b/>
              </w:rPr>
              <w:t>Cameron Dick</w:t>
            </w:r>
            <w:r w:rsidR="0099742A">
              <w:rPr>
                <w:rStyle w:val="Bold"/>
              </w:rPr>
              <w:t xml:space="preserve"> </w:t>
            </w:r>
            <w:r>
              <w:rPr>
                <w:b/>
              </w:rPr>
              <w:t>MP</w:t>
            </w:r>
          </w:p>
          <w:p w14:paraId="50672A5F" w14:textId="77777777" w:rsidR="00542A8C" w:rsidRDefault="00542A8C" w:rsidP="00542A8C">
            <w:pPr>
              <w:pStyle w:val="Position"/>
              <w:rPr>
                <w:lang w:val="en-GB"/>
              </w:rPr>
            </w:pPr>
            <w:r>
              <w:rPr>
                <w:lang w:val="en-GB"/>
              </w:rPr>
              <w:t xml:space="preserve">Minister for </w:t>
            </w:r>
            <w:r w:rsidR="004507F6">
              <w:rPr>
                <w:lang w:val="en-GB"/>
              </w:rPr>
              <w:t>Health</w:t>
            </w:r>
          </w:p>
          <w:p w14:paraId="20D15C53"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c>
          <w:tcPr>
            <w:tcW w:w="284" w:type="dxa"/>
            <w:tcMar>
              <w:left w:w="0" w:type="dxa"/>
              <w:right w:w="0" w:type="dxa"/>
            </w:tcMar>
          </w:tcPr>
          <w:p w14:paraId="1ACF9F84" w14:textId="77777777" w:rsidR="00814667" w:rsidRPr="00A50751" w:rsidRDefault="00814667">
            <w:pPr>
              <w:rPr>
                <w:rFonts w:ascii="Book Antiqua" w:hAnsi="Book Antiqua"/>
                <w:lang w:val="en-GB"/>
              </w:rPr>
            </w:pPr>
          </w:p>
        </w:tc>
        <w:tc>
          <w:tcPr>
            <w:tcW w:w="4536" w:type="dxa"/>
          </w:tcPr>
          <w:p w14:paraId="2A2749BF"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Western Australia</w:t>
                </w:r>
              </w:smartTag>
            </w:smartTag>
            <w:r w:rsidRPr="004A0AE7">
              <w:t xml:space="preserve"> by</w:t>
            </w:r>
          </w:p>
          <w:p w14:paraId="4044E01B" w14:textId="77777777" w:rsidR="00814667" w:rsidRPr="00A50751" w:rsidRDefault="00814667">
            <w:pPr>
              <w:pStyle w:val="LineForSignature"/>
            </w:pPr>
            <w:r w:rsidRPr="00A50751">
              <w:tab/>
            </w:r>
          </w:p>
          <w:p w14:paraId="2D563CBC" w14:textId="77777777" w:rsidR="00814667" w:rsidRDefault="00814667">
            <w:pPr>
              <w:pStyle w:val="SingleParagraph"/>
              <w:rPr>
                <w:rStyle w:val="Bold"/>
              </w:rPr>
            </w:pPr>
            <w:r>
              <w:rPr>
                <w:rStyle w:val="Bold"/>
              </w:rPr>
              <w:t xml:space="preserve">The Honourable </w:t>
            </w:r>
            <w:r w:rsidR="00690BC9">
              <w:rPr>
                <w:rStyle w:val="Bold"/>
              </w:rPr>
              <w:t>Roger Cook</w:t>
            </w:r>
            <w:r w:rsidR="0099742A">
              <w:rPr>
                <w:rStyle w:val="Bold"/>
              </w:rPr>
              <w:t xml:space="preserve"> </w:t>
            </w:r>
            <w:r>
              <w:rPr>
                <w:rStyle w:val="Bold"/>
              </w:rPr>
              <w:t>M</w:t>
            </w:r>
            <w:r w:rsidR="00A61ADC">
              <w:rPr>
                <w:rStyle w:val="Bold"/>
              </w:rPr>
              <w:t>LA</w:t>
            </w:r>
          </w:p>
          <w:p w14:paraId="6064B25D" w14:textId="77777777" w:rsidR="00542A8C" w:rsidRDefault="00542A8C" w:rsidP="00542A8C">
            <w:pPr>
              <w:pStyle w:val="Position"/>
              <w:rPr>
                <w:lang w:val="en-GB"/>
              </w:rPr>
            </w:pPr>
            <w:r>
              <w:rPr>
                <w:lang w:val="en-GB"/>
              </w:rPr>
              <w:t xml:space="preserve">Minister for </w:t>
            </w:r>
            <w:r w:rsidR="004507F6">
              <w:rPr>
                <w:lang w:val="en-GB"/>
              </w:rPr>
              <w:t>Health</w:t>
            </w:r>
          </w:p>
          <w:p w14:paraId="121B9139" w14:textId="77777777" w:rsidR="00814667" w:rsidRPr="00A50751" w:rsidRDefault="00542A8C">
            <w:pPr>
              <w:pStyle w:val="SingleParagraph"/>
              <w:tabs>
                <w:tab w:val="num" w:pos="1134"/>
              </w:tabs>
              <w:spacing w:after="240"/>
              <w:ind w:left="1134" w:hanging="567"/>
              <w:rPr>
                <w:lang w:val="en-GB"/>
              </w:rPr>
            </w:pPr>
            <w:r w:rsidDel="00542A8C">
              <w:rPr>
                <w:lang w:val="en-GB"/>
              </w:rPr>
              <w:t xml:space="preserve"> </w:t>
            </w:r>
            <w:r w:rsidR="006679C0">
              <w:rPr>
                <w:lang w:val="en-GB"/>
              </w:rPr>
              <w:t>[Day]  [Month]  [Year]</w:t>
            </w:r>
          </w:p>
        </w:tc>
      </w:tr>
      <w:tr w:rsidR="00814667" w:rsidRPr="00A50751" w14:paraId="3638BC2D" w14:textId="77777777">
        <w:trPr>
          <w:cantSplit/>
          <w:jc w:val="center"/>
        </w:trPr>
        <w:tc>
          <w:tcPr>
            <w:tcW w:w="4536" w:type="dxa"/>
          </w:tcPr>
          <w:p w14:paraId="5CC4D84F"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6AB3DD2" w14:textId="77777777" w:rsidR="00814667" w:rsidRPr="00A50751" w:rsidRDefault="00814667">
            <w:pPr>
              <w:pStyle w:val="SingleParagraph"/>
              <w:rPr>
                <w:rFonts w:ascii="Book Antiqua" w:hAnsi="Book Antiqua"/>
                <w:lang w:val="en-GB"/>
              </w:rPr>
            </w:pPr>
          </w:p>
        </w:tc>
        <w:tc>
          <w:tcPr>
            <w:tcW w:w="4536" w:type="dxa"/>
          </w:tcPr>
          <w:p w14:paraId="726F6313" w14:textId="77777777" w:rsidR="00814667" w:rsidRPr="00A50751" w:rsidRDefault="00814667">
            <w:pPr>
              <w:pStyle w:val="SingleParagraph"/>
              <w:rPr>
                <w:rFonts w:ascii="Book Antiqua" w:hAnsi="Book Antiqua"/>
                <w:lang w:val="en-GB"/>
              </w:rPr>
            </w:pPr>
          </w:p>
        </w:tc>
      </w:tr>
      <w:tr w:rsidR="00814667" w:rsidRPr="00A50751" w14:paraId="6CE0DAC7" w14:textId="77777777">
        <w:trPr>
          <w:cantSplit/>
          <w:trHeight w:val="143"/>
          <w:jc w:val="center"/>
        </w:trPr>
        <w:tc>
          <w:tcPr>
            <w:tcW w:w="4536" w:type="dxa"/>
          </w:tcPr>
          <w:p w14:paraId="3997CFF5"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1011BA08" w14:textId="77777777" w:rsidR="00814667" w:rsidRPr="00A50751" w:rsidRDefault="00814667">
            <w:pPr>
              <w:pStyle w:val="LineForSignature"/>
            </w:pPr>
            <w:r w:rsidRPr="00A50751">
              <w:tab/>
            </w:r>
          </w:p>
          <w:p w14:paraId="131A7816" w14:textId="77777777" w:rsidR="00814667" w:rsidRDefault="00814667">
            <w:pPr>
              <w:pStyle w:val="SingleParagraph"/>
              <w:rPr>
                <w:rStyle w:val="Bold"/>
              </w:rPr>
            </w:pPr>
            <w:r>
              <w:rPr>
                <w:rStyle w:val="Bold"/>
              </w:rPr>
              <w:t xml:space="preserve">The Honourable </w:t>
            </w:r>
            <w:r w:rsidR="004507F6">
              <w:rPr>
                <w:rStyle w:val="Bold"/>
              </w:rPr>
              <w:t>Jack Snelling</w:t>
            </w:r>
            <w:r>
              <w:rPr>
                <w:rStyle w:val="Bold"/>
              </w:rPr>
              <w:t xml:space="preserve"> MP</w:t>
            </w:r>
          </w:p>
          <w:p w14:paraId="797D99CA" w14:textId="77777777" w:rsidR="00542A8C" w:rsidRDefault="00542A8C" w:rsidP="00542A8C">
            <w:pPr>
              <w:pStyle w:val="Position"/>
              <w:rPr>
                <w:lang w:val="en-GB"/>
              </w:rPr>
            </w:pPr>
            <w:r>
              <w:rPr>
                <w:lang w:val="en-GB"/>
              </w:rPr>
              <w:t xml:space="preserve">Minister for </w:t>
            </w:r>
            <w:r w:rsidR="004507F6">
              <w:rPr>
                <w:lang w:val="en-GB"/>
              </w:rPr>
              <w:t>Health</w:t>
            </w:r>
          </w:p>
          <w:p w14:paraId="6281C441"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c>
          <w:tcPr>
            <w:tcW w:w="284" w:type="dxa"/>
            <w:tcMar>
              <w:left w:w="0" w:type="dxa"/>
              <w:right w:w="0" w:type="dxa"/>
            </w:tcMar>
          </w:tcPr>
          <w:p w14:paraId="2752E4C8" w14:textId="77777777" w:rsidR="00814667" w:rsidRPr="00A50751" w:rsidRDefault="00814667">
            <w:pPr>
              <w:rPr>
                <w:rFonts w:ascii="Book Antiqua" w:hAnsi="Book Antiqua"/>
                <w:lang w:val="en-GB"/>
              </w:rPr>
            </w:pPr>
          </w:p>
        </w:tc>
        <w:tc>
          <w:tcPr>
            <w:tcW w:w="4536" w:type="dxa"/>
          </w:tcPr>
          <w:p w14:paraId="321F871A"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Tasmania</w:t>
                </w:r>
              </w:smartTag>
            </w:smartTag>
            <w:r w:rsidRPr="004A0AE7">
              <w:t xml:space="preserve"> by</w:t>
            </w:r>
          </w:p>
          <w:p w14:paraId="7E8EBDFE" w14:textId="77777777" w:rsidR="00814667" w:rsidRPr="00A50751" w:rsidRDefault="00814667">
            <w:pPr>
              <w:pStyle w:val="LineForSignature"/>
            </w:pPr>
            <w:r w:rsidRPr="00A50751">
              <w:tab/>
            </w:r>
          </w:p>
          <w:p w14:paraId="451BB967" w14:textId="77777777" w:rsidR="00814667" w:rsidRDefault="00814667">
            <w:pPr>
              <w:pStyle w:val="SingleParagraph"/>
              <w:rPr>
                <w:rStyle w:val="Bold"/>
              </w:rPr>
            </w:pPr>
            <w:r>
              <w:rPr>
                <w:rStyle w:val="Bold"/>
              </w:rPr>
              <w:t xml:space="preserve">The Honourable </w:t>
            </w:r>
            <w:r w:rsidR="004507F6">
              <w:rPr>
                <w:rStyle w:val="Bold"/>
              </w:rPr>
              <w:t>Michael Ferguson</w:t>
            </w:r>
            <w:r w:rsidR="0099742A">
              <w:rPr>
                <w:rStyle w:val="Bold"/>
              </w:rPr>
              <w:t xml:space="preserve"> </w:t>
            </w:r>
            <w:r>
              <w:rPr>
                <w:rStyle w:val="Bold"/>
              </w:rPr>
              <w:t>MP</w:t>
            </w:r>
          </w:p>
          <w:p w14:paraId="53A46F1F" w14:textId="77777777" w:rsidR="00542A8C" w:rsidRDefault="00542A8C" w:rsidP="00542A8C">
            <w:pPr>
              <w:pStyle w:val="Position"/>
              <w:rPr>
                <w:lang w:val="en-GB"/>
              </w:rPr>
            </w:pPr>
            <w:r>
              <w:rPr>
                <w:lang w:val="en-GB"/>
              </w:rPr>
              <w:t xml:space="preserve">Minister for </w:t>
            </w:r>
            <w:r w:rsidR="004507F6">
              <w:rPr>
                <w:lang w:val="en-GB"/>
              </w:rPr>
              <w:t>Health</w:t>
            </w:r>
          </w:p>
          <w:p w14:paraId="6647D5C5" w14:textId="77777777" w:rsidR="00814667" w:rsidRPr="00A50751" w:rsidRDefault="00542A8C">
            <w:pPr>
              <w:pStyle w:val="SingleParagraph"/>
              <w:tabs>
                <w:tab w:val="num" w:pos="1134"/>
              </w:tabs>
              <w:spacing w:after="240"/>
              <w:ind w:left="1134" w:hanging="567"/>
              <w:rPr>
                <w:lang w:val="en-GB"/>
              </w:rPr>
            </w:pPr>
            <w:r w:rsidRPr="00B12190" w:rsidDel="00542A8C">
              <w:rPr>
                <w:bCs/>
                <w:lang w:val="en-GB"/>
              </w:rPr>
              <w:t xml:space="preserve"> </w:t>
            </w:r>
            <w:r w:rsidR="006679C0">
              <w:rPr>
                <w:lang w:val="en-GB"/>
              </w:rPr>
              <w:t>[Day]  [Month]  [Year]</w:t>
            </w:r>
          </w:p>
        </w:tc>
      </w:tr>
      <w:tr w:rsidR="00814667" w:rsidRPr="00A50751" w14:paraId="0F635D7E" w14:textId="77777777">
        <w:trPr>
          <w:cantSplit/>
          <w:jc w:val="center"/>
        </w:trPr>
        <w:tc>
          <w:tcPr>
            <w:tcW w:w="4536" w:type="dxa"/>
          </w:tcPr>
          <w:p w14:paraId="0935F9EF"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76C2000A" w14:textId="77777777" w:rsidR="00814667" w:rsidRPr="00A50751" w:rsidRDefault="00814667">
            <w:pPr>
              <w:pStyle w:val="SingleParagraph"/>
              <w:rPr>
                <w:rFonts w:ascii="Book Antiqua" w:hAnsi="Book Antiqua"/>
                <w:lang w:val="en-GB"/>
              </w:rPr>
            </w:pPr>
          </w:p>
        </w:tc>
        <w:tc>
          <w:tcPr>
            <w:tcW w:w="4536" w:type="dxa"/>
          </w:tcPr>
          <w:p w14:paraId="0B888502" w14:textId="77777777" w:rsidR="00814667" w:rsidRPr="00A50751" w:rsidRDefault="00814667">
            <w:pPr>
              <w:pStyle w:val="SingleParagraph"/>
              <w:rPr>
                <w:rFonts w:ascii="Book Antiqua" w:hAnsi="Book Antiqua"/>
                <w:lang w:val="en-GB"/>
              </w:rPr>
            </w:pPr>
          </w:p>
        </w:tc>
      </w:tr>
      <w:tr w:rsidR="00814667" w:rsidRPr="00A50751" w14:paraId="558C5978" w14:textId="77777777">
        <w:trPr>
          <w:cantSplit/>
          <w:jc w:val="center"/>
        </w:trPr>
        <w:tc>
          <w:tcPr>
            <w:tcW w:w="4536" w:type="dxa"/>
          </w:tcPr>
          <w:p w14:paraId="7206745A" w14:textId="77777777" w:rsidR="00814667" w:rsidRPr="00A50751" w:rsidRDefault="0081466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Australian Capital Territory by</w:t>
            </w:r>
          </w:p>
          <w:p w14:paraId="7CAA88C4" w14:textId="77777777" w:rsidR="00814667" w:rsidRPr="00A50751" w:rsidRDefault="00814667">
            <w:pPr>
              <w:pStyle w:val="LineForSignature"/>
            </w:pPr>
            <w:r w:rsidRPr="00A50751">
              <w:tab/>
            </w:r>
          </w:p>
          <w:p w14:paraId="354DD2F2" w14:textId="77777777" w:rsidR="00814667" w:rsidRDefault="00D60881">
            <w:pPr>
              <w:pStyle w:val="SingleParagraph"/>
              <w:rPr>
                <w:rStyle w:val="Bold"/>
              </w:rPr>
            </w:pPr>
            <w:proofErr w:type="spellStart"/>
            <w:r>
              <w:rPr>
                <w:rStyle w:val="Bold"/>
              </w:rPr>
              <w:t>Meegan</w:t>
            </w:r>
            <w:proofErr w:type="spellEnd"/>
            <w:r>
              <w:rPr>
                <w:rStyle w:val="Bold"/>
              </w:rPr>
              <w:t xml:space="preserve"> </w:t>
            </w:r>
            <w:proofErr w:type="spellStart"/>
            <w:r>
              <w:rPr>
                <w:rStyle w:val="Bold"/>
              </w:rPr>
              <w:t>Fitzharris</w:t>
            </w:r>
            <w:proofErr w:type="spellEnd"/>
            <w:r w:rsidR="0099742A">
              <w:rPr>
                <w:rStyle w:val="Bold"/>
              </w:rPr>
              <w:t xml:space="preserve"> </w:t>
            </w:r>
            <w:r w:rsidR="00814667">
              <w:rPr>
                <w:rStyle w:val="Bold"/>
              </w:rPr>
              <w:t>MLA</w:t>
            </w:r>
          </w:p>
          <w:p w14:paraId="05A25E9E" w14:textId="77777777" w:rsidR="00542A8C" w:rsidRDefault="00542A8C" w:rsidP="00542A8C">
            <w:pPr>
              <w:pStyle w:val="Position"/>
              <w:rPr>
                <w:lang w:val="en-GB"/>
              </w:rPr>
            </w:pPr>
            <w:r>
              <w:rPr>
                <w:lang w:val="en-GB"/>
              </w:rPr>
              <w:t xml:space="preserve">Minister for </w:t>
            </w:r>
            <w:r w:rsidR="004507F6">
              <w:rPr>
                <w:lang w:val="en-GB"/>
              </w:rPr>
              <w:t>Health</w:t>
            </w:r>
          </w:p>
          <w:p w14:paraId="41147890" w14:textId="77777777" w:rsidR="00814667" w:rsidRPr="00A50751" w:rsidRDefault="00542A8C">
            <w:pPr>
              <w:pStyle w:val="SingleParagraph"/>
              <w:tabs>
                <w:tab w:val="num" w:pos="1134"/>
              </w:tabs>
              <w:spacing w:after="240"/>
              <w:ind w:left="1134" w:hanging="567"/>
              <w:rPr>
                <w:szCs w:val="22"/>
                <w:lang w:val="en-GB"/>
              </w:rPr>
            </w:pPr>
            <w:r w:rsidRPr="00B12190" w:rsidDel="00542A8C">
              <w:rPr>
                <w:lang w:val="en-GB"/>
              </w:rPr>
              <w:t xml:space="preserve"> </w:t>
            </w:r>
            <w:r w:rsidR="006679C0">
              <w:rPr>
                <w:lang w:val="en-GB"/>
              </w:rPr>
              <w:t>[Day]  [Month]  [Year]</w:t>
            </w:r>
          </w:p>
        </w:tc>
        <w:tc>
          <w:tcPr>
            <w:tcW w:w="284" w:type="dxa"/>
            <w:tcMar>
              <w:left w:w="0" w:type="dxa"/>
              <w:right w:w="0" w:type="dxa"/>
            </w:tcMar>
          </w:tcPr>
          <w:p w14:paraId="496209BF" w14:textId="77777777" w:rsidR="00814667" w:rsidRPr="00A50751" w:rsidRDefault="00814667">
            <w:pPr>
              <w:rPr>
                <w:rFonts w:ascii="Book Antiqua" w:hAnsi="Book Antiqua"/>
                <w:lang w:val="en-GB"/>
              </w:rPr>
            </w:pPr>
          </w:p>
        </w:tc>
        <w:tc>
          <w:tcPr>
            <w:tcW w:w="4536" w:type="dxa"/>
          </w:tcPr>
          <w:p w14:paraId="511CD1A2" w14:textId="77777777" w:rsidR="00814667" w:rsidRPr="00A50751" w:rsidRDefault="0081466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Northern Territory by</w:t>
            </w:r>
          </w:p>
          <w:p w14:paraId="59A3073F" w14:textId="77777777" w:rsidR="00814667" w:rsidRPr="00A50751" w:rsidRDefault="00814667">
            <w:pPr>
              <w:pStyle w:val="LineForSignature"/>
            </w:pPr>
            <w:r w:rsidRPr="00A50751">
              <w:tab/>
            </w:r>
          </w:p>
          <w:p w14:paraId="5E59DC18" w14:textId="77777777" w:rsidR="00814667" w:rsidRDefault="00814667">
            <w:pPr>
              <w:pStyle w:val="SingleParagraph"/>
              <w:rPr>
                <w:rStyle w:val="Bold"/>
              </w:rPr>
            </w:pPr>
            <w:r>
              <w:rPr>
                <w:rStyle w:val="Bold"/>
              </w:rPr>
              <w:t xml:space="preserve">The Honourable </w:t>
            </w:r>
            <w:r w:rsidR="00165645">
              <w:rPr>
                <w:rStyle w:val="Bold"/>
              </w:rPr>
              <w:t xml:space="preserve">Natasha Kate </w:t>
            </w:r>
            <w:proofErr w:type="spellStart"/>
            <w:r w:rsidR="00165645">
              <w:rPr>
                <w:rStyle w:val="Bold"/>
              </w:rPr>
              <w:t>Fyles</w:t>
            </w:r>
            <w:proofErr w:type="spellEnd"/>
            <w:r w:rsidR="0099742A">
              <w:rPr>
                <w:rStyle w:val="Bold"/>
              </w:rPr>
              <w:t xml:space="preserve"> </w:t>
            </w:r>
            <w:r>
              <w:rPr>
                <w:rStyle w:val="Bold"/>
              </w:rPr>
              <w:t>MLA</w:t>
            </w:r>
          </w:p>
          <w:p w14:paraId="385D6740" w14:textId="77777777" w:rsidR="00542A8C" w:rsidRDefault="00542A8C" w:rsidP="00542A8C">
            <w:pPr>
              <w:pStyle w:val="Position"/>
              <w:rPr>
                <w:lang w:val="en-GB"/>
              </w:rPr>
            </w:pPr>
            <w:r>
              <w:rPr>
                <w:lang w:val="en-GB"/>
              </w:rPr>
              <w:t xml:space="preserve">Minister for </w:t>
            </w:r>
            <w:r w:rsidR="004507F6">
              <w:rPr>
                <w:lang w:val="en-GB"/>
              </w:rPr>
              <w:t>Health</w:t>
            </w:r>
          </w:p>
          <w:p w14:paraId="724ED69E" w14:textId="77777777" w:rsidR="00814667" w:rsidRPr="00A50751" w:rsidRDefault="00542A8C">
            <w:pPr>
              <w:pStyle w:val="SingleParagraph"/>
              <w:tabs>
                <w:tab w:val="num" w:pos="1134"/>
              </w:tabs>
              <w:spacing w:after="240"/>
              <w:ind w:left="1134" w:hanging="567"/>
              <w:rPr>
                <w:lang w:val="en-GB"/>
              </w:rPr>
            </w:pPr>
            <w:r w:rsidRPr="00B12190" w:rsidDel="00542A8C">
              <w:rPr>
                <w:bCs/>
                <w:lang w:val="en-GB"/>
              </w:rPr>
              <w:t xml:space="preserve"> </w:t>
            </w:r>
            <w:r w:rsidR="006679C0">
              <w:rPr>
                <w:lang w:val="en-GB"/>
              </w:rPr>
              <w:t>[Day]  [Month]  [Year]</w:t>
            </w:r>
          </w:p>
        </w:tc>
      </w:tr>
    </w:tbl>
    <w:p w14:paraId="045123FE" w14:textId="77777777" w:rsidR="008843EE" w:rsidRDefault="008843EE" w:rsidP="0020144E"/>
    <w:sectPr w:rsidR="008843EE" w:rsidSect="00C606F6">
      <w:headerReference w:type="first" r:id="rId20"/>
      <w:footerReference w:type="first" r:id="rId21"/>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CE922" w14:textId="77777777" w:rsidR="00E34C6D" w:rsidRDefault="00E34C6D">
      <w:r>
        <w:separator/>
      </w:r>
    </w:p>
  </w:endnote>
  <w:endnote w:type="continuationSeparator" w:id="0">
    <w:p w14:paraId="0A91406D" w14:textId="77777777" w:rsidR="00E34C6D" w:rsidRDefault="00E34C6D">
      <w:r>
        <w:continuationSeparator/>
      </w:r>
    </w:p>
  </w:endnote>
  <w:endnote w:type="continuationNotice" w:id="1">
    <w:p w14:paraId="0E56B765" w14:textId="77777777" w:rsidR="00E34C6D" w:rsidRDefault="00E34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FB1AC" w14:textId="77777777" w:rsidR="000543FD" w:rsidRDefault="000543FD">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4FE3D0" w14:textId="77777777" w:rsidR="000543FD" w:rsidRDefault="000543FD">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AA1ED" w14:textId="77777777" w:rsidR="000543FD" w:rsidRDefault="000543FD">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1236A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9C98" w14:textId="77777777" w:rsidR="000543FD" w:rsidRDefault="000543FD">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36A0">
      <w:rPr>
        <w:rStyle w:val="PageNumber"/>
        <w:noProof/>
      </w:rPr>
      <w:t>1</w:t>
    </w:r>
    <w:r>
      <w:rPr>
        <w:rStyle w:val="PageNumber"/>
      </w:rPr>
      <w:fldChar w:fldCharType="end"/>
    </w:r>
  </w:p>
  <w:p w14:paraId="59526DBA" w14:textId="77777777" w:rsidR="000543FD" w:rsidRDefault="000543F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11A79" w14:textId="77777777" w:rsidR="000543FD" w:rsidRDefault="000543FD" w:rsidP="00751725">
    <w:pPr>
      <w:pStyle w:val="FooterEven"/>
      <w:jc w:val="right"/>
    </w:pPr>
    <w:r>
      <w:t xml:space="preserve">Page </w:t>
    </w:r>
    <w:r>
      <w:rPr>
        <w:rStyle w:val="PageNumbe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E811E" w14:textId="77777777" w:rsidR="00E34C6D" w:rsidRDefault="00E34C6D">
      <w:r>
        <w:separator/>
      </w:r>
    </w:p>
  </w:footnote>
  <w:footnote w:type="continuationSeparator" w:id="0">
    <w:p w14:paraId="66C3D654" w14:textId="77777777" w:rsidR="00E34C6D" w:rsidRDefault="00E34C6D">
      <w:r>
        <w:continuationSeparator/>
      </w:r>
    </w:p>
  </w:footnote>
  <w:footnote w:type="continuationNotice" w:id="1">
    <w:p w14:paraId="2BC147D0" w14:textId="77777777" w:rsidR="00E34C6D" w:rsidRDefault="00E34C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2263" w14:textId="77777777" w:rsidR="000543FD" w:rsidRPr="00814590" w:rsidRDefault="000543FD">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BED5B" w14:textId="77777777" w:rsidR="000543FD" w:rsidRPr="00814590" w:rsidRDefault="000543FD">
    <w:pPr>
      <w:pStyle w:val="HeaderOdd"/>
      <w:tabs>
        <w:tab w:val="num" w:pos="1134"/>
      </w:tabs>
      <w:rPr>
        <w:color w:val="800000"/>
      </w:rPr>
    </w:pPr>
    <w:r>
      <w:rPr>
        <w:color w:val="800000"/>
      </w:rPr>
      <w:t>Project Agreement for Vaccine Preventable Diseases Surveillance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58DA" w14:textId="77777777" w:rsidR="000543FD" w:rsidRPr="00814590" w:rsidRDefault="000543FD" w:rsidP="0036474E">
    <w:pPr>
      <w:pStyle w:val="HeaderOdd"/>
      <w:tabs>
        <w:tab w:val="num" w:pos="1134"/>
      </w:tabs>
      <w:rPr>
        <w:color w:val="800000"/>
      </w:rPr>
    </w:pPr>
    <w:r>
      <w:rPr>
        <w:color w:val="800000"/>
      </w:rPr>
      <w:t>Project Agreement for Vaccine Preventable Diseases Surveillance Program</w:t>
    </w:r>
  </w:p>
  <w:p w14:paraId="24987731" w14:textId="77777777" w:rsidR="000543FD" w:rsidRPr="00751725" w:rsidRDefault="000543FD"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06F5162"/>
    <w:multiLevelType w:val="hybridMultilevel"/>
    <w:tmpl w:val="DC901E84"/>
    <w:lvl w:ilvl="0" w:tplc="B438712C">
      <w:start w:val="2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nsid w:val="1A3F10CE"/>
    <w:multiLevelType w:val="hybridMultilevel"/>
    <w:tmpl w:val="A4225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C4D6F6C"/>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nsid w:val="39971660"/>
    <w:multiLevelType w:val="hybridMultilevel"/>
    <w:tmpl w:val="E8048E06"/>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3DFC2BFE"/>
    <w:multiLevelType w:val="hybridMultilevel"/>
    <w:tmpl w:val="BC5EE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5">
    <w:nsid w:val="48BE6327"/>
    <w:multiLevelType w:val="hybridMultilevel"/>
    <w:tmpl w:val="28FA6026"/>
    <w:lvl w:ilvl="0" w:tplc="EB7CA316">
      <w:start w:val="4"/>
      <w:numFmt w:val="bullet"/>
      <w:lvlText w:val="-"/>
      <w:lvlJc w:val="left"/>
      <w:pPr>
        <w:ind w:left="3195" w:hanging="360"/>
      </w:pPr>
      <w:rPr>
        <w:rFonts w:ascii="Corbel" w:eastAsia="Times New Roman" w:hAnsi="Corbel" w:hint="default"/>
        <w:color w:val="FF0000"/>
      </w:rPr>
    </w:lvl>
    <w:lvl w:ilvl="1" w:tplc="0C090003" w:tentative="1">
      <w:start w:val="1"/>
      <w:numFmt w:val="bullet"/>
      <w:lvlText w:val="o"/>
      <w:lvlJc w:val="left"/>
      <w:pPr>
        <w:ind w:left="3915" w:hanging="360"/>
      </w:pPr>
      <w:rPr>
        <w:rFonts w:ascii="Courier New" w:hAnsi="Courier New" w:hint="default"/>
      </w:rPr>
    </w:lvl>
    <w:lvl w:ilvl="2" w:tplc="0C090005" w:tentative="1">
      <w:start w:val="1"/>
      <w:numFmt w:val="bullet"/>
      <w:lvlText w:val=""/>
      <w:lvlJc w:val="left"/>
      <w:pPr>
        <w:ind w:left="4635" w:hanging="360"/>
      </w:pPr>
      <w:rPr>
        <w:rFonts w:ascii="Wingdings" w:hAnsi="Wingdings" w:hint="default"/>
      </w:rPr>
    </w:lvl>
    <w:lvl w:ilvl="3" w:tplc="0C090001" w:tentative="1">
      <w:start w:val="1"/>
      <w:numFmt w:val="bullet"/>
      <w:lvlText w:val=""/>
      <w:lvlJc w:val="left"/>
      <w:pPr>
        <w:ind w:left="5355" w:hanging="360"/>
      </w:pPr>
      <w:rPr>
        <w:rFonts w:ascii="Symbol" w:hAnsi="Symbol" w:hint="default"/>
      </w:rPr>
    </w:lvl>
    <w:lvl w:ilvl="4" w:tplc="0C090003" w:tentative="1">
      <w:start w:val="1"/>
      <w:numFmt w:val="bullet"/>
      <w:lvlText w:val="o"/>
      <w:lvlJc w:val="left"/>
      <w:pPr>
        <w:ind w:left="6075" w:hanging="360"/>
      </w:pPr>
      <w:rPr>
        <w:rFonts w:ascii="Courier New" w:hAnsi="Courier New" w:hint="default"/>
      </w:rPr>
    </w:lvl>
    <w:lvl w:ilvl="5" w:tplc="0C090005" w:tentative="1">
      <w:start w:val="1"/>
      <w:numFmt w:val="bullet"/>
      <w:lvlText w:val=""/>
      <w:lvlJc w:val="left"/>
      <w:pPr>
        <w:ind w:left="6795" w:hanging="360"/>
      </w:pPr>
      <w:rPr>
        <w:rFonts w:ascii="Wingdings" w:hAnsi="Wingdings" w:hint="default"/>
      </w:rPr>
    </w:lvl>
    <w:lvl w:ilvl="6" w:tplc="0C090001" w:tentative="1">
      <w:start w:val="1"/>
      <w:numFmt w:val="bullet"/>
      <w:lvlText w:val=""/>
      <w:lvlJc w:val="left"/>
      <w:pPr>
        <w:ind w:left="7515" w:hanging="360"/>
      </w:pPr>
      <w:rPr>
        <w:rFonts w:ascii="Symbol" w:hAnsi="Symbol" w:hint="default"/>
      </w:rPr>
    </w:lvl>
    <w:lvl w:ilvl="7" w:tplc="0C090003" w:tentative="1">
      <w:start w:val="1"/>
      <w:numFmt w:val="bullet"/>
      <w:lvlText w:val="o"/>
      <w:lvlJc w:val="left"/>
      <w:pPr>
        <w:ind w:left="8235" w:hanging="360"/>
      </w:pPr>
      <w:rPr>
        <w:rFonts w:ascii="Courier New" w:hAnsi="Courier New" w:hint="default"/>
      </w:rPr>
    </w:lvl>
    <w:lvl w:ilvl="8" w:tplc="0C090005" w:tentative="1">
      <w:start w:val="1"/>
      <w:numFmt w:val="bullet"/>
      <w:lvlText w:val=""/>
      <w:lvlJc w:val="left"/>
      <w:pPr>
        <w:ind w:left="8955" w:hanging="360"/>
      </w:pPr>
      <w:rPr>
        <w:rFonts w:ascii="Wingdings" w:hAnsi="Wingdings" w:hint="default"/>
      </w:rPr>
    </w:lvl>
  </w:abstractNum>
  <w:abstractNum w:abstractNumId="16">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8">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nsid w:val="64804E7A"/>
    <w:multiLevelType w:val="hybridMultilevel"/>
    <w:tmpl w:val="666E1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9582A86"/>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3">
    <w:nsid w:val="6CDA2CE8"/>
    <w:multiLevelType w:val="multilevel"/>
    <w:tmpl w:val="D306238E"/>
    <w:lvl w:ilvl="0">
      <w:start w:val="1"/>
      <w:numFmt w:val="lowerRoman"/>
      <w:lvlText w:val="%1."/>
      <w:lvlJc w:val="righ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4">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5">
    <w:nsid w:val="75EC341C"/>
    <w:multiLevelType w:val="hybridMultilevel"/>
    <w:tmpl w:val="BD3AE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7">
    <w:nsid w:val="78854AAC"/>
    <w:multiLevelType w:val="hybridMultilevel"/>
    <w:tmpl w:val="C174344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8"/>
  </w:num>
  <w:num w:numId="5">
    <w:abstractNumId w:val="16"/>
  </w:num>
  <w:num w:numId="6">
    <w:abstractNumId w:val="18"/>
  </w:num>
  <w:num w:numId="7">
    <w:abstractNumId w:val="3"/>
  </w:num>
  <w:num w:numId="8">
    <w:abstractNumId w:val="20"/>
  </w:num>
  <w:num w:numId="9">
    <w:abstractNumId w:val="11"/>
  </w:num>
  <w:num w:numId="10">
    <w:abstractNumId w:val="6"/>
  </w:num>
  <w:num w:numId="11">
    <w:abstractNumId w:val="9"/>
  </w:num>
  <w:num w:numId="12">
    <w:abstractNumId w:val="27"/>
  </w:num>
  <w:num w:numId="13">
    <w:abstractNumId w:val="2"/>
  </w:num>
  <w:num w:numId="14">
    <w:abstractNumId w:val="17"/>
  </w:num>
  <w:num w:numId="15">
    <w:abstractNumId w:val="24"/>
  </w:num>
  <w:num w:numId="16">
    <w:abstractNumId w:val="14"/>
  </w:num>
  <w:num w:numId="17">
    <w:abstractNumId w:val="19"/>
  </w:num>
  <w:num w:numId="18">
    <w:abstractNumId w:val="26"/>
  </w:num>
  <w:num w:numId="19">
    <w:abstractNumId w:val="7"/>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22"/>
  </w:num>
  <w:num w:numId="26">
    <w:abstractNumId w:val="15"/>
  </w:num>
  <w:num w:numId="27">
    <w:abstractNumId w:val="0"/>
  </w:num>
  <w:num w:numId="28">
    <w:abstractNumId w:val="23"/>
  </w:num>
  <w:num w:numId="29">
    <w:abstractNumId w:val="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13"/>
  </w:num>
  <w:num w:numId="34">
    <w:abstractNumId w:val="4"/>
  </w:num>
  <w:num w:numId="35">
    <w:abstractNumId w:val="4"/>
  </w:num>
  <w:num w:numId="36">
    <w:abstractNumId w:val="21"/>
  </w:num>
  <w:num w:numId="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0567"/>
    <w:rsid w:val="00005A5D"/>
    <w:rsid w:val="000076D9"/>
    <w:rsid w:val="00021708"/>
    <w:rsid w:val="00025D3D"/>
    <w:rsid w:val="00027701"/>
    <w:rsid w:val="00030CB2"/>
    <w:rsid w:val="000343F1"/>
    <w:rsid w:val="00037023"/>
    <w:rsid w:val="00037E4E"/>
    <w:rsid w:val="00044700"/>
    <w:rsid w:val="00051584"/>
    <w:rsid w:val="000543FD"/>
    <w:rsid w:val="0006051B"/>
    <w:rsid w:val="000614F9"/>
    <w:rsid w:val="0006451A"/>
    <w:rsid w:val="00064BF5"/>
    <w:rsid w:val="0006551D"/>
    <w:rsid w:val="00065679"/>
    <w:rsid w:val="0007004C"/>
    <w:rsid w:val="000724F6"/>
    <w:rsid w:val="00074611"/>
    <w:rsid w:val="00074A62"/>
    <w:rsid w:val="0007657F"/>
    <w:rsid w:val="000825CA"/>
    <w:rsid w:val="00086712"/>
    <w:rsid w:val="00087AC4"/>
    <w:rsid w:val="00091DF8"/>
    <w:rsid w:val="00093CB6"/>
    <w:rsid w:val="00093DD8"/>
    <w:rsid w:val="00097794"/>
    <w:rsid w:val="000A0C9E"/>
    <w:rsid w:val="000A5191"/>
    <w:rsid w:val="000B4080"/>
    <w:rsid w:val="000B7685"/>
    <w:rsid w:val="000C714F"/>
    <w:rsid w:val="000D19D8"/>
    <w:rsid w:val="000D1C37"/>
    <w:rsid w:val="000D4377"/>
    <w:rsid w:val="000E075D"/>
    <w:rsid w:val="000E2AF6"/>
    <w:rsid w:val="000E3109"/>
    <w:rsid w:val="000E36B7"/>
    <w:rsid w:val="000E3C70"/>
    <w:rsid w:val="000E48C3"/>
    <w:rsid w:val="000F0880"/>
    <w:rsid w:val="000F21E6"/>
    <w:rsid w:val="000F25D5"/>
    <w:rsid w:val="000F6CF6"/>
    <w:rsid w:val="000F795D"/>
    <w:rsid w:val="001014BC"/>
    <w:rsid w:val="00103FD6"/>
    <w:rsid w:val="00105523"/>
    <w:rsid w:val="001065EE"/>
    <w:rsid w:val="00110F5D"/>
    <w:rsid w:val="001134AC"/>
    <w:rsid w:val="00115166"/>
    <w:rsid w:val="00115A97"/>
    <w:rsid w:val="00122DBA"/>
    <w:rsid w:val="001236A0"/>
    <w:rsid w:val="001261D1"/>
    <w:rsid w:val="001262B5"/>
    <w:rsid w:val="001277A6"/>
    <w:rsid w:val="00132587"/>
    <w:rsid w:val="00134AF2"/>
    <w:rsid w:val="001404A9"/>
    <w:rsid w:val="00140F43"/>
    <w:rsid w:val="00143FA2"/>
    <w:rsid w:val="00145D5C"/>
    <w:rsid w:val="00151133"/>
    <w:rsid w:val="00151515"/>
    <w:rsid w:val="00160506"/>
    <w:rsid w:val="001629FA"/>
    <w:rsid w:val="00165645"/>
    <w:rsid w:val="00165CAB"/>
    <w:rsid w:val="00166312"/>
    <w:rsid w:val="00167BB8"/>
    <w:rsid w:val="00172360"/>
    <w:rsid w:val="00172E3A"/>
    <w:rsid w:val="00173F81"/>
    <w:rsid w:val="00174C2A"/>
    <w:rsid w:val="00175FB9"/>
    <w:rsid w:val="00177A0A"/>
    <w:rsid w:val="00180F76"/>
    <w:rsid w:val="00183EAB"/>
    <w:rsid w:val="00185CC1"/>
    <w:rsid w:val="00187BEB"/>
    <w:rsid w:val="001931E8"/>
    <w:rsid w:val="00194232"/>
    <w:rsid w:val="00194587"/>
    <w:rsid w:val="001A1422"/>
    <w:rsid w:val="001A14C1"/>
    <w:rsid w:val="001A2D76"/>
    <w:rsid w:val="001A3A9A"/>
    <w:rsid w:val="001A4093"/>
    <w:rsid w:val="001A5588"/>
    <w:rsid w:val="001A79C1"/>
    <w:rsid w:val="001A7A15"/>
    <w:rsid w:val="001B19A0"/>
    <w:rsid w:val="001B1CA3"/>
    <w:rsid w:val="001B447F"/>
    <w:rsid w:val="001B580E"/>
    <w:rsid w:val="001B6737"/>
    <w:rsid w:val="001B7933"/>
    <w:rsid w:val="001B7FA5"/>
    <w:rsid w:val="001C346E"/>
    <w:rsid w:val="001C3717"/>
    <w:rsid w:val="001C5CC5"/>
    <w:rsid w:val="001D2C27"/>
    <w:rsid w:val="001D3CAD"/>
    <w:rsid w:val="001D6E9A"/>
    <w:rsid w:val="001E20EC"/>
    <w:rsid w:val="001E397A"/>
    <w:rsid w:val="001E4479"/>
    <w:rsid w:val="001E7173"/>
    <w:rsid w:val="001E74D0"/>
    <w:rsid w:val="001E7803"/>
    <w:rsid w:val="001F1D48"/>
    <w:rsid w:val="001F6CBD"/>
    <w:rsid w:val="001F6F39"/>
    <w:rsid w:val="001F6FE8"/>
    <w:rsid w:val="001F75A2"/>
    <w:rsid w:val="0020144E"/>
    <w:rsid w:val="00205E18"/>
    <w:rsid w:val="002069F9"/>
    <w:rsid w:val="00212869"/>
    <w:rsid w:val="00221308"/>
    <w:rsid w:val="00222C97"/>
    <w:rsid w:val="00225761"/>
    <w:rsid w:val="00233835"/>
    <w:rsid w:val="00237660"/>
    <w:rsid w:val="0024065C"/>
    <w:rsid w:val="00241EE9"/>
    <w:rsid w:val="00247D45"/>
    <w:rsid w:val="00252551"/>
    <w:rsid w:val="00257615"/>
    <w:rsid w:val="002613E4"/>
    <w:rsid w:val="00261ABA"/>
    <w:rsid w:val="00262E18"/>
    <w:rsid w:val="0026571E"/>
    <w:rsid w:val="00266D0F"/>
    <w:rsid w:val="00281874"/>
    <w:rsid w:val="00282C25"/>
    <w:rsid w:val="00284884"/>
    <w:rsid w:val="00285003"/>
    <w:rsid w:val="0028579C"/>
    <w:rsid w:val="002869F5"/>
    <w:rsid w:val="00287DCC"/>
    <w:rsid w:val="00290834"/>
    <w:rsid w:val="00291CF1"/>
    <w:rsid w:val="00292587"/>
    <w:rsid w:val="002A143D"/>
    <w:rsid w:val="002A173A"/>
    <w:rsid w:val="002A3DE9"/>
    <w:rsid w:val="002A493A"/>
    <w:rsid w:val="002A530A"/>
    <w:rsid w:val="002A5884"/>
    <w:rsid w:val="002A5A50"/>
    <w:rsid w:val="002A6981"/>
    <w:rsid w:val="002B0D08"/>
    <w:rsid w:val="002B1C50"/>
    <w:rsid w:val="002B207C"/>
    <w:rsid w:val="002B2F6B"/>
    <w:rsid w:val="002B7922"/>
    <w:rsid w:val="002B7E1B"/>
    <w:rsid w:val="002C0DBF"/>
    <w:rsid w:val="002C2529"/>
    <w:rsid w:val="002C2A03"/>
    <w:rsid w:val="002C62B3"/>
    <w:rsid w:val="002C7620"/>
    <w:rsid w:val="002D122C"/>
    <w:rsid w:val="002D64A1"/>
    <w:rsid w:val="002D7CF9"/>
    <w:rsid w:val="002E144A"/>
    <w:rsid w:val="002E2DE2"/>
    <w:rsid w:val="002E4B66"/>
    <w:rsid w:val="002F576E"/>
    <w:rsid w:val="002F5B29"/>
    <w:rsid w:val="002F5B54"/>
    <w:rsid w:val="002F5C6C"/>
    <w:rsid w:val="002F7E40"/>
    <w:rsid w:val="003012DA"/>
    <w:rsid w:val="0030754B"/>
    <w:rsid w:val="00307C5C"/>
    <w:rsid w:val="00311E9D"/>
    <w:rsid w:val="00312028"/>
    <w:rsid w:val="00312CFE"/>
    <w:rsid w:val="00313480"/>
    <w:rsid w:val="00313C98"/>
    <w:rsid w:val="00313FD9"/>
    <w:rsid w:val="003155BD"/>
    <w:rsid w:val="003177B9"/>
    <w:rsid w:val="00317AB1"/>
    <w:rsid w:val="00321E0A"/>
    <w:rsid w:val="00327722"/>
    <w:rsid w:val="00333506"/>
    <w:rsid w:val="0033547F"/>
    <w:rsid w:val="00340987"/>
    <w:rsid w:val="003410AA"/>
    <w:rsid w:val="0034465F"/>
    <w:rsid w:val="00351D8C"/>
    <w:rsid w:val="00352A6B"/>
    <w:rsid w:val="00352EC1"/>
    <w:rsid w:val="00361054"/>
    <w:rsid w:val="0036119D"/>
    <w:rsid w:val="00363747"/>
    <w:rsid w:val="003637A0"/>
    <w:rsid w:val="0036474E"/>
    <w:rsid w:val="00364CF3"/>
    <w:rsid w:val="00365CAA"/>
    <w:rsid w:val="00367EAB"/>
    <w:rsid w:val="00372573"/>
    <w:rsid w:val="00374E76"/>
    <w:rsid w:val="00375C6B"/>
    <w:rsid w:val="00377AB2"/>
    <w:rsid w:val="003877C3"/>
    <w:rsid w:val="0039283B"/>
    <w:rsid w:val="00393B12"/>
    <w:rsid w:val="00396EA4"/>
    <w:rsid w:val="0039710A"/>
    <w:rsid w:val="003A2157"/>
    <w:rsid w:val="003A3363"/>
    <w:rsid w:val="003A3905"/>
    <w:rsid w:val="003A3CC1"/>
    <w:rsid w:val="003A6635"/>
    <w:rsid w:val="003A6B0E"/>
    <w:rsid w:val="003A78C6"/>
    <w:rsid w:val="003B262E"/>
    <w:rsid w:val="003B5562"/>
    <w:rsid w:val="003B6363"/>
    <w:rsid w:val="003B737F"/>
    <w:rsid w:val="003C0CF7"/>
    <w:rsid w:val="003C2E5D"/>
    <w:rsid w:val="003C59E0"/>
    <w:rsid w:val="003C6F2A"/>
    <w:rsid w:val="003D31EA"/>
    <w:rsid w:val="003D3917"/>
    <w:rsid w:val="003D743C"/>
    <w:rsid w:val="003E33BA"/>
    <w:rsid w:val="003E3AB0"/>
    <w:rsid w:val="003E62B7"/>
    <w:rsid w:val="003E6BA0"/>
    <w:rsid w:val="003E73DB"/>
    <w:rsid w:val="003F0ADC"/>
    <w:rsid w:val="003F5811"/>
    <w:rsid w:val="003F59E6"/>
    <w:rsid w:val="003F5BE6"/>
    <w:rsid w:val="003F6C00"/>
    <w:rsid w:val="004015DA"/>
    <w:rsid w:val="004120B1"/>
    <w:rsid w:val="00413E74"/>
    <w:rsid w:val="0041421D"/>
    <w:rsid w:val="0041490D"/>
    <w:rsid w:val="00414A5C"/>
    <w:rsid w:val="004156B4"/>
    <w:rsid w:val="0041697F"/>
    <w:rsid w:val="00420235"/>
    <w:rsid w:val="004223AA"/>
    <w:rsid w:val="00423104"/>
    <w:rsid w:val="004267D3"/>
    <w:rsid w:val="00427E2A"/>
    <w:rsid w:val="00433E65"/>
    <w:rsid w:val="004374B2"/>
    <w:rsid w:val="0044144E"/>
    <w:rsid w:val="004426B4"/>
    <w:rsid w:val="0044284B"/>
    <w:rsid w:val="00442AB8"/>
    <w:rsid w:val="004436EA"/>
    <w:rsid w:val="0044456C"/>
    <w:rsid w:val="004507F6"/>
    <w:rsid w:val="00450B39"/>
    <w:rsid w:val="00453BC6"/>
    <w:rsid w:val="00454498"/>
    <w:rsid w:val="00456C59"/>
    <w:rsid w:val="00477931"/>
    <w:rsid w:val="00490198"/>
    <w:rsid w:val="00490E28"/>
    <w:rsid w:val="00497362"/>
    <w:rsid w:val="00497C77"/>
    <w:rsid w:val="004A0338"/>
    <w:rsid w:val="004A0AE7"/>
    <w:rsid w:val="004A21DA"/>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1433"/>
    <w:rsid w:val="004C3CC4"/>
    <w:rsid w:val="004C4D5E"/>
    <w:rsid w:val="004D11ED"/>
    <w:rsid w:val="004D310E"/>
    <w:rsid w:val="004D37D8"/>
    <w:rsid w:val="004D4B81"/>
    <w:rsid w:val="004D72E3"/>
    <w:rsid w:val="004E3790"/>
    <w:rsid w:val="004F09B8"/>
    <w:rsid w:val="004F6B2B"/>
    <w:rsid w:val="005005DF"/>
    <w:rsid w:val="00502F2C"/>
    <w:rsid w:val="00505045"/>
    <w:rsid w:val="00510B96"/>
    <w:rsid w:val="00511501"/>
    <w:rsid w:val="00511B5B"/>
    <w:rsid w:val="005154FF"/>
    <w:rsid w:val="00515AF2"/>
    <w:rsid w:val="0051640E"/>
    <w:rsid w:val="00516741"/>
    <w:rsid w:val="0051684E"/>
    <w:rsid w:val="00527ABC"/>
    <w:rsid w:val="0053699C"/>
    <w:rsid w:val="00540FC5"/>
    <w:rsid w:val="0054193D"/>
    <w:rsid w:val="00542655"/>
    <w:rsid w:val="00542A8C"/>
    <w:rsid w:val="00542D59"/>
    <w:rsid w:val="00543637"/>
    <w:rsid w:val="00545DF7"/>
    <w:rsid w:val="00546CA2"/>
    <w:rsid w:val="005539F5"/>
    <w:rsid w:val="0055415C"/>
    <w:rsid w:val="00554A64"/>
    <w:rsid w:val="00554AAC"/>
    <w:rsid w:val="0055503F"/>
    <w:rsid w:val="00556BA4"/>
    <w:rsid w:val="005572D7"/>
    <w:rsid w:val="00562C29"/>
    <w:rsid w:val="00563797"/>
    <w:rsid w:val="00563FD5"/>
    <w:rsid w:val="005651B5"/>
    <w:rsid w:val="00566234"/>
    <w:rsid w:val="0057262B"/>
    <w:rsid w:val="005815B3"/>
    <w:rsid w:val="00582A03"/>
    <w:rsid w:val="00582E0E"/>
    <w:rsid w:val="00587E37"/>
    <w:rsid w:val="00593821"/>
    <w:rsid w:val="00596E88"/>
    <w:rsid w:val="00597CBD"/>
    <w:rsid w:val="005A0969"/>
    <w:rsid w:val="005A2810"/>
    <w:rsid w:val="005A5E7A"/>
    <w:rsid w:val="005B0DEF"/>
    <w:rsid w:val="005B2A03"/>
    <w:rsid w:val="005B4C1B"/>
    <w:rsid w:val="005B5D0C"/>
    <w:rsid w:val="005C2684"/>
    <w:rsid w:val="005C2DDC"/>
    <w:rsid w:val="005C54FC"/>
    <w:rsid w:val="005C5620"/>
    <w:rsid w:val="005C578C"/>
    <w:rsid w:val="005D1F0F"/>
    <w:rsid w:val="005D29DB"/>
    <w:rsid w:val="005D41F9"/>
    <w:rsid w:val="005E1DC7"/>
    <w:rsid w:val="005E39D6"/>
    <w:rsid w:val="005E4143"/>
    <w:rsid w:val="005E724B"/>
    <w:rsid w:val="005F38A8"/>
    <w:rsid w:val="005F6395"/>
    <w:rsid w:val="005F644C"/>
    <w:rsid w:val="00601F7C"/>
    <w:rsid w:val="00602A48"/>
    <w:rsid w:val="00602EF7"/>
    <w:rsid w:val="00606F11"/>
    <w:rsid w:val="00607B03"/>
    <w:rsid w:val="0061059D"/>
    <w:rsid w:val="0061326F"/>
    <w:rsid w:val="00614393"/>
    <w:rsid w:val="006146F2"/>
    <w:rsid w:val="00614C00"/>
    <w:rsid w:val="00623567"/>
    <w:rsid w:val="006412B5"/>
    <w:rsid w:val="00641932"/>
    <w:rsid w:val="0064368F"/>
    <w:rsid w:val="00644083"/>
    <w:rsid w:val="0064429B"/>
    <w:rsid w:val="0064477C"/>
    <w:rsid w:val="00650903"/>
    <w:rsid w:val="00651C96"/>
    <w:rsid w:val="00656AFF"/>
    <w:rsid w:val="006650A8"/>
    <w:rsid w:val="00667308"/>
    <w:rsid w:val="006679C0"/>
    <w:rsid w:val="006779B4"/>
    <w:rsid w:val="00680DD3"/>
    <w:rsid w:val="00680ED5"/>
    <w:rsid w:val="00681956"/>
    <w:rsid w:val="0068280B"/>
    <w:rsid w:val="00682FBA"/>
    <w:rsid w:val="00683370"/>
    <w:rsid w:val="00683562"/>
    <w:rsid w:val="00684CE4"/>
    <w:rsid w:val="00684EC1"/>
    <w:rsid w:val="006903F9"/>
    <w:rsid w:val="006904F7"/>
    <w:rsid w:val="00690BC9"/>
    <w:rsid w:val="006923C8"/>
    <w:rsid w:val="0069650B"/>
    <w:rsid w:val="00696AB4"/>
    <w:rsid w:val="00697494"/>
    <w:rsid w:val="006976BF"/>
    <w:rsid w:val="006A05D7"/>
    <w:rsid w:val="006A31B2"/>
    <w:rsid w:val="006A4628"/>
    <w:rsid w:val="006A6ACD"/>
    <w:rsid w:val="006B0FC2"/>
    <w:rsid w:val="006B3F39"/>
    <w:rsid w:val="006B4213"/>
    <w:rsid w:val="006B43AF"/>
    <w:rsid w:val="006B4DF0"/>
    <w:rsid w:val="006C0EAE"/>
    <w:rsid w:val="006C1013"/>
    <w:rsid w:val="006C163A"/>
    <w:rsid w:val="006C228B"/>
    <w:rsid w:val="006C2931"/>
    <w:rsid w:val="006D466E"/>
    <w:rsid w:val="006D4B70"/>
    <w:rsid w:val="006D4C35"/>
    <w:rsid w:val="006D7A92"/>
    <w:rsid w:val="006E3B48"/>
    <w:rsid w:val="006E5955"/>
    <w:rsid w:val="006E6184"/>
    <w:rsid w:val="006E631B"/>
    <w:rsid w:val="006F096A"/>
    <w:rsid w:val="006F22E3"/>
    <w:rsid w:val="006F3095"/>
    <w:rsid w:val="006F5455"/>
    <w:rsid w:val="006F5CB6"/>
    <w:rsid w:val="006F79D3"/>
    <w:rsid w:val="00702459"/>
    <w:rsid w:val="00703194"/>
    <w:rsid w:val="00706E50"/>
    <w:rsid w:val="0070737C"/>
    <w:rsid w:val="00711229"/>
    <w:rsid w:val="00715018"/>
    <w:rsid w:val="007179FE"/>
    <w:rsid w:val="00717F25"/>
    <w:rsid w:val="007201B1"/>
    <w:rsid w:val="007201D7"/>
    <w:rsid w:val="00720D03"/>
    <w:rsid w:val="00724E14"/>
    <w:rsid w:val="00725AD5"/>
    <w:rsid w:val="007263D4"/>
    <w:rsid w:val="00726DB5"/>
    <w:rsid w:val="00726EB4"/>
    <w:rsid w:val="00731945"/>
    <w:rsid w:val="007363DE"/>
    <w:rsid w:val="0073698D"/>
    <w:rsid w:val="00736C0B"/>
    <w:rsid w:val="00740A35"/>
    <w:rsid w:val="00744D93"/>
    <w:rsid w:val="00746531"/>
    <w:rsid w:val="00751725"/>
    <w:rsid w:val="00752028"/>
    <w:rsid w:val="0075450A"/>
    <w:rsid w:val="0075717D"/>
    <w:rsid w:val="0076017E"/>
    <w:rsid w:val="00760DB6"/>
    <w:rsid w:val="007617C2"/>
    <w:rsid w:val="00761D11"/>
    <w:rsid w:val="0076361C"/>
    <w:rsid w:val="007661AE"/>
    <w:rsid w:val="00766A51"/>
    <w:rsid w:val="00771E70"/>
    <w:rsid w:val="00771FFF"/>
    <w:rsid w:val="00772818"/>
    <w:rsid w:val="0077685D"/>
    <w:rsid w:val="0077788E"/>
    <w:rsid w:val="00777A95"/>
    <w:rsid w:val="00784439"/>
    <w:rsid w:val="00787E75"/>
    <w:rsid w:val="00797257"/>
    <w:rsid w:val="007A3157"/>
    <w:rsid w:val="007A5937"/>
    <w:rsid w:val="007A6E20"/>
    <w:rsid w:val="007B10ED"/>
    <w:rsid w:val="007B2B2E"/>
    <w:rsid w:val="007B3BFC"/>
    <w:rsid w:val="007B4B03"/>
    <w:rsid w:val="007B50E8"/>
    <w:rsid w:val="007B7978"/>
    <w:rsid w:val="007C4F31"/>
    <w:rsid w:val="007C615A"/>
    <w:rsid w:val="007C6AF7"/>
    <w:rsid w:val="007D2C3D"/>
    <w:rsid w:val="007D394F"/>
    <w:rsid w:val="007E5257"/>
    <w:rsid w:val="007E5391"/>
    <w:rsid w:val="007F4121"/>
    <w:rsid w:val="007F4EF5"/>
    <w:rsid w:val="00804105"/>
    <w:rsid w:val="00806D94"/>
    <w:rsid w:val="00807AD8"/>
    <w:rsid w:val="00811800"/>
    <w:rsid w:val="00811ADB"/>
    <w:rsid w:val="00812E1C"/>
    <w:rsid w:val="00813CFF"/>
    <w:rsid w:val="008140C5"/>
    <w:rsid w:val="00814590"/>
    <w:rsid w:val="00814667"/>
    <w:rsid w:val="008148E2"/>
    <w:rsid w:val="008149E4"/>
    <w:rsid w:val="008156B7"/>
    <w:rsid w:val="00815865"/>
    <w:rsid w:val="00815ED2"/>
    <w:rsid w:val="00817D90"/>
    <w:rsid w:val="00822355"/>
    <w:rsid w:val="00822DEC"/>
    <w:rsid w:val="0082332D"/>
    <w:rsid w:val="0082402C"/>
    <w:rsid w:val="00825FF5"/>
    <w:rsid w:val="008262F1"/>
    <w:rsid w:val="008311FA"/>
    <w:rsid w:val="008317EF"/>
    <w:rsid w:val="00845BCC"/>
    <w:rsid w:val="008510EA"/>
    <w:rsid w:val="00851465"/>
    <w:rsid w:val="008514B8"/>
    <w:rsid w:val="008520BD"/>
    <w:rsid w:val="00852ED8"/>
    <w:rsid w:val="0085330A"/>
    <w:rsid w:val="008550CA"/>
    <w:rsid w:val="0085533A"/>
    <w:rsid w:val="00855543"/>
    <w:rsid w:val="008562C4"/>
    <w:rsid w:val="0085738D"/>
    <w:rsid w:val="00862395"/>
    <w:rsid w:val="00864DD3"/>
    <w:rsid w:val="008708D6"/>
    <w:rsid w:val="00871927"/>
    <w:rsid w:val="00874608"/>
    <w:rsid w:val="008760D0"/>
    <w:rsid w:val="00881317"/>
    <w:rsid w:val="0088269D"/>
    <w:rsid w:val="00883A2F"/>
    <w:rsid w:val="008843EE"/>
    <w:rsid w:val="008909D1"/>
    <w:rsid w:val="00892CA4"/>
    <w:rsid w:val="00896477"/>
    <w:rsid w:val="00896BD6"/>
    <w:rsid w:val="00896F5A"/>
    <w:rsid w:val="008A3B67"/>
    <w:rsid w:val="008A3C37"/>
    <w:rsid w:val="008B0176"/>
    <w:rsid w:val="008B1840"/>
    <w:rsid w:val="008B34C3"/>
    <w:rsid w:val="008B70D3"/>
    <w:rsid w:val="008B73A2"/>
    <w:rsid w:val="008B7FE2"/>
    <w:rsid w:val="008C0BBA"/>
    <w:rsid w:val="008C2450"/>
    <w:rsid w:val="008C2BDB"/>
    <w:rsid w:val="008C7817"/>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117B"/>
    <w:rsid w:val="009221DF"/>
    <w:rsid w:val="009224FD"/>
    <w:rsid w:val="00923918"/>
    <w:rsid w:val="0093296C"/>
    <w:rsid w:val="00932C72"/>
    <w:rsid w:val="009348DA"/>
    <w:rsid w:val="00935CC7"/>
    <w:rsid w:val="0093738E"/>
    <w:rsid w:val="0094002F"/>
    <w:rsid w:val="0094129D"/>
    <w:rsid w:val="00941BB7"/>
    <w:rsid w:val="00944760"/>
    <w:rsid w:val="00944BC4"/>
    <w:rsid w:val="00946A91"/>
    <w:rsid w:val="00946AE5"/>
    <w:rsid w:val="00950865"/>
    <w:rsid w:val="00951BAD"/>
    <w:rsid w:val="0095223D"/>
    <w:rsid w:val="009526E4"/>
    <w:rsid w:val="00953AA1"/>
    <w:rsid w:val="00954B44"/>
    <w:rsid w:val="00954CCD"/>
    <w:rsid w:val="009644B8"/>
    <w:rsid w:val="0096732C"/>
    <w:rsid w:val="009703B6"/>
    <w:rsid w:val="00971A4C"/>
    <w:rsid w:val="00975EB5"/>
    <w:rsid w:val="00975F59"/>
    <w:rsid w:val="00983979"/>
    <w:rsid w:val="00983DC2"/>
    <w:rsid w:val="00983DF0"/>
    <w:rsid w:val="00990983"/>
    <w:rsid w:val="009928A1"/>
    <w:rsid w:val="0099742A"/>
    <w:rsid w:val="009A0446"/>
    <w:rsid w:val="009A062C"/>
    <w:rsid w:val="009A1B59"/>
    <w:rsid w:val="009A48AF"/>
    <w:rsid w:val="009A522D"/>
    <w:rsid w:val="009A610F"/>
    <w:rsid w:val="009B0C68"/>
    <w:rsid w:val="009B3F77"/>
    <w:rsid w:val="009B4F9E"/>
    <w:rsid w:val="009B5132"/>
    <w:rsid w:val="009C166A"/>
    <w:rsid w:val="009C2059"/>
    <w:rsid w:val="009C2CA8"/>
    <w:rsid w:val="009C38E6"/>
    <w:rsid w:val="009C6FFB"/>
    <w:rsid w:val="009C7EF5"/>
    <w:rsid w:val="009D0C93"/>
    <w:rsid w:val="009D2FAC"/>
    <w:rsid w:val="009D4DAD"/>
    <w:rsid w:val="009E093C"/>
    <w:rsid w:val="009E1311"/>
    <w:rsid w:val="009E151E"/>
    <w:rsid w:val="009E3ACF"/>
    <w:rsid w:val="009E4866"/>
    <w:rsid w:val="009E4F66"/>
    <w:rsid w:val="009E5DB6"/>
    <w:rsid w:val="009F3AC5"/>
    <w:rsid w:val="009F777E"/>
    <w:rsid w:val="009F7F52"/>
    <w:rsid w:val="00A00346"/>
    <w:rsid w:val="00A0202C"/>
    <w:rsid w:val="00A0227E"/>
    <w:rsid w:val="00A0349A"/>
    <w:rsid w:val="00A046F4"/>
    <w:rsid w:val="00A05C1E"/>
    <w:rsid w:val="00A0603F"/>
    <w:rsid w:val="00A112E6"/>
    <w:rsid w:val="00A11CA8"/>
    <w:rsid w:val="00A14313"/>
    <w:rsid w:val="00A14966"/>
    <w:rsid w:val="00A15CAB"/>
    <w:rsid w:val="00A16E8F"/>
    <w:rsid w:val="00A17CCB"/>
    <w:rsid w:val="00A201DE"/>
    <w:rsid w:val="00A211A9"/>
    <w:rsid w:val="00A2422A"/>
    <w:rsid w:val="00A25265"/>
    <w:rsid w:val="00A26FC8"/>
    <w:rsid w:val="00A303A1"/>
    <w:rsid w:val="00A30CD9"/>
    <w:rsid w:val="00A42386"/>
    <w:rsid w:val="00A436C7"/>
    <w:rsid w:val="00A50751"/>
    <w:rsid w:val="00A50E72"/>
    <w:rsid w:val="00A54B81"/>
    <w:rsid w:val="00A54BE7"/>
    <w:rsid w:val="00A564EB"/>
    <w:rsid w:val="00A61ADC"/>
    <w:rsid w:val="00A6500A"/>
    <w:rsid w:val="00A65333"/>
    <w:rsid w:val="00A6719E"/>
    <w:rsid w:val="00A739F1"/>
    <w:rsid w:val="00A758DE"/>
    <w:rsid w:val="00A75EA8"/>
    <w:rsid w:val="00A8189A"/>
    <w:rsid w:val="00A81C2E"/>
    <w:rsid w:val="00A81EC4"/>
    <w:rsid w:val="00A8478F"/>
    <w:rsid w:val="00A858C4"/>
    <w:rsid w:val="00A9141E"/>
    <w:rsid w:val="00A9341B"/>
    <w:rsid w:val="00A974CA"/>
    <w:rsid w:val="00AA1AA2"/>
    <w:rsid w:val="00AA2CD5"/>
    <w:rsid w:val="00AA3DB5"/>
    <w:rsid w:val="00AA4F6C"/>
    <w:rsid w:val="00AB16AE"/>
    <w:rsid w:val="00AB392A"/>
    <w:rsid w:val="00AB5801"/>
    <w:rsid w:val="00AB5A64"/>
    <w:rsid w:val="00AB71A5"/>
    <w:rsid w:val="00AB76C6"/>
    <w:rsid w:val="00AB79E9"/>
    <w:rsid w:val="00AC5567"/>
    <w:rsid w:val="00AD04F4"/>
    <w:rsid w:val="00AD5598"/>
    <w:rsid w:val="00AD576C"/>
    <w:rsid w:val="00AD670F"/>
    <w:rsid w:val="00AD6C71"/>
    <w:rsid w:val="00AE1E4B"/>
    <w:rsid w:val="00AE1E54"/>
    <w:rsid w:val="00AE29D4"/>
    <w:rsid w:val="00AE2AFD"/>
    <w:rsid w:val="00AE4372"/>
    <w:rsid w:val="00AE478A"/>
    <w:rsid w:val="00AF0C8D"/>
    <w:rsid w:val="00B00778"/>
    <w:rsid w:val="00B04E8C"/>
    <w:rsid w:val="00B050C0"/>
    <w:rsid w:val="00B05642"/>
    <w:rsid w:val="00B05C05"/>
    <w:rsid w:val="00B06097"/>
    <w:rsid w:val="00B10045"/>
    <w:rsid w:val="00B100DF"/>
    <w:rsid w:val="00B10CAE"/>
    <w:rsid w:val="00B12190"/>
    <w:rsid w:val="00B1294B"/>
    <w:rsid w:val="00B137C3"/>
    <w:rsid w:val="00B171BB"/>
    <w:rsid w:val="00B2247A"/>
    <w:rsid w:val="00B25E7D"/>
    <w:rsid w:val="00B36551"/>
    <w:rsid w:val="00B36E9E"/>
    <w:rsid w:val="00B40E38"/>
    <w:rsid w:val="00B45C9E"/>
    <w:rsid w:val="00B477B9"/>
    <w:rsid w:val="00B50430"/>
    <w:rsid w:val="00B51ACE"/>
    <w:rsid w:val="00B619AA"/>
    <w:rsid w:val="00B623D7"/>
    <w:rsid w:val="00B64949"/>
    <w:rsid w:val="00B66E7A"/>
    <w:rsid w:val="00B76F78"/>
    <w:rsid w:val="00B8096A"/>
    <w:rsid w:val="00B87541"/>
    <w:rsid w:val="00B913E8"/>
    <w:rsid w:val="00B91564"/>
    <w:rsid w:val="00B91F04"/>
    <w:rsid w:val="00B9206A"/>
    <w:rsid w:val="00B9279E"/>
    <w:rsid w:val="00B97427"/>
    <w:rsid w:val="00BA181B"/>
    <w:rsid w:val="00BA1CFA"/>
    <w:rsid w:val="00BA4284"/>
    <w:rsid w:val="00BA531A"/>
    <w:rsid w:val="00BB171F"/>
    <w:rsid w:val="00BB540F"/>
    <w:rsid w:val="00BC1029"/>
    <w:rsid w:val="00BC2720"/>
    <w:rsid w:val="00BC4728"/>
    <w:rsid w:val="00BC4BF4"/>
    <w:rsid w:val="00BC60B3"/>
    <w:rsid w:val="00BD2253"/>
    <w:rsid w:val="00BD3AC3"/>
    <w:rsid w:val="00BD66EF"/>
    <w:rsid w:val="00BD7496"/>
    <w:rsid w:val="00BE042D"/>
    <w:rsid w:val="00BE4802"/>
    <w:rsid w:val="00BE7212"/>
    <w:rsid w:val="00BF0D7C"/>
    <w:rsid w:val="00BF2221"/>
    <w:rsid w:val="00BF331F"/>
    <w:rsid w:val="00BF4129"/>
    <w:rsid w:val="00C053A4"/>
    <w:rsid w:val="00C05A57"/>
    <w:rsid w:val="00C05CC6"/>
    <w:rsid w:val="00C068C7"/>
    <w:rsid w:val="00C073C2"/>
    <w:rsid w:val="00C13C12"/>
    <w:rsid w:val="00C160F4"/>
    <w:rsid w:val="00C20F99"/>
    <w:rsid w:val="00C2120D"/>
    <w:rsid w:val="00C215E7"/>
    <w:rsid w:val="00C233E9"/>
    <w:rsid w:val="00C2605C"/>
    <w:rsid w:val="00C26C5B"/>
    <w:rsid w:val="00C2711B"/>
    <w:rsid w:val="00C275AF"/>
    <w:rsid w:val="00C303B4"/>
    <w:rsid w:val="00C40EBC"/>
    <w:rsid w:val="00C41265"/>
    <w:rsid w:val="00C4202E"/>
    <w:rsid w:val="00C42833"/>
    <w:rsid w:val="00C42ACA"/>
    <w:rsid w:val="00C51308"/>
    <w:rsid w:val="00C51EEF"/>
    <w:rsid w:val="00C51F78"/>
    <w:rsid w:val="00C539F8"/>
    <w:rsid w:val="00C53A47"/>
    <w:rsid w:val="00C57BB9"/>
    <w:rsid w:val="00C606F6"/>
    <w:rsid w:val="00C6082E"/>
    <w:rsid w:val="00C61699"/>
    <w:rsid w:val="00C61A28"/>
    <w:rsid w:val="00C62B02"/>
    <w:rsid w:val="00C64908"/>
    <w:rsid w:val="00C705B5"/>
    <w:rsid w:val="00C7093C"/>
    <w:rsid w:val="00C738BD"/>
    <w:rsid w:val="00C747CE"/>
    <w:rsid w:val="00C75D40"/>
    <w:rsid w:val="00C83627"/>
    <w:rsid w:val="00C85E44"/>
    <w:rsid w:val="00C86342"/>
    <w:rsid w:val="00C86375"/>
    <w:rsid w:val="00C92F94"/>
    <w:rsid w:val="00C93E17"/>
    <w:rsid w:val="00C95D81"/>
    <w:rsid w:val="00C960AA"/>
    <w:rsid w:val="00CA121E"/>
    <w:rsid w:val="00CA501D"/>
    <w:rsid w:val="00CA55C4"/>
    <w:rsid w:val="00CB1789"/>
    <w:rsid w:val="00CB1CB2"/>
    <w:rsid w:val="00CB2557"/>
    <w:rsid w:val="00CB44C4"/>
    <w:rsid w:val="00CB47FE"/>
    <w:rsid w:val="00CB4D35"/>
    <w:rsid w:val="00CB6703"/>
    <w:rsid w:val="00CC1F4E"/>
    <w:rsid w:val="00CC35CF"/>
    <w:rsid w:val="00CC39B1"/>
    <w:rsid w:val="00CC58FE"/>
    <w:rsid w:val="00CD4CDE"/>
    <w:rsid w:val="00CD526B"/>
    <w:rsid w:val="00CD5B93"/>
    <w:rsid w:val="00CD7039"/>
    <w:rsid w:val="00CE3B32"/>
    <w:rsid w:val="00CE4A24"/>
    <w:rsid w:val="00CE613B"/>
    <w:rsid w:val="00CE7403"/>
    <w:rsid w:val="00CF0826"/>
    <w:rsid w:val="00CF0D8A"/>
    <w:rsid w:val="00CF267F"/>
    <w:rsid w:val="00CF3B07"/>
    <w:rsid w:val="00CF55EA"/>
    <w:rsid w:val="00CF6238"/>
    <w:rsid w:val="00CF6F7C"/>
    <w:rsid w:val="00CF7DA0"/>
    <w:rsid w:val="00D02914"/>
    <w:rsid w:val="00D0312C"/>
    <w:rsid w:val="00D04614"/>
    <w:rsid w:val="00D1723F"/>
    <w:rsid w:val="00D20F75"/>
    <w:rsid w:val="00D26B64"/>
    <w:rsid w:val="00D30AA4"/>
    <w:rsid w:val="00D30CE5"/>
    <w:rsid w:val="00D3674A"/>
    <w:rsid w:val="00D40383"/>
    <w:rsid w:val="00D4085D"/>
    <w:rsid w:val="00D428F4"/>
    <w:rsid w:val="00D434F3"/>
    <w:rsid w:val="00D46E83"/>
    <w:rsid w:val="00D50266"/>
    <w:rsid w:val="00D51386"/>
    <w:rsid w:val="00D51CD5"/>
    <w:rsid w:val="00D52914"/>
    <w:rsid w:val="00D5485B"/>
    <w:rsid w:val="00D56116"/>
    <w:rsid w:val="00D57346"/>
    <w:rsid w:val="00D60881"/>
    <w:rsid w:val="00D61911"/>
    <w:rsid w:val="00D62258"/>
    <w:rsid w:val="00D625A7"/>
    <w:rsid w:val="00D677F9"/>
    <w:rsid w:val="00D702F1"/>
    <w:rsid w:val="00D729FA"/>
    <w:rsid w:val="00D7336A"/>
    <w:rsid w:val="00D73591"/>
    <w:rsid w:val="00D75B6A"/>
    <w:rsid w:val="00D770A9"/>
    <w:rsid w:val="00D802FC"/>
    <w:rsid w:val="00D8532B"/>
    <w:rsid w:val="00D85463"/>
    <w:rsid w:val="00D95D10"/>
    <w:rsid w:val="00D973A5"/>
    <w:rsid w:val="00DA205D"/>
    <w:rsid w:val="00DA7233"/>
    <w:rsid w:val="00DB13DA"/>
    <w:rsid w:val="00DB6FDA"/>
    <w:rsid w:val="00DC318C"/>
    <w:rsid w:val="00DC4D62"/>
    <w:rsid w:val="00DC50E5"/>
    <w:rsid w:val="00DC76C7"/>
    <w:rsid w:val="00DE311A"/>
    <w:rsid w:val="00DE36EB"/>
    <w:rsid w:val="00DE4A6C"/>
    <w:rsid w:val="00DE64C1"/>
    <w:rsid w:val="00DF483C"/>
    <w:rsid w:val="00DF5BAB"/>
    <w:rsid w:val="00E07181"/>
    <w:rsid w:val="00E10555"/>
    <w:rsid w:val="00E11087"/>
    <w:rsid w:val="00E15DB0"/>
    <w:rsid w:val="00E16E0A"/>
    <w:rsid w:val="00E204BB"/>
    <w:rsid w:val="00E220BC"/>
    <w:rsid w:val="00E227F9"/>
    <w:rsid w:val="00E23F21"/>
    <w:rsid w:val="00E31096"/>
    <w:rsid w:val="00E33938"/>
    <w:rsid w:val="00E33F03"/>
    <w:rsid w:val="00E34C6D"/>
    <w:rsid w:val="00E354D8"/>
    <w:rsid w:val="00E3658A"/>
    <w:rsid w:val="00E3706A"/>
    <w:rsid w:val="00E3738B"/>
    <w:rsid w:val="00E37446"/>
    <w:rsid w:val="00E37730"/>
    <w:rsid w:val="00E4099E"/>
    <w:rsid w:val="00E456AA"/>
    <w:rsid w:val="00E46534"/>
    <w:rsid w:val="00E5201F"/>
    <w:rsid w:val="00E579FF"/>
    <w:rsid w:val="00E6313E"/>
    <w:rsid w:val="00E6698B"/>
    <w:rsid w:val="00E67078"/>
    <w:rsid w:val="00E674A9"/>
    <w:rsid w:val="00E67E17"/>
    <w:rsid w:val="00E7195E"/>
    <w:rsid w:val="00E72F4A"/>
    <w:rsid w:val="00E7467D"/>
    <w:rsid w:val="00E82115"/>
    <w:rsid w:val="00E82A5B"/>
    <w:rsid w:val="00E832FF"/>
    <w:rsid w:val="00E83448"/>
    <w:rsid w:val="00E83497"/>
    <w:rsid w:val="00E838D3"/>
    <w:rsid w:val="00E87290"/>
    <w:rsid w:val="00E92C8A"/>
    <w:rsid w:val="00E9346D"/>
    <w:rsid w:val="00EA1349"/>
    <w:rsid w:val="00EA21BF"/>
    <w:rsid w:val="00EA3C4A"/>
    <w:rsid w:val="00EA51F8"/>
    <w:rsid w:val="00EA594C"/>
    <w:rsid w:val="00EA7329"/>
    <w:rsid w:val="00EA7A1C"/>
    <w:rsid w:val="00EB2CE1"/>
    <w:rsid w:val="00EB7EDA"/>
    <w:rsid w:val="00EC3E78"/>
    <w:rsid w:val="00EC5206"/>
    <w:rsid w:val="00EC5D22"/>
    <w:rsid w:val="00ED0175"/>
    <w:rsid w:val="00ED0AC8"/>
    <w:rsid w:val="00ED20A4"/>
    <w:rsid w:val="00ED2AC4"/>
    <w:rsid w:val="00ED4036"/>
    <w:rsid w:val="00ED546C"/>
    <w:rsid w:val="00ED7BEB"/>
    <w:rsid w:val="00EE041B"/>
    <w:rsid w:val="00EE064E"/>
    <w:rsid w:val="00EE123B"/>
    <w:rsid w:val="00EE3A47"/>
    <w:rsid w:val="00EE57AC"/>
    <w:rsid w:val="00EE74C4"/>
    <w:rsid w:val="00EE7D29"/>
    <w:rsid w:val="00EF33DE"/>
    <w:rsid w:val="00EF6486"/>
    <w:rsid w:val="00EF72D4"/>
    <w:rsid w:val="00F0077A"/>
    <w:rsid w:val="00F11A23"/>
    <w:rsid w:val="00F11DDE"/>
    <w:rsid w:val="00F120E6"/>
    <w:rsid w:val="00F12ACD"/>
    <w:rsid w:val="00F13708"/>
    <w:rsid w:val="00F16589"/>
    <w:rsid w:val="00F2068C"/>
    <w:rsid w:val="00F234AB"/>
    <w:rsid w:val="00F24478"/>
    <w:rsid w:val="00F31DE0"/>
    <w:rsid w:val="00F3245D"/>
    <w:rsid w:val="00F34E70"/>
    <w:rsid w:val="00F40456"/>
    <w:rsid w:val="00F42CC2"/>
    <w:rsid w:val="00F4377A"/>
    <w:rsid w:val="00F44562"/>
    <w:rsid w:val="00F46237"/>
    <w:rsid w:val="00F47765"/>
    <w:rsid w:val="00F501C6"/>
    <w:rsid w:val="00F60D34"/>
    <w:rsid w:val="00F630DB"/>
    <w:rsid w:val="00F630EF"/>
    <w:rsid w:val="00F6403E"/>
    <w:rsid w:val="00F71346"/>
    <w:rsid w:val="00F715F2"/>
    <w:rsid w:val="00F730C7"/>
    <w:rsid w:val="00F75118"/>
    <w:rsid w:val="00F76C87"/>
    <w:rsid w:val="00F8242D"/>
    <w:rsid w:val="00F8684A"/>
    <w:rsid w:val="00F94C3D"/>
    <w:rsid w:val="00F95D26"/>
    <w:rsid w:val="00F979C5"/>
    <w:rsid w:val="00FA0CBF"/>
    <w:rsid w:val="00FA0E45"/>
    <w:rsid w:val="00FA2EC0"/>
    <w:rsid w:val="00FA4487"/>
    <w:rsid w:val="00FA4E87"/>
    <w:rsid w:val="00FA64FD"/>
    <w:rsid w:val="00FB4200"/>
    <w:rsid w:val="00FB5750"/>
    <w:rsid w:val="00FB6A2E"/>
    <w:rsid w:val="00FC055C"/>
    <w:rsid w:val="00FC1FBD"/>
    <w:rsid w:val="00FC4BCD"/>
    <w:rsid w:val="00FD4437"/>
    <w:rsid w:val="00FD4F42"/>
    <w:rsid w:val="00FD7A58"/>
    <w:rsid w:val="00FE26A5"/>
    <w:rsid w:val="00FE2E10"/>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1B7A6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5"/>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7"/>
      </w:numPr>
      <w:tabs>
        <w:tab w:val="num" w:pos="567"/>
        <w:tab w:val="num" w:pos="850"/>
      </w:tabs>
      <w:ind w:left="850" w:hanging="284"/>
    </w:pPr>
  </w:style>
  <w:style w:type="paragraph" w:customStyle="1" w:styleId="DoubleDot">
    <w:name w:val="Double Dot"/>
    <w:basedOn w:val="Normal"/>
    <w:rsid w:val="00D51386"/>
    <w:pPr>
      <w:numPr>
        <w:ilvl w:val="2"/>
        <w:numId w:val="7"/>
      </w:numPr>
      <w:tabs>
        <w:tab w:val="num" w:pos="850"/>
        <w:tab w:val="num" w:pos="1133"/>
      </w:tabs>
      <w:ind w:left="1133" w:hanging="283"/>
    </w:pPr>
  </w:style>
  <w:style w:type="paragraph" w:customStyle="1" w:styleId="OutlineNumbered1">
    <w:name w:val="Outline Numbered 1"/>
    <w:basedOn w:val="Normal"/>
    <w:rsid w:val="00D51386"/>
    <w:pPr>
      <w:numPr>
        <w:numId w:val="4"/>
      </w:numPr>
    </w:pPr>
  </w:style>
  <w:style w:type="paragraph" w:customStyle="1" w:styleId="OutlineNumbered2">
    <w:name w:val="Outline Numbered 2"/>
    <w:basedOn w:val="Normal"/>
    <w:rsid w:val="00D51386"/>
    <w:pPr>
      <w:numPr>
        <w:ilvl w:val="1"/>
        <w:numId w:val="4"/>
      </w:numPr>
    </w:pPr>
  </w:style>
  <w:style w:type="paragraph" w:customStyle="1" w:styleId="OutlineNumbered3">
    <w:name w:val="Outline Numbered 3"/>
    <w:basedOn w:val="Normal"/>
    <w:rsid w:val="00D51386"/>
    <w:pPr>
      <w:numPr>
        <w:ilvl w:val="2"/>
        <w:numId w:val="4"/>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5"/>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7"/>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6"/>
      </w:numPr>
    </w:pPr>
  </w:style>
  <w:style w:type="paragraph" w:customStyle="1" w:styleId="BoxDash">
    <w:name w:val="Box Dash"/>
    <w:basedOn w:val="Normal"/>
    <w:uiPriority w:val="99"/>
    <w:rsid w:val="00D51386"/>
    <w:pPr>
      <w:numPr>
        <w:ilvl w:val="1"/>
        <w:numId w:val="6"/>
      </w:numPr>
    </w:pPr>
  </w:style>
  <w:style w:type="paragraph" w:customStyle="1" w:styleId="BoxDoubleDot">
    <w:name w:val="Box Double Dot"/>
    <w:basedOn w:val="BoxTextBase"/>
    <w:uiPriority w:val="99"/>
    <w:rsid w:val="00D51386"/>
    <w:pPr>
      <w:numPr>
        <w:ilvl w:val="2"/>
        <w:numId w:val="6"/>
      </w:numPr>
    </w:pPr>
  </w:style>
  <w:style w:type="paragraph" w:customStyle="1" w:styleId="RecommendationBullet">
    <w:name w:val="Recommendation Bullet"/>
    <w:basedOn w:val="RecommendationTextBase"/>
    <w:rsid w:val="00D51386"/>
    <w:pPr>
      <w:numPr>
        <w:numId w:val="8"/>
      </w:numPr>
    </w:pPr>
  </w:style>
  <w:style w:type="paragraph" w:customStyle="1" w:styleId="RecommendationDash">
    <w:name w:val="Recommendation Dash"/>
    <w:basedOn w:val="RecommendationTextBase"/>
    <w:rsid w:val="00D51386"/>
    <w:pPr>
      <w:numPr>
        <w:ilvl w:val="1"/>
        <w:numId w:val="8"/>
      </w:numPr>
    </w:pPr>
  </w:style>
  <w:style w:type="paragraph" w:customStyle="1" w:styleId="RecommendationDoubleDot">
    <w:name w:val="Recommendation Double Dot"/>
    <w:basedOn w:val="RecommendationTextBase"/>
    <w:rsid w:val="00D51386"/>
    <w:pPr>
      <w:numPr>
        <w:ilvl w:val="2"/>
        <w:numId w:val="8"/>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3"/>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6"/>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0"/>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6"/>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1"/>
      </w:numPr>
    </w:pPr>
  </w:style>
  <w:style w:type="paragraph" w:customStyle="1" w:styleId="AgreementParties">
    <w:name w:val="AgreementParties"/>
    <w:rsid w:val="00D51386"/>
    <w:pPr>
      <w:numPr>
        <w:numId w:val="14"/>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8"/>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9"/>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0"/>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0"/>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0"/>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0"/>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0"/>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0"/>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0"/>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0"/>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0"/>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8C2BDB"/>
  </w:style>
  <w:style w:type="paragraph" w:styleId="Revision">
    <w:name w:val="Revision"/>
    <w:hidden/>
    <w:uiPriority w:val="99"/>
    <w:semiHidden/>
    <w:rsid w:val="008C2BDB"/>
    <w:rPr>
      <w:rFonts w:ascii="Corbel"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5"/>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7"/>
      </w:numPr>
      <w:tabs>
        <w:tab w:val="num" w:pos="567"/>
        <w:tab w:val="num" w:pos="850"/>
      </w:tabs>
      <w:ind w:left="850" w:hanging="284"/>
    </w:pPr>
  </w:style>
  <w:style w:type="paragraph" w:customStyle="1" w:styleId="DoubleDot">
    <w:name w:val="Double Dot"/>
    <w:basedOn w:val="Normal"/>
    <w:rsid w:val="00D51386"/>
    <w:pPr>
      <w:numPr>
        <w:ilvl w:val="2"/>
        <w:numId w:val="7"/>
      </w:numPr>
      <w:tabs>
        <w:tab w:val="num" w:pos="850"/>
        <w:tab w:val="num" w:pos="1133"/>
      </w:tabs>
      <w:ind w:left="1133" w:hanging="283"/>
    </w:pPr>
  </w:style>
  <w:style w:type="paragraph" w:customStyle="1" w:styleId="OutlineNumbered1">
    <w:name w:val="Outline Numbered 1"/>
    <w:basedOn w:val="Normal"/>
    <w:rsid w:val="00D51386"/>
    <w:pPr>
      <w:numPr>
        <w:numId w:val="4"/>
      </w:numPr>
    </w:pPr>
  </w:style>
  <w:style w:type="paragraph" w:customStyle="1" w:styleId="OutlineNumbered2">
    <w:name w:val="Outline Numbered 2"/>
    <w:basedOn w:val="Normal"/>
    <w:rsid w:val="00D51386"/>
    <w:pPr>
      <w:numPr>
        <w:ilvl w:val="1"/>
        <w:numId w:val="4"/>
      </w:numPr>
    </w:pPr>
  </w:style>
  <w:style w:type="paragraph" w:customStyle="1" w:styleId="OutlineNumbered3">
    <w:name w:val="Outline Numbered 3"/>
    <w:basedOn w:val="Normal"/>
    <w:rsid w:val="00D51386"/>
    <w:pPr>
      <w:numPr>
        <w:ilvl w:val="2"/>
        <w:numId w:val="4"/>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5"/>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7"/>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6"/>
      </w:numPr>
    </w:pPr>
  </w:style>
  <w:style w:type="paragraph" w:customStyle="1" w:styleId="BoxDash">
    <w:name w:val="Box Dash"/>
    <w:basedOn w:val="Normal"/>
    <w:uiPriority w:val="99"/>
    <w:rsid w:val="00D51386"/>
    <w:pPr>
      <w:numPr>
        <w:ilvl w:val="1"/>
        <w:numId w:val="6"/>
      </w:numPr>
    </w:pPr>
  </w:style>
  <w:style w:type="paragraph" w:customStyle="1" w:styleId="BoxDoubleDot">
    <w:name w:val="Box Double Dot"/>
    <w:basedOn w:val="BoxTextBase"/>
    <w:uiPriority w:val="99"/>
    <w:rsid w:val="00D51386"/>
    <w:pPr>
      <w:numPr>
        <w:ilvl w:val="2"/>
        <w:numId w:val="6"/>
      </w:numPr>
    </w:pPr>
  </w:style>
  <w:style w:type="paragraph" w:customStyle="1" w:styleId="RecommendationBullet">
    <w:name w:val="Recommendation Bullet"/>
    <w:basedOn w:val="RecommendationTextBase"/>
    <w:rsid w:val="00D51386"/>
    <w:pPr>
      <w:numPr>
        <w:numId w:val="8"/>
      </w:numPr>
    </w:pPr>
  </w:style>
  <w:style w:type="paragraph" w:customStyle="1" w:styleId="RecommendationDash">
    <w:name w:val="Recommendation Dash"/>
    <w:basedOn w:val="RecommendationTextBase"/>
    <w:rsid w:val="00D51386"/>
    <w:pPr>
      <w:numPr>
        <w:ilvl w:val="1"/>
        <w:numId w:val="8"/>
      </w:numPr>
    </w:pPr>
  </w:style>
  <w:style w:type="paragraph" w:customStyle="1" w:styleId="RecommendationDoubleDot">
    <w:name w:val="Recommendation Double Dot"/>
    <w:basedOn w:val="RecommendationTextBase"/>
    <w:rsid w:val="00D51386"/>
    <w:pPr>
      <w:numPr>
        <w:ilvl w:val="2"/>
        <w:numId w:val="8"/>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3"/>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6"/>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0"/>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6"/>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1"/>
      </w:numPr>
    </w:pPr>
  </w:style>
  <w:style w:type="paragraph" w:customStyle="1" w:styleId="AgreementParties">
    <w:name w:val="AgreementParties"/>
    <w:rsid w:val="00D51386"/>
    <w:pPr>
      <w:numPr>
        <w:numId w:val="14"/>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8"/>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9"/>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0"/>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0"/>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0"/>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0"/>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0"/>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0"/>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0"/>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0"/>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0"/>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8C2BDB"/>
  </w:style>
  <w:style w:type="paragraph" w:styleId="Revision">
    <w:name w:val="Revision"/>
    <w:hidden/>
    <w:uiPriority w:val="99"/>
    <w:semiHidden/>
    <w:rsid w:val="008C2BDB"/>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0158">
      <w:bodyDiv w:val="1"/>
      <w:marLeft w:val="0"/>
      <w:marRight w:val="0"/>
      <w:marTop w:val="0"/>
      <w:marBottom w:val="0"/>
      <w:divBdr>
        <w:top w:val="none" w:sz="0" w:space="0" w:color="auto"/>
        <w:left w:val="none" w:sz="0" w:space="0" w:color="auto"/>
        <w:bottom w:val="none" w:sz="0" w:space="0" w:color="auto"/>
        <w:right w:val="none" w:sz="0" w:space="0" w:color="auto"/>
      </w:divBdr>
    </w:div>
    <w:div w:id="206071650">
      <w:bodyDiv w:val="1"/>
      <w:marLeft w:val="0"/>
      <w:marRight w:val="0"/>
      <w:marTop w:val="0"/>
      <w:marBottom w:val="0"/>
      <w:divBdr>
        <w:top w:val="none" w:sz="0" w:space="0" w:color="auto"/>
        <w:left w:val="none" w:sz="0" w:space="0" w:color="auto"/>
        <w:bottom w:val="none" w:sz="0" w:space="0" w:color="auto"/>
        <w:right w:val="none" w:sz="0" w:space="0" w:color="auto"/>
      </w:divBdr>
    </w:div>
    <w:div w:id="282199609">
      <w:bodyDiv w:val="1"/>
      <w:marLeft w:val="0"/>
      <w:marRight w:val="0"/>
      <w:marTop w:val="0"/>
      <w:marBottom w:val="0"/>
      <w:divBdr>
        <w:top w:val="none" w:sz="0" w:space="0" w:color="auto"/>
        <w:left w:val="none" w:sz="0" w:space="0" w:color="auto"/>
        <w:bottom w:val="none" w:sz="0" w:space="0" w:color="auto"/>
        <w:right w:val="none" w:sz="0" w:space="0" w:color="auto"/>
      </w:divBdr>
    </w:div>
    <w:div w:id="472413062">
      <w:bodyDiv w:val="1"/>
      <w:marLeft w:val="0"/>
      <w:marRight w:val="0"/>
      <w:marTop w:val="0"/>
      <w:marBottom w:val="0"/>
      <w:divBdr>
        <w:top w:val="none" w:sz="0" w:space="0" w:color="auto"/>
        <w:left w:val="none" w:sz="0" w:space="0" w:color="auto"/>
        <w:bottom w:val="none" w:sz="0" w:space="0" w:color="auto"/>
        <w:right w:val="none" w:sz="0" w:space="0" w:color="auto"/>
      </w:divBdr>
    </w:div>
    <w:div w:id="637342847">
      <w:bodyDiv w:val="1"/>
      <w:marLeft w:val="0"/>
      <w:marRight w:val="0"/>
      <w:marTop w:val="0"/>
      <w:marBottom w:val="0"/>
      <w:divBdr>
        <w:top w:val="none" w:sz="0" w:space="0" w:color="auto"/>
        <w:left w:val="none" w:sz="0" w:space="0" w:color="auto"/>
        <w:bottom w:val="none" w:sz="0" w:space="0" w:color="auto"/>
        <w:right w:val="none" w:sz="0" w:space="0" w:color="auto"/>
      </w:divBdr>
    </w:div>
    <w:div w:id="740173467">
      <w:bodyDiv w:val="1"/>
      <w:marLeft w:val="0"/>
      <w:marRight w:val="0"/>
      <w:marTop w:val="0"/>
      <w:marBottom w:val="0"/>
      <w:divBdr>
        <w:top w:val="none" w:sz="0" w:space="0" w:color="auto"/>
        <w:left w:val="none" w:sz="0" w:space="0" w:color="auto"/>
        <w:bottom w:val="none" w:sz="0" w:space="0" w:color="auto"/>
        <w:right w:val="none" w:sz="0" w:space="0" w:color="auto"/>
      </w:divBdr>
    </w:div>
    <w:div w:id="800881976">
      <w:bodyDiv w:val="1"/>
      <w:marLeft w:val="0"/>
      <w:marRight w:val="0"/>
      <w:marTop w:val="0"/>
      <w:marBottom w:val="0"/>
      <w:divBdr>
        <w:top w:val="none" w:sz="0" w:space="0" w:color="auto"/>
        <w:left w:val="none" w:sz="0" w:space="0" w:color="auto"/>
        <w:bottom w:val="none" w:sz="0" w:space="0" w:color="auto"/>
        <w:right w:val="none" w:sz="0" w:space="0" w:color="auto"/>
      </w:divBdr>
    </w:div>
    <w:div w:id="904022734">
      <w:bodyDiv w:val="1"/>
      <w:marLeft w:val="0"/>
      <w:marRight w:val="0"/>
      <w:marTop w:val="0"/>
      <w:marBottom w:val="0"/>
      <w:divBdr>
        <w:top w:val="none" w:sz="0" w:space="0" w:color="auto"/>
        <w:left w:val="none" w:sz="0" w:space="0" w:color="auto"/>
        <w:bottom w:val="none" w:sz="0" w:space="0" w:color="auto"/>
        <w:right w:val="none" w:sz="0" w:space="0" w:color="auto"/>
      </w:divBdr>
    </w:div>
    <w:div w:id="997424612">
      <w:bodyDiv w:val="1"/>
      <w:marLeft w:val="0"/>
      <w:marRight w:val="0"/>
      <w:marTop w:val="0"/>
      <w:marBottom w:val="0"/>
      <w:divBdr>
        <w:top w:val="none" w:sz="0" w:space="0" w:color="auto"/>
        <w:left w:val="none" w:sz="0" w:space="0" w:color="auto"/>
        <w:bottom w:val="none" w:sz="0" w:space="0" w:color="auto"/>
        <w:right w:val="none" w:sz="0" w:space="0" w:color="auto"/>
      </w:divBdr>
    </w:div>
    <w:div w:id="1154221091">
      <w:bodyDiv w:val="1"/>
      <w:marLeft w:val="0"/>
      <w:marRight w:val="0"/>
      <w:marTop w:val="0"/>
      <w:marBottom w:val="0"/>
      <w:divBdr>
        <w:top w:val="none" w:sz="0" w:space="0" w:color="auto"/>
        <w:left w:val="none" w:sz="0" w:space="0" w:color="auto"/>
        <w:bottom w:val="none" w:sz="0" w:space="0" w:color="auto"/>
        <w:right w:val="none" w:sz="0" w:space="0" w:color="auto"/>
      </w:divBdr>
    </w:div>
    <w:div w:id="1184587772">
      <w:bodyDiv w:val="1"/>
      <w:marLeft w:val="0"/>
      <w:marRight w:val="0"/>
      <w:marTop w:val="0"/>
      <w:marBottom w:val="0"/>
      <w:divBdr>
        <w:top w:val="none" w:sz="0" w:space="0" w:color="auto"/>
        <w:left w:val="none" w:sz="0" w:space="0" w:color="auto"/>
        <w:bottom w:val="none" w:sz="0" w:space="0" w:color="auto"/>
        <w:right w:val="none" w:sz="0" w:space="0" w:color="auto"/>
      </w:divBdr>
    </w:div>
    <w:div w:id="1185483278">
      <w:bodyDiv w:val="1"/>
      <w:marLeft w:val="0"/>
      <w:marRight w:val="0"/>
      <w:marTop w:val="0"/>
      <w:marBottom w:val="0"/>
      <w:divBdr>
        <w:top w:val="none" w:sz="0" w:space="0" w:color="auto"/>
        <w:left w:val="none" w:sz="0" w:space="0" w:color="auto"/>
        <w:bottom w:val="none" w:sz="0" w:space="0" w:color="auto"/>
        <w:right w:val="none" w:sz="0" w:space="0" w:color="auto"/>
      </w:divBdr>
    </w:div>
    <w:div w:id="1232306156">
      <w:bodyDiv w:val="1"/>
      <w:marLeft w:val="0"/>
      <w:marRight w:val="0"/>
      <w:marTop w:val="0"/>
      <w:marBottom w:val="0"/>
      <w:divBdr>
        <w:top w:val="none" w:sz="0" w:space="0" w:color="auto"/>
        <w:left w:val="none" w:sz="0" w:space="0" w:color="auto"/>
        <w:bottom w:val="none" w:sz="0" w:space="0" w:color="auto"/>
        <w:right w:val="none" w:sz="0" w:space="0" w:color="auto"/>
      </w:divBdr>
    </w:div>
    <w:div w:id="1400782949">
      <w:bodyDiv w:val="1"/>
      <w:marLeft w:val="0"/>
      <w:marRight w:val="0"/>
      <w:marTop w:val="0"/>
      <w:marBottom w:val="0"/>
      <w:divBdr>
        <w:top w:val="none" w:sz="0" w:space="0" w:color="auto"/>
        <w:left w:val="none" w:sz="0" w:space="0" w:color="auto"/>
        <w:bottom w:val="none" w:sz="0" w:space="0" w:color="auto"/>
        <w:right w:val="none" w:sz="0" w:space="0" w:color="auto"/>
      </w:divBdr>
    </w:div>
    <w:div w:id="1418400718">
      <w:marLeft w:val="0"/>
      <w:marRight w:val="0"/>
      <w:marTop w:val="0"/>
      <w:marBottom w:val="0"/>
      <w:divBdr>
        <w:top w:val="none" w:sz="0" w:space="0" w:color="auto"/>
        <w:left w:val="none" w:sz="0" w:space="0" w:color="auto"/>
        <w:bottom w:val="none" w:sz="0" w:space="0" w:color="auto"/>
        <w:right w:val="none" w:sz="0" w:space="0" w:color="auto"/>
      </w:divBdr>
    </w:div>
    <w:div w:id="1418400719">
      <w:marLeft w:val="0"/>
      <w:marRight w:val="0"/>
      <w:marTop w:val="0"/>
      <w:marBottom w:val="0"/>
      <w:divBdr>
        <w:top w:val="none" w:sz="0" w:space="0" w:color="auto"/>
        <w:left w:val="none" w:sz="0" w:space="0" w:color="auto"/>
        <w:bottom w:val="none" w:sz="0" w:space="0" w:color="auto"/>
        <w:right w:val="none" w:sz="0" w:space="0" w:color="auto"/>
      </w:divBdr>
    </w:div>
    <w:div w:id="1418400720">
      <w:marLeft w:val="0"/>
      <w:marRight w:val="0"/>
      <w:marTop w:val="0"/>
      <w:marBottom w:val="0"/>
      <w:divBdr>
        <w:top w:val="none" w:sz="0" w:space="0" w:color="auto"/>
        <w:left w:val="none" w:sz="0" w:space="0" w:color="auto"/>
        <w:bottom w:val="none" w:sz="0" w:space="0" w:color="auto"/>
        <w:right w:val="none" w:sz="0" w:space="0" w:color="auto"/>
      </w:divBdr>
    </w:div>
    <w:div w:id="1420832131">
      <w:bodyDiv w:val="1"/>
      <w:marLeft w:val="0"/>
      <w:marRight w:val="0"/>
      <w:marTop w:val="0"/>
      <w:marBottom w:val="0"/>
      <w:divBdr>
        <w:top w:val="none" w:sz="0" w:space="0" w:color="auto"/>
        <w:left w:val="none" w:sz="0" w:space="0" w:color="auto"/>
        <w:bottom w:val="none" w:sz="0" w:space="0" w:color="auto"/>
        <w:right w:val="none" w:sz="0" w:space="0" w:color="auto"/>
      </w:divBdr>
    </w:div>
    <w:div w:id="1466048109">
      <w:bodyDiv w:val="1"/>
      <w:marLeft w:val="0"/>
      <w:marRight w:val="0"/>
      <w:marTop w:val="0"/>
      <w:marBottom w:val="0"/>
      <w:divBdr>
        <w:top w:val="none" w:sz="0" w:space="0" w:color="auto"/>
        <w:left w:val="none" w:sz="0" w:space="0" w:color="auto"/>
        <w:bottom w:val="none" w:sz="0" w:space="0" w:color="auto"/>
        <w:right w:val="none" w:sz="0" w:space="0" w:color="auto"/>
      </w:divBdr>
    </w:div>
    <w:div w:id="1598903920">
      <w:bodyDiv w:val="1"/>
      <w:marLeft w:val="0"/>
      <w:marRight w:val="0"/>
      <w:marTop w:val="0"/>
      <w:marBottom w:val="0"/>
      <w:divBdr>
        <w:top w:val="none" w:sz="0" w:space="0" w:color="auto"/>
        <w:left w:val="none" w:sz="0" w:space="0" w:color="auto"/>
        <w:bottom w:val="none" w:sz="0" w:space="0" w:color="auto"/>
        <w:right w:val="none" w:sz="0" w:space="0" w:color="auto"/>
      </w:divBdr>
    </w:div>
    <w:div w:id="1646474517">
      <w:bodyDiv w:val="1"/>
      <w:marLeft w:val="0"/>
      <w:marRight w:val="0"/>
      <w:marTop w:val="0"/>
      <w:marBottom w:val="0"/>
      <w:divBdr>
        <w:top w:val="none" w:sz="0" w:space="0" w:color="auto"/>
        <w:left w:val="none" w:sz="0" w:space="0" w:color="auto"/>
        <w:bottom w:val="none" w:sz="0" w:space="0" w:color="auto"/>
        <w:right w:val="none" w:sz="0" w:space="0" w:color="auto"/>
      </w:divBdr>
    </w:div>
    <w:div w:id="1807553023">
      <w:bodyDiv w:val="1"/>
      <w:marLeft w:val="0"/>
      <w:marRight w:val="0"/>
      <w:marTop w:val="0"/>
      <w:marBottom w:val="0"/>
      <w:divBdr>
        <w:top w:val="none" w:sz="0" w:space="0" w:color="auto"/>
        <w:left w:val="none" w:sz="0" w:space="0" w:color="auto"/>
        <w:bottom w:val="none" w:sz="0" w:space="0" w:color="auto"/>
        <w:right w:val="none" w:sz="0" w:space="0" w:color="auto"/>
      </w:divBdr>
    </w:div>
    <w:div w:id="18729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2020FG-64-82543</_dlc_DocId>
    <_dlc_DocIdUrl xmlns="0f563589-9cf9-4143-b1eb-fb0534803d38">
      <Url>http://tweb/sites/fg/csrd/_layouts/15/DocIdRedir.aspx?ID=2020FG-64-82543</Url>
      <Description>2020FG-64-82543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11" ma:contentTypeDescription=" " ma:contentTypeScope="" ma:versionID="999556973f0b6e70529d2c89cc60a657">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2.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D049F2EA-1A11-455F-AEE7-619F7DC1FF31}">
  <ds:schemaRefs>
    <ds:schemaRef ds:uri="e544e5cc-ab70-42e1-849e-1a0f8bb1f4ef"/>
    <ds:schemaRef ds:uri="http://schemas.microsoft.com/sharepoint/v4"/>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sharepoint/v3"/>
    <ds:schemaRef ds:uri="http://purl.org/dc/terms/"/>
  </ds:schemaRefs>
</ds:datastoreItem>
</file>

<file path=customXml/itemProps5.xml><?xml version="1.0" encoding="utf-8"?>
<ds:datastoreItem xmlns:ds="http://schemas.openxmlformats.org/officeDocument/2006/customXml" ds:itemID="{ED80D15F-2C29-4EE4-84A1-DC0A5E94B588}"/>
</file>

<file path=customXml/itemProps6.xml><?xml version="1.0" encoding="utf-8"?>
<ds:datastoreItem xmlns:ds="http://schemas.openxmlformats.org/officeDocument/2006/customXml" ds:itemID="{0D0D5B50-DF4A-409D-8EA5-FE1C78708BB6}">
  <ds:schemaRefs>
    <ds:schemaRef ds:uri="office.server.policy"/>
  </ds:schemaRefs>
</ds:datastoreItem>
</file>

<file path=customXml/itemProps7.xml><?xml version="1.0" encoding="utf-8"?>
<ds:datastoreItem xmlns:ds="http://schemas.openxmlformats.org/officeDocument/2006/customXml" ds:itemID="{A1B86CBC-5233-41AD-8223-01EA98E3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0</TotalTime>
  <Pages>7</Pages>
  <Words>1840</Words>
  <Characters>10488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Grover Johnson, Charlotte</cp:lastModifiedBy>
  <cp:revision>2</cp:revision>
  <cp:lastPrinted>2017-06-15T01:40:00Z</cp:lastPrinted>
  <dcterms:created xsi:type="dcterms:W3CDTF">2017-12-18T03:19:00Z</dcterms:created>
  <dcterms:modified xsi:type="dcterms:W3CDTF">2017-12-18T03:19:00Z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8b56d9fd-f0a2-42a1-a4da-cf06eac9a415</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{8b56d9fd-f0a2-42a1-a4da-cf06eac9a415}</vt:lpwstr>
  </property>
  <property fmtid="{D5CDD505-2E9C-101B-9397-08002B2CF9AE}" pid="9" name="RecordPoint_ActiveItemWebId">
    <vt:lpwstr>{a4589788-615f-4b8b-8296-7f9f6dfbab44}</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_NewReviewCycle">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