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1478"/>
        <w:gridCol w:w="8160"/>
      </w:tblGrid>
      <w:tr w:rsidR="00814667" w14:paraId="2367A81A" w14:textId="77777777">
        <w:tc>
          <w:tcPr>
            <w:tcW w:w="5000" w:type="pct"/>
            <w:gridSpan w:val="2"/>
          </w:tcPr>
          <w:p w14:paraId="5E2A9A20" w14:textId="77777777" w:rsidR="00814667" w:rsidRDefault="00BA4284" w:rsidP="008D72A4">
            <w:pPr>
              <w:pStyle w:val="CoverTitleMain"/>
            </w:pPr>
            <w:bookmarkStart w:id="0" w:name="_GoBack"/>
            <w:bookmarkEnd w:id="0"/>
            <w:r>
              <w:t>Project AGreement</w:t>
            </w:r>
            <w:r w:rsidR="00292587">
              <w:t xml:space="preserve"> FOR </w:t>
            </w:r>
            <w:r w:rsidR="008D72A4">
              <w:t>the specialist dementia care program</w:t>
            </w:r>
            <w:r w:rsidR="00AF2810">
              <w:t xml:space="preserve"> – PHASE ONE</w:t>
            </w:r>
          </w:p>
        </w:tc>
      </w:tr>
      <w:tr w:rsidR="00814667" w14:paraId="3CCAB5F0" w14:textId="77777777">
        <w:tc>
          <w:tcPr>
            <w:tcW w:w="767" w:type="pct"/>
          </w:tcPr>
          <w:p w14:paraId="5AA8A531" w14:textId="77777777" w:rsidR="00814667" w:rsidRDefault="00814667">
            <w:pPr>
              <w:pStyle w:val="SingleParagraph"/>
              <w:tabs>
                <w:tab w:val="num" w:pos="1134"/>
              </w:tabs>
              <w:spacing w:after="240"/>
              <w:ind w:left="1134" w:hanging="567"/>
            </w:pPr>
          </w:p>
        </w:tc>
        <w:tc>
          <w:tcPr>
            <w:tcW w:w="4233" w:type="pct"/>
          </w:tcPr>
          <w:p w14:paraId="12D6280A" w14:textId="77777777" w:rsidR="00814667" w:rsidRDefault="00814667">
            <w:pPr>
              <w:pStyle w:val="SingleParagraph"/>
              <w:tabs>
                <w:tab w:val="num" w:pos="1134"/>
              </w:tabs>
              <w:spacing w:after="240"/>
              <w:ind w:left="1134" w:hanging="567"/>
            </w:pPr>
          </w:p>
        </w:tc>
      </w:tr>
      <w:tr w:rsidR="00814667" w14:paraId="0CD32529" w14:textId="77777777">
        <w:tc>
          <w:tcPr>
            <w:tcW w:w="767" w:type="pct"/>
          </w:tcPr>
          <w:p w14:paraId="47B29BC4" w14:textId="77777777" w:rsidR="00814667" w:rsidRDefault="00814667">
            <w:pPr>
              <w:pStyle w:val="SingleParagraph"/>
              <w:tabs>
                <w:tab w:val="num" w:pos="1134"/>
              </w:tabs>
              <w:spacing w:after="240"/>
              <w:ind w:left="1134" w:hanging="567"/>
            </w:pPr>
          </w:p>
        </w:tc>
        <w:tc>
          <w:tcPr>
            <w:tcW w:w="4233" w:type="pct"/>
          </w:tcPr>
          <w:p w14:paraId="2A0E9767" w14:textId="77777777" w:rsidR="00814667" w:rsidRPr="001E74D0" w:rsidRDefault="00814667">
            <w:pPr>
              <w:pStyle w:val="SingleParagraph"/>
              <w:tabs>
                <w:tab w:val="num" w:pos="1134"/>
              </w:tabs>
              <w:spacing w:after="240"/>
              <w:ind w:left="1134" w:hanging="567"/>
            </w:pPr>
          </w:p>
        </w:tc>
      </w:tr>
      <w:tr w:rsidR="00814667" w14:paraId="4BEBB562" w14:textId="77777777">
        <w:tc>
          <w:tcPr>
            <w:tcW w:w="5000" w:type="pct"/>
            <w:gridSpan w:val="2"/>
          </w:tcPr>
          <w:p w14:paraId="1B454819" w14:textId="77777777" w:rsidR="00814667" w:rsidRDefault="00814667">
            <w:pPr>
              <w:pStyle w:val="AgreementHeading"/>
              <w:tabs>
                <w:tab w:val="clear" w:pos="1134"/>
              </w:tabs>
            </w:pPr>
            <w:r>
              <w:t>An agreement between</w:t>
            </w:r>
            <w:r w:rsidR="00697494">
              <w:t>:</w:t>
            </w:r>
          </w:p>
        </w:tc>
      </w:tr>
      <w:tr w:rsidR="00814667" w14:paraId="2D2A348C" w14:textId="77777777">
        <w:tc>
          <w:tcPr>
            <w:tcW w:w="767" w:type="pct"/>
          </w:tcPr>
          <w:p w14:paraId="2C9A4353" w14:textId="77777777" w:rsidR="00814667" w:rsidRPr="001E74D0" w:rsidRDefault="00814667">
            <w:pPr>
              <w:pStyle w:val="AgreementHeading"/>
              <w:tabs>
                <w:tab w:val="clear" w:pos="1134"/>
              </w:tabs>
              <w:ind w:left="522"/>
            </w:pPr>
          </w:p>
        </w:tc>
        <w:tc>
          <w:tcPr>
            <w:tcW w:w="4233" w:type="pct"/>
          </w:tcPr>
          <w:p w14:paraId="35158F02" w14:textId="77777777" w:rsidR="00814667" w:rsidRDefault="00814667">
            <w:pPr>
              <w:pStyle w:val="AgreementParties"/>
            </w:pPr>
            <w:r>
              <w:t xml:space="preserve">the </w:t>
            </w:r>
            <w:r>
              <w:rPr>
                <w:rStyle w:val="Bold"/>
              </w:rPr>
              <w:t>Commonwealth of Australia</w:t>
            </w:r>
            <w:r w:rsidR="00697494">
              <w:rPr>
                <w:rStyle w:val="Bold"/>
              </w:rPr>
              <w:t>;</w:t>
            </w:r>
            <w:r>
              <w:t xml:space="preserve"> and</w:t>
            </w:r>
          </w:p>
          <w:p w14:paraId="171C20FC" w14:textId="77777777" w:rsidR="00814667" w:rsidRPr="001E74D0" w:rsidRDefault="00814667" w:rsidP="00697494">
            <w:pPr>
              <w:pStyle w:val="AgreementParties"/>
            </w:pPr>
            <w:r>
              <w:t xml:space="preserve">the </w:t>
            </w:r>
            <w:r>
              <w:rPr>
                <w:rStyle w:val="Bold"/>
              </w:rPr>
              <w:t>States and Territorie</w:t>
            </w:r>
            <w:r w:rsidR="00697494">
              <w:rPr>
                <w:rStyle w:val="Bold"/>
              </w:rPr>
              <w:t xml:space="preserve">s </w:t>
            </w:r>
            <w:r w:rsidR="00697494" w:rsidRPr="00DE36EB">
              <w:rPr>
                <w:rStyle w:val="Bold"/>
              </w:rPr>
              <w:t>of</w:t>
            </w:r>
          </w:p>
        </w:tc>
      </w:tr>
      <w:tr w:rsidR="00814667" w14:paraId="44AA5A78" w14:textId="77777777">
        <w:tc>
          <w:tcPr>
            <w:tcW w:w="767" w:type="pct"/>
          </w:tcPr>
          <w:p w14:paraId="472E9FE6" w14:textId="77777777" w:rsidR="00814667" w:rsidRDefault="00814667">
            <w:pPr>
              <w:pStyle w:val="SingleParagraph"/>
              <w:tabs>
                <w:tab w:val="num" w:pos="1134"/>
              </w:tabs>
              <w:spacing w:after="240"/>
              <w:ind w:left="1134" w:hanging="567"/>
            </w:pPr>
          </w:p>
        </w:tc>
        <w:tc>
          <w:tcPr>
            <w:tcW w:w="4233" w:type="pct"/>
            <w:tcBorders>
              <w:left w:val="nil"/>
            </w:tcBorders>
          </w:tcPr>
          <w:p w14:paraId="62B90781" w14:textId="77777777" w:rsidR="00814667" w:rsidRDefault="00814667" w:rsidP="00390C84">
            <w:pPr>
              <w:pStyle w:val="StatesList"/>
              <w:numPr>
                <w:ilvl w:val="0"/>
                <w:numId w:val="7"/>
              </w:numPr>
            </w:pPr>
            <w:r>
              <w:t>New South Wales</w:t>
            </w:r>
            <w:r w:rsidR="00697494">
              <w:t>,</w:t>
            </w:r>
          </w:p>
          <w:p w14:paraId="6F61CE9B" w14:textId="77777777" w:rsidR="00814667" w:rsidRDefault="00814667" w:rsidP="00390C84">
            <w:pPr>
              <w:pStyle w:val="StatesList"/>
              <w:numPr>
                <w:ilvl w:val="0"/>
                <w:numId w:val="7"/>
              </w:numPr>
            </w:pPr>
            <w:r>
              <w:t>Victoria</w:t>
            </w:r>
            <w:r w:rsidR="00697494">
              <w:t>,</w:t>
            </w:r>
          </w:p>
          <w:p w14:paraId="163FFBFC" w14:textId="77777777" w:rsidR="00814667" w:rsidRDefault="00814667" w:rsidP="00390C84">
            <w:pPr>
              <w:pStyle w:val="StatesList"/>
              <w:numPr>
                <w:ilvl w:val="0"/>
                <w:numId w:val="7"/>
              </w:numPr>
            </w:pPr>
            <w:r>
              <w:t>Queensland</w:t>
            </w:r>
            <w:r w:rsidR="00697494">
              <w:t>,</w:t>
            </w:r>
          </w:p>
          <w:p w14:paraId="2FB2A6C6" w14:textId="77777777" w:rsidR="00814667" w:rsidRDefault="00814667" w:rsidP="00390C84">
            <w:pPr>
              <w:pStyle w:val="StatesList"/>
              <w:numPr>
                <w:ilvl w:val="0"/>
                <w:numId w:val="7"/>
              </w:numPr>
            </w:pPr>
            <w:r>
              <w:t>Western Australia</w:t>
            </w:r>
            <w:r w:rsidR="00697494">
              <w:t>,</w:t>
            </w:r>
          </w:p>
          <w:p w14:paraId="73B4C48E" w14:textId="77777777" w:rsidR="00814667" w:rsidRDefault="00814667" w:rsidP="00390C84">
            <w:pPr>
              <w:pStyle w:val="StatesList"/>
              <w:numPr>
                <w:ilvl w:val="0"/>
                <w:numId w:val="7"/>
              </w:numPr>
            </w:pPr>
            <w:r>
              <w:t>South Australia</w:t>
            </w:r>
            <w:r w:rsidR="00697494">
              <w:t>,</w:t>
            </w:r>
          </w:p>
          <w:p w14:paraId="78E5787D" w14:textId="77777777" w:rsidR="00814667" w:rsidRDefault="00814667" w:rsidP="00390C84">
            <w:pPr>
              <w:pStyle w:val="StatesList"/>
              <w:numPr>
                <w:ilvl w:val="0"/>
                <w:numId w:val="7"/>
              </w:numPr>
            </w:pPr>
            <w:r>
              <w:t>Tasmania</w:t>
            </w:r>
            <w:r w:rsidR="00697494">
              <w:t>,</w:t>
            </w:r>
          </w:p>
          <w:p w14:paraId="164C4BD3" w14:textId="77777777" w:rsidR="00814667" w:rsidRDefault="004B6083" w:rsidP="00390C84">
            <w:pPr>
              <w:pStyle w:val="StatesList"/>
              <w:numPr>
                <w:ilvl w:val="0"/>
                <w:numId w:val="7"/>
              </w:numPr>
            </w:pPr>
            <w:r>
              <w:t xml:space="preserve">the </w:t>
            </w:r>
            <w:r w:rsidR="00814667">
              <w:t>Australian Capital Territory</w:t>
            </w:r>
            <w:r w:rsidR="00697494">
              <w:t xml:space="preserve">, </w:t>
            </w:r>
            <w:r w:rsidR="00726DB5">
              <w:t>and</w:t>
            </w:r>
          </w:p>
          <w:p w14:paraId="08058D3C" w14:textId="77777777" w:rsidR="00814667" w:rsidRDefault="004B6083" w:rsidP="00390C84">
            <w:pPr>
              <w:pStyle w:val="StatesList"/>
              <w:numPr>
                <w:ilvl w:val="0"/>
                <w:numId w:val="7"/>
              </w:numPr>
            </w:pPr>
            <w:r>
              <w:t>t</w:t>
            </w:r>
            <w:r w:rsidR="00814667">
              <w:t>he Northern Territory</w:t>
            </w:r>
            <w:r w:rsidR="00726DB5">
              <w:t>.</w:t>
            </w:r>
            <w:r w:rsidR="00814667">
              <w:t xml:space="preserve"> </w:t>
            </w:r>
          </w:p>
          <w:p w14:paraId="5807F762" w14:textId="77777777" w:rsidR="00EB7EDA" w:rsidRPr="008834F5" w:rsidRDefault="00EB7EDA" w:rsidP="00F630EF">
            <w:pPr>
              <w:rPr>
                <w:i/>
                <w:color w:val="FF0000"/>
              </w:rPr>
            </w:pPr>
          </w:p>
        </w:tc>
      </w:tr>
      <w:tr w:rsidR="00814667" w14:paraId="5E385273" w14:textId="77777777">
        <w:tc>
          <w:tcPr>
            <w:tcW w:w="5000" w:type="pct"/>
            <w:gridSpan w:val="2"/>
          </w:tcPr>
          <w:p w14:paraId="565D8EB3" w14:textId="77777777" w:rsidR="00814667" w:rsidRDefault="00814667">
            <w:pPr>
              <w:pStyle w:val="SingleParagraph"/>
              <w:tabs>
                <w:tab w:val="num" w:pos="1134"/>
              </w:tabs>
              <w:spacing w:after="240"/>
              <w:ind w:left="1134" w:hanging="567"/>
            </w:pPr>
          </w:p>
        </w:tc>
      </w:tr>
      <w:tr w:rsidR="00814667" w14:paraId="3BD8100E" w14:textId="77777777">
        <w:tc>
          <w:tcPr>
            <w:tcW w:w="5000" w:type="pct"/>
            <w:gridSpan w:val="2"/>
          </w:tcPr>
          <w:p w14:paraId="31BFF56C" w14:textId="77777777" w:rsidR="00A83418" w:rsidRDefault="00771FFF" w:rsidP="008834F5">
            <w:pPr>
              <w:pStyle w:val="Abstract"/>
            </w:pPr>
            <w:r>
              <w:t>The output of this project will be</w:t>
            </w:r>
            <w:r w:rsidR="008D72A4">
              <w:t xml:space="preserve"> the provision of services and clinical in-reach support to the Specialist Dementia Care Program.</w:t>
            </w:r>
          </w:p>
          <w:p w14:paraId="2C36FC70" w14:textId="77777777" w:rsidR="00A83418" w:rsidRPr="00A83418" w:rsidRDefault="00A83418" w:rsidP="00A83418"/>
          <w:p w14:paraId="547F241C" w14:textId="77777777" w:rsidR="00A83418" w:rsidRPr="00A83418" w:rsidRDefault="00A83418" w:rsidP="00A83418"/>
          <w:p w14:paraId="2C9934B1" w14:textId="77777777" w:rsidR="00A83418" w:rsidRPr="00A83418" w:rsidRDefault="00A83418" w:rsidP="00A83418"/>
          <w:p w14:paraId="0C874112" w14:textId="77777777" w:rsidR="00814667" w:rsidRPr="00A83418" w:rsidRDefault="002B6E21" w:rsidP="007F289E">
            <w:pPr>
              <w:tabs>
                <w:tab w:val="left" w:pos="6499"/>
                <w:tab w:val="right" w:pos="9422"/>
              </w:tabs>
            </w:pPr>
            <w:r>
              <w:tab/>
            </w:r>
            <w:r w:rsidR="007F289E">
              <w:tab/>
            </w:r>
          </w:p>
        </w:tc>
      </w:tr>
    </w:tbl>
    <w:p w14:paraId="6AECAB9F"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174022">
        <w:t>the Specialist Dementia Care Program</w:t>
      </w:r>
      <w:r w:rsidR="00B927F8">
        <w:t xml:space="preserve"> – Phase One</w:t>
      </w:r>
    </w:p>
    <w:p w14:paraId="1480D7FE"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2DEAEE09" w14:textId="77777777" w:rsidR="00C960AA" w:rsidRPr="0096732C" w:rsidRDefault="00C960AA" w:rsidP="00390C8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28BAA30B"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1B0D9352" w14:textId="77777777" w:rsidR="00E55462" w:rsidRDefault="00852ED8" w:rsidP="00390C8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w:t>
      </w:r>
      <w:r w:rsidR="006146F2" w:rsidRPr="00B927F8">
        <w:t>of</w:t>
      </w:r>
      <w:r w:rsidR="000C536F" w:rsidRPr="00B927F8">
        <w:t xml:space="preserve"> </w:t>
      </w:r>
      <w:r w:rsidR="00B927F8" w:rsidRPr="00B927F8">
        <w:t xml:space="preserve">Phase One </w:t>
      </w:r>
      <w:r w:rsidR="00ED474E" w:rsidRPr="00B927F8">
        <w:t xml:space="preserve">of </w:t>
      </w:r>
      <w:r w:rsidR="000C536F" w:rsidRPr="00B927F8">
        <w:t>the</w:t>
      </w:r>
      <w:r w:rsidR="000C536F">
        <w:t xml:space="preserve"> Co</w:t>
      </w:r>
      <w:r w:rsidR="000076AA">
        <w:t>mmonwealth Specialist Dementia C</w:t>
      </w:r>
      <w:r w:rsidR="000C536F">
        <w:t xml:space="preserve">are Program </w:t>
      </w:r>
      <w:r w:rsidR="002B6136">
        <w:t xml:space="preserve">through the provision of </w:t>
      </w:r>
      <w:r w:rsidR="00B927F8">
        <w:t xml:space="preserve">specialist </w:t>
      </w:r>
      <w:r w:rsidR="000C536F">
        <w:t>clinical in-reach</w:t>
      </w:r>
      <w:r w:rsidR="00B927F8">
        <w:t xml:space="preserve"> care and</w:t>
      </w:r>
      <w:r w:rsidR="000C536F">
        <w:t xml:space="preserve"> support </w:t>
      </w:r>
      <w:r w:rsidR="00904C55">
        <w:t xml:space="preserve">to up to 15 </w:t>
      </w:r>
      <w:r w:rsidR="00086915">
        <w:t xml:space="preserve">specialist dementia care units established within </w:t>
      </w:r>
      <w:r w:rsidR="005C0910">
        <w:t>identified</w:t>
      </w:r>
      <w:r w:rsidR="00086915">
        <w:t xml:space="preserve"> existing</w:t>
      </w:r>
      <w:r w:rsidR="00A83418">
        <w:t xml:space="preserve"> </w:t>
      </w:r>
      <w:r w:rsidR="00086915">
        <w:t>residential aged care homes</w:t>
      </w:r>
      <w:r w:rsidR="002B6136">
        <w:t>.</w:t>
      </w:r>
    </w:p>
    <w:p w14:paraId="72D97EB6" w14:textId="77777777" w:rsid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1CDF08BA" w14:textId="3E93FA5D" w:rsidR="0096732C" w:rsidRDefault="0096732C" w:rsidP="00390C8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The States </w:t>
      </w:r>
      <w:r w:rsidR="00525811">
        <w:t xml:space="preserve">and Territories </w:t>
      </w:r>
      <w:r>
        <w:t xml:space="preserve">will </w:t>
      </w:r>
      <w:r w:rsidRPr="00D819B9">
        <w:t xml:space="preserve">report </w:t>
      </w:r>
      <w:r w:rsidR="00C03B2B">
        <w:t>annually</w:t>
      </w:r>
      <w:r w:rsidRPr="00D819B9">
        <w:t xml:space="preserve"> against</w:t>
      </w:r>
      <w:r>
        <w:t xml:space="preserve"> the agreed milestones during the operation of this Agreement, as set out in Part 4 – Project Milestones, Reporting and Payments.</w:t>
      </w:r>
    </w:p>
    <w:p w14:paraId="335E7DBF"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4B0AC860" w14:textId="4DF884FF" w:rsidR="0096732C" w:rsidRPr="0096732C" w:rsidRDefault="0096732C" w:rsidP="00390C84">
      <w:pPr>
        <w:pStyle w:val="Normalnumbered"/>
        <w:numPr>
          <w:ilvl w:val="0"/>
          <w:numId w:val="1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the States </w:t>
      </w:r>
      <w:r>
        <w:t>of</w:t>
      </w:r>
      <w:r w:rsidR="00F46216">
        <w:t xml:space="preserve"> </w:t>
      </w:r>
      <w:r w:rsidR="00F30176">
        <w:t xml:space="preserve">up to </w:t>
      </w:r>
      <w:r w:rsidR="00F27931" w:rsidRPr="00904C55">
        <w:t xml:space="preserve">$14.4m </w:t>
      </w:r>
      <w:r w:rsidR="00F46216" w:rsidRPr="00904C55">
        <w:t xml:space="preserve">exclusive of GST </w:t>
      </w:r>
      <w:r>
        <w:t>in respect of this Agreement</w:t>
      </w:r>
      <w:r w:rsidR="00FC055C">
        <w:t>,</w:t>
      </w:r>
      <w:r>
        <w:t xml:space="preserve"> as set out </w:t>
      </w:r>
      <w:r w:rsidRPr="007179FE">
        <w:t xml:space="preserve">in </w:t>
      </w:r>
      <w:r>
        <w:t>Part 5 – Financial Arrangements</w:t>
      </w:r>
      <w:r w:rsidRPr="007179FE">
        <w:t>.</w:t>
      </w:r>
    </w:p>
    <w:p w14:paraId="77B5E95B"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18C64A23" w14:textId="77777777" w:rsidR="00814667" w:rsidRDefault="00814667">
      <w:pPr>
        <w:pStyle w:val="Heading1"/>
      </w:pPr>
      <w:r>
        <w:t>Part 1 — Formalities</w:t>
      </w:r>
    </w:p>
    <w:p w14:paraId="0A16E0C8" w14:textId="77777777" w:rsidR="00804105" w:rsidRDefault="00804105" w:rsidP="00390C84">
      <w:pPr>
        <w:pStyle w:val="Normalnumbered"/>
        <w:numPr>
          <w:ilvl w:val="0"/>
          <w:numId w:val="10"/>
        </w:numPr>
      </w:pPr>
      <w:r>
        <w:t>This Agreement constitutes the entire agreement for this project.</w:t>
      </w:r>
    </w:p>
    <w:p w14:paraId="2ABA17BF" w14:textId="77777777" w:rsidR="00814667" w:rsidRDefault="00814667">
      <w:pPr>
        <w:pStyle w:val="Heading2"/>
      </w:pPr>
      <w:r>
        <w:lastRenderedPageBreak/>
        <w:t>Parties to this Agreement</w:t>
      </w:r>
    </w:p>
    <w:p w14:paraId="402DD1FA" w14:textId="521301DA" w:rsidR="007B4B03" w:rsidRPr="00BD0B52" w:rsidRDefault="00E7195E" w:rsidP="00390C84">
      <w:pPr>
        <w:pStyle w:val="Normalnumbered"/>
        <w:numPr>
          <w:ilvl w:val="0"/>
          <w:numId w:val="10"/>
        </w:numPr>
      </w:pPr>
      <w:r w:rsidRPr="003012DA">
        <w:t xml:space="preserve">This </w:t>
      </w:r>
      <w:r w:rsidR="00E31096">
        <w:t xml:space="preserve">Agreement </w:t>
      </w:r>
      <w:r w:rsidRPr="003012DA">
        <w:t xml:space="preserve">is between the Commonwealth of Australia </w:t>
      </w:r>
      <w:r w:rsidRPr="00BD0B52">
        <w:t>(the</w:t>
      </w:r>
      <w:r w:rsidR="00593821" w:rsidRPr="00BD0B52">
        <w:t xml:space="preserve"> Commonwealth</w:t>
      </w:r>
      <w:r w:rsidRPr="00BD0B52">
        <w:t>) and t</w:t>
      </w:r>
      <w:r w:rsidR="00593821" w:rsidRPr="00BD0B52">
        <w:t xml:space="preserve">he States and Territories (the </w:t>
      </w:r>
      <w:r w:rsidRPr="00BD0B52">
        <w:t>States).</w:t>
      </w:r>
    </w:p>
    <w:p w14:paraId="38DD4A9F" w14:textId="77777777" w:rsidR="00814667" w:rsidRDefault="00814667">
      <w:pPr>
        <w:pStyle w:val="Heading2"/>
      </w:pPr>
      <w:r>
        <w:t>Term of the Agreement</w:t>
      </w:r>
    </w:p>
    <w:p w14:paraId="1C8497B2" w14:textId="77777777" w:rsidR="00814667" w:rsidRPr="00DE36EB" w:rsidRDefault="00814667" w:rsidP="00390C84">
      <w:pPr>
        <w:pStyle w:val="Normalnumbered"/>
        <w:numPr>
          <w:ilvl w:val="0"/>
          <w:numId w:val="10"/>
        </w:numPr>
      </w:pPr>
      <w:r w:rsidRPr="00DE36EB">
        <w:t xml:space="preserve">This Agreement will commence as soon as the Commonwealth </w:t>
      </w:r>
      <w:r w:rsidRPr="00BD0B52">
        <w:t>and on</w:t>
      </w:r>
      <w:r w:rsidR="00C7093C" w:rsidRPr="00BD0B52">
        <w:t>e</w:t>
      </w:r>
      <w:r w:rsidRPr="00BD0B52">
        <w:t xml:space="preserve"> other Party</w:t>
      </w:r>
      <w:r w:rsidR="00726DB5" w:rsidRPr="00BD0B52">
        <w:t xml:space="preserve"> sign </w:t>
      </w:r>
      <w:r w:rsidR="0096732C" w:rsidRPr="00BD0B52">
        <w:t>it</w:t>
      </w:r>
      <w:r w:rsidR="0096732C">
        <w:t xml:space="preserve"> </w:t>
      </w:r>
      <w:r w:rsidRPr="00DE36EB">
        <w:t xml:space="preserve">and will </w:t>
      </w:r>
      <w:r w:rsidRPr="00C03B2B">
        <w:t>expire on</w:t>
      </w:r>
      <w:r w:rsidR="00C7093C" w:rsidRPr="00C03B2B">
        <w:t xml:space="preserve"> </w:t>
      </w:r>
      <w:r w:rsidR="00BD0B52" w:rsidRPr="00C03B2B">
        <w:t>30 June 2023</w:t>
      </w:r>
      <w:r w:rsidR="00284884" w:rsidRPr="00C03B2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25BC4AA7"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outputs</w:t>
      </w:r>
    </w:p>
    <w:p w14:paraId="4388AAFB" w14:textId="77777777" w:rsidR="00814667" w:rsidRDefault="00814667">
      <w:pPr>
        <w:pStyle w:val="Heading2"/>
      </w:pPr>
      <w:r>
        <w:t>Outputs</w:t>
      </w:r>
    </w:p>
    <w:p w14:paraId="6D142F81" w14:textId="77777777" w:rsidR="0085738D" w:rsidRDefault="00BD0B52" w:rsidP="00390C84">
      <w:pPr>
        <w:pStyle w:val="Normalnumbered"/>
        <w:numPr>
          <w:ilvl w:val="0"/>
          <w:numId w:val="10"/>
        </w:numPr>
        <w:jc w:val="left"/>
      </w:pPr>
      <w:r>
        <w:t>The outputs</w:t>
      </w:r>
      <w:r w:rsidR="006F79D3">
        <w:t xml:space="preserve"> of this Agreement will be:</w:t>
      </w:r>
    </w:p>
    <w:p w14:paraId="3A6F5D47" w14:textId="77777777" w:rsidR="00C26EFC" w:rsidRDefault="0017062F" w:rsidP="00764FE9">
      <w:pPr>
        <w:pStyle w:val="AlphaParagraph"/>
        <w:numPr>
          <w:ilvl w:val="0"/>
          <w:numId w:val="15"/>
        </w:numPr>
        <w:tabs>
          <w:tab w:val="clear" w:pos="567"/>
          <w:tab w:val="clear" w:pos="1418"/>
          <w:tab w:val="clear" w:pos="1701"/>
        </w:tabs>
        <w:ind w:left="1134" w:hanging="567"/>
      </w:pPr>
      <w:r>
        <w:t>s</w:t>
      </w:r>
      <w:r w:rsidR="00F411CE">
        <w:t>pecialist</w:t>
      </w:r>
      <w:r>
        <w:t xml:space="preserve"> </w:t>
      </w:r>
      <w:r w:rsidR="004602B4">
        <w:t>clinical advice</w:t>
      </w:r>
      <w:r w:rsidR="004A28B0">
        <w:t xml:space="preserve"> and support </w:t>
      </w:r>
      <w:r w:rsidR="00F411CE">
        <w:t>(</w:t>
      </w:r>
      <w:r w:rsidR="00D17B70">
        <w:t>psychogeriatrician</w:t>
      </w:r>
      <w:r w:rsidR="009B263B">
        <w:t>/</w:t>
      </w:r>
      <w:r w:rsidR="00F411CE">
        <w:t>geriatrician</w:t>
      </w:r>
      <w:r w:rsidR="005B6D91">
        <w:t xml:space="preserve"> or </w:t>
      </w:r>
      <w:r w:rsidR="00D17B70">
        <w:t>suitable alternative</w:t>
      </w:r>
      <w:r w:rsidR="00B306BE">
        <w:t>)</w:t>
      </w:r>
      <w:r w:rsidR="003573B8">
        <w:t xml:space="preserve"> </w:t>
      </w:r>
      <w:r w:rsidR="004602B4">
        <w:t>for</w:t>
      </w:r>
      <w:r w:rsidR="003573B8">
        <w:t xml:space="preserve"> Specialist Dementia Care Program clients through </w:t>
      </w:r>
      <w:r w:rsidR="00EF5ED1">
        <w:t xml:space="preserve">participation in the Clinical Review Team </w:t>
      </w:r>
      <w:r w:rsidR="00C26EFC">
        <w:t>of</w:t>
      </w:r>
      <w:r w:rsidR="00EF5ED1">
        <w:t xml:space="preserve"> each</w:t>
      </w:r>
      <w:r w:rsidR="007433BB">
        <w:t xml:space="preserve"> </w:t>
      </w:r>
      <w:r w:rsidR="00C26EFC">
        <w:t xml:space="preserve">specialist dementia care unit in the </w:t>
      </w:r>
      <w:r w:rsidR="007433BB">
        <w:t>S</w:t>
      </w:r>
      <w:r w:rsidR="00C26EFC">
        <w:t>tate</w:t>
      </w:r>
      <w:r w:rsidR="00EF5ED1">
        <w:t>;</w:t>
      </w:r>
      <w:r w:rsidR="00362535">
        <w:t xml:space="preserve"> </w:t>
      </w:r>
    </w:p>
    <w:p w14:paraId="5D5A388B" w14:textId="77777777" w:rsidR="00B06097" w:rsidRDefault="00C26EFC" w:rsidP="00764FE9">
      <w:pPr>
        <w:pStyle w:val="AlphaParagraph"/>
        <w:numPr>
          <w:ilvl w:val="0"/>
          <w:numId w:val="15"/>
        </w:numPr>
        <w:tabs>
          <w:tab w:val="clear" w:pos="567"/>
          <w:tab w:val="clear" w:pos="1418"/>
          <w:tab w:val="clear" w:pos="1701"/>
        </w:tabs>
        <w:ind w:left="1134" w:hanging="567"/>
      </w:pPr>
      <w:r>
        <w:t>specialist</w:t>
      </w:r>
      <w:r w:rsidR="0050793F">
        <w:t xml:space="preserve"> clinician</w:t>
      </w:r>
      <w:r>
        <w:t xml:space="preserve"> </w:t>
      </w:r>
      <w:r w:rsidR="00F411CE">
        <w:t>participat</w:t>
      </w:r>
      <w:r>
        <w:t>ion</w:t>
      </w:r>
      <w:r w:rsidR="00F411CE">
        <w:t xml:space="preserve"> in the</w:t>
      </w:r>
      <w:r w:rsidR="009E059D">
        <w:t xml:space="preserve"> </w:t>
      </w:r>
      <w:r w:rsidR="00F411CE" w:rsidRPr="00CD46AE">
        <w:t>Clinical Advisory Committee</w:t>
      </w:r>
      <w:r w:rsidR="009E059D">
        <w:t xml:space="preserve"> of each specialist dementia care unit in the </w:t>
      </w:r>
      <w:r w:rsidR="007433BB">
        <w:t>S</w:t>
      </w:r>
      <w:r w:rsidR="00D819B9">
        <w:t>tate</w:t>
      </w:r>
      <w:r w:rsidR="009E059D">
        <w:t xml:space="preserve">; </w:t>
      </w:r>
      <w:r w:rsidR="003573B8">
        <w:t>and</w:t>
      </w:r>
    </w:p>
    <w:p w14:paraId="69381ED6" w14:textId="77777777" w:rsidR="00A5656F" w:rsidRDefault="009E059D" w:rsidP="00764FE9">
      <w:pPr>
        <w:pStyle w:val="AlphaParagraph"/>
        <w:numPr>
          <w:ilvl w:val="0"/>
          <w:numId w:val="15"/>
        </w:numPr>
        <w:tabs>
          <w:tab w:val="clear" w:pos="567"/>
          <w:tab w:val="clear" w:pos="1418"/>
          <w:tab w:val="clear" w:pos="1701"/>
        </w:tabs>
        <w:ind w:left="1134" w:hanging="567"/>
      </w:pPr>
      <w:r>
        <w:t xml:space="preserve">clinical </w:t>
      </w:r>
      <w:r w:rsidR="00BD7D3A">
        <w:t xml:space="preserve">and partnership </w:t>
      </w:r>
      <w:r>
        <w:t>suppor</w:t>
      </w:r>
      <w:r w:rsidR="008A37B8">
        <w:t xml:space="preserve">t from a representative </w:t>
      </w:r>
      <w:r w:rsidR="00B33466">
        <w:t xml:space="preserve">(Clinical Nurse Consultant or equivalent) </w:t>
      </w:r>
      <w:r w:rsidR="008A37B8">
        <w:t>of a local health network</w:t>
      </w:r>
      <w:r w:rsidR="00362535">
        <w:t xml:space="preserve"> </w:t>
      </w:r>
      <w:r w:rsidR="00B33466">
        <w:t>to support the Clinical Advisory Committee</w:t>
      </w:r>
      <w:r w:rsidR="004602B4">
        <w:t xml:space="preserve"> and partnership arrangements between the local health network and Specialist Dementia Care Program provider</w:t>
      </w:r>
      <w:r w:rsidR="003573B8">
        <w:t>.</w:t>
      </w:r>
    </w:p>
    <w:p w14:paraId="2903D8A0" w14:textId="77777777" w:rsidR="008F44F1" w:rsidRDefault="008F44F1">
      <w:pPr>
        <w:pStyle w:val="Heading1"/>
      </w:pPr>
      <w:r>
        <w:t>Part 3 — roles and responsibilities of each party</w:t>
      </w:r>
    </w:p>
    <w:p w14:paraId="139A46A6" w14:textId="77777777" w:rsidR="008F44F1" w:rsidRDefault="008F44F1" w:rsidP="008F44F1">
      <w:pPr>
        <w:pStyle w:val="Heading2"/>
      </w:pPr>
      <w:r w:rsidRPr="00814590">
        <w:t>Role of the Commonwealth</w:t>
      </w:r>
    </w:p>
    <w:p w14:paraId="2094FD96" w14:textId="77777777" w:rsidR="008F44F1" w:rsidRDefault="008F44F1" w:rsidP="00390C84">
      <w:pPr>
        <w:pStyle w:val="Normalnumbered"/>
        <w:numPr>
          <w:ilvl w:val="0"/>
          <w:numId w:val="10"/>
        </w:numPr>
        <w:jc w:val="left"/>
      </w:pPr>
      <w:r>
        <w:t>The Commonwealth will be responsible for:</w:t>
      </w:r>
    </w:p>
    <w:p w14:paraId="0ED12E93" w14:textId="77777777" w:rsidR="008F44F1" w:rsidRPr="000614F9" w:rsidRDefault="00B33466" w:rsidP="00764FE9">
      <w:pPr>
        <w:pStyle w:val="AlphaParagraph"/>
        <w:numPr>
          <w:ilvl w:val="0"/>
          <w:numId w:val="20"/>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w:t>
      </w:r>
      <w:r>
        <w:t xml:space="preserve"> </w:t>
      </w:r>
      <w:r w:rsidR="004C33E0">
        <w:t xml:space="preserve">specialist </w:t>
      </w:r>
      <w:r w:rsidR="00362535">
        <w:t xml:space="preserve">clinical </w:t>
      </w:r>
      <w:r w:rsidR="00285210">
        <w:t>advice</w:t>
      </w:r>
      <w:r w:rsidR="004C33E0">
        <w:t xml:space="preserve"> and </w:t>
      </w:r>
      <w:r>
        <w:t xml:space="preserve">services </w:t>
      </w:r>
      <w:r w:rsidR="004C33E0">
        <w:t xml:space="preserve">to </w:t>
      </w:r>
      <w:r>
        <w:t>support the Specialist Dementia Care Program</w:t>
      </w:r>
      <w:r w:rsidRPr="000614F9">
        <w:t xml:space="preserve"> </w:t>
      </w:r>
      <w:r w:rsidRPr="000614F9">
        <w:rPr>
          <w:color w:val="auto"/>
        </w:rPr>
        <w:t>under</w:t>
      </w:r>
      <w:r w:rsidRPr="004B6083">
        <w:t xml:space="preserve"> this Agreement to ensure that outputs are delivered within the agreed timeframe</w:t>
      </w:r>
      <w:r w:rsidR="008F44F1" w:rsidRPr="004B6083">
        <w:t xml:space="preserve">; </w:t>
      </w:r>
    </w:p>
    <w:p w14:paraId="09F47108" w14:textId="77777777" w:rsidR="008F44F1" w:rsidRPr="000614F9" w:rsidRDefault="008F44F1" w:rsidP="00764FE9">
      <w:pPr>
        <w:pStyle w:val="AlphaParagraph"/>
        <w:numPr>
          <w:ilvl w:val="0"/>
          <w:numId w:val="15"/>
        </w:numPr>
        <w:tabs>
          <w:tab w:val="clear" w:pos="567"/>
          <w:tab w:val="clear" w:pos="1418"/>
          <w:tab w:val="clear" w:pos="1701"/>
        </w:tabs>
        <w:ind w:left="1134" w:hanging="567"/>
        <w:rPr>
          <w:color w:val="auto"/>
        </w:rPr>
      </w:pPr>
      <w:r w:rsidRPr="004B6083">
        <w:rPr>
          <w:color w:val="auto"/>
        </w:rPr>
        <w:t xml:space="preserve">providing a consequent financial contribution to the States to support the </w:t>
      </w:r>
      <w:r w:rsidRPr="000614F9">
        <w:t>implementation</w:t>
      </w:r>
      <w:r w:rsidRPr="004B6083">
        <w:rPr>
          <w:color w:val="auto"/>
        </w:rPr>
        <w:t xml:space="preserve"> of this Agreement;</w:t>
      </w:r>
      <w:r w:rsidR="00321ABF">
        <w:rPr>
          <w:color w:val="auto"/>
        </w:rPr>
        <w:t xml:space="preserve"> </w:t>
      </w:r>
    </w:p>
    <w:p w14:paraId="01A0F928" w14:textId="77777777" w:rsidR="002D209D" w:rsidRPr="002D209D" w:rsidRDefault="002D209D" w:rsidP="00764FE9">
      <w:pPr>
        <w:pStyle w:val="AlphaParagraph"/>
        <w:numPr>
          <w:ilvl w:val="0"/>
          <w:numId w:val="15"/>
        </w:numPr>
        <w:tabs>
          <w:tab w:val="clear" w:pos="567"/>
          <w:tab w:val="clear" w:pos="1418"/>
          <w:tab w:val="clear" w:pos="1701"/>
        </w:tabs>
        <w:ind w:left="1134" w:hanging="567"/>
        <w:rPr>
          <w:i/>
          <w:color w:val="auto"/>
        </w:rPr>
      </w:pPr>
      <w:r>
        <w:rPr>
          <w:color w:val="auto"/>
        </w:rPr>
        <w:lastRenderedPageBreak/>
        <w:t>overall implementation</w:t>
      </w:r>
      <w:r w:rsidR="00362535">
        <w:rPr>
          <w:color w:val="auto"/>
        </w:rPr>
        <w:t>, oversight</w:t>
      </w:r>
      <w:r>
        <w:rPr>
          <w:color w:val="auto"/>
        </w:rPr>
        <w:t xml:space="preserve"> and evaluation of the Specialist Dementia Care Program; </w:t>
      </w:r>
      <w:r w:rsidR="00870508">
        <w:rPr>
          <w:color w:val="auto"/>
        </w:rPr>
        <w:t>and</w:t>
      </w:r>
    </w:p>
    <w:p w14:paraId="17831E51" w14:textId="77777777" w:rsidR="004F5DCD" w:rsidRPr="00581177" w:rsidRDefault="00B33466" w:rsidP="00764FE9">
      <w:pPr>
        <w:pStyle w:val="AlphaParagraph"/>
        <w:numPr>
          <w:ilvl w:val="0"/>
          <w:numId w:val="15"/>
        </w:numPr>
        <w:tabs>
          <w:tab w:val="clear" w:pos="567"/>
          <w:tab w:val="clear" w:pos="1418"/>
          <w:tab w:val="clear" w:pos="1701"/>
        </w:tabs>
        <w:ind w:left="1134" w:hanging="567"/>
        <w:rPr>
          <w:i/>
          <w:color w:val="auto"/>
        </w:rPr>
      </w:pPr>
      <w:r w:rsidRPr="00581177">
        <w:rPr>
          <w:color w:val="auto"/>
        </w:rPr>
        <w:t xml:space="preserve">managing Specialist Dementia Care Program </w:t>
      </w:r>
      <w:r w:rsidR="00321ABF" w:rsidRPr="00581177">
        <w:rPr>
          <w:color w:val="auto"/>
        </w:rPr>
        <w:t>provider</w:t>
      </w:r>
      <w:r w:rsidRPr="00581177">
        <w:rPr>
          <w:color w:val="auto"/>
        </w:rPr>
        <w:t>s</w:t>
      </w:r>
      <w:r w:rsidR="00321ABF" w:rsidRPr="00581177">
        <w:rPr>
          <w:color w:val="auto"/>
        </w:rPr>
        <w:t>’</w:t>
      </w:r>
      <w:r w:rsidRPr="00581177">
        <w:rPr>
          <w:color w:val="auto"/>
        </w:rPr>
        <w:t xml:space="preserve"> performance against the</w:t>
      </w:r>
      <w:r w:rsidR="00321ABF" w:rsidRPr="00581177">
        <w:rPr>
          <w:color w:val="auto"/>
        </w:rPr>
        <w:t>ir</w:t>
      </w:r>
      <w:r w:rsidRPr="00581177">
        <w:rPr>
          <w:color w:val="auto"/>
        </w:rPr>
        <w:t xml:space="preserve"> </w:t>
      </w:r>
      <w:r w:rsidR="00321ABF" w:rsidRPr="00581177">
        <w:rPr>
          <w:color w:val="auto"/>
        </w:rPr>
        <w:t xml:space="preserve">respective </w:t>
      </w:r>
      <w:r w:rsidRPr="00581177">
        <w:rPr>
          <w:color w:val="auto"/>
        </w:rPr>
        <w:t>service delivery grant agreement</w:t>
      </w:r>
      <w:r w:rsidR="00321ABF" w:rsidRPr="00581177">
        <w:rPr>
          <w:color w:val="auto"/>
        </w:rPr>
        <w:t>s</w:t>
      </w:r>
      <w:r w:rsidRPr="00581177">
        <w:rPr>
          <w:color w:val="auto"/>
        </w:rPr>
        <w:t xml:space="preserve">, and monitoring </w:t>
      </w:r>
      <w:r w:rsidR="00321ABF" w:rsidRPr="00581177">
        <w:rPr>
          <w:color w:val="auto"/>
        </w:rPr>
        <w:t>provider</w:t>
      </w:r>
      <w:r w:rsidRPr="00581177">
        <w:rPr>
          <w:color w:val="auto"/>
        </w:rPr>
        <w:t>s</w:t>
      </w:r>
      <w:r w:rsidR="00321ABF" w:rsidRPr="00581177">
        <w:rPr>
          <w:color w:val="auto"/>
        </w:rPr>
        <w:t>’</w:t>
      </w:r>
      <w:r w:rsidRPr="00581177">
        <w:rPr>
          <w:color w:val="auto"/>
        </w:rPr>
        <w:t xml:space="preserve"> compliance with the </w:t>
      </w:r>
      <w:r w:rsidRPr="00581177">
        <w:rPr>
          <w:i/>
          <w:color w:val="auto"/>
        </w:rPr>
        <w:t>Aged Care Act 1997</w:t>
      </w:r>
      <w:r w:rsidR="004F5DCD" w:rsidRPr="00581177">
        <w:rPr>
          <w:color w:val="auto"/>
        </w:rPr>
        <w:t>.</w:t>
      </w:r>
    </w:p>
    <w:p w14:paraId="1C2ED867" w14:textId="77777777" w:rsidR="008F44F1" w:rsidRPr="00751725" w:rsidRDefault="008F44F1" w:rsidP="008F44F1">
      <w:pPr>
        <w:pStyle w:val="Heading2"/>
      </w:pPr>
      <w:r w:rsidRPr="00751725">
        <w:t>Role of the States</w:t>
      </w:r>
    </w:p>
    <w:p w14:paraId="4C30B7A1" w14:textId="77777777" w:rsidR="008F44F1" w:rsidRPr="00751725" w:rsidRDefault="008F44F1" w:rsidP="00390C84">
      <w:pPr>
        <w:pStyle w:val="Normalnumbered"/>
        <w:numPr>
          <w:ilvl w:val="0"/>
          <w:numId w:val="10"/>
        </w:numPr>
        <w:jc w:val="left"/>
      </w:pPr>
      <w:r w:rsidRPr="00BD0B52">
        <w:t>The States will</w:t>
      </w:r>
      <w:r>
        <w:t xml:space="preserve"> be responsible for</w:t>
      </w:r>
      <w:r w:rsidR="00545DF7">
        <w:t>:</w:t>
      </w:r>
    </w:p>
    <w:p w14:paraId="04017345" w14:textId="77777777" w:rsidR="00321ABF" w:rsidRPr="00321ABF" w:rsidRDefault="00321ABF" w:rsidP="00390C84">
      <w:pPr>
        <w:pStyle w:val="AlphaParagraph"/>
        <w:numPr>
          <w:ilvl w:val="0"/>
          <w:numId w:val="21"/>
        </w:numPr>
        <w:tabs>
          <w:tab w:val="clear" w:pos="567"/>
          <w:tab w:val="clear" w:pos="1418"/>
          <w:tab w:val="clear" w:pos="1701"/>
        </w:tabs>
        <w:ind w:left="1134" w:hanging="567"/>
        <w:rPr>
          <w:color w:val="auto"/>
        </w:rPr>
      </w:pPr>
      <w:r w:rsidRPr="00321ABF">
        <w:rPr>
          <w:color w:val="auto"/>
        </w:rPr>
        <w:t>all aspects of delivering the project outputs set out in this Agreement;</w:t>
      </w:r>
    </w:p>
    <w:p w14:paraId="46AFDCB5" w14:textId="77777777" w:rsidR="00A85DD6" w:rsidRDefault="00A85DD6" w:rsidP="00390C84">
      <w:pPr>
        <w:pStyle w:val="AlphaParagraph"/>
        <w:numPr>
          <w:ilvl w:val="0"/>
          <w:numId w:val="21"/>
        </w:numPr>
        <w:tabs>
          <w:tab w:val="clear" w:pos="567"/>
          <w:tab w:val="clear" w:pos="1418"/>
          <w:tab w:val="clear" w:pos="1701"/>
        </w:tabs>
        <w:ind w:left="1134" w:hanging="567"/>
        <w:rPr>
          <w:color w:val="auto"/>
        </w:rPr>
      </w:pPr>
      <w:r>
        <w:rPr>
          <w:color w:val="auto"/>
        </w:rPr>
        <w:t xml:space="preserve">developing Project Plans in consultation with the Commonwealth and in accordance with </w:t>
      </w:r>
      <w:r w:rsidRPr="00C03B2B">
        <w:rPr>
          <w:color w:val="auto"/>
        </w:rPr>
        <w:t xml:space="preserve">clauses </w:t>
      </w:r>
      <w:r w:rsidR="00FD5FBB" w:rsidRPr="00C03B2B">
        <w:rPr>
          <w:color w:val="auto"/>
        </w:rPr>
        <w:t>1</w:t>
      </w:r>
      <w:r w:rsidR="000C07A4" w:rsidRPr="00C03B2B">
        <w:rPr>
          <w:color w:val="auto"/>
        </w:rPr>
        <w:t>2</w:t>
      </w:r>
      <w:r w:rsidRPr="00C03B2B">
        <w:rPr>
          <w:color w:val="auto"/>
        </w:rPr>
        <w:t xml:space="preserve"> and </w:t>
      </w:r>
      <w:r w:rsidR="00FD5FBB" w:rsidRPr="00C03B2B">
        <w:rPr>
          <w:color w:val="auto"/>
        </w:rPr>
        <w:t>1</w:t>
      </w:r>
      <w:r w:rsidR="000C07A4" w:rsidRPr="00C03B2B">
        <w:rPr>
          <w:color w:val="auto"/>
        </w:rPr>
        <w:t>3</w:t>
      </w:r>
      <w:r w:rsidRPr="00C03B2B">
        <w:rPr>
          <w:color w:val="auto"/>
        </w:rPr>
        <w:t xml:space="preserve"> of this Agreement</w:t>
      </w:r>
      <w:r>
        <w:rPr>
          <w:color w:val="auto"/>
        </w:rPr>
        <w:t>;</w:t>
      </w:r>
    </w:p>
    <w:p w14:paraId="63B2DFE6" w14:textId="77777777" w:rsidR="00321ABF" w:rsidRDefault="00321ABF" w:rsidP="00390C84">
      <w:pPr>
        <w:pStyle w:val="AlphaParagraph"/>
        <w:numPr>
          <w:ilvl w:val="0"/>
          <w:numId w:val="21"/>
        </w:numPr>
        <w:tabs>
          <w:tab w:val="clear" w:pos="567"/>
          <w:tab w:val="clear" w:pos="1418"/>
          <w:tab w:val="clear" w:pos="1701"/>
        </w:tabs>
        <w:ind w:left="1134" w:hanging="567"/>
        <w:rPr>
          <w:color w:val="auto"/>
        </w:rPr>
      </w:pPr>
      <w:r w:rsidRPr="00321ABF">
        <w:rPr>
          <w:color w:val="auto"/>
        </w:rPr>
        <w:t xml:space="preserve">reporting on the delivery of outputs as set out in Part 4 – Project Milestones, Reporting and </w:t>
      </w:r>
      <w:r w:rsidRPr="00A376AA">
        <w:rPr>
          <w:color w:val="auto"/>
        </w:rPr>
        <w:t>Payments;</w:t>
      </w:r>
    </w:p>
    <w:p w14:paraId="604453B8" w14:textId="3E3AF285" w:rsidR="00D819B9" w:rsidRPr="00D819B9" w:rsidRDefault="00D819B9" w:rsidP="00390C84">
      <w:pPr>
        <w:pStyle w:val="AlphaParagraph"/>
        <w:numPr>
          <w:ilvl w:val="0"/>
          <w:numId w:val="21"/>
        </w:numPr>
        <w:tabs>
          <w:tab w:val="clear" w:pos="567"/>
          <w:tab w:val="clear" w:pos="1418"/>
          <w:tab w:val="clear" w:pos="1701"/>
        </w:tabs>
        <w:ind w:left="1134" w:hanging="567"/>
        <w:rPr>
          <w:color w:val="auto"/>
        </w:rPr>
      </w:pPr>
      <w:r w:rsidRPr="00D819B9">
        <w:rPr>
          <w:color w:val="auto"/>
        </w:rPr>
        <w:t>establishing and maintaining networks and partnerships with Specialist Dementia Care Program providers and Severe Behaviour Response Teams;</w:t>
      </w:r>
    </w:p>
    <w:p w14:paraId="384C9987" w14:textId="77777777" w:rsidR="00D819B9" w:rsidRPr="00A376AA" w:rsidRDefault="00D819B9" w:rsidP="00390C84">
      <w:pPr>
        <w:pStyle w:val="AlphaParagraph"/>
        <w:numPr>
          <w:ilvl w:val="0"/>
          <w:numId w:val="21"/>
        </w:numPr>
        <w:tabs>
          <w:tab w:val="clear" w:pos="567"/>
          <w:tab w:val="clear" w:pos="1418"/>
          <w:tab w:val="clear" w:pos="1701"/>
        </w:tabs>
        <w:ind w:left="1134" w:hanging="567"/>
        <w:rPr>
          <w:color w:val="auto"/>
        </w:rPr>
      </w:pPr>
      <w:r w:rsidRPr="00D819B9">
        <w:rPr>
          <w:color w:val="auto"/>
        </w:rPr>
        <w:t>working with Specialist Dementia</w:t>
      </w:r>
      <w:r w:rsidR="00D50F72">
        <w:rPr>
          <w:color w:val="auto"/>
        </w:rPr>
        <w:t xml:space="preserve"> Care Program providers in the S</w:t>
      </w:r>
      <w:r w:rsidRPr="00D819B9">
        <w:rPr>
          <w:color w:val="auto"/>
        </w:rPr>
        <w:t>tate to establish memorandums of understanding or similar to support the partnerships</w:t>
      </w:r>
      <w:r>
        <w:rPr>
          <w:color w:val="auto"/>
        </w:rPr>
        <w:t>;</w:t>
      </w:r>
    </w:p>
    <w:p w14:paraId="4701F7BF" w14:textId="711379C0" w:rsidR="00A1029D" w:rsidRPr="004C026D" w:rsidRDefault="004E2BCD" w:rsidP="00390C84">
      <w:pPr>
        <w:pStyle w:val="AlphaParagraph"/>
        <w:numPr>
          <w:ilvl w:val="0"/>
          <w:numId w:val="21"/>
        </w:numPr>
        <w:tabs>
          <w:tab w:val="clear" w:pos="567"/>
          <w:tab w:val="clear" w:pos="1418"/>
          <w:tab w:val="clear" w:pos="1701"/>
        </w:tabs>
        <w:ind w:left="1134" w:hanging="567"/>
        <w:rPr>
          <w:color w:val="auto"/>
        </w:rPr>
      </w:pPr>
      <w:r w:rsidRPr="004C026D">
        <w:rPr>
          <w:color w:val="auto"/>
        </w:rPr>
        <w:t>facilitating pathways for Severe Behaviour Response Team assessment to occur within State hospital or mental health facilities;</w:t>
      </w:r>
      <w:r w:rsidR="00D86616">
        <w:rPr>
          <w:color w:val="auto"/>
        </w:rPr>
        <w:t xml:space="preserve"> and</w:t>
      </w:r>
    </w:p>
    <w:p w14:paraId="14D58097" w14:textId="42B8876F" w:rsidR="00747960" w:rsidRPr="00D96E53" w:rsidRDefault="00321ABF" w:rsidP="00390C84">
      <w:pPr>
        <w:pStyle w:val="AlphaParagraph"/>
        <w:numPr>
          <w:ilvl w:val="0"/>
          <w:numId w:val="21"/>
        </w:numPr>
        <w:tabs>
          <w:tab w:val="clear" w:pos="567"/>
          <w:tab w:val="clear" w:pos="1418"/>
          <w:tab w:val="clear" w:pos="1701"/>
        </w:tabs>
        <w:ind w:left="1134" w:hanging="567"/>
        <w:rPr>
          <w:color w:val="auto"/>
        </w:rPr>
      </w:pPr>
      <w:r w:rsidRPr="00C34F22">
        <w:rPr>
          <w:color w:val="auto"/>
        </w:rPr>
        <w:t>participating in</w:t>
      </w:r>
      <w:r w:rsidR="00686DF8" w:rsidRPr="00C34F22">
        <w:rPr>
          <w:color w:val="auto"/>
        </w:rPr>
        <w:t xml:space="preserve"> and contributing to</w:t>
      </w:r>
      <w:r w:rsidRPr="00C34F22">
        <w:rPr>
          <w:color w:val="auto"/>
        </w:rPr>
        <w:t xml:space="preserve"> the evaluation of the Specialist Dementia Care Program, which will evaluate the effectiveness of specialist dementia care units, including </w:t>
      </w:r>
      <w:r w:rsidR="00D03BDF">
        <w:rPr>
          <w:color w:val="auto"/>
        </w:rPr>
        <w:t xml:space="preserve">the </w:t>
      </w:r>
      <w:r w:rsidRPr="00C34F22">
        <w:rPr>
          <w:color w:val="auto"/>
        </w:rPr>
        <w:t xml:space="preserve">effectiveness of clinical in-reach </w:t>
      </w:r>
      <w:r w:rsidR="004E37B3">
        <w:rPr>
          <w:color w:val="auto"/>
        </w:rPr>
        <w:t xml:space="preserve">support </w:t>
      </w:r>
      <w:r w:rsidRPr="00C34F22">
        <w:rPr>
          <w:color w:val="auto"/>
        </w:rPr>
        <w:t>provided under this Agreement, to inform future program delivery</w:t>
      </w:r>
      <w:r w:rsidR="00C34F22" w:rsidRPr="00C34F22">
        <w:rPr>
          <w:color w:val="auto"/>
        </w:rPr>
        <w:t>.</w:t>
      </w:r>
    </w:p>
    <w:p w14:paraId="5DB2D322" w14:textId="77777777" w:rsidR="008F44F1" w:rsidRDefault="008F44F1" w:rsidP="004F5DCD">
      <w:pPr>
        <w:pStyle w:val="Heading2"/>
      </w:pPr>
      <w:r>
        <w:t>Shared roles</w:t>
      </w:r>
    </w:p>
    <w:p w14:paraId="305A949F" w14:textId="77777777" w:rsidR="00BB6C62" w:rsidRDefault="001F166D" w:rsidP="00390C84">
      <w:pPr>
        <w:pStyle w:val="Normalnumbered"/>
        <w:numPr>
          <w:ilvl w:val="0"/>
          <w:numId w:val="10"/>
        </w:numPr>
        <w:rPr>
          <w:color w:val="auto"/>
        </w:rPr>
      </w:pPr>
      <w:r>
        <w:rPr>
          <w:color w:val="auto"/>
        </w:rPr>
        <w:t>The</w:t>
      </w:r>
      <w:r w:rsidRPr="00166312">
        <w:rPr>
          <w:color w:val="auto"/>
        </w:rPr>
        <w:t xml:space="preserve"> Parties will</w:t>
      </w:r>
      <w:r>
        <w:rPr>
          <w:color w:val="auto"/>
        </w:rPr>
        <w:t xml:space="preserve"> be responsible for:</w:t>
      </w:r>
    </w:p>
    <w:p w14:paraId="1E04665D" w14:textId="77777777" w:rsidR="00BB6C62" w:rsidRPr="00BB6C62" w:rsidRDefault="00BB6C62" w:rsidP="00390C84">
      <w:pPr>
        <w:pStyle w:val="AlphaParagraph"/>
        <w:numPr>
          <w:ilvl w:val="0"/>
          <w:numId w:val="22"/>
        </w:numPr>
        <w:tabs>
          <w:tab w:val="clear" w:pos="567"/>
          <w:tab w:val="clear" w:pos="1418"/>
          <w:tab w:val="clear" w:pos="1701"/>
        </w:tabs>
        <w:ind w:left="1134" w:hanging="567"/>
        <w:rPr>
          <w:color w:val="auto"/>
        </w:rPr>
      </w:pPr>
      <w:r w:rsidRPr="00C03B2B">
        <w:rPr>
          <w:color w:val="auto"/>
        </w:rPr>
        <w:t xml:space="preserve">agreeing Project Plans in accordance with clauses </w:t>
      </w:r>
      <w:r w:rsidR="00493A1C" w:rsidRPr="00C03B2B">
        <w:rPr>
          <w:color w:val="auto"/>
        </w:rPr>
        <w:t>1</w:t>
      </w:r>
      <w:r w:rsidR="000C07A4" w:rsidRPr="00C03B2B">
        <w:rPr>
          <w:color w:val="auto"/>
        </w:rPr>
        <w:t>2</w:t>
      </w:r>
      <w:r w:rsidRPr="00C03B2B">
        <w:rPr>
          <w:color w:val="auto"/>
        </w:rPr>
        <w:t xml:space="preserve"> and 1</w:t>
      </w:r>
      <w:r w:rsidR="000C07A4" w:rsidRPr="00C03B2B">
        <w:rPr>
          <w:color w:val="auto"/>
        </w:rPr>
        <w:t>3</w:t>
      </w:r>
      <w:r w:rsidRPr="00C03B2B">
        <w:rPr>
          <w:color w:val="auto"/>
        </w:rPr>
        <w:t xml:space="preserve"> of this</w:t>
      </w:r>
      <w:r w:rsidRPr="00BB6C62">
        <w:rPr>
          <w:color w:val="auto"/>
        </w:rPr>
        <w:t xml:space="preserve"> Agreement; and</w:t>
      </w:r>
    </w:p>
    <w:p w14:paraId="29D7C605" w14:textId="77777777" w:rsidR="00E87B86" w:rsidRPr="00A85DD6" w:rsidRDefault="008F44F1" w:rsidP="00390C84">
      <w:pPr>
        <w:pStyle w:val="AlphaParagraph"/>
        <w:numPr>
          <w:ilvl w:val="0"/>
          <w:numId w:val="22"/>
        </w:numPr>
        <w:tabs>
          <w:tab w:val="clear" w:pos="567"/>
          <w:tab w:val="clear" w:pos="1418"/>
          <w:tab w:val="clear" w:pos="1701"/>
        </w:tabs>
        <w:ind w:left="1134" w:hanging="567"/>
        <w:rPr>
          <w:color w:val="auto"/>
        </w:rPr>
      </w:pPr>
      <w:r w:rsidRPr="001F166D">
        <w:rPr>
          <w:color w:val="auto"/>
        </w:rPr>
        <w:t>meet</w:t>
      </w:r>
      <w:r w:rsidR="001F166D">
        <w:rPr>
          <w:color w:val="auto"/>
        </w:rPr>
        <w:t>ing</w:t>
      </w:r>
      <w:r w:rsidRPr="001F166D">
        <w:rPr>
          <w:color w:val="auto"/>
        </w:rPr>
        <w:t xml:space="preserve"> the requirements of Schedule E, Clause 26 of </w:t>
      </w:r>
      <w:r w:rsidRPr="00183EAB">
        <w:rPr>
          <w:color w:val="auto"/>
        </w:rPr>
        <w:t xml:space="preserve">the </w:t>
      </w:r>
      <w:r w:rsidR="00C41265">
        <w:rPr>
          <w:color w:val="auto"/>
        </w:rPr>
        <w:t>IGA FFR</w:t>
      </w:r>
      <w:r w:rsidRPr="000614F9">
        <w:rPr>
          <w:color w:val="auto"/>
        </w:rPr>
        <w:t>, by ensuring that prior agreemen</w:t>
      </w:r>
      <w:r w:rsidRPr="001F166D">
        <w:rPr>
          <w:color w:val="auto"/>
        </w:rPr>
        <w:t>t is reached on the nature and content of any events, announcements, promotional material or publicity relating to activities under this Agreement, and that the roles of both Parties will be acknowledged and recognised appropriately.</w:t>
      </w:r>
    </w:p>
    <w:p w14:paraId="55D46530" w14:textId="77777777" w:rsidR="00E87B86" w:rsidRDefault="00E87B86" w:rsidP="00E87B86">
      <w:pPr>
        <w:pStyle w:val="Heading2"/>
      </w:pPr>
      <w:r w:rsidRPr="00E87B86">
        <w:lastRenderedPageBreak/>
        <w:t>Project plans</w:t>
      </w:r>
    </w:p>
    <w:p w14:paraId="79ABD212" w14:textId="602DCFFF" w:rsidR="00E87B86" w:rsidRPr="006267ED" w:rsidRDefault="00E87B86" w:rsidP="00390C84">
      <w:pPr>
        <w:pStyle w:val="Normalnumbered"/>
        <w:numPr>
          <w:ilvl w:val="0"/>
          <w:numId w:val="10"/>
        </w:numPr>
        <w:rPr>
          <w:color w:val="auto"/>
        </w:rPr>
      </w:pPr>
      <w:r w:rsidRPr="006267ED">
        <w:rPr>
          <w:color w:val="auto"/>
        </w:rPr>
        <w:t>Within t</w:t>
      </w:r>
      <w:r w:rsidR="00473D24" w:rsidRPr="006267ED">
        <w:rPr>
          <w:color w:val="auto"/>
        </w:rPr>
        <w:t>w</w:t>
      </w:r>
      <w:r w:rsidRPr="006267ED">
        <w:rPr>
          <w:color w:val="auto"/>
        </w:rPr>
        <w:t>o months</w:t>
      </w:r>
      <w:r w:rsidR="00B30F52" w:rsidRPr="006267ED">
        <w:rPr>
          <w:color w:val="auto"/>
        </w:rPr>
        <w:t xml:space="preserve"> of the Commonwealth notifying the State of </w:t>
      </w:r>
      <w:r w:rsidR="00D03BDF" w:rsidRPr="006267ED">
        <w:rPr>
          <w:color w:val="auto"/>
        </w:rPr>
        <w:t xml:space="preserve">executing a </w:t>
      </w:r>
      <w:r w:rsidR="004E37B3">
        <w:rPr>
          <w:color w:val="auto"/>
        </w:rPr>
        <w:t xml:space="preserve">service delivery </w:t>
      </w:r>
      <w:r w:rsidR="00D03BDF" w:rsidRPr="006267ED">
        <w:rPr>
          <w:color w:val="auto"/>
        </w:rPr>
        <w:t>grant agreement with</w:t>
      </w:r>
      <w:r w:rsidR="00B30F52" w:rsidRPr="006267ED">
        <w:rPr>
          <w:color w:val="auto"/>
        </w:rPr>
        <w:t xml:space="preserve"> a </w:t>
      </w:r>
      <w:r w:rsidR="00ED0401" w:rsidRPr="006267ED">
        <w:rPr>
          <w:color w:val="auto"/>
        </w:rPr>
        <w:t>Specialist Dementia Care Program</w:t>
      </w:r>
      <w:r w:rsidR="00B30F52" w:rsidRPr="006267ED">
        <w:rPr>
          <w:color w:val="auto"/>
        </w:rPr>
        <w:t xml:space="preserve"> provider within the State, the </w:t>
      </w:r>
      <w:r w:rsidRPr="006267ED">
        <w:rPr>
          <w:color w:val="auto"/>
        </w:rPr>
        <w:t xml:space="preserve">Commonwealth and the State will agree to </w:t>
      </w:r>
      <w:r w:rsidR="006267ED" w:rsidRPr="006267ED">
        <w:rPr>
          <w:color w:val="auto"/>
        </w:rPr>
        <w:t xml:space="preserve">a </w:t>
      </w:r>
      <w:r w:rsidRPr="006267ED">
        <w:rPr>
          <w:color w:val="auto"/>
        </w:rPr>
        <w:t>Project Plan that will set out each State’s strategy for delivering on the outputs of this Agreement.</w:t>
      </w:r>
    </w:p>
    <w:p w14:paraId="4FA7049C" w14:textId="58915D8D" w:rsidR="00E87B86" w:rsidRDefault="00E87B86" w:rsidP="00390C84">
      <w:pPr>
        <w:pStyle w:val="Normalnumbered"/>
        <w:numPr>
          <w:ilvl w:val="0"/>
          <w:numId w:val="10"/>
        </w:numPr>
        <w:rPr>
          <w:color w:val="auto"/>
        </w:rPr>
      </w:pPr>
      <w:r w:rsidRPr="00E87B86">
        <w:rPr>
          <w:color w:val="auto"/>
        </w:rPr>
        <w:t xml:space="preserve">Project Plans will be flexible documents </w:t>
      </w:r>
      <w:r w:rsidRPr="00664634">
        <w:rPr>
          <w:color w:val="auto"/>
        </w:rPr>
        <w:t>that</w:t>
      </w:r>
      <w:r w:rsidR="009D49B5" w:rsidRPr="00664634">
        <w:rPr>
          <w:color w:val="auto"/>
        </w:rPr>
        <w:t xml:space="preserve"> can be tailored to reflect the specific circumstances of each State and</w:t>
      </w:r>
      <w:r w:rsidRPr="00E87B86">
        <w:rPr>
          <w:color w:val="auto"/>
        </w:rPr>
        <w:t xml:space="preserve"> may be varied to accommodate changed circumstances. Any variations to Project Plans that impact milestones and payments under this Agreement will be subject to </w:t>
      </w:r>
      <w:r w:rsidRPr="00C03B2B">
        <w:rPr>
          <w:color w:val="auto"/>
        </w:rPr>
        <w:t xml:space="preserve">arrangements set out in clause </w:t>
      </w:r>
      <w:r w:rsidR="00030A55" w:rsidRPr="00C03B2B">
        <w:rPr>
          <w:color w:val="auto"/>
        </w:rPr>
        <w:t>2</w:t>
      </w:r>
      <w:r w:rsidR="004E37B3">
        <w:rPr>
          <w:color w:val="auto"/>
        </w:rPr>
        <w:t>7</w:t>
      </w:r>
      <w:r w:rsidRPr="00C03B2B">
        <w:rPr>
          <w:color w:val="auto"/>
        </w:rPr>
        <w:t xml:space="preserve"> of this</w:t>
      </w:r>
      <w:r w:rsidRPr="00E87B86">
        <w:rPr>
          <w:color w:val="auto"/>
        </w:rPr>
        <w:t xml:space="preserve"> Agreement. Other variations or updates to Project Plans are subject to the agreement of senior Commonwealth and State officials. </w:t>
      </w:r>
    </w:p>
    <w:p w14:paraId="5568A91D" w14:textId="77777777" w:rsidR="00CD3DB2" w:rsidRDefault="00CD3DB2" w:rsidP="00CD3DB2">
      <w:pPr>
        <w:pStyle w:val="Heading2"/>
        <w:rPr>
          <w:b w:val="0"/>
        </w:rPr>
      </w:pPr>
      <w:r>
        <w:t>Risk and issues management</w:t>
      </w:r>
    </w:p>
    <w:p w14:paraId="2B2CB293" w14:textId="77777777" w:rsidR="003F2CE7" w:rsidRPr="00A06BEA" w:rsidRDefault="003F2CE7" w:rsidP="00390C84">
      <w:pPr>
        <w:pStyle w:val="Normalnumbered"/>
        <w:numPr>
          <w:ilvl w:val="0"/>
          <w:numId w:val="10"/>
        </w:numPr>
        <w:rPr>
          <w:color w:val="auto"/>
        </w:rPr>
      </w:pPr>
      <w:r w:rsidRPr="00A06BEA">
        <w:rPr>
          <w:color w:val="auto"/>
        </w:rPr>
        <w:t>The parties agree that they will monitor, review and take necessary action to manage risks over the life of the Agreement.</w:t>
      </w:r>
    </w:p>
    <w:p w14:paraId="6CCB8099" w14:textId="5BBEC3FC" w:rsidR="003F2CE7" w:rsidRPr="00A06BEA" w:rsidRDefault="003F2CE7" w:rsidP="00390C84">
      <w:pPr>
        <w:pStyle w:val="Normalnumbered"/>
        <w:numPr>
          <w:ilvl w:val="0"/>
          <w:numId w:val="10"/>
        </w:numPr>
        <w:rPr>
          <w:color w:val="auto"/>
        </w:rPr>
      </w:pPr>
      <w:r w:rsidRPr="00A06BEA">
        <w:rPr>
          <w:color w:val="auto"/>
        </w:rPr>
        <w:t xml:space="preserve">Where a risk or issue is identified by a </w:t>
      </w:r>
      <w:r w:rsidR="0066324E" w:rsidRPr="00A06BEA">
        <w:rPr>
          <w:color w:val="auto"/>
        </w:rPr>
        <w:t xml:space="preserve">State </w:t>
      </w:r>
      <w:r w:rsidRPr="00A06BEA">
        <w:rPr>
          <w:color w:val="auto"/>
        </w:rPr>
        <w:t>during the delivery of the outputs, it should be handled consistently with the memorandum of understanding or similar with the Specialist Dementia Care Program provider</w:t>
      </w:r>
      <w:r w:rsidR="009D49B5" w:rsidRPr="00A06BEA">
        <w:rPr>
          <w:color w:val="auto"/>
        </w:rPr>
        <w:t xml:space="preserve">, or with the relevant </w:t>
      </w:r>
      <w:r w:rsidR="00A06BEA" w:rsidRPr="00A06BEA">
        <w:rPr>
          <w:color w:val="auto"/>
        </w:rPr>
        <w:t xml:space="preserve">State </w:t>
      </w:r>
      <w:r w:rsidR="009D49B5" w:rsidRPr="00A06BEA">
        <w:rPr>
          <w:color w:val="auto"/>
        </w:rPr>
        <w:t>Health Service.</w:t>
      </w:r>
    </w:p>
    <w:p w14:paraId="56116D8F" w14:textId="42022D65" w:rsidR="00102E26" w:rsidRPr="00A06BEA" w:rsidRDefault="003F2CE7" w:rsidP="00390C84">
      <w:pPr>
        <w:pStyle w:val="Normalnumbered"/>
        <w:numPr>
          <w:ilvl w:val="0"/>
          <w:numId w:val="10"/>
        </w:numPr>
        <w:rPr>
          <w:color w:val="auto"/>
        </w:rPr>
      </w:pPr>
      <w:r w:rsidRPr="00A06BEA">
        <w:rPr>
          <w:color w:val="auto"/>
        </w:rPr>
        <w:t xml:space="preserve">Where a risk or issue cannot be resolved </w:t>
      </w:r>
      <w:r w:rsidR="009D49B5" w:rsidRPr="00A06BEA">
        <w:rPr>
          <w:color w:val="auto"/>
        </w:rPr>
        <w:t xml:space="preserve">between the </w:t>
      </w:r>
      <w:r w:rsidR="00A06BEA" w:rsidRPr="00A06BEA">
        <w:rPr>
          <w:color w:val="auto"/>
        </w:rPr>
        <w:t>State H</w:t>
      </w:r>
      <w:r w:rsidR="009D49B5" w:rsidRPr="00A06BEA">
        <w:rPr>
          <w:color w:val="auto"/>
        </w:rPr>
        <w:t xml:space="preserve">ealth </w:t>
      </w:r>
      <w:r w:rsidR="00A06BEA" w:rsidRPr="00A06BEA">
        <w:rPr>
          <w:color w:val="auto"/>
        </w:rPr>
        <w:t>S</w:t>
      </w:r>
      <w:r w:rsidR="009D49B5" w:rsidRPr="00A06BEA">
        <w:rPr>
          <w:color w:val="auto"/>
        </w:rPr>
        <w:t xml:space="preserve">ervice </w:t>
      </w:r>
      <w:r w:rsidR="00A06BEA" w:rsidRPr="00A06BEA">
        <w:rPr>
          <w:color w:val="auto"/>
        </w:rPr>
        <w:t>or</w:t>
      </w:r>
      <w:r w:rsidR="009D49B5" w:rsidRPr="00A06BEA">
        <w:rPr>
          <w:color w:val="auto"/>
        </w:rPr>
        <w:t xml:space="preserve"> </w:t>
      </w:r>
      <w:r w:rsidRPr="00A06BEA">
        <w:rPr>
          <w:color w:val="auto"/>
        </w:rPr>
        <w:t xml:space="preserve">the Specialist Dementia Care </w:t>
      </w:r>
      <w:r w:rsidR="004E37B3" w:rsidRPr="00A06BEA">
        <w:rPr>
          <w:color w:val="auto"/>
        </w:rPr>
        <w:t>Program p</w:t>
      </w:r>
      <w:r w:rsidRPr="00A06BEA">
        <w:rPr>
          <w:color w:val="auto"/>
        </w:rPr>
        <w:t>rovider,</w:t>
      </w:r>
      <w:r w:rsidR="0066324E" w:rsidRPr="00A06BEA">
        <w:rPr>
          <w:color w:val="auto"/>
        </w:rPr>
        <w:t xml:space="preserve"> or otherwise relates to the design or evaluation of the Specialist Dementia Care Program,</w:t>
      </w:r>
      <w:r w:rsidRPr="00A06BEA">
        <w:rPr>
          <w:color w:val="auto"/>
        </w:rPr>
        <w:t xml:space="preserve"> the </w:t>
      </w:r>
      <w:r w:rsidR="0066324E" w:rsidRPr="00A06BEA">
        <w:rPr>
          <w:color w:val="auto"/>
        </w:rPr>
        <w:t>State</w:t>
      </w:r>
      <w:r w:rsidRPr="00A06BEA">
        <w:rPr>
          <w:color w:val="auto"/>
        </w:rPr>
        <w:t xml:space="preserve"> can escalate the risk or issue to Commonwealth officials.</w:t>
      </w:r>
    </w:p>
    <w:p w14:paraId="75A4EA14"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52B4E704" w14:textId="77777777" w:rsidR="00504A64" w:rsidRPr="00504A64" w:rsidRDefault="001D0C1F" w:rsidP="00390C84">
      <w:pPr>
        <w:pStyle w:val="Normalnumbered"/>
        <w:numPr>
          <w:ilvl w:val="0"/>
          <w:numId w:val="10"/>
        </w:numPr>
        <w:rPr>
          <w:color w:val="auto"/>
        </w:rPr>
      </w:pPr>
      <w:r w:rsidRPr="00504A64">
        <w:rPr>
          <w:color w:val="auto"/>
        </w:rPr>
        <w:t>Table 1 summarises t</w:t>
      </w:r>
      <w:r w:rsidR="007C4F31" w:rsidRPr="00504A64">
        <w:rPr>
          <w:color w:val="auto"/>
        </w:rPr>
        <w:t xml:space="preserve">he milestones for the project, their relationship to the outputs, expected completion dates, relevant reporting dates and expected payments </w:t>
      </w:r>
      <w:r w:rsidR="0077685D" w:rsidRPr="00504A64">
        <w:rPr>
          <w:color w:val="auto"/>
        </w:rPr>
        <w:t>to be</w:t>
      </w:r>
      <w:r w:rsidR="007338E4">
        <w:rPr>
          <w:color w:val="auto"/>
        </w:rPr>
        <w:t xml:space="preserve"> </w:t>
      </w:r>
      <w:r w:rsidR="0077685D" w:rsidRPr="00504A64">
        <w:rPr>
          <w:color w:val="auto"/>
        </w:rPr>
        <w:t>made</w:t>
      </w:r>
      <w:r w:rsidRPr="00504A64">
        <w:rPr>
          <w:color w:val="auto"/>
        </w:rPr>
        <w:t>.</w:t>
      </w:r>
      <w:r w:rsidR="00504A64" w:rsidRPr="00504A64">
        <w:rPr>
          <w:color w:val="auto"/>
        </w:rPr>
        <w:t xml:space="preserve"> The Commonwealth will make payments subject to performance reports demonstrating the relevant milestone has been met. </w:t>
      </w:r>
    </w:p>
    <w:p w14:paraId="010F7812" w14:textId="77777777" w:rsidR="001D0C1F" w:rsidRPr="000E2AF6" w:rsidRDefault="000F7140" w:rsidP="00936FE8">
      <w:pPr>
        <w:pStyle w:val="Normalnumbered"/>
        <w:keepNext/>
        <w:numPr>
          <w:ilvl w:val="0"/>
          <w:numId w:val="0"/>
        </w:numPr>
      </w:pPr>
      <w:r>
        <w:rPr>
          <w:b/>
        </w:rPr>
        <w:br w:type="column"/>
      </w:r>
      <w:r w:rsidR="001D0C1F" w:rsidRPr="00504A64">
        <w:rPr>
          <w:b/>
        </w:rPr>
        <w:lastRenderedPageBreak/>
        <w:t>Table 1</w:t>
      </w:r>
      <w:r w:rsidR="001D0C1F" w:rsidRPr="001D3CAD">
        <w:t xml:space="preserve">: </w:t>
      </w:r>
      <w:r w:rsidR="001D0C1F" w:rsidRPr="00504A64">
        <w:rPr>
          <w:b/>
        </w:rPr>
        <w:t>Performance requirements, reporting and payment summary</w:t>
      </w:r>
    </w:p>
    <w:tbl>
      <w:tblPr>
        <w:tblStyle w:val="GridTable1Light"/>
        <w:tblW w:w="0" w:type="auto"/>
        <w:tblLook w:val="04A0" w:firstRow="1" w:lastRow="0" w:firstColumn="1" w:lastColumn="0" w:noHBand="0" w:noVBand="1"/>
      </w:tblPr>
      <w:tblGrid>
        <w:gridCol w:w="3114"/>
        <w:gridCol w:w="2268"/>
        <w:gridCol w:w="1984"/>
        <w:gridCol w:w="2262"/>
      </w:tblGrid>
      <w:tr w:rsidR="004C7C83" w14:paraId="63D76E0C" w14:textId="77777777" w:rsidTr="6CEB6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4F81BD"/>
              <w:left w:val="single" w:sz="4" w:space="0" w:color="4F81BD" w:themeColor="accent1"/>
              <w:bottom w:val="single" w:sz="12" w:space="0" w:color="4F81BD" w:themeColor="accent1"/>
              <w:right w:val="single" w:sz="4" w:space="0" w:color="4F81BD"/>
            </w:tcBorders>
          </w:tcPr>
          <w:p w14:paraId="03163F27" w14:textId="77777777" w:rsidR="004C7C83" w:rsidRPr="00364B64" w:rsidRDefault="00CA1E9B" w:rsidP="00364B64">
            <w:pPr>
              <w:pStyle w:val="Heading2"/>
              <w:outlineLvl w:val="1"/>
              <w:rPr>
                <w:b/>
                <w:sz w:val="24"/>
              </w:rPr>
            </w:pPr>
            <w:r w:rsidRPr="00CA1E9B">
              <w:rPr>
                <w:b/>
                <w:sz w:val="24"/>
              </w:rPr>
              <w:t xml:space="preserve">Performance milestones </w:t>
            </w:r>
          </w:p>
        </w:tc>
        <w:tc>
          <w:tcPr>
            <w:tcW w:w="2268" w:type="dxa"/>
            <w:tcBorders>
              <w:top w:val="single" w:sz="4" w:space="0" w:color="4F81BD"/>
              <w:left w:val="single" w:sz="4" w:space="0" w:color="4F81BD"/>
              <w:bottom w:val="single" w:sz="12" w:space="0" w:color="4F81BD" w:themeColor="accent1"/>
              <w:right w:val="single" w:sz="4" w:space="0" w:color="4F81BD"/>
            </w:tcBorders>
          </w:tcPr>
          <w:p w14:paraId="07817C49" w14:textId="77777777" w:rsidR="004C7C83" w:rsidRPr="00364B64" w:rsidRDefault="004C7C83" w:rsidP="00364B64">
            <w:pPr>
              <w:pStyle w:val="Heading2"/>
              <w:outlineLvl w:val="1"/>
              <w:cnfStyle w:val="100000000000" w:firstRow="1" w:lastRow="0" w:firstColumn="0" w:lastColumn="0" w:oddVBand="0" w:evenVBand="0" w:oddHBand="0" w:evenHBand="0" w:firstRowFirstColumn="0" w:firstRowLastColumn="0" w:lastRowFirstColumn="0" w:lastRowLastColumn="0"/>
              <w:rPr>
                <w:b/>
                <w:sz w:val="24"/>
              </w:rPr>
            </w:pPr>
            <w:r w:rsidRPr="00364B64">
              <w:rPr>
                <w:b/>
                <w:sz w:val="24"/>
              </w:rPr>
              <w:t>Reporting Period</w:t>
            </w:r>
          </w:p>
        </w:tc>
        <w:tc>
          <w:tcPr>
            <w:tcW w:w="1984" w:type="dxa"/>
            <w:tcBorders>
              <w:top w:val="single" w:sz="4" w:space="0" w:color="4F81BD"/>
              <w:left w:val="single" w:sz="4" w:space="0" w:color="4F81BD"/>
              <w:bottom w:val="single" w:sz="12" w:space="0" w:color="4F81BD" w:themeColor="accent1"/>
              <w:right w:val="single" w:sz="4" w:space="0" w:color="4F81BD"/>
            </w:tcBorders>
          </w:tcPr>
          <w:p w14:paraId="0D89AA15" w14:textId="77777777" w:rsidR="004C7C83" w:rsidRPr="00364B64" w:rsidRDefault="004C7C83" w:rsidP="00364B64">
            <w:pPr>
              <w:pStyle w:val="Heading2"/>
              <w:outlineLvl w:val="1"/>
              <w:cnfStyle w:val="100000000000" w:firstRow="1" w:lastRow="0" w:firstColumn="0" w:lastColumn="0" w:oddVBand="0" w:evenVBand="0" w:oddHBand="0" w:evenHBand="0" w:firstRowFirstColumn="0" w:firstRowLastColumn="0" w:lastRowFirstColumn="0" w:lastRowLastColumn="0"/>
              <w:rPr>
                <w:b/>
                <w:sz w:val="24"/>
              </w:rPr>
            </w:pPr>
            <w:r w:rsidRPr="00364B64">
              <w:rPr>
                <w:b/>
                <w:sz w:val="24"/>
              </w:rPr>
              <w:t>Due date</w:t>
            </w:r>
          </w:p>
        </w:tc>
        <w:tc>
          <w:tcPr>
            <w:tcW w:w="2262" w:type="dxa"/>
            <w:tcBorders>
              <w:top w:val="single" w:sz="4" w:space="0" w:color="4F81BD"/>
              <w:left w:val="single" w:sz="4" w:space="0" w:color="4F81BD"/>
              <w:bottom w:val="single" w:sz="12" w:space="0" w:color="4F81BD" w:themeColor="accent1"/>
              <w:right w:val="single" w:sz="4" w:space="0" w:color="4F81BD"/>
            </w:tcBorders>
          </w:tcPr>
          <w:p w14:paraId="754E9C84" w14:textId="77777777" w:rsidR="004C7C83" w:rsidRPr="00364B64" w:rsidRDefault="004C7C83" w:rsidP="00364B64">
            <w:pPr>
              <w:pStyle w:val="Heading2"/>
              <w:outlineLvl w:val="1"/>
              <w:cnfStyle w:val="100000000000" w:firstRow="1" w:lastRow="0" w:firstColumn="0" w:lastColumn="0" w:oddVBand="0" w:evenVBand="0" w:oddHBand="0" w:evenHBand="0" w:firstRowFirstColumn="0" w:firstRowLastColumn="0" w:lastRowFirstColumn="0" w:lastRowLastColumn="0"/>
              <w:rPr>
                <w:b/>
                <w:sz w:val="24"/>
              </w:rPr>
            </w:pPr>
            <w:r w:rsidRPr="00364B64">
              <w:rPr>
                <w:b/>
                <w:sz w:val="24"/>
              </w:rPr>
              <w:t>Payment</w:t>
            </w:r>
          </w:p>
        </w:tc>
      </w:tr>
      <w:tr w:rsidR="00085C4A" w:rsidRPr="00C03B2B" w14:paraId="1B81DF89" w14:textId="77777777" w:rsidTr="6CEB69B1">
        <w:trPr>
          <w:trHeight w:val="1671"/>
        </w:trPr>
        <w:tc>
          <w:tcPr>
            <w:cnfStyle w:val="001000000000" w:firstRow="0" w:lastRow="0" w:firstColumn="1" w:lastColumn="0" w:oddVBand="0" w:evenVBand="0" w:oddHBand="0" w:evenHBand="0" w:firstRowFirstColumn="0" w:firstRowLastColumn="0" w:lastRowFirstColumn="0" w:lastRowLastColumn="0"/>
            <w:tcW w:w="3114" w:type="dxa"/>
            <w:tcBorders>
              <w:top w:val="single" w:sz="12" w:space="0" w:color="4F81BD" w:themeColor="accent1"/>
              <w:left w:val="single" w:sz="4" w:space="0" w:color="4F81BD" w:themeColor="accent1"/>
              <w:bottom w:val="single" w:sz="4" w:space="0" w:color="4F81BD"/>
              <w:right w:val="single" w:sz="4" w:space="0" w:color="4F81BD"/>
            </w:tcBorders>
            <w:shd w:val="clear" w:color="auto" w:fill="DBE5F1" w:themeFill="accent1" w:themeFillTint="33"/>
          </w:tcPr>
          <w:p w14:paraId="5AA5AEC8" w14:textId="5806F764" w:rsidR="00085C4A" w:rsidRPr="00C03B2B" w:rsidRDefault="00627740" w:rsidP="002312F3">
            <w:pPr>
              <w:pStyle w:val="Normalnumbered"/>
              <w:numPr>
                <w:ilvl w:val="0"/>
                <w:numId w:val="0"/>
              </w:numPr>
              <w:spacing w:before="180" w:after="120" w:line="240" w:lineRule="auto"/>
              <w:jc w:val="left"/>
              <w:rPr>
                <w:b w:val="0"/>
                <w:color w:val="auto"/>
                <w:szCs w:val="23"/>
              </w:rPr>
            </w:pPr>
            <w:r>
              <w:rPr>
                <w:b w:val="0"/>
                <w:color w:val="auto"/>
                <w:szCs w:val="23"/>
              </w:rPr>
              <w:t>E</w:t>
            </w:r>
            <w:r w:rsidRPr="00627740">
              <w:rPr>
                <w:b w:val="0"/>
                <w:color w:val="auto"/>
                <w:szCs w:val="23"/>
              </w:rPr>
              <w:t xml:space="preserve">xecution of </w:t>
            </w:r>
            <w:r>
              <w:rPr>
                <w:b w:val="0"/>
                <w:color w:val="auto"/>
                <w:szCs w:val="23"/>
              </w:rPr>
              <w:t>a</w:t>
            </w:r>
            <w:r w:rsidRPr="00627740">
              <w:rPr>
                <w:b w:val="0"/>
                <w:color w:val="auto"/>
                <w:szCs w:val="23"/>
              </w:rPr>
              <w:t xml:space="preserve"> </w:t>
            </w:r>
            <w:r w:rsidR="004E37B3">
              <w:rPr>
                <w:b w:val="0"/>
                <w:color w:val="auto"/>
                <w:szCs w:val="23"/>
              </w:rPr>
              <w:t xml:space="preserve">service delivery </w:t>
            </w:r>
            <w:r w:rsidRPr="00627740">
              <w:rPr>
                <w:b w:val="0"/>
                <w:color w:val="auto"/>
                <w:szCs w:val="23"/>
              </w:rPr>
              <w:t>grant agreement between the Commonwealth and a Specialist Dementia Care Program provider within the State.</w:t>
            </w:r>
          </w:p>
        </w:tc>
        <w:tc>
          <w:tcPr>
            <w:tcW w:w="2268" w:type="dxa"/>
            <w:tcBorders>
              <w:top w:val="single" w:sz="12" w:space="0" w:color="4F81BD" w:themeColor="accent1"/>
              <w:left w:val="single" w:sz="4" w:space="0" w:color="4F81BD"/>
              <w:bottom w:val="single" w:sz="4" w:space="0" w:color="4F81BD"/>
              <w:right w:val="single" w:sz="4" w:space="0" w:color="4F81BD"/>
            </w:tcBorders>
            <w:shd w:val="clear" w:color="auto" w:fill="DBE5F1" w:themeFill="accent1" w:themeFillTint="33"/>
          </w:tcPr>
          <w:p w14:paraId="212F0221" w14:textId="77777777" w:rsidR="00085C4A" w:rsidRPr="00C03B2B" w:rsidRDefault="00085C4A" w:rsidP="002312F3">
            <w:pPr>
              <w:pStyle w:val="Bullet"/>
              <w:numPr>
                <w:ilvl w:val="0"/>
                <w:numId w:val="0"/>
              </w:numPr>
              <w:spacing w:before="180" w:after="120" w:line="240" w:lineRule="auto"/>
              <w:cnfStyle w:val="000000000000" w:firstRow="0" w:lastRow="0" w:firstColumn="0" w:lastColumn="0" w:oddVBand="0" w:evenVBand="0" w:oddHBand="0" w:evenHBand="0" w:firstRowFirstColumn="0" w:firstRowLastColumn="0" w:lastRowFirstColumn="0" w:lastRowLastColumn="0"/>
            </w:pPr>
          </w:p>
        </w:tc>
        <w:tc>
          <w:tcPr>
            <w:tcW w:w="1984" w:type="dxa"/>
            <w:tcBorders>
              <w:top w:val="single" w:sz="12" w:space="0" w:color="4F81BD" w:themeColor="accent1"/>
              <w:left w:val="single" w:sz="4" w:space="0" w:color="4F81BD"/>
              <w:bottom w:val="single" w:sz="4" w:space="0" w:color="4F81BD"/>
              <w:right w:val="single" w:sz="4" w:space="0" w:color="4F81BD"/>
            </w:tcBorders>
            <w:shd w:val="clear" w:color="auto" w:fill="DBE5F1" w:themeFill="accent1" w:themeFillTint="33"/>
          </w:tcPr>
          <w:p w14:paraId="5167D2E2" w14:textId="39880584" w:rsidR="00085C4A" w:rsidRPr="001A4A8A" w:rsidRDefault="00023381"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rPr>
                <w:rFonts w:cs="Arial"/>
                <w:bCs/>
                <w:iCs/>
                <w:color w:val="auto"/>
                <w:szCs w:val="23"/>
              </w:rPr>
            </w:pPr>
            <w:r w:rsidRPr="001A4A8A">
              <w:rPr>
                <w:rFonts w:cs="Arial"/>
                <w:bCs/>
                <w:iCs/>
                <w:color w:val="auto"/>
                <w:szCs w:val="23"/>
              </w:rPr>
              <w:t>O</w:t>
            </w:r>
            <w:r w:rsidR="00FF237E" w:rsidRPr="001A4A8A">
              <w:rPr>
                <w:rFonts w:cs="Arial"/>
                <w:bCs/>
                <w:iCs/>
                <w:color w:val="auto"/>
                <w:szCs w:val="23"/>
              </w:rPr>
              <w:t>n</w:t>
            </w:r>
            <w:r w:rsidR="00473D24" w:rsidRPr="001A4A8A">
              <w:rPr>
                <w:rFonts w:cs="Arial"/>
                <w:bCs/>
                <w:iCs/>
                <w:color w:val="auto"/>
                <w:szCs w:val="23"/>
              </w:rPr>
              <w:t xml:space="preserve"> </w:t>
            </w:r>
            <w:r w:rsidR="00FF237E" w:rsidRPr="001A4A8A">
              <w:rPr>
                <w:rFonts w:cs="Arial"/>
                <w:bCs/>
                <w:iCs/>
                <w:color w:val="auto"/>
                <w:szCs w:val="23"/>
              </w:rPr>
              <w:t xml:space="preserve">execution of </w:t>
            </w:r>
            <w:r w:rsidR="00C95266" w:rsidRPr="001A4A8A">
              <w:rPr>
                <w:rFonts w:cs="Arial"/>
                <w:bCs/>
                <w:iCs/>
                <w:color w:val="auto"/>
                <w:szCs w:val="23"/>
              </w:rPr>
              <w:t>the</w:t>
            </w:r>
            <w:r w:rsidR="00FF237E" w:rsidRPr="001A4A8A">
              <w:rPr>
                <w:rFonts w:cs="Arial"/>
                <w:bCs/>
                <w:iCs/>
                <w:color w:val="auto"/>
                <w:szCs w:val="23"/>
              </w:rPr>
              <w:t xml:space="preserve"> </w:t>
            </w:r>
            <w:r w:rsidR="004E37B3">
              <w:rPr>
                <w:rFonts w:cs="Arial"/>
                <w:bCs/>
                <w:iCs/>
                <w:color w:val="auto"/>
                <w:szCs w:val="23"/>
              </w:rPr>
              <w:t xml:space="preserve">service delivery </w:t>
            </w:r>
            <w:r w:rsidR="00FF237E" w:rsidRPr="001A4A8A">
              <w:rPr>
                <w:rFonts w:cs="Arial"/>
                <w:bCs/>
                <w:iCs/>
                <w:color w:val="auto"/>
                <w:szCs w:val="23"/>
              </w:rPr>
              <w:t xml:space="preserve">grant agreement between the Commonwealth and </w:t>
            </w:r>
            <w:r w:rsidR="00FB1C3E">
              <w:rPr>
                <w:rFonts w:cs="Arial"/>
                <w:bCs/>
                <w:iCs/>
                <w:color w:val="auto"/>
                <w:szCs w:val="23"/>
              </w:rPr>
              <w:t>the</w:t>
            </w:r>
            <w:r w:rsidR="00473D24" w:rsidRPr="001A4A8A">
              <w:rPr>
                <w:rFonts w:cs="Arial"/>
                <w:bCs/>
                <w:iCs/>
                <w:color w:val="auto"/>
                <w:szCs w:val="23"/>
              </w:rPr>
              <w:t xml:space="preserve"> </w:t>
            </w:r>
            <w:r w:rsidR="006C7E05" w:rsidRPr="001A4A8A">
              <w:rPr>
                <w:rFonts w:cs="Arial"/>
                <w:bCs/>
                <w:iCs/>
                <w:color w:val="auto"/>
                <w:szCs w:val="23"/>
              </w:rPr>
              <w:t>S</w:t>
            </w:r>
            <w:r w:rsidR="00C34F22" w:rsidRPr="001A4A8A">
              <w:rPr>
                <w:rFonts w:cs="Arial"/>
                <w:bCs/>
                <w:iCs/>
                <w:color w:val="auto"/>
                <w:szCs w:val="23"/>
              </w:rPr>
              <w:t xml:space="preserve">pecialist </w:t>
            </w:r>
            <w:r w:rsidR="006C7E05" w:rsidRPr="001A4A8A">
              <w:rPr>
                <w:rFonts w:cs="Arial"/>
                <w:bCs/>
                <w:iCs/>
                <w:color w:val="auto"/>
                <w:szCs w:val="23"/>
              </w:rPr>
              <w:t>D</w:t>
            </w:r>
            <w:r w:rsidR="00C34F22" w:rsidRPr="001A4A8A">
              <w:rPr>
                <w:rFonts w:cs="Arial"/>
                <w:bCs/>
                <w:iCs/>
                <w:color w:val="auto"/>
                <w:szCs w:val="23"/>
              </w:rPr>
              <w:t xml:space="preserve">ementia </w:t>
            </w:r>
            <w:r w:rsidR="006C7E05" w:rsidRPr="001A4A8A">
              <w:rPr>
                <w:rFonts w:cs="Arial"/>
                <w:bCs/>
                <w:iCs/>
                <w:color w:val="auto"/>
                <w:szCs w:val="23"/>
              </w:rPr>
              <w:t>C</w:t>
            </w:r>
            <w:r w:rsidR="00C34F22" w:rsidRPr="001A4A8A">
              <w:rPr>
                <w:rFonts w:cs="Arial"/>
                <w:bCs/>
                <w:iCs/>
                <w:color w:val="auto"/>
                <w:szCs w:val="23"/>
              </w:rPr>
              <w:t xml:space="preserve">are </w:t>
            </w:r>
            <w:r w:rsidR="006C7E05" w:rsidRPr="001A4A8A">
              <w:rPr>
                <w:rFonts w:cs="Arial"/>
                <w:bCs/>
                <w:iCs/>
                <w:color w:val="auto"/>
                <w:szCs w:val="23"/>
              </w:rPr>
              <w:t>P</w:t>
            </w:r>
            <w:r w:rsidR="00C34F22" w:rsidRPr="001A4A8A">
              <w:rPr>
                <w:rFonts w:cs="Arial"/>
                <w:bCs/>
                <w:iCs/>
                <w:color w:val="auto"/>
                <w:szCs w:val="23"/>
              </w:rPr>
              <w:t xml:space="preserve">rogram </w:t>
            </w:r>
            <w:r w:rsidR="00473D24" w:rsidRPr="001A4A8A">
              <w:rPr>
                <w:rFonts w:cs="Arial"/>
                <w:bCs/>
                <w:iCs/>
                <w:color w:val="auto"/>
                <w:szCs w:val="23"/>
              </w:rPr>
              <w:t>provider</w:t>
            </w:r>
            <w:r w:rsidR="006C7E05" w:rsidRPr="001A4A8A">
              <w:rPr>
                <w:rFonts w:cs="Arial"/>
                <w:bCs/>
                <w:iCs/>
                <w:color w:val="auto"/>
                <w:szCs w:val="23"/>
              </w:rPr>
              <w:t xml:space="preserve">. </w:t>
            </w:r>
          </w:p>
        </w:tc>
        <w:tc>
          <w:tcPr>
            <w:tcW w:w="2262" w:type="dxa"/>
            <w:tcBorders>
              <w:top w:val="single" w:sz="12" w:space="0" w:color="4F81BD" w:themeColor="accent1"/>
              <w:left w:val="single" w:sz="4" w:space="0" w:color="4F81BD"/>
              <w:bottom w:val="single" w:sz="4" w:space="0" w:color="4F81BD"/>
              <w:right w:val="single" w:sz="4" w:space="0" w:color="4F81BD"/>
            </w:tcBorders>
            <w:shd w:val="clear" w:color="auto" w:fill="DBE5F1" w:themeFill="accent1" w:themeFillTint="33"/>
          </w:tcPr>
          <w:p w14:paraId="1711FCD9" w14:textId="77777777" w:rsidR="00085C4A" w:rsidRPr="001A4A8A" w:rsidRDefault="00085C4A"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rPr>
                <w:rFonts w:cs="Arial"/>
                <w:bCs/>
                <w:iCs/>
                <w:color w:val="auto"/>
                <w:szCs w:val="23"/>
              </w:rPr>
            </w:pPr>
            <w:r w:rsidRPr="001A4A8A">
              <w:rPr>
                <w:rFonts w:cs="Arial"/>
                <w:bCs/>
                <w:iCs/>
                <w:color w:val="auto"/>
                <w:szCs w:val="23"/>
              </w:rPr>
              <w:t>$0.</w:t>
            </w:r>
            <w:r w:rsidR="00B659D3" w:rsidRPr="001A4A8A">
              <w:rPr>
                <w:rFonts w:cs="Arial"/>
                <w:bCs/>
                <w:iCs/>
                <w:color w:val="auto"/>
                <w:szCs w:val="23"/>
              </w:rPr>
              <w:t xml:space="preserve">120m </w:t>
            </w:r>
            <w:r w:rsidR="002530BB" w:rsidRPr="001A4A8A">
              <w:rPr>
                <w:rFonts w:cs="Arial"/>
                <w:bCs/>
                <w:iCs/>
                <w:color w:val="auto"/>
                <w:szCs w:val="23"/>
              </w:rPr>
              <w:t xml:space="preserve">per </w:t>
            </w:r>
            <w:r w:rsidR="004148D7" w:rsidRPr="001A4A8A">
              <w:rPr>
                <w:rFonts w:cs="Arial"/>
                <w:bCs/>
                <w:iCs/>
                <w:color w:val="auto"/>
                <w:szCs w:val="23"/>
              </w:rPr>
              <w:t>specialist dementia care unit</w:t>
            </w:r>
            <w:r w:rsidR="00CA1E9B" w:rsidRPr="001A4A8A">
              <w:rPr>
                <w:rFonts w:cs="Arial"/>
                <w:bCs/>
                <w:iCs/>
                <w:color w:val="auto"/>
                <w:szCs w:val="23"/>
              </w:rPr>
              <w:t>.</w:t>
            </w:r>
          </w:p>
          <w:p w14:paraId="281DD505" w14:textId="77777777" w:rsidR="00085C4A" w:rsidRPr="001A4A8A" w:rsidRDefault="00085C4A"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rPr>
                <w:rFonts w:cs="Arial"/>
                <w:bCs/>
                <w:iCs/>
                <w:color w:val="auto"/>
                <w:szCs w:val="23"/>
              </w:rPr>
            </w:pPr>
          </w:p>
        </w:tc>
      </w:tr>
      <w:tr w:rsidR="009A004C" w14:paraId="065105CD" w14:textId="77777777" w:rsidTr="6CEB69B1">
        <w:trPr>
          <w:trHeight w:val="1671"/>
        </w:trPr>
        <w:tc>
          <w:tcPr>
            <w:cnfStyle w:val="001000000000" w:firstRow="0" w:lastRow="0" w:firstColumn="1" w:lastColumn="0" w:oddVBand="0" w:evenVBand="0" w:oddHBand="0" w:evenHBand="0" w:firstRowFirstColumn="0" w:firstRowLastColumn="0" w:lastRowFirstColumn="0" w:lastRowLastColumn="0"/>
            <w:tcW w:w="3114" w:type="dxa"/>
            <w:vMerge w:val="restart"/>
            <w:tcBorders>
              <w:top w:val="single" w:sz="4" w:space="0" w:color="4F81BD"/>
              <w:left w:val="single" w:sz="4" w:space="0" w:color="4F81BD"/>
              <w:right w:val="single" w:sz="4" w:space="0" w:color="4F81BD"/>
            </w:tcBorders>
          </w:tcPr>
          <w:p w14:paraId="60693F84" w14:textId="77777777" w:rsidR="00460C6A" w:rsidRPr="00C03B2B" w:rsidRDefault="00460C6A" w:rsidP="002312F3">
            <w:pPr>
              <w:pStyle w:val="Normalnumbered"/>
              <w:numPr>
                <w:ilvl w:val="0"/>
                <w:numId w:val="0"/>
              </w:numPr>
              <w:spacing w:before="180" w:after="120" w:line="240" w:lineRule="auto"/>
              <w:jc w:val="left"/>
              <w:rPr>
                <w:b w:val="0"/>
                <w:color w:val="auto"/>
                <w:szCs w:val="23"/>
              </w:rPr>
            </w:pPr>
            <w:r w:rsidRPr="00C03B2B">
              <w:rPr>
                <w:b w:val="0"/>
                <w:color w:val="auto"/>
                <w:szCs w:val="23"/>
              </w:rPr>
              <w:t xml:space="preserve">In accordance </w:t>
            </w:r>
            <w:r w:rsidR="00DC452F" w:rsidRPr="00C03B2B">
              <w:rPr>
                <w:b w:val="0"/>
                <w:color w:val="auto"/>
                <w:szCs w:val="23"/>
              </w:rPr>
              <w:t xml:space="preserve">with clause </w:t>
            </w:r>
            <w:r w:rsidR="00AA50F0">
              <w:rPr>
                <w:b w:val="0"/>
                <w:color w:val="auto"/>
                <w:szCs w:val="23"/>
              </w:rPr>
              <w:t>8</w:t>
            </w:r>
            <w:r w:rsidR="00DC452F" w:rsidRPr="00C03B2B">
              <w:rPr>
                <w:b w:val="0"/>
                <w:color w:val="auto"/>
                <w:szCs w:val="23"/>
              </w:rPr>
              <w:t xml:space="preserve"> of this Agreement:</w:t>
            </w:r>
          </w:p>
          <w:p w14:paraId="40B6A65C" w14:textId="77777777" w:rsidR="00460C6A" w:rsidRPr="00C03B2B" w:rsidRDefault="00085C4A" w:rsidP="002312F3">
            <w:pPr>
              <w:pStyle w:val="Normalnumbered"/>
              <w:numPr>
                <w:ilvl w:val="0"/>
                <w:numId w:val="0"/>
              </w:numPr>
              <w:spacing w:before="180" w:after="120" w:line="240" w:lineRule="auto"/>
              <w:jc w:val="left"/>
              <w:rPr>
                <w:b w:val="0"/>
                <w:color w:val="auto"/>
                <w:szCs w:val="23"/>
              </w:rPr>
            </w:pPr>
            <w:r w:rsidRPr="00C03B2B">
              <w:rPr>
                <w:b w:val="0"/>
                <w:color w:val="auto"/>
                <w:szCs w:val="23"/>
              </w:rPr>
              <w:t>Deliver</w:t>
            </w:r>
            <w:r w:rsidR="009A004C" w:rsidRPr="00C03B2B">
              <w:rPr>
                <w:b w:val="0"/>
                <w:color w:val="auto"/>
                <w:szCs w:val="23"/>
              </w:rPr>
              <w:t xml:space="preserve"> clinical </w:t>
            </w:r>
            <w:r w:rsidR="00285210">
              <w:rPr>
                <w:b w:val="0"/>
                <w:color w:val="auto"/>
                <w:szCs w:val="23"/>
              </w:rPr>
              <w:t>advice</w:t>
            </w:r>
            <w:r w:rsidR="009A004C" w:rsidRPr="00C03B2B">
              <w:rPr>
                <w:b w:val="0"/>
                <w:color w:val="auto"/>
                <w:szCs w:val="23"/>
              </w:rPr>
              <w:t xml:space="preserve"> and support</w:t>
            </w:r>
            <w:r w:rsidR="00DC452F" w:rsidRPr="00C03B2B">
              <w:rPr>
                <w:b w:val="0"/>
                <w:color w:val="auto"/>
                <w:szCs w:val="23"/>
              </w:rPr>
              <w:t xml:space="preserve">; </w:t>
            </w:r>
          </w:p>
          <w:p w14:paraId="3A18F77B" w14:textId="77777777" w:rsidR="00460C6A" w:rsidRPr="00C03B2B" w:rsidRDefault="00460C6A" w:rsidP="002312F3">
            <w:pPr>
              <w:pStyle w:val="Normalnumbered"/>
              <w:numPr>
                <w:ilvl w:val="0"/>
                <w:numId w:val="0"/>
              </w:numPr>
              <w:spacing w:before="180" w:after="120" w:line="240" w:lineRule="auto"/>
              <w:jc w:val="left"/>
              <w:rPr>
                <w:b w:val="0"/>
                <w:color w:val="auto"/>
                <w:szCs w:val="23"/>
              </w:rPr>
            </w:pPr>
            <w:r w:rsidRPr="00C03B2B">
              <w:rPr>
                <w:b w:val="0"/>
                <w:color w:val="auto"/>
                <w:szCs w:val="23"/>
              </w:rPr>
              <w:t>P</w:t>
            </w:r>
            <w:r w:rsidR="00BB3D10" w:rsidRPr="00C03B2B">
              <w:rPr>
                <w:b w:val="0"/>
                <w:color w:val="auto"/>
                <w:szCs w:val="23"/>
              </w:rPr>
              <w:t xml:space="preserve">articipate </w:t>
            </w:r>
            <w:r w:rsidR="009A004C" w:rsidRPr="00C03B2B">
              <w:rPr>
                <w:b w:val="0"/>
                <w:color w:val="auto"/>
                <w:szCs w:val="23"/>
              </w:rPr>
              <w:t>in the Clinical Review Team</w:t>
            </w:r>
            <w:r w:rsidR="00DC452F" w:rsidRPr="00C03B2B">
              <w:rPr>
                <w:b w:val="0"/>
                <w:color w:val="auto"/>
                <w:szCs w:val="23"/>
              </w:rPr>
              <w:t>; and</w:t>
            </w:r>
          </w:p>
          <w:p w14:paraId="6ADAFE46" w14:textId="77777777" w:rsidR="009A004C" w:rsidRPr="00C03B2B" w:rsidRDefault="00460C6A" w:rsidP="002312F3">
            <w:pPr>
              <w:pStyle w:val="Normalnumbered"/>
              <w:numPr>
                <w:ilvl w:val="0"/>
                <w:numId w:val="0"/>
              </w:numPr>
              <w:spacing w:before="180" w:after="120" w:line="240" w:lineRule="auto"/>
              <w:jc w:val="left"/>
              <w:rPr>
                <w:b w:val="0"/>
                <w:bCs w:val="0"/>
              </w:rPr>
            </w:pPr>
            <w:r w:rsidRPr="00C03B2B">
              <w:rPr>
                <w:b w:val="0"/>
                <w:color w:val="auto"/>
                <w:szCs w:val="23"/>
              </w:rPr>
              <w:t>Participate</w:t>
            </w:r>
            <w:r w:rsidR="00BB3D10" w:rsidRPr="00C03B2B">
              <w:rPr>
                <w:b w:val="0"/>
                <w:color w:val="auto"/>
                <w:szCs w:val="23"/>
              </w:rPr>
              <w:t xml:space="preserve"> in the </w:t>
            </w:r>
            <w:r w:rsidR="009A004C" w:rsidRPr="00C03B2B">
              <w:rPr>
                <w:b w:val="0"/>
                <w:color w:val="auto"/>
                <w:szCs w:val="23"/>
              </w:rPr>
              <w:t xml:space="preserve">Clinical </w:t>
            </w:r>
            <w:r w:rsidR="00FB1D14">
              <w:rPr>
                <w:b w:val="0"/>
                <w:color w:val="auto"/>
                <w:szCs w:val="23"/>
              </w:rPr>
              <w:t>A</w:t>
            </w:r>
            <w:r w:rsidR="009A004C" w:rsidRPr="00C03B2B">
              <w:rPr>
                <w:b w:val="0"/>
                <w:color w:val="auto"/>
                <w:szCs w:val="23"/>
              </w:rPr>
              <w:t>dvisory Committee</w:t>
            </w:r>
            <w:r w:rsidR="00DC452F" w:rsidRPr="00C03B2B">
              <w:rPr>
                <w:b w:val="0"/>
                <w:color w:val="auto"/>
                <w:szCs w:val="23"/>
              </w:rPr>
              <w:t>.</w:t>
            </w:r>
          </w:p>
          <w:p w14:paraId="6E59C667" w14:textId="77777777" w:rsidR="009A004C" w:rsidRPr="00C03B2B" w:rsidRDefault="009A004C" w:rsidP="00627740">
            <w:pPr>
              <w:pStyle w:val="Normalnumbered"/>
              <w:ind w:left="0"/>
              <w:jc w:val="left"/>
            </w:pPr>
          </w:p>
        </w:tc>
        <w:tc>
          <w:tcPr>
            <w:tcW w:w="2268" w:type="dxa"/>
            <w:tcBorders>
              <w:top w:val="single" w:sz="4" w:space="0" w:color="4F81BD"/>
              <w:left w:val="single" w:sz="4" w:space="0" w:color="4F81BD"/>
              <w:bottom w:val="single" w:sz="4" w:space="0" w:color="4F81BD"/>
              <w:right w:val="single" w:sz="4" w:space="0" w:color="4F81BD"/>
            </w:tcBorders>
          </w:tcPr>
          <w:p w14:paraId="051D4ABE" w14:textId="77777777" w:rsidR="00D17B70" w:rsidRPr="00C03B2B" w:rsidRDefault="009A004C"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rsidRPr="00C03B2B">
              <w:t xml:space="preserve">1 July 2019 to 30 </w:t>
            </w:r>
            <w:r w:rsidR="005F5323">
              <w:t>April</w:t>
            </w:r>
            <w:r w:rsidR="00D35F1E">
              <w:t xml:space="preserve"> </w:t>
            </w:r>
            <w:r w:rsidRPr="00C03B2B">
              <w:t xml:space="preserve">2020  </w:t>
            </w:r>
          </w:p>
        </w:tc>
        <w:tc>
          <w:tcPr>
            <w:tcW w:w="1984" w:type="dxa"/>
            <w:tcBorders>
              <w:top w:val="single" w:sz="4" w:space="0" w:color="4F81BD"/>
              <w:left w:val="single" w:sz="4" w:space="0" w:color="4F81BD"/>
              <w:bottom w:val="single" w:sz="4" w:space="0" w:color="4F81BD"/>
              <w:right w:val="single" w:sz="4" w:space="0" w:color="4F81BD"/>
            </w:tcBorders>
          </w:tcPr>
          <w:p w14:paraId="4FC90F19" w14:textId="77777777" w:rsidR="00D35F1E" w:rsidRDefault="009A004C" w:rsidP="002312F3">
            <w:pPr>
              <w:pStyle w:val="Normalnumbered"/>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rPr>
                <w:rFonts w:cs="Arial"/>
                <w:bCs/>
                <w:iCs/>
                <w:color w:val="auto"/>
                <w:szCs w:val="23"/>
              </w:rPr>
            </w:pPr>
            <w:r w:rsidRPr="00C03B2B">
              <w:rPr>
                <w:rFonts w:cs="Arial"/>
                <w:bCs/>
                <w:iCs/>
                <w:color w:val="auto"/>
                <w:szCs w:val="23"/>
              </w:rPr>
              <w:t>May 2020</w:t>
            </w:r>
          </w:p>
          <w:p w14:paraId="6F551522" w14:textId="77777777" w:rsidR="009A004C" w:rsidRPr="00C03B2B" w:rsidRDefault="009A004C" w:rsidP="002312F3">
            <w:pPr>
              <w:pStyle w:val="Normalnumbered"/>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4F81BD"/>
              <w:left w:val="single" w:sz="4" w:space="0" w:color="4F81BD"/>
              <w:bottom w:val="single" w:sz="4" w:space="0" w:color="4F81BD"/>
              <w:right w:val="single" w:sz="4" w:space="0" w:color="4F81BD"/>
            </w:tcBorders>
          </w:tcPr>
          <w:p w14:paraId="2E18BE80" w14:textId="77777777" w:rsidR="009A004C" w:rsidRPr="00963976" w:rsidRDefault="009A004C" w:rsidP="002312F3">
            <w:pPr>
              <w:pStyle w:val="Normalnumbered"/>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rPr>
                <w:rFonts w:cs="Arial"/>
                <w:bCs/>
                <w:iCs/>
                <w:color w:val="auto"/>
                <w:szCs w:val="23"/>
              </w:rPr>
            </w:pPr>
            <w:r w:rsidRPr="00963976">
              <w:rPr>
                <w:rFonts w:cs="Arial"/>
                <w:bCs/>
                <w:iCs/>
                <w:color w:val="auto"/>
                <w:szCs w:val="23"/>
              </w:rPr>
              <w:t>$</w:t>
            </w:r>
            <w:r w:rsidR="00085C4A" w:rsidRPr="00963976">
              <w:rPr>
                <w:rFonts w:cs="Arial"/>
                <w:bCs/>
                <w:iCs/>
                <w:color w:val="auto"/>
                <w:szCs w:val="23"/>
              </w:rPr>
              <w:t>0</w:t>
            </w:r>
            <w:r w:rsidRPr="00963976">
              <w:rPr>
                <w:rFonts w:cs="Arial"/>
                <w:bCs/>
                <w:iCs/>
                <w:color w:val="auto"/>
                <w:szCs w:val="23"/>
              </w:rPr>
              <w:t>.</w:t>
            </w:r>
            <w:r w:rsidR="002530BB" w:rsidRPr="00963976">
              <w:rPr>
                <w:rFonts w:cs="Arial"/>
                <w:bCs/>
                <w:iCs/>
                <w:color w:val="auto"/>
                <w:szCs w:val="23"/>
              </w:rPr>
              <w:t>0</w:t>
            </w:r>
            <w:r w:rsidR="00B659D3" w:rsidRPr="00963976">
              <w:rPr>
                <w:rFonts w:cs="Arial"/>
                <w:bCs/>
                <w:iCs/>
                <w:color w:val="auto"/>
                <w:szCs w:val="23"/>
              </w:rPr>
              <w:t>65</w:t>
            </w:r>
            <w:r w:rsidR="00085C4A" w:rsidRPr="00963976">
              <w:rPr>
                <w:rFonts w:cs="Arial"/>
                <w:bCs/>
                <w:iCs/>
                <w:color w:val="auto"/>
                <w:szCs w:val="23"/>
              </w:rPr>
              <w:t>m</w:t>
            </w:r>
            <w:r w:rsidRPr="00963976">
              <w:rPr>
                <w:rFonts w:cs="Arial"/>
                <w:bCs/>
                <w:iCs/>
                <w:color w:val="auto"/>
                <w:szCs w:val="23"/>
              </w:rPr>
              <w:t xml:space="preserve"> per specialist dementia care unit</w:t>
            </w:r>
            <w:r w:rsidR="004148D7" w:rsidRPr="00963976">
              <w:rPr>
                <w:rFonts w:cs="Arial"/>
                <w:bCs/>
                <w:iCs/>
                <w:color w:val="auto"/>
                <w:szCs w:val="23"/>
              </w:rPr>
              <w:t xml:space="preserve"> up to the limits in Table 2</w:t>
            </w:r>
            <w:r w:rsidRPr="00963976">
              <w:rPr>
                <w:rFonts w:cs="Arial"/>
                <w:bCs/>
                <w:iCs/>
                <w:color w:val="auto"/>
                <w:szCs w:val="23"/>
              </w:rPr>
              <w:t>.</w:t>
            </w:r>
          </w:p>
        </w:tc>
      </w:tr>
      <w:tr w:rsidR="009A004C" w14:paraId="197559E2" w14:textId="77777777" w:rsidTr="6CEB69B1">
        <w:tc>
          <w:tcPr>
            <w:cnfStyle w:val="001000000000" w:firstRow="0" w:lastRow="0" w:firstColumn="1" w:lastColumn="0" w:oddVBand="0" w:evenVBand="0" w:oddHBand="0" w:evenHBand="0" w:firstRowFirstColumn="0" w:firstRowLastColumn="0" w:lastRowFirstColumn="0" w:lastRowLastColumn="0"/>
            <w:tcW w:w="3114" w:type="dxa"/>
            <w:vMerge/>
            <w:tcBorders>
              <w:left w:val="single" w:sz="4" w:space="0" w:color="4F81BD"/>
              <w:right w:val="single" w:sz="4" w:space="0" w:color="4F81BD"/>
            </w:tcBorders>
          </w:tcPr>
          <w:p w14:paraId="6D584005" w14:textId="77777777" w:rsidR="009A004C" w:rsidRDefault="009A004C" w:rsidP="000C1026">
            <w:pPr>
              <w:pStyle w:val="Normalnumbered"/>
              <w:ind w:left="0"/>
            </w:pPr>
          </w:p>
        </w:tc>
        <w:tc>
          <w:tcPr>
            <w:tcW w:w="2268"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tcPr>
          <w:p w14:paraId="6D9CE2A5" w14:textId="77777777" w:rsidR="00D17B70" w:rsidRDefault="009A004C"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t xml:space="preserve">1 </w:t>
            </w:r>
            <w:r w:rsidR="005F5323">
              <w:t>May</w:t>
            </w:r>
            <w:r w:rsidR="00D35F1E">
              <w:t xml:space="preserve"> </w:t>
            </w:r>
            <w:r>
              <w:t xml:space="preserve">2020 to 30 </w:t>
            </w:r>
            <w:r w:rsidR="005F5323">
              <w:t>April</w:t>
            </w:r>
            <w:r>
              <w:t xml:space="preserve"> 2021  </w:t>
            </w:r>
          </w:p>
          <w:p w14:paraId="36AFC443" w14:textId="77777777" w:rsidR="009A004C" w:rsidRDefault="009A004C"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tcPr>
          <w:p w14:paraId="1008FC9C" w14:textId="77777777" w:rsidR="00D35F1E" w:rsidRDefault="00085C4A"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rsidRPr="002312F3">
              <w:t>May 2021</w:t>
            </w:r>
            <w:r w:rsidDel="004C7C83">
              <w:t xml:space="preserve"> </w:t>
            </w:r>
          </w:p>
          <w:p w14:paraId="43CF9DFA" w14:textId="77777777" w:rsidR="009A004C" w:rsidRDefault="00D35F1E"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t>(</w:t>
            </w:r>
            <w:r w:rsidR="0025216E">
              <w:t xml:space="preserve">note: payment to cover full financial year – pro-rated for </w:t>
            </w:r>
            <w:r w:rsidR="00896B27">
              <w:t xml:space="preserve"> specialist dementia care </w:t>
            </w:r>
            <w:r w:rsidR="0025216E">
              <w:t>units commencing during the year</w:t>
            </w:r>
            <w:r w:rsidR="00CF6D51">
              <w:t>)</w:t>
            </w:r>
            <w:r w:rsidR="0025216E">
              <w:t xml:space="preserve">.  </w:t>
            </w:r>
          </w:p>
        </w:tc>
        <w:tc>
          <w:tcPr>
            <w:tcW w:w="2262"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tcPr>
          <w:p w14:paraId="0EEC473B" w14:textId="77777777" w:rsidR="009A004C" w:rsidRPr="002312F3" w:rsidRDefault="00364B64" w:rsidP="002312F3">
            <w:pPr>
              <w:pStyle w:val="Normalnumbered"/>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rsidRPr="002312F3">
              <w:t>$0.</w:t>
            </w:r>
            <w:r w:rsidR="00FA0504" w:rsidRPr="002312F3">
              <w:t>260</w:t>
            </w:r>
            <w:r w:rsidR="00085C4A" w:rsidRPr="002312F3">
              <w:t>m</w:t>
            </w:r>
            <w:r w:rsidRPr="002312F3">
              <w:t xml:space="preserve"> </w:t>
            </w:r>
            <w:r w:rsidR="00B81B8D" w:rsidRPr="002312F3">
              <w:t xml:space="preserve">pro-rated </w:t>
            </w:r>
            <w:r w:rsidRPr="002312F3">
              <w:t>per specialist dementia care unit</w:t>
            </w:r>
            <w:r w:rsidR="00705CF4" w:rsidRPr="002312F3">
              <w:t xml:space="preserve"> up to the limits in Table 2</w:t>
            </w:r>
            <w:r w:rsidRPr="002312F3">
              <w:t>.</w:t>
            </w:r>
          </w:p>
        </w:tc>
      </w:tr>
      <w:tr w:rsidR="009A004C" w14:paraId="791E3DA5" w14:textId="77777777" w:rsidTr="6CEB69B1">
        <w:tc>
          <w:tcPr>
            <w:cnfStyle w:val="001000000000" w:firstRow="0" w:lastRow="0" w:firstColumn="1" w:lastColumn="0" w:oddVBand="0" w:evenVBand="0" w:oddHBand="0" w:evenHBand="0" w:firstRowFirstColumn="0" w:firstRowLastColumn="0" w:lastRowFirstColumn="0" w:lastRowLastColumn="0"/>
            <w:tcW w:w="3114" w:type="dxa"/>
            <w:vMerge/>
            <w:tcBorders>
              <w:left w:val="single" w:sz="4" w:space="0" w:color="4F81BD"/>
              <w:right w:val="single" w:sz="4" w:space="0" w:color="4F81BD"/>
            </w:tcBorders>
          </w:tcPr>
          <w:p w14:paraId="4605F676" w14:textId="77777777" w:rsidR="009A004C" w:rsidRPr="00DF266E" w:rsidRDefault="009A004C" w:rsidP="000C1026">
            <w:pPr>
              <w:pStyle w:val="Normalnumbered"/>
              <w:ind w:left="0"/>
              <w:rPr>
                <w:color w:val="auto"/>
                <w:szCs w:val="23"/>
              </w:rPr>
            </w:pPr>
          </w:p>
        </w:tc>
        <w:tc>
          <w:tcPr>
            <w:tcW w:w="2268" w:type="dxa"/>
            <w:tcBorders>
              <w:top w:val="single" w:sz="4" w:space="0" w:color="4F81BD"/>
              <w:left w:val="single" w:sz="4" w:space="0" w:color="4F81BD"/>
              <w:bottom w:val="single" w:sz="4" w:space="0" w:color="4F81BD"/>
              <w:right w:val="single" w:sz="4" w:space="0" w:color="4F81BD"/>
            </w:tcBorders>
          </w:tcPr>
          <w:p w14:paraId="6DCCF205" w14:textId="77777777" w:rsidR="00D35F1E" w:rsidRDefault="009A004C"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t xml:space="preserve">1 </w:t>
            </w:r>
            <w:r w:rsidR="005F5323">
              <w:t xml:space="preserve"> May </w:t>
            </w:r>
            <w:r>
              <w:t xml:space="preserve">2021 </w:t>
            </w:r>
            <w:r w:rsidR="001D3AC9">
              <w:t xml:space="preserve">to </w:t>
            </w:r>
            <w:r>
              <w:t xml:space="preserve">30 </w:t>
            </w:r>
            <w:r w:rsidR="00364B64">
              <w:t xml:space="preserve">  </w:t>
            </w:r>
            <w:r w:rsidR="005F5323">
              <w:t>April</w:t>
            </w:r>
            <w:r>
              <w:t xml:space="preserve"> 202</w:t>
            </w:r>
            <w:r w:rsidR="00261CF1">
              <w:t>2</w:t>
            </w:r>
            <w:r>
              <w:t xml:space="preserve">  </w:t>
            </w:r>
          </w:p>
          <w:p w14:paraId="6A6D8BE5" w14:textId="77777777" w:rsidR="009A004C" w:rsidDel="004C7C83" w:rsidRDefault="009A004C"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4F81BD"/>
              <w:left w:val="single" w:sz="4" w:space="0" w:color="4F81BD"/>
              <w:bottom w:val="single" w:sz="4" w:space="0" w:color="4F81BD"/>
              <w:right w:val="single" w:sz="4" w:space="0" w:color="4F81BD"/>
            </w:tcBorders>
          </w:tcPr>
          <w:p w14:paraId="079CC78E" w14:textId="77777777" w:rsidR="00D35F1E" w:rsidRDefault="009A004C"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rsidRPr="002312F3">
              <w:t>May 2022</w:t>
            </w:r>
            <w:r w:rsidDel="004C7C83">
              <w:t xml:space="preserve"> </w:t>
            </w:r>
          </w:p>
          <w:p w14:paraId="24A053A0" w14:textId="77777777" w:rsidR="009A004C" w:rsidDel="004C7C83" w:rsidRDefault="009A004C"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4F81BD"/>
              <w:left w:val="single" w:sz="4" w:space="0" w:color="4F81BD"/>
              <w:bottom w:val="single" w:sz="4" w:space="0" w:color="4F81BD"/>
              <w:right w:val="single" w:sz="4" w:space="0" w:color="4F81BD"/>
            </w:tcBorders>
          </w:tcPr>
          <w:p w14:paraId="35B4EE14" w14:textId="77777777" w:rsidR="009A004C" w:rsidRPr="002312F3" w:rsidRDefault="00364B64" w:rsidP="002312F3">
            <w:pPr>
              <w:pStyle w:val="Normalnumbered"/>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rsidRPr="002312F3">
              <w:t>$0.</w:t>
            </w:r>
            <w:r w:rsidR="00FA0504" w:rsidRPr="002312F3">
              <w:t>264</w:t>
            </w:r>
            <w:r w:rsidR="00085C4A" w:rsidRPr="002312F3">
              <w:t>m</w:t>
            </w:r>
            <w:r w:rsidRPr="002312F3">
              <w:t xml:space="preserve"> </w:t>
            </w:r>
            <w:r w:rsidR="005F5323" w:rsidRPr="002312F3">
              <w:t xml:space="preserve">pro-rated </w:t>
            </w:r>
            <w:r w:rsidRPr="002312F3">
              <w:t>per specialist dementia care unit</w:t>
            </w:r>
            <w:r w:rsidR="00705CF4" w:rsidRPr="002312F3">
              <w:t xml:space="preserve"> up to the limits in Table 2</w:t>
            </w:r>
            <w:r w:rsidRPr="002312F3">
              <w:t>.</w:t>
            </w:r>
          </w:p>
        </w:tc>
      </w:tr>
      <w:tr w:rsidR="009A004C" w14:paraId="3DD3A543" w14:textId="77777777" w:rsidTr="6CEB69B1">
        <w:tc>
          <w:tcPr>
            <w:cnfStyle w:val="001000000000" w:firstRow="0" w:lastRow="0" w:firstColumn="1" w:lastColumn="0" w:oddVBand="0" w:evenVBand="0" w:oddHBand="0" w:evenHBand="0" w:firstRowFirstColumn="0" w:firstRowLastColumn="0" w:lastRowFirstColumn="0" w:lastRowLastColumn="0"/>
            <w:tcW w:w="3114" w:type="dxa"/>
            <w:vMerge/>
            <w:tcBorders>
              <w:left w:val="single" w:sz="4" w:space="0" w:color="4F81BD"/>
              <w:bottom w:val="single" w:sz="4" w:space="0" w:color="4F81BD"/>
              <w:right w:val="single" w:sz="4" w:space="0" w:color="4F81BD"/>
            </w:tcBorders>
          </w:tcPr>
          <w:p w14:paraId="182FCE9E" w14:textId="77777777" w:rsidR="009A004C" w:rsidRDefault="009A004C" w:rsidP="000C1026">
            <w:pPr>
              <w:pStyle w:val="Normalnumbered"/>
              <w:numPr>
                <w:ilvl w:val="0"/>
                <w:numId w:val="0"/>
              </w:numPr>
              <w:rPr>
                <w:color w:val="auto"/>
                <w:szCs w:val="23"/>
              </w:rPr>
            </w:pPr>
          </w:p>
        </w:tc>
        <w:tc>
          <w:tcPr>
            <w:tcW w:w="2268"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tcPr>
          <w:p w14:paraId="7D16379F" w14:textId="77777777" w:rsidR="009A004C" w:rsidDel="004C7C83" w:rsidRDefault="00904C55" w:rsidP="002312F3">
            <w:pPr>
              <w:pStyle w:val="Bullet"/>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t>1  May</w:t>
            </w:r>
            <w:r w:rsidR="009A004C">
              <w:t xml:space="preserve"> 2022 to 30 </w:t>
            </w:r>
            <w:r w:rsidR="005F5323">
              <w:t>April 2023</w:t>
            </w:r>
            <w:r w:rsidR="009A004C">
              <w:t xml:space="preserve"> </w:t>
            </w:r>
          </w:p>
        </w:tc>
        <w:tc>
          <w:tcPr>
            <w:tcW w:w="1984"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tcPr>
          <w:p w14:paraId="5860BFC1" w14:textId="77777777" w:rsidR="00D35F1E" w:rsidRDefault="009A004C" w:rsidP="002312F3">
            <w:pPr>
              <w:pStyle w:val="Bullet"/>
              <w:numPr>
                <w:ilvl w:val="0"/>
                <w:numId w:val="0"/>
              </w:numPr>
              <w:spacing w:before="180" w:after="120" w:line="240" w:lineRule="auto"/>
              <w:cnfStyle w:val="000000000000" w:firstRow="0" w:lastRow="0" w:firstColumn="0" w:lastColumn="0" w:oddVBand="0" w:evenVBand="0" w:oddHBand="0" w:evenHBand="0" w:firstRowFirstColumn="0" w:firstRowLastColumn="0" w:lastRowFirstColumn="0" w:lastRowLastColumn="0"/>
            </w:pPr>
            <w:r w:rsidRPr="002312F3">
              <w:t>May 2023</w:t>
            </w:r>
            <w:r w:rsidDel="004C7C83">
              <w:t xml:space="preserve"> </w:t>
            </w:r>
          </w:p>
          <w:p w14:paraId="12A925A9" w14:textId="77777777" w:rsidR="009A004C" w:rsidDel="004C7C83" w:rsidRDefault="009A004C" w:rsidP="002312F3">
            <w:pPr>
              <w:pStyle w:val="Bullet"/>
              <w:numPr>
                <w:ilvl w:val="0"/>
                <w:numId w:val="0"/>
              </w:numPr>
              <w:spacing w:before="180" w:after="120" w:line="240" w:lineRule="auto"/>
              <w:cnfStyle w:val="000000000000" w:firstRow="0" w:lastRow="0" w:firstColumn="0" w:lastColumn="0" w:oddVBand="0" w:evenVBand="0" w:oddHBand="0" w:evenHBand="0" w:firstRowFirstColumn="0" w:firstRowLastColumn="0" w:lastRowFirstColumn="0" w:lastRowLastColumn="0"/>
            </w:pPr>
          </w:p>
        </w:tc>
        <w:tc>
          <w:tcPr>
            <w:tcW w:w="2262" w:type="dxa"/>
            <w:tcBorders>
              <w:top w:val="single" w:sz="4" w:space="0" w:color="4F81BD"/>
              <w:left w:val="single" w:sz="4" w:space="0" w:color="4F81BD"/>
              <w:bottom w:val="single" w:sz="4" w:space="0" w:color="4F81BD"/>
              <w:right w:val="single" w:sz="4" w:space="0" w:color="4F81BD"/>
            </w:tcBorders>
            <w:shd w:val="clear" w:color="auto" w:fill="DBE5F1" w:themeFill="accent1" w:themeFillTint="33"/>
          </w:tcPr>
          <w:p w14:paraId="7E167000" w14:textId="77777777" w:rsidR="009A004C" w:rsidRPr="002312F3" w:rsidRDefault="00364B64" w:rsidP="002312F3">
            <w:pPr>
              <w:pStyle w:val="Normalnumbered"/>
              <w:numPr>
                <w:ilvl w:val="0"/>
                <w:numId w:val="0"/>
              </w:numPr>
              <w:spacing w:before="180" w:after="120" w:line="240" w:lineRule="auto"/>
              <w:jc w:val="left"/>
              <w:cnfStyle w:val="000000000000" w:firstRow="0" w:lastRow="0" w:firstColumn="0" w:lastColumn="0" w:oddVBand="0" w:evenVBand="0" w:oddHBand="0" w:evenHBand="0" w:firstRowFirstColumn="0" w:firstRowLastColumn="0" w:lastRowFirstColumn="0" w:lastRowLastColumn="0"/>
            </w:pPr>
            <w:r w:rsidRPr="002312F3">
              <w:t>$0.</w:t>
            </w:r>
            <w:r w:rsidR="00FA0504" w:rsidRPr="002312F3">
              <w:t>268</w:t>
            </w:r>
            <w:r w:rsidR="00085C4A" w:rsidRPr="002312F3">
              <w:t>m</w:t>
            </w:r>
            <w:r w:rsidRPr="002312F3">
              <w:t xml:space="preserve"> </w:t>
            </w:r>
            <w:r w:rsidR="005F5323" w:rsidRPr="002312F3">
              <w:t xml:space="preserve">pro-rated </w:t>
            </w:r>
            <w:r w:rsidRPr="002312F3">
              <w:t>per specialist dementia care unit</w:t>
            </w:r>
            <w:r w:rsidR="00705CF4" w:rsidRPr="002312F3">
              <w:t xml:space="preserve"> up to the limits in Table 2</w:t>
            </w:r>
            <w:r w:rsidRPr="002312F3">
              <w:t>.</w:t>
            </w:r>
          </w:p>
        </w:tc>
      </w:tr>
    </w:tbl>
    <w:p w14:paraId="7B77DF84" w14:textId="324858A5" w:rsidR="00A9214A" w:rsidRPr="00A9214A" w:rsidRDefault="00CB3928" w:rsidP="00CB3928">
      <w:pPr>
        <w:pStyle w:val="CommentText"/>
        <w:rPr>
          <w:sz w:val="16"/>
          <w:szCs w:val="16"/>
        </w:rPr>
      </w:pPr>
      <w:r w:rsidRPr="00A9214A">
        <w:rPr>
          <w:sz w:val="16"/>
          <w:szCs w:val="16"/>
        </w:rPr>
        <w:t>Note</w:t>
      </w:r>
      <w:r w:rsidR="00A9214A" w:rsidRPr="00A9214A">
        <w:rPr>
          <w:sz w:val="16"/>
          <w:szCs w:val="16"/>
        </w:rPr>
        <w:t>s</w:t>
      </w:r>
    </w:p>
    <w:p w14:paraId="40C6C589" w14:textId="175FA9B8" w:rsidR="00A9214A" w:rsidRPr="00A9214A" w:rsidRDefault="00CB3928" w:rsidP="00A9214A">
      <w:pPr>
        <w:pStyle w:val="ChartandTableFootnoteAlpha"/>
        <w:rPr>
          <w:rFonts w:ascii="Corbel" w:hAnsi="Corbel"/>
        </w:rPr>
      </w:pPr>
      <w:r w:rsidRPr="00A9214A">
        <w:rPr>
          <w:rFonts w:ascii="Corbel" w:hAnsi="Corbel"/>
        </w:rPr>
        <w:t xml:space="preserve"> </w:t>
      </w:r>
      <w:r w:rsidR="00A9214A" w:rsidRPr="00A9214A">
        <w:rPr>
          <w:rFonts w:ascii="Corbel" w:hAnsi="Corbel"/>
        </w:rPr>
        <w:t xml:space="preserve">The State will prepare a Project Plan </w:t>
      </w:r>
      <w:r w:rsidR="004E37B3">
        <w:rPr>
          <w:rFonts w:ascii="Corbel" w:hAnsi="Corbel"/>
        </w:rPr>
        <w:t xml:space="preserve">within </w:t>
      </w:r>
      <w:r w:rsidR="00A9214A" w:rsidRPr="00A9214A">
        <w:rPr>
          <w:rFonts w:ascii="Corbel" w:hAnsi="Corbel"/>
        </w:rPr>
        <w:t>two months after the</w:t>
      </w:r>
      <w:r w:rsidR="004E37B3">
        <w:rPr>
          <w:rFonts w:ascii="Corbel" w:hAnsi="Corbel"/>
        </w:rPr>
        <w:t xml:space="preserve"> notification of the </w:t>
      </w:r>
      <w:r w:rsidR="00A9214A" w:rsidRPr="00A9214A">
        <w:rPr>
          <w:rFonts w:ascii="Corbel" w:hAnsi="Corbel"/>
        </w:rPr>
        <w:t>execution of the</w:t>
      </w:r>
      <w:r w:rsidR="004E37B3">
        <w:rPr>
          <w:rFonts w:ascii="Corbel" w:hAnsi="Corbel"/>
        </w:rPr>
        <w:t xml:space="preserve"> service delivery </w:t>
      </w:r>
      <w:r w:rsidR="00A9214A" w:rsidRPr="00A9214A">
        <w:rPr>
          <w:rFonts w:ascii="Corbel" w:hAnsi="Corbel"/>
        </w:rPr>
        <w:t>grant agreement</w:t>
      </w:r>
      <w:r w:rsidR="004E37B3">
        <w:rPr>
          <w:rFonts w:ascii="Corbel" w:hAnsi="Corbel"/>
        </w:rPr>
        <w:t xml:space="preserve"> with a Specialist Dementia Care Program provider</w:t>
      </w:r>
      <w:r w:rsidR="00A9214A" w:rsidRPr="00A9214A">
        <w:rPr>
          <w:rFonts w:ascii="Corbel" w:hAnsi="Corbel"/>
        </w:rPr>
        <w:t>.</w:t>
      </w:r>
    </w:p>
    <w:p w14:paraId="2494F8E8" w14:textId="05C845E7" w:rsidR="00A9214A" w:rsidRPr="00A9214A" w:rsidRDefault="00CB3928" w:rsidP="00A9214A">
      <w:pPr>
        <w:pStyle w:val="ChartandTableFootnoteAlpha"/>
        <w:spacing w:after="160"/>
        <w:ind w:left="284" w:hanging="284"/>
        <w:rPr>
          <w:rFonts w:ascii="Corbel" w:hAnsi="Corbel"/>
        </w:rPr>
      </w:pPr>
      <w:r w:rsidRPr="00A9214A">
        <w:rPr>
          <w:rFonts w:ascii="Corbel" w:hAnsi="Corbel"/>
        </w:rPr>
        <w:t xml:space="preserve">To receive funding within a financial year, each </w:t>
      </w:r>
      <w:r w:rsidR="00896B27" w:rsidRPr="00A9214A">
        <w:rPr>
          <w:rFonts w:ascii="Corbel" w:hAnsi="Corbel"/>
        </w:rPr>
        <w:t xml:space="preserve">specialist dementia care </w:t>
      </w:r>
      <w:r w:rsidRPr="00A9214A">
        <w:rPr>
          <w:rFonts w:ascii="Corbel" w:hAnsi="Corbel"/>
        </w:rPr>
        <w:t xml:space="preserve">unit must </w:t>
      </w:r>
      <w:r w:rsidR="00065C0F">
        <w:rPr>
          <w:rFonts w:ascii="Corbel" w:hAnsi="Corbel"/>
        </w:rPr>
        <w:t>become operational</w:t>
      </w:r>
      <w:r w:rsidRPr="00A9214A">
        <w:rPr>
          <w:rFonts w:ascii="Corbel" w:hAnsi="Corbel"/>
        </w:rPr>
        <w:t xml:space="preserve"> within the reporting period of that financial year. If the </w:t>
      </w:r>
      <w:r w:rsidR="00896B27" w:rsidRPr="00A9214A">
        <w:rPr>
          <w:rFonts w:ascii="Corbel" w:hAnsi="Corbel"/>
        </w:rPr>
        <w:t xml:space="preserve">specialist dementia care </w:t>
      </w:r>
      <w:r w:rsidRPr="00A9214A">
        <w:rPr>
          <w:rFonts w:ascii="Corbel" w:hAnsi="Corbel"/>
        </w:rPr>
        <w:t xml:space="preserve">unit </w:t>
      </w:r>
      <w:r w:rsidR="00065C0F">
        <w:rPr>
          <w:rFonts w:ascii="Corbel" w:hAnsi="Corbel"/>
        </w:rPr>
        <w:t>becomes operational</w:t>
      </w:r>
      <w:r w:rsidRPr="00A9214A">
        <w:rPr>
          <w:rFonts w:ascii="Corbel" w:hAnsi="Corbel"/>
        </w:rPr>
        <w:t xml:space="preserve"> outside of the reporting period, the funding will be provided in the next financial year.</w:t>
      </w:r>
    </w:p>
    <w:p w14:paraId="4362F42D" w14:textId="77777777" w:rsidR="001D0C1F" w:rsidRDefault="001D0C1F" w:rsidP="00390C84">
      <w:pPr>
        <w:pStyle w:val="Normalnumbered"/>
        <w:numPr>
          <w:ilvl w:val="0"/>
          <w:numId w:val="10"/>
        </w:numPr>
      </w:pPr>
      <w:r>
        <w:t>If</w:t>
      </w:r>
      <w:r w:rsidRPr="00804105">
        <w:t xml:space="preserve"> a milestone is met in advance of the due date, </w:t>
      </w:r>
      <w:r>
        <w:t xml:space="preserve">where </w:t>
      </w:r>
      <w:r w:rsidRPr="00804105">
        <w:t>the relevant performance report demonstrat</w:t>
      </w:r>
      <w:r>
        <w:t>es</w:t>
      </w:r>
      <w:r w:rsidRPr="00804105">
        <w:t xml:space="preserve"> </w:t>
      </w:r>
      <w:r>
        <w:t xml:space="preserve">that </w:t>
      </w:r>
      <w:r w:rsidRPr="00804105">
        <w:t>the milestone has been met, the Commonwealth may make the associated payment earlier than scheduled provided it falls within the same financial year as the original milestone date.</w:t>
      </w:r>
      <w:r>
        <w:t xml:space="preserve"> </w:t>
      </w:r>
    </w:p>
    <w:p w14:paraId="463E29AF" w14:textId="77777777" w:rsidR="00F3245D" w:rsidRDefault="00F3245D" w:rsidP="00F3245D">
      <w:pPr>
        <w:pStyle w:val="Heading2"/>
      </w:pPr>
      <w:r>
        <w:t>Reporting arrangements</w:t>
      </w:r>
    </w:p>
    <w:p w14:paraId="59D1E60E" w14:textId="77777777" w:rsidR="00ED2AC4" w:rsidRPr="00B15C09" w:rsidRDefault="009E151E" w:rsidP="00390C84">
      <w:pPr>
        <w:pStyle w:val="Normalnumbered"/>
        <w:numPr>
          <w:ilvl w:val="0"/>
          <w:numId w:val="10"/>
        </w:numPr>
        <w:spacing w:before="120" w:line="240" w:lineRule="auto"/>
        <w:rPr>
          <w:szCs w:val="23"/>
        </w:rPr>
      </w:pPr>
      <w:r>
        <w:t>The</w:t>
      </w:r>
      <w:r w:rsidR="00167BB8">
        <w:t xml:space="preserve"> </w:t>
      </w:r>
      <w:r w:rsidRPr="00E87B86">
        <w:t>States</w:t>
      </w:r>
      <w:r w:rsidR="0095223D" w:rsidRPr="00E87B86">
        <w:t xml:space="preserve"> </w:t>
      </w:r>
      <w:r>
        <w:t xml:space="preserve">will </w:t>
      </w:r>
      <w:r w:rsidR="0095223D">
        <w:t xml:space="preserve">provide performance reports in accordance with </w:t>
      </w:r>
      <w:r w:rsidR="00D819B9">
        <w:t>Table 1</w:t>
      </w:r>
      <w:r w:rsidR="00CA3415">
        <w:t xml:space="preserve"> during the </w:t>
      </w:r>
      <w:r w:rsidR="00515AF2">
        <w:t xml:space="preserve">operation of the Agreement.  </w:t>
      </w:r>
      <w:r w:rsidR="0095223D">
        <w:t>Each performance report is to contai</w:t>
      </w:r>
      <w:r w:rsidR="00ED2AC4">
        <w:t xml:space="preserve">n a description of actual </w:t>
      </w:r>
      <w:r w:rsidR="00ED2AC4" w:rsidRPr="00B15C09">
        <w:t>performance in the period to date against the project milestones.</w:t>
      </w:r>
      <w:r w:rsidR="00ED2AC4" w:rsidRPr="00B15C09">
        <w:rPr>
          <w:szCs w:val="23"/>
        </w:rPr>
        <w:t xml:space="preserve"> </w:t>
      </w:r>
    </w:p>
    <w:p w14:paraId="64738BDD" w14:textId="6F2E5EDF" w:rsidR="00CA3415" w:rsidRPr="00B15C09" w:rsidRDefault="00CA3415" w:rsidP="00390C84">
      <w:pPr>
        <w:pStyle w:val="Normalnumbered"/>
        <w:numPr>
          <w:ilvl w:val="0"/>
          <w:numId w:val="10"/>
        </w:numPr>
        <w:spacing w:before="120" w:line="240" w:lineRule="auto"/>
        <w:rPr>
          <w:szCs w:val="23"/>
        </w:rPr>
      </w:pPr>
      <w:r w:rsidRPr="00B15C09">
        <w:rPr>
          <w:szCs w:val="23"/>
        </w:rPr>
        <w:lastRenderedPageBreak/>
        <w:t xml:space="preserve">Performance </w:t>
      </w:r>
      <w:r w:rsidR="00390C84">
        <w:rPr>
          <w:szCs w:val="23"/>
        </w:rPr>
        <w:t>r</w:t>
      </w:r>
      <w:r w:rsidRPr="00B15C09">
        <w:rPr>
          <w:szCs w:val="23"/>
        </w:rPr>
        <w:t>eports will not be published, however a consolidated summary of overall progress may be released periodically and may be included in the program evaluation.</w:t>
      </w:r>
    </w:p>
    <w:p w14:paraId="3FC982E3" w14:textId="77777777" w:rsidR="008E7527" w:rsidRDefault="008E7527" w:rsidP="009E093C">
      <w:pPr>
        <w:pStyle w:val="Heading1"/>
      </w:pPr>
      <w:r>
        <w:t>Part 5</w:t>
      </w:r>
      <w:r w:rsidRPr="00751725">
        <w:t xml:space="preserve"> — financial arrangements</w:t>
      </w:r>
    </w:p>
    <w:p w14:paraId="30AF23FE" w14:textId="0351EE64" w:rsidR="008E7527" w:rsidRPr="00260E11" w:rsidRDefault="008E7527" w:rsidP="00390C84">
      <w:pPr>
        <w:pStyle w:val="Normalnumbered"/>
        <w:numPr>
          <w:ilvl w:val="0"/>
          <w:numId w:val="10"/>
        </w:numPr>
        <w:jc w:val="left"/>
        <w:rPr>
          <w:color w:val="auto"/>
        </w:rPr>
      </w:pPr>
      <w:r w:rsidRPr="00260E11">
        <w:rPr>
          <w:color w:val="auto"/>
        </w:rPr>
        <w:t>The Commonwealth will provide a</w:t>
      </w:r>
      <w:r w:rsidR="002E144A" w:rsidRPr="00260E11">
        <w:rPr>
          <w:color w:val="auto"/>
        </w:rPr>
        <w:t>n estimated</w:t>
      </w:r>
      <w:r w:rsidRPr="00260E11">
        <w:rPr>
          <w:color w:val="auto"/>
        </w:rPr>
        <w:t xml:space="preserve"> total financial contribution to the States of </w:t>
      </w:r>
      <w:r w:rsidR="00F27931" w:rsidRPr="00904C55">
        <w:t>$14.4m</w:t>
      </w:r>
      <w:r w:rsidR="00A85DD6" w:rsidRPr="00904C55">
        <w:t xml:space="preserve"> </w:t>
      </w:r>
      <w:r w:rsidRPr="00904C55">
        <w:rPr>
          <w:color w:val="auto"/>
        </w:rPr>
        <w:t>in respect</w:t>
      </w:r>
      <w:r w:rsidRPr="00260E11">
        <w:rPr>
          <w:color w:val="auto"/>
        </w:rPr>
        <w:t xml:space="preserve"> of this Agreement</w:t>
      </w:r>
      <w:r w:rsidR="00904C55">
        <w:rPr>
          <w:color w:val="auto"/>
        </w:rPr>
        <w:t xml:space="preserve"> which will apply to up to a maximum of 15 specialist dementia care units</w:t>
      </w:r>
      <w:r w:rsidRPr="00260E11">
        <w:rPr>
          <w:color w:val="auto"/>
        </w:rPr>
        <w:t>. All payments are GST exclusive.</w:t>
      </w:r>
    </w:p>
    <w:p w14:paraId="4A04A5D5" w14:textId="77777777" w:rsidR="008E7527" w:rsidRDefault="005A5E7A" w:rsidP="00390C84">
      <w:pPr>
        <w:pStyle w:val="Normalnumbered"/>
        <w:numPr>
          <w:ilvl w:val="0"/>
          <w:numId w:val="10"/>
        </w:numPr>
      </w:pPr>
      <w:r>
        <w:t>T</w:t>
      </w:r>
      <w:r w:rsidR="008E7527" w:rsidRPr="002B7E1B">
        <w:t>he Commonwealth’s funding contribution will not be reduced where the States secure funding from other activity partners</w:t>
      </w:r>
      <w:r w:rsidR="002E144A">
        <w:t>.</w:t>
      </w:r>
    </w:p>
    <w:p w14:paraId="2F5ABF10" w14:textId="77777777" w:rsidR="008E7527" w:rsidRPr="00751725" w:rsidRDefault="008E7527" w:rsidP="00390C84">
      <w:pPr>
        <w:pStyle w:val="Normalnumbered"/>
        <w:keepLines/>
        <w:numPr>
          <w:ilvl w:val="0"/>
          <w:numId w:val="10"/>
        </w:numPr>
      </w:pPr>
      <w:r w:rsidRPr="00751725">
        <w:t>The Commonwealth</w:t>
      </w:r>
      <w:r>
        <w:t>’s</w:t>
      </w:r>
      <w:r w:rsidRPr="00751725">
        <w:t xml:space="preserve"> and the </w:t>
      </w:r>
      <w:r>
        <w:t>S</w:t>
      </w:r>
      <w:r w:rsidRPr="00751725">
        <w:t>tates</w:t>
      </w:r>
      <w:r>
        <w:t xml:space="preserve">’ 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Pr>
          <w:i/>
        </w:rPr>
        <w:t> </w:t>
      </w:r>
      <w:r w:rsidRPr="002B7E1B">
        <w:rPr>
          <w:i/>
        </w:rPr>
        <w:t>D — Payment Arrangements</w:t>
      </w:r>
      <w:r>
        <w:t xml:space="preserve"> of the </w:t>
      </w:r>
      <w:r w:rsidR="00C41265">
        <w:t>IGA FFR</w:t>
      </w:r>
      <w:r w:rsidR="00C2605C">
        <w:t>, are shown in Table 2</w:t>
      </w:r>
      <w:r w:rsidRPr="00751725">
        <w:t>.</w:t>
      </w:r>
    </w:p>
    <w:p w14:paraId="476084C1" w14:textId="6791EAA5" w:rsidR="008E7527" w:rsidRPr="00C179A1" w:rsidRDefault="00E204BB" w:rsidP="00E73D21">
      <w:pPr>
        <w:pStyle w:val="Normalnumbered"/>
        <w:keepNext/>
        <w:numPr>
          <w:ilvl w:val="0"/>
          <w:numId w:val="0"/>
        </w:numPr>
        <w:rPr>
          <w:b/>
          <w:i/>
          <w:color w:val="FF0000"/>
        </w:rPr>
      </w:pPr>
      <w:r>
        <w:rPr>
          <w:b/>
        </w:rPr>
        <w:t>Table 2</w:t>
      </w:r>
      <w:r w:rsidR="008E7527" w:rsidRPr="00E204BB">
        <w:rPr>
          <w:b/>
        </w:rPr>
        <w:t xml:space="preserve">: </w:t>
      </w:r>
      <w:r w:rsidR="005144C4">
        <w:rPr>
          <w:b/>
        </w:rPr>
        <w:t>Total f</w:t>
      </w:r>
      <w:r w:rsidR="008E7527" w:rsidRPr="00E204BB">
        <w:rPr>
          <w:b/>
        </w:rPr>
        <w:t>inancial contribution</w:t>
      </w:r>
    </w:p>
    <w:tbl>
      <w:tblPr>
        <w:tblW w:w="0" w:type="auto"/>
        <w:tblLayout w:type="fixed"/>
        <w:tblLook w:val="01E0" w:firstRow="1" w:lastRow="1" w:firstColumn="1" w:lastColumn="1" w:noHBand="0" w:noVBand="0"/>
      </w:tblPr>
      <w:tblGrid>
        <w:gridCol w:w="3900"/>
        <w:gridCol w:w="1147"/>
        <w:gridCol w:w="1148"/>
        <w:gridCol w:w="1147"/>
        <w:gridCol w:w="1148"/>
        <w:gridCol w:w="1148"/>
      </w:tblGrid>
      <w:tr w:rsidR="008E7527" w14:paraId="0DB343E2" w14:textId="77777777" w:rsidTr="004F3E29">
        <w:trPr>
          <w:cantSplit/>
        </w:trPr>
        <w:tc>
          <w:tcPr>
            <w:tcW w:w="3900" w:type="dxa"/>
            <w:tcBorders>
              <w:top w:val="single" w:sz="4" w:space="0" w:color="000080"/>
            </w:tcBorders>
          </w:tcPr>
          <w:p w14:paraId="5CD1C5F0" w14:textId="77777777" w:rsidR="008E7527" w:rsidRPr="00C2711B" w:rsidRDefault="008E7527" w:rsidP="00AB71A5">
            <w:pPr>
              <w:keepNext/>
              <w:keepLines/>
              <w:spacing w:before="40" w:after="40"/>
              <w:jc w:val="left"/>
              <w:rPr>
                <w:b/>
              </w:rPr>
            </w:pPr>
            <w:r w:rsidRPr="00C2711B">
              <w:rPr>
                <w:b/>
              </w:rPr>
              <w:t>($ million)</w:t>
            </w:r>
          </w:p>
        </w:tc>
        <w:tc>
          <w:tcPr>
            <w:tcW w:w="1147" w:type="dxa"/>
            <w:tcBorders>
              <w:top w:val="single" w:sz="4" w:space="0" w:color="000080"/>
              <w:bottom w:val="single" w:sz="4" w:space="0" w:color="000080"/>
            </w:tcBorders>
          </w:tcPr>
          <w:p w14:paraId="76A3829E" w14:textId="77777777" w:rsidR="008E7527" w:rsidRDefault="008F481D" w:rsidP="00DF266E">
            <w:pPr>
              <w:keepNext/>
              <w:keepLines/>
              <w:spacing w:before="40" w:after="40"/>
              <w:jc w:val="right"/>
            </w:pPr>
            <w:r>
              <w:t>2019</w:t>
            </w:r>
            <w:r w:rsidR="005F6CED">
              <w:t>-20</w:t>
            </w:r>
          </w:p>
        </w:tc>
        <w:tc>
          <w:tcPr>
            <w:tcW w:w="1148" w:type="dxa"/>
            <w:tcBorders>
              <w:top w:val="single" w:sz="4" w:space="0" w:color="000080"/>
              <w:bottom w:val="single" w:sz="4" w:space="0" w:color="000080"/>
            </w:tcBorders>
          </w:tcPr>
          <w:p w14:paraId="79D6DFF4" w14:textId="77777777" w:rsidR="008E7527" w:rsidRDefault="005F6CED" w:rsidP="00DF266E">
            <w:pPr>
              <w:keepNext/>
              <w:keepLines/>
              <w:spacing w:before="40" w:after="40"/>
              <w:jc w:val="right"/>
            </w:pPr>
            <w:r>
              <w:t>2020-21</w:t>
            </w:r>
          </w:p>
        </w:tc>
        <w:tc>
          <w:tcPr>
            <w:tcW w:w="1147" w:type="dxa"/>
            <w:tcBorders>
              <w:top w:val="single" w:sz="4" w:space="0" w:color="000080"/>
              <w:bottom w:val="single" w:sz="4" w:space="0" w:color="000080"/>
            </w:tcBorders>
          </w:tcPr>
          <w:p w14:paraId="435A9DE2" w14:textId="77777777" w:rsidR="008E7527" w:rsidRDefault="005F6CED" w:rsidP="00DF266E">
            <w:pPr>
              <w:keepNext/>
              <w:keepLines/>
              <w:spacing w:before="40" w:after="40"/>
              <w:jc w:val="right"/>
            </w:pPr>
            <w:r>
              <w:t>2021-22</w:t>
            </w:r>
          </w:p>
        </w:tc>
        <w:tc>
          <w:tcPr>
            <w:tcW w:w="1148" w:type="dxa"/>
            <w:tcBorders>
              <w:top w:val="single" w:sz="4" w:space="0" w:color="000080"/>
              <w:bottom w:val="single" w:sz="4" w:space="0" w:color="000080"/>
            </w:tcBorders>
          </w:tcPr>
          <w:p w14:paraId="0667C5E4" w14:textId="77777777" w:rsidR="008E7527" w:rsidRDefault="005F6CED" w:rsidP="00DF266E">
            <w:pPr>
              <w:keepNext/>
              <w:keepLines/>
              <w:spacing w:before="40" w:after="40"/>
              <w:jc w:val="right"/>
            </w:pPr>
            <w:r>
              <w:t>2022-23</w:t>
            </w:r>
          </w:p>
        </w:tc>
        <w:tc>
          <w:tcPr>
            <w:tcW w:w="1148" w:type="dxa"/>
            <w:tcBorders>
              <w:top w:val="single" w:sz="4" w:space="0" w:color="000080"/>
              <w:bottom w:val="single" w:sz="4" w:space="0" w:color="000080"/>
            </w:tcBorders>
          </w:tcPr>
          <w:p w14:paraId="561F66B0" w14:textId="77777777" w:rsidR="008E7527" w:rsidRDefault="008E7527" w:rsidP="00DF266E">
            <w:pPr>
              <w:keepNext/>
              <w:keepLines/>
              <w:spacing w:before="40" w:after="40"/>
              <w:jc w:val="right"/>
            </w:pPr>
            <w:r>
              <w:t>Total</w:t>
            </w:r>
          </w:p>
        </w:tc>
      </w:tr>
      <w:tr w:rsidR="008E7527" w14:paraId="3E62C39F" w14:textId="77777777" w:rsidTr="004F3E29">
        <w:trPr>
          <w:cantSplit/>
        </w:trPr>
        <w:tc>
          <w:tcPr>
            <w:tcW w:w="3900" w:type="dxa"/>
          </w:tcPr>
          <w:p w14:paraId="313FF5B1" w14:textId="77777777" w:rsidR="008E7527" w:rsidRPr="005B4C1B" w:rsidRDefault="008E7527" w:rsidP="00AB71A5">
            <w:pPr>
              <w:keepNext/>
              <w:keepLines/>
              <w:spacing w:before="60" w:after="60"/>
              <w:rPr>
                <w:b/>
              </w:rPr>
            </w:pPr>
            <w:r w:rsidRPr="005B4C1B">
              <w:rPr>
                <w:b/>
              </w:rPr>
              <w:t>Estimated total budget</w:t>
            </w:r>
          </w:p>
        </w:tc>
        <w:tc>
          <w:tcPr>
            <w:tcW w:w="1147" w:type="dxa"/>
            <w:tcBorders>
              <w:top w:val="single" w:sz="4" w:space="0" w:color="000080"/>
            </w:tcBorders>
          </w:tcPr>
          <w:p w14:paraId="7DC150CD" w14:textId="63E39BD9" w:rsidR="008E7527" w:rsidRPr="00904C55" w:rsidRDefault="005F6CED" w:rsidP="00AA38DC">
            <w:pPr>
              <w:keepNext/>
              <w:keepLines/>
              <w:spacing w:before="40" w:after="40"/>
              <w:jc w:val="right"/>
              <w:rPr>
                <w:b/>
              </w:rPr>
            </w:pPr>
            <w:r w:rsidRPr="00904C55">
              <w:rPr>
                <w:b/>
              </w:rPr>
              <w:t>2.</w:t>
            </w:r>
            <w:r w:rsidR="0089298A" w:rsidRPr="00904C55">
              <w:rPr>
                <w:b/>
              </w:rPr>
              <w:t>5</w:t>
            </w:r>
          </w:p>
        </w:tc>
        <w:tc>
          <w:tcPr>
            <w:tcW w:w="1148" w:type="dxa"/>
            <w:tcBorders>
              <w:top w:val="single" w:sz="4" w:space="0" w:color="000080"/>
            </w:tcBorders>
          </w:tcPr>
          <w:p w14:paraId="7C45CFF1" w14:textId="2DDEC0DB" w:rsidR="008E7527" w:rsidRPr="00904C55" w:rsidRDefault="005F6CED" w:rsidP="00AA38DC">
            <w:pPr>
              <w:keepNext/>
              <w:keepLines/>
              <w:spacing w:before="40" w:after="40"/>
              <w:jc w:val="right"/>
              <w:rPr>
                <w:b/>
              </w:rPr>
            </w:pPr>
            <w:r w:rsidRPr="00904C55">
              <w:rPr>
                <w:b/>
              </w:rPr>
              <w:t>3.9</w:t>
            </w:r>
          </w:p>
        </w:tc>
        <w:tc>
          <w:tcPr>
            <w:tcW w:w="1147" w:type="dxa"/>
            <w:tcBorders>
              <w:top w:val="single" w:sz="4" w:space="0" w:color="000080"/>
            </w:tcBorders>
          </w:tcPr>
          <w:p w14:paraId="1D4739FA" w14:textId="5599500C" w:rsidR="008E7527" w:rsidRPr="00904C55" w:rsidRDefault="007A34A3" w:rsidP="00DF266E">
            <w:pPr>
              <w:keepNext/>
              <w:keepLines/>
              <w:spacing w:before="40" w:after="40"/>
              <w:jc w:val="right"/>
              <w:rPr>
                <w:b/>
              </w:rPr>
            </w:pPr>
            <w:r>
              <w:rPr>
                <w:b/>
              </w:rPr>
              <w:t>4.0</w:t>
            </w:r>
          </w:p>
        </w:tc>
        <w:tc>
          <w:tcPr>
            <w:tcW w:w="1148" w:type="dxa"/>
            <w:tcBorders>
              <w:top w:val="single" w:sz="4" w:space="0" w:color="000080"/>
            </w:tcBorders>
          </w:tcPr>
          <w:p w14:paraId="5087F52D" w14:textId="75A0C8ED" w:rsidR="008E7527" w:rsidRPr="00904C55" w:rsidRDefault="00B96F10" w:rsidP="00BC5459">
            <w:pPr>
              <w:keepNext/>
              <w:keepLines/>
              <w:spacing w:before="40" w:after="40"/>
              <w:jc w:val="right"/>
              <w:rPr>
                <w:b/>
              </w:rPr>
            </w:pPr>
            <w:r w:rsidRPr="00904C55">
              <w:rPr>
                <w:b/>
              </w:rPr>
              <w:t>4.0</w:t>
            </w:r>
          </w:p>
        </w:tc>
        <w:tc>
          <w:tcPr>
            <w:tcW w:w="1148" w:type="dxa"/>
            <w:tcBorders>
              <w:top w:val="single" w:sz="4" w:space="0" w:color="000080"/>
            </w:tcBorders>
          </w:tcPr>
          <w:p w14:paraId="0AD59286" w14:textId="344933DE" w:rsidR="008E7527" w:rsidRPr="00904C55" w:rsidRDefault="00B96F10" w:rsidP="00BC5459">
            <w:pPr>
              <w:keepNext/>
              <w:keepLines/>
              <w:spacing w:before="40" w:after="40"/>
              <w:jc w:val="right"/>
              <w:rPr>
                <w:b/>
              </w:rPr>
            </w:pPr>
            <w:r w:rsidRPr="00904C55">
              <w:rPr>
                <w:b/>
              </w:rPr>
              <w:t>14.4</w:t>
            </w:r>
          </w:p>
        </w:tc>
      </w:tr>
      <w:tr w:rsidR="0089298A" w14:paraId="0BED5A0E" w14:textId="77777777" w:rsidTr="004F3E29">
        <w:trPr>
          <w:cantSplit/>
        </w:trPr>
        <w:tc>
          <w:tcPr>
            <w:tcW w:w="3900" w:type="dxa"/>
          </w:tcPr>
          <w:p w14:paraId="4F0DE4BB" w14:textId="77777777" w:rsidR="0089298A" w:rsidRPr="004A673A" w:rsidRDefault="0089298A" w:rsidP="0089298A">
            <w:pPr>
              <w:keepNext/>
              <w:keepLines/>
              <w:spacing w:before="60" w:after="60"/>
            </w:pPr>
            <w:r>
              <w:t>Less estimated National Partnership Payments</w:t>
            </w:r>
          </w:p>
        </w:tc>
        <w:tc>
          <w:tcPr>
            <w:tcW w:w="1147" w:type="dxa"/>
            <w:tcBorders>
              <w:bottom w:val="single" w:sz="4" w:space="0" w:color="000080"/>
            </w:tcBorders>
          </w:tcPr>
          <w:p w14:paraId="630CB27F" w14:textId="7757AA94" w:rsidR="0089298A" w:rsidRPr="00904C55" w:rsidRDefault="0089298A" w:rsidP="00AA38DC">
            <w:pPr>
              <w:jc w:val="right"/>
            </w:pPr>
            <w:r w:rsidRPr="00904C55">
              <w:t>2.5</w:t>
            </w:r>
          </w:p>
        </w:tc>
        <w:tc>
          <w:tcPr>
            <w:tcW w:w="1148" w:type="dxa"/>
            <w:tcBorders>
              <w:bottom w:val="single" w:sz="4" w:space="0" w:color="000080"/>
            </w:tcBorders>
          </w:tcPr>
          <w:p w14:paraId="7928A6CC" w14:textId="7937F549" w:rsidR="0089298A" w:rsidRPr="00904C55" w:rsidRDefault="0089298A" w:rsidP="00AA38DC">
            <w:pPr>
              <w:jc w:val="right"/>
            </w:pPr>
            <w:r w:rsidRPr="00904C55">
              <w:t>3.9</w:t>
            </w:r>
          </w:p>
        </w:tc>
        <w:tc>
          <w:tcPr>
            <w:tcW w:w="1147" w:type="dxa"/>
            <w:tcBorders>
              <w:bottom w:val="single" w:sz="4" w:space="0" w:color="000080"/>
            </w:tcBorders>
          </w:tcPr>
          <w:p w14:paraId="2793D932" w14:textId="72C9E5BB" w:rsidR="0089298A" w:rsidRPr="00904C55" w:rsidRDefault="007A34A3" w:rsidP="00DF266E">
            <w:pPr>
              <w:jc w:val="right"/>
            </w:pPr>
            <w:r>
              <w:t>4.0</w:t>
            </w:r>
          </w:p>
        </w:tc>
        <w:tc>
          <w:tcPr>
            <w:tcW w:w="1148" w:type="dxa"/>
            <w:tcBorders>
              <w:bottom w:val="single" w:sz="4" w:space="0" w:color="000080"/>
            </w:tcBorders>
          </w:tcPr>
          <w:p w14:paraId="6E001B05" w14:textId="467F2CA5" w:rsidR="0089298A" w:rsidRPr="00904C55" w:rsidRDefault="00B96F10" w:rsidP="00BC5459">
            <w:pPr>
              <w:jc w:val="right"/>
            </w:pPr>
            <w:r w:rsidRPr="00904C55">
              <w:t>4.0</w:t>
            </w:r>
          </w:p>
        </w:tc>
        <w:tc>
          <w:tcPr>
            <w:tcW w:w="1148" w:type="dxa"/>
            <w:tcBorders>
              <w:bottom w:val="single" w:sz="4" w:space="0" w:color="000080"/>
            </w:tcBorders>
          </w:tcPr>
          <w:p w14:paraId="15197014" w14:textId="17E09D92" w:rsidR="0089298A" w:rsidRPr="00904C55" w:rsidRDefault="00B96F10" w:rsidP="00BC5459">
            <w:pPr>
              <w:jc w:val="right"/>
            </w:pPr>
            <w:r w:rsidRPr="00904C55">
              <w:t>14.4</w:t>
            </w:r>
          </w:p>
        </w:tc>
      </w:tr>
      <w:tr w:rsidR="008E7527" w14:paraId="5FC78DE9" w14:textId="77777777" w:rsidTr="004F3E29">
        <w:trPr>
          <w:cantSplit/>
        </w:trPr>
        <w:tc>
          <w:tcPr>
            <w:tcW w:w="3900" w:type="dxa"/>
            <w:tcBorders>
              <w:bottom w:val="single" w:sz="4" w:space="0" w:color="000080"/>
            </w:tcBorders>
          </w:tcPr>
          <w:p w14:paraId="2BA473B3" w14:textId="77777777" w:rsidR="008E7527" w:rsidRPr="006146F2" w:rsidRDefault="008E7527" w:rsidP="00AB71A5">
            <w:pPr>
              <w:keepNext/>
              <w:keepLines/>
              <w:spacing w:before="40" w:after="40"/>
            </w:pPr>
            <w:r w:rsidRPr="006146F2">
              <w:t>Balance of non-Commonwealth contribution</w:t>
            </w:r>
            <w:r>
              <w:t>s</w:t>
            </w:r>
          </w:p>
        </w:tc>
        <w:tc>
          <w:tcPr>
            <w:tcW w:w="1147" w:type="dxa"/>
            <w:tcBorders>
              <w:bottom w:val="single" w:sz="4" w:space="0" w:color="000080"/>
            </w:tcBorders>
          </w:tcPr>
          <w:p w14:paraId="5EF75EBC" w14:textId="77777777" w:rsidR="008E7527" w:rsidRDefault="008E7527" w:rsidP="00DF266E">
            <w:pPr>
              <w:keepNext/>
              <w:keepLines/>
              <w:spacing w:before="40" w:after="40"/>
              <w:jc w:val="right"/>
            </w:pPr>
            <w:r>
              <w:t>0.0</w:t>
            </w:r>
          </w:p>
        </w:tc>
        <w:tc>
          <w:tcPr>
            <w:tcW w:w="1148" w:type="dxa"/>
            <w:tcBorders>
              <w:bottom w:val="single" w:sz="4" w:space="0" w:color="000080"/>
            </w:tcBorders>
          </w:tcPr>
          <w:p w14:paraId="52FA41CA" w14:textId="77777777" w:rsidR="008E7527" w:rsidRDefault="008E7527" w:rsidP="00DF266E">
            <w:pPr>
              <w:keepNext/>
              <w:keepLines/>
              <w:spacing w:before="40" w:after="40"/>
              <w:jc w:val="right"/>
            </w:pPr>
            <w:r>
              <w:t>0.0</w:t>
            </w:r>
          </w:p>
        </w:tc>
        <w:tc>
          <w:tcPr>
            <w:tcW w:w="1147" w:type="dxa"/>
            <w:tcBorders>
              <w:bottom w:val="single" w:sz="4" w:space="0" w:color="000080"/>
            </w:tcBorders>
          </w:tcPr>
          <w:p w14:paraId="65BAC702" w14:textId="77777777" w:rsidR="008E7527" w:rsidRDefault="00796673" w:rsidP="00DF266E">
            <w:pPr>
              <w:keepNext/>
              <w:keepLines/>
              <w:spacing w:before="40" w:after="40"/>
              <w:jc w:val="right"/>
            </w:pPr>
            <w:r>
              <w:t>0</w:t>
            </w:r>
            <w:r w:rsidR="008E7527">
              <w:t>.0</w:t>
            </w:r>
          </w:p>
        </w:tc>
        <w:tc>
          <w:tcPr>
            <w:tcW w:w="1148" w:type="dxa"/>
            <w:tcBorders>
              <w:bottom w:val="single" w:sz="4" w:space="0" w:color="000080"/>
            </w:tcBorders>
          </w:tcPr>
          <w:p w14:paraId="497195C1" w14:textId="77777777" w:rsidR="008E7527" w:rsidRDefault="00796673" w:rsidP="00DF266E">
            <w:pPr>
              <w:keepNext/>
              <w:keepLines/>
              <w:spacing w:before="40" w:after="40"/>
              <w:jc w:val="right"/>
            </w:pPr>
            <w:r>
              <w:t>0</w:t>
            </w:r>
            <w:r w:rsidR="008E7527">
              <w:t>.0</w:t>
            </w:r>
          </w:p>
        </w:tc>
        <w:tc>
          <w:tcPr>
            <w:tcW w:w="1148" w:type="dxa"/>
            <w:tcBorders>
              <w:bottom w:val="single" w:sz="4" w:space="0" w:color="000080"/>
            </w:tcBorders>
          </w:tcPr>
          <w:p w14:paraId="258AFAE3" w14:textId="77777777" w:rsidR="008E7527" w:rsidRDefault="00046DBC" w:rsidP="00DF266E">
            <w:pPr>
              <w:keepNext/>
              <w:keepLines/>
              <w:spacing w:before="40" w:after="40"/>
              <w:jc w:val="right"/>
            </w:pPr>
            <w:r>
              <w:t>0</w:t>
            </w:r>
            <w:r w:rsidR="008E7527">
              <w:t>.0</w:t>
            </w:r>
          </w:p>
        </w:tc>
      </w:tr>
    </w:tbl>
    <w:p w14:paraId="059C0D5F" w14:textId="77777777" w:rsidR="00390C84" w:rsidRPr="00390C84" w:rsidRDefault="00390C84" w:rsidP="00390C84">
      <w:pPr>
        <w:pStyle w:val="CommentText"/>
        <w:rPr>
          <w:sz w:val="16"/>
          <w:szCs w:val="16"/>
        </w:rPr>
      </w:pPr>
      <w:r w:rsidRPr="00390C84">
        <w:rPr>
          <w:sz w:val="16"/>
          <w:szCs w:val="16"/>
        </w:rPr>
        <w:t>Notes</w:t>
      </w:r>
    </w:p>
    <w:p w14:paraId="4EB9B44D" w14:textId="77777777" w:rsidR="008E7527" w:rsidRPr="00390C84" w:rsidRDefault="008E7527" w:rsidP="00390C84">
      <w:pPr>
        <w:pStyle w:val="ChartandTableFootnoteAlpha"/>
        <w:numPr>
          <w:ilvl w:val="0"/>
          <w:numId w:val="25"/>
        </w:numPr>
        <w:rPr>
          <w:rFonts w:ascii="Corbel" w:hAnsi="Corbel"/>
          <w:color w:val="FF0000"/>
        </w:rPr>
      </w:pPr>
      <w:r w:rsidRPr="00390C84">
        <w:rPr>
          <w:rFonts w:ascii="Corbel" w:hAnsi="Corbel"/>
        </w:rPr>
        <w:t xml:space="preserve">Notes: </w:t>
      </w:r>
      <w:r w:rsidR="006C4F16" w:rsidRPr="00390C84">
        <w:rPr>
          <w:rFonts w:ascii="Corbel" w:hAnsi="Corbel"/>
        </w:rPr>
        <w:t>the financial contributions in Table 2 do</w:t>
      </w:r>
      <w:r w:rsidR="00DF266E" w:rsidRPr="00390C84">
        <w:rPr>
          <w:rFonts w:ascii="Corbel" w:hAnsi="Corbel"/>
        </w:rPr>
        <w:t>es</w:t>
      </w:r>
      <w:r w:rsidR="006C4F16" w:rsidRPr="00390C84">
        <w:rPr>
          <w:rFonts w:ascii="Corbel" w:hAnsi="Corbel"/>
        </w:rPr>
        <w:t xml:space="preserve"> not reflect the full funding </w:t>
      </w:r>
      <w:r w:rsidR="00DF266E" w:rsidRPr="00390C84">
        <w:rPr>
          <w:rFonts w:ascii="Corbel" w:hAnsi="Corbel"/>
        </w:rPr>
        <w:t>allocation</w:t>
      </w:r>
      <w:r w:rsidR="006C4F16" w:rsidRPr="00390C84">
        <w:rPr>
          <w:rFonts w:ascii="Corbel" w:hAnsi="Corbel"/>
        </w:rPr>
        <w:t xml:space="preserve"> because this Project Agreement is for Phase One of the Specialist Dementia Care Program only, and does not include funding for the remaining </w:t>
      </w:r>
      <w:r w:rsidR="00896B27" w:rsidRPr="00390C84">
        <w:rPr>
          <w:rFonts w:ascii="Corbel" w:hAnsi="Corbel"/>
          <w:color w:val="auto"/>
        </w:rPr>
        <w:t xml:space="preserve">specialist dementia care </w:t>
      </w:r>
      <w:r w:rsidR="006C4F16" w:rsidRPr="00390C84">
        <w:rPr>
          <w:rFonts w:ascii="Corbel" w:hAnsi="Corbel"/>
        </w:rPr>
        <w:t>units to be rolled out in Phase Two.</w:t>
      </w:r>
    </w:p>
    <w:p w14:paraId="4546D00E" w14:textId="26352C07" w:rsidR="005144C4" w:rsidRPr="00A9214A" w:rsidRDefault="005144C4" w:rsidP="005144C4">
      <w:pPr>
        <w:pStyle w:val="ChartandTableFootnoteAlpha"/>
        <w:rPr>
          <w:rFonts w:ascii="Corbel" w:hAnsi="Corbel"/>
          <w:color w:val="auto"/>
        </w:rPr>
      </w:pPr>
      <w:r w:rsidRPr="00A9214A">
        <w:rPr>
          <w:rFonts w:ascii="Corbel" w:hAnsi="Corbel"/>
          <w:color w:val="auto"/>
        </w:rPr>
        <w:t xml:space="preserve">As States will be establishing </w:t>
      </w:r>
      <w:r w:rsidR="00896B27" w:rsidRPr="00A9214A">
        <w:rPr>
          <w:rFonts w:ascii="Corbel" w:hAnsi="Corbel"/>
          <w:color w:val="auto"/>
        </w:rPr>
        <w:t>s</w:t>
      </w:r>
      <w:r w:rsidRPr="00A9214A">
        <w:rPr>
          <w:rFonts w:ascii="Corbel" w:hAnsi="Corbel"/>
          <w:color w:val="auto"/>
        </w:rPr>
        <w:t xml:space="preserve">pecialist </w:t>
      </w:r>
      <w:r w:rsidR="00896B27" w:rsidRPr="00A9214A">
        <w:rPr>
          <w:rFonts w:ascii="Corbel" w:hAnsi="Corbel"/>
          <w:color w:val="auto"/>
        </w:rPr>
        <w:t>d</w:t>
      </w:r>
      <w:r w:rsidRPr="00A9214A">
        <w:rPr>
          <w:rFonts w:ascii="Corbel" w:hAnsi="Corbel"/>
          <w:color w:val="auto"/>
        </w:rPr>
        <w:t xml:space="preserve">ementia </w:t>
      </w:r>
      <w:r w:rsidR="00896B27" w:rsidRPr="00A9214A">
        <w:rPr>
          <w:rFonts w:ascii="Corbel" w:hAnsi="Corbel"/>
          <w:color w:val="auto"/>
        </w:rPr>
        <w:t>c</w:t>
      </w:r>
      <w:r w:rsidRPr="00A9214A">
        <w:rPr>
          <w:rFonts w:ascii="Corbel" w:hAnsi="Corbel"/>
          <w:color w:val="auto"/>
        </w:rPr>
        <w:t>are units at varying stages of the Agreement, funding per jurisdiction will be agreed at the officer level and paid following approval between Commonwealth and</w:t>
      </w:r>
      <w:r w:rsidR="00896B27" w:rsidRPr="00A9214A">
        <w:rPr>
          <w:rFonts w:ascii="Corbel" w:hAnsi="Corbel"/>
          <w:color w:val="auto"/>
        </w:rPr>
        <w:t xml:space="preserve"> S</w:t>
      </w:r>
      <w:r w:rsidRPr="00A9214A">
        <w:rPr>
          <w:rFonts w:ascii="Corbel" w:hAnsi="Corbel"/>
          <w:color w:val="auto"/>
        </w:rPr>
        <w:t xml:space="preserve">tate officers. </w:t>
      </w:r>
    </w:p>
    <w:p w14:paraId="48A87A02" w14:textId="60E6CBD4" w:rsidR="008B098A" w:rsidRPr="008B098A" w:rsidRDefault="008B098A" w:rsidP="005144C4">
      <w:pPr>
        <w:pStyle w:val="ChartandTableFootnoteAlpha"/>
        <w:numPr>
          <w:ilvl w:val="0"/>
          <w:numId w:val="0"/>
        </w:numPr>
        <w:ind w:left="283"/>
        <w:rPr>
          <w:color w:val="auto"/>
        </w:rPr>
      </w:pPr>
    </w:p>
    <w:p w14:paraId="025D7F2A" w14:textId="11266234" w:rsidR="008E7527" w:rsidRDefault="008E7527" w:rsidP="00390C84">
      <w:pPr>
        <w:pStyle w:val="Normalnumbered"/>
        <w:numPr>
          <w:ilvl w:val="0"/>
          <w:numId w:val="10"/>
        </w:numPr>
      </w:pPr>
      <w:r w:rsidRPr="00C738BD">
        <w:t xml:space="preserve">Having regard to the agreed estimated costs of projects specified in </w:t>
      </w:r>
      <w:r w:rsidR="006B43AF">
        <w:t>this</w:t>
      </w:r>
      <w:r>
        <w:t xml:space="preserve"> Agreement</w:t>
      </w:r>
      <w:r w:rsidRPr="00C738BD">
        <w:t>, a State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57E418F7" w14:textId="77777777" w:rsidR="00814667" w:rsidRDefault="003A2157">
      <w:pPr>
        <w:pStyle w:val="Heading1"/>
      </w:pPr>
      <w:bookmarkStart w:id="1" w:name="top"/>
      <w:bookmarkEnd w:id="1"/>
      <w:r>
        <w:lastRenderedPageBreak/>
        <w:t xml:space="preserve">Part </w:t>
      </w:r>
      <w:r w:rsidR="000B4080">
        <w:t>6</w:t>
      </w:r>
      <w:r w:rsidR="00814667">
        <w:t xml:space="preserve"> — governance arrangements</w:t>
      </w:r>
    </w:p>
    <w:p w14:paraId="649EAA1A" w14:textId="77777777" w:rsidR="00BC4728" w:rsidRDefault="00BC4728" w:rsidP="00BC4728">
      <w:pPr>
        <w:pStyle w:val="Heading2"/>
      </w:pPr>
      <w:r w:rsidRPr="006F096A">
        <w:t>Enforceability of the Agreement</w:t>
      </w:r>
    </w:p>
    <w:p w14:paraId="35F08748" w14:textId="77777777" w:rsidR="00BC4728" w:rsidRPr="00C40EBC" w:rsidRDefault="00BC4728" w:rsidP="00390C84">
      <w:pPr>
        <w:pStyle w:val="Normalnumbered"/>
        <w:numPr>
          <w:ilvl w:val="0"/>
          <w:numId w:val="10"/>
        </w:numPr>
        <w:spacing w:line="240" w:lineRule="auto"/>
      </w:pPr>
      <w:r>
        <w:rPr>
          <w:szCs w:val="23"/>
        </w:rPr>
        <w:t>The Parties do not intend any of the provisions of this Agreement to be legally enforceable. However, that does not lessen the Parties’ commitment to this Agreement.</w:t>
      </w:r>
    </w:p>
    <w:p w14:paraId="678294D8" w14:textId="77777777" w:rsidR="00D96E53" w:rsidRDefault="00D96E53">
      <w:pPr>
        <w:pStyle w:val="Heading2"/>
      </w:pPr>
      <w:r>
        <w:t>Review of the Agreement</w:t>
      </w:r>
    </w:p>
    <w:p w14:paraId="4BE4DA3F" w14:textId="6997EA7B" w:rsidR="00D96E53" w:rsidRPr="00D96E53" w:rsidRDefault="00D96E53" w:rsidP="00390C84">
      <w:pPr>
        <w:pStyle w:val="ListParagraph"/>
        <w:numPr>
          <w:ilvl w:val="0"/>
          <w:numId w:val="10"/>
        </w:numPr>
      </w:pPr>
      <w:r w:rsidRPr="00344880">
        <w:rPr>
          <w:rFonts w:ascii="Corbel" w:hAnsi="Corbel"/>
          <w:color w:val="000000"/>
          <w:sz w:val="23"/>
          <w:szCs w:val="20"/>
        </w:rPr>
        <w:t>A review of the Agreement will be scheduled to be completed approximately 12 months prior to its expiry.</w:t>
      </w:r>
    </w:p>
    <w:p w14:paraId="259587D1" w14:textId="77777777" w:rsidR="00814667" w:rsidRDefault="00814667">
      <w:pPr>
        <w:pStyle w:val="Heading2"/>
      </w:pPr>
      <w:r>
        <w:t>Variation of the Agreement</w:t>
      </w:r>
    </w:p>
    <w:p w14:paraId="74882A19" w14:textId="77777777" w:rsidR="00814667" w:rsidRPr="00DE36EB" w:rsidRDefault="00607B03" w:rsidP="00390C84">
      <w:pPr>
        <w:pStyle w:val="Normalnumbered"/>
        <w:numPr>
          <w:ilvl w:val="0"/>
          <w:numId w:val="10"/>
        </w:numPr>
      </w:pPr>
      <w:r>
        <w:t>The A</w:t>
      </w:r>
      <w:r w:rsidR="00814667">
        <w:t xml:space="preserve">greement may be amended at any time by agreement in writing by </w:t>
      </w:r>
      <w:r w:rsidR="00814667" w:rsidRPr="00DE36EB">
        <w:t>all the Parties.</w:t>
      </w:r>
    </w:p>
    <w:p w14:paraId="26C404BC" w14:textId="77777777" w:rsidR="00292587" w:rsidRDefault="00C2605C" w:rsidP="00390C84">
      <w:pPr>
        <w:pStyle w:val="Normalnumbered"/>
        <w:numPr>
          <w:ilvl w:val="0"/>
          <w:numId w:val="10"/>
        </w:numPr>
      </w:pPr>
      <w:r w:rsidRPr="00DE36EB">
        <w:t xml:space="preserve">A </w:t>
      </w:r>
      <w:r w:rsidR="00814667" w:rsidRPr="00DE36EB">
        <w:t>Party to the Agreement may terminate their part</w:t>
      </w:r>
      <w:r w:rsidR="00814667">
        <w:t xml:space="preserve">icipation in the Agreement at any time by notifying all </w:t>
      </w:r>
      <w:r>
        <w:t xml:space="preserve">Parties </w:t>
      </w:r>
      <w:r w:rsidR="00814667">
        <w:t>in writing.</w:t>
      </w:r>
    </w:p>
    <w:p w14:paraId="48F65951" w14:textId="77777777" w:rsidR="009526E4" w:rsidRDefault="009526E4" w:rsidP="0036119D">
      <w:pPr>
        <w:pStyle w:val="Heading2"/>
      </w:pPr>
      <w:r>
        <w:t>Delegations</w:t>
      </w:r>
    </w:p>
    <w:p w14:paraId="2DCD5B08" w14:textId="77777777" w:rsidR="009526E4" w:rsidRDefault="009526E4" w:rsidP="00390C84">
      <w:pPr>
        <w:pStyle w:val="Normalnumbered"/>
        <w:numPr>
          <w:ilvl w:val="0"/>
          <w:numId w:val="10"/>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3A2A1D3F" w14:textId="77777777" w:rsidR="0036119D" w:rsidRDefault="0036119D" w:rsidP="0036119D">
      <w:pPr>
        <w:pStyle w:val="Heading2"/>
      </w:pPr>
      <w:r>
        <w:t>Dispute resolution</w:t>
      </w:r>
    </w:p>
    <w:p w14:paraId="7CB0BD78" w14:textId="77777777" w:rsidR="0036119D" w:rsidRPr="00DE36EB" w:rsidRDefault="0036119D" w:rsidP="00390C84">
      <w:pPr>
        <w:pStyle w:val="Normalnumbered"/>
        <w:numPr>
          <w:ilvl w:val="0"/>
          <w:numId w:val="10"/>
        </w:numPr>
      </w:pPr>
      <w:r w:rsidRPr="00DE36EB">
        <w:t>Any Party may give notice to other Parties of a dispute under this Agreement.</w:t>
      </w:r>
    </w:p>
    <w:p w14:paraId="23619EA7" w14:textId="77777777" w:rsidR="0036119D" w:rsidRPr="00DE36EB" w:rsidRDefault="0036119D" w:rsidP="00390C84">
      <w:pPr>
        <w:pStyle w:val="Normalnumbered"/>
        <w:numPr>
          <w:ilvl w:val="0"/>
          <w:numId w:val="10"/>
        </w:numPr>
      </w:pPr>
      <w:r w:rsidRPr="00DE36EB">
        <w:t>Officials of relevant Parties will attempt to resolve any dispute in the first instance.</w:t>
      </w:r>
    </w:p>
    <w:p w14:paraId="73104275" w14:textId="77777777" w:rsidR="0036119D" w:rsidRPr="00DE36EB" w:rsidRDefault="0036119D" w:rsidP="00390C84">
      <w:pPr>
        <w:pStyle w:val="Normalnumbered"/>
        <w:numPr>
          <w:ilvl w:val="0"/>
          <w:numId w:val="10"/>
        </w:numPr>
      </w:pPr>
      <w:r w:rsidRPr="00DE36EB">
        <w:t>If a dispute cannot be resolved by officials, it may be escalated to the relevant Ministers.</w:t>
      </w:r>
    </w:p>
    <w:p w14:paraId="51D281E2" w14:textId="77777777" w:rsidR="0036119D" w:rsidRPr="00DE36EB" w:rsidRDefault="0036119D" w:rsidP="0036119D">
      <w:pPr>
        <w:pStyle w:val="Heading2"/>
        <w:rPr>
          <w:b w:val="0"/>
          <w:i/>
          <w:sz w:val="23"/>
          <w:szCs w:val="23"/>
        </w:rPr>
      </w:pPr>
      <w:r>
        <w:t xml:space="preserve">Interpretation </w:t>
      </w:r>
    </w:p>
    <w:p w14:paraId="13CD8CDA" w14:textId="77777777" w:rsidR="0036119D" w:rsidRPr="0014418E" w:rsidRDefault="0036119D" w:rsidP="00390C84">
      <w:pPr>
        <w:pStyle w:val="Normalnumbered"/>
        <w:numPr>
          <w:ilvl w:val="0"/>
          <w:numId w:val="10"/>
        </w:numPr>
        <w:jc w:val="left"/>
        <w:rPr>
          <w:color w:val="auto"/>
        </w:rPr>
      </w:pPr>
      <w:r w:rsidRPr="00AF012B">
        <w:rPr>
          <w:color w:val="auto"/>
        </w:rPr>
        <w:t xml:space="preserve">For the purposes of </w:t>
      </w:r>
      <w:r w:rsidRPr="0014418E">
        <w:rPr>
          <w:color w:val="auto"/>
        </w:rPr>
        <w:t>this Agreement:</w:t>
      </w:r>
    </w:p>
    <w:p w14:paraId="4FA14130" w14:textId="41BAD6E5" w:rsidR="0036119D" w:rsidRPr="0014418E" w:rsidRDefault="00AF012B" w:rsidP="00240C9D">
      <w:pPr>
        <w:pStyle w:val="AlphaParagraph"/>
        <w:numPr>
          <w:ilvl w:val="0"/>
          <w:numId w:val="33"/>
        </w:numPr>
        <w:tabs>
          <w:tab w:val="clear" w:pos="283"/>
          <w:tab w:val="clear" w:pos="567"/>
          <w:tab w:val="clear" w:pos="1418"/>
          <w:tab w:val="clear" w:pos="1701"/>
        </w:tabs>
        <w:ind w:left="1134" w:hanging="567"/>
        <w:rPr>
          <w:color w:val="auto"/>
        </w:rPr>
      </w:pPr>
      <w:r w:rsidRPr="0014418E">
        <w:rPr>
          <w:color w:val="auto"/>
        </w:rPr>
        <w:t>Clinical Review Team means</w:t>
      </w:r>
      <w:r w:rsidR="0014418E" w:rsidRPr="0014418E">
        <w:rPr>
          <w:color w:val="auto"/>
        </w:rPr>
        <w:t xml:space="preserve"> </w:t>
      </w:r>
      <w:r w:rsidR="0014418E">
        <w:rPr>
          <w:color w:val="auto"/>
        </w:rPr>
        <w:t xml:space="preserve">a multidisciplinary </w:t>
      </w:r>
      <w:r w:rsidR="00B95931">
        <w:rPr>
          <w:color w:val="auto"/>
        </w:rPr>
        <w:t xml:space="preserve">care team established by a Specialist Dementia Care Program provider which oversees the </w:t>
      </w:r>
      <w:r w:rsidR="00B30F52">
        <w:rPr>
          <w:color w:val="auto"/>
        </w:rPr>
        <w:t xml:space="preserve">routine </w:t>
      </w:r>
      <w:r w:rsidR="00B95931">
        <w:rPr>
          <w:color w:val="auto"/>
        </w:rPr>
        <w:t>care of clients within a specialist dementia care unit</w:t>
      </w:r>
      <w:r w:rsidR="00F1432A">
        <w:rPr>
          <w:color w:val="auto"/>
        </w:rPr>
        <w:t>, generally expected to meet weekly</w:t>
      </w:r>
      <w:r w:rsidR="00B95931">
        <w:rPr>
          <w:color w:val="auto"/>
        </w:rPr>
        <w:t>.</w:t>
      </w:r>
    </w:p>
    <w:p w14:paraId="784EBEE7" w14:textId="77777777" w:rsidR="0036119D" w:rsidRDefault="00AF012B" w:rsidP="00240C9D">
      <w:pPr>
        <w:pStyle w:val="AlphaParagraph"/>
        <w:numPr>
          <w:ilvl w:val="0"/>
          <w:numId w:val="33"/>
        </w:numPr>
        <w:tabs>
          <w:tab w:val="clear" w:pos="283"/>
          <w:tab w:val="clear" w:pos="567"/>
          <w:tab w:val="clear" w:pos="1418"/>
          <w:tab w:val="clear" w:pos="1701"/>
        </w:tabs>
        <w:ind w:left="1134" w:hanging="567"/>
        <w:rPr>
          <w:color w:val="auto"/>
        </w:rPr>
      </w:pPr>
      <w:r w:rsidRPr="00E73D21">
        <w:rPr>
          <w:color w:val="auto"/>
        </w:rPr>
        <w:t>Clinical</w:t>
      </w:r>
      <w:r w:rsidRPr="0014418E">
        <w:rPr>
          <w:color w:val="auto"/>
        </w:rPr>
        <w:t xml:space="preserve"> Advisory Committee mean</w:t>
      </w:r>
      <w:r w:rsidR="00B95931">
        <w:rPr>
          <w:color w:val="auto"/>
        </w:rPr>
        <w:t xml:space="preserve">s a committee established by a Specialist Dementia Care Program provider, </w:t>
      </w:r>
      <w:r w:rsidR="0050793F">
        <w:rPr>
          <w:color w:val="auto"/>
        </w:rPr>
        <w:t xml:space="preserve">generally including a residential aged </w:t>
      </w:r>
      <w:r w:rsidR="0050793F">
        <w:rPr>
          <w:color w:val="auto"/>
        </w:rPr>
        <w:lastRenderedPageBreak/>
        <w:t xml:space="preserve">care facility manager, specialist clinician </w:t>
      </w:r>
      <w:r w:rsidR="0050793F" w:rsidRPr="00240C9D">
        <w:rPr>
          <w:color w:val="auto"/>
        </w:rPr>
        <w:t>(</w:t>
      </w:r>
      <w:r w:rsidR="00552D20" w:rsidRPr="00240C9D">
        <w:rPr>
          <w:color w:val="auto"/>
        </w:rPr>
        <w:t xml:space="preserve">psychogeriatrician </w:t>
      </w:r>
      <w:r w:rsidR="0050793F" w:rsidRPr="00240C9D">
        <w:rPr>
          <w:color w:val="auto"/>
        </w:rPr>
        <w:t xml:space="preserve">and/or geriatrician or </w:t>
      </w:r>
      <w:r w:rsidR="00FE567F" w:rsidRPr="00240C9D">
        <w:rPr>
          <w:color w:val="auto"/>
        </w:rPr>
        <w:t>suitable alternative</w:t>
      </w:r>
      <w:r w:rsidR="0050793F" w:rsidRPr="00240C9D">
        <w:rPr>
          <w:color w:val="auto"/>
        </w:rPr>
        <w:t>)</w:t>
      </w:r>
      <w:r w:rsidR="00FF73DD" w:rsidRPr="00240C9D">
        <w:rPr>
          <w:color w:val="auto"/>
        </w:rPr>
        <w:t xml:space="preserve"> and</w:t>
      </w:r>
      <w:r w:rsidR="0050793F" w:rsidRPr="00240C9D">
        <w:rPr>
          <w:color w:val="auto"/>
        </w:rPr>
        <w:t xml:space="preserve"> local health network representative,</w:t>
      </w:r>
      <w:r w:rsidR="0050793F">
        <w:rPr>
          <w:color w:val="auto"/>
        </w:rPr>
        <w:t xml:space="preserve"> </w:t>
      </w:r>
      <w:r w:rsidR="00B95931">
        <w:rPr>
          <w:color w:val="auto"/>
        </w:rPr>
        <w:t>which meets quarterly (or more frequently as required)</w:t>
      </w:r>
      <w:r w:rsidR="0050793F">
        <w:rPr>
          <w:color w:val="auto"/>
        </w:rPr>
        <w:t>. The committee’s role may include:</w:t>
      </w:r>
    </w:p>
    <w:p w14:paraId="7FFE9668" w14:textId="37D2D553" w:rsidR="0050793F" w:rsidRDefault="0050793F" w:rsidP="00240C9D">
      <w:pPr>
        <w:pStyle w:val="AlphaParagraph"/>
        <w:numPr>
          <w:ilvl w:val="2"/>
          <w:numId w:val="24"/>
        </w:numPr>
        <w:tabs>
          <w:tab w:val="clear" w:pos="283"/>
          <w:tab w:val="clear" w:pos="567"/>
          <w:tab w:val="clear" w:pos="1134"/>
          <w:tab w:val="clear" w:pos="1418"/>
        </w:tabs>
        <w:ind w:left="1560"/>
        <w:rPr>
          <w:color w:val="auto"/>
        </w:rPr>
      </w:pPr>
      <w:r>
        <w:rPr>
          <w:color w:val="auto"/>
        </w:rPr>
        <w:t xml:space="preserve"> providing advice to the Specialist Dementia Care Program provider about the placement and admission of </w:t>
      </w:r>
      <w:r w:rsidR="009B62ED">
        <w:rPr>
          <w:color w:val="auto"/>
        </w:rPr>
        <w:t xml:space="preserve">clients </w:t>
      </w:r>
      <w:r>
        <w:rPr>
          <w:color w:val="auto"/>
        </w:rPr>
        <w:t>to the specialist dementia care unit;</w:t>
      </w:r>
    </w:p>
    <w:p w14:paraId="64DD0299" w14:textId="77777777" w:rsidR="0050793F" w:rsidRDefault="00DC79C4" w:rsidP="00240C9D">
      <w:pPr>
        <w:pStyle w:val="AlphaParagraph"/>
        <w:numPr>
          <w:ilvl w:val="2"/>
          <w:numId w:val="24"/>
        </w:numPr>
        <w:tabs>
          <w:tab w:val="clear" w:pos="283"/>
          <w:tab w:val="clear" w:pos="567"/>
          <w:tab w:val="clear" w:pos="1134"/>
          <w:tab w:val="clear" w:pos="1418"/>
        </w:tabs>
        <w:ind w:left="1560"/>
        <w:rPr>
          <w:color w:val="auto"/>
        </w:rPr>
      </w:pPr>
      <w:r>
        <w:rPr>
          <w:color w:val="auto"/>
        </w:rPr>
        <w:t xml:space="preserve"> monitoring and providing advice on clinical practices and activities of the specialist dementia care unit; and</w:t>
      </w:r>
    </w:p>
    <w:p w14:paraId="0DB99A4D" w14:textId="77777777" w:rsidR="0050793F" w:rsidRDefault="00DC79C4" w:rsidP="00240C9D">
      <w:pPr>
        <w:pStyle w:val="AlphaParagraph"/>
        <w:numPr>
          <w:ilvl w:val="2"/>
          <w:numId w:val="24"/>
        </w:numPr>
        <w:tabs>
          <w:tab w:val="clear" w:pos="283"/>
          <w:tab w:val="clear" w:pos="567"/>
          <w:tab w:val="clear" w:pos="1134"/>
          <w:tab w:val="clear" w:pos="1418"/>
        </w:tabs>
        <w:ind w:left="1560"/>
        <w:rPr>
          <w:color w:val="auto"/>
        </w:rPr>
      </w:pPr>
      <w:r>
        <w:rPr>
          <w:color w:val="auto"/>
        </w:rPr>
        <w:t xml:space="preserve"> </w:t>
      </w:r>
      <w:r w:rsidR="0050793F">
        <w:rPr>
          <w:color w:val="auto"/>
        </w:rPr>
        <w:t>determining whether specialist dementia care clients are suitable to continue receiving care under the program, and providing advice to the Specialist Dementia Care Program provider.</w:t>
      </w:r>
    </w:p>
    <w:p w14:paraId="246132F9" w14:textId="2E4EAB98" w:rsidR="00875808" w:rsidRDefault="00875808" w:rsidP="00240C9D">
      <w:pPr>
        <w:pStyle w:val="AlphaParagraph"/>
        <w:numPr>
          <w:ilvl w:val="0"/>
          <w:numId w:val="33"/>
        </w:numPr>
        <w:tabs>
          <w:tab w:val="clear" w:pos="283"/>
          <w:tab w:val="clear" w:pos="567"/>
          <w:tab w:val="clear" w:pos="1418"/>
          <w:tab w:val="clear" w:pos="1701"/>
        </w:tabs>
        <w:ind w:left="1134" w:hanging="567"/>
        <w:rPr>
          <w:color w:val="auto"/>
        </w:rPr>
      </w:pPr>
      <w:r>
        <w:rPr>
          <w:color w:val="auto"/>
        </w:rPr>
        <w:t xml:space="preserve">Severe Behaviour Response Team means the </w:t>
      </w:r>
      <w:r w:rsidR="0023612B">
        <w:rPr>
          <w:color w:val="auto"/>
        </w:rPr>
        <w:t xml:space="preserve">Commonwealth-funded program </w:t>
      </w:r>
      <w:r w:rsidR="001622DF">
        <w:rPr>
          <w:color w:val="auto"/>
        </w:rPr>
        <w:t>to</w:t>
      </w:r>
      <w:r w:rsidR="0023612B">
        <w:rPr>
          <w:color w:val="auto"/>
        </w:rPr>
        <w:t xml:space="preserve"> provide advice and support in relation to people who experience very severe behaviour</w:t>
      </w:r>
      <w:r w:rsidR="001622DF">
        <w:rPr>
          <w:color w:val="auto"/>
        </w:rPr>
        <w:t>al and psychological</w:t>
      </w:r>
      <w:r w:rsidR="0023612B">
        <w:rPr>
          <w:color w:val="auto"/>
        </w:rPr>
        <w:t xml:space="preserve"> symptoms of dementia, and assess their eligibility for care under the Specialist Dementia Care Program.</w:t>
      </w:r>
    </w:p>
    <w:p w14:paraId="3FED3A5F" w14:textId="6A350DBF" w:rsidR="00704BBA" w:rsidRDefault="00704BBA" w:rsidP="00240C9D">
      <w:pPr>
        <w:pStyle w:val="AlphaParagraph"/>
        <w:numPr>
          <w:ilvl w:val="0"/>
          <w:numId w:val="33"/>
        </w:numPr>
        <w:tabs>
          <w:tab w:val="clear" w:pos="283"/>
          <w:tab w:val="clear" w:pos="567"/>
          <w:tab w:val="clear" w:pos="1418"/>
          <w:tab w:val="clear" w:pos="1701"/>
        </w:tabs>
        <w:ind w:left="1134" w:hanging="567"/>
        <w:rPr>
          <w:color w:val="auto"/>
        </w:rPr>
      </w:pPr>
      <w:r>
        <w:rPr>
          <w:color w:val="auto"/>
        </w:rPr>
        <w:t>A</w:t>
      </w:r>
      <w:r w:rsidR="00F96597">
        <w:rPr>
          <w:color w:val="auto"/>
        </w:rPr>
        <w:t xml:space="preserve"> specialist dementia care unit</w:t>
      </w:r>
      <w:r>
        <w:rPr>
          <w:color w:val="auto"/>
        </w:rPr>
        <w:t xml:space="preserve"> becomes operational </w:t>
      </w:r>
      <w:r w:rsidR="00C95266">
        <w:rPr>
          <w:color w:val="auto"/>
        </w:rPr>
        <w:t>on</w:t>
      </w:r>
      <w:r w:rsidR="00A1029D">
        <w:rPr>
          <w:color w:val="auto"/>
        </w:rPr>
        <w:t xml:space="preserve"> acceptance</w:t>
      </w:r>
      <w:r w:rsidR="00C95266">
        <w:rPr>
          <w:color w:val="auto"/>
        </w:rPr>
        <w:t xml:space="preserve"> of</w:t>
      </w:r>
      <w:r>
        <w:rPr>
          <w:color w:val="auto"/>
        </w:rPr>
        <w:t xml:space="preserve"> </w:t>
      </w:r>
      <w:r w:rsidR="00C95266">
        <w:rPr>
          <w:color w:val="auto"/>
        </w:rPr>
        <w:t>its first</w:t>
      </w:r>
      <w:r>
        <w:rPr>
          <w:color w:val="auto"/>
        </w:rPr>
        <w:t xml:space="preserve"> client. </w:t>
      </w:r>
    </w:p>
    <w:p w14:paraId="281D9F13" w14:textId="601A4AD3" w:rsidR="00814667" w:rsidRPr="00A50751" w:rsidRDefault="00DE4A92" w:rsidP="006E6937">
      <w:pPr>
        <w:rPr>
          <w:lang w:val="en-GB"/>
        </w:rPr>
      </w:pPr>
      <w:r>
        <w:rPr>
          <w:color w:val="auto"/>
        </w:rPr>
        <w:br w:type="page"/>
      </w:r>
      <w:r w:rsidR="00814667" w:rsidRPr="00A50751">
        <w:rPr>
          <w:lang w:val="en-GB"/>
        </w:rPr>
        <w:lastRenderedPageBreak/>
        <w:t xml:space="preserve">The </w:t>
      </w:r>
      <w:r w:rsidR="00814667" w:rsidRPr="00C57BB9">
        <w:rPr>
          <w:sz w:val="24"/>
          <w:szCs w:val="24"/>
        </w:rPr>
        <w:t>Parties</w:t>
      </w:r>
      <w:r w:rsidR="00814667" w:rsidRPr="00A50751">
        <w:rPr>
          <w:lang w:val="en-GB"/>
        </w:rPr>
        <w:t xml:space="preserve"> have confirmed their commitment to this </w:t>
      </w:r>
      <w:r w:rsidR="00992230">
        <w:rPr>
          <w:lang w:val="en-GB"/>
        </w:rPr>
        <w:t>A</w:t>
      </w:r>
      <w:r w:rsidR="00814667" w:rsidRPr="00A50751">
        <w:rPr>
          <w:lang w:val="en-GB"/>
        </w:rPr>
        <w:t>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6DD21D85" w14:textId="77777777">
        <w:trPr>
          <w:cantSplit/>
          <w:jc w:val="center"/>
        </w:trPr>
        <w:tc>
          <w:tcPr>
            <w:tcW w:w="4536" w:type="dxa"/>
          </w:tcPr>
          <w:p w14:paraId="136C61BD" w14:textId="77777777" w:rsidR="00814667" w:rsidRPr="004A0AE7" w:rsidRDefault="00814667" w:rsidP="006E693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3FEE4E3A" w14:textId="77777777" w:rsidR="00814667" w:rsidRPr="00A50751" w:rsidRDefault="00814667" w:rsidP="006E6937">
            <w:pPr>
              <w:pStyle w:val="LineForSignature"/>
            </w:pPr>
            <w:r>
              <w:tab/>
            </w:r>
          </w:p>
          <w:p w14:paraId="343BD43F" w14:textId="77777777" w:rsidR="00814667" w:rsidRDefault="00814667" w:rsidP="006E6937">
            <w:pPr>
              <w:pStyle w:val="SingleParagraph"/>
              <w:rPr>
                <w:rStyle w:val="Bold"/>
              </w:rPr>
            </w:pPr>
            <w:r>
              <w:rPr>
                <w:rStyle w:val="Bold"/>
              </w:rPr>
              <w:t xml:space="preserve">The Honourable </w:t>
            </w:r>
            <w:r w:rsidR="002138E0">
              <w:rPr>
                <w:rStyle w:val="Bold"/>
              </w:rPr>
              <w:t>Richard Colbeck</w:t>
            </w:r>
            <w:r w:rsidR="0099742A">
              <w:rPr>
                <w:rStyle w:val="Bold"/>
              </w:rPr>
              <w:t xml:space="preserve"> </w:t>
            </w:r>
            <w:r>
              <w:rPr>
                <w:rStyle w:val="Bold"/>
              </w:rPr>
              <w:t>MP</w:t>
            </w:r>
          </w:p>
          <w:p w14:paraId="764A522B" w14:textId="77777777" w:rsidR="00814667" w:rsidRDefault="0099742A" w:rsidP="006E6937">
            <w:pPr>
              <w:pStyle w:val="Position"/>
              <w:rPr>
                <w:lang w:val="en-GB"/>
              </w:rPr>
            </w:pPr>
            <w:r>
              <w:rPr>
                <w:lang w:val="en-GB"/>
              </w:rPr>
              <w:t xml:space="preserve">Minister for </w:t>
            </w:r>
            <w:r w:rsidR="00613936">
              <w:rPr>
                <w:lang w:val="en-GB"/>
              </w:rPr>
              <w:t>Aged Care and Senior Australians</w:t>
            </w:r>
          </w:p>
          <w:p w14:paraId="1C3F414C" w14:textId="77777777" w:rsidR="00814667" w:rsidRDefault="006679C0" w:rsidP="006E6937">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41B8B5E2" w14:textId="77777777" w:rsidR="00814667" w:rsidRPr="00A50751" w:rsidRDefault="00814667" w:rsidP="006E6937">
            <w:pPr>
              <w:rPr>
                <w:rFonts w:ascii="Book Antiqua" w:hAnsi="Book Antiqua"/>
                <w:lang w:val="en-GB"/>
              </w:rPr>
            </w:pPr>
          </w:p>
        </w:tc>
        <w:tc>
          <w:tcPr>
            <w:tcW w:w="4536" w:type="dxa"/>
          </w:tcPr>
          <w:p w14:paraId="66267E8F" w14:textId="77777777" w:rsidR="00814667" w:rsidRPr="00A50751" w:rsidRDefault="00814667" w:rsidP="006E6937">
            <w:pPr>
              <w:rPr>
                <w:rFonts w:ascii="Book Antiqua" w:hAnsi="Book Antiqua"/>
                <w:lang w:val="en-GB"/>
              </w:rPr>
            </w:pPr>
          </w:p>
        </w:tc>
      </w:tr>
      <w:tr w:rsidR="00814667" w:rsidRPr="00A50751" w14:paraId="4A8E821A" w14:textId="77777777">
        <w:trPr>
          <w:cantSplit/>
          <w:jc w:val="center"/>
        </w:trPr>
        <w:tc>
          <w:tcPr>
            <w:tcW w:w="4536" w:type="dxa"/>
          </w:tcPr>
          <w:p w14:paraId="30C374E6" w14:textId="77777777" w:rsidR="00814667" w:rsidRPr="00A50751" w:rsidRDefault="00814667" w:rsidP="006E6937">
            <w:pPr>
              <w:pStyle w:val="SingleParagraph"/>
              <w:rPr>
                <w:rFonts w:ascii="Book Antiqua" w:hAnsi="Book Antiqua"/>
                <w:lang w:val="en-GB"/>
              </w:rPr>
            </w:pPr>
          </w:p>
        </w:tc>
        <w:tc>
          <w:tcPr>
            <w:tcW w:w="284" w:type="dxa"/>
            <w:tcMar>
              <w:left w:w="0" w:type="dxa"/>
              <w:right w:w="0" w:type="dxa"/>
            </w:tcMar>
          </w:tcPr>
          <w:p w14:paraId="55685F83" w14:textId="77777777" w:rsidR="00814667" w:rsidRPr="00A50751" w:rsidRDefault="00814667" w:rsidP="006E6937">
            <w:pPr>
              <w:pStyle w:val="SingleParagraph"/>
              <w:rPr>
                <w:rFonts w:ascii="Book Antiqua" w:hAnsi="Book Antiqua"/>
                <w:lang w:val="en-GB"/>
              </w:rPr>
            </w:pPr>
          </w:p>
        </w:tc>
        <w:tc>
          <w:tcPr>
            <w:tcW w:w="4536" w:type="dxa"/>
          </w:tcPr>
          <w:p w14:paraId="20251B21" w14:textId="77777777" w:rsidR="00814667" w:rsidRPr="00A50751" w:rsidRDefault="00814667" w:rsidP="006E6937">
            <w:pPr>
              <w:pStyle w:val="SingleParagraph"/>
              <w:rPr>
                <w:rFonts w:ascii="Book Antiqua" w:hAnsi="Book Antiqua"/>
                <w:lang w:val="en-GB"/>
              </w:rPr>
            </w:pPr>
          </w:p>
        </w:tc>
      </w:tr>
      <w:tr w:rsidR="00814667" w:rsidRPr="00A50751" w14:paraId="3444DB5D" w14:textId="77777777">
        <w:trPr>
          <w:cantSplit/>
          <w:jc w:val="center"/>
        </w:trPr>
        <w:tc>
          <w:tcPr>
            <w:tcW w:w="4536" w:type="dxa"/>
          </w:tcPr>
          <w:p w14:paraId="5821F35D" w14:textId="77777777" w:rsidR="00814667" w:rsidRPr="004A0AE7" w:rsidRDefault="00814667" w:rsidP="006E6937">
            <w:pPr>
              <w:pStyle w:val="Signed"/>
            </w:pPr>
            <w:r>
              <w:rPr>
                <w:rStyle w:val="SignedBold"/>
              </w:rPr>
              <w:t>Signed</w:t>
            </w:r>
            <w:r w:rsidRPr="004A0AE7">
              <w:t xml:space="preserve"> for and on behalf of the</w:t>
            </w:r>
            <w:r>
              <w:t xml:space="preserve"> </w:t>
            </w:r>
            <w:r w:rsidRPr="004A0AE7">
              <w:br/>
              <w:t xml:space="preserve">State of </w:t>
            </w:r>
            <w:smartTag w:uri="urn:schemas-microsoft-com:office:smarttags" w:element="place">
              <w:smartTag w:uri="urn:schemas-microsoft-com:office:smarttags" w:element="State">
                <w:r w:rsidRPr="004A0AE7">
                  <w:t>New South Wales</w:t>
                </w:r>
              </w:smartTag>
            </w:smartTag>
            <w:r w:rsidRPr="004A0AE7">
              <w:t xml:space="preserve"> by</w:t>
            </w:r>
          </w:p>
          <w:p w14:paraId="29822169" w14:textId="77777777" w:rsidR="00814667" w:rsidRPr="00A50751" w:rsidRDefault="00814667" w:rsidP="006E6937">
            <w:pPr>
              <w:pStyle w:val="LineForSignature"/>
            </w:pPr>
            <w:r w:rsidRPr="00A50751">
              <w:tab/>
            </w:r>
          </w:p>
          <w:p w14:paraId="00487ED5" w14:textId="77777777" w:rsidR="00814667" w:rsidRDefault="00814667" w:rsidP="006E6937">
            <w:pPr>
              <w:pStyle w:val="SingleParagraph"/>
              <w:rPr>
                <w:rStyle w:val="Bold"/>
              </w:rPr>
            </w:pPr>
            <w:r>
              <w:rPr>
                <w:rStyle w:val="Bold"/>
              </w:rPr>
              <w:t xml:space="preserve">The Honourable </w:t>
            </w:r>
            <w:r w:rsidR="00613936">
              <w:rPr>
                <w:rStyle w:val="Bold"/>
              </w:rPr>
              <w:t>Brad Hazzard</w:t>
            </w:r>
            <w:r w:rsidR="0099742A">
              <w:rPr>
                <w:rStyle w:val="Bold"/>
              </w:rPr>
              <w:t xml:space="preserve"> </w:t>
            </w:r>
            <w:r>
              <w:rPr>
                <w:rStyle w:val="Bold"/>
              </w:rPr>
              <w:t>MP</w:t>
            </w:r>
          </w:p>
          <w:p w14:paraId="78366201" w14:textId="77777777" w:rsidR="00542A8C" w:rsidRDefault="00542A8C" w:rsidP="006E6937">
            <w:pPr>
              <w:pStyle w:val="Position"/>
              <w:rPr>
                <w:lang w:val="en-GB"/>
              </w:rPr>
            </w:pPr>
            <w:r>
              <w:rPr>
                <w:lang w:val="en-GB"/>
              </w:rPr>
              <w:t xml:space="preserve">Minister for </w:t>
            </w:r>
            <w:r w:rsidR="00613936">
              <w:rPr>
                <w:lang w:val="en-GB"/>
              </w:rPr>
              <w:t>Health and Medical Research</w:t>
            </w:r>
          </w:p>
          <w:p w14:paraId="595ABC25" w14:textId="77777777" w:rsidR="00814667" w:rsidRPr="00A50751" w:rsidRDefault="00542A8C" w:rsidP="006E6937">
            <w:pPr>
              <w:pStyle w:val="SingleParagraph"/>
              <w:tabs>
                <w:tab w:val="num" w:pos="1134"/>
              </w:tabs>
              <w:spacing w:after="240"/>
              <w:ind w:left="1134" w:hanging="567"/>
              <w:rPr>
                <w:szCs w:val="22"/>
                <w:lang w:val="en-GB"/>
              </w:rPr>
            </w:pPr>
            <w:r w:rsidRPr="001F6FE8" w:rsidDel="00542A8C">
              <w:rPr>
                <w:bCs/>
                <w:lang w:val="en-GB"/>
              </w:rPr>
              <w:t xml:space="preserve"> </w:t>
            </w:r>
            <w:r w:rsidR="006679C0">
              <w:rPr>
                <w:lang w:val="en-GB"/>
              </w:rPr>
              <w:t>[Day]  [Month]  [Year]</w:t>
            </w:r>
          </w:p>
        </w:tc>
        <w:tc>
          <w:tcPr>
            <w:tcW w:w="284" w:type="dxa"/>
            <w:tcMar>
              <w:left w:w="0" w:type="dxa"/>
              <w:right w:w="0" w:type="dxa"/>
            </w:tcMar>
          </w:tcPr>
          <w:p w14:paraId="08F0C25E" w14:textId="77777777" w:rsidR="00814667" w:rsidRPr="00A50751" w:rsidRDefault="00814667" w:rsidP="006E6937">
            <w:pPr>
              <w:rPr>
                <w:rFonts w:ascii="Book Antiqua" w:hAnsi="Book Antiqua"/>
                <w:lang w:val="en-GB"/>
              </w:rPr>
            </w:pPr>
          </w:p>
        </w:tc>
        <w:tc>
          <w:tcPr>
            <w:tcW w:w="4536" w:type="dxa"/>
          </w:tcPr>
          <w:p w14:paraId="175D4B58" w14:textId="77777777" w:rsidR="00814667" w:rsidRPr="004A0AE7" w:rsidRDefault="00814667" w:rsidP="006E693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Victoria</w:t>
                </w:r>
              </w:smartTag>
            </w:smartTag>
            <w:r w:rsidRPr="004A0AE7">
              <w:t xml:space="preserve"> by</w:t>
            </w:r>
          </w:p>
          <w:p w14:paraId="71203579" w14:textId="77777777" w:rsidR="00814667" w:rsidRPr="00A50751" w:rsidRDefault="00814667" w:rsidP="006E6937">
            <w:pPr>
              <w:pStyle w:val="LineForSignature"/>
            </w:pPr>
            <w:r w:rsidRPr="00A50751">
              <w:tab/>
            </w:r>
          </w:p>
          <w:p w14:paraId="7BB0603C" w14:textId="77777777" w:rsidR="00814667" w:rsidRDefault="00814667" w:rsidP="006E6937">
            <w:pPr>
              <w:pStyle w:val="SingleParagraph"/>
              <w:rPr>
                <w:rStyle w:val="Bold"/>
              </w:rPr>
            </w:pPr>
            <w:r>
              <w:rPr>
                <w:rStyle w:val="Bold"/>
              </w:rPr>
              <w:t xml:space="preserve">The Honourable </w:t>
            </w:r>
            <w:r w:rsidR="00B40FC5">
              <w:rPr>
                <w:rStyle w:val="Bold"/>
              </w:rPr>
              <w:t xml:space="preserve">Martin Foley </w:t>
            </w:r>
            <w:r>
              <w:rPr>
                <w:rStyle w:val="Bold"/>
              </w:rPr>
              <w:t>MP</w:t>
            </w:r>
          </w:p>
          <w:p w14:paraId="3868D29C" w14:textId="77777777" w:rsidR="00542A8C" w:rsidRDefault="00542A8C" w:rsidP="006E6937">
            <w:pPr>
              <w:pStyle w:val="Position"/>
              <w:rPr>
                <w:lang w:val="en-GB"/>
              </w:rPr>
            </w:pPr>
            <w:r>
              <w:rPr>
                <w:lang w:val="en-GB"/>
              </w:rPr>
              <w:t xml:space="preserve">Minister for </w:t>
            </w:r>
            <w:r w:rsidR="00B40FC5">
              <w:rPr>
                <w:lang w:val="en-GB"/>
              </w:rPr>
              <w:t>Mental Health</w:t>
            </w:r>
            <w:r>
              <w:rPr>
                <w:lang w:val="en-GB"/>
              </w:rPr>
              <w:t xml:space="preserve"> </w:t>
            </w:r>
          </w:p>
          <w:p w14:paraId="28648B68" w14:textId="77777777" w:rsidR="00814667" w:rsidRPr="00A50751" w:rsidRDefault="00542A8C" w:rsidP="006E6937">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r>
      <w:tr w:rsidR="00814667" w:rsidRPr="00A50751" w14:paraId="6C84E1AC" w14:textId="77777777">
        <w:trPr>
          <w:cantSplit/>
          <w:jc w:val="center"/>
        </w:trPr>
        <w:tc>
          <w:tcPr>
            <w:tcW w:w="4536" w:type="dxa"/>
          </w:tcPr>
          <w:p w14:paraId="50A05CAB" w14:textId="77777777" w:rsidR="00814667" w:rsidRPr="00A50751" w:rsidRDefault="00814667" w:rsidP="006E6937">
            <w:pPr>
              <w:pStyle w:val="SingleParagraph"/>
              <w:rPr>
                <w:rFonts w:ascii="Book Antiqua" w:hAnsi="Book Antiqua"/>
                <w:lang w:val="en-GB"/>
              </w:rPr>
            </w:pPr>
          </w:p>
        </w:tc>
        <w:tc>
          <w:tcPr>
            <w:tcW w:w="284" w:type="dxa"/>
            <w:tcMar>
              <w:left w:w="0" w:type="dxa"/>
              <w:right w:w="0" w:type="dxa"/>
            </w:tcMar>
          </w:tcPr>
          <w:p w14:paraId="330FFCD0" w14:textId="77777777" w:rsidR="00814667" w:rsidRPr="00A50751" w:rsidRDefault="00814667" w:rsidP="006E6937">
            <w:pPr>
              <w:pStyle w:val="SingleParagraph"/>
              <w:rPr>
                <w:rFonts w:ascii="Book Antiqua" w:hAnsi="Book Antiqua"/>
                <w:lang w:val="en-GB"/>
              </w:rPr>
            </w:pPr>
          </w:p>
        </w:tc>
        <w:tc>
          <w:tcPr>
            <w:tcW w:w="4536" w:type="dxa"/>
          </w:tcPr>
          <w:p w14:paraId="07629899" w14:textId="77777777" w:rsidR="00814667" w:rsidRPr="00A50751" w:rsidRDefault="00814667" w:rsidP="006E6937">
            <w:pPr>
              <w:pStyle w:val="SingleParagraph"/>
              <w:rPr>
                <w:rFonts w:ascii="Book Antiqua" w:hAnsi="Book Antiqua"/>
                <w:lang w:val="en-GB"/>
              </w:rPr>
            </w:pPr>
          </w:p>
        </w:tc>
      </w:tr>
      <w:tr w:rsidR="00814667" w:rsidRPr="00A50751" w14:paraId="51E6DDE9" w14:textId="77777777">
        <w:trPr>
          <w:cantSplit/>
          <w:jc w:val="center"/>
        </w:trPr>
        <w:tc>
          <w:tcPr>
            <w:tcW w:w="4536" w:type="dxa"/>
          </w:tcPr>
          <w:p w14:paraId="40D27740" w14:textId="77777777" w:rsidR="00814667" w:rsidRPr="004A0AE7" w:rsidRDefault="00814667" w:rsidP="006E693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Queensland</w:t>
                </w:r>
              </w:smartTag>
            </w:smartTag>
            <w:r w:rsidRPr="004A0AE7">
              <w:t xml:space="preserve"> by</w:t>
            </w:r>
          </w:p>
          <w:p w14:paraId="65359E27" w14:textId="77777777" w:rsidR="00814667" w:rsidRPr="00A50751" w:rsidRDefault="00814667" w:rsidP="006E6937">
            <w:pPr>
              <w:pStyle w:val="LineForSignature"/>
            </w:pPr>
            <w:r w:rsidRPr="00A50751">
              <w:tab/>
            </w:r>
          </w:p>
          <w:p w14:paraId="55011815" w14:textId="77777777" w:rsidR="00814667" w:rsidRDefault="00814667" w:rsidP="006E6937">
            <w:pPr>
              <w:pStyle w:val="SingleParagraph"/>
              <w:rPr>
                <w:b/>
              </w:rPr>
            </w:pPr>
            <w:r>
              <w:rPr>
                <w:b/>
              </w:rPr>
              <w:t xml:space="preserve">The Honourable </w:t>
            </w:r>
            <w:r w:rsidR="00DA38D8">
              <w:rPr>
                <w:rStyle w:val="Bold"/>
              </w:rPr>
              <w:t>Dr. Steven Miles</w:t>
            </w:r>
            <w:r w:rsidR="0099742A">
              <w:rPr>
                <w:rStyle w:val="Bold"/>
              </w:rPr>
              <w:t xml:space="preserve"> </w:t>
            </w:r>
            <w:r>
              <w:rPr>
                <w:b/>
              </w:rPr>
              <w:t>MP</w:t>
            </w:r>
          </w:p>
          <w:p w14:paraId="2605B645" w14:textId="77777777" w:rsidR="00542A8C" w:rsidRDefault="00542A8C" w:rsidP="006E6937">
            <w:pPr>
              <w:pStyle w:val="Position"/>
              <w:rPr>
                <w:lang w:val="en-GB"/>
              </w:rPr>
            </w:pPr>
            <w:r>
              <w:rPr>
                <w:lang w:val="en-GB"/>
              </w:rPr>
              <w:t xml:space="preserve">Minister for </w:t>
            </w:r>
            <w:r w:rsidR="00DA38D8">
              <w:rPr>
                <w:lang w:val="en-GB"/>
              </w:rPr>
              <w:t>Health and Ambulance Services</w:t>
            </w:r>
          </w:p>
          <w:p w14:paraId="442E4A56" w14:textId="77777777" w:rsidR="00814667" w:rsidRPr="00A50751" w:rsidRDefault="00542A8C" w:rsidP="006E6937">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3EE693D8" w14:textId="77777777" w:rsidR="00814667" w:rsidRPr="00A50751" w:rsidRDefault="00814667" w:rsidP="006E6937">
            <w:pPr>
              <w:rPr>
                <w:rFonts w:ascii="Book Antiqua" w:hAnsi="Book Antiqua"/>
                <w:lang w:val="en-GB"/>
              </w:rPr>
            </w:pPr>
          </w:p>
        </w:tc>
        <w:tc>
          <w:tcPr>
            <w:tcW w:w="4536" w:type="dxa"/>
          </w:tcPr>
          <w:p w14:paraId="2EC28DB3" w14:textId="77777777" w:rsidR="00814667" w:rsidRPr="004A0AE7" w:rsidRDefault="00814667" w:rsidP="006E693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Western Australia</w:t>
                </w:r>
              </w:smartTag>
            </w:smartTag>
            <w:r w:rsidRPr="004A0AE7">
              <w:t xml:space="preserve"> by</w:t>
            </w:r>
          </w:p>
          <w:p w14:paraId="78C2E9C2" w14:textId="77777777" w:rsidR="00814667" w:rsidRPr="00A50751" w:rsidRDefault="00814667" w:rsidP="006E6937">
            <w:pPr>
              <w:pStyle w:val="LineForSignature"/>
            </w:pPr>
            <w:r w:rsidRPr="00A50751">
              <w:tab/>
            </w:r>
          </w:p>
          <w:p w14:paraId="688EC098" w14:textId="77777777" w:rsidR="00814667" w:rsidRDefault="00814667" w:rsidP="006E6937">
            <w:pPr>
              <w:pStyle w:val="SingleParagraph"/>
              <w:rPr>
                <w:rStyle w:val="Bold"/>
              </w:rPr>
            </w:pPr>
            <w:r>
              <w:rPr>
                <w:rStyle w:val="Bold"/>
              </w:rPr>
              <w:t xml:space="preserve">The Honourable </w:t>
            </w:r>
            <w:r w:rsidR="00BB5D2F">
              <w:rPr>
                <w:rStyle w:val="Bold"/>
              </w:rPr>
              <w:t xml:space="preserve">Roger Cook </w:t>
            </w:r>
            <w:r w:rsidR="001E671F">
              <w:rPr>
                <w:rStyle w:val="Bold"/>
              </w:rPr>
              <w:t>MLA</w:t>
            </w:r>
          </w:p>
          <w:p w14:paraId="477F70A5" w14:textId="77777777" w:rsidR="00542A8C" w:rsidRDefault="00542A8C" w:rsidP="006E6937">
            <w:pPr>
              <w:pStyle w:val="Position"/>
              <w:rPr>
                <w:lang w:val="en-GB"/>
              </w:rPr>
            </w:pPr>
            <w:r>
              <w:rPr>
                <w:lang w:val="en-GB"/>
              </w:rPr>
              <w:t xml:space="preserve">Minister for </w:t>
            </w:r>
            <w:r w:rsidR="00BB5D2F">
              <w:rPr>
                <w:lang w:val="en-GB"/>
              </w:rPr>
              <w:t>Health</w:t>
            </w:r>
            <w:r w:rsidR="00BA6E4A">
              <w:rPr>
                <w:lang w:val="en-GB"/>
              </w:rPr>
              <w:t xml:space="preserve"> and Mental Health</w:t>
            </w:r>
          </w:p>
          <w:p w14:paraId="7F113338" w14:textId="77777777" w:rsidR="00814667" w:rsidRPr="00A50751" w:rsidRDefault="00542A8C" w:rsidP="006E6937">
            <w:pPr>
              <w:pStyle w:val="SingleParagraph"/>
              <w:tabs>
                <w:tab w:val="num" w:pos="1134"/>
              </w:tabs>
              <w:spacing w:after="240"/>
              <w:ind w:left="1134" w:hanging="567"/>
              <w:rPr>
                <w:lang w:val="en-GB"/>
              </w:rPr>
            </w:pPr>
            <w:r w:rsidDel="00542A8C">
              <w:rPr>
                <w:lang w:val="en-GB"/>
              </w:rPr>
              <w:t xml:space="preserve"> </w:t>
            </w:r>
            <w:r w:rsidR="006679C0">
              <w:rPr>
                <w:lang w:val="en-GB"/>
              </w:rPr>
              <w:t>[Day]  [Month]  [Year]</w:t>
            </w:r>
          </w:p>
        </w:tc>
      </w:tr>
      <w:tr w:rsidR="00814667" w:rsidRPr="00A50751" w14:paraId="0B13230B" w14:textId="77777777">
        <w:trPr>
          <w:cantSplit/>
          <w:jc w:val="center"/>
        </w:trPr>
        <w:tc>
          <w:tcPr>
            <w:tcW w:w="4536" w:type="dxa"/>
          </w:tcPr>
          <w:p w14:paraId="20DC0325" w14:textId="77777777" w:rsidR="00814667" w:rsidRPr="00A50751" w:rsidRDefault="00814667" w:rsidP="006E6937">
            <w:pPr>
              <w:pStyle w:val="SingleParagraph"/>
              <w:rPr>
                <w:rFonts w:ascii="Book Antiqua" w:hAnsi="Book Antiqua"/>
                <w:lang w:val="en-GB"/>
              </w:rPr>
            </w:pPr>
          </w:p>
        </w:tc>
        <w:tc>
          <w:tcPr>
            <w:tcW w:w="284" w:type="dxa"/>
            <w:tcMar>
              <w:left w:w="0" w:type="dxa"/>
              <w:right w:w="0" w:type="dxa"/>
            </w:tcMar>
          </w:tcPr>
          <w:p w14:paraId="33717191" w14:textId="77777777" w:rsidR="00814667" w:rsidRPr="00A50751" w:rsidRDefault="00814667" w:rsidP="006E6937">
            <w:pPr>
              <w:pStyle w:val="SingleParagraph"/>
              <w:rPr>
                <w:rFonts w:ascii="Book Antiqua" w:hAnsi="Book Antiqua"/>
                <w:lang w:val="en-GB"/>
              </w:rPr>
            </w:pPr>
          </w:p>
        </w:tc>
        <w:tc>
          <w:tcPr>
            <w:tcW w:w="4536" w:type="dxa"/>
          </w:tcPr>
          <w:p w14:paraId="221E9A53" w14:textId="77777777" w:rsidR="00814667" w:rsidRPr="00A50751" w:rsidRDefault="00814667" w:rsidP="006E6937">
            <w:pPr>
              <w:pStyle w:val="SingleParagraph"/>
              <w:rPr>
                <w:rFonts w:ascii="Book Antiqua" w:hAnsi="Book Antiqua"/>
                <w:lang w:val="en-GB"/>
              </w:rPr>
            </w:pPr>
          </w:p>
        </w:tc>
      </w:tr>
      <w:tr w:rsidR="00814667" w:rsidRPr="00A50751" w14:paraId="18716431" w14:textId="77777777">
        <w:trPr>
          <w:cantSplit/>
          <w:trHeight w:val="143"/>
          <w:jc w:val="center"/>
        </w:trPr>
        <w:tc>
          <w:tcPr>
            <w:tcW w:w="4536" w:type="dxa"/>
          </w:tcPr>
          <w:p w14:paraId="78341C02" w14:textId="77777777" w:rsidR="00814667" w:rsidRPr="004A0AE7" w:rsidRDefault="00814667" w:rsidP="006E693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South Australia</w:t>
                </w:r>
              </w:smartTag>
            </w:smartTag>
            <w:r w:rsidRPr="004A0AE7">
              <w:t xml:space="preserve"> by</w:t>
            </w:r>
          </w:p>
          <w:p w14:paraId="02236FB7" w14:textId="77777777" w:rsidR="00814667" w:rsidRPr="00A50751" w:rsidRDefault="00814667" w:rsidP="006E6937">
            <w:pPr>
              <w:pStyle w:val="LineForSignature"/>
            </w:pPr>
            <w:r w:rsidRPr="00A50751">
              <w:tab/>
            </w:r>
          </w:p>
          <w:p w14:paraId="2481840B" w14:textId="77777777" w:rsidR="00814667" w:rsidRDefault="00814667" w:rsidP="006E6937">
            <w:pPr>
              <w:pStyle w:val="SingleParagraph"/>
              <w:rPr>
                <w:rStyle w:val="Bold"/>
              </w:rPr>
            </w:pPr>
            <w:r>
              <w:rPr>
                <w:rStyle w:val="Bold"/>
              </w:rPr>
              <w:t xml:space="preserve">The Honourable </w:t>
            </w:r>
            <w:r w:rsidR="008F1192">
              <w:rPr>
                <w:rStyle w:val="Bold"/>
              </w:rPr>
              <w:t>Stephen Wade</w:t>
            </w:r>
            <w:r w:rsidR="0099742A">
              <w:rPr>
                <w:rStyle w:val="Bold"/>
              </w:rPr>
              <w:t xml:space="preserve"> </w:t>
            </w:r>
            <w:r w:rsidR="008F1192">
              <w:rPr>
                <w:rStyle w:val="Bold"/>
              </w:rPr>
              <w:t>MLC</w:t>
            </w:r>
          </w:p>
          <w:p w14:paraId="17B35532" w14:textId="77777777" w:rsidR="00542A8C" w:rsidRDefault="00542A8C" w:rsidP="006E6937">
            <w:pPr>
              <w:pStyle w:val="Position"/>
              <w:rPr>
                <w:lang w:val="en-GB"/>
              </w:rPr>
            </w:pPr>
            <w:r>
              <w:rPr>
                <w:lang w:val="en-GB"/>
              </w:rPr>
              <w:t xml:space="preserve">Minister for </w:t>
            </w:r>
            <w:r w:rsidR="008F1192">
              <w:rPr>
                <w:lang w:val="en-GB"/>
              </w:rPr>
              <w:t xml:space="preserve"> Health and Wellbeing</w:t>
            </w:r>
            <w:r>
              <w:rPr>
                <w:lang w:val="en-GB"/>
              </w:rPr>
              <w:t xml:space="preserve"> </w:t>
            </w:r>
          </w:p>
          <w:p w14:paraId="55D8164F" w14:textId="77777777" w:rsidR="00814667" w:rsidRPr="00A50751" w:rsidRDefault="00542A8C" w:rsidP="006E6937">
            <w:pPr>
              <w:pStyle w:val="SingleParagraph"/>
              <w:tabs>
                <w:tab w:val="num" w:pos="1134"/>
              </w:tabs>
              <w:spacing w:after="240"/>
              <w:ind w:left="1134" w:hanging="567"/>
              <w:rPr>
                <w:lang w:val="en-GB"/>
              </w:rPr>
            </w:pPr>
            <w:r w:rsidRPr="00B00778" w:rsidDel="00542A8C">
              <w:rPr>
                <w:bCs/>
                <w:lang w:val="en-GB"/>
              </w:rPr>
              <w:t xml:space="preserve"> </w:t>
            </w:r>
            <w:r w:rsidR="006679C0">
              <w:rPr>
                <w:lang w:val="en-GB"/>
              </w:rPr>
              <w:t>[Day]  [Month]  [Year]</w:t>
            </w:r>
          </w:p>
        </w:tc>
        <w:tc>
          <w:tcPr>
            <w:tcW w:w="284" w:type="dxa"/>
            <w:tcMar>
              <w:left w:w="0" w:type="dxa"/>
              <w:right w:w="0" w:type="dxa"/>
            </w:tcMar>
          </w:tcPr>
          <w:p w14:paraId="5DDCC8E9" w14:textId="77777777" w:rsidR="00814667" w:rsidRPr="00A50751" w:rsidRDefault="00814667" w:rsidP="006E6937">
            <w:pPr>
              <w:rPr>
                <w:rFonts w:ascii="Book Antiqua" w:hAnsi="Book Antiqua"/>
                <w:lang w:val="en-GB"/>
              </w:rPr>
            </w:pPr>
          </w:p>
        </w:tc>
        <w:tc>
          <w:tcPr>
            <w:tcW w:w="4536" w:type="dxa"/>
          </w:tcPr>
          <w:p w14:paraId="7A148847" w14:textId="77777777" w:rsidR="00814667" w:rsidRPr="004A0AE7" w:rsidRDefault="00814667" w:rsidP="006E6937">
            <w:pPr>
              <w:pStyle w:val="Signed"/>
            </w:pPr>
            <w:r>
              <w:rPr>
                <w:rStyle w:val="SignedBold"/>
              </w:rPr>
              <w:t>Signed</w:t>
            </w:r>
            <w:r w:rsidRPr="004A0AE7">
              <w:t xml:space="preserve"> for and on behalf of the</w:t>
            </w:r>
            <w:r w:rsidRPr="004A0AE7">
              <w:br/>
              <w:t xml:space="preserve">State of </w:t>
            </w:r>
            <w:smartTag w:uri="urn:schemas-microsoft-com:office:smarttags" w:element="place">
              <w:smartTag w:uri="urn:schemas-microsoft-com:office:smarttags" w:element="State">
                <w:r w:rsidRPr="004A0AE7">
                  <w:t>Tasmania</w:t>
                </w:r>
              </w:smartTag>
            </w:smartTag>
            <w:r w:rsidRPr="004A0AE7">
              <w:t xml:space="preserve"> by</w:t>
            </w:r>
          </w:p>
          <w:p w14:paraId="00BD12BE" w14:textId="77777777" w:rsidR="00814667" w:rsidRPr="00A50751" w:rsidRDefault="00814667" w:rsidP="006E6937">
            <w:pPr>
              <w:pStyle w:val="LineForSignature"/>
            </w:pPr>
            <w:r w:rsidRPr="00A50751">
              <w:tab/>
            </w:r>
          </w:p>
          <w:p w14:paraId="7084BBBE" w14:textId="77777777" w:rsidR="00814667" w:rsidRDefault="00814667" w:rsidP="006E6937">
            <w:pPr>
              <w:pStyle w:val="SingleParagraph"/>
              <w:rPr>
                <w:rStyle w:val="Bold"/>
              </w:rPr>
            </w:pPr>
            <w:r>
              <w:rPr>
                <w:rStyle w:val="Bold"/>
              </w:rPr>
              <w:t xml:space="preserve">The Honourable </w:t>
            </w:r>
            <w:r w:rsidR="007C7FA5">
              <w:rPr>
                <w:rStyle w:val="Bold"/>
              </w:rPr>
              <w:t xml:space="preserve">Sarah Courtney </w:t>
            </w:r>
            <w:r>
              <w:rPr>
                <w:rStyle w:val="Bold"/>
              </w:rPr>
              <w:t>MP</w:t>
            </w:r>
          </w:p>
          <w:p w14:paraId="2F23551F" w14:textId="77777777" w:rsidR="00542A8C" w:rsidRDefault="00542A8C" w:rsidP="006E6937">
            <w:pPr>
              <w:pStyle w:val="Position"/>
              <w:rPr>
                <w:lang w:val="en-GB"/>
              </w:rPr>
            </w:pPr>
            <w:r>
              <w:rPr>
                <w:lang w:val="en-GB"/>
              </w:rPr>
              <w:t xml:space="preserve">Minister for </w:t>
            </w:r>
            <w:r w:rsidR="007C7FA5">
              <w:rPr>
                <w:lang w:val="en-GB"/>
              </w:rPr>
              <w:t>Health</w:t>
            </w:r>
            <w:r>
              <w:rPr>
                <w:lang w:val="en-GB"/>
              </w:rPr>
              <w:t xml:space="preserve"> </w:t>
            </w:r>
          </w:p>
          <w:p w14:paraId="0B716662" w14:textId="6BB565BA" w:rsidR="00814667" w:rsidRPr="00351F50" w:rsidRDefault="00542A8C" w:rsidP="00C206DC">
            <w:pPr>
              <w:pStyle w:val="SingleParagraph"/>
              <w:tabs>
                <w:tab w:val="num" w:pos="1134"/>
              </w:tabs>
              <w:spacing w:after="240"/>
              <w:ind w:left="1134" w:hanging="567"/>
              <w:rPr>
                <w:lang w:val="en-GB"/>
              </w:rPr>
            </w:pPr>
            <w:r w:rsidRPr="00B12190" w:rsidDel="00542A8C">
              <w:rPr>
                <w:bCs/>
                <w:lang w:val="en-GB"/>
              </w:rPr>
              <w:t xml:space="preserve"> </w:t>
            </w:r>
            <w:r w:rsidR="006679C0">
              <w:rPr>
                <w:lang w:val="en-GB"/>
              </w:rPr>
              <w:t>[Day]  [Month]  [Year]</w:t>
            </w:r>
          </w:p>
        </w:tc>
      </w:tr>
      <w:tr w:rsidR="00814667" w:rsidRPr="00A50751" w14:paraId="51DFF88F" w14:textId="77777777">
        <w:trPr>
          <w:cantSplit/>
          <w:jc w:val="center"/>
        </w:trPr>
        <w:tc>
          <w:tcPr>
            <w:tcW w:w="4536" w:type="dxa"/>
          </w:tcPr>
          <w:p w14:paraId="511D742E" w14:textId="77777777" w:rsidR="00814667" w:rsidRPr="00A50751" w:rsidRDefault="00814667" w:rsidP="006E6937">
            <w:pPr>
              <w:pStyle w:val="SingleParagraph"/>
              <w:rPr>
                <w:rFonts w:ascii="Book Antiqua" w:hAnsi="Book Antiqua"/>
                <w:lang w:val="en-GB"/>
              </w:rPr>
            </w:pPr>
          </w:p>
        </w:tc>
        <w:tc>
          <w:tcPr>
            <w:tcW w:w="284" w:type="dxa"/>
            <w:tcMar>
              <w:left w:w="0" w:type="dxa"/>
              <w:right w:w="0" w:type="dxa"/>
            </w:tcMar>
          </w:tcPr>
          <w:p w14:paraId="71FEF461" w14:textId="77777777" w:rsidR="00814667" w:rsidRPr="00A50751" w:rsidRDefault="00814667" w:rsidP="006E6937">
            <w:pPr>
              <w:pStyle w:val="SingleParagraph"/>
              <w:rPr>
                <w:rFonts w:ascii="Book Antiqua" w:hAnsi="Book Antiqua"/>
                <w:lang w:val="en-GB"/>
              </w:rPr>
            </w:pPr>
          </w:p>
        </w:tc>
        <w:tc>
          <w:tcPr>
            <w:tcW w:w="4536" w:type="dxa"/>
          </w:tcPr>
          <w:p w14:paraId="5CF22E1D" w14:textId="77777777" w:rsidR="00814667" w:rsidRPr="00351F50" w:rsidRDefault="00814667" w:rsidP="006E6937">
            <w:pPr>
              <w:rPr>
                <w:lang w:val="en-GB"/>
              </w:rPr>
            </w:pPr>
          </w:p>
        </w:tc>
      </w:tr>
      <w:tr w:rsidR="00814667" w:rsidRPr="00A50751" w14:paraId="4D784AAF" w14:textId="77777777">
        <w:trPr>
          <w:cantSplit/>
          <w:jc w:val="center"/>
        </w:trPr>
        <w:tc>
          <w:tcPr>
            <w:tcW w:w="4536" w:type="dxa"/>
          </w:tcPr>
          <w:p w14:paraId="184F609D" w14:textId="77777777" w:rsidR="00814667" w:rsidRPr="00A50751" w:rsidRDefault="00814667" w:rsidP="006E693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Australian Capital Territory by</w:t>
            </w:r>
          </w:p>
          <w:p w14:paraId="383A38A2" w14:textId="77777777" w:rsidR="00814667" w:rsidRPr="00A50751" w:rsidRDefault="00814667" w:rsidP="006E6937">
            <w:pPr>
              <w:pStyle w:val="LineForSignature"/>
            </w:pPr>
            <w:r w:rsidRPr="00A50751">
              <w:tab/>
            </w:r>
          </w:p>
          <w:p w14:paraId="2C9B7146" w14:textId="77777777" w:rsidR="00814667" w:rsidRDefault="007C7FA5" w:rsidP="006E6937">
            <w:pPr>
              <w:pStyle w:val="SingleParagraph"/>
              <w:rPr>
                <w:rStyle w:val="Bold"/>
              </w:rPr>
            </w:pPr>
            <w:r>
              <w:rPr>
                <w:rStyle w:val="Bold"/>
              </w:rPr>
              <w:t>Rachel Stephen-Smith</w:t>
            </w:r>
            <w:r w:rsidR="0099742A">
              <w:rPr>
                <w:rStyle w:val="Bold"/>
              </w:rPr>
              <w:t xml:space="preserve"> </w:t>
            </w:r>
            <w:r w:rsidR="00814667">
              <w:rPr>
                <w:rStyle w:val="Bold"/>
              </w:rPr>
              <w:t>MLA</w:t>
            </w:r>
          </w:p>
          <w:p w14:paraId="62555CC6" w14:textId="77777777" w:rsidR="00542A8C" w:rsidRDefault="00542A8C" w:rsidP="006E6937">
            <w:pPr>
              <w:pStyle w:val="Position"/>
              <w:rPr>
                <w:lang w:val="en-GB"/>
              </w:rPr>
            </w:pPr>
            <w:r>
              <w:rPr>
                <w:lang w:val="en-GB"/>
              </w:rPr>
              <w:t xml:space="preserve">Minister for </w:t>
            </w:r>
            <w:r w:rsidR="003A24C4">
              <w:rPr>
                <w:lang w:val="en-GB"/>
              </w:rPr>
              <w:t>Health</w:t>
            </w:r>
            <w:r>
              <w:rPr>
                <w:lang w:val="en-GB"/>
              </w:rPr>
              <w:t xml:space="preserve"> </w:t>
            </w:r>
          </w:p>
          <w:p w14:paraId="7FD509AB" w14:textId="77777777" w:rsidR="00814667" w:rsidRPr="00A50751" w:rsidRDefault="00542A8C" w:rsidP="006E6937">
            <w:pPr>
              <w:pStyle w:val="SingleParagraph"/>
              <w:tabs>
                <w:tab w:val="num" w:pos="1134"/>
              </w:tabs>
              <w:spacing w:after="240"/>
              <w:ind w:left="1134" w:hanging="567"/>
              <w:rPr>
                <w:szCs w:val="22"/>
                <w:lang w:val="en-GB"/>
              </w:rPr>
            </w:pPr>
            <w:r w:rsidRPr="00B12190" w:rsidDel="00542A8C">
              <w:rPr>
                <w:lang w:val="en-GB"/>
              </w:rPr>
              <w:t xml:space="preserve"> </w:t>
            </w:r>
            <w:r w:rsidR="006679C0">
              <w:rPr>
                <w:lang w:val="en-GB"/>
              </w:rPr>
              <w:t>[Day]  [Month]  [Year]</w:t>
            </w:r>
          </w:p>
        </w:tc>
        <w:tc>
          <w:tcPr>
            <w:tcW w:w="284" w:type="dxa"/>
            <w:tcMar>
              <w:left w:w="0" w:type="dxa"/>
              <w:right w:w="0" w:type="dxa"/>
            </w:tcMar>
          </w:tcPr>
          <w:p w14:paraId="2AE0DAFC" w14:textId="77777777" w:rsidR="00814667" w:rsidRPr="00A50751" w:rsidRDefault="00814667" w:rsidP="006E6937">
            <w:pPr>
              <w:rPr>
                <w:rFonts w:ascii="Book Antiqua" w:hAnsi="Book Antiqua"/>
                <w:lang w:val="en-GB"/>
              </w:rPr>
            </w:pPr>
          </w:p>
        </w:tc>
        <w:tc>
          <w:tcPr>
            <w:tcW w:w="4536" w:type="dxa"/>
          </w:tcPr>
          <w:p w14:paraId="0F3DC4C0" w14:textId="77777777" w:rsidR="00814667" w:rsidRPr="00A50751" w:rsidRDefault="00814667" w:rsidP="006E6937">
            <w:pPr>
              <w:pStyle w:val="Signed"/>
            </w:pPr>
            <w:r>
              <w:rPr>
                <w:rStyle w:val="SignedBold"/>
              </w:rPr>
              <w:t>Signed</w:t>
            </w:r>
            <w:r w:rsidRPr="004A0AE7">
              <w:rPr>
                <w:i w:val="0"/>
              </w:rPr>
              <w:t xml:space="preserve"> </w:t>
            </w:r>
            <w:r w:rsidR="008148E2" w:rsidRPr="004A0AE7">
              <w:t xml:space="preserve">for and on behalf of </w:t>
            </w:r>
            <w:r w:rsidR="008148E2">
              <w:t xml:space="preserve">the </w:t>
            </w:r>
            <w:r w:rsidRPr="004A0AE7">
              <w:t>Northern Territory by</w:t>
            </w:r>
          </w:p>
          <w:p w14:paraId="4FB1AD00" w14:textId="77777777" w:rsidR="00814667" w:rsidRPr="00A50751" w:rsidRDefault="00814667" w:rsidP="006E6937">
            <w:pPr>
              <w:pStyle w:val="LineForSignature"/>
            </w:pPr>
            <w:r w:rsidRPr="00A50751">
              <w:tab/>
            </w:r>
          </w:p>
          <w:p w14:paraId="6E46BC21" w14:textId="77777777" w:rsidR="00814667" w:rsidRDefault="00814667" w:rsidP="006E6937">
            <w:pPr>
              <w:pStyle w:val="SingleParagraph"/>
              <w:rPr>
                <w:rStyle w:val="Bold"/>
              </w:rPr>
            </w:pPr>
            <w:r>
              <w:rPr>
                <w:rStyle w:val="Bold"/>
              </w:rPr>
              <w:t xml:space="preserve">The Honourable </w:t>
            </w:r>
            <w:r w:rsidR="007C7FA5">
              <w:rPr>
                <w:rStyle w:val="Bold"/>
              </w:rPr>
              <w:t>Natasha Fyles</w:t>
            </w:r>
            <w:r w:rsidR="0099742A">
              <w:rPr>
                <w:rStyle w:val="Bold"/>
              </w:rPr>
              <w:t xml:space="preserve"> </w:t>
            </w:r>
            <w:r>
              <w:rPr>
                <w:rStyle w:val="Bold"/>
              </w:rPr>
              <w:t>MLA</w:t>
            </w:r>
          </w:p>
          <w:p w14:paraId="2AAC23BE" w14:textId="77777777" w:rsidR="00542A8C" w:rsidRDefault="00542A8C" w:rsidP="006E6937">
            <w:pPr>
              <w:pStyle w:val="Position"/>
              <w:rPr>
                <w:lang w:val="en-GB"/>
              </w:rPr>
            </w:pPr>
            <w:r>
              <w:rPr>
                <w:lang w:val="en-GB"/>
              </w:rPr>
              <w:t xml:space="preserve">Minister for </w:t>
            </w:r>
            <w:r w:rsidR="007C7FA5">
              <w:rPr>
                <w:lang w:val="en-GB"/>
              </w:rPr>
              <w:t>Health</w:t>
            </w:r>
            <w:r>
              <w:rPr>
                <w:lang w:val="en-GB"/>
              </w:rPr>
              <w:t xml:space="preserve"> </w:t>
            </w:r>
          </w:p>
          <w:p w14:paraId="28E3FD47" w14:textId="77777777" w:rsidR="00814667" w:rsidRPr="00A50751" w:rsidRDefault="00542A8C" w:rsidP="006E6937">
            <w:pPr>
              <w:pStyle w:val="SingleParagraph"/>
              <w:tabs>
                <w:tab w:val="num" w:pos="1134"/>
              </w:tabs>
              <w:spacing w:after="240"/>
              <w:ind w:left="1134" w:hanging="567"/>
              <w:rPr>
                <w:lang w:val="en-GB"/>
              </w:rPr>
            </w:pPr>
            <w:r w:rsidRPr="00B12190" w:rsidDel="00542A8C">
              <w:rPr>
                <w:bCs/>
                <w:lang w:val="en-GB"/>
              </w:rPr>
              <w:t xml:space="preserve"> </w:t>
            </w:r>
            <w:r w:rsidR="006679C0">
              <w:rPr>
                <w:lang w:val="en-GB"/>
              </w:rPr>
              <w:t>[Day]  [Month]  [Year]</w:t>
            </w:r>
          </w:p>
        </w:tc>
      </w:tr>
    </w:tbl>
    <w:p w14:paraId="1AD5F6C4" w14:textId="77777777" w:rsidR="008843EE" w:rsidRDefault="008843EE" w:rsidP="006E6937"/>
    <w:sectPr w:rsidR="008843EE" w:rsidSect="00DE4A92">
      <w:headerReference w:type="default" r:id="rId14"/>
      <w:footerReference w:type="default" r:id="rId15"/>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35C8" w14:textId="77777777" w:rsidR="00F66CC2" w:rsidRDefault="00F66CC2">
      <w:r>
        <w:separator/>
      </w:r>
    </w:p>
  </w:endnote>
  <w:endnote w:type="continuationSeparator" w:id="0">
    <w:p w14:paraId="1B7EAD19" w14:textId="77777777" w:rsidR="00F66CC2" w:rsidRDefault="00F66CC2">
      <w:r>
        <w:continuationSeparator/>
      </w:r>
    </w:p>
  </w:endnote>
  <w:endnote w:type="continuationNotice" w:id="1">
    <w:p w14:paraId="11531D53" w14:textId="77777777" w:rsidR="00F66CC2" w:rsidRDefault="00F66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C9BC" w14:textId="371DB3CC" w:rsidR="00DE4A92" w:rsidRDefault="00DE4A92" w:rsidP="00DE4A92">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4A4B92">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C749" w14:textId="6FDC8C03" w:rsidR="00DE4A92" w:rsidRDefault="00DE4A92" w:rsidP="00DE4A92">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4A4B9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696DA" w14:textId="77777777" w:rsidR="00F66CC2" w:rsidRDefault="00F66CC2">
      <w:r>
        <w:separator/>
      </w:r>
    </w:p>
  </w:footnote>
  <w:footnote w:type="continuationSeparator" w:id="0">
    <w:p w14:paraId="33BCB744" w14:textId="77777777" w:rsidR="00F66CC2" w:rsidRDefault="00F66CC2">
      <w:r>
        <w:continuationSeparator/>
      </w:r>
    </w:p>
  </w:footnote>
  <w:footnote w:type="continuationNotice" w:id="1">
    <w:p w14:paraId="59B8DD5E" w14:textId="77777777" w:rsidR="00F66CC2" w:rsidRDefault="00F66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DF66" w14:textId="77777777" w:rsidR="00A74339" w:rsidRPr="00814590" w:rsidRDefault="00A74339" w:rsidP="00A74339">
    <w:pPr>
      <w:pStyle w:val="HeaderOdd"/>
      <w:tabs>
        <w:tab w:val="num" w:pos="1134"/>
      </w:tabs>
      <w:rPr>
        <w:color w:val="800000"/>
      </w:rPr>
    </w:pPr>
    <w:r>
      <w:rPr>
        <w:color w:val="800000"/>
      </w:rPr>
      <w:t>Project Agreement for the Specialist Dementia Care Program – Phase One</w:t>
    </w:r>
  </w:p>
  <w:p w14:paraId="0BF323CD" w14:textId="77777777" w:rsidR="00A74339" w:rsidRDefault="00A74339" w:rsidP="00A743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353" w14:textId="77777777" w:rsidR="006446E8" w:rsidRPr="00751725" w:rsidRDefault="006446E8"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98C6830"/>
    <w:multiLevelType w:val="multilevel"/>
    <w:tmpl w:val="0C09001D"/>
    <w:lvl w:ilvl="0">
      <w:start w:val="1"/>
      <w:numFmt w:val="decimal"/>
      <w:lvlText w:val="%1)"/>
      <w:lvlJc w:val="left"/>
      <w:pPr>
        <w:ind w:left="360" w:hanging="360"/>
      </w:pPr>
    </w:lvl>
    <w:lvl w:ilvl="1">
      <w:start w:val="1"/>
      <w:numFmt w:val="lowerLetter"/>
      <w:lvlText w:val="%2)"/>
      <w:lvlJc w:val="left"/>
      <w:pPr>
        <w:ind w:left="92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C960FD"/>
    <w:multiLevelType w:val="multilevel"/>
    <w:tmpl w:val="E9608C7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4"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2BFA5047"/>
    <w:multiLevelType w:val="multilevel"/>
    <w:tmpl w:val="5B58A92E"/>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lvlText w:val="–"/>
      <w:lvlJc w:val="left"/>
      <w:pPr>
        <w:tabs>
          <w:tab w:val="num" w:pos="1086"/>
        </w:tabs>
        <w:ind w:left="1086" w:hanging="543"/>
      </w:pPr>
      <w:rPr>
        <w:rFonts w:ascii="Times New Roman" w:hAnsi="Times New Roman" w:cs="Times New Roman"/>
      </w:rPr>
    </w:lvl>
    <w:lvl w:ilvl="2">
      <w:start w:val="1"/>
      <w:numFmt w:val="bulle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29499B"/>
    <w:multiLevelType w:val="hybridMultilevel"/>
    <w:tmpl w:val="83B8A2EC"/>
    <w:lvl w:ilvl="0" w:tplc="2180B5F8">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3" w15:restartNumberingAfterBreak="0">
    <w:nsid w:val="485E0587"/>
    <w:multiLevelType w:val="multilevel"/>
    <w:tmpl w:val="67549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CE06931"/>
    <w:multiLevelType w:val="singleLevel"/>
    <w:tmpl w:val="61C08E94"/>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color w:val="auto"/>
        <w:sz w:val="16"/>
      </w:rPr>
    </w:lvl>
  </w:abstractNum>
  <w:abstractNum w:abstractNumId="15"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0" w15:restartNumberingAfterBreak="0">
    <w:nsid w:val="6EE1086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1" w15:restartNumberingAfterBreak="0">
    <w:nsid w:val="73031935"/>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2"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3" w15:restartNumberingAfterBreak="0">
    <w:nsid w:val="7735796F"/>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78854AAC"/>
    <w:multiLevelType w:val="hybridMultilevel"/>
    <w:tmpl w:val="D46CE8E4"/>
    <w:lvl w:ilvl="0" w:tplc="02527574">
      <w:start w:val="1"/>
      <w:numFmt w:val="decimal"/>
      <w:lvlText w:val="%1."/>
      <w:lvlJc w:val="left"/>
      <w:pPr>
        <w:tabs>
          <w:tab w:val="num" w:pos="567"/>
        </w:tabs>
        <w:ind w:left="567" w:hanging="567"/>
      </w:pPr>
      <w:rPr>
        <w:rFonts w:ascii="Corbel" w:hAnsi="Corbel"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4"/>
  </w:num>
  <w:num w:numId="4">
    <w:abstractNumId w:val="16"/>
  </w:num>
  <w:num w:numId="5">
    <w:abstractNumId w:val="3"/>
  </w:num>
  <w:num w:numId="6">
    <w:abstractNumId w:val="18"/>
  </w:num>
  <w:num w:numId="7">
    <w:abstractNumId w:val="11"/>
  </w:num>
  <w:num w:numId="8">
    <w:abstractNumId w:val="4"/>
  </w:num>
  <w:num w:numId="9">
    <w:abstractNumId w:val="7"/>
  </w:num>
  <w:num w:numId="10">
    <w:abstractNumId w:val="24"/>
  </w:num>
  <w:num w:numId="11">
    <w:abstractNumId w:val="2"/>
  </w:num>
  <w:num w:numId="12">
    <w:abstractNumId w:val="15"/>
  </w:num>
  <w:num w:numId="13">
    <w:abstractNumId w:val="19"/>
  </w:num>
  <w:num w:numId="14">
    <w:abstractNumId w:val="12"/>
  </w:num>
  <w:num w:numId="15">
    <w:abstractNumId w:val="17"/>
  </w:num>
  <w:num w:numId="16">
    <w:abstractNumId w:val="22"/>
  </w:num>
  <w:num w:numId="17">
    <w:abstractNumId w:val="5"/>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1"/>
  </w:num>
  <w:num w:numId="23">
    <w:abstractNumId w:val="9"/>
  </w:num>
  <w:num w:numId="24">
    <w:abstractNumId w:val="1"/>
  </w:num>
  <w:num w:numId="25">
    <w:abstractNumId w:val="14"/>
    <w:lvlOverride w:ilvl="0">
      <w:startOverride w:val="1"/>
    </w:lvlOverride>
  </w:num>
  <w:num w:numId="26">
    <w:abstractNumId w:val="0"/>
  </w:num>
  <w:num w:numId="27">
    <w:abstractNumId w:val="9"/>
  </w:num>
  <w:num w:numId="28">
    <w:abstractNumId w:val="9"/>
  </w:num>
  <w:num w:numId="29">
    <w:abstractNumId w:val="9"/>
  </w:num>
  <w:num w:numId="30">
    <w:abstractNumId w:val="13"/>
  </w:num>
  <w:num w:numId="31">
    <w:abstractNumId w:val="10"/>
  </w:num>
  <w:num w:numId="32">
    <w:abstractNumId w:val="0"/>
  </w:num>
  <w:num w:numId="33">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30C8"/>
    <w:rsid w:val="00005A5D"/>
    <w:rsid w:val="000076AA"/>
    <w:rsid w:val="000076D9"/>
    <w:rsid w:val="000132B8"/>
    <w:rsid w:val="000206BF"/>
    <w:rsid w:val="00021708"/>
    <w:rsid w:val="00023381"/>
    <w:rsid w:val="00025343"/>
    <w:rsid w:val="00030A55"/>
    <w:rsid w:val="00030CB2"/>
    <w:rsid w:val="000324EF"/>
    <w:rsid w:val="0003282F"/>
    <w:rsid w:val="000343F1"/>
    <w:rsid w:val="0003653C"/>
    <w:rsid w:val="00041006"/>
    <w:rsid w:val="00044700"/>
    <w:rsid w:val="0004499A"/>
    <w:rsid w:val="00046DBC"/>
    <w:rsid w:val="00047774"/>
    <w:rsid w:val="00053186"/>
    <w:rsid w:val="00054097"/>
    <w:rsid w:val="0005444D"/>
    <w:rsid w:val="0005448E"/>
    <w:rsid w:val="000561E4"/>
    <w:rsid w:val="0006051B"/>
    <w:rsid w:val="000614F9"/>
    <w:rsid w:val="000638F9"/>
    <w:rsid w:val="0006451A"/>
    <w:rsid w:val="0006551D"/>
    <w:rsid w:val="00065679"/>
    <w:rsid w:val="00065C0F"/>
    <w:rsid w:val="00067E7B"/>
    <w:rsid w:val="0007004C"/>
    <w:rsid w:val="000724F6"/>
    <w:rsid w:val="000728A6"/>
    <w:rsid w:val="00074611"/>
    <w:rsid w:val="00074A62"/>
    <w:rsid w:val="0008060E"/>
    <w:rsid w:val="0008161E"/>
    <w:rsid w:val="00081BD1"/>
    <w:rsid w:val="00085C4A"/>
    <w:rsid w:val="00086712"/>
    <w:rsid w:val="00086915"/>
    <w:rsid w:val="00091DF8"/>
    <w:rsid w:val="00093CB6"/>
    <w:rsid w:val="00093DD8"/>
    <w:rsid w:val="000941AF"/>
    <w:rsid w:val="00097794"/>
    <w:rsid w:val="00097EBC"/>
    <w:rsid w:val="000A051F"/>
    <w:rsid w:val="000A0C9E"/>
    <w:rsid w:val="000A5191"/>
    <w:rsid w:val="000A5386"/>
    <w:rsid w:val="000B4080"/>
    <w:rsid w:val="000B58B9"/>
    <w:rsid w:val="000B7685"/>
    <w:rsid w:val="000B7D56"/>
    <w:rsid w:val="000C07A4"/>
    <w:rsid w:val="000C1026"/>
    <w:rsid w:val="000C536F"/>
    <w:rsid w:val="000C714F"/>
    <w:rsid w:val="000C7908"/>
    <w:rsid w:val="000D0C42"/>
    <w:rsid w:val="000D19D8"/>
    <w:rsid w:val="000D1C37"/>
    <w:rsid w:val="000D4377"/>
    <w:rsid w:val="000D5121"/>
    <w:rsid w:val="000D69DA"/>
    <w:rsid w:val="000D7520"/>
    <w:rsid w:val="000E075D"/>
    <w:rsid w:val="000E2AF6"/>
    <w:rsid w:val="000E36B7"/>
    <w:rsid w:val="000E398D"/>
    <w:rsid w:val="000E3C70"/>
    <w:rsid w:val="000E48C3"/>
    <w:rsid w:val="000E7B7B"/>
    <w:rsid w:val="000E7D67"/>
    <w:rsid w:val="000F0880"/>
    <w:rsid w:val="000F0FE2"/>
    <w:rsid w:val="000F1EB4"/>
    <w:rsid w:val="000F25D5"/>
    <w:rsid w:val="000F2648"/>
    <w:rsid w:val="000F6CF6"/>
    <w:rsid w:val="000F7140"/>
    <w:rsid w:val="001008EB"/>
    <w:rsid w:val="00101208"/>
    <w:rsid w:val="00102E26"/>
    <w:rsid w:val="00103FD6"/>
    <w:rsid w:val="001065EE"/>
    <w:rsid w:val="00110F5D"/>
    <w:rsid w:val="00113206"/>
    <w:rsid w:val="001134AC"/>
    <w:rsid w:val="00115166"/>
    <w:rsid w:val="00115A97"/>
    <w:rsid w:val="00120FE9"/>
    <w:rsid w:val="00122DBA"/>
    <w:rsid w:val="001262B5"/>
    <w:rsid w:val="001265BF"/>
    <w:rsid w:val="001274B0"/>
    <w:rsid w:val="001310D8"/>
    <w:rsid w:val="00132587"/>
    <w:rsid w:val="0013290C"/>
    <w:rsid w:val="00132D4D"/>
    <w:rsid w:val="001339EC"/>
    <w:rsid w:val="00136B8E"/>
    <w:rsid w:val="00137EE4"/>
    <w:rsid w:val="001404A9"/>
    <w:rsid w:val="00140C14"/>
    <w:rsid w:val="00140F43"/>
    <w:rsid w:val="0014418E"/>
    <w:rsid w:val="00145AB3"/>
    <w:rsid w:val="00145D5C"/>
    <w:rsid w:val="00151133"/>
    <w:rsid w:val="00156440"/>
    <w:rsid w:val="00160506"/>
    <w:rsid w:val="0016131F"/>
    <w:rsid w:val="00161CF6"/>
    <w:rsid w:val="001622DF"/>
    <w:rsid w:val="001629FA"/>
    <w:rsid w:val="00165CAB"/>
    <w:rsid w:val="00165FAA"/>
    <w:rsid w:val="00166312"/>
    <w:rsid w:val="00167BB8"/>
    <w:rsid w:val="0017062F"/>
    <w:rsid w:val="00172360"/>
    <w:rsid w:val="00172E3A"/>
    <w:rsid w:val="00173F81"/>
    <w:rsid w:val="00174022"/>
    <w:rsid w:val="00174C2A"/>
    <w:rsid w:val="00175FB9"/>
    <w:rsid w:val="00177063"/>
    <w:rsid w:val="00177A0A"/>
    <w:rsid w:val="00180A58"/>
    <w:rsid w:val="00180F76"/>
    <w:rsid w:val="00183EAB"/>
    <w:rsid w:val="00185CC1"/>
    <w:rsid w:val="00187BEB"/>
    <w:rsid w:val="00190947"/>
    <w:rsid w:val="00191A9F"/>
    <w:rsid w:val="00192B7F"/>
    <w:rsid w:val="001931E8"/>
    <w:rsid w:val="00194103"/>
    <w:rsid w:val="00194232"/>
    <w:rsid w:val="00194587"/>
    <w:rsid w:val="001A1056"/>
    <w:rsid w:val="001A1422"/>
    <w:rsid w:val="001A14C1"/>
    <w:rsid w:val="001A3A9A"/>
    <w:rsid w:val="001A3F52"/>
    <w:rsid w:val="001A4093"/>
    <w:rsid w:val="001A488D"/>
    <w:rsid w:val="001A4A8A"/>
    <w:rsid w:val="001A79C1"/>
    <w:rsid w:val="001A7A15"/>
    <w:rsid w:val="001B045C"/>
    <w:rsid w:val="001B0C79"/>
    <w:rsid w:val="001B19A0"/>
    <w:rsid w:val="001B1CA3"/>
    <w:rsid w:val="001B3861"/>
    <w:rsid w:val="001B447F"/>
    <w:rsid w:val="001B580E"/>
    <w:rsid w:val="001B7933"/>
    <w:rsid w:val="001C0E2F"/>
    <w:rsid w:val="001C1858"/>
    <w:rsid w:val="001C201F"/>
    <w:rsid w:val="001C2D46"/>
    <w:rsid w:val="001C346E"/>
    <w:rsid w:val="001C3717"/>
    <w:rsid w:val="001C5CC5"/>
    <w:rsid w:val="001D0C1A"/>
    <w:rsid w:val="001D0C1F"/>
    <w:rsid w:val="001D2C27"/>
    <w:rsid w:val="001D3AC9"/>
    <w:rsid w:val="001D3CAD"/>
    <w:rsid w:val="001D4B81"/>
    <w:rsid w:val="001D6251"/>
    <w:rsid w:val="001D6E9A"/>
    <w:rsid w:val="001D73B4"/>
    <w:rsid w:val="001E1C8C"/>
    <w:rsid w:val="001E20EC"/>
    <w:rsid w:val="001E4479"/>
    <w:rsid w:val="001E671F"/>
    <w:rsid w:val="001E7173"/>
    <w:rsid w:val="001E74D0"/>
    <w:rsid w:val="001E77B5"/>
    <w:rsid w:val="001E7803"/>
    <w:rsid w:val="001F166D"/>
    <w:rsid w:val="001F1D48"/>
    <w:rsid w:val="001F6F39"/>
    <w:rsid w:val="001F6FE8"/>
    <w:rsid w:val="0020102E"/>
    <w:rsid w:val="0020144E"/>
    <w:rsid w:val="00205E18"/>
    <w:rsid w:val="00206773"/>
    <w:rsid w:val="002069F9"/>
    <w:rsid w:val="00207571"/>
    <w:rsid w:val="00212869"/>
    <w:rsid w:val="002138E0"/>
    <w:rsid w:val="00214362"/>
    <w:rsid w:val="00221308"/>
    <w:rsid w:val="00222C97"/>
    <w:rsid w:val="00225761"/>
    <w:rsid w:val="0022699E"/>
    <w:rsid w:val="0022794F"/>
    <w:rsid w:val="002312F3"/>
    <w:rsid w:val="00233835"/>
    <w:rsid w:val="00234287"/>
    <w:rsid w:val="002349F9"/>
    <w:rsid w:val="00235EB1"/>
    <w:rsid w:val="0023612B"/>
    <w:rsid w:val="00237BC6"/>
    <w:rsid w:val="00240C9D"/>
    <w:rsid w:val="00241EE9"/>
    <w:rsid w:val="00244500"/>
    <w:rsid w:val="00247BC8"/>
    <w:rsid w:val="00247D45"/>
    <w:rsid w:val="00247E1D"/>
    <w:rsid w:val="002515F3"/>
    <w:rsid w:val="0025216E"/>
    <w:rsid w:val="00252551"/>
    <w:rsid w:val="002530BB"/>
    <w:rsid w:val="00257888"/>
    <w:rsid w:val="00260E11"/>
    <w:rsid w:val="00261ABA"/>
    <w:rsid w:val="00261CF1"/>
    <w:rsid w:val="00262E18"/>
    <w:rsid w:val="0026571E"/>
    <w:rsid w:val="002665BA"/>
    <w:rsid w:val="00270FF2"/>
    <w:rsid w:val="00272B1E"/>
    <w:rsid w:val="00273385"/>
    <w:rsid w:val="00275FE4"/>
    <w:rsid w:val="0027606B"/>
    <w:rsid w:val="002775C0"/>
    <w:rsid w:val="00281874"/>
    <w:rsid w:val="00281C36"/>
    <w:rsid w:val="00282C25"/>
    <w:rsid w:val="00284884"/>
    <w:rsid w:val="00285003"/>
    <w:rsid w:val="00285210"/>
    <w:rsid w:val="002869F5"/>
    <w:rsid w:val="00287DCC"/>
    <w:rsid w:val="00290463"/>
    <w:rsid w:val="0029052F"/>
    <w:rsid w:val="00290B04"/>
    <w:rsid w:val="002910C2"/>
    <w:rsid w:val="00291CF1"/>
    <w:rsid w:val="00292587"/>
    <w:rsid w:val="00293076"/>
    <w:rsid w:val="002A143D"/>
    <w:rsid w:val="002A3DE9"/>
    <w:rsid w:val="002A4033"/>
    <w:rsid w:val="002A493A"/>
    <w:rsid w:val="002A4C29"/>
    <w:rsid w:val="002A530A"/>
    <w:rsid w:val="002A5884"/>
    <w:rsid w:val="002A60C1"/>
    <w:rsid w:val="002A6342"/>
    <w:rsid w:val="002A6981"/>
    <w:rsid w:val="002B062D"/>
    <w:rsid w:val="002B1219"/>
    <w:rsid w:val="002B1C50"/>
    <w:rsid w:val="002B207C"/>
    <w:rsid w:val="002B3712"/>
    <w:rsid w:val="002B6136"/>
    <w:rsid w:val="002B628E"/>
    <w:rsid w:val="002B6CEF"/>
    <w:rsid w:val="002B6E21"/>
    <w:rsid w:val="002B7922"/>
    <w:rsid w:val="002B7E1B"/>
    <w:rsid w:val="002C2529"/>
    <w:rsid w:val="002C2A03"/>
    <w:rsid w:val="002C3440"/>
    <w:rsid w:val="002C4FB2"/>
    <w:rsid w:val="002C62B3"/>
    <w:rsid w:val="002C7620"/>
    <w:rsid w:val="002D122C"/>
    <w:rsid w:val="002D209D"/>
    <w:rsid w:val="002D2708"/>
    <w:rsid w:val="002D5AB0"/>
    <w:rsid w:val="002D7CF9"/>
    <w:rsid w:val="002E03F5"/>
    <w:rsid w:val="002E144A"/>
    <w:rsid w:val="002E2DE2"/>
    <w:rsid w:val="002E4B66"/>
    <w:rsid w:val="002E7EEB"/>
    <w:rsid w:val="002F2776"/>
    <w:rsid w:val="002F576E"/>
    <w:rsid w:val="002F5B29"/>
    <w:rsid w:val="002F5B54"/>
    <w:rsid w:val="002F5C6C"/>
    <w:rsid w:val="002F7E40"/>
    <w:rsid w:val="003012DA"/>
    <w:rsid w:val="00307C5C"/>
    <w:rsid w:val="00312CFE"/>
    <w:rsid w:val="00312DA5"/>
    <w:rsid w:val="00313480"/>
    <w:rsid w:val="00313C98"/>
    <w:rsid w:val="00313FD9"/>
    <w:rsid w:val="003155BD"/>
    <w:rsid w:val="003177B9"/>
    <w:rsid w:val="00320907"/>
    <w:rsid w:val="00321ABF"/>
    <w:rsid w:val="00321E0A"/>
    <w:rsid w:val="003271DF"/>
    <w:rsid w:val="0032737B"/>
    <w:rsid w:val="00333506"/>
    <w:rsid w:val="00333B24"/>
    <w:rsid w:val="003362E2"/>
    <w:rsid w:val="00337FDA"/>
    <w:rsid w:val="00340987"/>
    <w:rsid w:val="003410AA"/>
    <w:rsid w:val="003436FE"/>
    <w:rsid w:val="00343D91"/>
    <w:rsid w:val="0034465F"/>
    <w:rsid w:val="00344880"/>
    <w:rsid w:val="003459E2"/>
    <w:rsid w:val="00345AC7"/>
    <w:rsid w:val="00346A05"/>
    <w:rsid w:val="003476B8"/>
    <w:rsid w:val="0035037E"/>
    <w:rsid w:val="00351F50"/>
    <w:rsid w:val="00352A6B"/>
    <w:rsid w:val="00352EC1"/>
    <w:rsid w:val="00355791"/>
    <w:rsid w:val="003573B8"/>
    <w:rsid w:val="00361054"/>
    <w:rsid w:val="0036119D"/>
    <w:rsid w:val="00362535"/>
    <w:rsid w:val="003637A0"/>
    <w:rsid w:val="0036474E"/>
    <w:rsid w:val="00364B64"/>
    <w:rsid w:val="00364CF3"/>
    <w:rsid w:val="00365CAA"/>
    <w:rsid w:val="00367EAB"/>
    <w:rsid w:val="00372573"/>
    <w:rsid w:val="00375B17"/>
    <w:rsid w:val="003760AB"/>
    <w:rsid w:val="00377AB2"/>
    <w:rsid w:val="00380E72"/>
    <w:rsid w:val="00382C47"/>
    <w:rsid w:val="003834ED"/>
    <w:rsid w:val="00383D92"/>
    <w:rsid w:val="003877C3"/>
    <w:rsid w:val="00390C84"/>
    <w:rsid w:val="0039283B"/>
    <w:rsid w:val="00392C78"/>
    <w:rsid w:val="00393288"/>
    <w:rsid w:val="00396EA4"/>
    <w:rsid w:val="00397249"/>
    <w:rsid w:val="00397F7A"/>
    <w:rsid w:val="003A2157"/>
    <w:rsid w:val="003A24C4"/>
    <w:rsid w:val="003A3363"/>
    <w:rsid w:val="003A3905"/>
    <w:rsid w:val="003A3CC1"/>
    <w:rsid w:val="003A4B5C"/>
    <w:rsid w:val="003A6635"/>
    <w:rsid w:val="003A6B0E"/>
    <w:rsid w:val="003A7617"/>
    <w:rsid w:val="003A78C6"/>
    <w:rsid w:val="003B17A1"/>
    <w:rsid w:val="003B5562"/>
    <w:rsid w:val="003B5C2B"/>
    <w:rsid w:val="003B6363"/>
    <w:rsid w:val="003B737F"/>
    <w:rsid w:val="003C0CF7"/>
    <w:rsid w:val="003C2E5D"/>
    <w:rsid w:val="003C59E0"/>
    <w:rsid w:val="003C6F2A"/>
    <w:rsid w:val="003D64B0"/>
    <w:rsid w:val="003D743C"/>
    <w:rsid w:val="003E1E6E"/>
    <w:rsid w:val="003E319C"/>
    <w:rsid w:val="003E33BA"/>
    <w:rsid w:val="003E50CD"/>
    <w:rsid w:val="003E6BA0"/>
    <w:rsid w:val="003E73DB"/>
    <w:rsid w:val="003E7EB8"/>
    <w:rsid w:val="003F0ADC"/>
    <w:rsid w:val="003F1235"/>
    <w:rsid w:val="003F29BB"/>
    <w:rsid w:val="003F2CE7"/>
    <w:rsid w:val="003F59E6"/>
    <w:rsid w:val="003F5BE6"/>
    <w:rsid w:val="003F6C00"/>
    <w:rsid w:val="0040153E"/>
    <w:rsid w:val="00401C13"/>
    <w:rsid w:val="00404E6F"/>
    <w:rsid w:val="00407639"/>
    <w:rsid w:val="00411BE3"/>
    <w:rsid w:val="004120B1"/>
    <w:rsid w:val="00413E74"/>
    <w:rsid w:val="0041400B"/>
    <w:rsid w:val="0041421D"/>
    <w:rsid w:val="004148D7"/>
    <w:rsid w:val="0041490D"/>
    <w:rsid w:val="00414A5C"/>
    <w:rsid w:val="004156B4"/>
    <w:rsid w:val="0041697F"/>
    <w:rsid w:val="00417F75"/>
    <w:rsid w:val="00420235"/>
    <w:rsid w:val="004223AA"/>
    <w:rsid w:val="00423104"/>
    <w:rsid w:val="004267D3"/>
    <w:rsid w:val="00427E2A"/>
    <w:rsid w:val="00433E65"/>
    <w:rsid w:val="004374B2"/>
    <w:rsid w:val="00442AB8"/>
    <w:rsid w:val="004436EA"/>
    <w:rsid w:val="0044456C"/>
    <w:rsid w:val="00450B39"/>
    <w:rsid w:val="00451D73"/>
    <w:rsid w:val="00453BC6"/>
    <w:rsid w:val="00454498"/>
    <w:rsid w:val="00456C59"/>
    <w:rsid w:val="004602B4"/>
    <w:rsid w:val="00460C6A"/>
    <w:rsid w:val="004641D0"/>
    <w:rsid w:val="00465769"/>
    <w:rsid w:val="00473D24"/>
    <w:rsid w:val="00473E79"/>
    <w:rsid w:val="00477931"/>
    <w:rsid w:val="004811EC"/>
    <w:rsid w:val="00481A48"/>
    <w:rsid w:val="00484874"/>
    <w:rsid w:val="00487674"/>
    <w:rsid w:val="00490198"/>
    <w:rsid w:val="00490E28"/>
    <w:rsid w:val="00492E5F"/>
    <w:rsid w:val="0049374C"/>
    <w:rsid w:val="00493A1C"/>
    <w:rsid w:val="00493C9C"/>
    <w:rsid w:val="0049700C"/>
    <w:rsid w:val="00497362"/>
    <w:rsid w:val="00497C77"/>
    <w:rsid w:val="004A0AE7"/>
    <w:rsid w:val="004A20B6"/>
    <w:rsid w:val="004A28B0"/>
    <w:rsid w:val="004A306E"/>
    <w:rsid w:val="004A4542"/>
    <w:rsid w:val="004A4B92"/>
    <w:rsid w:val="004A523F"/>
    <w:rsid w:val="004A6062"/>
    <w:rsid w:val="004A673A"/>
    <w:rsid w:val="004A745A"/>
    <w:rsid w:val="004A770F"/>
    <w:rsid w:val="004B0813"/>
    <w:rsid w:val="004B136A"/>
    <w:rsid w:val="004B1F38"/>
    <w:rsid w:val="004B21C5"/>
    <w:rsid w:val="004B2EF6"/>
    <w:rsid w:val="004B34A6"/>
    <w:rsid w:val="004B5612"/>
    <w:rsid w:val="004B5AA7"/>
    <w:rsid w:val="004B6083"/>
    <w:rsid w:val="004B6927"/>
    <w:rsid w:val="004B6FAB"/>
    <w:rsid w:val="004B7E5C"/>
    <w:rsid w:val="004C026D"/>
    <w:rsid w:val="004C33E0"/>
    <w:rsid w:val="004C3CC4"/>
    <w:rsid w:val="004C4D5E"/>
    <w:rsid w:val="004C7C83"/>
    <w:rsid w:val="004D11ED"/>
    <w:rsid w:val="004D310E"/>
    <w:rsid w:val="004D37D8"/>
    <w:rsid w:val="004D43AC"/>
    <w:rsid w:val="004D4B81"/>
    <w:rsid w:val="004D5B01"/>
    <w:rsid w:val="004D77D7"/>
    <w:rsid w:val="004E0541"/>
    <w:rsid w:val="004E2BCD"/>
    <w:rsid w:val="004E37B3"/>
    <w:rsid w:val="004F03D1"/>
    <w:rsid w:val="004F3B48"/>
    <w:rsid w:val="004F3E29"/>
    <w:rsid w:val="004F3FE3"/>
    <w:rsid w:val="004F5DCD"/>
    <w:rsid w:val="004F6B2B"/>
    <w:rsid w:val="005005DF"/>
    <w:rsid w:val="00500CE1"/>
    <w:rsid w:val="005020EF"/>
    <w:rsid w:val="00503887"/>
    <w:rsid w:val="00504A64"/>
    <w:rsid w:val="00505045"/>
    <w:rsid w:val="00505C00"/>
    <w:rsid w:val="0050793F"/>
    <w:rsid w:val="00510B96"/>
    <w:rsid w:val="00511501"/>
    <w:rsid w:val="00511B5B"/>
    <w:rsid w:val="00512022"/>
    <w:rsid w:val="005144C4"/>
    <w:rsid w:val="00515AF2"/>
    <w:rsid w:val="0051640E"/>
    <w:rsid w:val="00516741"/>
    <w:rsid w:val="0051684E"/>
    <w:rsid w:val="0052017B"/>
    <w:rsid w:val="00521E80"/>
    <w:rsid w:val="00525811"/>
    <w:rsid w:val="00526F71"/>
    <w:rsid w:val="00527ABC"/>
    <w:rsid w:val="005368B3"/>
    <w:rsid w:val="005377A2"/>
    <w:rsid w:val="00537D03"/>
    <w:rsid w:val="00541736"/>
    <w:rsid w:val="0054193D"/>
    <w:rsid w:val="00542A8C"/>
    <w:rsid w:val="00542D59"/>
    <w:rsid w:val="00543637"/>
    <w:rsid w:val="00545DF7"/>
    <w:rsid w:val="00546CA2"/>
    <w:rsid w:val="00552D20"/>
    <w:rsid w:val="005539F5"/>
    <w:rsid w:val="0055415C"/>
    <w:rsid w:val="005547FE"/>
    <w:rsid w:val="00554AAC"/>
    <w:rsid w:val="0055503F"/>
    <w:rsid w:val="005572D7"/>
    <w:rsid w:val="005631C2"/>
    <w:rsid w:val="00563797"/>
    <w:rsid w:val="005651B5"/>
    <w:rsid w:val="00566234"/>
    <w:rsid w:val="00570EF0"/>
    <w:rsid w:val="0057262B"/>
    <w:rsid w:val="00581177"/>
    <w:rsid w:val="005815B3"/>
    <w:rsid w:val="005824F9"/>
    <w:rsid w:val="005826C1"/>
    <w:rsid w:val="00582A03"/>
    <w:rsid w:val="0058434B"/>
    <w:rsid w:val="00586E0B"/>
    <w:rsid w:val="00587E37"/>
    <w:rsid w:val="00591A11"/>
    <w:rsid w:val="00593821"/>
    <w:rsid w:val="00594FEF"/>
    <w:rsid w:val="0059554D"/>
    <w:rsid w:val="00596E88"/>
    <w:rsid w:val="00596E96"/>
    <w:rsid w:val="00597CBD"/>
    <w:rsid w:val="005A0969"/>
    <w:rsid w:val="005A4105"/>
    <w:rsid w:val="005A5E7A"/>
    <w:rsid w:val="005A697C"/>
    <w:rsid w:val="005B0DEF"/>
    <w:rsid w:val="005B2A03"/>
    <w:rsid w:val="005B4C1B"/>
    <w:rsid w:val="005B66F5"/>
    <w:rsid w:val="005B6D91"/>
    <w:rsid w:val="005B7F4B"/>
    <w:rsid w:val="005C0910"/>
    <w:rsid w:val="005C2684"/>
    <w:rsid w:val="005C2DDC"/>
    <w:rsid w:val="005C51A2"/>
    <w:rsid w:val="005C5620"/>
    <w:rsid w:val="005C578C"/>
    <w:rsid w:val="005C7B5A"/>
    <w:rsid w:val="005C7E3D"/>
    <w:rsid w:val="005D1F0F"/>
    <w:rsid w:val="005D25C1"/>
    <w:rsid w:val="005D29DB"/>
    <w:rsid w:val="005D41F9"/>
    <w:rsid w:val="005E00F4"/>
    <w:rsid w:val="005E4143"/>
    <w:rsid w:val="005E5FAE"/>
    <w:rsid w:val="005E724B"/>
    <w:rsid w:val="005F06EB"/>
    <w:rsid w:val="005F074E"/>
    <w:rsid w:val="005F5323"/>
    <w:rsid w:val="005F53C2"/>
    <w:rsid w:val="005F6CED"/>
    <w:rsid w:val="00601B0A"/>
    <w:rsid w:val="00601F7C"/>
    <w:rsid w:val="00602A48"/>
    <w:rsid w:val="00602EF7"/>
    <w:rsid w:val="00606F11"/>
    <w:rsid w:val="00607B03"/>
    <w:rsid w:val="0061059D"/>
    <w:rsid w:val="00611823"/>
    <w:rsid w:val="006121A6"/>
    <w:rsid w:val="0061326F"/>
    <w:rsid w:val="00613936"/>
    <w:rsid w:val="00613F56"/>
    <w:rsid w:val="00614393"/>
    <w:rsid w:val="006146F2"/>
    <w:rsid w:val="00614C00"/>
    <w:rsid w:val="00616A2C"/>
    <w:rsid w:val="0062099A"/>
    <w:rsid w:val="00623567"/>
    <w:rsid w:val="006267ED"/>
    <w:rsid w:val="00627740"/>
    <w:rsid w:val="006412B5"/>
    <w:rsid w:val="00641932"/>
    <w:rsid w:val="00644083"/>
    <w:rsid w:val="0064429B"/>
    <w:rsid w:val="006446E8"/>
    <w:rsid w:val="0064477C"/>
    <w:rsid w:val="00646D74"/>
    <w:rsid w:val="00647788"/>
    <w:rsid w:val="00650903"/>
    <w:rsid w:val="00662822"/>
    <w:rsid w:val="00662EA3"/>
    <w:rsid w:val="0066324E"/>
    <w:rsid w:val="00663901"/>
    <w:rsid w:val="00664634"/>
    <w:rsid w:val="006650A8"/>
    <w:rsid w:val="006679C0"/>
    <w:rsid w:val="00670185"/>
    <w:rsid w:val="0067205C"/>
    <w:rsid w:val="0067255F"/>
    <w:rsid w:val="0067274D"/>
    <w:rsid w:val="00674BA0"/>
    <w:rsid w:val="00680ED5"/>
    <w:rsid w:val="00681956"/>
    <w:rsid w:val="00682934"/>
    <w:rsid w:val="00682FBA"/>
    <w:rsid w:val="00683370"/>
    <w:rsid w:val="00684EC1"/>
    <w:rsid w:val="00685EA7"/>
    <w:rsid w:val="00686DF8"/>
    <w:rsid w:val="006903F9"/>
    <w:rsid w:val="0069163C"/>
    <w:rsid w:val="006923C8"/>
    <w:rsid w:val="00696AB4"/>
    <w:rsid w:val="00697494"/>
    <w:rsid w:val="006976BF"/>
    <w:rsid w:val="006A05D7"/>
    <w:rsid w:val="006A4628"/>
    <w:rsid w:val="006A46DD"/>
    <w:rsid w:val="006A628E"/>
    <w:rsid w:val="006A7953"/>
    <w:rsid w:val="006A7A37"/>
    <w:rsid w:val="006B375E"/>
    <w:rsid w:val="006B3F39"/>
    <w:rsid w:val="006B4213"/>
    <w:rsid w:val="006B43AF"/>
    <w:rsid w:val="006B4DF0"/>
    <w:rsid w:val="006C1013"/>
    <w:rsid w:val="006C163A"/>
    <w:rsid w:val="006C228B"/>
    <w:rsid w:val="006C2931"/>
    <w:rsid w:val="006C39D2"/>
    <w:rsid w:val="006C4F16"/>
    <w:rsid w:val="006C7E05"/>
    <w:rsid w:val="006D241A"/>
    <w:rsid w:val="006D3FBB"/>
    <w:rsid w:val="006D466E"/>
    <w:rsid w:val="006D4B70"/>
    <w:rsid w:val="006D4C35"/>
    <w:rsid w:val="006D7361"/>
    <w:rsid w:val="006D7A92"/>
    <w:rsid w:val="006E22D7"/>
    <w:rsid w:val="006E3545"/>
    <w:rsid w:val="006E3B48"/>
    <w:rsid w:val="006E48F1"/>
    <w:rsid w:val="006E6184"/>
    <w:rsid w:val="006E631B"/>
    <w:rsid w:val="006E6937"/>
    <w:rsid w:val="006F050B"/>
    <w:rsid w:val="006F096A"/>
    <w:rsid w:val="006F22E3"/>
    <w:rsid w:val="006F3095"/>
    <w:rsid w:val="006F4466"/>
    <w:rsid w:val="006F5455"/>
    <w:rsid w:val="006F5CB6"/>
    <w:rsid w:val="006F79D3"/>
    <w:rsid w:val="00702C82"/>
    <w:rsid w:val="00703194"/>
    <w:rsid w:val="00704BBA"/>
    <w:rsid w:val="00705CF4"/>
    <w:rsid w:val="00706E50"/>
    <w:rsid w:val="0070737C"/>
    <w:rsid w:val="00711229"/>
    <w:rsid w:val="00715018"/>
    <w:rsid w:val="0071795E"/>
    <w:rsid w:val="007179FE"/>
    <w:rsid w:val="00717F25"/>
    <w:rsid w:val="007201B1"/>
    <w:rsid w:val="007201D7"/>
    <w:rsid w:val="0072332B"/>
    <w:rsid w:val="00724E14"/>
    <w:rsid w:val="00725AD5"/>
    <w:rsid w:val="00726186"/>
    <w:rsid w:val="00726DB5"/>
    <w:rsid w:val="00726EB4"/>
    <w:rsid w:val="00731945"/>
    <w:rsid w:val="007338E4"/>
    <w:rsid w:val="0073492B"/>
    <w:rsid w:val="007357D0"/>
    <w:rsid w:val="007363DE"/>
    <w:rsid w:val="0073698D"/>
    <w:rsid w:val="00736C0B"/>
    <w:rsid w:val="00742F0B"/>
    <w:rsid w:val="007433BB"/>
    <w:rsid w:val="00744D93"/>
    <w:rsid w:val="00745447"/>
    <w:rsid w:val="00746531"/>
    <w:rsid w:val="00747960"/>
    <w:rsid w:val="00750BDA"/>
    <w:rsid w:val="00750F59"/>
    <w:rsid w:val="00751725"/>
    <w:rsid w:val="00751FDF"/>
    <w:rsid w:val="00752028"/>
    <w:rsid w:val="0075450A"/>
    <w:rsid w:val="00754B6B"/>
    <w:rsid w:val="00756C6D"/>
    <w:rsid w:val="0075717D"/>
    <w:rsid w:val="0076017E"/>
    <w:rsid w:val="00760568"/>
    <w:rsid w:val="00760DB6"/>
    <w:rsid w:val="0076361C"/>
    <w:rsid w:val="00764CC8"/>
    <w:rsid w:val="00764FE9"/>
    <w:rsid w:val="007661AE"/>
    <w:rsid w:val="0076632D"/>
    <w:rsid w:val="00766A51"/>
    <w:rsid w:val="00771A1E"/>
    <w:rsid w:val="00771FFF"/>
    <w:rsid w:val="00772818"/>
    <w:rsid w:val="0077685D"/>
    <w:rsid w:val="0077788E"/>
    <w:rsid w:val="00777BA9"/>
    <w:rsid w:val="00784439"/>
    <w:rsid w:val="00787267"/>
    <w:rsid w:val="00787E75"/>
    <w:rsid w:val="00794195"/>
    <w:rsid w:val="00796673"/>
    <w:rsid w:val="00797257"/>
    <w:rsid w:val="007A005F"/>
    <w:rsid w:val="007A3157"/>
    <w:rsid w:val="007A34A3"/>
    <w:rsid w:val="007A4297"/>
    <w:rsid w:val="007A5387"/>
    <w:rsid w:val="007A6E20"/>
    <w:rsid w:val="007B10ED"/>
    <w:rsid w:val="007B2B2E"/>
    <w:rsid w:val="007B3BFC"/>
    <w:rsid w:val="007B4B03"/>
    <w:rsid w:val="007B6C2B"/>
    <w:rsid w:val="007C4F31"/>
    <w:rsid w:val="007C7FA5"/>
    <w:rsid w:val="007D07EF"/>
    <w:rsid w:val="007D64E3"/>
    <w:rsid w:val="007E06AB"/>
    <w:rsid w:val="007E099C"/>
    <w:rsid w:val="007E1C5D"/>
    <w:rsid w:val="007E5257"/>
    <w:rsid w:val="007E5391"/>
    <w:rsid w:val="007F2893"/>
    <w:rsid w:val="007F289E"/>
    <w:rsid w:val="007F3062"/>
    <w:rsid w:val="007F4EF5"/>
    <w:rsid w:val="00803828"/>
    <w:rsid w:val="00804105"/>
    <w:rsid w:val="00806D94"/>
    <w:rsid w:val="00807AD8"/>
    <w:rsid w:val="00811800"/>
    <w:rsid w:val="00812E1C"/>
    <w:rsid w:val="00813CFF"/>
    <w:rsid w:val="008140C5"/>
    <w:rsid w:val="008144A8"/>
    <w:rsid w:val="00814590"/>
    <w:rsid w:val="00814667"/>
    <w:rsid w:val="008148E2"/>
    <w:rsid w:val="008149E4"/>
    <w:rsid w:val="00815199"/>
    <w:rsid w:val="008156B7"/>
    <w:rsid w:val="00817D90"/>
    <w:rsid w:val="00822355"/>
    <w:rsid w:val="0082332D"/>
    <w:rsid w:val="0082402C"/>
    <w:rsid w:val="00825420"/>
    <w:rsid w:val="00825FF5"/>
    <w:rsid w:val="008262F1"/>
    <w:rsid w:val="008311FA"/>
    <w:rsid w:val="008317EF"/>
    <w:rsid w:val="00832677"/>
    <w:rsid w:val="00837348"/>
    <w:rsid w:val="00840AB1"/>
    <w:rsid w:val="00842443"/>
    <w:rsid w:val="00845BCC"/>
    <w:rsid w:val="008463EF"/>
    <w:rsid w:val="00850D5A"/>
    <w:rsid w:val="00851465"/>
    <w:rsid w:val="008514B8"/>
    <w:rsid w:val="00852ED8"/>
    <w:rsid w:val="0085330A"/>
    <w:rsid w:val="00853859"/>
    <w:rsid w:val="008550CA"/>
    <w:rsid w:val="0085533A"/>
    <w:rsid w:val="00855543"/>
    <w:rsid w:val="0085738D"/>
    <w:rsid w:val="00857954"/>
    <w:rsid w:val="00860071"/>
    <w:rsid w:val="00862255"/>
    <w:rsid w:val="00862395"/>
    <w:rsid w:val="00862B62"/>
    <w:rsid w:val="008638CA"/>
    <w:rsid w:val="00864DD3"/>
    <w:rsid w:val="0086755D"/>
    <w:rsid w:val="00867FA5"/>
    <w:rsid w:val="00870508"/>
    <w:rsid w:val="008708D6"/>
    <w:rsid w:val="00871994"/>
    <w:rsid w:val="00874608"/>
    <w:rsid w:val="00875808"/>
    <w:rsid w:val="00875C9B"/>
    <w:rsid w:val="008760D0"/>
    <w:rsid w:val="00881317"/>
    <w:rsid w:val="00882156"/>
    <w:rsid w:val="008834F5"/>
    <w:rsid w:val="008843EE"/>
    <w:rsid w:val="0089298A"/>
    <w:rsid w:val="00892CA4"/>
    <w:rsid w:val="00896477"/>
    <w:rsid w:val="00896902"/>
    <w:rsid w:val="00896B27"/>
    <w:rsid w:val="00896BD6"/>
    <w:rsid w:val="00896F5A"/>
    <w:rsid w:val="008A0111"/>
    <w:rsid w:val="008A37B8"/>
    <w:rsid w:val="008A3C37"/>
    <w:rsid w:val="008A50B1"/>
    <w:rsid w:val="008B098A"/>
    <w:rsid w:val="008B1840"/>
    <w:rsid w:val="008B3717"/>
    <w:rsid w:val="008B70D3"/>
    <w:rsid w:val="008B73A2"/>
    <w:rsid w:val="008B7FE2"/>
    <w:rsid w:val="008C0BBA"/>
    <w:rsid w:val="008C10B2"/>
    <w:rsid w:val="008C2450"/>
    <w:rsid w:val="008C491A"/>
    <w:rsid w:val="008C6599"/>
    <w:rsid w:val="008C7817"/>
    <w:rsid w:val="008C7F5B"/>
    <w:rsid w:val="008D079A"/>
    <w:rsid w:val="008D2F40"/>
    <w:rsid w:val="008D477D"/>
    <w:rsid w:val="008D5B52"/>
    <w:rsid w:val="008D72A4"/>
    <w:rsid w:val="008E0AD6"/>
    <w:rsid w:val="008E4209"/>
    <w:rsid w:val="008E48FC"/>
    <w:rsid w:val="008E55BD"/>
    <w:rsid w:val="008E6324"/>
    <w:rsid w:val="008E7527"/>
    <w:rsid w:val="008F1192"/>
    <w:rsid w:val="008F2AD6"/>
    <w:rsid w:val="008F342A"/>
    <w:rsid w:val="008F44F1"/>
    <w:rsid w:val="008F481D"/>
    <w:rsid w:val="008F4BA8"/>
    <w:rsid w:val="008F5C07"/>
    <w:rsid w:val="008F696D"/>
    <w:rsid w:val="008F7777"/>
    <w:rsid w:val="00901670"/>
    <w:rsid w:val="009018B0"/>
    <w:rsid w:val="00901CF5"/>
    <w:rsid w:val="00901F53"/>
    <w:rsid w:val="00904C55"/>
    <w:rsid w:val="00906189"/>
    <w:rsid w:val="00906431"/>
    <w:rsid w:val="009115AF"/>
    <w:rsid w:val="00913276"/>
    <w:rsid w:val="00916C97"/>
    <w:rsid w:val="009212DD"/>
    <w:rsid w:val="009221DF"/>
    <w:rsid w:val="009224FD"/>
    <w:rsid w:val="009269CC"/>
    <w:rsid w:val="0093296C"/>
    <w:rsid w:val="00934703"/>
    <w:rsid w:val="00935029"/>
    <w:rsid w:val="00935A05"/>
    <w:rsid w:val="00935CC7"/>
    <w:rsid w:val="00936FE8"/>
    <w:rsid w:val="0094002F"/>
    <w:rsid w:val="0094129D"/>
    <w:rsid w:val="00941BB7"/>
    <w:rsid w:val="00942853"/>
    <w:rsid w:val="00944760"/>
    <w:rsid w:val="0094524C"/>
    <w:rsid w:val="00946A91"/>
    <w:rsid w:val="00946AE5"/>
    <w:rsid w:val="00947B15"/>
    <w:rsid w:val="00950865"/>
    <w:rsid w:val="00951BAD"/>
    <w:rsid w:val="0095223D"/>
    <w:rsid w:val="009526E4"/>
    <w:rsid w:val="00953AA1"/>
    <w:rsid w:val="00954B44"/>
    <w:rsid w:val="00956ABA"/>
    <w:rsid w:val="009604EB"/>
    <w:rsid w:val="009620FA"/>
    <w:rsid w:val="00962633"/>
    <w:rsid w:val="00963976"/>
    <w:rsid w:val="009644B8"/>
    <w:rsid w:val="0096655D"/>
    <w:rsid w:val="0096732C"/>
    <w:rsid w:val="009703B6"/>
    <w:rsid w:val="00971A4C"/>
    <w:rsid w:val="00975EB5"/>
    <w:rsid w:val="00983979"/>
    <w:rsid w:val="00983DC2"/>
    <w:rsid w:val="00983DF0"/>
    <w:rsid w:val="009859BD"/>
    <w:rsid w:val="00992115"/>
    <w:rsid w:val="00992230"/>
    <w:rsid w:val="0099742A"/>
    <w:rsid w:val="009A004C"/>
    <w:rsid w:val="009A0446"/>
    <w:rsid w:val="009A062C"/>
    <w:rsid w:val="009A1A9B"/>
    <w:rsid w:val="009A37A4"/>
    <w:rsid w:val="009A48AF"/>
    <w:rsid w:val="009A522D"/>
    <w:rsid w:val="009A74F4"/>
    <w:rsid w:val="009B00B4"/>
    <w:rsid w:val="009B035C"/>
    <w:rsid w:val="009B0C68"/>
    <w:rsid w:val="009B263B"/>
    <w:rsid w:val="009B3F77"/>
    <w:rsid w:val="009B5132"/>
    <w:rsid w:val="009B62ED"/>
    <w:rsid w:val="009C166A"/>
    <w:rsid w:val="009C2059"/>
    <w:rsid w:val="009C617E"/>
    <w:rsid w:val="009C6F6E"/>
    <w:rsid w:val="009C6FFB"/>
    <w:rsid w:val="009C7EF5"/>
    <w:rsid w:val="009D03DD"/>
    <w:rsid w:val="009D0C93"/>
    <w:rsid w:val="009D156D"/>
    <w:rsid w:val="009D1D20"/>
    <w:rsid w:val="009D2FAC"/>
    <w:rsid w:val="009D3411"/>
    <w:rsid w:val="009D49B5"/>
    <w:rsid w:val="009E059D"/>
    <w:rsid w:val="009E093C"/>
    <w:rsid w:val="009E1311"/>
    <w:rsid w:val="009E151E"/>
    <w:rsid w:val="009E1A52"/>
    <w:rsid w:val="009E3ACF"/>
    <w:rsid w:val="009E5115"/>
    <w:rsid w:val="009E5DB6"/>
    <w:rsid w:val="009F29F6"/>
    <w:rsid w:val="009F2C94"/>
    <w:rsid w:val="009F3C49"/>
    <w:rsid w:val="009F4E0E"/>
    <w:rsid w:val="009F73F2"/>
    <w:rsid w:val="009F777E"/>
    <w:rsid w:val="009F7F52"/>
    <w:rsid w:val="00A0202C"/>
    <w:rsid w:val="00A0227E"/>
    <w:rsid w:val="00A03486"/>
    <w:rsid w:val="00A05209"/>
    <w:rsid w:val="00A05C1E"/>
    <w:rsid w:val="00A0603F"/>
    <w:rsid w:val="00A06BEA"/>
    <w:rsid w:val="00A1029D"/>
    <w:rsid w:val="00A112E6"/>
    <w:rsid w:val="00A11A10"/>
    <w:rsid w:val="00A13946"/>
    <w:rsid w:val="00A14966"/>
    <w:rsid w:val="00A15CAB"/>
    <w:rsid w:val="00A16E8F"/>
    <w:rsid w:val="00A17CCB"/>
    <w:rsid w:val="00A201DE"/>
    <w:rsid w:val="00A20909"/>
    <w:rsid w:val="00A211A9"/>
    <w:rsid w:val="00A22D57"/>
    <w:rsid w:val="00A2422A"/>
    <w:rsid w:val="00A25265"/>
    <w:rsid w:val="00A26FC8"/>
    <w:rsid w:val="00A303A1"/>
    <w:rsid w:val="00A376AA"/>
    <w:rsid w:val="00A42386"/>
    <w:rsid w:val="00A50751"/>
    <w:rsid w:val="00A50E72"/>
    <w:rsid w:val="00A54B81"/>
    <w:rsid w:val="00A54BE7"/>
    <w:rsid w:val="00A564EB"/>
    <w:rsid w:val="00A5656F"/>
    <w:rsid w:val="00A60530"/>
    <w:rsid w:val="00A60C80"/>
    <w:rsid w:val="00A627A8"/>
    <w:rsid w:val="00A6500A"/>
    <w:rsid w:val="00A65333"/>
    <w:rsid w:val="00A6719E"/>
    <w:rsid w:val="00A67675"/>
    <w:rsid w:val="00A739F1"/>
    <w:rsid w:val="00A74339"/>
    <w:rsid w:val="00A74FCA"/>
    <w:rsid w:val="00A75647"/>
    <w:rsid w:val="00A758DE"/>
    <w:rsid w:val="00A76BAB"/>
    <w:rsid w:val="00A8189A"/>
    <w:rsid w:val="00A81C2E"/>
    <w:rsid w:val="00A81EC4"/>
    <w:rsid w:val="00A83418"/>
    <w:rsid w:val="00A83B8E"/>
    <w:rsid w:val="00A8478F"/>
    <w:rsid w:val="00A858C4"/>
    <w:rsid w:val="00A85DD6"/>
    <w:rsid w:val="00A9141E"/>
    <w:rsid w:val="00A9214A"/>
    <w:rsid w:val="00A9341B"/>
    <w:rsid w:val="00A974CA"/>
    <w:rsid w:val="00A97E12"/>
    <w:rsid w:val="00AA1CD8"/>
    <w:rsid w:val="00AA2CD5"/>
    <w:rsid w:val="00AA38DC"/>
    <w:rsid w:val="00AA4F6C"/>
    <w:rsid w:val="00AA50F0"/>
    <w:rsid w:val="00AA69BE"/>
    <w:rsid w:val="00AB16AE"/>
    <w:rsid w:val="00AB2311"/>
    <w:rsid w:val="00AB2476"/>
    <w:rsid w:val="00AB3438"/>
    <w:rsid w:val="00AB392A"/>
    <w:rsid w:val="00AB5801"/>
    <w:rsid w:val="00AB5A64"/>
    <w:rsid w:val="00AB71A5"/>
    <w:rsid w:val="00AB76C6"/>
    <w:rsid w:val="00AB79E9"/>
    <w:rsid w:val="00AC2754"/>
    <w:rsid w:val="00AC2DA6"/>
    <w:rsid w:val="00AC3B00"/>
    <w:rsid w:val="00AC5567"/>
    <w:rsid w:val="00AD0105"/>
    <w:rsid w:val="00AD0456"/>
    <w:rsid w:val="00AD045E"/>
    <w:rsid w:val="00AD04F4"/>
    <w:rsid w:val="00AD576C"/>
    <w:rsid w:val="00AD670F"/>
    <w:rsid w:val="00AD6C71"/>
    <w:rsid w:val="00AE167D"/>
    <w:rsid w:val="00AE1E4B"/>
    <w:rsid w:val="00AE1E54"/>
    <w:rsid w:val="00AE2AFD"/>
    <w:rsid w:val="00AE4372"/>
    <w:rsid w:val="00AE478A"/>
    <w:rsid w:val="00AE47E0"/>
    <w:rsid w:val="00AE483F"/>
    <w:rsid w:val="00AF012B"/>
    <w:rsid w:val="00AF0C8D"/>
    <w:rsid w:val="00AF25E1"/>
    <w:rsid w:val="00AF2810"/>
    <w:rsid w:val="00AF355A"/>
    <w:rsid w:val="00AF3A0D"/>
    <w:rsid w:val="00B00778"/>
    <w:rsid w:val="00B00D7F"/>
    <w:rsid w:val="00B03040"/>
    <w:rsid w:val="00B03960"/>
    <w:rsid w:val="00B04E8C"/>
    <w:rsid w:val="00B050C0"/>
    <w:rsid w:val="00B05642"/>
    <w:rsid w:val="00B06097"/>
    <w:rsid w:val="00B06D5A"/>
    <w:rsid w:val="00B10045"/>
    <w:rsid w:val="00B100DF"/>
    <w:rsid w:val="00B10CAE"/>
    <w:rsid w:val="00B12190"/>
    <w:rsid w:val="00B125AB"/>
    <w:rsid w:val="00B1294B"/>
    <w:rsid w:val="00B137C3"/>
    <w:rsid w:val="00B15C09"/>
    <w:rsid w:val="00B171BB"/>
    <w:rsid w:val="00B2247A"/>
    <w:rsid w:val="00B22B0C"/>
    <w:rsid w:val="00B23C92"/>
    <w:rsid w:val="00B306BE"/>
    <w:rsid w:val="00B30F52"/>
    <w:rsid w:val="00B33466"/>
    <w:rsid w:val="00B36551"/>
    <w:rsid w:val="00B36E9E"/>
    <w:rsid w:val="00B409E9"/>
    <w:rsid w:val="00B40E38"/>
    <w:rsid w:val="00B40FC5"/>
    <w:rsid w:val="00B4137C"/>
    <w:rsid w:val="00B41A17"/>
    <w:rsid w:val="00B44B1F"/>
    <w:rsid w:val="00B44C11"/>
    <w:rsid w:val="00B45C9E"/>
    <w:rsid w:val="00B51ACE"/>
    <w:rsid w:val="00B56B6A"/>
    <w:rsid w:val="00B61673"/>
    <w:rsid w:val="00B61743"/>
    <w:rsid w:val="00B619AA"/>
    <w:rsid w:val="00B623D7"/>
    <w:rsid w:val="00B64148"/>
    <w:rsid w:val="00B659D3"/>
    <w:rsid w:val="00B65ED4"/>
    <w:rsid w:val="00B6647D"/>
    <w:rsid w:val="00B66E7A"/>
    <w:rsid w:val="00B66F8E"/>
    <w:rsid w:val="00B71705"/>
    <w:rsid w:val="00B72199"/>
    <w:rsid w:val="00B74238"/>
    <w:rsid w:val="00B77498"/>
    <w:rsid w:val="00B8096A"/>
    <w:rsid w:val="00B81B8D"/>
    <w:rsid w:val="00B83823"/>
    <w:rsid w:val="00B85C82"/>
    <w:rsid w:val="00B91564"/>
    <w:rsid w:val="00B9206A"/>
    <w:rsid w:val="00B9279E"/>
    <w:rsid w:val="00B927F8"/>
    <w:rsid w:val="00B93B06"/>
    <w:rsid w:val="00B95931"/>
    <w:rsid w:val="00B96F10"/>
    <w:rsid w:val="00BA03B3"/>
    <w:rsid w:val="00BA1CFA"/>
    <w:rsid w:val="00BA3C7E"/>
    <w:rsid w:val="00BA4284"/>
    <w:rsid w:val="00BA4A21"/>
    <w:rsid w:val="00BA4F4C"/>
    <w:rsid w:val="00BA6E4A"/>
    <w:rsid w:val="00BA79F0"/>
    <w:rsid w:val="00BB08F8"/>
    <w:rsid w:val="00BB2726"/>
    <w:rsid w:val="00BB3D10"/>
    <w:rsid w:val="00BB5D2F"/>
    <w:rsid w:val="00BB6814"/>
    <w:rsid w:val="00BB6C62"/>
    <w:rsid w:val="00BB7B42"/>
    <w:rsid w:val="00BC1029"/>
    <w:rsid w:val="00BC2720"/>
    <w:rsid w:val="00BC4728"/>
    <w:rsid w:val="00BC487E"/>
    <w:rsid w:val="00BC4BF4"/>
    <w:rsid w:val="00BC5459"/>
    <w:rsid w:val="00BC60B3"/>
    <w:rsid w:val="00BC6FB7"/>
    <w:rsid w:val="00BC7315"/>
    <w:rsid w:val="00BD0B52"/>
    <w:rsid w:val="00BD2253"/>
    <w:rsid w:val="00BD3B57"/>
    <w:rsid w:val="00BD4806"/>
    <w:rsid w:val="00BD575D"/>
    <w:rsid w:val="00BD7496"/>
    <w:rsid w:val="00BD7D3A"/>
    <w:rsid w:val="00BE042D"/>
    <w:rsid w:val="00BE347F"/>
    <w:rsid w:val="00BE43B5"/>
    <w:rsid w:val="00BE4802"/>
    <w:rsid w:val="00BE7212"/>
    <w:rsid w:val="00BF0D7C"/>
    <w:rsid w:val="00BF331F"/>
    <w:rsid w:val="00BF4F47"/>
    <w:rsid w:val="00BF6B17"/>
    <w:rsid w:val="00C03B20"/>
    <w:rsid w:val="00C03B2B"/>
    <w:rsid w:val="00C053A4"/>
    <w:rsid w:val="00C05CC6"/>
    <w:rsid w:val="00C068C7"/>
    <w:rsid w:val="00C073C2"/>
    <w:rsid w:val="00C10156"/>
    <w:rsid w:val="00C12BD0"/>
    <w:rsid w:val="00C13C12"/>
    <w:rsid w:val="00C160F4"/>
    <w:rsid w:val="00C17860"/>
    <w:rsid w:val="00C179A1"/>
    <w:rsid w:val="00C206DC"/>
    <w:rsid w:val="00C20F99"/>
    <w:rsid w:val="00C2120D"/>
    <w:rsid w:val="00C215E7"/>
    <w:rsid w:val="00C233E9"/>
    <w:rsid w:val="00C2605C"/>
    <w:rsid w:val="00C26C5B"/>
    <w:rsid w:val="00C26EFC"/>
    <w:rsid w:val="00C2711B"/>
    <w:rsid w:val="00C303B4"/>
    <w:rsid w:val="00C32A79"/>
    <w:rsid w:val="00C34F22"/>
    <w:rsid w:val="00C40451"/>
    <w:rsid w:val="00C40EBC"/>
    <w:rsid w:val="00C41265"/>
    <w:rsid w:val="00C4202E"/>
    <w:rsid w:val="00C42ACA"/>
    <w:rsid w:val="00C431EA"/>
    <w:rsid w:val="00C45858"/>
    <w:rsid w:val="00C51308"/>
    <w:rsid w:val="00C51F78"/>
    <w:rsid w:val="00C53318"/>
    <w:rsid w:val="00C539F8"/>
    <w:rsid w:val="00C53A47"/>
    <w:rsid w:val="00C57BB9"/>
    <w:rsid w:val="00C603DE"/>
    <w:rsid w:val="00C606F6"/>
    <w:rsid w:val="00C6082E"/>
    <w:rsid w:val="00C61699"/>
    <w:rsid w:val="00C62B02"/>
    <w:rsid w:val="00C63689"/>
    <w:rsid w:val="00C63F8B"/>
    <w:rsid w:val="00C6402C"/>
    <w:rsid w:val="00C64309"/>
    <w:rsid w:val="00C64908"/>
    <w:rsid w:val="00C705B5"/>
    <w:rsid w:val="00C7093C"/>
    <w:rsid w:val="00C738BD"/>
    <w:rsid w:val="00C75D40"/>
    <w:rsid w:val="00C77DEA"/>
    <w:rsid w:val="00C83627"/>
    <w:rsid w:val="00C8538A"/>
    <w:rsid w:val="00C85E44"/>
    <w:rsid w:val="00C92F94"/>
    <w:rsid w:val="00C95266"/>
    <w:rsid w:val="00C952B2"/>
    <w:rsid w:val="00C95D81"/>
    <w:rsid w:val="00C960AA"/>
    <w:rsid w:val="00CA121E"/>
    <w:rsid w:val="00CA1E9B"/>
    <w:rsid w:val="00CA2C51"/>
    <w:rsid w:val="00CA3415"/>
    <w:rsid w:val="00CA3C4E"/>
    <w:rsid w:val="00CA501D"/>
    <w:rsid w:val="00CA55C4"/>
    <w:rsid w:val="00CB1789"/>
    <w:rsid w:val="00CB1CB2"/>
    <w:rsid w:val="00CB2557"/>
    <w:rsid w:val="00CB3928"/>
    <w:rsid w:val="00CB44C4"/>
    <w:rsid w:val="00CB47FE"/>
    <w:rsid w:val="00CB4D35"/>
    <w:rsid w:val="00CB4EAA"/>
    <w:rsid w:val="00CB5C26"/>
    <w:rsid w:val="00CB6703"/>
    <w:rsid w:val="00CC2565"/>
    <w:rsid w:val="00CC262B"/>
    <w:rsid w:val="00CC39B1"/>
    <w:rsid w:val="00CC3D90"/>
    <w:rsid w:val="00CC53AC"/>
    <w:rsid w:val="00CD05F5"/>
    <w:rsid w:val="00CD3DB2"/>
    <w:rsid w:val="00CD46AE"/>
    <w:rsid w:val="00CD526B"/>
    <w:rsid w:val="00CD5B93"/>
    <w:rsid w:val="00CD7039"/>
    <w:rsid w:val="00CD79FE"/>
    <w:rsid w:val="00CE26E6"/>
    <w:rsid w:val="00CE3B32"/>
    <w:rsid w:val="00CE4A24"/>
    <w:rsid w:val="00CE613B"/>
    <w:rsid w:val="00CE7403"/>
    <w:rsid w:val="00CF0826"/>
    <w:rsid w:val="00CF0D8A"/>
    <w:rsid w:val="00CF120D"/>
    <w:rsid w:val="00CF267F"/>
    <w:rsid w:val="00CF3836"/>
    <w:rsid w:val="00CF4BAA"/>
    <w:rsid w:val="00CF6135"/>
    <w:rsid w:val="00CF646A"/>
    <w:rsid w:val="00CF6D51"/>
    <w:rsid w:val="00CF7DA0"/>
    <w:rsid w:val="00D0312C"/>
    <w:rsid w:val="00D03BDF"/>
    <w:rsid w:val="00D041A4"/>
    <w:rsid w:val="00D04614"/>
    <w:rsid w:val="00D05165"/>
    <w:rsid w:val="00D0643A"/>
    <w:rsid w:val="00D10407"/>
    <w:rsid w:val="00D13B0E"/>
    <w:rsid w:val="00D16CEC"/>
    <w:rsid w:val="00D1723F"/>
    <w:rsid w:val="00D17B70"/>
    <w:rsid w:val="00D22BE0"/>
    <w:rsid w:val="00D233AF"/>
    <w:rsid w:val="00D24191"/>
    <w:rsid w:val="00D252A8"/>
    <w:rsid w:val="00D26B64"/>
    <w:rsid w:val="00D30AA4"/>
    <w:rsid w:val="00D30CE5"/>
    <w:rsid w:val="00D34F28"/>
    <w:rsid w:val="00D35F1E"/>
    <w:rsid w:val="00D3674A"/>
    <w:rsid w:val="00D36B20"/>
    <w:rsid w:val="00D40383"/>
    <w:rsid w:val="00D4085D"/>
    <w:rsid w:val="00D409BE"/>
    <w:rsid w:val="00D428F4"/>
    <w:rsid w:val="00D434F3"/>
    <w:rsid w:val="00D46E83"/>
    <w:rsid w:val="00D50F72"/>
    <w:rsid w:val="00D51386"/>
    <w:rsid w:val="00D52914"/>
    <w:rsid w:val="00D53BDD"/>
    <w:rsid w:val="00D5485B"/>
    <w:rsid w:val="00D55A78"/>
    <w:rsid w:val="00D57346"/>
    <w:rsid w:val="00D61911"/>
    <w:rsid w:val="00D62258"/>
    <w:rsid w:val="00D625A7"/>
    <w:rsid w:val="00D64E9D"/>
    <w:rsid w:val="00D6710E"/>
    <w:rsid w:val="00D677F9"/>
    <w:rsid w:val="00D67C87"/>
    <w:rsid w:val="00D702F1"/>
    <w:rsid w:val="00D729FA"/>
    <w:rsid w:val="00D7308A"/>
    <w:rsid w:val="00D7336A"/>
    <w:rsid w:val="00D73591"/>
    <w:rsid w:val="00D802FC"/>
    <w:rsid w:val="00D810B5"/>
    <w:rsid w:val="00D819B9"/>
    <w:rsid w:val="00D8532B"/>
    <w:rsid w:val="00D85463"/>
    <w:rsid w:val="00D85750"/>
    <w:rsid w:val="00D86616"/>
    <w:rsid w:val="00D92699"/>
    <w:rsid w:val="00D95253"/>
    <w:rsid w:val="00D95BFF"/>
    <w:rsid w:val="00D96E53"/>
    <w:rsid w:val="00D973A5"/>
    <w:rsid w:val="00D97E8A"/>
    <w:rsid w:val="00DA205D"/>
    <w:rsid w:val="00DA256A"/>
    <w:rsid w:val="00DA36E3"/>
    <w:rsid w:val="00DA38D8"/>
    <w:rsid w:val="00DA6C5E"/>
    <w:rsid w:val="00DA7233"/>
    <w:rsid w:val="00DB3DE4"/>
    <w:rsid w:val="00DC2724"/>
    <w:rsid w:val="00DC452F"/>
    <w:rsid w:val="00DC4D62"/>
    <w:rsid w:val="00DC50E5"/>
    <w:rsid w:val="00DC76C7"/>
    <w:rsid w:val="00DC79C4"/>
    <w:rsid w:val="00DC7EC4"/>
    <w:rsid w:val="00DD0F8E"/>
    <w:rsid w:val="00DE311A"/>
    <w:rsid w:val="00DE3197"/>
    <w:rsid w:val="00DE36EB"/>
    <w:rsid w:val="00DE3C8E"/>
    <w:rsid w:val="00DE4A6C"/>
    <w:rsid w:val="00DE4A92"/>
    <w:rsid w:val="00DE5CB9"/>
    <w:rsid w:val="00DE64C1"/>
    <w:rsid w:val="00DF266E"/>
    <w:rsid w:val="00DF28CA"/>
    <w:rsid w:val="00DF28FA"/>
    <w:rsid w:val="00DF591E"/>
    <w:rsid w:val="00DF5BAB"/>
    <w:rsid w:val="00E028F7"/>
    <w:rsid w:val="00E04C35"/>
    <w:rsid w:val="00E10555"/>
    <w:rsid w:val="00E11087"/>
    <w:rsid w:val="00E119F1"/>
    <w:rsid w:val="00E14382"/>
    <w:rsid w:val="00E16E0A"/>
    <w:rsid w:val="00E204BB"/>
    <w:rsid w:val="00E21C81"/>
    <w:rsid w:val="00E220BC"/>
    <w:rsid w:val="00E22337"/>
    <w:rsid w:val="00E23FEA"/>
    <w:rsid w:val="00E2584A"/>
    <w:rsid w:val="00E31096"/>
    <w:rsid w:val="00E324AE"/>
    <w:rsid w:val="00E33938"/>
    <w:rsid w:val="00E33F03"/>
    <w:rsid w:val="00E34387"/>
    <w:rsid w:val="00E354D8"/>
    <w:rsid w:val="00E3658A"/>
    <w:rsid w:val="00E3706A"/>
    <w:rsid w:val="00E3738B"/>
    <w:rsid w:val="00E37446"/>
    <w:rsid w:val="00E37730"/>
    <w:rsid w:val="00E4099E"/>
    <w:rsid w:val="00E456AA"/>
    <w:rsid w:val="00E5201F"/>
    <w:rsid w:val="00E55462"/>
    <w:rsid w:val="00E56596"/>
    <w:rsid w:val="00E579FF"/>
    <w:rsid w:val="00E604C6"/>
    <w:rsid w:val="00E60727"/>
    <w:rsid w:val="00E646BE"/>
    <w:rsid w:val="00E6698B"/>
    <w:rsid w:val="00E7195E"/>
    <w:rsid w:val="00E72F4A"/>
    <w:rsid w:val="00E73D21"/>
    <w:rsid w:val="00E7467D"/>
    <w:rsid w:val="00E751FD"/>
    <w:rsid w:val="00E758F0"/>
    <w:rsid w:val="00E8155C"/>
    <w:rsid w:val="00E82115"/>
    <w:rsid w:val="00E832FF"/>
    <w:rsid w:val="00E83448"/>
    <w:rsid w:val="00E838D3"/>
    <w:rsid w:val="00E87B86"/>
    <w:rsid w:val="00E90BF8"/>
    <w:rsid w:val="00E92C8A"/>
    <w:rsid w:val="00E9346D"/>
    <w:rsid w:val="00EA16FA"/>
    <w:rsid w:val="00EA21BF"/>
    <w:rsid w:val="00EA2331"/>
    <w:rsid w:val="00EA4EA8"/>
    <w:rsid w:val="00EA594C"/>
    <w:rsid w:val="00EA6DD2"/>
    <w:rsid w:val="00EA7329"/>
    <w:rsid w:val="00EA77C8"/>
    <w:rsid w:val="00EA7A1C"/>
    <w:rsid w:val="00EB22AB"/>
    <w:rsid w:val="00EB5170"/>
    <w:rsid w:val="00EB7EDA"/>
    <w:rsid w:val="00EC0E38"/>
    <w:rsid w:val="00EC12A6"/>
    <w:rsid w:val="00EC2BA1"/>
    <w:rsid w:val="00EC3E78"/>
    <w:rsid w:val="00EC5206"/>
    <w:rsid w:val="00EC5D22"/>
    <w:rsid w:val="00ED0175"/>
    <w:rsid w:val="00ED0401"/>
    <w:rsid w:val="00ED0AC8"/>
    <w:rsid w:val="00ED293B"/>
    <w:rsid w:val="00ED2AC4"/>
    <w:rsid w:val="00ED4036"/>
    <w:rsid w:val="00ED474E"/>
    <w:rsid w:val="00EE041B"/>
    <w:rsid w:val="00EE44B3"/>
    <w:rsid w:val="00EE57AC"/>
    <w:rsid w:val="00EE74C4"/>
    <w:rsid w:val="00EE7D29"/>
    <w:rsid w:val="00EF003B"/>
    <w:rsid w:val="00EF0B83"/>
    <w:rsid w:val="00EF33DE"/>
    <w:rsid w:val="00EF5ED1"/>
    <w:rsid w:val="00EF6486"/>
    <w:rsid w:val="00EF72D4"/>
    <w:rsid w:val="00F02D6B"/>
    <w:rsid w:val="00F111C1"/>
    <w:rsid w:val="00F11A23"/>
    <w:rsid w:val="00F11DDE"/>
    <w:rsid w:val="00F120E6"/>
    <w:rsid w:val="00F12ACD"/>
    <w:rsid w:val="00F1432A"/>
    <w:rsid w:val="00F16589"/>
    <w:rsid w:val="00F16B94"/>
    <w:rsid w:val="00F2068C"/>
    <w:rsid w:val="00F234AB"/>
    <w:rsid w:val="00F24478"/>
    <w:rsid w:val="00F27931"/>
    <w:rsid w:val="00F30176"/>
    <w:rsid w:val="00F31DE0"/>
    <w:rsid w:val="00F3227C"/>
    <w:rsid w:val="00F3245D"/>
    <w:rsid w:val="00F34E36"/>
    <w:rsid w:val="00F34E70"/>
    <w:rsid w:val="00F411CE"/>
    <w:rsid w:val="00F4182C"/>
    <w:rsid w:val="00F4377A"/>
    <w:rsid w:val="00F46216"/>
    <w:rsid w:val="00F46237"/>
    <w:rsid w:val="00F47765"/>
    <w:rsid w:val="00F501C6"/>
    <w:rsid w:val="00F50B3F"/>
    <w:rsid w:val="00F5698D"/>
    <w:rsid w:val="00F6036A"/>
    <w:rsid w:val="00F630DB"/>
    <w:rsid w:val="00F630EF"/>
    <w:rsid w:val="00F64038"/>
    <w:rsid w:val="00F6403E"/>
    <w:rsid w:val="00F64598"/>
    <w:rsid w:val="00F66CC2"/>
    <w:rsid w:val="00F6761F"/>
    <w:rsid w:val="00F71346"/>
    <w:rsid w:val="00F715F2"/>
    <w:rsid w:val="00F730C7"/>
    <w:rsid w:val="00F7623A"/>
    <w:rsid w:val="00F76C87"/>
    <w:rsid w:val="00F76EA2"/>
    <w:rsid w:val="00F85C5F"/>
    <w:rsid w:val="00F86546"/>
    <w:rsid w:val="00F8684A"/>
    <w:rsid w:val="00F916C3"/>
    <w:rsid w:val="00F94C3D"/>
    <w:rsid w:val="00F95D26"/>
    <w:rsid w:val="00F96597"/>
    <w:rsid w:val="00F979C5"/>
    <w:rsid w:val="00FA0504"/>
    <w:rsid w:val="00FA0CBF"/>
    <w:rsid w:val="00FA0E45"/>
    <w:rsid w:val="00FA2EC0"/>
    <w:rsid w:val="00FA4E87"/>
    <w:rsid w:val="00FA64FD"/>
    <w:rsid w:val="00FB1C3E"/>
    <w:rsid w:val="00FB1D14"/>
    <w:rsid w:val="00FB4200"/>
    <w:rsid w:val="00FB5750"/>
    <w:rsid w:val="00FB6A2E"/>
    <w:rsid w:val="00FC055C"/>
    <w:rsid w:val="00FC7695"/>
    <w:rsid w:val="00FD2A71"/>
    <w:rsid w:val="00FD4437"/>
    <w:rsid w:val="00FD5FBB"/>
    <w:rsid w:val="00FD76BE"/>
    <w:rsid w:val="00FE08EE"/>
    <w:rsid w:val="00FE0DC9"/>
    <w:rsid w:val="00FE26A5"/>
    <w:rsid w:val="00FE347C"/>
    <w:rsid w:val="00FE46C7"/>
    <w:rsid w:val="00FE4A16"/>
    <w:rsid w:val="00FE567F"/>
    <w:rsid w:val="00FF0B88"/>
    <w:rsid w:val="00FF1178"/>
    <w:rsid w:val="00FF237E"/>
    <w:rsid w:val="00FF3785"/>
    <w:rsid w:val="00FF43D2"/>
    <w:rsid w:val="00FF4B41"/>
    <w:rsid w:val="00FF5029"/>
    <w:rsid w:val="00FF678A"/>
    <w:rsid w:val="00FF73DD"/>
    <w:rsid w:val="00FF78DD"/>
    <w:rsid w:val="6CEB6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CFCC8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23"/>
      </w:numPr>
    </w:pPr>
  </w:style>
  <w:style w:type="paragraph" w:customStyle="1" w:styleId="Dash">
    <w:name w:val="Dash"/>
    <w:basedOn w:val="Normal"/>
    <w:rsid w:val="00D51386"/>
    <w:pPr>
      <w:tabs>
        <w:tab w:val="num" w:pos="567"/>
        <w:tab w:val="num" w:pos="850"/>
        <w:tab w:val="num" w:pos="1086"/>
      </w:tabs>
      <w:ind w:left="1086" w:hanging="543"/>
    </w:pPr>
  </w:style>
  <w:style w:type="paragraph" w:customStyle="1" w:styleId="DoubleDot">
    <w:name w:val="Double Dot"/>
    <w:basedOn w:val="Normal"/>
    <w:rsid w:val="00D51386"/>
    <w:pPr>
      <w:tabs>
        <w:tab w:val="num" w:pos="850"/>
        <w:tab w:val="num" w:pos="1133"/>
        <w:tab w:val="num" w:pos="1629"/>
      </w:tabs>
      <w:ind w:left="1629" w:hanging="543"/>
    </w:pPr>
  </w:style>
  <w:style w:type="paragraph" w:customStyle="1" w:styleId="OutlineNumbered1">
    <w:name w:val="Outline Numbered 1"/>
    <w:basedOn w:val="Normal"/>
    <w:rsid w:val="00D51386"/>
    <w:pPr>
      <w:numPr>
        <w:numId w:val="2"/>
      </w:numPr>
    </w:pPr>
  </w:style>
  <w:style w:type="paragraph" w:customStyle="1" w:styleId="OutlineNumbered2">
    <w:name w:val="Outline Numbered 2"/>
    <w:basedOn w:val="Normal"/>
    <w:rsid w:val="00D51386"/>
    <w:pPr>
      <w:numPr>
        <w:ilvl w:val="1"/>
        <w:numId w:val="2"/>
      </w:numPr>
    </w:pPr>
  </w:style>
  <w:style w:type="paragraph" w:customStyle="1" w:styleId="OutlineNumbered3">
    <w:name w:val="Outline Numbered 3"/>
    <w:basedOn w:val="Normal"/>
    <w:rsid w:val="00D51386"/>
    <w:pPr>
      <w:numPr>
        <w:ilvl w:val="2"/>
        <w:numId w:val="2"/>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3"/>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5"/>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4"/>
      </w:numPr>
    </w:pPr>
  </w:style>
  <w:style w:type="paragraph" w:customStyle="1" w:styleId="BoxDash">
    <w:name w:val="Box Dash"/>
    <w:basedOn w:val="Normal"/>
    <w:uiPriority w:val="99"/>
    <w:rsid w:val="00D51386"/>
    <w:pPr>
      <w:numPr>
        <w:ilvl w:val="1"/>
        <w:numId w:val="4"/>
      </w:numPr>
    </w:pPr>
  </w:style>
  <w:style w:type="paragraph" w:customStyle="1" w:styleId="BoxDoubleDot">
    <w:name w:val="Box Double Dot"/>
    <w:basedOn w:val="BoxTextBase"/>
    <w:uiPriority w:val="99"/>
    <w:rsid w:val="00D51386"/>
    <w:pPr>
      <w:numPr>
        <w:ilvl w:val="2"/>
        <w:numId w:val="4"/>
      </w:numPr>
    </w:pPr>
  </w:style>
  <w:style w:type="paragraph" w:customStyle="1" w:styleId="RecommendationBullet">
    <w:name w:val="Recommendation Bullet"/>
    <w:basedOn w:val="RecommendationTextBase"/>
    <w:rsid w:val="00D51386"/>
    <w:pPr>
      <w:numPr>
        <w:numId w:val="6"/>
      </w:numPr>
    </w:pPr>
  </w:style>
  <w:style w:type="paragraph" w:customStyle="1" w:styleId="RecommendationDash">
    <w:name w:val="Recommendation Dash"/>
    <w:basedOn w:val="RecommendationTextBase"/>
    <w:rsid w:val="00D51386"/>
    <w:pPr>
      <w:numPr>
        <w:ilvl w:val="1"/>
        <w:numId w:val="6"/>
      </w:numPr>
    </w:pPr>
  </w:style>
  <w:style w:type="paragraph" w:customStyle="1" w:styleId="RecommendationDoubleDot">
    <w:name w:val="Recommendation Double Dot"/>
    <w:basedOn w:val="RecommendationTextBase"/>
    <w:rsid w:val="00D51386"/>
    <w:pPr>
      <w:numPr>
        <w:ilvl w:val="2"/>
        <w:numId w:val="6"/>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1"/>
      </w:numPr>
    </w:pPr>
  </w:style>
  <w:style w:type="paragraph" w:customStyle="1" w:styleId="Romannumeral">
    <w:name w:val="Roman numeral"/>
    <w:basedOn w:val="Normal"/>
    <w:rsid w:val="00D51386"/>
    <w:pPr>
      <w:numPr>
        <w:numId w:val="1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8"/>
      </w:numPr>
    </w:pPr>
    <w:rPr>
      <w:b/>
    </w:rPr>
  </w:style>
  <w:style w:type="paragraph" w:customStyle="1" w:styleId="ScheduleListSubHeading">
    <w:name w:val="ScheduleListSubHeading"/>
    <w:basedOn w:val="ScheduleList"/>
    <w:rsid w:val="00D51386"/>
    <w:pPr>
      <w:numPr>
        <w:ilvl w:val="1"/>
      </w:numPr>
      <w:tabs>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9"/>
      </w:numPr>
    </w:pPr>
  </w:style>
  <w:style w:type="paragraph" w:customStyle="1" w:styleId="AgreementParties">
    <w:name w:val="AgreementParties"/>
    <w:rsid w:val="00D51386"/>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dTable1Light">
    <w:name w:val="Grid Table 1 Light"/>
    <w:basedOn w:val="TableNormal"/>
    <w:uiPriority w:val="46"/>
    <w:rsid w:val="005C7B5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D477D"/>
    <w:rPr>
      <w:rFonts w:ascii="Corbel" w:hAnsi="Corbel"/>
      <w:color w:val="000000"/>
      <w:sz w:val="23"/>
    </w:rPr>
  </w:style>
  <w:style w:type="paragraph" w:styleId="PlainText">
    <w:name w:val="Plain Text"/>
    <w:basedOn w:val="Normal"/>
    <w:link w:val="PlainTextChar"/>
    <w:uiPriority w:val="99"/>
    <w:semiHidden/>
    <w:unhideWhenUsed/>
    <w:rsid w:val="00E22337"/>
    <w:pPr>
      <w:spacing w:after="0" w:line="240" w:lineRule="auto"/>
      <w:jc w:val="left"/>
    </w:pPr>
    <w:rPr>
      <w:rFonts w:ascii="Calibri" w:eastAsiaTheme="minorHAnsi" w:hAnsi="Calibri" w:cs="Calibri"/>
      <w:color w:val="auto"/>
      <w:sz w:val="22"/>
      <w:szCs w:val="22"/>
      <w:lang w:eastAsia="en-US"/>
    </w:rPr>
  </w:style>
  <w:style w:type="character" w:customStyle="1" w:styleId="PlainTextChar">
    <w:name w:val="Plain Text Char"/>
    <w:basedOn w:val="DefaultParagraphFont"/>
    <w:link w:val="PlainText"/>
    <w:uiPriority w:val="99"/>
    <w:semiHidden/>
    <w:rsid w:val="00E22337"/>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427">
      <w:bodyDiv w:val="1"/>
      <w:marLeft w:val="0"/>
      <w:marRight w:val="0"/>
      <w:marTop w:val="0"/>
      <w:marBottom w:val="0"/>
      <w:divBdr>
        <w:top w:val="none" w:sz="0" w:space="0" w:color="auto"/>
        <w:left w:val="none" w:sz="0" w:space="0" w:color="auto"/>
        <w:bottom w:val="none" w:sz="0" w:space="0" w:color="auto"/>
        <w:right w:val="none" w:sz="0" w:space="0" w:color="auto"/>
      </w:divBdr>
    </w:div>
    <w:div w:id="72044045">
      <w:marLeft w:val="0"/>
      <w:marRight w:val="0"/>
      <w:marTop w:val="0"/>
      <w:marBottom w:val="0"/>
      <w:divBdr>
        <w:top w:val="none" w:sz="0" w:space="0" w:color="auto"/>
        <w:left w:val="none" w:sz="0" w:space="0" w:color="auto"/>
        <w:bottom w:val="none" w:sz="0" w:space="0" w:color="auto"/>
        <w:right w:val="none" w:sz="0" w:space="0" w:color="auto"/>
      </w:divBdr>
    </w:div>
    <w:div w:id="72044046">
      <w:marLeft w:val="0"/>
      <w:marRight w:val="0"/>
      <w:marTop w:val="0"/>
      <w:marBottom w:val="0"/>
      <w:divBdr>
        <w:top w:val="none" w:sz="0" w:space="0" w:color="auto"/>
        <w:left w:val="none" w:sz="0" w:space="0" w:color="auto"/>
        <w:bottom w:val="none" w:sz="0" w:space="0" w:color="auto"/>
        <w:right w:val="none" w:sz="0" w:space="0" w:color="auto"/>
      </w:divBdr>
    </w:div>
    <w:div w:id="72044047">
      <w:marLeft w:val="0"/>
      <w:marRight w:val="0"/>
      <w:marTop w:val="0"/>
      <w:marBottom w:val="0"/>
      <w:divBdr>
        <w:top w:val="none" w:sz="0" w:space="0" w:color="auto"/>
        <w:left w:val="none" w:sz="0" w:space="0" w:color="auto"/>
        <w:bottom w:val="none" w:sz="0" w:space="0" w:color="auto"/>
        <w:right w:val="none" w:sz="0" w:space="0" w:color="auto"/>
      </w:divBdr>
    </w:div>
    <w:div w:id="363364097">
      <w:bodyDiv w:val="1"/>
      <w:marLeft w:val="0"/>
      <w:marRight w:val="0"/>
      <w:marTop w:val="0"/>
      <w:marBottom w:val="0"/>
      <w:divBdr>
        <w:top w:val="none" w:sz="0" w:space="0" w:color="auto"/>
        <w:left w:val="none" w:sz="0" w:space="0" w:color="auto"/>
        <w:bottom w:val="none" w:sz="0" w:space="0" w:color="auto"/>
        <w:right w:val="none" w:sz="0" w:space="0" w:color="auto"/>
      </w:divBdr>
    </w:div>
    <w:div w:id="484468208">
      <w:bodyDiv w:val="1"/>
      <w:marLeft w:val="0"/>
      <w:marRight w:val="0"/>
      <w:marTop w:val="0"/>
      <w:marBottom w:val="0"/>
      <w:divBdr>
        <w:top w:val="none" w:sz="0" w:space="0" w:color="auto"/>
        <w:left w:val="none" w:sz="0" w:space="0" w:color="auto"/>
        <w:bottom w:val="none" w:sz="0" w:space="0" w:color="auto"/>
        <w:right w:val="none" w:sz="0" w:space="0" w:color="auto"/>
      </w:divBdr>
    </w:div>
    <w:div w:id="1425226884">
      <w:bodyDiv w:val="1"/>
      <w:marLeft w:val="0"/>
      <w:marRight w:val="0"/>
      <w:marTop w:val="0"/>
      <w:marBottom w:val="0"/>
      <w:divBdr>
        <w:top w:val="none" w:sz="0" w:space="0" w:color="auto"/>
        <w:left w:val="none" w:sz="0" w:space="0" w:color="auto"/>
        <w:bottom w:val="none" w:sz="0" w:space="0" w:color="auto"/>
        <w:right w:val="none" w:sz="0" w:space="0" w:color="auto"/>
      </w:divBdr>
    </w:div>
    <w:div w:id="1455052188">
      <w:bodyDiv w:val="1"/>
      <w:marLeft w:val="0"/>
      <w:marRight w:val="0"/>
      <w:marTop w:val="0"/>
      <w:marBottom w:val="0"/>
      <w:divBdr>
        <w:top w:val="none" w:sz="0" w:space="0" w:color="auto"/>
        <w:left w:val="none" w:sz="0" w:space="0" w:color="auto"/>
        <w:bottom w:val="none" w:sz="0" w:space="0" w:color="auto"/>
        <w:right w:val="none" w:sz="0" w:space="0" w:color="auto"/>
      </w:divBdr>
    </w:div>
    <w:div w:id="1556814251">
      <w:bodyDiv w:val="1"/>
      <w:marLeft w:val="0"/>
      <w:marRight w:val="0"/>
      <w:marTop w:val="0"/>
      <w:marBottom w:val="0"/>
      <w:divBdr>
        <w:top w:val="none" w:sz="0" w:space="0" w:color="auto"/>
        <w:left w:val="none" w:sz="0" w:space="0" w:color="auto"/>
        <w:bottom w:val="none" w:sz="0" w:space="0" w:color="auto"/>
        <w:right w:val="none" w:sz="0" w:space="0" w:color="auto"/>
      </w:divBdr>
    </w:div>
    <w:div w:id="1588075775">
      <w:bodyDiv w:val="1"/>
      <w:marLeft w:val="0"/>
      <w:marRight w:val="0"/>
      <w:marTop w:val="0"/>
      <w:marBottom w:val="0"/>
      <w:divBdr>
        <w:top w:val="none" w:sz="0" w:space="0" w:color="auto"/>
        <w:left w:val="none" w:sz="0" w:space="0" w:color="auto"/>
        <w:bottom w:val="none" w:sz="0" w:space="0" w:color="auto"/>
        <w:right w:val="none" w:sz="0" w:space="0" w:color="auto"/>
      </w:divBdr>
    </w:div>
    <w:div w:id="1885364677">
      <w:bodyDiv w:val="1"/>
      <w:marLeft w:val="0"/>
      <w:marRight w:val="0"/>
      <w:marTop w:val="0"/>
      <w:marBottom w:val="0"/>
      <w:divBdr>
        <w:top w:val="none" w:sz="0" w:space="0" w:color="auto"/>
        <w:left w:val="none" w:sz="0" w:space="0" w:color="auto"/>
        <w:bottom w:val="none" w:sz="0" w:space="0" w:color="auto"/>
        <w:right w:val="none" w:sz="0" w:space="0" w:color="auto"/>
      </w:divBdr>
    </w:div>
    <w:div w:id="21043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115" ma:contentTypeDescription=" " ma:contentTypeScope="" ma:versionID="6b7e861b069c10e40c0c1842d76e7e50">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2020FG-64-82263</_dlc_DocId>
    <TaxCatchAll xmlns="0f563589-9cf9-4143-b1eb-fb0534803d38">
      <Value>2</Value>
    </TaxCatchAll>
    <_dlc_DocIdUrl xmlns="0f563589-9cf9-4143-b1eb-fb0534803d38">
      <Url>http://tweb/sites/fg/csrd/_layouts/15/DocIdRedir.aspx?ID=2020FG-64-82263</Url>
      <Description>2020FG-64-82263</Description>
    </_dlc_DocIdUrl>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B06FF-8E02-4BEA-AB3E-69A9B0ADC30C}">
  <ds:schemaRefs>
    <ds:schemaRef ds:uri="office.server.policy"/>
  </ds:schemaRefs>
</ds:datastoreItem>
</file>

<file path=customXml/itemProps2.xml><?xml version="1.0" encoding="utf-8"?>
<ds:datastoreItem xmlns:ds="http://schemas.openxmlformats.org/officeDocument/2006/customXml" ds:itemID="{F2AD0049-47CA-43FB-BB00-7BFF35F48DB3}">
  <ds:schemaRefs>
    <ds:schemaRef ds:uri="http://schemas.microsoft.com/sharepoint/events"/>
  </ds:schemaRefs>
</ds:datastoreItem>
</file>

<file path=customXml/itemProps3.xml><?xml version="1.0" encoding="utf-8"?>
<ds:datastoreItem xmlns:ds="http://schemas.openxmlformats.org/officeDocument/2006/customXml" ds:itemID="{EFE20154-1F2F-4232-BAF7-C4C4A4DF0C1A}">
  <ds:schemaRefs>
    <ds:schemaRef ds:uri="Microsoft.SharePoint.Taxonomy.ContentTypeSync"/>
  </ds:schemaRefs>
</ds:datastoreItem>
</file>

<file path=customXml/itemProps4.xml><?xml version="1.0" encoding="utf-8"?>
<ds:datastoreItem xmlns:ds="http://schemas.openxmlformats.org/officeDocument/2006/customXml" ds:itemID="{C29C1E4E-BB23-4E65-8A4E-8D5C9418354E}"/>
</file>

<file path=customXml/itemProps5.xml><?xml version="1.0" encoding="utf-8"?>
<ds:datastoreItem xmlns:ds="http://schemas.openxmlformats.org/officeDocument/2006/customXml" ds:itemID="{526EAD4D-7F2B-48E1-8A82-584BDB043D71}">
  <ds:schemaRefs>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5ADED3D8-2182-48AC-944C-FEA83ED07000}">
  <ds:schemaRefs>
    <ds:schemaRef ds:uri="http://schemas.microsoft.com/sharepoint/v3/contenttype/forms"/>
  </ds:schemaRefs>
</ds:datastoreItem>
</file>

<file path=customXml/itemProps7.xml><?xml version="1.0" encoding="utf-8"?>
<ds:datastoreItem xmlns:ds="http://schemas.openxmlformats.org/officeDocument/2006/customXml" ds:itemID="{49776B9D-F530-455B-9D91-782E91C8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2388</Words>
  <Characters>13061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2020-03-06T05:05:00Z</dcterms:created>
  <dcterms:modified xsi:type="dcterms:W3CDTF">2020-03-06T05:05:00Z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ab94e753-a53c-425e-816b-9737fd8c4a58</vt:lpwstr>
  </property>
  <property fmtid="{D5CDD505-2E9C-101B-9397-08002B2CF9AE}" pid="5" name="_NewReviewCycle">
    <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{4435c73b-6585-4bc2-a76a-5d21b1a02e06}</vt:lpwstr>
  </property>
  <property fmtid="{D5CDD505-2E9C-101B-9397-08002B2CF9AE}" pid="9" name="RecordPoint_ActiveItemUniqueId">
    <vt:lpwstr>{ab94e753-a53c-425e-816b-9737fd8c4a58}</vt:lpwstr>
  </property>
  <property fmtid="{D5CDD505-2E9C-101B-9397-08002B2CF9AE}" pid="10" name="RecordPoint_ActiveItemWebId">
    <vt:lpwstr>{a4589788-615f-4b8b-8296-7f9f6dfbab44}</vt:lpwstr>
  </property>
</Properties>
</file>