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25538DFC" w14:textId="77777777">
        <w:tc>
          <w:tcPr>
            <w:tcW w:w="5000" w:type="pct"/>
            <w:gridSpan w:val="2"/>
          </w:tcPr>
          <w:p w14:paraId="4EFEF03F" w14:textId="4DB90077" w:rsidR="00814667" w:rsidRDefault="00BA4284" w:rsidP="004D1AD2">
            <w:pPr>
              <w:pStyle w:val="CoverTitleMain"/>
            </w:pPr>
            <w:r>
              <w:t>Project AGreement</w:t>
            </w:r>
            <w:r w:rsidR="00512B16">
              <w:t xml:space="preserve"> FOR </w:t>
            </w:r>
            <w:r w:rsidR="004D1AD2">
              <w:t xml:space="preserve">the Launceston City Deal: </w:t>
            </w:r>
            <w:r w:rsidR="00512B16">
              <w:t>tamar estuary</w:t>
            </w:r>
            <w:r w:rsidR="0077405E">
              <w:t xml:space="preserve"> – Urban water Infrastructure upgrades</w:t>
            </w:r>
            <w:r w:rsidR="007A6926">
              <w:t xml:space="preserve"> </w:t>
            </w:r>
          </w:p>
        </w:tc>
      </w:tr>
      <w:tr w:rsidR="00814667" w14:paraId="779A7557" w14:textId="77777777">
        <w:tc>
          <w:tcPr>
            <w:tcW w:w="767" w:type="pct"/>
          </w:tcPr>
          <w:p w14:paraId="117AC202" w14:textId="77777777" w:rsidR="00814667" w:rsidRDefault="00814667">
            <w:pPr>
              <w:pStyle w:val="SingleParagraph"/>
              <w:tabs>
                <w:tab w:val="num" w:pos="1134"/>
              </w:tabs>
              <w:spacing w:after="240"/>
              <w:ind w:left="1134" w:hanging="567"/>
            </w:pPr>
          </w:p>
        </w:tc>
        <w:tc>
          <w:tcPr>
            <w:tcW w:w="4233" w:type="pct"/>
          </w:tcPr>
          <w:p w14:paraId="2D7188D1" w14:textId="77777777" w:rsidR="00814667" w:rsidRDefault="00814667">
            <w:pPr>
              <w:pStyle w:val="SingleParagraph"/>
              <w:tabs>
                <w:tab w:val="num" w:pos="1134"/>
              </w:tabs>
              <w:spacing w:after="240"/>
              <w:ind w:left="1134" w:hanging="567"/>
            </w:pPr>
          </w:p>
        </w:tc>
      </w:tr>
      <w:tr w:rsidR="00814667" w14:paraId="2F280C2E" w14:textId="77777777">
        <w:tc>
          <w:tcPr>
            <w:tcW w:w="767" w:type="pct"/>
          </w:tcPr>
          <w:p w14:paraId="7B948C61" w14:textId="77777777" w:rsidR="00814667" w:rsidRDefault="00814667">
            <w:pPr>
              <w:pStyle w:val="SingleParagraph"/>
              <w:tabs>
                <w:tab w:val="num" w:pos="1134"/>
              </w:tabs>
              <w:spacing w:after="240"/>
              <w:ind w:left="1134" w:hanging="567"/>
            </w:pPr>
          </w:p>
        </w:tc>
        <w:tc>
          <w:tcPr>
            <w:tcW w:w="4233" w:type="pct"/>
          </w:tcPr>
          <w:p w14:paraId="0CDA5629" w14:textId="77777777" w:rsidR="00814667" w:rsidRPr="001E74D0" w:rsidRDefault="00814667">
            <w:pPr>
              <w:pStyle w:val="SingleParagraph"/>
              <w:tabs>
                <w:tab w:val="num" w:pos="1134"/>
              </w:tabs>
              <w:spacing w:after="240"/>
              <w:ind w:left="1134" w:hanging="567"/>
            </w:pPr>
          </w:p>
        </w:tc>
      </w:tr>
      <w:tr w:rsidR="00814667" w14:paraId="6B4AFF55" w14:textId="77777777">
        <w:tc>
          <w:tcPr>
            <w:tcW w:w="5000" w:type="pct"/>
            <w:gridSpan w:val="2"/>
          </w:tcPr>
          <w:p w14:paraId="2E681DC6" w14:textId="77777777" w:rsidR="00814667" w:rsidRDefault="00814667">
            <w:pPr>
              <w:pStyle w:val="AgreementHeading"/>
            </w:pPr>
            <w:r>
              <w:t>An agreement between</w:t>
            </w:r>
            <w:r w:rsidR="00697494">
              <w:t>:</w:t>
            </w:r>
          </w:p>
        </w:tc>
      </w:tr>
      <w:tr w:rsidR="00814667" w14:paraId="493F5284" w14:textId="77777777">
        <w:tc>
          <w:tcPr>
            <w:tcW w:w="767" w:type="pct"/>
          </w:tcPr>
          <w:p w14:paraId="373247E1" w14:textId="77777777" w:rsidR="00814667" w:rsidRPr="001E74D0" w:rsidRDefault="00814667">
            <w:pPr>
              <w:pStyle w:val="AgreementHeading"/>
              <w:ind w:left="522"/>
            </w:pPr>
          </w:p>
        </w:tc>
        <w:tc>
          <w:tcPr>
            <w:tcW w:w="4233" w:type="pct"/>
          </w:tcPr>
          <w:p w14:paraId="1EFC6113" w14:textId="77777777" w:rsidR="00814667" w:rsidRDefault="00814667" w:rsidP="00DE7EBC">
            <w:pPr>
              <w:pStyle w:val="AgreementParties"/>
              <w:numPr>
                <w:ilvl w:val="0"/>
                <w:numId w:val="11"/>
              </w:numPr>
              <w:tabs>
                <w:tab w:val="clear" w:pos="1418"/>
                <w:tab w:val="clear" w:pos="1701"/>
              </w:tabs>
            </w:pPr>
            <w:r>
              <w:t xml:space="preserve">the </w:t>
            </w:r>
            <w:r w:rsidRPr="00512B16">
              <w:rPr>
                <w:b/>
              </w:rPr>
              <w:t>Commonwealth of Australia</w:t>
            </w:r>
            <w:r w:rsidR="00697494" w:rsidRPr="00512B16">
              <w:rPr>
                <w:b/>
              </w:rPr>
              <w:t>;</w:t>
            </w:r>
            <w:r>
              <w:t xml:space="preserve"> and</w:t>
            </w:r>
          </w:p>
          <w:p w14:paraId="5324E3AD" w14:textId="2A46E095" w:rsidR="00814667" w:rsidRPr="001E74D0" w:rsidRDefault="00512B16" w:rsidP="00DE7EBC">
            <w:pPr>
              <w:pStyle w:val="AgreementParties"/>
              <w:numPr>
                <w:ilvl w:val="0"/>
                <w:numId w:val="11"/>
              </w:numPr>
              <w:tabs>
                <w:tab w:val="clear" w:pos="1418"/>
                <w:tab w:val="clear" w:pos="1701"/>
              </w:tabs>
            </w:pPr>
            <w:r w:rsidRPr="007B1153">
              <w:rPr>
                <w:b/>
              </w:rPr>
              <w:t>Tasmania</w:t>
            </w:r>
            <w:r w:rsidR="00AE485E">
              <w:t>.</w:t>
            </w:r>
          </w:p>
        </w:tc>
      </w:tr>
      <w:tr w:rsidR="00814667" w14:paraId="598A0868" w14:textId="77777777">
        <w:tc>
          <w:tcPr>
            <w:tcW w:w="767" w:type="pct"/>
          </w:tcPr>
          <w:p w14:paraId="1D4D76A9" w14:textId="77777777" w:rsidR="00814667" w:rsidRDefault="00814667">
            <w:pPr>
              <w:pStyle w:val="SingleParagraph"/>
              <w:tabs>
                <w:tab w:val="num" w:pos="1134"/>
              </w:tabs>
              <w:spacing w:after="240"/>
              <w:ind w:left="1134" w:hanging="567"/>
            </w:pPr>
          </w:p>
        </w:tc>
        <w:tc>
          <w:tcPr>
            <w:tcW w:w="4233" w:type="pct"/>
            <w:tcBorders>
              <w:left w:val="nil"/>
            </w:tcBorders>
          </w:tcPr>
          <w:p w14:paraId="3FCDE9AB" w14:textId="77777777" w:rsidR="00EB7EDA" w:rsidRPr="00EB7EDA" w:rsidRDefault="00EB7EDA" w:rsidP="00512B16">
            <w:pPr>
              <w:pStyle w:val="StatesList"/>
              <w:tabs>
                <w:tab w:val="clear" w:pos="283"/>
                <w:tab w:val="clear" w:pos="1134"/>
                <w:tab w:val="clear" w:pos="1418"/>
                <w:tab w:val="clear" w:pos="1701"/>
              </w:tabs>
              <w:ind w:left="0" w:firstLine="0"/>
              <w:rPr>
                <w:i/>
              </w:rPr>
            </w:pPr>
          </w:p>
        </w:tc>
      </w:tr>
      <w:tr w:rsidR="00814667" w14:paraId="1DEAE819" w14:textId="77777777">
        <w:tc>
          <w:tcPr>
            <w:tcW w:w="5000" w:type="pct"/>
            <w:gridSpan w:val="2"/>
          </w:tcPr>
          <w:p w14:paraId="1F715BF8" w14:textId="77777777" w:rsidR="00814667" w:rsidRDefault="00814667">
            <w:pPr>
              <w:pStyle w:val="SingleParagraph"/>
              <w:tabs>
                <w:tab w:val="num" w:pos="1134"/>
              </w:tabs>
              <w:spacing w:after="240"/>
              <w:ind w:left="1134" w:hanging="567"/>
            </w:pPr>
          </w:p>
          <w:p w14:paraId="1E9A05E2" w14:textId="77777777" w:rsidR="008C3E92" w:rsidRDefault="008C3E92">
            <w:pPr>
              <w:pStyle w:val="SingleParagraph"/>
              <w:tabs>
                <w:tab w:val="num" w:pos="1134"/>
              </w:tabs>
              <w:spacing w:after="240"/>
              <w:ind w:left="1134" w:hanging="567"/>
            </w:pPr>
          </w:p>
          <w:p w14:paraId="15E067FA" w14:textId="77777777" w:rsidR="008C3E92" w:rsidRDefault="008C3E92">
            <w:pPr>
              <w:pStyle w:val="SingleParagraph"/>
              <w:tabs>
                <w:tab w:val="num" w:pos="1134"/>
              </w:tabs>
              <w:spacing w:after="240"/>
              <w:ind w:left="1134" w:hanging="567"/>
            </w:pPr>
          </w:p>
          <w:p w14:paraId="5D019020" w14:textId="77777777" w:rsidR="008C3E92" w:rsidRDefault="008C3E92">
            <w:pPr>
              <w:pStyle w:val="SingleParagraph"/>
              <w:tabs>
                <w:tab w:val="num" w:pos="1134"/>
              </w:tabs>
              <w:spacing w:after="240"/>
              <w:ind w:left="1134" w:hanging="567"/>
            </w:pPr>
          </w:p>
          <w:p w14:paraId="2002FF35" w14:textId="77777777" w:rsidR="008C3E92" w:rsidRDefault="008C3E92">
            <w:pPr>
              <w:pStyle w:val="SingleParagraph"/>
              <w:tabs>
                <w:tab w:val="num" w:pos="1134"/>
              </w:tabs>
              <w:spacing w:after="240"/>
              <w:ind w:left="1134" w:hanging="567"/>
            </w:pPr>
          </w:p>
          <w:p w14:paraId="2E055717" w14:textId="77777777" w:rsidR="008C3E92" w:rsidRDefault="008C3E92">
            <w:pPr>
              <w:pStyle w:val="SingleParagraph"/>
              <w:tabs>
                <w:tab w:val="num" w:pos="1134"/>
              </w:tabs>
              <w:spacing w:after="240"/>
              <w:ind w:left="1134" w:hanging="567"/>
            </w:pPr>
          </w:p>
        </w:tc>
      </w:tr>
      <w:tr w:rsidR="00814667" w14:paraId="638EF3D1" w14:textId="77777777">
        <w:tc>
          <w:tcPr>
            <w:tcW w:w="5000" w:type="pct"/>
            <w:gridSpan w:val="2"/>
          </w:tcPr>
          <w:p w14:paraId="57D6B948" w14:textId="054E95F6" w:rsidR="00C958B2" w:rsidRDefault="00771FFF" w:rsidP="0077405E">
            <w:pPr>
              <w:pStyle w:val="Abstract"/>
            </w:pPr>
            <w:r w:rsidRPr="00270857">
              <w:t xml:space="preserve">The output of this project </w:t>
            </w:r>
            <w:r w:rsidRPr="004A4CEE">
              <w:t>will be</w:t>
            </w:r>
            <w:r w:rsidR="00845BCC" w:rsidRPr="004A4CEE">
              <w:t xml:space="preserve"> </w:t>
            </w:r>
            <w:bookmarkStart w:id="0" w:name="OLE_LINK3"/>
            <w:bookmarkStart w:id="1" w:name="OLE_LINK4"/>
            <w:r w:rsidR="00270857" w:rsidRPr="004A4CEE">
              <w:t>to improve the health of the Tamar Estuary</w:t>
            </w:r>
            <w:r w:rsidR="008C3E92">
              <w:t>, through upgrading</w:t>
            </w:r>
            <w:bookmarkEnd w:id="0"/>
            <w:bookmarkEnd w:id="1"/>
            <w:r w:rsidR="008C3E92">
              <w:t xml:space="preserve"> major </w:t>
            </w:r>
            <w:r w:rsidR="00FE06AF">
              <w:t xml:space="preserve">water </w:t>
            </w:r>
            <w:r w:rsidR="008C3E92">
              <w:t>infrastructure</w:t>
            </w:r>
            <w:r w:rsidR="004A4CEE" w:rsidRPr="004A4CEE">
              <w:t>.</w:t>
            </w:r>
          </w:p>
        </w:tc>
      </w:tr>
    </w:tbl>
    <w:p w14:paraId="7E2C9202" w14:textId="78DE7FA3" w:rsidR="00814667" w:rsidRDefault="007A6926">
      <w:pPr>
        <w:pStyle w:val="Title"/>
        <w:pageBreakBefore/>
      </w:pPr>
      <w:bookmarkStart w:id="2" w:name="_GoBack"/>
      <w:bookmarkEnd w:id="2"/>
      <w:r w:rsidRPr="007A6926">
        <w:lastRenderedPageBreak/>
        <w:t>Project Agreement</w:t>
      </w:r>
      <w:r>
        <w:t xml:space="preserve"> for</w:t>
      </w:r>
      <w:r w:rsidRPr="007A6926">
        <w:t xml:space="preserve"> </w:t>
      </w:r>
      <w:r w:rsidR="004D1AD2">
        <w:t xml:space="preserve">the Launceston City Deal: </w:t>
      </w:r>
      <w:r w:rsidRPr="007A6926">
        <w:t>Tamar</w:t>
      </w:r>
      <w:r>
        <w:t xml:space="preserve"> Estuary </w:t>
      </w:r>
      <w:r w:rsidR="00D91A75">
        <w:t>- Urban water Infrastructure upgrades</w:t>
      </w:r>
    </w:p>
    <w:p w14:paraId="0EEA44F3" w14:textId="7A0E4CC4" w:rsidR="00413A41" w:rsidRPr="00413A41" w:rsidRDefault="00413A41" w:rsidP="00413A41">
      <w:pPr>
        <w:pStyle w:val="Subtitle"/>
      </w:pPr>
    </w:p>
    <w:p w14:paraId="4C63D93F"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2D921DDB" w14:textId="77777777" w:rsidR="00C960AA" w:rsidRPr="0038149A" w:rsidRDefault="00C960AA" w:rsidP="00DE7EBC">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59901779" w14:textId="77777777" w:rsidR="009B1E6B" w:rsidRPr="0096732C" w:rsidRDefault="009B1E6B" w:rsidP="00DE7EBC">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rPr>
          <w:color w:val="auto"/>
        </w:rPr>
        <w:t>This Agreement should be read in conjunction with the Launceston City Deal</w:t>
      </w:r>
      <w:r w:rsidR="0058519F">
        <w:rPr>
          <w:color w:val="auto"/>
        </w:rPr>
        <w:t xml:space="preserve"> and the</w:t>
      </w:r>
      <w:r w:rsidR="0058519F" w:rsidRPr="0058519F">
        <w:t xml:space="preserve"> </w:t>
      </w:r>
      <w:r w:rsidR="0058519F">
        <w:t>Tamar Estuary River Health Action Plan (2017)</w:t>
      </w:r>
      <w:r w:rsidR="0058519F">
        <w:rPr>
          <w:color w:val="auto"/>
        </w:rPr>
        <w:t>.</w:t>
      </w:r>
    </w:p>
    <w:p w14:paraId="07E170A6"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6EAB5529" w14:textId="14A8C761" w:rsidR="0096732C" w:rsidRDefault="00852ED8" w:rsidP="00DE7EBC">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t xml:space="preserve">This Agreement will </w:t>
      </w:r>
      <w:r w:rsidR="006146F2">
        <w:t>support the delivery of</w:t>
      </w:r>
      <w:r w:rsidR="00270857" w:rsidRPr="00270857">
        <w:t xml:space="preserve"> actions in the </w:t>
      </w:r>
      <w:r w:rsidR="004A4CEE">
        <w:t xml:space="preserve">Tamar </w:t>
      </w:r>
      <w:r w:rsidR="00270857" w:rsidRPr="00270857">
        <w:t xml:space="preserve">Estuary to </w:t>
      </w:r>
      <w:r w:rsidR="00325083">
        <w:t xml:space="preserve">reduce </w:t>
      </w:r>
      <w:r w:rsidR="004A4CEE">
        <w:t xml:space="preserve">untreated overflows from Launceston </w:t>
      </w:r>
      <w:r w:rsidR="00270857" w:rsidRPr="00270857">
        <w:t>City’s combined sewerage and stormwater system, to improve the health of the Tamar Estuary</w:t>
      </w:r>
      <w:r w:rsidR="00291CB4">
        <w:t>,</w:t>
      </w:r>
      <w:r w:rsidR="004A4CEE" w:rsidRPr="004A4CEE">
        <w:t xml:space="preserve"> </w:t>
      </w:r>
      <w:r w:rsidR="004A4CEE" w:rsidRPr="00687B98">
        <w:t>improv</w:t>
      </w:r>
      <w:r w:rsidR="00291CB4" w:rsidRPr="00687B98">
        <w:t>ing public health outcomes</w:t>
      </w:r>
      <w:r w:rsidR="004A4CEE" w:rsidRPr="004A4CEE">
        <w:t xml:space="preserve"> as part of the Launceston City Deal</w:t>
      </w:r>
      <w:r w:rsidR="00270857" w:rsidRPr="00270857">
        <w:t>.</w:t>
      </w:r>
    </w:p>
    <w:p w14:paraId="3DEF0353"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155F63B1" w14:textId="4A5722A5" w:rsidR="0096732C" w:rsidRDefault="0030122D" w:rsidP="00DE7EBC">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Tasmania</w:t>
      </w:r>
      <w:r w:rsidR="0096732C">
        <w:t xml:space="preserve"> will report </w:t>
      </w:r>
      <w:r w:rsidR="008A5898">
        <w:t>bi</w:t>
      </w:r>
      <w:r w:rsidR="0096732C" w:rsidRPr="00C04C64">
        <w:t>annual</w:t>
      </w:r>
      <w:r w:rsidR="00AF4916" w:rsidRPr="00C04C64">
        <w:t>ly</w:t>
      </w:r>
      <w:r w:rsidR="0096732C" w:rsidRPr="00AF4916">
        <w:t xml:space="preserve"> against</w:t>
      </w:r>
      <w:r w:rsidR="0096732C">
        <w:t xml:space="preserve"> the agreed milestones during the operation of this Agreement, as set out in Part 4 – Project Milestones, Reporting and Payments. </w:t>
      </w:r>
    </w:p>
    <w:p w14:paraId="07803D4B"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5DBC1E5E" w14:textId="5ED89F6B" w:rsidR="0096732C" w:rsidRPr="0096732C" w:rsidRDefault="0096732C" w:rsidP="00DE7EBC">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9B1E6B">
        <w:t>n estimate</w:t>
      </w:r>
      <w:r w:rsidR="00C62964">
        <w:t>d</w:t>
      </w:r>
      <w:r w:rsidR="00E8281C">
        <w:t xml:space="preserve"> </w:t>
      </w:r>
      <w:r>
        <w:t xml:space="preserve">total </w:t>
      </w:r>
      <w:r w:rsidRPr="007179FE">
        <w:t>fina</w:t>
      </w:r>
      <w:r w:rsidR="006E4344">
        <w:t xml:space="preserve">ncial contribution to </w:t>
      </w:r>
      <w:r w:rsidR="00305CC3">
        <w:t>Tasmania</w:t>
      </w:r>
      <w:r w:rsidRPr="007179FE">
        <w:t xml:space="preserve"> </w:t>
      </w:r>
      <w:r w:rsidR="006E4344">
        <w:t xml:space="preserve">of </w:t>
      </w:r>
      <w:r>
        <w:t>$</w:t>
      </w:r>
      <w:r w:rsidR="006E4344">
        <w:t>4</w:t>
      </w:r>
      <w:r w:rsidR="00D92E38">
        <w:t>2</w:t>
      </w:r>
      <w:r w:rsidR="006E4344">
        <w:t>.5</w:t>
      </w:r>
      <w:r w:rsidR="0016387E">
        <w:t> </w:t>
      </w:r>
      <w:r w:rsidR="006E4344">
        <w:t>million</w:t>
      </w:r>
      <w:r w:rsidR="00F234AB" w:rsidRPr="004C6B6D">
        <w:t>, exclusive of GST</w:t>
      </w:r>
      <w:r w:rsidR="00EF33DE" w:rsidRPr="004C6B6D">
        <w:t xml:space="preserve"> </w:t>
      </w:r>
      <w:r w:rsidRPr="004C6B6D">
        <w:t>in</w:t>
      </w:r>
      <w:r>
        <w:t xml:space="preserve"> respect of this Agreement</w:t>
      </w:r>
      <w:r w:rsidR="00FC055C">
        <w:t>,</w:t>
      </w:r>
      <w:r>
        <w:t xml:space="preserve"> as set out </w:t>
      </w:r>
      <w:r w:rsidRPr="007179FE">
        <w:t xml:space="preserve">in </w:t>
      </w:r>
      <w:r>
        <w:t>Part 5 – Financial Arrangements</w:t>
      </w:r>
      <w:r w:rsidRPr="007179FE">
        <w:t>.</w:t>
      </w:r>
    </w:p>
    <w:p w14:paraId="14E5D7DD"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4612A631" w14:textId="77777777" w:rsidR="00D91A75" w:rsidRDefault="00D91A75">
      <w:pPr>
        <w:spacing w:after="0" w:line="240" w:lineRule="auto"/>
        <w:jc w:val="left"/>
        <w:rPr>
          <w:rFonts w:ascii="Consolas" w:hAnsi="Consolas" w:cs="Arial"/>
          <w:bCs/>
          <w:caps/>
          <w:color w:val="3D4B67"/>
          <w:kern w:val="32"/>
          <w:sz w:val="32"/>
          <w:szCs w:val="36"/>
        </w:rPr>
      </w:pPr>
      <w:r>
        <w:br w:type="page"/>
      </w:r>
    </w:p>
    <w:p w14:paraId="5096F959" w14:textId="595251A2" w:rsidR="00814667" w:rsidRPr="00131738" w:rsidRDefault="00814667">
      <w:pPr>
        <w:pStyle w:val="Heading1"/>
      </w:pPr>
      <w:r w:rsidRPr="00131738">
        <w:lastRenderedPageBreak/>
        <w:t>Part 1 — Formalities</w:t>
      </w:r>
    </w:p>
    <w:p w14:paraId="4AE8B0C9" w14:textId="77777777" w:rsidR="00804105" w:rsidRPr="00131738" w:rsidRDefault="00804105" w:rsidP="00DE7EBC">
      <w:pPr>
        <w:pStyle w:val="Normalnumbered"/>
        <w:numPr>
          <w:ilvl w:val="0"/>
          <w:numId w:val="9"/>
        </w:numPr>
      </w:pPr>
      <w:r w:rsidRPr="00131738">
        <w:t>This Agreement constitutes the entire agreement for this project.</w:t>
      </w:r>
      <w:r w:rsidR="00AF4916" w:rsidRPr="00131738">
        <w:t xml:space="preserve"> </w:t>
      </w:r>
    </w:p>
    <w:p w14:paraId="5BD2E69C" w14:textId="77777777" w:rsidR="00814667" w:rsidRDefault="00814667">
      <w:pPr>
        <w:pStyle w:val="Heading2"/>
      </w:pPr>
      <w:r w:rsidRPr="00131738">
        <w:t>Parties</w:t>
      </w:r>
      <w:r>
        <w:t xml:space="preserve"> to this Agreement</w:t>
      </w:r>
    </w:p>
    <w:p w14:paraId="44E5D579" w14:textId="4FA3483A" w:rsidR="007B4B03" w:rsidRPr="007B4B03" w:rsidRDefault="00E7195E" w:rsidP="00DE7EBC">
      <w:pPr>
        <w:pStyle w:val="Normalnumbered"/>
        <w:numPr>
          <w:ilvl w:val="0"/>
          <w:numId w:val="9"/>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FE06AF">
        <w:t>Tasmania</w:t>
      </w:r>
      <w:r w:rsidR="0012469E">
        <w:t xml:space="preserve">. </w:t>
      </w:r>
    </w:p>
    <w:p w14:paraId="403B64E3" w14:textId="77777777" w:rsidR="00814667" w:rsidRDefault="00814667">
      <w:pPr>
        <w:pStyle w:val="Heading2"/>
      </w:pPr>
      <w:r>
        <w:t>Term of the Agreement</w:t>
      </w:r>
    </w:p>
    <w:p w14:paraId="419A41D0" w14:textId="51FEFE3F" w:rsidR="00814667" w:rsidRPr="00DE36EB" w:rsidRDefault="00814667" w:rsidP="00DE7EBC">
      <w:pPr>
        <w:pStyle w:val="Normalnumbered"/>
        <w:numPr>
          <w:ilvl w:val="0"/>
          <w:numId w:val="9"/>
        </w:numPr>
      </w:pPr>
      <w:r w:rsidRPr="00DE36EB">
        <w:t xml:space="preserve">This Agreement will commence as soon as the Commonwealth and </w:t>
      </w:r>
      <w:r w:rsidR="0012469E">
        <w:t xml:space="preserve">Tasmania sign </w:t>
      </w:r>
      <w:r w:rsidR="0096732C">
        <w:t xml:space="preserve">it </w:t>
      </w:r>
      <w:r w:rsidRPr="00DE36EB">
        <w:t xml:space="preserve">and will </w:t>
      </w:r>
      <w:r w:rsidRPr="00693148">
        <w:t>expire on</w:t>
      </w:r>
      <w:r w:rsidR="00C7093C" w:rsidRPr="00693148">
        <w:t xml:space="preserve"> </w:t>
      </w:r>
      <w:r w:rsidR="00693148">
        <w:t>30</w:t>
      </w:r>
      <w:r w:rsidR="001A6859">
        <w:t xml:space="preserve"> June </w:t>
      </w:r>
      <w:r w:rsidR="00AF4916" w:rsidRPr="00693148">
        <w:t>202</w:t>
      </w:r>
      <w:r w:rsidR="00693148">
        <w:t>4</w:t>
      </w:r>
      <w:r w:rsidR="00284884" w:rsidRPr="00AF4916">
        <w:t xml:space="preserve"> or on</w:t>
      </w:r>
      <w:r w:rsidR="00FA2EC0" w:rsidRPr="00AF4916">
        <w:t xml:space="preserve"> complet</w:t>
      </w:r>
      <w:r w:rsidR="00284884" w:rsidRPr="00AF4916">
        <w:t>ion of the project, including final performance reporting an</w:t>
      </w:r>
      <w:r w:rsidR="00AE2AFD" w:rsidRPr="00AF4916">
        <w:t>d</w:t>
      </w:r>
      <w:r w:rsidR="00284884" w:rsidRPr="00AF4916">
        <w:t xml:space="preserve"> processing of final payments</w:t>
      </w:r>
      <w:r w:rsidR="00284884" w:rsidRPr="00DE36EB">
        <w:t xml:space="preserve">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55DBB13C" w14:textId="13CF8C63"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outputs</w:t>
      </w:r>
      <w:r w:rsidRPr="00784439">
        <w:rPr>
          <w:i/>
        </w:rPr>
        <w:t xml:space="preserve"> </w:t>
      </w:r>
    </w:p>
    <w:p w14:paraId="682B417B" w14:textId="77777777" w:rsidR="00814667" w:rsidRDefault="00814667">
      <w:pPr>
        <w:pStyle w:val="Heading2"/>
      </w:pPr>
      <w:r>
        <w:t>Output</w:t>
      </w:r>
      <w:r w:rsidR="00361284">
        <w:t>s</w:t>
      </w:r>
    </w:p>
    <w:p w14:paraId="5E7C0118" w14:textId="770673E6" w:rsidR="0085738D" w:rsidRDefault="004E1737" w:rsidP="00DE7EBC">
      <w:pPr>
        <w:pStyle w:val="Normalnumbered"/>
        <w:numPr>
          <w:ilvl w:val="0"/>
          <w:numId w:val="9"/>
        </w:numPr>
        <w:jc w:val="left"/>
      </w:pPr>
      <w:r>
        <w:t>Delivery of the following outputs as recommended</w:t>
      </w:r>
      <w:r w:rsidR="00DB22A3">
        <w:t xml:space="preserve"> </w:t>
      </w:r>
      <w:r>
        <w:t>in</w:t>
      </w:r>
      <w:r w:rsidR="00DB22A3">
        <w:t xml:space="preserve"> the Tamar Estuary River Health Action Plan (2017)</w:t>
      </w:r>
      <w:r w:rsidR="006F79D3">
        <w:t>:</w:t>
      </w:r>
    </w:p>
    <w:p w14:paraId="5642E7C2" w14:textId="4A8CB2DA" w:rsidR="00CE0455" w:rsidRDefault="00CE0455" w:rsidP="00DE7EBC">
      <w:pPr>
        <w:pStyle w:val="AlphaParagraph"/>
        <w:numPr>
          <w:ilvl w:val="0"/>
          <w:numId w:val="18"/>
        </w:numPr>
        <w:tabs>
          <w:tab w:val="clear" w:pos="567"/>
          <w:tab w:val="clear" w:pos="1418"/>
          <w:tab w:val="clear" w:pos="1701"/>
        </w:tabs>
        <w:ind w:hanging="567"/>
      </w:pPr>
      <w:r>
        <w:t>delivery of water infrastructure</w:t>
      </w:r>
      <w:r w:rsidR="00243734">
        <w:t xml:space="preserve"> upgrades</w:t>
      </w:r>
      <w:r>
        <w:t xml:space="preserve"> to </w:t>
      </w:r>
      <w:r w:rsidR="005938C9">
        <w:t xml:space="preserve">reduce </w:t>
      </w:r>
      <w:r>
        <w:t xml:space="preserve">untreated overflows from </w:t>
      </w:r>
      <w:r w:rsidR="00C04C64">
        <w:t xml:space="preserve">City </w:t>
      </w:r>
      <w:r w:rsidR="00BE28F3">
        <w:t xml:space="preserve">of </w:t>
      </w:r>
      <w:r>
        <w:t>Launceston’s combined sewerage and stormwater system into the Tamar</w:t>
      </w:r>
      <w:r w:rsidR="00462848">
        <w:t xml:space="preserve"> Estuary.</w:t>
      </w:r>
    </w:p>
    <w:p w14:paraId="2D0EB1D6" w14:textId="77777777" w:rsidR="008F44F1" w:rsidRDefault="008F44F1">
      <w:pPr>
        <w:pStyle w:val="Heading1"/>
      </w:pPr>
      <w:r>
        <w:t>Part 3 — roles and responsibilities of each party</w:t>
      </w:r>
    </w:p>
    <w:p w14:paraId="27C932E3" w14:textId="77777777" w:rsidR="008F44F1" w:rsidRDefault="008F44F1" w:rsidP="008F44F1">
      <w:pPr>
        <w:pStyle w:val="Heading2"/>
      </w:pPr>
      <w:r w:rsidRPr="00814590">
        <w:t>Role of the Commonwealth</w:t>
      </w:r>
    </w:p>
    <w:p w14:paraId="6CB207A1" w14:textId="77777777" w:rsidR="008F44F1" w:rsidRDefault="008F44F1" w:rsidP="00DE7EBC">
      <w:pPr>
        <w:pStyle w:val="Normalnumbered"/>
        <w:numPr>
          <w:ilvl w:val="0"/>
          <w:numId w:val="9"/>
        </w:numPr>
        <w:jc w:val="left"/>
      </w:pPr>
      <w:r>
        <w:t>The Commonwealth will be responsible for:</w:t>
      </w:r>
    </w:p>
    <w:p w14:paraId="04DB8B2D" w14:textId="77777777" w:rsidR="008F44F1" w:rsidRPr="000614F9" w:rsidRDefault="008F44F1" w:rsidP="00DE7EBC">
      <w:pPr>
        <w:pStyle w:val="AlphaParagraph"/>
        <w:numPr>
          <w:ilvl w:val="0"/>
          <w:numId w:val="19"/>
        </w:numPr>
        <w:tabs>
          <w:tab w:val="clear" w:pos="567"/>
          <w:tab w:val="clear" w:pos="1418"/>
          <w:tab w:val="clear" w:pos="1701"/>
        </w:tabs>
        <w:ind w:hanging="567"/>
      </w:pPr>
      <w:r w:rsidRPr="000614F9">
        <w:rPr>
          <w:color w:val="auto"/>
        </w:rPr>
        <w:t>monitoring</w:t>
      </w:r>
      <w:r w:rsidRPr="004B6083">
        <w:t xml:space="preserve"> and assessing achievement against milestones in the delivery of the </w:t>
      </w:r>
      <w:r w:rsidR="00C00979">
        <w:t xml:space="preserve">projects </w:t>
      </w:r>
      <w:r w:rsidRPr="000614F9">
        <w:t xml:space="preserve"> </w:t>
      </w:r>
      <w:r w:rsidRPr="000614F9">
        <w:rPr>
          <w:color w:val="auto"/>
        </w:rPr>
        <w:t>under</w:t>
      </w:r>
      <w:r w:rsidRPr="004B6083">
        <w:t xml:space="preserve"> this Agreement to ensure that outputs are delivered within the agreed timeframe; </w:t>
      </w:r>
    </w:p>
    <w:p w14:paraId="7576EF2C" w14:textId="3236DE06" w:rsidR="008F44F1" w:rsidRPr="000614F9" w:rsidRDefault="008F44F1" w:rsidP="00DE7EBC">
      <w:pPr>
        <w:pStyle w:val="AlphaParagraph"/>
        <w:numPr>
          <w:ilvl w:val="0"/>
          <w:numId w:val="14"/>
        </w:numPr>
        <w:tabs>
          <w:tab w:val="clear" w:pos="567"/>
          <w:tab w:val="clear" w:pos="1418"/>
          <w:tab w:val="clear" w:pos="1701"/>
        </w:tabs>
        <w:ind w:hanging="567"/>
        <w:rPr>
          <w:color w:val="auto"/>
        </w:rPr>
      </w:pPr>
      <w:r w:rsidRPr="004B6083">
        <w:rPr>
          <w:color w:val="auto"/>
        </w:rPr>
        <w:t xml:space="preserve">providing a consequent financial contribution to </w:t>
      </w:r>
      <w:r w:rsidR="00EA5254">
        <w:rPr>
          <w:color w:val="auto"/>
        </w:rPr>
        <w:t>Tasmania</w:t>
      </w:r>
      <w:r w:rsidRPr="004B6083">
        <w:rPr>
          <w:color w:val="auto"/>
        </w:rPr>
        <w:t xml:space="preserve"> to support the </w:t>
      </w:r>
      <w:r w:rsidRPr="000614F9">
        <w:t>implementation</w:t>
      </w:r>
      <w:r w:rsidRPr="004B6083">
        <w:rPr>
          <w:color w:val="auto"/>
        </w:rPr>
        <w:t xml:space="preserve"> of this Agreement;</w:t>
      </w:r>
    </w:p>
    <w:p w14:paraId="6EC2632B" w14:textId="057CA494" w:rsidR="004F5DCD" w:rsidRPr="00750F59" w:rsidRDefault="004F5DCD" w:rsidP="00DE7EBC">
      <w:pPr>
        <w:pStyle w:val="AlphaParagraph"/>
        <w:numPr>
          <w:ilvl w:val="0"/>
          <w:numId w:val="14"/>
        </w:numPr>
        <w:tabs>
          <w:tab w:val="clear" w:pos="567"/>
          <w:tab w:val="clear" w:pos="1418"/>
          <w:tab w:val="clear" w:pos="1701"/>
        </w:tabs>
        <w:ind w:hanging="567"/>
        <w:rPr>
          <w:i/>
          <w:color w:val="auto"/>
        </w:rPr>
      </w:pPr>
      <w:r w:rsidRPr="00750F59">
        <w:rPr>
          <w:color w:val="auto"/>
          <w:szCs w:val="23"/>
        </w:rPr>
        <w:t xml:space="preserve">in accordance with the </w:t>
      </w:r>
      <w:r>
        <w:rPr>
          <w:i/>
          <w:color w:val="auto"/>
          <w:szCs w:val="23"/>
        </w:rPr>
        <w:t>Building and Construction Industry (Improving Productivity) Act 2016</w:t>
      </w:r>
      <w:r w:rsidRPr="00750F59">
        <w:rPr>
          <w:color w:val="auto"/>
        </w:rPr>
        <w:t xml:space="preserve">, </w:t>
      </w:r>
      <w:r w:rsidRPr="00750F59">
        <w:rPr>
          <w:color w:val="auto"/>
          <w:szCs w:val="23"/>
        </w:rPr>
        <w:t xml:space="preserve">ensuring that </w:t>
      </w:r>
      <w:r w:rsidRPr="00750F59">
        <w:rPr>
          <w:color w:val="auto"/>
        </w:rPr>
        <w:t xml:space="preserve">financial contributions to a building project or projects as defined under the </w:t>
      </w:r>
      <w:r w:rsidRPr="00750F59">
        <w:rPr>
          <w:color w:val="auto"/>
          <w:szCs w:val="23"/>
        </w:rPr>
        <w:t xml:space="preserve">Fair Work (Building Industry – Accreditation Scheme) </w:t>
      </w:r>
      <w:r w:rsidRPr="00750F59">
        <w:rPr>
          <w:color w:val="auto"/>
        </w:rPr>
        <w:t xml:space="preserve">Regulations </w:t>
      </w:r>
      <w:r>
        <w:rPr>
          <w:color w:val="auto"/>
        </w:rPr>
        <w:t>2016</w:t>
      </w:r>
      <w:r w:rsidRPr="00750F59">
        <w:rPr>
          <w:color w:val="auto"/>
        </w:rPr>
        <w:t xml:space="preserve"> are only made where a builder or builders accredited under the Australian Government Building and Construction WHS Accreditation Scheme is contracted; and</w:t>
      </w:r>
    </w:p>
    <w:p w14:paraId="32634FF3" w14:textId="3BD48493" w:rsidR="004F5DCD" w:rsidRPr="00750F59" w:rsidRDefault="004F5DCD" w:rsidP="00DE7EBC">
      <w:pPr>
        <w:pStyle w:val="AlphaParagraph"/>
        <w:numPr>
          <w:ilvl w:val="0"/>
          <w:numId w:val="14"/>
        </w:numPr>
        <w:tabs>
          <w:tab w:val="clear" w:pos="567"/>
          <w:tab w:val="clear" w:pos="1418"/>
          <w:tab w:val="clear" w:pos="1701"/>
        </w:tabs>
        <w:ind w:hanging="567"/>
        <w:rPr>
          <w:i/>
          <w:color w:val="auto"/>
        </w:rPr>
      </w:pPr>
      <w:r w:rsidRPr="00750F59">
        <w:rPr>
          <w:color w:val="auto"/>
        </w:rPr>
        <w:t xml:space="preserve">ensuring that compliance with the </w:t>
      </w:r>
      <w:r>
        <w:rPr>
          <w:color w:val="auto"/>
        </w:rPr>
        <w:t>Code for the Tendering and Performance of Building Work 2016 (</w:t>
      </w:r>
      <w:r w:rsidRPr="00750F59">
        <w:rPr>
          <w:color w:val="auto"/>
        </w:rPr>
        <w:t>Building Code 201</w:t>
      </w:r>
      <w:r>
        <w:rPr>
          <w:color w:val="auto"/>
        </w:rPr>
        <w:t>6)</w:t>
      </w:r>
      <w:r w:rsidRPr="00750F59">
        <w:rPr>
          <w:color w:val="auto"/>
        </w:rPr>
        <w:t xml:space="preserve"> is a condition of Australian Government funding.</w:t>
      </w:r>
    </w:p>
    <w:p w14:paraId="26FEE356" w14:textId="77777777" w:rsidR="008F44F1" w:rsidRPr="00751725" w:rsidRDefault="008F44F1" w:rsidP="008F44F1">
      <w:pPr>
        <w:pStyle w:val="Heading2"/>
      </w:pPr>
      <w:r w:rsidRPr="00751725">
        <w:t xml:space="preserve">Role of </w:t>
      </w:r>
      <w:r w:rsidR="006858A8">
        <w:t>Tasmania</w:t>
      </w:r>
    </w:p>
    <w:p w14:paraId="1B642DB7" w14:textId="77777777" w:rsidR="008F44F1" w:rsidRPr="00751725" w:rsidRDefault="00EA5254" w:rsidP="00DE7EBC">
      <w:pPr>
        <w:pStyle w:val="Normalnumbered"/>
        <w:numPr>
          <w:ilvl w:val="0"/>
          <w:numId w:val="9"/>
        </w:numPr>
        <w:jc w:val="left"/>
      </w:pPr>
      <w:r>
        <w:t>Tasmania</w:t>
      </w:r>
      <w:r w:rsidR="00545DF7">
        <w:t xml:space="preserve"> </w:t>
      </w:r>
      <w:r w:rsidR="008F44F1">
        <w:t>will be responsible for</w:t>
      </w:r>
      <w:r w:rsidR="00545DF7">
        <w:t>:</w:t>
      </w:r>
    </w:p>
    <w:p w14:paraId="6D3A864A" w14:textId="3820773E" w:rsidR="00E05AE1" w:rsidRDefault="002F40E2" w:rsidP="00DE7EBC">
      <w:pPr>
        <w:pStyle w:val="AlphaParagraph"/>
        <w:numPr>
          <w:ilvl w:val="0"/>
          <w:numId w:val="22"/>
        </w:numPr>
        <w:tabs>
          <w:tab w:val="clear" w:pos="283"/>
          <w:tab w:val="clear" w:pos="567"/>
          <w:tab w:val="clear" w:pos="1134"/>
          <w:tab w:val="clear" w:pos="1418"/>
        </w:tabs>
        <w:ind w:hanging="567"/>
        <w:rPr>
          <w:rFonts w:cs="Corbel"/>
          <w:color w:val="auto"/>
          <w:szCs w:val="23"/>
        </w:rPr>
      </w:pPr>
      <w:bookmarkStart w:id="3" w:name="tempbookmark"/>
      <w:bookmarkEnd w:id="3"/>
      <w:r>
        <w:rPr>
          <w:rFonts w:cs="Corbel"/>
          <w:color w:val="auto"/>
          <w:szCs w:val="23"/>
        </w:rPr>
        <w:t xml:space="preserve">ensuring the delivery of all aspects of </w:t>
      </w:r>
      <w:r w:rsidR="001A2462">
        <w:rPr>
          <w:rFonts w:cs="Corbel"/>
          <w:color w:val="auto"/>
          <w:szCs w:val="23"/>
        </w:rPr>
        <w:t>delivering on</w:t>
      </w:r>
      <w:r>
        <w:rPr>
          <w:rFonts w:cs="Corbel"/>
          <w:color w:val="auto"/>
          <w:szCs w:val="23"/>
        </w:rPr>
        <w:t xml:space="preserve"> the project outputs set out in this Agreement</w:t>
      </w:r>
      <w:r w:rsidR="009717A6">
        <w:rPr>
          <w:rFonts w:cs="Corbel"/>
          <w:color w:val="auto"/>
          <w:szCs w:val="23"/>
        </w:rPr>
        <w:t xml:space="preserve"> and seeking </w:t>
      </w:r>
      <w:r w:rsidR="006741C1">
        <w:rPr>
          <w:rFonts w:cs="Corbel"/>
          <w:color w:val="auto"/>
          <w:szCs w:val="23"/>
        </w:rPr>
        <w:t xml:space="preserve">the Commonwealth’s </w:t>
      </w:r>
      <w:r w:rsidR="009717A6">
        <w:rPr>
          <w:rFonts w:cs="Corbel"/>
          <w:color w:val="auto"/>
          <w:szCs w:val="23"/>
        </w:rPr>
        <w:t xml:space="preserve">agreement to any changes to works that are not consistent with </w:t>
      </w:r>
      <w:r w:rsidR="009717A6">
        <w:t>Tamar Estuary River Health Action Plan (2017)</w:t>
      </w:r>
      <w:r w:rsidR="009A434D">
        <w:rPr>
          <w:rFonts w:cs="Corbel"/>
          <w:color w:val="auto"/>
          <w:szCs w:val="23"/>
        </w:rPr>
        <w:t>;</w:t>
      </w:r>
      <w:r>
        <w:rPr>
          <w:rFonts w:cs="Corbel"/>
          <w:color w:val="auto"/>
          <w:szCs w:val="23"/>
        </w:rPr>
        <w:t xml:space="preserve"> </w:t>
      </w:r>
    </w:p>
    <w:p w14:paraId="793EC9A7" w14:textId="1790FD3F" w:rsidR="00C1610D" w:rsidRPr="00B074A1" w:rsidRDefault="00572CFA" w:rsidP="00DE7EBC">
      <w:pPr>
        <w:pStyle w:val="AlphaParagraph"/>
        <w:numPr>
          <w:ilvl w:val="0"/>
          <w:numId w:val="22"/>
        </w:numPr>
        <w:tabs>
          <w:tab w:val="clear" w:pos="283"/>
          <w:tab w:val="clear" w:pos="567"/>
          <w:tab w:val="clear" w:pos="1134"/>
          <w:tab w:val="clear" w:pos="1418"/>
        </w:tabs>
        <w:ind w:hanging="567"/>
        <w:rPr>
          <w:rFonts w:cs="Corbel"/>
          <w:color w:val="auto"/>
          <w:szCs w:val="23"/>
        </w:rPr>
      </w:pPr>
      <w:r w:rsidRPr="00211D67">
        <w:rPr>
          <w:rFonts w:cs="Corbel"/>
          <w:color w:val="auto"/>
          <w:szCs w:val="23"/>
        </w:rPr>
        <w:t>preparing and implementing a</w:t>
      </w:r>
      <w:r>
        <w:rPr>
          <w:rFonts w:cs="Corbel"/>
          <w:color w:val="auto"/>
          <w:szCs w:val="23"/>
        </w:rPr>
        <w:t>n overarching</w:t>
      </w:r>
      <w:r w:rsidRPr="00211D67">
        <w:rPr>
          <w:rFonts w:cs="Corbel"/>
          <w:color w:val="auto"/>
          <w:szCs w:val="23"/>
        </w:rPr>
        <w:t xml:space="preserve"> </w:t>
      </w:r>
      <w:r w:rsidR="005D261F" w:rsidRPr="005D261F">
        <w:rPr>
          <w:rFonts w:cs="Corbel"/>
          <w:color w:val="auto"/>
          <w:szCs w:val="23"/>
        </w:rPr>
        <w:t>Project Management Plan</w:t>
      </w:r>
      <w:r w:rsidRPr="00211D67">
        <w:rPr>
          <w:rFonts w:cs="Corbel"/>
          <w:color w:val="auto"/>
          <w:szCs w:val="23"/>
        </w:rPr>
        <w:t>;</w:t>
      </w:r>
    </w:p>
    <w:p w14:paraId="78CB06C6" w14:textId="77777777" w:rsidR="008F44F1" w:rsidRPr="00B074A1" w:rsidRDefault="008F44F1" w:rsidP="00DE7EBC">
      <w:pPr>
        <w:pStyle w:val="AlphaParagraph"/>
        <w:numPr>
          <w:ilvl w:val="0"/>
          <w:numId w:val="22"/>
        </w:numPr>
        <w:tabs>
          <w:tab w:val="clear" w:pos="283"/>
          <w:tab w:val="clear" w:pos="567"/>
          <w:tab w:val="clear" w:pos="1134"/>
          <w:tab w:val="clear" w:pos="1418"/>
        </w:tabs>
        <w:ind w:hanging="567"/>
        <w:rPr>
          <w:rFonts w:cs="Corbel"/>
          <w:color w:val="auto"/>
          <w:szCs w:val="23"/>
        </w:rPr>
      </w:pPr>
      <w:r w:rsidRPr="00B074A1">
        <w:rPr>
          <w:rFonts w:cs="Corbel"/>
          <w:color w:val="auto"/>
          <w:szCs w:val="23"/>
        </w:rPr>
        <w:lastRenderedPageBreak/>
        <w:t>providing a</w:t>
      </w:r>
      <w:r w:rsidR="00B23ED2" w:rsidRPr="00B074A1">
        <w:rPr>
          <w:rFonts w:cs="Corbel"/>
          <w:color w:val="auto"/>
          <w:szCs w:val="23"/>
        </w:rPr>
        <w:t xml:space="preserve"> </w:t>
      </w:r>
      <w:r w:rsidR="002F40E2" w:rsidRPr="00B074A1">
        <w:rPr>
          <w:rFonts w:cs="Corbel"/>
          <w:color w:val="auto"/>
          <w:szCs w:val="23"/>
        </w:rPr>
        <w:t xml:space="preserve">matching </w:t>
      </w:r>
      <w:r w:rsidRPr="00B074A1">
        <w:rPr>
          <w:rFonts w:cs="Corbel"/>
          <w:color w:val="auto"/>
          <w:szCs w:val="23"/>
        </w:rPr>
        <w:t>financial contribution to support the implementation of this Agreement</w:t>
      </w:r>
      <w:r w:rsidR="008A43DE">
        <w:rPr>
          <w:rFonts w:cs="Corbel"/>
          <w:color w:val="auto"/>
          <w:szCs w:val="23"/>
        </w:rPr>
        <w:t xml:space="preserve"> as detailed in </w:t>
      </w:r>
      <w:r w:rsidR="005A0A11">
        <w:rPr>
          <w:rFonts w:cs="Corbel"/>
          <w:color w:val="auto"/>
          <w:szCs w:val="23"/>
        </w:rPr>
        <w:t>Part 5</w:t>
      </w:r>
      <w:r w:rsidRPr="00B074A1">
        <w:rPr>
          <w:rFonts w:cs="Corbel"/>
          <w:color w:val="auto"/>
          <w:szCs w:val="23"/>
        </w:rPr>
        <w:t>;</w:t>
      </w:r>
    </w:p>
    <w:p w14:paraId="1FCFC48E" w14:textId="7AC0B437" w:rsidR="00C1610D" w:rsidRDefault="00C1610D" w:rsidP="00DE7EBC">
      <w:pPr>
        <w:pStyle w:val="AlphaParagraph"/>
        <w:numPr>
          <w:ilvl w:val="0"/>
          <w:numId w:val="22"/>
        </w:numPr>
        <w:tabs>
          <w:tab w:val="clear" w:pos="283"/>
          <w:tab w:val="clear" w:pos="567"/>
          <w:tab w:val="clear" w:pos="1134"/>
          <w:tab w:val="clear" w:pos="1418"/>
        </w:tabs>
        <w:ind w:hanging="567"/>
        <w:rPr>
          <w:rFonts w:cs="Corbel"/>
          <w:color w:val="auto"/>
          <w:szCs w:val="23"/>
        </w:rPr>
      </w:pPr>
      <w:r w:rsidRPr="00B074A1">
        <w:rPr>
          <w:rFonts w:cs="Corbel"/>
          <w:color w:val="auto"/>
          <w:szCs w:val="23"/>
        </w:rPr>
        <w:t>establishing a Project Management Committee (the Committee) to monitor and oversee the implementation of the project</w:t>
      </w:r>
      <w:r w:rsidR="006D5DB8" w:rsidRPr="00B074A1">
        <w:rPr>
          <w:rFonts w:cs="Corbel"/>
          <w:color w:val="auto"/>
          <w:szCs w:val="23"/>
        </w:rPr>
        <w:t>. The Commonwealth, at its discretion, may be an observer;</w:t>
      </w:r>
    </w:p>
    <w:p w14:paraId="00B44159" w14:textId="16878DE8" w:rsidR="00FA6B28" w:rsidRDefault="00FA6B28" w:rsidP="00DE7EBC">
      <w:pPr>
        <w:pStyle w:val="AlphaParagraph"/>
        <w:numPr>
          <w:ilvl w:val="0"/>
          <w:numId w:val="22"/>
        </w:numPr>
        <w:tabs>
          <w:tab w:val="clear" w:pos="283"/>
          <w:tab w:val="clear" w:pos="567"/>
          <w:tab w:val="clear" w:pos="1134"/>
          <w:tab w:val="clear" w:pos="1418"/>
        </w:tabs>
        <w:ind w:hanging="567"/>
        <w:rPr>
          <w:rFonts w:cs="Corbel"/>
          <w:color w:val="auto"/>
          <w:szCs w:val="23"/>
        </w:rPr>
      </w:pPr>
      <w:r w:rsidRPr="00FA6B28">
        <w:rPr>
          <w:rFonts w:cs="Corbel"/>
          <w:color w:val="auto"/>
          <w:szCs w:val="23"/>
        </w:rPr>
        <w:t>collaborating with TasWater to ensure the Project is delivered in a manner that complements the Launceston Sewerage Improvement Program;</w:t>
      </w:r>
    </w:p>
    <w:p w14:paraId="4D6323E3" w14:textId="0035F5A1" w:rsidR="00FA6B28" w:rsidRDefault="00FA6B28" w:rsidP="00DE7EBC">
      <w:pPr>
        <w:pStyle w:val="AlphaParagraph"/>
        <w:numPr>
          <w:ilvl w:val="0"/>
          <w:numId w:val="22"/>
        </w:numPr>
        <w:tabs>
          <w:tab w:val="clear" w:pos="283"/>
          <w:tab w:val="clear" w:pos="567"/>
          <w:tab w:val="clear" w:pos="1134"/>
          <w:tab w:val="clear" w:pos="1418"/>
        </w:tabs>
        <w:ind w:hanging="567"/>
        <w:rPr>
          <w:rFonts w:cs="Corbel"/>
          <w:color w:val="auto"/>
          <w:szCs w:val="23"/>
        </w:rPr>
      </w:pPr>
      <w:r w:rsidRPr="00FA6B28">
        <w:rPr>
          <w:rFonts w:cs="Corbel"/>
          <w:color w:val="auto"/>
          <w:szCs w:val="23"/>
        </w:rPr>
        <w:t>ensuring that an Indigenous employment target of 3 per cent and an Indigenous supplier-use target of 3 per cent are established for the project, and that priority in meeting the targets is given to local Indigenous businesses, organisations and potential employees;</w:t>
      </w:r>
    </w:p>
    <w:p w14:paraId="6F64ACFB" w14:textId="77777777" w:rsidR="009717A6" w:rsidRDefault="009717A6" w:rsidP="00DE7EBC">
      <w:pPr>
        <w:pStyle w:val="AlphaParagraph"/>
        <w:numPr>
          <w:ilvl w:val="0"/>
          <w:numId w:val="22"/>
        </w:numPr>
        <w:tabs>
          <w:tab w:val="clear" w:pos="283"/>
          <w:tab w:val="clear" w:pos="567"/>
          <w:tab w:val="clear" w:pos="1134"/>
          <w:tab w:val="clear" w:pos="1418"/>
        </w:tabs>
        <w:ind w:hanging="567"/>
        <w:rPr>
          <w:rFonts w:cs="Corbel"/>
          <w:color w:val="auto"/>
          <w:szCs w:val="23"/>
        </w:rPr>
      </w:pPr>
      <w:r>
        <w:rPr>
          <w:rFonts w:cs="Corbel"/>
          <w:color w:val="auto"/>
          <w:szCs w:val="23"/>
        </w:rPr>
        <w:t>ensuring the development of a Local Industry Participation Plan;</w:t>
      </w:r>
    </w:p>
    <w:p w14:paraId="044CFA25" w14:textId="7CE208C8" w:rsidR="00FA6B28" w:rsidRPr="00FA6B28" w:rsidRDefault="00FA6B28" w:rsidP="00DE7EBC">
      <w:pPr>
        <w:pStyle w:val="AlphaParagraph"/>
        <w:numPr>
          <w:ilvl w:val="0"/>
          <w:numId w:val="22"/>
        </w:numPr>
        <w:tabs>
          <w:tab w:val="clear" w:pos="283"/>
          <w:tab w:val="clear" w:pos="567"/>
          <w:tab w:val="clear" w:pos="1134"/>
          <w:tab w:val="clear" w:pos="1418"/>
        </w:tabs>
        <w:ind w:hanging="567"/>
        <w:rPr>
          <w:rFonts w:cs="Corbel"/>
          <w:color w:val="auto"/>
          <w:szCs w:val="23"/>
        </w:rPr>
      </w:pPr>
      <w:r w:rsidRPr="00FA6B28">
        <w:rPr>
          <w:rFonts w:cs="Corbel"/>
          <w:color w:val="auto"/>
          <w:szCs w:val="23"/>
        </w:rPr>
        <w:t>reporting on the delivery of outputs as set out in Part 4 – Project Milestones, Reporting and Payments;</w:t>
      </w:r>
    </w:p>
    <w:p w14:paraId="182512B8" w14:textId="6EF9E68D" w:rsidR="00FA6B28" w:rsidRPr="00FA6B28" w:rsidRDefault="00FA6B28" w:rsidP="00DE7EBC">
      <w:pPr>
        <w:pStyle w:val="AlphaParagraph"/>
        <w:numPr>
          <w:ilvl w:val="0"/>
          <w:numId w:val="22"/>
        </w:numPr>
        <w:tabs>
          <w:tab w:val="clear" w:pos="283"/>
          <w:tab w:val="clear" w:pos="567"/>
          <w:tab w:val="clear" w:pos="1134"/>
          <w:tab w:val="clear" w:pos="1418"/>
        </w:tabs>
        <w:ind w:hanging="567"/>
        <w:rPr>
          <w:rFonts w:cs="Corbel"/>
          <w:color w:val="auto"/>
          <w:szCs w:val="23"/>
        </w:rPr>
      </w:pPr>
      <w:r w:rsidRPr="00FA6B28">
        <w:rPr>
          <w:rFonts w:cs="Corbel"/>
          <w:color w:val="auto"/>
          <w:szCs w:val="23"/>
        </w:rPr>
        <w:t>ensuring that only a builder or builders accredited under the Australian Government Building and Construction WHS Accreditation Scheme is contracted, and providing the necessary assurances to the Commonwealth; and</w:t>
      </w:r>
    </w:p>
    <w:p w14:paraId="614BD5F0" w14:textId="012EA12E" w:rsidR="00FA6B28" w:rsidRPr="00FA6B28" w:rsidRDefault="00FA6B28" w:rsidP="00DE7EBC">
      <w:pPr>
        <w:pStyle w:val="AlphaParagraph"/>
        <w:numPr>
          <w:ilvl w:val="0"/>
          <w:numId w:val="22"/>
        </w:numPr>
        <w:tabs>
          <w:tab w:val="clear" w:pos="283"/>
          <w:tab w:val="clear" w:pos="567"/>
          <w:tab w:val="clear" w:pos="1134"/>
          <w:tab w:val="clear" w:pos="1418"/>
        </w:tabs>
        <w:ind w:hanging="567"/>
        <w:rPr>
          <w:rFonts w:cs="Corbel"/>
          <w:color w:val="auto"/>
          <w:szCs w:val="23"/>
        </w:rPr>
      </w:pPr>
      <w:r w:rsidRPr="00FA6B28">
        <w:rPr>
          <w:rFonts w:cs="Corbel"/>
          <w:color w:val="auto"/>
          <w:szCs w:val="23"/>
        </w:rPr>
        <w:t>ensuring that compliance with the Building Code 2016 is made a condition of tender for and performance of building work by all contractors and subcontractors, and providing the necessary assurances to the Commonwealth.</w:t>
      </w:r>
    </w:p>
    <w:p w14:paraId="355B41C3" w14:textId="77777777" w:rsidR="008F44F1" w:rsidRDefault="008F44F1" w:rsidP="004F5DCD">
      <w:pPr>
        <w:pStyle w:val="Heading2"/>
      </w:pPr>
      <w:r>
        <w:t>Shared roles</w:t>
      </w:r>
    </w:p>
    <w:p w14:paraId="08F6AD0F" w14:textId="77777777" w:rsidR="008F44F1" w:rsidRDefault="008F44F1" w:rsidP="00DE7EBC">
      <w:pPr>
        <w:pStyle w:val="Normalnumbered"/>
        <w:numPr>
          <w:ilvl w:val="0"/>
          <w:numId w:val="9"/>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7A59DC68"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64C48590" w14:textId="12B630C3" w:rsidR="007E51C2" w:rsidRDefault="00545DF7" w:rsidP="00DE7EBC">
      <w:pPr>
        <w:pStyle w:val="Normalnumbered"/>
        <w:numPr>
          <w:ilvl w:val="0"/>
          <w:numId w:val="9"/>
        </w:numPr>
      </w:pPr>
      <w:r w:rsidRPr="00DE36EB">
        <w:t>T</w:t>
      </w:r>
      <w:r w:rsidR="007C4F31" w:rsidRPr="00DE36EB">
        <w:t xml:space="preserve">able </w:t>
      </w:r>
      <w:r w:rsidRPr="00DE36EB">
        <w:t>1</w:t>
      </w:r>
      <w:r>
        <w:t xml:space="preserve"> </w:t>
      </w:r>
      <w:r w:rsidR="007C4F31">
        <w:t xml:space="preserve">summarises the milestones for the </w:t>
      </w:r>
      <w:r w:rsidR="0059375E">
        <w:t xml:space="preserve">infrastructure </w:t>
      </w:r>
      <w:r w:rsidR="007C4F31">
        <w:t xml:space="preserve">project, </w:t>
      </w:r>
      <w:r w:rsidR="00D91A75">
        <w:t>its</w:t>
      </w:r>
      <w:r w:rsidR="007C4F31">
        <w:t xml:space="preserve"> relationship to the outputs, expected completion dates, relevant reporting dates and expected payments </w:t>
      </w:r>
      <w:r w:rsidR="0077685D">
        <w:t>to be made</w:t>
      </w:r>
      <w:r w:rsidR="00ED2AC4">
        <w:t xml:space="preserve">. The Commonwealth will make payments subject to the </w:t>
      </w:r>
      <w:r w:rsidR="0093427A">
        <w:t xml:space="preserve">six-monthly </w:t>
      </w:r>
      <w:r w:rsidR="00ED2AC4">
        <w:t xml:space="preserve">performance report demonstrating the relevant </w:t>
      </w:r>
      <w:r w:rsidR="00ED2AC4" w:rsidRPr="00EF6486">
        <w:rPr>
          <w:szCs w:val="23"/>
        </w:rPr>
        <w:t xml:space="preserve">milestone </w:t>
      </w:r>
      <w:r w:rsidR="00ED2AC4">
        <w:t>has been met.</w:t>
      </w:r>
    </w:p>
    <w:p w14:paraId="7044B2D8" w14:textId="00D866D3" w:rsidR="00B76DCF" w:rsidRPr="002A2629" w:rsidRDefault="00B76DCF" w:rsidP="002A2629">
      <w:pPr>
        <w:pStyle w:val="Normalnumbered"/>
        <w:numPr>
          <w:ilvl w:val="0"/>
          <w:numId w:val="9"/>
        </w:numPr>
        <w:jc w:val="left"/>
      </w:pPr>
      <w:r w:rsidRPr="009837BA">
        <w:rPr>
          <w:color w:val="auto"/>
        </w:rPr>
        <w:t>Project milestones will be i</w:t>
      </w:r>
      <w:r>
        <w:rPr>
          <w:color w:val="auto"/>
        </w:rPr>
        <w:t xml:space="preserve">dentified </w:t>
      </w:r>
      <w:r w:rsidRPr="009837BA">
        <w:rPr>
          <w:color w:val="auto"/>
        </w:rPr>
        <w:t xml:space="preserve">in the </w:t>
      </w:r>
      <w:r>
        <w:rPr>
          <w:color w:val="auto"/>
        </w:rPr>
        <w:t>P</w:t>
      </w:r>
      <w:r w:rsidRPr="009837BA">
        <w:rPr>
          <w:color w:val="auto"/>
        </w:rPr>
        <w:t xml:space="preserve">roject </w:t>
      </w:r>
      <w:r>
        <w:rPr>
          <w:color w:val="auto"/>
        </w:rPr>
        <w:t>M</w:t>
      </w:r>
      <w:r w:rsidRPr="009837BA">
        <w:rPr>
          <w:color w:val="auto"/>
        </w:rPr>
        <w:t xml:space="preserve">anagement </w:t>
      </w:r>
      <w:r>
        <w:rPr>
          <w:color w:val="auto"/>
        </w:rPr>
        <w:t>P</w:t>
      </w:r>
      <w:r w:rsidRPr="009837BA">
        <w:rPr>
          <w:color w:val="auto"/>
        </w:rPr>
        <w:t xml:space="preserve">lan required under </w:t>
      </w:r>
      <w:r>
        <w:rPr>
          <w:color w:val="auto"/>
        </w:rPr>
        <w:t>clause</w:t>
      </w:r>
      <w:r w:rsidRPr="009837BA">
        <w:rPr>
          <w:color w:val="auto"/>
        </w:rPr>
        <w:t xml:space="preserve"> </w:t>
      </w:r>
      <w:r>
        <w:rPr>
          <w:color w:val="auto"/>
        </w:rPr>
        <w:t>11</w:t>
      </w:r>
      <w:r w:rsidRPr="009837BA">
        <w:rPr>
          <w:color w:val="auto"/>
        </w:rPr>
        <w:t xml:space="preserve"> of this </w:t>
      </w:r>
      <w:r>
        <w:rPr>
          <w:color w:val="auto"/>
        </w:rPr>
        <w:t>Agreement</w:t>
      </w:r>
      <w:r w:rsidRPr="009837BA">
        <w:rPr>
          <w:color w:val="auto"/>
        </w:rPr>
        <w:t xml:space="preserve">. </w:t>
      </w:r>
      <w:r>
        <w:rPr>
          <w:color w:val="auto"/>
        </w:rPr>
        <w:t xml:space="preserve">The Project Management Plan may be varied over time </w:t>
      </w:r>
      <w:r w:rsidRPr="001C3D03">
        <w:rPr>
          <w:color w:val="auto"/>
        </w:rPr>
        <w:t xml:space="preserve">by </w:t>
      </w:r>
      <w:r>
        <w:rPr>
          <w:color w:val="auto"/>
        </w:rPr>
        <w:t xml:space="preserve">agreement with </w:t>
      </w:r>
      <w:r w:rsidR="002A2629">
        <w:rPr>
          <w:color w:val="auto"/>
        </w:rPr>
        <w:t>Commonwealth</w:t>
      </w:r>
      <w:r>
        <w:rPr>
          <w:color w:val="auto"/>
        </w:rPr>
        <w:t xml:space="preserve"> Government officials.</w:t>
      </w:r>
    </w:p>
    <w:p w14:paraId="38CC71DA" w14:textId="77777777" w:rsidR="00462848" w:rsidRDefault="00462848">
      <w:pPr>
        <w:spacing w:after="0" w:line="240" w:lineRule="auto"/>
        <w:jc w:val="left"/>
        <w:rPr>
          <w:b/>
        </w:rPr>
      </w:pPr>
      <w:r>
        <w:rPr>
          <w:b/>
        </w:rPr>
        <w:br w:type="page"/>
      </w:r>
    </w:p>
    <w:p w14:paraId="3D39A30D" w14:textId="79472111" w:rsidR="00F3245D" w:rsidRDefault="0095223D" w:rsidP="001A1CDC">
      <w:pPr>
        <w:pStyle w:val="Normalnumbered"/>
        <w:keepNext/>
        <w:numPr>
          <w:ilvl w:val="0"/>
          <w:numId w:val="0"/>
        </w:numPr>
        <w:rPr>
          <w:b/>
        </w:rPr>
      </w:pPr>
      <w:r w:rsidRPr="007E51C2">
        <w:rPr>
          <w:b/>
        </w:rPr>
        <w:lastRenderedPageBreak/>
        <w:t xml:space="preserve">Table </w:t>
      </w:r>
      <w:r w:rsidR="00E204BB" w:rsidRPr="007E51C2">
        <w:rPr>
          <w:b/>
        </w:rPr>
        <w:t>1</w:t>
      </w:r>
      <w:r w:rsidRPr="007E51C2">
        <w:rPr>
          <w:b/>
        </w:rPr>
        <w:t xml:space="preserve">: </w:t>
      </w:r>
      <w:r w:rsidR="00806D94" w:rsidRPr="007E51C2">
        <w:rPr>
          <w:b/>
        </w:rPr>
        <w:t>Performance requirements</w:t>
      </w:r>
      <w:r w:rsidRPr="007E51C2">
        <w:rPr>
          <w:b/>
        </w:rPr>
        <w:t>,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55415C" w:rsidRPr="00C26C5B" w14:paraId="17012BBF" w14:textId="77777777" w:rsidTr="00921663">
        <w:trPr>
          <w:trHeight w:val="737"/>
        </w:trPr>
        <w:tc>
          <w:tcPr>
            <w:tcW w:w="2518" w:type="dxa"/>
            <w:tcBorders>
              <w:bottom w:val="single" w:sz="18" w:space="0" w:color="4F81BD"/>
            </w:tcBorders>
            <w:shd w:val="clear" w:color="auto" w:fill="DAEEF3" w:themeFill="accent5" w:themeFillTint="33"/>
          </w:tcPr>
          <w:p w14:paraId="67310B94" w14:textId="397AE715" w:rsidR="0055415C" w:rsidRPr="00C26C5B" w:rsidRDefault="0055415C" w:rsidP="00EC6437">
            <w:pPr>
              <w:pStyle w:val="Heading2"/>
              <w:rPr>
                <w:bCs w:val="0"/>
                <w:sz w:val="24"/>
                <w:szCs w:val="24"/>
              </w:rPr>
            </w:pPr>
            <w:r w:rsidRPr="00C26C5B">
              <w:rPr>
                <w:bCs w:val="0"/>
                <w:sz w:val="24"/>
                <w:szCs w:val="24"/>
              </w:rPr>
              <w:t>Output</w:t>
            </w:r>
            <w:r>
              <w:rPr>
                <w:bCs w:val="0"/>
                <w:sz w:val="24"/>
                <w:szCs w:val="24"/>
              </w:rPr>
              <w:t>s</w:t>
            </w:r>
          </w:p>
        </w:tc>
        <w:tc>
          <w:tcPr>
            <w:tcW w:w="4536" w:type="dxa"/>
            <w:tcBorders>
              <w:bottom w:val="single" w:sz="18" w:space="0" w:color="4F81BD"/>
            </w:tcBorders>
            <w:shd w:val="clear" w:color="auto" w:fill="DAEEF3" w:themeFill="accent5" w:themeFillTint="33"/>
          </w:tcPr>
          <w:p w14:paraId="5F960F25" w14:textId="77777777" w:rsidR="0055415C" w:rsidRPr="00C26C5B" w:rsidRDefault="0055415C" w:rsidP="00904C43">
            <w:pPr>
              <w:pStyle w:val="Heading2"/>
              <w:rPr>
                <w:bCs w:val="0"/>
                <w:sz w:val="24"/>
                <w:szCs w:val="24"/>
              </w:rPr>
            </w:pPr>
            <w:r>
              <w:rPr>
                <w:bCs w:val="0"/>
                <w:sz w:val="24"/>
                <w:szCs w:val="24"/>
              </w:rPr>
              <w:t>Performance m</w:t>
            </w:r>
            <w:r w:rsidRPr="00C26C5B">
              <w:rPr>
                <w:bCs w:val="0"/>
                <w:sz w:val="24"/>
                <w:szCs w:val="24"/>
              </w:rPr>
              <w:t>ilestone</w:t>
            </w:r>
            <w:r w:rsidRPr="00A9341B">
              <w:rPr>
                <w:bCs w:val="0"/>
                <w:sz w:val="24"/>
                <w:szCs w:val="24"/>
              </w:rPr>
              <w:t>s</w:t>
            </w:r>
            <w:r w:rsidR="00904C43">
              <w:rPr>
                <w:bCs w:val="0"/>
                <w:sz w:val="24"/>
                <w:szCs w:val="24"/>
              </w:rPr>
              <w:t xml:space="preserve"> or benchmark</w:t>
            </w:r>
            <w:r>
              <w:rPr>
                <w:bCs w:val="0"/>
                <w:sz w:val="24"/>
                <w:szCs w:val="24"/>
              </w:rPr>
              <w:t>s</w:t>
            </w:r>
          </w:p>
        </w:tc>
        <w:tc>
          <w:tcPr>
            <w:tcW w:w="1473" w:type="dxa"/>
            <w:tcBorders>
              <w:bottom w:val="single" w:sz="18" w:space="0" w:color="4F81BD"/>
            </w:tcBorders>
            <w:shd w:val="clear" w:color="auto" w:fill="DAEEF3" w:themeFill="accent5" w:themeFillTint="33"/>
          </w:tcPr>
          <w:p w14:paraId="1ACFEB3D" w14:textId="77777777" w:rsidR="0055415C" w:rsidRPr="00D0312C" w:rsidRDefault="0055415C" w:rsidP="0026571E">
            <w:pPr>
              <w:pStyle w:val="Heading2"/>
              <w:rPr>
                <w:sz w:val="18"/>
                <w:szCs w:val="18"/>
              </w:rPr>
            </w:pPr>
            <w:r w:rsidRPr="00DE36EB">
              <w:rPr>
                <w:bCs w:val="0"/>
                <w:sz w:val="24"/>
                <w:szCs w:val="24"/>
              </w:rPr>
              <w:t>Report due</w:t>
            </w:r>
            <w:r>
              <w:rPr>
                <w:bCs w:val="0"/>
                <w:sz w:val="24"/>
                <w:szCs w:val="24"/>
              </w:rPr>
              <w:t xml:space="preserve"> </w:t>
            </w:r>
          </w:p>
        </w:tc>
        <w:tc>
          <w:tcPr>
            <w:tcW w:w="1241" w:type="dxa"/>
            <w:tcBorders>
              <w:bottom w:val="single" w:sz="18" w:space="0" w:color="4F81BD"/>
            </w:tcBorders>
            <w:shd w:val="clear" w:color="auto" w:fill="DAEEF3" w:themeFill="accent5" w:themeFillTint="33"/>
          </w:tcPr>
          <w:p w14:paraId="3580531C" w14:textId="77777777" w:rsidR="0055415C" w:rsidRPr="00C26C5B" w:rsidRDefault="0055415C" w:rsidP="00F3245D">
            <w:pPr>
              <w:pStyle w:val="Heading2"/>
              <w:rPr>
                <w:bCs w:val="0"/>
                <w:sz w:val="24"/>
                <w:szCs w:val="24"/>
              </w:rPr>
            </w:pPr>
            <w:r w:rsidRPr="00C26C5B">
              <w:rPr>
                <w:bCs w:val="0"/>
                <w:sz w:val="24"/>
                <w:szCs w:val="24"/>
              </w:rPr>
              <w:t>Payment</w:t>
            </w:r>
          </w:p>
        </w:tc>
      </w:tr>
      <w:tr w:rsidR="00921471" w:rsidRPr="00C26C5B" w14:paraId="4746F795" w14:textId="77777777" w:rsidTr="002A2629">
        <w:trPr>
          <w:trHeight w:val="1530"/>
        </w:trPr>
        <w:tc>
          <w:tcPr>
            <w:tcW w:w="2518" w:type="dxa"/>
            <w:vMerge w:val="restart"/>
            <w:shd w:val="clear" w:color="auto" w:fill="DAEEF3" w:themeFill="accent5" w:themeFillTint="33"/>
          </w:tcPr>
          <w:p w14:paraId="289C2EFE" w14:textId="72795AF7" w:rsidR="00921471" w:rsidRPr="00836ABA" w:rsidRDefault="00921471" w:rsidP="004158E6">
            <w:pPr>
              <w:pStyle w:val="Heading2"/>
              <w:rPr>
                <w:sz w:val="22"/>
                <w:szCs w:val="22"/>
              </w:rPr>
            </w:pPr>
            <w:r>
              <w:rPr>
                <w:sz w:val="22"/>
                <w:szCs w:val="22"/>
              </w:rPr>
              <w:t>W</w:t>
            </w:r>
            <w:r w:rsidRPr="00AA3794">
              <w:rPr>
                <w:sz w:val="22"/>
                <w:szCs w:val="22"/>
              </w:rPr>
              <w:t xml:space="preserve">ater infrastructure upgrades to </w:t>
            </w:r>
            <w:r w:rsidR="00561D72">
              <w:rPr>
                <w:sz w:val="22"/>
                <w:szCs w:val="22"/>
              </w:rPr>
              <w:t>reduce</w:t>
            </w:r>
            <w:r w:rsidR="00561D72" w:rsidRPr="00AA3794">
              <w:rPr>
                <w:sz w:val="22"/>
                <w:szCs w:val="22"/>
              </w:rPr>
              <w:t xml:space="preserve"> </w:t>
            </w:r>
            <w:r w:rsidRPr="00AA3794">
              <w:rPr>
                <w:sz w:val="22"/>
                <w:szCs w:val="22"/>
              </w:rPr>
              <w:t>untreated overflows from City of Launceston’s combined sewerage and stormwater system into the Tamar Estuary</w:t>
            </w:r>
          </w:p>
        </w:tc>
        <w:tc>
          <w:tcPr>
            <w:tcW w:w="4536" w:type="dxa"/>
          </w:tcPr>
          <w:p w14:paraId="6E27D59E" w14:textId="5E4709C6" w:rsidR="001B0943" w:rsidRDefault="00921471" w:rsidP="001B0943">
            <w:pPr>
              <w:pStyle w:val="Heading2"/>
              <w:rPr>
                <w:b w:val="0"/>
                <w:color w:val="auto"/>
                <w:sz w:val="23"/>
                <w:szCs w:val="23"/>
              </w:rPr>
            </w:pPr>
            <w:r w:rsidRPr="00DE7EBC">
              <w:rPr>
                <w:b w:val="0"/>
                <w:color w:val="auto"/>
                <w:sz w:val="23"/>
                <w:szCs w:val="23"/>
              </w:rPr>
              <w:t xml:space="preserve">Development of a Project </w:t>
            </w:r>
            <w:r w:rsidR="007F77BF">
              <w:rPr>
                <w:b w:val="0"/>
                <w:color w:val="auto"/>
                <w:sz w:val="23"/>
                <w:szCs w:val="23"/>
              </w:rPr>
              <w:t>Management</w:t>
            </w:r>
            <w:r w:rsidRPr="00DE7EBC">
              <w:rPr>
                <w:b w:val="0"/>
                <w:color w:val="auto"/>
                <w:sz w:val="23"/>
                <w:szCs w:val="23"/>
              </w:rPr>
              <w:t xml:space="preserve"> Plan</w:t>
            </w:r>
            <w:r>
              <w:rPr>
                <w:b w:val="0"/>
                <w:color w:val="auto"/>
                <w:sz w:val="23"/>
                <w:szCs w:val="23"/>
              </w:rPr>
              <w:t>,</w:t>
            </w:r>
            <w:r w:rsidRPr="00DE7EBC">
              <w:rPr>
                <w:b w:val="0"/>
                <w:color w:val="auto"/>
                <w:sz w:val="23"/>
                <w:szCs w:val="23"/>
              </w:rPr>
              <w:t xml:space="preserve"> </w:t>
            </w:r>
            <w:r>
              <w:rPr>
                <w:b w:val="0"/>
                <w:color w:val="auto"/>
                <w:sz w:val="23"/>
                <w:szCs w:val="23"/>
              </w:rPr>
              <w:t>outlining all milestones to be completed to deliver the outputs of this agreement, including their timing and cost.</w:t>
            </w:r>
          </w:p>
          <w:p w14:paraId="46AE4EEC" w14:textId="01171907" w:rsidR="00921471" w:rsidRPr="001B0943" w:rsidRDefault="00C35BA3" w:rsidP="001B0943">
            <w:pPr>
              <w:pStyle w:val="Heading2"/>
              <w:rPr>
                <w:b w:val="0"/>
                <w:color w:val="auto"/>
                <w:sz w:val="23"/>
                <w:szCs w:val="23"/>
              </w:rPr>
            </w:pPr>
            <w:r w:rsidRPr="002A2629">
              <w:rPr>
                <w:b w:val="0"/>
                <w:color w:val="auto"/>
                <w:sz w:val="23"/>
                <w:szCs w:val="23"/>
              </w:rPr>
              <w:t>Commonwealth agreement to the Project Management Plan.</w:t>
            </w:r>
          </w:p>
        </w:tc>
        <w:tc>
          <w:tcPr>
            <w:tcW w:w="1473" w:type="dxa"/>
            <w:shd w:val="clear" w:color="auto" w:fill="auto"/>
          </w:tcPr>
          <w:p w14:paraId="28168B07" w14:textId="1D463347" w:rsidR="00921471" w:rsidRPr="001B0943" w:rsidRDefault="00921471" w:rsidP="005925D6">
            <w:pPr>
              <w:pStyle w:val="Heading2"/>
              <w:rPr>
                <w:b w:val="0"/>
                <w:color w:val="auto"/>
                <w:sz w:val="23"/>
                <w:szCs w:val="23"/>
              </w:rPr>
            </w:pPr>
            <w:r w:rsidRPr="001B0943">
              <w:rPr>
                <w:b w:val="0"/>
                <w:color w:val="auto"/>
                <w:sz w:val="23"/>
                <w:szCs w:val="23"/>
              </w:rPr>
              <w:t>30</w:t>
            </w:r>
            <w:r w:rsidR="005925D6" w:rsidRPr="001B0943">
              <w:rPr>
                <w:b w:val="0"/>
                <w:color w:val="auto"/>
                <w:sz w:val="23"/>
                <w:szCs w:val="23"/>
              </w:rPr>
              <w:t>May</w:t>
            </w:r>
            <w:r w:rsidRPr="001B0943">
              <w:rPr>
                <w:b w:val="0"/>
                <w:color w:val="auto"/>
                <w:sz w:val="23"/>
                <w:szCs w:val="23"/>
              </w:rPr>
              <w:t xml:space="preserve"> 2020</w:t>
            </w:r>
          </w:p>
        </w:tc>
        <w:tc>
          <w:tcPr>
            <w:tcW w:w="1241" w:type="dxa"/>
            <w:shd w:val="clear" w:color="auto" w:fill="auto"/>
          </w:tcPr>
          <w:p w14:paraId="03E0567A" w14:textId="64C89ABF" w:rsidR="00921471" w:rsidRPr="001B0943" w:rsidRDefault="00921471" w:rsidP="007B2230">
            <w:pPr>
              <w:pStyle w:val="Heading2"/>
              <w:rPr>
                <w:b w:val="0"/>
                <w:color w:val="auto"/>
                <w:sz w:val="23"/>
                <w:szCs w:val="23"/>
              </w:rPr>
            </w:pPr>
            <w:r w:rsidRPr="001B0943">
              <w:rPr>
                <w:b w:val="0"/>
                <w:color w:val="auto"/>
                <w:sz w:val="23"/>
                <w:szCs w:val="23"/>
              </w:rPr>
              <w:t>$1.5m</w:t>
            </w:r>
          </w:p>
          <w:p w14:paraId="798A1746" w14:textId="709C0504" w:rsidR="00921471" w:rsidRPr="001B0943" w:rsidRDefault="00921471" w:rsidP="007B2230"/>
          <w:p w14:paraId="1E5F40D5" w14:textId="14C71A02" w:rsidR="00921471" w:rsidRPr="001B0943" w:rsidRDefault="00921471" w:rsidP="00A42F83">
            <w:pPr>
              <w:rPr>
                <w:b/>
              </w:rPr>
            </w:pPr>
          </w:p>
        </w:tc>
      </w:tr>
      <w:tr w:rsidR="00D4294B" w:rsidRPr="00C26C5B" w14:paraId="4667C20F" w14:textId="77777777" w:rsidTr="002A2629">
        <w:trPr>
          <w:trHeight w:val="605"/>
        </w:trPr>
        <w:tc>
          <w:tcPr>
            <w:tcW w:w="2518" w:type="dxa"/>
            <w:vMerge/>
            <w:shd w:val="clear" w:color="auto" w:fill="DAEEF3" w:themeFill="accent5" w:themeFillTint="33"/>
          </w:tcPr>
          <w:p w14:paraId="4AE9D62D" w14:textId="77777777" w:rsidR="00D4294B" w:rsidRDefault="00D4294B" w:rsidP="004158E6">
            <w:pPr>
              <w:pStyle w:val="Heading2"/>
              <w:rPr>
                <w:sz w:val="22"/>
                <w:szCs w:val="22"/>
              </w:rPr>
            </w:pPr>
          </w:p>
        </w:tc>
        <w:tc>
          <w:tcPr>
            <w:tcW w:w="4536" w:type="dxa"/>
          </w:tcPr>
          <w:p w14:paraId="07CA4734" w14:textId="6C873C9B" w:rsidR="00D4294B" w:rsidRPr="00DE7EBC" w:rsidRDefault="00D4294B" w:rsidP="00B76DCF">
            <w:pPr>
              <w:pStyle w:val="Heading2"/>
              <w:rPr>
                <w:b w:val="0"/>
                <w:color w:val="auto"/>
                <w:sz w:val="23"/>
                <w:szCs w:val="23"/>
              </w:rPr>
            </w:pPr>
            <w:r>
              <w:rPr>
                <w:b w:val="0"/>
                <w:color w:val="auto"/>
                <w:sz w:val="23"/>
                <w:szCs w:val="23"/>
              </w:rPr>
              <w:t xml:space="preserve">Commencement </w:t>
            </w:r>
            <w:r w:rsidR="00170542">
              <w:rPr>
                <w:b w:val="0"/>
                <w:color w:val="auto"/>
                <w:sz w:val="23"/>
                <w:szCs w:val="23"/>
              </w:rPr>
              <w:t xml:space="preserve">of </w:t>
            </w:r>
            <w:r w:rsidR="00B76DCF">
              <w:rPr>
                <w:b w:val="0"/>
                <w:color w:val="auto"/>
                <w:sz w:val="23"/>
                <w:szCs w:val="23"/>
              </w:rPr>
              <w:t xml:space="preserve">construction </w:t>
            </w:r>
          </w:p>
        </w:tc>
        <w:tc>
          <w:tcPr>
            <w:tcW w:w="1473" w:type="dxa"/>
            <w:shd w:val="clear" w:color="auto" w:fill="auto"/>
          </w:tcPr>
          <w:p w14:paraId="761A5AF9" w14:textId="718AC4C3" w:rsidR="00D4294B" w:rsidRPr="001B0943" w:rsidRDefault="00B76DCF" w:rsidP="00B76DCF">
            <w:pPr>
              <w:pStyle w:val="Heading2"/>
              <w:rPr>
                <w:b w:val="0"/>
                <w:color w:val="auto"/>
                <w:sz w:val="23"/>
                <w:szCs w:val="23"/>
              </w:rPr>
            </w:pPr>
            <w:r w:rsidRPr="001B0943">
              <w:rPr>
                <w:b w:val="0"/>
                <w:color w:val="auto"/>
                <w:sz w:val="23"/>
                <w:szCs w:val="23"/>
              </w:rPr>
              <w:t>Oct 2020</w:t>
            </w:r>
          </w:p>
        </w:tc>
        <w:tc>
          <w:tcPr>
            <w:tcW w:w="1241" w:type="dxa"/>
            <w:shd w:val="clear" w:color="auto" w:fill="auto"/>
          </w:tcPr>
          <w:p w14:paraId="6C20EE6D" w14:textId="10C6CCB2" w:rsidR="00D4294B" w:rsidRPr="001B0943" w:rsidRDefault="00B76DCF" w:rsidP="007B2230">
            <w:pPr>
              <w:pStyle w:val="Heading2"/>
              <w:rPr>
                <w:b w:val="0"/>
                <w:color w:val="auto"/>
                <w:sz w:val="23"/>
                <w:szCs w:val="23"/>
              </w:rPr>
            </w:pPr>
            <w:r w:rsidRPr="001B0943">
              <w:rPr>
                <w:b w:val="0"/>
                <w:color w:val="auto"/>
                <w:sz w:val="23"/>
                <w:szCs w:val="23"/>
              </w:rPr>
              <w:t>$3.9m</w:t>
            </w:r>
          </w:p>
        </w:tc>
      </w:tr>
      <w:tr w:rsidR="00D4294B" w:rsidRPr="00C26C5B" w14:paraId="3D99483D" w14:textId="77777777" w:rsidTr="002A2629">
        <w:trPr>
          <w:trHeight w:val="223"/>
        </w:trPr>
        <w:tc>
          <w:tcPr>
            <w:tcW w:w="2518" w:type="dxa"/>
            <w:vMerge/>
            <w:shd w:val="clear" w:color="auto" w:fill="DAEEF3" w:themeFill="accent5" w:themeFillTint="33"/>
          </w:tcPr>
          <w:p w14:paraId="55610C58" w14:textId="77777777" w:rsidR="00D4294B" w:rsidRDefault="00D4294B" w:rsidP="004158E6">
            <w:pPr>
              <w:pStyle w:val="Heading2"/>
              <w:rPr>
                <w:sz w:val="22"/>
                <w:szCs w:val="22"/>
              </w:rPr>
            </w:pPr>
          </w:p>
        </w:tc>
        <w:tc>
          <w:tcPr>
            <w:tcW w:w="4536" w:type="dxa"/>
          </w:tcPr>
          <w:p w14:paraId="6905BDC6" w14:textId="0AA22B72" w:rsidR="00D4294B" w:rsidRDefault="00B76DCF" w:rsidP="00DE7EBC">
            <w:pPr>
              <w:pStyle w:val="Heading2"/>
              <w:rPr>
                <w:b w:val="0"/>
                <w:color w:val="auto"/>
                <w:sz w:val="23"/>
                <w:szCs w:val="23"/>
              </w:rPr>
            </w:pPr>
            <w:r>
              <w:rPr>
                <w:b w:val="0"/>
                <w:color w:val="auto"/>
                <w:sz w:val="23"/>
                <w:szCs w:val="23"/>
              </w:rPr>
              <w:t xml:space="preserve">Completion of </w:t>
            </w:r>
            <w:r w:rsidR="00165197">
              <w:rPr>
                <w:b w:val="0"/>
                <w:color w:val="auto"/>
                <w:sz w:val="23"/>
                <w:szCs w:val="23"/>
              </w:rPr>
              <w:t>milestones set out in the</w:t>
            </w:r>
            <w:r w:rsidR="00C35BA3">
              <w:rPr>
                <w:b w:val="0"/>
                <w:color w:val="auto"/>
                <w:sz w:val="23"/>
                <w:szCs w:val="23"/>
              </w:rPr>
              <w:t xml:space="preserve"> agreed</w:t>
            </w:r>
            <w:r w:rsidR="00165197">
              <w:rPr>
                <w:b w:val="0"/>
                <w:color w:val="auto"/>
                <w:sz w:val="23"/>
                <w:szCs w:val="23"/>
              </w:rPr>
              <w:t xml:space="preserve"> </w:t>
            </w:r>
            <w:r w:rsidR="00D4294B">
              <w:rPr>
                <w:b w:val="0"/>
                <w:color w:val="auto"/>
                <w:sz w:val="23"/>
                <w:szCs w:val="23"/>
              </w:rPr>
              <w:t xml:space="preserve">Project </w:t>
            </w:r>
            <w:r w:rsidR="007F77BF">
              <w:rPr>
                <w:b w:val="0"/>
                <w:color w:val="auto"/>
                <w:sz w:val="23"/>
                <w:szCs w:val="23"/>
              </w:rPr>
              <w:t>Management</w:t>
            </w:r>
            <w:r w:rsidR="00D4294B">
              <w:rPr>
                <w:b w:val="0"/>
                <w:color w:val="auto"/>
                <w:sz w:val="23"/>
                <w:szCs w:val="23"/>
              </w:rPr>
              <w:t xml:space="preserve"> Plan </w:t>
            </w:r>
          </w:p>
          <w:p w14:paraId="07236E81" w14:textId="36F862B1" w:rsidR="00366E2E" w:rsidRPr="00921663" w:rsidRDefault="00366E2E" w:rsidP="00921663">
            <w:pPr>
              <w:rPr>
                <w:b/>
              </w:rPr>
            </w:pPr>
            <w:r>
              <w:t>Progress Report to be provided</w:t>
            </w:r>
          </w:p>
        </w:tc>
        <w:tc>
          <w:tcPr>
            <w:tcW w:w="1473" w:type="dxa"/>
            <w:shd w:val="clear" w:color="auto" w:fill="auto"/>
          </w:tcPr>
          <w:p w14:paraId="7552F8DE" w14:textId="2928315D" w:rsidR="00D4294B" w:rsidRPr="001B0943" w:rsidRDefault="00B76DCF" w:rsidP="00AA3794">
            <w:pPr>
              <w:pStyle w:val="Heading2"/>
              <w:rPr>
                <w:b w:val="0"/>
                <w:color w:val="auto"/>
                <w:sz w:val="23"/>
                <w:szCs w:val="23"/>
              </w:rPr>
            </w:pPr>
            <w:r w:rsidRPr="001B0943">
              <w:rPr>
                <w:b w:val="0"/>
                <w:color w:val="auto"/>
                <w:sz w:val="23"/>
                <w:szCs w:val="23"/>
              </w:rPr>
              <w:t>March</w:t>
            </w:r>
            <w:r w:rsidR="00366E2E" w:rsidRPr="001B0943">
              <w:rPr>
                <w:b w:val="0"/>
                <w:color w:val="auto"/>
                <w:sz w:val="23"/>
                <w:szCs w:val="23"/>
              </w:rPr>
              <w:t xml:space="preserve"> 202</w:t>
            </w:r>
            <w:r w:rsidR="009F120C" w:rsidRPr="001B0943">
              <w:rPr>
                <w:b w:val="0"/>
                <w:color w:val="auto"/>
                <w:sz w:val="23"/>
                <w:szCs w:val="23"/>
              </w:rPr>
              <w:t>1</w:t>
            </w:r>
          </w:p>
        </w:tc>
        <w:tc>
          <w:tcPr>
            <w:tcW w:w="1241" w:type="dxa"/>
            <w:shd w:val="clear" w:color="auto" w:fill="auto"/>
          </w:tcPr>
          <w:p w14:paraId="0B224AB9" w14:textId="78458E56" w:rsidR="00D4294B" w:rsidRPr="001B0943" w:rsidRDefault="00366E2E" w:rsidP="007B2230">
            <w:pPr>
              <w:pStyle w:val="Heading2"/>
              <w:rPr>
                <w:b w:val="0"/>
                <w:color w:val="auto"/>
                <w:sz w:val="23"/>
                <w:szCs w:val="23"/>
              </w:rPr>
            </w:pPr>
            <w:r w:rsidRPr="001B0943">
              <w:rPr>
                <w:b w:val="0"/>
                <w:color w:val="auto"/>
                <w:sz w:val="23"/>
                <w:szCs w:val="23"/>
              </w:rPr>
              <w:t>$3.9m</w:t>
            </w:r>
          </w:p>
        </w:tc>
      </w:tr>
      <w:tr w:rsidR="00366E2E" w:rsidRPr="00C26C5B" w14:paraId="19FDE926" w14:textId="77777777" w:rsidTr="002A2629">
        <w:trPr>
          <w:trHeight w:val="60"/>
        </w:trPr>
        <w:tc>
          <w:tcPr>
            <w:tcW w:w="2518" w:type="dxa"/>
            <w:vMerge/>
            <w:shd w:val="clear" w:color="auto" w:fill="DAEEF3" w:themeFill="accent5" w:themeFillTint="33"/>
          </w:tcPr>
          <w:p w14:paraId="73B356BE" w14:textId="77777777" w:rsidR="00366E2E" w:rsidRDefault="00366E2E" w:rsidP="00366E2E">
            <w:pPr>
              <w:pStyle w:val="Heading2"/>
              <w:rPr>
                <w:sz w:val="22"/>
                <w:szCs w:val="22"/>
              </w:rPr>
            </w:pPr>
          </w:p>
        </w:tc>
        <w:tc>
          <w:tcPr>
            <w:tcW w:w="4536" w:type="dxa"/>
          </w:tcPr>
          <w:p w14:paraId="71BF723F" w14:textId="68BB103B" w:rsidR="00165197" w:rsidRDefault="009F120C" w:rsidP="00165197">
            <w:pPr>
              <w:pStyle w:val="Heading2"/>
              <w:rPr>
                <w:b w:val="0"/>
                <w:color w:val="auto"/>
                <w:sz w:val="23"/>
                <w:szCs w:val="23"/>
              </w:rPr>
            </w:pPr>
            <w:r>
              <w:rPr>
                <w:b w:val="0"/>
                <w:color w:val="auto"/>
                <w:sz w:val="23"/>
                <w:szCs w:val="23"/>
              </w:rPr>
              <w:t xml:space="preserve">Completion of </w:t>
            </w:r>
            <w:r w:rsidR="00165197">
              <w:rPr>
                <w:b w:val="0"/>
                <w:color w:val="auto"/>
                <w:sz w:val="23"/>
                <w:szCs w:val="23"/>
              </w:rPr>
              <w:t xml:space="preserve">milestones set out in the </w:t>
            </w:r>
            <w:r w:rsidR="00C35BA3">
              <w:rPr>
                <w:b w:val="0"/>
                <w:color w:val="auto"/>
                <w:sz w:val="23"/>
                <w:szCs w:val="23"/>
              </w:rPr>
              <w:t xml:space="preserve">agreed </w:t>
            </w:r>
            <w:r w:rsidR="00165197">
              <w:rPr>
                <w:b w:val="0"/>
                <w:color w:val="auto"/>
                <w:sz w:val="23"/>
                <w:szCs w:val="23"/>
              </w:rPr>
              <w:t xml:space="preserve">Project </w:t>
            </w:r>
            <w:r w:rsidR="007F77BF">
              <w:rPr>
                <w:b w:val="0"/>
                <w:color w:val="auto"/>
                <w:sz w:val="23"/>
                <w:szCs w:val="23"/>
              </w:rPr>
              <w:t xml:space="preserve">Management </w:t>
            </w:r>
            <w:r w:rsidR="00165197">
              <w:rPr>
                <w:b w:val="0"/>
                <w:color w:val="auto"/>
                <w:sz w:val="23"/>
                <w:szCs w:val="23"/>
              </w:rPr>
              <w:t xml:space="preserve">Plan </w:t>
            </w:r>
          </w:p>
          <w:p w14:paraId="42139F66" w14:textId="3A7F4EBE" w:rsidR="00366E2E" w:rsidRPr="00921663" w:rsidRDefault="00366E2E" w:rsidP="00921663">
            <w:pPr>
              <w:rPr>
                <w:b/>
              </w:rPr>
            </w:pPr>
            <w:r>
              <w:t>Progress Report to be provided</w:t>
            </w:r>
          </w:p>
        </w:tc>
        <w:tc>
          <w:tcPr>
            <w:tcW w:w="1473" w:type="dxa"/>
            <w:shd w:val="clear" w:color="auto" w:fill="auto"/>
          </w:tcPr>
          <w:p w14:paraId="05D6E6F2" w14:textId="0735DE81" w:rsidR="00366E2E" w:rsidRPr="001B0943" w:rsidRDefault="009F120C" w:rsidP="009F120C">
            <w:pPr>
              <w:pStyle w:val="Heading2"/>
              <w:rPr>
                <w:b w:val="0"/>
                <w:color w:val="auto"/>
                <w:sz w:val="23"/>
                <w:szCs w:val="23"/>
              </w:rPr>
            </w:pPr>
            <w:r w:rsidRPr="001B0943">
              <w:rPr>
                <w:b w:val="0"/>
                <w:color w:val="auto"/>
                <w:sz w:val="23"/>
                <w:szCs w:val="23"/>
              </w:rPr>
              <w:t>Oct</w:t>
            </w:r>
            <w:r w:rsidR="00366E2E" w:rsidRPr="001B0943">
              <w:rPr>
                <w:b w:val="0"/>
                <w:color w:val="auto"/>
                <w:sz w:val="23"/>
                <w:szCs w:val="23"/>
              </w:rPr>
              <w:t xml:space="preserve"> 2021</w:t>
            </w:r>
          </w:p>
        </w:tc>
        <w:tc>
          <w:tcPr>
            <w:tcW w:w="1241" w:type="dxa"/>
            <w:shd w:val="clear" w:color="auto" w:fill="auto"/>
          </w:tcPr>
          <w:p w14:paraId="2066920E" w14:textId="35B317D4" w:rsidR="00366E2E" w:rsidRPr="001B0943" w:rsidRDefault="009F120C" w:rsidP="00366E2E">
            <w:pPr>
              <w:pStyle w:val="Heading2"/>
              <w:rPr>
                <w:b w:val="0"/>
                <w:color w:val="auto"/>
                <w:sz w:val="23"/>
                <w:szCs w:val="23"/>
              </w:rPr>
            </w:pPr>
            <w:r w:rsidRPr="001B0943">
              <w:rPr>
                <w:b w:val="0"/>
                <w:color w:val="auto"/>
                <w:sz w:val="23"/>
                <w:szCs w:val="23"/>
              </w:rPr>
              <w:t>$5.675m</w:t>
            </w:r>
          </w:p>
        </w:tc>
      </w:tr>
      <w:tr w:rsidR="00B76DCF" w:rsidRPr="00C26C5B" w14:paraId="5A175E61" w14:textId="77777777" w:rsidTr="002A2629">
        <w:trPr>
          <w:trHeight w:val="1402"/>
        </w:trPr>
        <w:tc>
          <w:tcPr>
            <w:tcW w:w="2518" w:type="dxa"/>
            <w:vMerge/>
            <w:shd w:val="clear" w:color="auto" w:fill="DAEEF3" w:themeFill="accent5" w:themeFillTint="33"/>
          </w:tcPr>
          <w:p w14:paraId="4CA81AFE" w14:textId="77777777" w:rsidR="00B76DCF" w:rsidRDefault="00B76DCF" w:rsidP="00366E2E">
            <w:pPr>
              <w:pStyle w:val="Heading2"/>
              <w:rPr>
                <w:sz w:val="22"/>
                <w:szCs w:val="22"/>
              </w:rPr>
            </w:pPr>
          </w:p>
        </w:tc>
        <w:tc>
          <w:tcPr>
            <w:tcW w:w="4536" w:type="dxa"/>
          </w:tcPr>
          <w:p w14:paraId="37444FBA" w14:textId="3A093B11" w:rsidR="009F120C" w:rsidRPr="009F120C" w:rsidRDefault="009F120C" w:rsidP="009F120C">
            <w:pPr>
              <w:pStyle w:val="Heading2"/>
              <w:rPr>
                <w:b w:val="0"/>
                <w:color w:val="auto"/>
                <w:sz w:val="23"/>
                <w:szCs w:val="23"/>
              </w:rPr>
            </w:pPr>
            <w:r w:rsidRPr="009F120C">
              <w:rPr>
                <w:b w:val="0"/>
                <w:color w:val="auto"/>
                <w:sz w:val="23"/>
                <w:szCs w:val="23"/>
              </w:rPr>
              <w:t xml:space="preserve">Completion of milestones set out in the </w:t>
            </w:r>
            <w:r w:rsidR="00C35BA3">
              <w:rPr>
                <w:b w:val="0"/>
                <w:color w:val="auto"/>
                <w:sz w:val="23"/>
                <w:szCs w:val="23"/>
              </w:rPr>
              <w:t xml:space="preserve">agreed </w:t>
            </w:r>
            <w:r w:rsidRPr="009F120C">
              <w:rPr>
                <w:b w:val="0"/>
                <w:color w:val="auto"/>
                <w:sz w:val="23"/>
                <w:szCs w:val="23"/>
              </w:rPr>
              <w:t xml:space="preserve">Project </w:t>
            </w:r>
            <w:r w:rsidR="007F77BF">
              <w:rPr>
                <w:b w:val="0"/>
                <w:color w:val="auto"/>
                <w:sz w:val="23"/>
                <w:szCs w:val="23"/>
              </w:rPr>
              <w:t xml:space="preserve">Management </w:t>
            </w:r>
            <w:r w:rsidRPr="009F120C">
              <w:rPr>
                <w:b w:val="0"/>
                <w:color w:val="auto"/>
                <w:sz w:val="23"/>
                <w:szCs w:val="23"/>
              </w:rPr>
              <w:t xml:space="preserve">Plan </w:t>
            </w:r>
          </w:p>
          <w:p w14:paraId="68206746" w14:textId="52B359AD" w:rsidR="00B76DCF" w:rsidRDefault="009F120C" w:rsidP="009F120C">
            <w:pPr>
              <w:pStyle w:val="Heading2"/>
              <w:rPr>
                <w:b w:val="0"/>
                <w:color w:val="auto"/>
                <w:sz w:val="23"/>
                <w:szCs w:val="23"/>
              </w:rPr>
            </w:pPr>
            <w:r w:rsidRPr="009F120C">
              <w:rPr>
                <w:b w:val="0"/>
                <w:color w:val="auto"/>
                <w:sz w:val="23"/>
                <w:szCs w:val="23"/>
              </w:rPr>
              <w:t>Progress Report to be provided</w:t>
            </w:r>
          </w:p>
        </w:tc>
        <w:tc>
          <w:tcPr>
            <w:tcW w:w="1473" w:type="dxa"/>
            <w:shd w:val="clear" w:color="auto" w:fill="auto"/>
          </w:tcPr>
          <w:p w14:paraId="3E26E2F0" w14:textId="274CCBCA" w:rsidR="00B76DCF" w:rsidRPr="001B0943" w:rsidRDefault="009F120C" w:rsidP="00366E2E">
            <w:pPr>
              <w:pStyle w:val="Heading2"/>
              <w:rPr>
                <w:b w:val="0"/>
                <w:color w:val="auto"/>
                <w:sz w:val="23"/>
                <w:szCs w:val="23"/>
              </w:rPr>
            </w:pPr>
            <w:r w:rsidRPr="001B0943">
              <w:rPr>
                <w:b w:val="0"/>
                <w:color w:val="auto"/>
                <w:sz w:val="23"/>
                <w:szCs w:val="23"/>
              </w:rPr>
              <w:t>March 2022</w:t>
            </w:r>
          </w:p>
        </w:tc>
        <w:tc>
          <w:tcPr>
            <w:tcW w:w="1241" w:type="dxa"/>
            <w:shd w:val="clear" w:color="auto" w:fill="auto"/>
          </w:tcPr>
          <w:p w14:paraId="74DCEA59" w14:textId="241A87FC" w:rsidR="00B76DCF" w:rsidRPr="001B0943" w:rsidRDefault="009F120C" w:rsidP="00366E2E">
            <w:pPr>
              <w:pStyle w:val="Heading2"/>
              <w:rPr>
                <w:b w:val="0"/>
                <w:color w:val="auto"/>
                <w:sz w:val="23"/>
                <w:szCs w:val="23"/>
              </w:rPr>
            </w:pPr>
            <w:r w:rsidRPr="001B0943">
              <w:rPr>
                <w:b w:val="0"/>
                <w:color w:val="auto"/>
                <w:sz w:val="23"/>
                <w:szCs w:val="23"/>
              </w:rPr>
              <w:t>$5.675m</w:t>
            </w:r>
          </w:p>
        </w:tc>
      </w:tr>
      <w:tr w:rsidR="009F120C" w:rsidRPr="00C26C5B" w14:paraId="71BADEA3" w14:textId="77777777" w:rsidTr="002A2629">
        <w:trPr>
          <w:trHeight w:val="1393"/>
        </w:trPr>
        <w:tc>
          <w:tcPr>
            <w:tcW w:w="2518" w:type="dxa"/>
            <w:vMerge/>
            <w:shd w:val="clear" w:color="auto" w:fill="DAEEF3" w:themeFill="accent5" w:themeFillTint="33"/>
          </w:tcPr>
          <w:p w14:paraId="35D43F7E" w14:textId="77777777" w:rsidR="009F120C" w:rsidRDefault="009F120C" w:rsidP="00366E2E">
            <w:pPr>
              <w:pStyle w:val="Heading2"/>
              <w:rPr>
                <w:sz w:val="22"/>
                <w:szCs w:val="22"/>
              </w:rPr>
            </w:pPr>
          </w:p>
        </w:tc>
        <w:tc>
          <w:tcPr>
            <w:tcW w:w="4536" w:type="dxa"/>
          </w:tcPr>
          <w:p w14:paraId="06BB5B91" w14:textId="2AC18366" w:rsidR="009F120C" w:rsidRPr="009F120C" w:rsidRDefault="009F120C" w:rsidP="009F120C">
            <w:pPr>
              <w:pStyle w:val="Heading2"/>
              <w:rPr>
                <w:b w:val="0"/>
                <w:color w:val="auto"/>
                <w:sz w:val="23"/>
                <w:szCs w:val="23"/>
              </w:rPr>
            </w:pPr>
            <w:r w:rsidRPr="009F120C">
              <w:rPr>
                <w:b w:val="0"/>
                <w:color w:val="auto"/>
                <w:sz w:val="23"/>
                <w:szCs w:val="23"/>
              </w:rPr>
              <w:t xml:space="preserve">Completion of milestones set out in the </w:t>
            </w:r>
            <w:r w:rsidR="00C35BA3">
              <w:rPr>
                <w:b w:val="0"/>
                <w:color w:val="auto"/>
                <w:sz w:val="23"/>
                <w:szCs w:val="23"/>
              </w:rPr>
              <w:t xml:space="preserve">agreed </w:t>
            </w:r>
            <w:r w:rsidRPr="009F120C">
              <w:rPr>
                <w:b w:val="0"/>
                <w:color w:val="auto"/>
                <w:sz w:val="23"/>
                <w:szCs w:val="23"/>
              </w:rPr>
              <w:t xml:space="preserve">Project </w:t>
            </w:r>
            <w:r w:rsidR="007F77BF">
              <w:rPr>
                <w:b w:val="0"/>
                <w:color w:val="auto"/>
                <w:sz w:val="23"/>
                <w:szCs w:val="23"/>
              </w:rPr>
              <w:t xml:space="preserve">Management </w:t>
            </w:r>
            <w:r w:rsidRPr="009F120C">
              <w:rPr>
                <w:b w:val="0"/>
                <w:color w:val="auto"/>
                <w:sz w:val="23"/>
                <w:szCs w:val="23"/>
              </w:rPr>
              <w:t xml:space="preserve">Plan </w:t>
            </w:r>
          </w:p>
          <w:p w14:paraId="2A948D9B" w14:textId="5CB46B78" w:rsidR="009F120C" w:rsidRPr="009F120C" w:rsidRDefault="009F120C" w:rsidP="009F120C">
            <w:pPr>
              <w:pStyle w:val="Heading2"/>
              <w:rPr>
                <w:b w:val="0"/>
                <w:color w:val="auto"/>
                <w:sz w:val="23"/>
                <w:szCs w:val="23"/>
              </w:rPr>
            </w:pPr>
            <w:r w:rsidRPr="009F120C">
              <w:rPr>
                <w:b w:val="0"/>
                <w:color w:val="auto"/>
                <w:sz w:val="23"/>
                <w:szCs w:val="23"/>
              </w:rPr>
              <w:t>Progress Report to be provided</w:t>
            </w:r>
          </w:p>
        </w:tc>
        <w:tc>
          <w:tcPr>
            <w:tcW w:w="1473" w:type="dxa"/>
            <w:shd w:val="clear" w:color="auto" w:fill="auto"/>
          </w:tcPr>
          <w:p w14:paraId="20093C11" w14:textId="6441A78C" w:rsidR="009F120C" w:rsidRPr="001B0943" w:rsidRDefault="009F120C" w:rsidP="00366E2E">
            <w:pPr>
              <w:pStyle w:val="Heading2"/>
              <w:rPr>
                <w:b w:val="0"/>
                <w:color w:val="auto"/>
                <w:sz w:val="23"/>
                <w:szCs w:val="23"/>
              </w:rPr>
            </w:pPr>
            <w:r w:rsidRPr="001B0943">
              <w:rPr>
                <w:b w:val="0"/>
                <w:color w:val="auto"/>
                <w:sz w:val="23"/>
                <w:szCs w:val="23"/>
              </w:rPr>
              <w:t>Oct 2022</w:t>
            </w:r>
          </w:p>
        </w:tc>
        <w:tc>
          <w:tcPr>
            <w:tcW w:w="1241" w:type="dxa"/>
            <w:shd w:val="clear" w:color="auto" w:fill="auto"/>
          </w:tcPr>
          <w:p w14:paraId="1D5219F7" w14:textId="63F3C284" w:rsidR="009F120C" w:rsidRPr="001B0943" w:rsidRDefault="009F120C" w:rsidP="00366E2E">
            <w:pPr>
              <w:pStyle w:val="Heading2"/>
              <w:rPr>
                <w:b w:val="0"/>
                <w:color w:val="auto"/>
                <w:sz w:val="23"/>
                <w:szCs w:val="23"/>
              </w:rPr>
            </w:pPr>
            <w:r w:rsidRPr="001B0943">
              <w:rPr>
                <w:b w:val="0"/>
                <w:color w:val="auto"/>
                <w:sz w:val="23"/>
                <w:szCs w:val="23"/>
              </w:rPr>
              <w:t>$7.65m</w:t>
            </w:r>
          </w:p>
        </w:tc>
      </w:tr>
      <w:tr w:rsidR="009F120C" w:rsidRPr="00C26C5B" w14:paraId="4DDC4300" w14:textId="77777777" w:rsidTr="002A2629">
        <w:trPr>
          <w:trHeight w:val="1484"/>
        </w:trPr>
        <w:tc>
          <w:tcPr>
            <w:tcW w:w="2518" w:type="dxa"/>
            <w:vMerge/>
            <w:shd w:val="clear" w:color="auto" w:fill="DAEEF3" w:themeFill="accent5" w:themeFillTint="33"/>
          </w:tcPr>
          <w:p w14:paraId="37A9B390" w14:textId="77777777" w:rsidR="009F120C" w:rsidRDefault="009F120C" w:rsidP="00366E2E">
            <w:pPr>
              <w:pStyle w:val="Heading2"/>
              <w:rPr>
                <w:sz w:val="22"/>
                <w:szCs w:val="22"/>
              </w:rPr>
            </w:pPr>
          </w:p>
        </w:tc>
        <w:tc>
          <w:tcPr>
            <w:tcW w:w="4536" w:type="dxa"/>
          </w:tcPr>
          <w:p w14:paraId="17CAFA74" w14:textId="22473820" w:rsidR="009F120C" w:rsidRPr="009F120C" w:rsidRDefault="009F120C" w:rsidP="009F120C">
            <w:pPr>
              <w:pStyle w:val="Heading2"/>
              <w:rPr>
                <w:b w:val="0"/>
                <w:color w:val="auto"/>
                <w:sz w:val="23"/>
                <w:szCs w:val="23"/>
              </w:rPr>
            </w:pPr>
            <w:r w:rsidRPr="009F120C">
              <w:rPr>
                <w:b w:val="0"/>
                <w:color w:val="auto"/>
                <w:sz w:val="23"/>
                <w:szCs w:val="23"/>
              </w:rPr>
              <w:t>Completion of milestones set out in the</w:t>
            </w:r>
            <w:r w:rsidR="00C35BA3">
              <w:rPr>
                <w:b w:val="0"/>
                <w:color w:val="auto"/>
                <w:sz w:val="23"/>
                <w:szCs w:val="23"/>
              </w:rPr>
              <w:t xml:space="preserve"> agreed</w:t>
            </w:r>
            <w:r w:rsidRPr="009F120C">
              <w:rPr>
                <w:b w:val="0"/>
                <w:color w:val="auto"/>
                <w:sz w:val="23"/>
                <w:szCs w:val="23"/>
              </w:rPr>
              <w:t xml:space="preserve"> Project </w:t>
            </w:r>
            <w:r w:rsidR="007F77BF">
              <w:rPr>
                <w:b w:val="0"/>
                <w:color w:val="auto"/>
                <w:sz w:val="23"/>
                <w:szCs w:val="23"/>
              </w:rPr>
              <w:t xml:space="preserve">Management </w:t>
            </w:r>
            <w:r w:rsidRPr="009F120C">
              <w:rPr>
                <w:b w:val="0"/>
                <w:color w:val="auto"/>
                <w:sz w:val="23"/>
                <w:szCs w:val="23"/>
              </w:rPr>
              <w:t xml:space="preserve">Plan </w:t>
            </w:r>
          </w:p>
          <w:p w14:paraId="045A6B6A" w14:textId="60F6EB97" w:rsidR="009F120C" w:rsidRPr="009F120C" w:rsidRDefault="009F120C" w:rsidP="009F120C">
            <w:pPr>
              <w:pStyle w:val="Heading2"/>
              <w:rPr>
                <w:b w:val="0"/>
                <w:color w:val="auto"/>
                <w:sz w:val="23"/>
                <w:szCs w:val="23"/>
              </w:rPr>
            </w:pPr>
            <w:r w:rsidRPr="009F120C">
              <w:rPr>
                <w:b w:val="0"/>
                <w:color w:val="auto"/>
                <w:sz w:val="23"/>
                <w:szCs w:val="23"/>
              </w:rPr>
              <w:t>Progress Report to be provided</w:t>
            </w:r>
          </w:p>
        </w:tc>
        <w:tc>
          <w:tcPr>
            <w:tcW w:w="1473" w:type="dxa"/>
            <w:shd w:val="clear" w:color="auto" w:fill="auto"/>
          </w:tcPr>
          <w:p w14:paraId="1BD77BA8" w14:textId="376DCE13" w:rsidR="009F120C" w:rsidRPr="001B0943" w:rsidRDefault="009F120C" w:rsidP="00366E2E">
            <w:pPr>
              <w:pStyle w:val="Heading2"/>
              <w:rPr>
                <w:b w:val="0"/>
                <w:color w:val="auto"/>
                <w:sz w:val="23"/>
                <w:szCs w:val="23"/>
              </w:rPr>
            </w:pPr>
            <w:r w:rsidRPr="001B0943">
              <w:rPr>
                <w:b w:val="0"/>
                <w:color w:val="auto"/>
                <w:sz w:val="23"/>
                <w:szCs w:val="23"/>
              </w:rPr>
              <w:t>March 2023</w:t>
            </w:r>
          </w:p>
        </w:tc>
        <w:tc>
          <w:tcPr>
            <w:tcW w:w="1241" w:type="dxa"/>
            <w:shd w:val="clear" w:color="auto" w:fill="auto"/>
          </w:tcPr>
          <w:p w14:paraId="34AF8DB6" w14:textId="65D232B6" w:rsidR="009F120C" w:rsidRPr="001B0943" w:rsidRDefault="0028533D" w:rsidP="00366E2E">
            <w:pPr>
              <w:pStyle w:val="Heading2"/>
              <w:rPr>
                <w:b w:val="0"/>
                <w:color w:val="auto"/>
                <w:sz w:val="23"/>
                <w:szCs w:val="23"/>
              </w:rPr>
            </w:pPr>
            <w:r w:rsidRPr="001B0943">
              <w:rPr>
                <w:b w:val="0"/>
                <w:color w:val="auto"/>
                <w:sz w:val="23"/>
                <w:szCs w:val="23"/>
              </w:rPr>
              <w:t>$</w:t>
            </w:r>
            <w:r w:rsidR="009F120C" w:rsidRPr="001B0943">
              <w:rPr>
                <w:b w:val="0"/>
                <w:color w:val="auto"/>
                <w:sz w:val="23"/>
                <w:szCs w:val="23"/>
              </w:rPr>
              <w:t>7.65m</w:t>
            </w:r>
          </w:p>
        </w:tc>
      </w:tr>
      <w:tr w:rsidR="008A5898" w:rsidRPr="00C26C5B" w14:paraId="4A2E4BF6" w14:textId="77777777" w:rsidTr="002A2629">
        <w:trPr>
          <w:trHeight w:val="1484"/>
        </w:trPr>
        <w:tc>
          <w:tcPr>
            <w:tcW w:w="2518" w:type="dxa"/>
            <w:vMerge/>
            <w:shd w:val="clear" w:color="auto" w:fill="DAEEF3" w:themeFill="accent5" w:themeFillTint="33"/>
          </w:tcPr>
          <w:p w14:paraId="695BE19B" w14:textId="77777777" w:rsidR="008A5898" w:rsidRDefault="008A5898" w:rsidP="00366E2E">
            <w:pPr>
              <w:pStyle w:val="Heading2"/>
              <w:rPr>
                <w:sz w:val="22"/>
                <w:szCs w:val="22"/>
              </w:rPr>
            </w:pPr>
          </w:p>
        </w:tc>
        <w:tc>
          <w:tcPr>
            <w:tcW w:w="4536" w:type="dxa"/>
          </w:tcPr>
          <w:p w14:paraId="640E2C03" w14:textId="77777777" w:rsidR="008A5898" w:rsidRPr="009F120C" w:rsidRDefault="008A5898" w:rsidP="008A5898">
            <w:pPr>
              <w:pStyle w:val="Heading2"/>
              <w:rPr>
                <w:b w:val="0"/>
                <w:color w:val="auto"/>
                <w:sz w:val="23"/>
                <w:szCs w:val="23"/>
              </w:rPr>
            </w:pPr>
            <w:r w:rsidRPr="009F120C">
              <w:rPr>
                <w:b w:val="0"/>
                <w:color w:val="auto"/>
                <w:sz w:val="23"/>
                <w:szCs w:val="23"/>
              </w:rPr>
              <w:t>Completion of milestones set out in the</w:t>
            </w:r>
            <w:r>
              <w:rPr>
                <w:b w:val="0"/>
                <w:color w:val="auto"/>
                <w:sz w:val="23"/>
                <w:szCs w:val="23"/>
              </w:rPr>
              <w:t xml:space="preserve"> agreed</w:t>
            </w:r>
            <w:r w:rsidRPr="009F120C">
              <w:rPr>
                <w:b w:val="0"/>
                <w:color w:val="auto"/>
                <w:sz w:val="23"/>
                <w:szCs w:val="23"/>
              </w:rPr>
              <w:t xml:space="preserve"> Project </w:t>
            </w:r>
            <w:r>
              <w:rPr>
                <w:b w:val="0"/>
                <w:color w:val="auto"/>
                <w:sz w:val="23"/>
                <w:szCs w:val="23"/>
              </w:rPr>
              <w:t xml:space="preserve">Management </w:t>
            </w:r>
            <w:r w:rsidRPr="009F120C">
              <w:rPr>
                <w:b w:val="0"/>
                <w:color w:val="auto"/>
                <w:sz w:val="23"/>
                <w:szCs w:val="23"/>
              </w:rPr>
              <w:t xml:space="preserve">Plan </w:t>
            </w:r>
          </w:p>
          <w:p w14:paraId="04EAECBA" w14:textId="0EBB5871" w:rsidR="008A5898" w:rsidRPr="009F120C" w:rsidRDefault="008A5898" w:rsidP="008A5898">
            <w:pPr>
              <w:pStyle w:val="Heading2"/>
              <w:rPr>
                <w:b w:val="0"/>
                <w:color w:val="auto"/>
                <w:sz w:val="23"/>
                <w:szCs w:val="23"/>
              </w:rPr>
            </w:pPr>
            <w:r w:rsidRPr="009F120C">
              <w:rPr>
                <w:b w:val="0"/>
                <w:color w:val="auto"/>
                <w:sz w:val="23"/>
                <w:szCs w:val="23"/>
              </w:rPr>
              <w:t>Progress Report to be provided</w:t>
            </w:r>
          </w:p>
        </w:tc>
        <w:tc>
          <w:tcPr>
            <w:tcW w:w="1473" w:type="dxa"/>
            <w:shd w:val="clear" w:color="auto" w:fill="auto"/>
          </w:tcPr>
          <w:p w14:paraId="438840E2" w14:textId="443CA95D" w:rsidR="008A5898" w:rsidRPr="001B0943" w:rsidRDefault="008A5898" w:rsidP="00366E2E">
            <w:pPr>
              <w:pStyle w:val="Heading2"/>
              <w:rPr>
                <w:b w:val="0"/>
                <w:color w:val="auto"/>
                <w:sz w:val="23"/>
                <w:szCs w:val="23"/>
              </w:rPr>
            </w:pPr>
            <w:r>
              <w:rPr>
                <w:b w:val="0"/>
                <w:color w:val="auto"/>
                <w:sz w:val="23"/>
                <w:szCs w:val="23"/>
              </w:rPr>
              <w:t>October 2023</w:t>
            </w:r>
          </w:p>
        </w:tc>
        <w:tc>
          <w:tcPr>
            <w:tcW w:w="1241" w:type="dxa"/>
            <w:shd w:val="clear" w:color="auto" w:fill="auto"/>
          </w:tcPr>
          <w:p w14:paraId="5D2E0979" w14:textId="663A251B" w:rsidR="008A5898" w:rsidRPr="001B0943" w:rsidRDefault="008A5898" w:rsidP="00366E2E">
            <w:pPr>
              <w:pStyle w:val="Heading2"/>
              <w:rPr>
                <w:b w:val="0"/>
                <w:color w:val="auto"/>
                <w:sz w:val="23"/>
                <w:szCs w:val="23"/>
              </w:rPr>
            </w:pPr>
            <w:r>
              <w:rPr>
                <w:b w:val="0"/>
                <w:color w:val="auto"/>
                <w:sz w:val="23"/>
                <w:szCs w:val="23"/>
              </w:rPr>
              <w:t>$3.275m</w:t>
            </w:r>
          </w:p>
        </w:tc>
      </w:tr>
      <w:tr w:rsidR="009F120C" w:rsidRPr="00C26C5B" w14:paraId="1229A83D" w14:textId="77777777" w:rsidTr="002A2629">
        <w:trPr>
          <w:trHeight w:val="988"/>
        </w:trPr>
        <w:tc>
          <w:tcPr>
            <w:tcW w:w="2518" w:type="dxa"/>
            <w:vMerge/>
            <w:shd w:val="clear" w:color="auto" w:fill="DAEEF3" w:themeFill="accent5" w:themeFillTint="33"/>
          </w:tcPr>
          <w:p w14:paraId="16034692" w14:textId="77777777" w:rsidR="009F120C" w:rsidRDefault="009F120C" w:rsidP="00366E2E">
            <w:pPr>
              <w:pStyle w:val="Heading2"/>
              <w:rPr>
                <w:sz w:val="22"/>
                <w:szCs w:val="22"/>
              </w:rPr>
            </w:pPr>
          </w:p>
        </w:tc>
        <w:tc>
          <w:tcPr>
            <w:tcW w:w="4536" w:type="dxa"/>
          </w:tcPr>
          <w:p w14:paraId="16B71447" w14:textId="3BF01E9D" w:rsidR="009F120C" w:rsidRPr="009F120C" w:rsidRDefault="009F120C" w:rsidP="009F120C">
            <w:pPr>
              <w:pStyle w:val="Heading2"/>
              <w:rPr>
                <w:b w:val="0"/>
                <w:color w:val="auto"/>
                <w:sz w:val="23"/>
                <w:szCs w:val="23"/>
              </w:rPr>
            </w:pPr>
            <w:r>
              <w:rPr>
                <w:b w:val="0"/>
                <w:color w:val="auto"/>
                <w:sz w:val="23"/>
                <w:szCs w:val="23"/>
              </w:rPr>
              <w:t>Completion of all projects under the</w:t>
            </w:r>
            <w:r w:rsidR="00C35BA3">
              <w:rPr>
                <w:b w:val="0"/>
                <w:color w:val="auto"/>
                <w:sz w:val="23"/>
                <w:szCs w:val="23"/>
              </w:rPr>
              <w:t xml:space="preserve"> agreed</w:t>
            </w:r>
            <w:r>
              <w:rPr>
                <w:b w:val="0"/>
                <w:color w:val="auto"/>
                <w:sz w:val="23"/>
                <w:szCs w:val="23"/>
              </w:rPr>
              <w:t xml:space="preserve"> Project Management Plan</w:t>
            </w:r>
          </w:p>
        </w:tc>
        <w:tc>
          <w:tcPr>
            <w:tcW w:w="1473" w:type="dxa"/>
            <w:shd w:val="clear" w:color="auto" w:fill="auto"/>
          </w:tcPr>
          <w:p w14:paraId="089194FA" w14:textId="12C7EB8B" w:rsidR="009F120C" w:rsidRPr="001B0943" w:rsidRDefault="009F120C" w:rsidP="00366E2E">
            <w:pPr>
              <w:pStyle w:val="Heading2"/>
              <w:rPr>
                <w:b w:val="0"/>
                <w:color w:val="auto"/>
                <w:sz w:val="23"/>
                <w:szCs w:val="23"/>
              </w:rPr>
            </w:pPr>
            <w:r w:rsidRPr="001B0943">
              <w:rPr>
                <w:b w:val="0"/>
                <w:color w:val="auto"/>
                <w:sz w:val="23"/>
                <w:szCs w:val="23"/>
              </w:rPr>
              <w:t>March 2024</w:t>
            </w:r>
          </w:p>
        </w:tc>
        <w:tc>
          <w:tcPr>
            <w:tcW w:w="1241" w:type="dxa"/>
            <w:shd w:val="clear" w:color="auto" w:fill="auto"/>
          </w:tcPr>
          <w:p w14:paraId="540D029A" w14:textId="34A3A36D" w:rsidR="009F120C" w:rsidRPr="001B0943" w:rsidRDefault="0028533D" w:rsidP="008A5898">
            <w:pPr>
              <w:pStyle w:val="Heading2"/>
              <w:rPr>
                <w:b w:val="0"/>
                <w:color w:val="auto"/>
                <w:sz w:val="23"/>
                <w:szCs w:val="23"/>
              </w:rPr>
            </w:pPr>
            <w:r w:rsidRPr="001B0943">
              <w:rPr>
                <w:b w:val="0"/>
                <w:color w:val="auto"/>
                <w:sz w:val="23"/>
                <w:szCs w:val="23"/>
              </w:rPr>
              <w:t>$</w:t>
            </w:r>
            <w:r w:rsidR="008A5898">
              <w:rPr>
                <w:b w:val="0"/>
                <w:color w:val="auto"/>
                <w:sz w:val="23"/>
                <w:szCs w:val="23"/>
              </w:rPr>
              <w:t>3.275m</w:t>
            </w:r>
          </w:p>
        </w:tc>
      </w:tr>
      <w:tr w:rsidR="00366E2E" w:rsidRPr="00C26C5B" w14:paraId="61731F33" w14:textId="77777777" w:rsidTr="00921663">
        <w:trPr>
          <w:trHeight w:val="749"/>
        </w:trPr>
        <w:tc>
          <w:tcPr>
            <w:tcW w:w="7054" w:type="dxa"/>
            <w:gridSpan w:val="2"/>
            <w:shd w:val="clear" w:color="auto" w:fill="DAEEF3" w:themeFill="accent5" w:themeFillTint="33"/>
          </w:tcPr>
          <w:p w14:paraId="51FEA72E" w14:textId="519A4DE1" w:rsidR="00366E2E" w:rsidRPr="00921471" w:rsidRDefault="00366E2E" w:rsidP="00366E2E">
            <w:pPr>
              <w:pStyle w:val="Heading2"/>
              <w:jc w:val="right"/>
              <w:rPr>
                <w:color w:val="auto"/>
                <w:sz w:val="23"/>
                <w:szCs w:val="23"/>
              </w:rPr>
            </w:pPr>
            <w:r w:rsidRPr="00921471">
              <w:rPr>
                <w:color w:val="auto"/>
                <w:sz w:val="23"/>
                <w:szCs w:val="23"/>
              </w:rPr>
              <w:t>Total funding</w:t>
            </w:r>
          </w:p>
        </w:tc>
        <w:tc>
          <w:tcPr>
            <w:tcW w:w="2714" w:type="dxa"/>
            <w:gridSpan w:val="2"/>
          </w:tcPr>
          <w:p w14:paraId="59C12346" w14:textId="3E6C9C57" w:rsidR="00366E2E" w:rsidRDefault="00366E2E" w:rsidP="00366E2E">
            <w:pPr>
              <w:pStyle w:val="Heading2"/>
              <w:rPr>
                <w:b w:val="0"/>
                <w:color w:val="auto"/>
                <w:sz w:val="23"/>
                <w:szCs w:val="23"/>
              </w:rPr>
            </w:pPr>
            <w:r>
              <w:rPr>
                <w:b w:val="0"/>
                <w:color w:val="auto"/>
                <w:sz w:val="23"/>
                <w:szCs w:val="23"/>
              </w:rPr>
              <w:t>$42.5 million</w:t>
            </w:r>
          </w:p>
        </w:tc>
      </w:tr>
    </w:tbl>
    <w:p w14:paraId="55436A46" w14:textId="0074E362" w:rsidR="00172360" w:rsidRDefault="002E144A" w:rsidP="00921471">
      <w:pPr>
        <w:pStyle w:val="Normalnumbered"/>
        <w:numPr>
          <w:ilvl w:val="0"/>
          <w:numId w:val="9"/>
        </w:numPr>
        <w:spacing w:before="240"/>
      </w:pPr>
      <w:r>
        <w:lastRenderedPageBreak/>
        <w:t>If</w:t>
      </w:r>
      <w:r w:rsidR="00172360" w:rsidRPr="00804105">
        <w:t xml:space="preserve"> a milestone is met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p>
    <w:p w14:paraId="1650D274" w14:textId="77777777" w:rsidR="00F3245D" w:rsidRDefault="00F3245D" w:rsidP="00F3245D">
      <w:pPr>
        <w:pStyle w:val="Heading2"/>
      </w:pPr>
      <w:r>
        <w:t>Reporting arrangements</w:t>
      </w:r>
    </w:p>
    <w:p w14:paraId="35A66982" w14:textId="45C6CDD3" w:rsidR="00AB4CAD" w:rsidRPr="00B074A1" w:rsidRDefault="00F57A91" w:rsidP="00DE7EBC">
      <w:pPr>
        <w:pStyle w:val="Normalnumbered"/>
        <w:numPr>
          <w:ilvl w:val="0"/>
          <w:numId w:val="9"/>
        </w:numPr>
        <w:spacing w:before="120" w:line="240" w:lineRule="auto"/>
        <w:rPr>
          <w:szCs w:val="23"/>
        </w:rPr>
      </w:pPr>
      <w:r>
        <w:t>Tasmania</w:t>
      </w:r>
      <w:r w:rsidR="002353A8">
        <w:t xml:space="preserve"> </w:t>
      </w:r>
      <w:r w:rsidR="009E151E">
        <w:t xml:space="preserve">will </w:t>
      </w:r>
      <w:r w:rsidR="0095223D">
        <w:t xml:space="preserve">provide performance reports in accordance with </w:t>
      </w:r>
      <w:r w:rsidR="00C2605C">
        <w:t>T</w:t>
      </w:r>
      <w:r w:rsidR="0095223D">
        <w:t xml:space="preserve">able </w:t>
      </w:r>
      <w:r w:rsidR="00C2605C">
        <w:t xml:space="preserve">1 </w:t>
      </w:r>
      <w:r w:rsidR="009E151E">
        <w:t>during</w:t>
      </w:r>
      <w:r w:rsidR="00C42ACA">
        <w:t xml:space="preserve"> </w:t>
      </w:r>
      <w:r w:rsidR="009E151E">
        <w:t>t</w:t>
      </w:r>
      <w:r w:rsidR="00515AF2">
        <w:t xml:space="preserve">he operation of the Agreement.  </w:t>
      </w:r>
      <w:r w:rsidR="0095223D">
        <w:t xml:space="preserve">Each </w:t>
      </w:r>
      <w:r w:rsidR="00AB4CAD" w:rsidRPr="00B074A1">
        <w:rPr>
          <w:szCs w:val="23"/>
        </w:rPr>
        <w:t>performance report is to contain the following information:</w:t>
      </w:r>
    </w:p>
    <w:p w14:paraId="4C2A7100" w14:textId="77777777" w:rsidR="00AB4CAD" w:rsidRPr="002A2629" w:rsidRDefault="00AB4CAD" w:rsidP="002A2629">
      <w:pPr>
        <w:pStyle w:val="AlphaParagraph"/>
        <w:numPr>
          <w:ilvl w:val="0"/>
          <w:numId w:val="27"/>
        </w:numPr>
        <w:tabs>
          <w:tab w:val="clear" w:pos="283"/>
          <w:tab w:val="clear" w:pos="567"/>
          <w:tab w:val="clear" w:pos="1134"/>
          <w:tab w:val="clear" w:pos="1418"/>
        </w:tabs>
        <w:ind w:hanging="567"/>
      </w:pPr>
      <w:r w:rsidRPr="002A2629">
        <w:t>a description of actual performance of Tasmania in the period to date against the project milestones, including a statement as to whether the project is proceeding in accordance with the milestones and, if it is not, an explanation as to why and the action the State proposes to take to address the matter/s;</w:t>
      </w:r>
    </w:p>
    <w:p w14:paraId="133DDF80" w14:textId="76D30365" w:rsidR="00AB4CAD" w:rsidRPr="002A2629" w:rsidRDefault="00AB4CAD" w:rsidP="002A2629">
      <w:pPr>
        <w:pStyle w:val="AlphaParagraph"/>
        <w:numPr>
          <w:ilvl w:val="0"/>
          <w:numId w:val="27"/>
        </w:numPr>
        <w:tabs>
          <w:tab w:val="clear" w:pos="283"/>
          <w:tab w:val="clear" w:pos="567"/>
          <w:tab w:val="clear" w:pos="1418"/>
        </w:tabs>
        <w:ind w:hanging="567"/>
      </w:pPr>
      <w:r w:rsidRPr="002A2629">
        <w:t xml:space="preserve">details of any matter(s) that have arisen which could adversely impact on the delivery of the </w:t>
      </w:r>
      <w:r w:rsidR="00DB2C4C" w:rsidRPr="002A2629">
        <w:t>outputs</w:t>
      </w:r>
      <w:r w:rsidRPr="002A2629">
        <w:t>, and how Tasmania propose to resolve this/these matter(s);</w:t>
      </w:r>
      <w:r w:rsidR="0062747C">
        <w:t xml:space="preserve"> and</w:t>
      </w:r>
    </w:p>
    <w:p w14:paraId="47B3E473" w14:textId="77777777" w:rsidR="00AB4CAD" w:rsidRPr="00B074A1" w:rsidRDefault="00AB4CAD" w:rsidP="002A2629">
      <w:pPr>
        <w:pStyle w:val="AlphaParagraph"/>
        <w:numPr>
          <w:ilvl w:val="0"/>
          <w:numId w:val="27"/>
        </w:numPr>
        <w:tabs>
          <w:tab w:val="clear" w:pos="283"/>
          <w:tab w:val="clear" w:pos="567"/>
          <w:tab w:val="clear" w:pos="1418"/>
        </w:tabs>
        <w:ind w:hanging="567"/>
        <w:rPr>
          <w:color w:val="auto"/>
          <w:szCs w:val="23"/>
        </w:rPr>
      </w:pPr>
      <w:r w:rsidRPr="002A2629">
        <w:t>a description of the work that will be undertaken to complete the remaining project milestones.</w:t>
      </w:r>
    </w:p>
    <w:p w14:paraId="5B4FFD65" w14:textId="5EE4A3A5" w:rsidR="00AB4CAD" w:rsidRPr="00AB4CAD" w:rsidRDefault="00AB4CAD" w:rsidP="00DE7EBC">
      <w:pPr>
        <w:pStyle w:val="Normalnumbered"/>
        <w:numPr>
          <w:ilvl w:val="0"/>
          <w:numId w:val="9"/>
        </w:numPr>
        <w:spacing w:before="120" w:line="240" w:lineRule="auto"/>
        <w:rPr>
          <w:szCs w:val="23"/>
        </w:rPr>
      </w:pPr>
      <w:r>
        <w:t xml:space="preserve">Tasmania </w:t>
      </w:r>
      <w:r w:rsidRPr="00AB4CAD">
        <w:rPr>
          <w:szCs w:val="23"/>
        </w:rPr>
        <w:t xml:space="preserve">will also prepare a final Project Report on the completion of the project agreed under the Project Agreement. The final Project Report will be a </w:t>
      </w:r>
      <w:r w:rsidR="00E9533F" w:rsidRPr="00AB4CAD">
        <w:rPr>
          <w:szCs w:val="23"/>
        </w:rPr>
        <w:t>standalone</w:t>
      </w:r>
      <w:r w:rsidRPr="00AB4CAD">
        <w:rPr>
          <w:szCs w:val="23"/>
        </w:rPr>
        <w:t xml:space="preserve"> document that can be used for public information dissemination purposes. The final Project Report will:</w:t>
      </w:r>
    </w:p>
    <w:p w14:paraId="26B901EE" w14:textId="77777777" w:rsidR="00AB4CAD" w:rsidRPr="002A2629" w:rsidRDefault="00AB4CAD" w:rsidP="002A2629">
      <w:pPr>
        <w:pStyle w:val="AlphaParagraph"/>
        <w:numPr>
          <w:ilvl w:val="0"/>
          <w:numId w:val="28"/>
        </w:numPr>
        <w:tabs>
          <w:tab w:val="clear" w:pos="283"/>
          <w:tab w:val="clear" w:pos="567"/>
          <w:tab w:val="clear" w:pos="1134"/>
          <w:tab w:val="clear" w:pos="1418"/>
        </w:tabs>
        <w:ind w:hanging="567"/>
      </w:pPr>
      <w:r w:rsidRPr="002A2629">
        <w:t xml:space="preserve">describe the conduct, benefits and outcomes of the project; </w:t>
      </w:r>
    </w:p>
    <w:p w14:paraId="228BD311" w14:textId="0466D593" w:rsidR="00AB4CAD" w:rsidRPr="002A2629" w:rsidRDefault="00AB4CAD" w:rsidP="002A2629">
      <w:pPr>
        <w:pStyle w:val="AlphaParagraph"/>
        <w:numPr>
          <w:ilvl w:val="0"/>
          <w:numId w:val="28"/>
        </w:numPr>
        <w:tabs>
          <w:tab w:val="clear" w:pos="283"/>
          <w:tab w:val="clear" w:pos="567"/>
          <w:tab w:val="clear" w:pos="1134"/>
          <w:tab w:val="clear" w:pos="1418"/>
        </w:tabs>
        <w:ind w:hanging="567"/>
      </w:pPr>
      <w:r w:rsidRPr="002A2629">
        <w:t>evaluate the project, including assessing the extent to which the project’s objective</w:t>
      </w:r>
      <w:r w:rsidR="00E9533F" w:rsidRPr="002A2629">
        <w:t>s</w:t>
      </w:r>
      <w:r w:rsidRPr="002A2629">
        <w:t xml:space="preserve"> ha</w:t>
      </w:r>
      <w:r w:rsidR="00E9533F" w:rsidRPr="002A2629">
        <w:t>ve</w:t>
      </w:r>
      <w:r w:rsidRPr="002A2629">
        <w:t xml:space="preserve"> been achieved and why any aspect</w:t>
      </w:r>
      <w:r w:rsidR="00DB2C4C" w:rsidRPr="002A2629">
        <w:t>s</w:t>
      </w:r>
      <w:r w:rsidRPr="002A2629">
        <w:t xml:space="preserve"> w</w:t>
      </w:r>
      <w:r w:rsidR="00E9533F" w:rsidRPr="002A2629">
        <w:t>ere</w:t>
      </w:r>
      <w:r w:rsidRPr="002A2629">
        <w:t xml:space="preserve"> not achieved; and</w:t>
      </w:r>
    </w:p>
    <w:p w14:paraId="692CF137" w14:textId="6930E822" w:rsidR="00AB4CAD" w:rsidRPr="00B074A1" w:rsidRDefault="00AB4CAD" w:rsidP="002A2629">
      <w:pPr>
        <w:pStyle w:val="AlphaParagraph"/>
        <w:numPr>
          <w:ilvl w:val="0"/>
          <w:numId w:val="28"/>
        </w:numPr>
        <w:tabs>
          <w:tab w:val="clear" w:pos="283"/>
          <w:tab w:val="clear" w:pos="567"/>
          <w:tab w:val="clear" w:pos="1134"/>
          <w:tab w:val="clear" w:pos="1418"/>
        </w:tabs>
        <w:ind w:hanging="567"/>
        <w:rPr>
          <w:color w:val="auto"/>
          <w:szCs w:val="23"/>
        </w:rPr>
      </w:pPr>
      <w:r w:rsidRPr="002A2629">
        <w:t>include a discussion of any other matters relating to the project, limited to the minimum necessary for the</w:t>
      </w:r>
      <w:r w:rsidRPr="00B074A1">
        <w:rPr>
          <w:color w:val="auto"/>
          <w:szCs w:val="23"/>
        </w:rPr>
        <w:t xml:space="preserve"> </w:t>
      </w:r>
      <w:r w:rsidR="00DB2C4C">
        <w:rPr>
          <w:color w:val="auto"/>
          <w:szCs w:val="23"/>
        </w:rPr>
        <w:t>e</w:t>
      </w:r>
      <w:r w:rsidRPr="00B074A1">
        <w:rPr>
          <w:color w:val="auto"/>
          <w:szCs w:val="23"/>
        </w:rPr>
        <w:t xml:space="preserve">ffective assessment of performance and agreed between the Commonwealth and the State at least 60 days before it is due.  </w:t>
      </w:r>
    </w:p>
    <w:p w14:paraId="7C2EB41A" w14:textId="18608EC8" w:rsidR="00AB4CAD" w:rsidRPr="00AB4CAD" w:rsidRDefault="001674A3" w:rsidP="00DE7EBC">
      <w:pPr>
        <w:pStyle w:val="Normalnumbered"/>
        <w:numPr>
          <w:ilvl w:val="0"/>
          <w:numId w:val="9"/>
        </w:numPr>
        <w:spacing w:before="120" w:line="240" w:lineRule="auto"/>
        <w:rPr>
          <w:szCs w:val="23"/>
        </w:rPr>
      </w:pPr>
      <w:r>
        <w:rPr>
          <w:szCs w:val="23"/>
        </w:rPr>
        <w:t>Tasmania</w:t>
      </w:r>
      <w:r w:rsidR="002353A8">
        <w:rPr>
          <w:szCs w:val="23"/>
        </w:rPr>
        <w:t xml:space="preserve"> </w:t>
      </w:r>
      <w:r w:rsidR="00AB4CAD" w:rsidRPr="00AB4CAD">
        <w:rPr>
          <w:szCs w:val="23"/>
        </w:rPr>
        <w:t>agrees to meet any reasonable request</w:t>
      </w:r>
      <w:r>
        <w:rPr>
          <w:szCs w:val="23"/>
        </w:rPr>
        <w:t>s</w:t>
      </w:r>
      <w:r w:rsidR="00AB4CAD" w:rsidRPr="00AB4CAD">
        <w:rPr>
          <w:szCs w:val="23"/>
        </w:rPr>
        <w:t xml:space="preserve"> by the Commonwealth to provide other information regarding the project implementation or funding conditions.</w:t>
      </w:r>
    </w:p>
    <w:p w14:paraId="26C04395" w14:textId="77777777" w:rsidR="008E7527" w:rsidRDefault="008E7527" w:rsidP="009E093C">
      <w:pPr>
        <w:pStyle w:val="Heading1"/>
      </w:pPr>
      <w:r>
        <w:t>Part 5</w:t>
      </w:r>
      <w:r w:rsidRPr="00751725">
        <w:t xml:space="preserve"> — financial arrangements</w:t>
      </w:r>
    </w:p>
    <w:p w14:paraId="1A63CEB0" w14:textId="7886C8F3" w:rsidR="00921471" w:rsidRDefault="008E7527" w:rsidP="001A1CDC">
      <w:pPr>
        <w:pStyle w:val="Normalnumbered"/>
        <w:numPr>
          <w:ilvl w:val="0"/>
          <w:numId w:val="9"/>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063098">
        <w:t>Tasmania</w:t>
      </w:r>
      <w:r w:rsidR="00F57A91">
        <w:t xml:space="preserve"> of </w:t>
      </w:r>
      <w:r w:rsidRPr="00CD526B">
        <w:t>$</w:t>
      </w:r>
      <w:r w:rsidR="00F57A91">
        <w:t>4</w:t>
      </w:r>
      <w:r w:rsidR="004158E6">
        <w:t>2</w:t>
      </w:r>
      <w:r w:rsidR="00F57A91">
        <w:t>.5</w:t>
      </w:r>
      <w:r>
        <w:t xml:space="preserve">m in respect of this Agreement. </w:t>
      </w:r>
      <w:r w:rsidRPr="000E48C3">
        <w:t xml:space="preserve"> </w:t>
      </w:r>
      <w:r>
        <w:t xml:space="preserve">All payments are </w:t>
      </w:r>
      <w:r w:rsidR="003441FD">
        <w:t xml:space="preserve">exclusive of </w:t>
      </w:r>
      <w:r>
        <w:t>GST.</w:t>
      </w:r>
      <w:r w:rsidR="00CE7403">
        <w:t xml:space="preserve"> </w:t>
      </w:r>
    </w:p>
    <w:p w14:paraId="05C62CD0" w14:textId="77777777" w:rsidR="008E7527" w:rsidRDefault="005A5E7A" w:rsidP="00DE7EBC">
      <w:pPr>
        <w:pStyle w:val="Normalnumbered"/>
        <w:numPr>
          <w:ilvl w:val="0"/>
          <w:numId w:val="9"/>
        </w:numPr>
      </w:pPr>
      <w:r>
        <w:t>T</w:t>
      </w:r>
      <w:r w:rsidR="008E7527" w:rsidRPr="002B7E1B">
        <w:t>he Commonwealth’s funding contributio</w:t>
      </w:r>
      <w:r w:rsidR="003441FD">
        <w:t xml:space="preserve">n will not be reduced where Tasmania </w:t>
      </w:r>
      <w:r w:rsidR="008E7527" w:rsidRPr="002B7E1B">
        <w:t>secure</w:t>
      </w:r>
      <w:r w:rsidR="003441FD">
        <w:t>s</w:t>
      </w:r>
      <w:r w:rsidR="008E7527" w:rsidRPr="002B7E1B">
        <w:t xml:space="preserve"> funding from other activity partners</w:t>
      </w:r>
      <w:r w:rsidR="002E144A">
        <w:t>.</w:t>
      </w:r>
    </w:p>
    <w:p w14:paraId="1EB1CF34" w14:textId="77777777" w:rsidR="008E7527" w:rsidRDefault="008E7527" w:rsidP="00DE7EBC">
      <w:pPr>
        <w:pStyle w:val="Normalnumbered"/>
        <w:keepNext/>
        <w:keepLines/>
        <w:numPr>
          <w:ilvl w:val="0"/>
          <w:numId w:val="9"/>
        </w:numPr>
      </w:pPr>
      <w:r w:rsidRPr="00751725">
        <w:t>The Commonwealth</w:t>
      </w:r>
      <w:r>
        <w:t>’s</w:t>
      </w:r>
      <w:r w:rsidRPr="00751725">
        <w:t xml:space="preserve"> and </w:t>
      </w:r>
      <w:r w:rsidR="00063098">
        <w:t>Tasmania’s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are shown in Table 2</w:t>
      </w:r>
      <w:r w:rsidRPr="00751725">
        <w:t>.</w:t>
      </w:r>
    </w:p>
    <w:p w14:paraId="74CC39BE" w14:textId="77777777" w:rsidR="0028533D" w:rsidRDefault="0028533D">
      <w:pPr>
        <w:spacing w:after="0" w:line="240" w:lineRule="auto"/>
        <w:jc w:val="left"/>
        <w:rPr>
          <w:b/>
        </w:rPr>
      </w:pPr>
      <w:r>
        <w:rPr>
          <w:b/>
        </w:rPr>
        <w:br w:type="page"/>
      </w:r>
    </w:p>
    <w:p w14:paraId="2666B4BD" w14:textId="77777777" w:rsidR="00FE56D1" w:rsidRPr="00A05C1E" w:rsidRDefault="00E204BB" w:rsidP="00E204BB">
      <w:pPr>
        <w:pStyle w:val="Normalnumbered"/>
        <w:numPr>
          <w:ilvl w:val="0"/>
          <w:numId w:val="0"/>
        </w:numPr>
        <w:rPr>
          <w:b/>
          <w:i/>
        </w:rPr>
      </w:pPr>
      <w:r w:rsidRPr="002F2FF6">
        <w:rPr>
          <w:b/>
        </w:rPr>
        <w:lastRenderedPageBreak/>
        <w:t>Table 2</w:t>
      </w:r>
      <w:r w:rsidR="008E7527" w:rsidRPr="002F2FF6">
        <w:rPr>
          <w:b/>
        </w:rPr>
        <w:t>: Estimated financial contributions</w:t>
      </w:r>
    </w:p>
    <w:tbl>
      <w:tblPr>
        <w:tblW w:w="0" w:type="auto"/>
        <w:tblLook w:val="01E0" w:firstRow="1" w:lastRow="1" w:firstColumn="1" w:lastColumn="1" w:noHBand="0" w:noVBand="0"/>
      </w:tblPr>
      <w:tblGrid>
        <w:gridCol w:w="4062"/>
        <w:gridCol w:w="975"/>
        <w:gridCol w:w="972"/>
        <w:gridCol w:w="971"/>
        <w:gridCol w:w="972"/>
        <w:gridCol w:w="973"/>
        <w:gridCol w:w="713"/>
      </w:tblGrid>
      <w:tr w:rsidR="006306CB" w14:paraId="0E4FC530" w14:textId="77777777" w:rsidTr="002A2629">
        <w:trPr>
          <w:cantSplit/>
        </w:trPr>
        <w:tc>
          <w:tcPr>
            <w:tcW w:w="4254" w:type="dxa"/>
            <w:tcBorders>
              <w:top w:val="single" w:sz="4" w:space="0" w:color="000080"/>
            </w:tcBorders>
          </w:tcPr>
          <w:p w14:paraId="4D308F00" w14:textId="77777777" w:rsidR="006306CB" w:rsidRPr="00C2711B" w:rsidRDefault="006306CB" w:rsidP="00AB71A5">
            <w:pPr>
              <w:keepNext/>
              <w:keepLines/>
              <w:spacing w:before="40" w:after="40"/>
              <w:jc w:val="left"/>
              <w:rPr>
                <w:b/>
              </w:rPr>
            </w:pPr>
            <w:r w:rsidRPr="00C2711B">
              <w:rPr>
                <w:b/>
              </w:rPr>
              <w:t>($ million)</w:t>
            </w:r>
          </w:p>
        </w:tc>
        <w:tc>
          <w:tcPr>
            <w:tcW w:w="975" w:type="dxa"/>
            <w:tcBorders>
              <w:top w:val="single" w:sz="4" w:space="0" w:color="000080"/>
              <w:bottom w:val="single" w:sz="4" w:space="0" w:color="000080"/>
            </w:tcBorders>
          </w:tcPr>
          <w:p w14:paraId="5AEAD2C2" w14:textId="77777777" w:rsidR="006306CB" w:rsidRDefault="006306CB" w:rsidP="00F57A91">
            <w:pPr>
              <w:keepNext/>
              <w:keepLines/>
              <w:spacing w:before="40" w:after="40"/>
              <w:jc w:val="right"/>
            </w:pPr>
            <w:r>
              <w:t>2019/20</w:t>
            </w:r>
          </w:p>
        </w:tc>
        <w:tc>
          <w:tcPr>
            <w:tcW w:w="972" w:type="dxa"/>
            <w:tcBorders>
              <w:top w:val="single" w:sz="4" w:space="0" w:color="000080"/>
              <w:bottom w:val="single" w:sz="4" w:space="0" w:color="000080"/>
            </w:tcBorders>
          </w:tcPr>
          <w:p w14:paraId="7DA43B8F" w14:textId="77777777" w:rsidR="006306CB" w:rsidRDefault="006306CB" w:rsidP="00F57A91">
            <w:pPr>
              <w:keepNext/>
              <w:keepLines/>
              <w:spacing w:before="40" w:after="40"/>
              <w:jc w:val="right"/>
            </w:pPr>
            <w:r>
              <w:t>2020/21</w:t>
            </w:r>
          </w:p>
        </w:tc>
        <w:tc>
          <w:tcPr>
            <w:tcW w:w="971" w:type="dxa"/>
            <w:tcBorders>
              <w:top w:val="single" w:sz="4" w:space="0" w:color="000080"/>
              <w:bottom w:val="single" w:sz="4" w:space="0" w:color="000080"/>
            </w:tcBorders>
          </w:tcPr>
          <w:p w14:paraId="208DCA0C" w14:textId="77777777" w:rsidR="006306CB" w:rsidRDefault="006306CB" w:rsidP="00AB71A5">
            <w:pPr>
              <w:keepNext/>
              <w:keepLines/>
              <w:spacing w:before="40" w:after="40"/>
              <w:jc w:val="right"/>
            </w:pPr>
            <w:r>
              <w:t>2021/22</w:t>
            </w:r>
          </w:p>
        </w:tc>
        <w:tc>
          <w:tcPr>
            <w:tcW w:w="972" w:type="dxa"/>
            <w:tcBorders>
              <w:top w:val="single" w:sz="4" w:space="0" w:color="000080"/>
              <w:bottom w:val="single" w:sz="4" w:space="0" w:color="000080"/>
            </w:tcBorders>
          </w:tcPr>
          <w:p w14:paraId="7A8CF3D1" w14:textId="77777777" w:rsidR="006306CB" w:rsidRDefault="006306CB" w:rsidP="00F57A91">
            <w:pPr>
              <w:keepNext/>
              <w:keepLines/>
              <w:spacing w:before="40" w:after="40"/>
              <w:jc w:val="right"/>
            </w:pPr>
            <w:r>
              <w:t>2022/23</w:t>
            </w:r>
          </w:p>
        </w:tc>
        <w:tc>
          <w:tcPr>
            <w:tcW w:w="973" w:type="dxa"/>
            <w:tcBorders>
              <w:top w:val="single" w:sz="4" w:space="0" w:color="000080"/>
              <w:bottom w:val="single" w:sz="4" w:space="0" w:color="000080"/>
            </w:tcBorders>
          </w:tcPr>
          <w:p w14:paraId="0C728161" w14:textId="77777777" w:rsidR="006306CB" w:rsidRDefault="006306CB" w:rsidP="00AB71A5">
            <w:pPr>
              <w:keepNext/>
              <w:keepLines/>
              <w:spacing w:before="40" w:after="40"/>
              <w:jc w:val="right"/>
            </w:pPr>
            <w:r>
              <w:t>2023/24</w:t>
            </w:r>
          </w:p>
        </w:tc>
        <w:tc>
          <w:tcPr>
            <w:tcW w:w="713" w:type="dxa"/>
            <w:tcBorders>
              <w:top w:val="single" w:sz="4" w:space="0" w:color="000080"/>
              <w:bottom w:val="single" w:sz="4" w:space="0" w:color="000080"/>
            </w:tcBorders>
          </w:tcPr>
          <w:p w14:paraId="1FDA21CF" w14:textId="77777777" w:rsidR="006306CB" w:rsidRDefault="006306CB" w:rsidP="00AB71A5">
            <w:pPr>
              <w:keepNext/>
              <w:keepLines/>
              <w:spacing w:before="40" w:after="40"/>
              <w:jc w:val="right"/>
            </w:pPr>
            <w:r>
              <w:t>Total</w:t>
            </w:r>
          </w:p>
        </w:tc>
      </w:tr>
      <w:tr w:rsidR="006306CB" w14:paraId="022B46AD" w14:textId="77777777" w:rsidTr="002A2629">
        <w:trPr>
          <w:cantSplit/>
        </w:trPr>
        <w:tc>
          <w:tcPr>
            <w:tcW w:w="4254" w:type="dxa"/>
          </w:tcPr>
          <w:p w14:paraId="254C84C0" w14:textId="77777777" w:rsidR="006306CB" w:rsidRPr="005B4C1B" w:rsidRDefault="006306CB" w:rsidP="00AB71A5">
            <w:pPr>
              <w:keepNext/>
              <w:keepLines/>
              <w:spacing w:before="60" w:after="60"/>
              <w:rPr>
                <w:b/>
              </w:rPr>
            </w:pPr>
            <w:r w:rsidRPr="005B4C1B">
              <w:rPr>
                <w:b/>
              </w:rPr>
              <w:t>Estimated total budget</w:t>
            </w:r>
          </w:p>
        </w:tc>
        <w:tc>
          <w:tcPr>
            <w:tcW w:w="975" w:type="dxa"/>
            <w:tcBorders>
              <w:top w:val="single" w:sz="4" w:space="0" w:color="000080"/>
            </w:tcBorders>
          </w:tcPr>
          <w:p w14:paraId="038D8A14" w14:textId="65D7FD59" w:rsidR="006306CB" w:rsidRPr="005B4C1B" w:rsidRDefault="008A5898" w:rsidP="00921471">
            <w:pPr>
              <w:keepNext/>
              <w:keepLines/>
              <w:spacing w:before="40" w:after="40"/>
              <w:jc w:val="right"/>
              <w:rPr>
                <w:b/>
              </w:rPr>
            </w:pPr>
            <w:r>
              <w:rPr>
                <w:b/>
              </w:rPr>
              <w:t>1.5</w:t>
            </w:r>
          </w:p>
        </w:tc>
        <w:tc>
          <w:tcPr>
            <w:tcW w:w="972" w:type="dxa"/>
            <w:tcBorders>
              <w:top w:val="single" w:sz="4" w:space="0" w:color="000080"/>
            </w:tcBorders>
          </w:tcPr>
          <w:p w14:paraId="67F6C9F3" w14:textId="6D6CC0B6" w:rsidR="006306CB" w:rsidRPr="005B4C1B" w:rsidRDefault="008A5898" w:rsidP="002B63F5">
            <w:pPr>
              <w:keepNext/>
              <w:keepLines/>
              <w:spacing w:before="40" w:after="40"/>
              <w:jc w:val="right"/>
              <w:rPr>
                <w:b/>
              </w:rPr>
            </w:pPr>
            <w:r>
              <w:rPr>
                <w:b/>
              </w:rPr>
              <w:t>8.75</w:t>
            </w:r>
          </w:p>
        </w:tc>
        <w:tc>
          <w:tcPr>
            <w:tcW w:w="971" w:type="dxa"/>
            <w:tcBorders>
              <w:top w:val="single" w:sz="4" w:space="0" w:color="000080"/>
            </w:tcBorders>
          </w:tcPr>
          <w:p w14:paraId="01AE6153" w14:textId="0029F444" w:rsidR="006306CB" w:rsidRPr="005B4C1B" w:rsidRDefault="008A5898" w:rsidP="002B63F5">
            <w:pPr>
              <w:keepNext/>
              <w:keepLines/>
              <w:spacing w:before="40" w:after="40"/>
              <w:jc w:val="right"/>
              <w:rPr>
                <w:b/>
              </w:rPr>
            </w:pPr>
            <w:r>
              <w:rPr>
                <w:b/>
              </w:rPr>
              <w:t>19.58</w:t>
            </w:r>
          </w:p>
        </w:tc>
        <w:tc>
          <w:tcPr>
            <w:tcW w:w="972" w:type="dxa"/>
            <w:tcBorders>
              <w:top w:val="single" w:sz="4" w:space="0" w:color="000080"/>
            </w:tcBorders>
          </w:tcPr>
          <w:p w14:paraId="19D84BCD" w14:textId="648C88C7" w:rsidR="006306CB" w:rsidRPr="005B4C1B" w:rsidRDefault="008A5898" w:rsidP="00AB71A5">
            <w:pPr>
              <w:keepNext/>
              <w:keepLines/>
              <w:spacing w:before="40" w:after="40"/>
              <w:jc w:val="right"/>
              <w:rPr>
                <w:b/>
              </w:rPr>
            </w:pPr>
            <w:r>
              <w:rPr>
                <w:b/>
              </w:rPr>
              <w:t>30.85</w:t>
            </w:r>
          </w:p>
        </w:tc>
        <w:tc>
          <w:tcPr>
            <w:tcW w:w="973" w:type="dxa"/>
            <w:tcBorders>
              <w:top w:val="single" w:sz="4" w:space="0" w:color="000080"/>
            </w:tcBorders>
          </w:tcPr>
          <w:p w14:paraId="19E0B61E" w14:textId="7E681D59" w:rsidR="006306CB" w:rsidRDefault="008A5898" w:rsidP="002B63F5">
            <w:pPr>
              <w:keepNext/>
              <w:keepLines/>
              <w:spacing w:before="40" w:after="40"/>
              <w:jc w:val="right"/>
              <w:rPr>
                <w:b/>
              </w:rPr>
            </w:pPr>
            <w:r>
              <w:rPr>
                <w:b/>
              </w:rPr>
              <w:t>24.32</w:t>
            </w:r>
          </w:p>
        </w:tc>
        <w:tc>
          <w:tcPr>
            <w:tcW w:w="713" w:type="dxa"/>
            <w:tcBorders>
              <w:top w:val="single" w:sz="4" w:space="0" w:color="000080"/>
            </w:tcBorders>
          </w:tcPr>
          <w:p w14:paraId="5CB761AE" w14:textId="229107A4" w:rsidR="006306CB" w:rsidRPr="005B4C1B" w:rsidRDefault="008A2729" w:rsidP="00AB71A5">
            <w:pPr>
              <w:keepNext/>
              <w:keepLines/>
              <w:spacing w:before="40" w:after="40"/>
              <w:jc w:val="right"/>
              <w:rPr>
                <w:b/>
              </w:rPr>
            </w:pPr>
            <w:r>
              <w:rPr>
                <w:b/>
              </w:rPr>
              <w:t>85</w:t>
            </w:r>
          </w:p>
        </w:tc>
      </w:tr>
      <w:tr w:rsidR="006306CB" w14:paraId="157151A7" w14:textId="77777777" w:rsidTr="002A2629">
        <w:trPr>
          <w:cantSplit/>
        </w:trPr>
        <w:tc>
          <w:tcPr>
            <w:tcW w:w="4254" w:type="dxa"/>
          </w:tcPr>
          <w:p w14:paraId="514314FE" w14:textId="77777777" w:rsidR="006306CB" w:rsidRPr="004A673A" w:rsidRDefault="006306CB" w:rsidP="00FE56D1">
            <w:pPr>
              <w:keepNext/>
              <w:keepLines/>
              <w:spacing w:before="60" w:after="60"/>
              <w:jc w:val="left"/>
            </w:pPr>
            <w:r>
              <w:t>Less estimated National Partnership Payments</w:t>
            </w:r>
          </w:p>
        </w:tc>
        <w:tc>
          <w:tcPr>
            <w:tcW w:w="975" w:type="dxa"/>
            <w:tcBorders>
              <w:bottom w:val="single" w:sz="4" w:space="0" w:color="000080"/>
            </w:tcBorders>
          </w:tcPr>
          <w:p w14:paraId="15892C52" w14:textId="73EB3B93" w:rsidR="006306CB" w:rsidRPr="005B4C1B" w:rsidRDefault="00921471" w:rsidP="00F57A91">
            <w:pPr>
              <w:keepNext/>
              <w:keepLines/>
              <w:spacing w:before="40" w:after="40"/>
              <w:jc w:val="right"/>
            </w:pPr>
            <w:r>
              <w:t>1.5</w:t>
            </w:r>
          </w:p>
        </w:tc>
        <w:tc>
          <w:tcPr>
            <w:tcW w:w="972" w:type="dxa"/>
            <w:tcBorders>
              <w:bottom w:val="single" w:sz="4" w:space="0" w:color="000080"/>
            </w:tcBorders>
          </w:tcPr>
          <w:p w14:paraId="4A75FA50" w14:textId="60DEABAF" w:rsidR="006306CB" w:rsidRPr="005B4C1B" w:rsidRDefault="008A2729" w:rsidP="002B63F5">
            <w:pPr>
              <w:keepNext/>
              <w:keepLines/>
              <w:spacing w:before="40" w:after="40"/>
              <w:jc w:val="right"/>
            </w:pPr>
            <w:r>
              <w:t>7.</w:t>
            </w:r>
            <w:r w:rsidR="002B63F5">
              <w:t>8</w:t>
            </w:r>
          </w:p>
        </w:tc>
        <w:tc>
          <w:tcPr>
            <w:tcW w:w="971" w:type="dxa"/>
            <w:tcBorders>
              <w:bottom w:val="single" w:sz="4" w:space="0" w:color="000080"/>
            </w:tcBorders>
          </w:tcPr>
          <w:p w14:paraId="2B10B591" w14:textId="7594DE07" w:rsidR="006306CB" w:rsidRPr="005B4C1B" w:rsidRDefault="002B63F5" w:rsidP="006306CB">
            <w:pPr>
              <w:keepNext/>
              <w:keepLines/>
              <w:spacing w:before="40" w:after="40"/>
              <w:jc w:val="right"/>
            </w:pPr>
            <w:r>
              <w:t>11.35</w:t>
            </w:r>
          </w:p>
        </w:tc>
        <w:tc>
          <w:tcPr>
            <w:tcW w:w="972" w:type="dxa"/>
            <w:tcBorders>
              <w:bottom w:val="single" w:sz="4" w:space="0" w:color="000080"/>
            </w:tcBorders>
          </w:tcPr>
          <w:p w14:paraId="3B1241BC" w14:textId="507E27EC" w:rsidR="006306CB" w:rsidRPr="005B4C1B" w:rsidRDefault="002B63F5" w:rsidP="00F57A91">
            <w:pPr>
              <w:keepNext/>
              <w:keepLines/>
              <w:spacing w:before="40" w:after="40"/>
              <w:jc w:val="right"/>
            </w:pPr>
            <w:r>
              <w:t>15.3</w:t>
            </w:r>
          </w:p>
        </w:tc>
        <w:tc>
          <w:tcPr>
            <w:tcW w:w="973" w:type="dxa"/>
            <w:tcBorders>
              <w:bottom w:val="single" w:sz="4" w:space="0" w:color="000080"/>
            </w:tcBorders>
          </w:tcPr>
          <w:p w14:paraId="46709CC4" w14:textId="1D26E6DF" w:rsidR="006306CB" w:rsidRDefault="002B63F5" w:rsidP="00AB71A5">
            <w:pPr>
              <w:keepNext/>
              <w:keepLines/>
              <w:spacing w:before="40" w:after="40"/>
              <w:jc w:val="right"/>
            </w:pPr>
            <w:r>
              <w:t>6.55</w:t>
            </w:r>
          </w:p>
        </w:tc>
        <w:tc>
          <w:tcPr>
            <w:tcW w:w="713" w:type="dxa"/>
            <w:tcBorders>
              <w:bottom w:val="single" w:sz="4" w:space="0" w:color="000080"/>
            </w:tcBorders>
          </w:tcPr>
          <w:p w14:paraId="693AF261" w14:textId="0B839FF4" w:rsidR="006306CB" w:rsidRPr="005B4C1B" w:rsidRDefault="008A2729" w:rsidP="00AB71A5">
            <w:pPr>
              <w:keepNext/>
              <w:keepLines/>
              <w:spacing w:before="40" w:after="40"/>
              <w:jc w:val="right"/>
            </w:pPr>
            <w:r>
              <w:t>42.5</w:t>
            </w:r>
          </w:p>
        </w:tc>
      </w:tr>
      <w:tr w:rsidR="00FE56D1" w14:paraId="100CB70B" w14:textId="77777777" w:rsidTr="00FE56D1">
        <w:trPr>
          <w:cantSplit/>
        </w:trPr>
        <w:tc>
          <w:tcPr>
            <w:tcW w:w="4254" w:type="dxa"/>
            <w:tcBorders>
              <w:bottom w:val="single" w:sz="4" w:space="0" w:color="000080"/>
            </w:tcBorders>
          </w:tcPr>
          <w:p w14:paraId="3756220D" w14:textId="77777777" w:rsidR="00FE56D1" w:rsidRPr="006146F2" w:rsidRDefault="00FE56D1" w:rsidP="00FE56D1">
            <w:pPr>
              <w:keepNext/>
              <w:keepLines/>
              <w:spacing w:before="40" w:after="40"/>
              <w:jc w:val="left"/>
            </w:pPr>
            <w:r w:rsidRPr="006146F2">
              <w:t>Balance of non-Commonwealth contribution</w:t>
            </w:r>
            <w:r>
              <w:t>s</w:t>
            </w:r>
          </w:p>
        </w:tc>
        <w:tc>
          <w:tcPr>
            <w:tcW w:w="975" w:type="dxa"/>
            <w:tcBorders>
              <w:bottom w:val="single" w:sz="4" w:space="0" w:color="000080"/>
            </w:tcBorders>
          </w:tcPr>
          <w:p w14:paraId="7E6510E7" w14:textId="7B3ACC80" w:rsidR="00FE56D1" w:rsidRPr="005B4C1B" w:rsidRDefault="008A5898" w:rsidP="002B63F5">
            <w:pPr>
              <w:keepNext/>
              <w:keepLines/>
              <w:spacing w:before="40" w:after="40"/>
              <w:jc w:val="right"/>
            </w:pPr>
            <w:r>
              <w:t>0.0</w:t>
            </w:r>
          </w:p>
        </w:tc>
        <w:tc>
          <w:tcPr>
            <w:tcW w:w="972" w:type="dxa"/>
            <w:tcBorders>
              <w:bottom w:val="single" w:sz="4" w:space="0" w:color="000080"/>
            </w:tcBorders>
          </w:tcPr>
          <w:p w14:paraId="0646795D" w14:textId="18730429" w:rsidR="00FE56D1" w:rsidRPr="005B4C1B" w:rsidRDefault="008A5898" w:rsidP="00FE56D1">
            <w:pPr>
              <w:keepNext/>
              <w:keepLines/>
              <w:spacing w:before="40" w:after="40"/>
              <w:jc w:val="right"/>
            </w:pPr>
            <w:r>
              <w:t>0.95</w:t>
            </w:r>
          </w:p>
        </w:tc>
        <w:tc>
          <w:tcPr>
            <w:tcW w:w="971" w:type="dxa"/>
            <w:tcBorders>
              <w:bottom w:val="single" w:sz="4" w:space="0" w:color="000080"/>
            </w:tcBorders>
          </w:tcPr>
          <w:p w14:paraId="58AA999C" w14:textId="0F73578A" w:rsidR="00FE56D1" w:rsidRPr="005B4C1B" w:rsidRDefault="008A5898" w:rsidP="00FE56D1">
            <w:pPr>
              <w:keepNext/>
              <w:keepLines/>
              <w:spacing w:before="40" w:after="40"/>
              <w:jc w:val="right"/>
            </w:pPr>
            <w:r>
              <w:t>8.23</w:t>
            </w:r>
          </w:p>
        </w:tc>
        <w:tc>
          <w:tcPr>
            <w:tcW w:w="972" w:type="dxa"/>
            <w:tcBorders>
              <w:bottom w:val="single" w:sz="4" w:space="0" w:color="000080"/>
            </w:tcBorders>
          </w:tcPr>
          <w:p w14:paraId="23D3D1B0" w14:textId="56F1F6EA" w:rsidR="00FE56D1" w:rsidRPr="005B4C1B" w:rsidRDefault="008A5898" w:rsidP="002B63F5">
            <w:pPr>
              <w:keepNext/>
              <w:keepLines/>
              <w:spacing w:before="40" w:after="40"/>
              <w:jc w:val="right"/>
            </w:pPr>
            <w:r>
              <w:t>15.55</w:t>
            </w:r>
          </w:p>
        </w:tc>
        <w:tc>
          <w:tcPr>
            <w:tcW w:w="973" w:type="dxa"/>
            <w:tcBorders>
              <w:bottom w:val="single" w:sz="4" w:space="0" w:color="000080"/>
            </w:tcBorders>
          </w:tcPr>
          <w:p w14:paraId="10200284" w14:textId="1B9A482D" w:rsidR="00FE56D1" w:rsidRDefault="008A5898" w:rsidP="002B63F5">
            <w:pPr>
              <w:keepNext/>
              <w:keepLines/>
              <w:spacing w:before="40" w:after="40"/>
              <w:jc w:val="right"/>
            </w:pPr>
            <w:r>
              <w:t>17.77</w:t>
            </w:r>
          </w:p>
        </w:tc>
        <w:tc>
          <w:tcPr>
            <w:tcW w:w="713" w:type="dxa"/>
            <w:tcBorders>
              <w:bottom w:val="single" w:sz="4" w:space="0" w:color="000080"/>
            </w:tcBorders>
          </w:tcPr>
          <w:p w14:paraId="370D308F" w14:textId="1EDB284D" w:rsidR="00FE56D1" w:rsidRPr="005B4C1B" w:rsidRDefault="008A2729" w:rsidP="008A2729">
            <w:pPr>
              <w:keepNext/>
              <w:keepLines/>
              <w:spacing w:before="40" w:after="40"/>
              <w:jc w:val="right"/>
            </w:pPr>
            <w:r>
              <w:t>42.5</w:t>
            </w:r>
          </w:p>
        </w:tc>
      </w:tr>
    </w:tbl>
    <w:p w14:paraId="52D6D359" w14:textId="177FBC39" w:rsidR="00CE7403" w:rsidRDefault="00CE7403" w:rsidP="00A42F83">
      <w:pPr>
        <w:pStyle w:val="ChartandTableFootnoteAlpha"/>
        <w:numPr>
          <w:ilvl w:val="0"/>
          <w:numId w:val="0"/>
        </w:numPr>
        <w:spacing w:after="240"/>
        <w:ind w:left="283"/>
      </w:pPr>
      <w:r>
        <w:t xml:space="preserve"> </w:t>
      </w:r>
    </w:p>
    <w:p w14:paraId="1676D992" w14:textId="77777777" w:rsidR="008E7527" w:rsidRDefault="008E7527" w:rsidP="00DE7EBC">
      <w:pPr>
        <w:pStyle w:val="Normalnumbered"/>
        <w:numPr>
          <w:ilvl w:val="0"/>
          <w:numId w:val="9"/>
        </w:numPr>
      </w:pPr>
      <w:r w:rsidRPr="00C738BD">
        <w:t xml:space="preserve">Having regard to the agreed estimated costs of projects specified in </w:t>
      </w:r>
      <w:r w:rsidR="006B43AF">
        <w:t>this</w:t>
      </w:r>
      <w:r>
        <w:t xml:space="preserve"> Agreement</w:t>
      </w:r>
      <w:r w:rsidRPr="00C738BD">
        <w:t xml:space="preserve">, </w:t>
      </w:r>
      <w:r w:rsidR="003441FD">
        <w:t>Tasmania</w:t>
      </w:r>
      <w:r w:rsidRPr="00C738BD">
        <w:t xml:space="preserve"> will not be required to pay a refund to the Commonwealth if the actual cost of the project is less than the agreed</w:t>
      </w:r>
      <w:r w:rsidR="00515AF2">
        <w:t xml:space="preserve"> estimated cost of the project.  </w:t>
      </w:r>
      <w:r w:rsidRPr="00C738BD">
        <w:t xml:space="preserve">Similarly, </w:t>
      </w:r>
      <w:r w:rsidR="003441FD">
        <w:t>Tasmania</w:t>
      </w:r>
      <w:r>
        <w:t xml:space="preserve"> </w:t>
      </w:r>
      <w:r w:rsidRPr="00C738BD">
        <w:t>bear</w:t>
      </w:r>
      <w:r w:rsidR="003441FD">
        <w:t>s</w:t>
      </w:r>
      <w:r w:rsidRPr="00C738BD">
        <w:t xml:space="preserve"> all risk should the costs of a project exceed the agreed estimated cost</w:t>
      </w:r>
      <w:r>
        <w:t>s.</w:t>
      </w:r>
      <w:r w:rsidRPr="00C738BD">
        <w:t xml:space="preserve"> The Parties acknowledge that this arrangement provides the maximum incentive for </w:t>
      </w:r>
      <w:r w:rsidR="00063098">
        <w:t>Tasmania</w:t>
      </w:r>
      <w:r w:rsidRPr="00C738BD">
        <w:t xml:space="preserve"> to deliver projects cost effectively and efficiently.</w:t>
      </w:r>
    </w:p>
    <w:p w14:paraId="68858084" w14:textId="77777777" w:rsidR="00814667" w:rsidRDefault="003A2157">
      <w:pPr>
        <w:pStyle w:val="Heading1"/>
      </w:pPr>
      <w:bookmarkStart w:id="4" w:name="top"/>
      <w:bookmarkEnd w:id="4"/>
      <w:r>
        <w:t xml:space="preserve">Part </w:t>
      </w:r>
      <w:r w:rsidR="000B4080">
        <w:t>6</w:t>
      </w:r>
      <w:r w:rsidR="00814667">
        <w:t xml:space="preserve"> — governance arrangements</w:t>
      </w:r>
    </w:p>
    <w:p w14:paraId="64A036EC" w14:textId="77777777" w:rsidR="00F715F2" w:rsidRPr="00F715F2" w:rsidRDefault="00BC4728" w:rsidP="00BB45A0">
      <w:pPr>
        <w:pStyle w:val="Heading2"/>
      </w:pPr>
      <w:r w:rsidRPr="006F096A">
        <w:t>Enforceability of the Agreement</w:t>
      </w:r>
    </w:p>
    <w:p w14:paraId="7167D5F2" w14:textId="77777777" w:rsidR="00BC4728" w:rsidRPr="00C40EBC" w:rsidRDefault="00BC4728" w:rsidP="00DE7EBC">
      <w:pPr>
        <w:pStyle w:val="Normalnumbered"/>
        <w:numPr>
          <w:ilvl w:val="0"/>
          <w:numId w:val="9"/>
        </w:numPr>
        <w:spacing w:line="240" w:lineRule="auto"/>
      </w:pPr>
      <w:r>
        <w:rPr>
          <w:szCs w:val="23"/>
        </w:rPr>
        <w:t>The Parties do not intend any of the provisions of this Agreement to be legally enforceable. However, that does not lessen the Parties’ commitment to this Agreement.</w:t>
      </w:r>
    </w:p>
    <w:p w14:paraId="3787996E" w14:textId="77777777" w:rsidR="00814667" w:rsidRDefault="00814667">
      <w:pPr>
        <w:pStyle w:val="Heading2"/>
      </w:pPr>
      <w:r>
        <w:t>Variation of the Agreement</w:t>
      </w:r>
    </w:p>
    <w:p w14:paraId="6815D5D1" w14:textId="77777777" w:rsidR="00BB45A0" w:rsidRDefault="00607B03" w:rsidP="00DE7EBC">
      <w:pPr>
        <w:pStyle w:val="Normalnumbered"/>
        <w:numPr>
          <w:ilvl w:val="0"/>
          <w:numId w:val="9"/>
        </w:numPr>
      </w:pPr>
      <w:r>
        <w:t>The A</w:t>
      </w:r>
      <w:r w:rsidR="00814667">
        <w:t xml:space="preserve">greement may be amended at any time by agreement in writing by </w:t>
      </w:r>
      <w:r w:rsidR="002B1C50" w:rsidRPr="00DE36EB">
        <w:t xml:space="preserve">both </w:t>
      </w:r>
      <w:r w:rsidR="00814667" w:rsidRPr="00DE36EB">
        <w:t>the Parties.</w:t>
      </w:r>
    </w:p>
    <w:p w14:paraId="28B8B05C" w14:textId="77777777" w:rsidR="00935FF6" w:rsidRDefault="00935FF6" w:rsidP="00DE7EBC">
      <w:pPr>
        <w:pStyle w:val="Normalnumbered"/>
        <w:numPr>
          <w:ilvl w:val="0"/>
          <w:numId w:val="9"/>
        </w:numPr>
      </w:pPr>
      <w:r>
        <w:t xml:space="preserve">Either party to this Agreement may terminate their participation in the Agreement as any time by notifying the other Party in writing. </w:t>
      </w:r>
    </w:p>
    <w:p w14:paraId="50526F72" w14:textId="77777777" w:rsidR="009526E4" w:rsidRDefault="009526E4" w:rsidP="0036119D">
      <w:pPr>
        <w:pStyle w:val="Heading2"/>
      </w:pPr>
      <w:r>
        <w:t>Delegations</w:t>
      </w:r>
    </w:p>
    <w:p w14:paraId="058A40D5" w14:textId="74D018D0" w:rsidR="009526E4" w:rsidRDefault="009526E4" w:rsidP="00DE7EBC">
      <w:pPr>
        <w:pStyle w:val="Normalnumbered"/>
        <w:numPr>
          <w:ilvl w:val="0"/>
          <w:numId w:val="9"/>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23E5EBBF" w14:textId="77777777" w:rsidR="0036119D" w:rsidRDefault="0036119D" w:rsidP="0036119D">
      <w:pPr>
        <w:pStyle w:val="Heading2"/>
      </w:pPr>
      <w:r>
        <w:t>Dispute resolution</w:t>
      </w:r>
    </w:p>
    <w:p w14:paraId="4691B2FC" w14:textId="77777777" w:rsidR="0036119D" w:rsidRPr="00DE36EB" w:rsidRDefault="00697494" w:rsidP="00DE7EBC">
      <w:pPr>
        <w:pStyle w:val="Normalnumbered"/>
        <w:numPr>
          <w:ilvl w:val="0"/>
          <w:numId w:val="9"/>
        </w:numPr>
      </w:pPr>
      <w:r w:rsidRPr="00DE36EB">
        <w:t>E</w:t>
      </w:r>
      <w:r w:rsidR="002B1C50" w:rsidRPr="00DE36EB">
        <w:t xml:space="preserve">ither </w:t>
      </w:r>
      <w:r w:rsidR="00BB45A0">
        <w:t xml:space="preserve">Party may give notice to </w:t>
      </w:r>
      <w:r w:rsidR="000F2D23">
        <w:t>the</w:t>
      </w:r>
      <w:r w:rsidR="00BB45A0">
        <w:t xml:space="preserve"> other</w:t>
      </w:r>
      <w:r w:rsidR="00684EC1" w:rsidRPr="00DE36EB">
        <w:t xml:space="preserve"> Party </w:t>
      </w:r>
      <w:r w:rsidR="0036119D" w:rsidRPr="00DE36EB">
        <w:t>of a dispute under this Agreement.</w:t>
      </w:r>
    </w:p>
    <w:p w14:paraId="5E8C5B04" w14:textId="77777777" w:rsidR="0036119D" w:rsidRPr="00DE36EB" w:rsidRDefault="0036119D" w:rsidP="00DE7EBC">
      <w:pPr>
        <w:pStyle w:val="Normalnumbered"/>
        <w:numPr>
          <w:ilvl w:val="0"/>
          <w:numId w:val="9"/>
        </w:numPr>
      </w:pPr>
      <w:r w:rsidRPr="00DE36EB">
        <w:t xml:space="preserve">Officials of </w:t>
      </w:r>
      <w:r w:rsidR="002B1C50" w:rsidRPr="00DE36EB">
        <w:t>both</w:t>
      </w:r>
      <w:r w:rsidR="002B1C50" w:rsidRPr="00DE36EB">
        <w:rPr>
          <w:i/>
        </w:rPr>
        <w:t xml:space="preserve"> </w:t>
      </w:r>
      <w:r w:rsidRPr="00DE36EB">
        <w:t>Parties will attempt to resolve any dispute in the first instance.</w:t>
      </w:r>
    </w:p>
    <w:p w14:paraId="498C90C1" w14:textId="77777777" w:rsidR="0036119D" w:rsidRPr="00DE36EB" w:rsidRDefault="0036119D" w:rsidP="00DE7EBC">
      <w:pPr>
        <w:pStyle w:val="Normalnumbered"/>
        <w:numPr>
          <w:ilvl w:val="0"/>
          <w:numId w:val="9"/>
        </w:numPr>
      </w:pPr>
      <w:r w:rsidRPr="00DE36EB">
        <w:t>If a dispute cannot be resolved by officials, it may be escalated to the relevant Ministers.</w:t>
      </w:r>
    </w:p>
    <w:p w14:paraId="309A0FF6" w14:textId="77777777" w:rsidR="00CE2698" w:rsidRDefault="00CE2698" w:rsidP="000614F9">
      <w:pPr>
        <w:pStyle w:val="Normalnumbered"/>
        <w:numPr>
          <w:ilvl w:val="0"/>
          <w:numId w:val="0"/>
        </w:numPr>
        <w:jc w:val="left"/>
        <w:rPr>
          <w:b/>
        </w:rPr>
      </w:pPr>
    </w:p>
    <w:p w14:paraId="1C46D683" w14:textId="77777777" w:rsidR="008F42D4" w:rsidRDefault="008F42D4">
      <w:pPr>
        <w:spacing w:after="0" w:line="240" w:lineRule="auto"/>
        <w:jc w:val="left"/>
        <w:rPr>
          <w:lang w:val="en-GB"/>
        </w:rPr>
      </w:pPr>
      <w:r>
        <w:rPr>
          <w:lang w:val="en-GB"/>
        </w:rPr>
        <w:br w:type="page"/>
      </w:r>
    </w:p>
    <w:p w14:paraId="21630DA9" w14:textId="77777777"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04292C" w:rsidRPr="00A50751" w14:paraId="2127FF48" w14:textId="77777777">
        <w:trPr>
          <w:cantSplit/>
          <w:jc w:val="center"/>
        </w:trPr>
        <w:tc>
          <w:tcPr>
            <w:tcW w:w="4536" w:type="dxa"/>
          </w:tcPr>
          <w:p w14:paraId="700FD632" w14:textId="77777777" w:rsidR="0004292C" w:rsidRPr="004A0AE7" w:rsidRDefault="0004292C" w:rsidP="0004292C">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786FBAC0" w14:textId="77777777" w:rsidR="004959C7" w:rsidRDefault="004959C7" w:rsidP="0004292C">
            <w:pPr>
              <w:pStyle w:val="LineForSignature"/>
            </w:pPr>
          </w:p>
          <w:p w14:paraId="2A993925" w14:textId="6C4043A3" w:rsidR="0004292C" w:rsidRPr="00A50751" w:rsidRDefault="0004292C" w:rsidP="0004292C">
            <w:pPr>
              <w:pStyle w:val="LineForSignature"/>
            </w:pPr>
            <w:r>
              <w:tab/>
            </w:r>
          </w:p>
          <w:p w14:paraId="53321961" w14:textId="08CF9FAC" w:rsidR="0004292C" w:rsidRDefault="0004292C" w:rsidP="0004292C">
            <w:pPr>
              <w:pStyle w:val="SingleParagraph"/>
              <w:rPr>
                <w:rStyle w:val="Bold"/>
              </w:rPr>
            </w:pPr>
            <w:r>
              <w:rPr>
                <w:rStyle w:val="Bold"/>
              </w:rPr>
              <w:t xml:space="preserve">The Honourable </w:t>
            </w:r>
            <w:r w:rsidR="00354953">
              <w:rPr>
                <w:rStyle w:val="Bold"/>
              </w:rPr>
              <w:t>Alan Tudge</w:t>
            </w:r>
            <w:r>
              <w:rPr>
                <w:rStyle w:val="Bold"/>
              </w:rPr>
              <w:t xml:space="preserve"> MP</w:t>
            </w:r>
          </w:p>
          <w:p w14:paraId="44048F61" w14:textId="202D3B3D" w:rsidR="0004292C" w:rsidRDefault="0004292C" w:rsidP="0004292C">
            <w:pPr>
              <w:pStyle w:val="Position"/>
              <w:rPr>
                <w:lang w:val="en-GB"/>
              </w:rPr>
            </w:pPr>
            <w:r>
              <w:rPr>
                <w:lang w:val="en-GB"/>
              </w:rPr>
              <w:t xml:space="preserve">Minister for </w:t>
            </w:r>
            <w:r w:rsidR="00354953">
              <w:rPr>
                <w:lang w:val="en-GB"/>
              </w:rPr>
              <w:t>Population, Cities and Urban Infrastructure</w:t>
            </w:r>
          </w:p>
          <w:p w14:paraId="7DFD60B7" w14:textId="499667BE" w:rsidR="0004292C" w:rsidRDefault="00354953">
            <w:pPr>
              <w:pStyle w:val="SingleParagraph"/>
              <w:tabs>
                <w:tab w:val="num" w:pos="1134"/>
              </w:tabs>
              <w:spacing w:after="240"/>
              <w:ind w:left="1134" w:hanging="567"/>
              <w:rPr>
                <w:b/>
                <w:lang w:val="en-GB"/>
              </w:rPr>
            </w:pPr>
            <w:r>
              <w:rPr>
                <w:lang w:val="en-GB"/>
              </w:rPr>
              <w:t xml:space="preserve">         </w:t>
            </w:r>
            <w:r w:rsidR="0004292C">
              <w:rPr>
                <w:lang w:val="en-GB"/>
              </w:rPr>
              <w:t xml:space="preserve"> </w:t>
            </w:r>
            <w:r>
              <w:rPr>
                <w:lang w:val="en-GB"/>
              </w:rPr>
              <w:t xml:space="preserve"> 2020</w:t>
            </w:r>
          </w:p>
        </w:tc>
        <w:tc>
          <w:tcPr>
            <w:tcW w:w="284" w:type="dxa"/>
            <w:tcMar>
              <w:left w:w="0" w:type="dxa"/>
              <w:right w:w="0" w:type="dxa"/>
            </w:tcMar>
          </w:tcPr>
          <w:p w14:paraId="7C743C92" w14:textId="77777777" w:rsidR="0004292C" w:rsidRPr="00A50751" w:rsidRDefault="0004292C" w:rsidP="0004292C">
            <w:pPr>
              <w:rPr>
                <w:rFonts w:ascii="Book Antiqua" w:hAnsi="Book Antiqua"/>
                <w:lang w:val="en-GB"/>
              </w:rPr>
            </w:pPr>
          </w:p>
        </w:tc>
        <w:tc>
          <w:tcPr>
            <w:tcW w:w="4536" w:type="dxa"/>
          </w:tcPr>
          <w:p w14:paraId="40B95613" w14:textId="63F1D75C" w:rsidR="0004292C" w:rsidRPr="00A50751" w:rsidRDefault="0004292C" w:rsidP="0004292C">
            <w:pPr>
              <w:pStyle w:val="SingleParagraph"/>
              <w:tabs>
                <w:tab w:val="num" w:pos="1134"/>
              </w:tabs>
              <w:spacing w:after="240"/>
              <w:ind w:left="1134" w:hanging="567"/>
              <w:rPr>
                <w:lang w:val="en-GB"/>
              </w:rPr>
            </w:pPr>
          </w:p>
        </w:tc>
      </w:tr>
    </w:tbl>
    <w:p w14:paraId="1679219C" w14:textId="7135B9C6" w:rsidR="008843EE" w:rsidRDefault="008843EE" w:rsidP="0020144E"/>
    <w:tbl>
      <w:tblPr>
        <w:tblW w:w="0" w:type="auto"/>
        <w:jc w:val="center"/>
        <w:tblLayout w:type="fixed"/>
        <w:tblLook w:val="01E0" w:firstRow="1" w:lastRow="1" w:firstColumn="1" w:lastColumn="1" w:noHBand="0" w:noVBand="0"/>
      </w:tblPr>
      <w:tblGrid>
        <w:gridCol w:w="4536"/>
        <w:gridCol w:w="284"/>
        <w:gridCol w:w="4536"/>
      </w:tblGrid>
      <w:tr w:rsidR="00C5799A" w:rsidRPr="00A50751" w14:paraId="6B41D860" w14:textId="77777777" w:rsidTr="00AC25C8">
        <w:trPr>
          <w:cantSplit/>
          <w:jc w:val="center"/>
        </w:trPr>
        <w:tc>
          <w:tcPr>
            <w:tcW w:w="4536" w:type="dxa"/>
          </w:tcPr>
          <w:p w14:paraId="2C2F9F17" w14:textId="77777777" w:rsidR="00C5799A" w:rsidRPr="004A0AE7" w:rsidRDefault="00C5799A" w:rsidP="00C5799A">
            <w:pPr>
              <w:pStyle w:val="Signed"/>
            </w:pPr>
            <w:r>
              <w:rPr>
                <w:rStyle w:val="SignedBold"/>
              </w:rPr>
              <w:t>Signed</w:t>
            </w:r>
            <w:r w:rsidRPr="004A0AE7">
              <w:t xml:space="preserve"> for and on behalf of the</w:t>
            </w:r>
            <w:r w:rsidRPr="004A0AE7">
              <w:br/>
              <w:t>State of Tasmania by</w:t>
            </w:r>
          </w:p>
          <w:p w14:paraId="39F6FF9C" w14:textId="77777777" w:rsidR="00C5799A" w:rsidRDefault="00C5799A" w:rsidP="00C5799A">
            <w:pPr>
              <w:pStyle w:val="LineForSignature"/>
            </w:pPr>
          </w:p>
          <w:p w14:paraId="53B8DDBC" w14:textId="77777777" w:rsidR="00C5799A" w:rsidRPr="00A50751" w:rsidRDefault="00C5799A" w:rsidP="00C5799A">
            <w:pPr>
              <w:pStyle w:val="LineForSignature"/>
            </w:pPr>
            <w:r w:rsidRPr="00A50751">
              <w:tab/>
            </w:r>
          </w:p>
          <w:p w14:paraId="761F5BDF" w14:textId="10BE3A25" w:rsidR="00C5799A" w:rsidRDefault="00C5799A" w:rsidP="00C5799A">
            <w:pPr>
              <w:pStyle w:val="SingleParagraph"/>
              <w:rPr>
                <w:rStyle w:val="Bold"/>
              </w:rPr>
            </w:pPr>
            <w:r>
              <w:rPr>
                <w:rStyle w:val="Bold"/>
              </w:rPr>
              <w:t xml:space="preserve">The Honourable </w:t>
            </w:r>
            <w:r w:rsidR="007E6CE8">
              <w:rPr>
                <w:rStyle w:val="Bold"/>
              </w:rPr>
              <w:t>Michael Ferguson MP</w:t>
            </w:r>
          </w:p>
          <w:p w14:paraId="2C146D67" w14:textId="4D657E61" w:rsidR="00C5799A" w:rsidRDefault="00C5799A" w:rsidP="00C5799A">
            <w:pPr>
              <w:pStyle w:val="Position"/>
              <w:rPr>
                <w:lang w:val="en-GB"/>
              </w:rPr>
            </w:pPr>
            <w:r>
              <w:rPr>
                <w:lang w:val="en-GB"/>
              </w:rPr>
              <w:t xml:space="preserve">Minister for </w:t>
            </w:r>
            <w:r w:rsidR="007E6CE8">
              <w:rPr>
                <w:lang w:val="en-GB"/>
              </w:rPr>
              <w:t>Infrastructure and Transport</w:t>
            </w:r>
            <w:r>
              <w:rPr>
                <w:lang w:val="en-GB"/>
              </w:rPr>
              <w:t xml:space="preserve"> </w:t>
            </w:r>
          </w:p>
          <w:p w14:paraId="5CA5D8DC" w14:textId="64274D2C" w:rsidR="00C5799A" w:rsidRDefault="007E6CE8" w:rsidP="00C5799A">
            <w:pPr>
              <w:pStyle w:val="SingleParagraph"/>
              <w:tabs>
                <w:tab w:val="num" w:pos="1134"/>
              </w:tabs>
              <w:spacing w:after="240"/>
              <w:ind w:left="1134" w:hanging="567"/>
              <w:rPr>
                <w:b/>
                <w:lang w:val="en-GB"/>
              </w:rPr>
            </w:pPr>
            <w:r>
              <w:rPr>
                <w:lang w:val="en-GB"/>
              </w:rPr>
              <w:t xml:space="preserve">          2020</w:t>
            </w:r>
          </w:p>
        </w:tc>
        <w:tc>
          <w:tcPr>
            <w:tcW w:w="284" w:type="dxa"/>
            <w:tcMar>
              <w:left w:w="0" w:type="dxa"/>
              <w:right w:w="0" w:type="dxa"/>
            </w:tcMar>
          </w:tcPr>
          <w:p w14:paraId="617D5825" w14:textId="77777777" w:rsidR="00C5799A" w:rsidRPr="00A50751" w:rsidRDefault="00C5799A" w:rsidP="00AC25C8">
            <w:pPr>
              <w:rPr>
                <w:rFonts w:ascii="Book Antiqua" w:hAnsi="Book Antiqua"/>
                <w:lang w:val="en-GB"/>
              </w:rPr>
            </w:pPr>
          </w:p>
        </w:tc>
        <w:tc>
          <w:tcPr>
            <w:tcW w:w="4536" w:type="dxa"/>
          </w:tcPr>
          <w:p w14:paraId="02DCCA19" w14:textId="7C4696E4" w:rsidR="00C5799A" w:rsidRPr="00A50751" w:rsidRDefault="00C5799A" w:rsidP="00AC25C8">
            <w:pPr>
              <w:pStyle w:val="SingleParagraph"/>
              <w:tabs>
                <w:tab w:val="num" w:pos="1134"/>
              </w:tabs>
              <w:spacing w:after="240"/>
              <w:ind w:left="1134" w:hanging="567"/>
              <w:rPr>
                <w:lang w:val="en-GB"/>
              </w:rPr>
            </w:pPr>
          </w:p>
        </w:tc>
      </w:tr>
    </w:tbl>
    <w:p w14:paraId="3524C9AE" w14:textId="77777777" w:rsidR="00C5799A" w:rsidRDefault="00C5799A" w:rsidP="0020144E"/>
    <w:sectPr w:rsidR="00C5799A" w:rsidSect="00107534">
      <w:headerReference w:type="default" r:id="rId14"/>
      <w:footerReference w:type="default" r:id="rId15"/>
      <w:headerReference w:type="first" r:id="rId16"/>
      <w:footerReference w:type="first" r:id="rId17"/>
      <w:type w:val="oddPage"/>
      <w:pgSz w:w="11906" w:h="16838" w:code="9"/>
      <w:pgMar w:top="1134" w:right="1134" w:bottom="1134" w:left="1134" w:header="709" w:footer="709" w:gutter="0"/>
      <w:pgNumType w:start="1" w:chapStyle="9"/>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F0CB0" w16cex:dateUtc="2020-05-07T1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BC460F" w16cid:durableId="225F0C23"/>
  <w16cid:commentId w16cid:paraId="155709B7" w16cid:durableId="225F0CB0"/>
  <w16cid:commentId w16cid:paraId="217B6E04" w16cid:durableId="225F0C24"/>
  <w16cid:commentId w16cid:paraId="090C1B84" w16cid:durableId="225F0C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D7010" w14:textId="77777777" w:rsidR="00FF6700" w:rsidRDefault="00FF6700">
      <w:r>
        <w:separator/>
      </w:r>
    </w:p>
    <w:p w14:paraId="4A90D919" w14:textId="77777777" w:rsidR="00FF6700" w:rsidRDefault="00FF6700"/>
    <w:p w14:paraId="31E57245" w14:textId="77777777" w:rsidR="00FF6700" w:rsidRDefault="00FF6700"/>
    <w:p w14:paraId="4A5D80E8" w14:textId="77777777" w:rsidR="00FF6700" w:rsidRDefault="00FF6700"/>
    <w:p w14:paraId="002714D5" w14:textId="77777777" w:rsidR="00FF6700" w:rsidRDefault="00FF6700"/>
  </w:endnote>
  <w:endnote w:type="continuationSeparator" w:id="0">
    <w:p w14:paraId="7FCDCBC5" w14:textId="77777777" w:rsidR="00FF6700" w:rsidRDefault="00FF6700">
      <w:r>
        <w:continuationSeparator/>
      </w:r>
    </w:p>
    <w:p w14:paraId="150F3F87" w14:textId="77777777" w:rsidR="00FF6700" w:rsidRDefault="00FF6700"/>
    <w:p w14:paraId="0504D45F" w14:textId="77777777" w:rsidR="00FF6700" w:rsidRDefault="00FF6700"/>
    <w:p w14:paraId="2553E813" w14:textId="77777777" w:rsidR="00FF6700" w:rsidRDefault="00FF6700"/>
    <w:p w14:paraId="1EFAF726" w14:textId="77777777" w:rsidR="00FF6700" w:rsidRDefault="00FF6700"/>
  </w:endnote>
  <w:endnote w:type="continuationNotice" w:id="1">
    <w:p w14:paraId="108FD74E" w14:textId="77777777" w:rsidR="00FF6700" w:rsidRDefault="00FF6700">
      <w:pPr>
        <w:spacing w:after="0" w:line="240" w:lineRule="auto"/>
      </w:pPr>
    </w:p>
    <w:p w14:paraId="79438793" w14:textId="77777777" w:rsidR="00FF6700" w:rsidRDefault="00FF6700"/>
    <w:p w14:paraId="2EB5141B" w14:textId="77777777" w:rsidR="00FF6700" w:rsidRDefault="00FF6700"/>
    <w:p w14:paraId="73D11377" w14:textId="77777777" w:rsidR="00FF6700" w:rsidRDefault="00FF6700"/>
    <w:p w14:paraId="36E4BD42" w14:textId="77777777" w:rsidR="00FF6700" w:rsidRDefault="00FF6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Times New Roman"/>
    <w:panose1 w:val="00000000000000000000"/>
    <w:charset w:val="02"/>
    <w:family w:val="decorative"/>
    <w:notTrueType/>
    <w:pitch w:val="variable"/>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388C4" w14:textId="5A842BC4" w:rsidR="009B1E6B" w:rsidRDefault="009B1E6B">
    <w:pPr>
      <w:pStyle w:val="Footer"/>
      <w:jc w:val="right"/>
    </w:pPr>
    <w:r>
      <w:t xml:space="preserve">Page </w:t>
    </w:r>
    <w:r>
      <w:fldChar w:fldCharType="begin"/>
    </w:r>
    <w:r>
      <w:instrText xml:space="preserve"> PAGE   \* MERGEFORMAT </w:instrText>
    </w:r>
    <w:r>
      <w:fldChar w:fldCharType="separate"/>
    </w:r>
    <w:r w:rsidR="008A7C2D">
      <w:rPr>
        <w:noProof/>
      </w:rPr>
      <w:t>2</w:t>
    </w:r>
    <w:r>
      <w:fldChar w:fldCharType="end"/>
    </w:r>
  </w:p>
  <w:p w14:paraId="14629A14" w14:textId="77777777" w:rsidR="004D1AD2" w:rsidRDefault="004D1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6F870" w14:textId="73FA0CAC" w:rsidR="00AB76C6" w:rsidRDefault="00AB76C6" w:rsidP="00751725">
    <w:pPr>
      <w:pStyle w:val="FooterEven"/>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197A9" w14:textId="77777777" w:rsidR="00FF6700" w:rsidRDefault="00FF6700">
      <w:r>
        <w:separator/>
      </w:r>
    </w:p>
    <w:p w14:paraId="0413FE32" w14:textId="77777777" w:rsidR="00FF6700" w:rsidRDefault="00FF6700"/>
    <w:p w14:paraId="0E0B88CD" w14:textId="77777777" w:rsidR="00FF6700" w:rsidRDefault="00FF6700"/>
    <w:p w14:paraId="6B8BE2A2" w14:textId="77777777" w:rsidR="00FF6700" w:rsidRDefault="00FF6700"/>
    <w:p w14:paraId="70824999" w14:textId="77777777" w:rsidR="00FF6700" w:rsidRDefault="00FF6700"/>
  </w:footnote>
  <w:footnote w:type="continuationSeparator" w:id="0">
    <w:p w14:paraId="493A5EE8" w14:textId="77777777" w:rsidR="00FF6700" w:rsidRDefault="00FF6700">
      <w:r>
        <w:continuationSeparator/>
      </w:r>
    </w:p>
    <w:p w14:paraId="5F57B50F" w14:textId="77777777" w:rsidR="00FF6700" w:rsidRDefault="00FF6700"/>
    <w:p w14:paraId="42C9E4EE" w14:textId="77777777" w:rsidR="00FF6700" w:rsidRDefault="00FF6700"/>
    <w:p w14:paraId="56604830" w14:textId="77777777" w:rsidR="00FF6700" w:rsidRDefault="00FF6700"/>
    <w:p w14:paraId="46BE4F73" w14:textId="77777777" w:rsidR="00FF6700" w:rsidRDefault="00FF6700"/>
  </w:footnote>
  <w:footnote w:type="continuationNotice" w:id="1">
    <w:p w14:paraId="696AC182" w14:textId="77777777" w:rsidR="00FF6700" w:rsidRDefault="00FF6700">
      <w:pPr>
        <w:spacing w:after="0" w:line="240" w:lineRule="auto"/>
      </w:pPr>
    </w:p>
    <w:p w14:paraId="3F8E803A" w14:textId="77777777" w:rsidR="00FF6700" w:rsidRDefault="00FF6700"/>
    <w:p w14:paraId="58DA0F67" w14:textId="77777777" w:rsidR="00FF6700" w:rsidRDefault="00FF6700"/>
    <w:p w14:paraId="408DD68F" w14:textId="77777777" w:rsidR="00FF6700" w:rsidRDefault="00FF6700"/>
    <w:p w14:paraId="1C6CF442" w14:textId="77777777" w:rsidR="00FF6700" w:rsidRDefault="00FF67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826A7" w14:textId="3B8DC480" w:rsidR="004D1AD2" w:rsidRPr="00814590" w:rsidRDefault="004D1AD2" w:rsidP="004D1AD2">
    <w:pPr>
      <w:pStyle w:val="HeaderOdd"/>
      <w:tabs>
        <w:tab w:val="num" w:pos="1134"/>
      </w:tabs>
      <w:rPr>
        <w:color w:val="800000"/>
      </w:rPr>
    </w:pPr>
    <w:r>
      <w:rPr>
        <w:color w:val="800000"/>
      </w:rPr>
      <w:t>Project Agreement for the Launceston City Deal: Tamar Estuary</w:t>
    </w:r>
    <w:r w:rsidR="00BC7017">
      <w:rPr>
        <w:color w:val="800000"/>
      </w:rPr>
      <w:t xml:space="preserve"> - </w:t>
    </w:r>
    <w:r w:rsidR="0077405E">
      <w:rPr>
        <w:color w:val="800000"/>
      </w:rPr>
      <w:t>Urban Water Infrastructure Upgrades</w:t>
    </w:r>
  </w:p>
  <w:p w14:paraId="106F8167" w14:textId="77777777" w:rsidR="004D1AD2" w:rsidRPr="004D1AD2" w:rsidRDefault="004D1AD2" w:rsidP="004D1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A5AD" w14:textId="3B8594BE" w:rsidR="00AB76C6" w:rsidRPr="00751725" w:rsidRDefault="00AB76C6" w:rsidP="00281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4E7448F"/>
    <w:multiLevelType w:val="hybridMultilevel"/>
    <w:tmpl w:val="E8768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20F215CD"/>
    <w:multiLevelType w:val="multilevel"/>
    <w:tmpl w:val="2A22D142"/>
    <w:lvl w:ilvl="0">
      <w:start w:val="1"/>
      <w:numFmt w:val="lowerLetter"/>
      <w:lvlText w:val="(%1)"/>
      <w:lvlJc w:val="left"/>
      <w:pPr>
        <w:tabs>
          <w:tab w:val="num" w:pos="1701"/>
        </w:tabs>
        <w:ind w:left="1134"/>
      </w:pPr>
      <w:rPr>
        <w:rFonts w:hint="default"/>
        <w:b w:val="0"/>
        <w:i w:val="0"/>
        <w:color w:val="000000"/>
      </w:rPr>
    </w:lvl>
    <w:lvl w:ilvl="1">
      <w:start w:val="1"/>
      <w:numFmt w:val="lowerLetter"/>
      <w:lvlText w:val="%2)"/>
      <w:lvlJc w:val="left"/>
      <w:pPr>
        <w:tabs>
          <w:tab w:val="num" w:pos="1701"/>
        </w:tabs>
        <w:ind w:left="1701" w:hanging="567"/>
      </w:pPr>
      <w:rPr>
        <w:rFonts w:cs="Times New Roman" w:hint="default"/>
        <w:b w:val="0"/>
        <w:i w:val="0"/>
        <w:color w:val="000000"/>
      </w:rPr>
    </w:lvl>
    <w:lvl w:ilvl="2">
      <w:start w:val="1"/>
      <w:numFmt w:val="upperRoman"/>
      <w:lvlText w:val="%3."/>
      <w:lvlJc w:val="righ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6" w15:restartNumberingAfterBreak="0">
    <w:nsid w:val="218E7914"/>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7"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8"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9"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0" w15:restartNumberingAfterBreak="0">
    <w:nsid w:val="28160FB0"/>
    <w:multiLevelType w:val="multilevel"/>
    <w:tmpl w:val="0224906E"/>
    <w:lvl w:ilvl="0">
      <w:start w:val="1"/>
      <w:numFmt w:val="lowerLetter"/>
      <w:lvlText w:val="(%1)"/>
      <w:lvlJc w:val="left"/>
      <w:pPr>
        <w:tabs>
          <w:tab w:val="num" w:pos="1701"/>
        </w:tabs>
        <w:ind w:left="1134"/>
      </w:pPr>
      <w:rPr>
        <w:rFonts w:hint="default"/>
        <w:b w:val="0"/>
        <w:i w:val="0"/>
        <w:color w:val="000000"/>
      </w:rPr>
    </w:lvl>
    <w:lvl w:ilvl="1">
      <w:start w:val="1"/>
      <w:numFmt w:val="lowerLetter"/>
      <w:lvlText w:val="%2)"/>
      <w:lvlJc w:val="left"/>
      <w:pPr>
        <w:tabs>
          <w:tab w:val="num" w:pos="1701"/>
        </w:tabs>
        <w:ind w:left="1701" w:hanging="567"/>
      </w:pPr>
      <w:rPr>
        <w:rFonts w:cs="Times New Roman" w:hint="default"/>
        <w:b w:val="0"/>
        <w:i w:val="0"/>
        <w:color w:val="000000"/>
      </w:rPr>
    </w:lvl>
    <w:lvl w:ilvl="2">
      <w:start w:val="1"/>
      <w:numFmt w:val="upperRoman"/>
      <w:lvlText w:val="%3."/>
      <w:lvlJc w:val="righ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1"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2" w15:restartNumberingAfterBreak="0">
    <w:nsid w:val="2DA8365D"/>
    <w:multiLevelType w:val="multilevel"/>
    <w:tmpl w:val="07023284"/>
    <w:name w:val="StandardBulletedList"/>
    <w:lvl w:ilvl="0">
      <w:start w:val="1"/>
      <w:numFmt w:val="bullet"/>
      <w:lvlText w:val="•"/>
      <w:lvlJc w:val="left"/>
      <w:pPr>
        <w:tabs>
          <w:tab w:val="num" w:pos="543"/>
        </w:tabs>
        <w:ind w:left="543" w:hanging="543"/>
      </w:pPr>
      <w:rPr>
        <w:rFonts w:ascii="Times New Roman" w:hAnsi="Times New Roman" w:cs="Times New Roman"/>
      </w:rPr>
    </w:lvl>
    <w:lvl w:ilvl="1">
      <w:start w:val="1"/>
      <w:numFmt w:val="bullet"/>
      <w:lvlText w:val="–"/>
      <w:lvlJc w:val="left"/>
      <w:pPr>
        <w:tabs>
          <w:tab w:val="num" w:pos="1086"/>
        </w:tabs>
        <w:ind w:left="1086" w:hanging="543"/>
      </w:pPr>
      <w:rPr>
        <w:rFonts w:ascii="Times New Roman" w:hAnsi="Times New Roman" w:cs="Times New Roman"/>
      </w:rPr>
    </w:lvl>
    <w:lvl w:ilvl="2">
      <w:start w:val="1"/>
      <w:numFmt w:val="bullet"/>
      <w:lvlText w:val=":"/>
      <w:lvlJc w:val="left"/>
      <w:pPr>
        <w:tabs>
          <w:tab w:val="num" w:pos="1629"/>
        </w:tabs>
        <w:ind w:left="1629" w:hanging="543"/>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4"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5" w15:restartNumberingAfterBreak="0">
    <w:nsid w:val="523F0DF8"/>
    <w:multiLevelType w:val="hybridMultilevel"/>
    <w:tmpl w:val="3C62E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CE0768"/>
    <w:multiLevelType w:val="hybridMultilevel"/>
    <w:tmpl w:val="9190AFEA"/>
    <w:lvl w:ilvl="0" w:tplc="0206F444">
      <w:start w:val="1"/>
      <w:numFmt w:val="bullet"/>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8" w15:restartNumberingAfterBreak="0">
    <w:nsid w:val="58A916E4"/>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9" w15:restartNumberingAfterBreak="0">
    <w:nsid w:val="59B70749"/>
    <w:multiLevelType w:val="multilevel"/>
    <w:tmpl w:val="4A2E254C"/>
    <w:lvl w:ilvl="0">
      <w:start w:val="1"/>
      <w:numFmt w:val="lowerLetter"/>
      <w:lvlText w:val="(%1)"/>
      <w:lvlJc w:val="left"/>
      <w:pPr>
        <w:tabs>
          <w:tab w:val="num" w:pos="1701"/>
        </w:tabs>
        <w:ind w:left="1134"/>
      </w:pPr>
      <w:rPr>
        <w:rFonts w:hint="default"/>
        <w:b w:val="0"/>
        <w:i w:val="0"/>
        <w:color w:val="000000"/>
      </w:rPr>
    </w:lvl>
    <w:lvl w:ilvl="1">
      <w:start w:val="1"/>
      <w:numFmt w:val="lowerLetter"/>
      <w:lvlText w:val="%2)"/>
      <w:lvlJc w:val="left"/>
      <w:pPr>
        <w:tabs>
          <w:tab w:val="num" w:pos="1701"/>
        </w:tabs>
        <w:ind w:left="1701" w:hanging="567"/>
      </w:pPr>
      <w:rPr>
        <w:rFonts w:cs="Times New Roman" w:hint="default"/>
        <w:b w:val="0"/>
        <w:i w:val="0"/>
        <w:color w:val="000000"/>
      </w:rPr>
    </w:lvl>
    <w:lvl w:ilvl="2">
      <w:start w:val="1"/>
      <w:numFmt w:val="upperRoman"/>
      <w:lvlText w:val="%3."/>
      <w:lvlJc w:val="righ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0" w15:restartNumberingAfterBreak="0">
    <w:nsid w:val="5DBA727D"/>
    <w:multiLevelType w:val="hybridMultilevel"/>
    <w:tmpl w:val="06263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2"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3"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4" w15:restartNumberingAfterBreak="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E93058"/>
    <w:multiLevelType w:val="hybridMultilevel"/>
    <w:tmpl w:val="C014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0E43A1"/>
    <w:multiLevelType w:val="multilevel"/>
    <w:tmpl w:val="B4ACC550"/>
    <w:lvl w:ilvl="0">
      <w:start w:val="1"/>
      <w:numFmt w:val="lowerLetter"/>
      <w:lvlText w:val="(%1)"/>
      <w:lvlJc w:val="left"/>
      <w:pPr>
        <w:tabs>
          <w:tab w:val="num" w:pos="1701"/>
        </w:tabs>
        <w:ind w:left="1134"/>
      </w:pPr>
      <w:rPr>
        <w:rFonts w:hint="default"/>
        <w:b w:val="0"/>
        <w:i w:val="0"/>
        <w:color w:val="000000"/>
      </w:rPr>
    </w:lvl>
    <w:lvl w:ilvl="1">
      <w:start w:val="1"/>
      <w:numFmt w:val="lowerLetter"/>
      <w:lvlText w:val="%2)"/>
      <w:lvlJc w:val="left"/>
      <w:pPr>
        <w:tabs>
          <w:tab w:val="num" w:pos="1701"/>
        </w:tabs>
        <w:ind w:left="1701" w:hanging="567"/>
      </w:pPr>
      <w:rPr>
        <w:rFonts w:cs="Times New Roman" w:hint="default"/>
        <w:b w:val="0"/>
        <w:i w:val="0"/>
        <w:color w:val="000000"/>
      </w:rPr>
    </w:lvl>
    <w:lvl w:ilvl="2">
      <w:start w:val="1"/>
      <w:numFmt w:val="upperRoman"/>
      <w:lvlText w:val="%3."/>
      <w:lvlJc w:val="righ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num w:numId="1">
    <w:abstractNumId w:val="0"/>
  </w:num>
  <w:num w:numId="2">
    <w:abstractNumId w:val="8"/>
  </w:num>
  <w:num w:numId="3">
    <w:abstractNumId w:val="14"/>
  </w:num>
  <w:num w:numId="4">
    <w:abstractNumId w:val="17"/>
  </w:num>
  <w:num w:numId="5">
    <w:abstractNumId w:val="3"/>
  </w:num>
  <w:num w:numId="6">
    <w:abstractNumId w:val="21"/>
  </w:num>
  <w:num w:numId="7">
    <w:abstractNumId w:val="4"/>
  </w:num>
  <w:num w:numId="8">
    <w:abstractNumId w:val="9"/>
  </w:num>
  <w:num w:numId="9">
    <w:abstractNumId w:val="24"/>
  </w:num>
  <w:num w:numId="10">
    <w:abstractNumId w:val="2"/>
  </w:num>
  <w:num w:numId="11">
    <w:abstractNumId w:val="16"/>
  </w:num>
  <w:num w:numId="12">
    <w:abstractNumId w:val="22"/>
  </w:num>
  <w:num w:numId="13">
    <w:abstractNumId w:val="13"/>
  </w:num>
  <w:num w:numId="14">
    <w:abstractNumId w:val="19"/>
  </w:num>
  <w:num w:numId="15">
    <w:abstractNumId w:val="23"/>
  </w:num>
  <w:num w:numId="16">
    <w:abstractNumId w:val="7"/>
  </w:num>
  <w:num w:numId="17">
    <w:abstractNumId w:val="11"/>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8"/>
  </w:num>
  <w:num w:numId="22">
    <w:abstractNumId w:val="10"/>
  </w:num>
  <w:num w:numId="23">
    <w:abstractNumId w:val="20"/>
  </w:num>
  <w:num w:numId="24">
    <w:abstractNumId w:val="25"/>
  </w:num>
  <w:num w:numId="25">
    <w:abstractNumId w:val="15"/>
  </w:num>
  <w:num w:numId="26">
    <w:abstractNumId w:val="1"/>
  </w:num>
  <w:num w:numId="27">
    <w:abstractNumId w:val="5"/>
  </w:num>
  <w:num w:numId="28">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76D9"/>
    <w:rsid w:val="000146AC"/>
    <w:rsid w:val="000178A8"/>
    <w:rsid w:val="00020C10"/>
    <w:rsid w:val="00021708"/>
    <w:rsid w:val="0002237E"/>
    <w:rsid w:val="00022901"/>
    <w:rsid w:val="00030CB2"/>
    <w:rsid w:val="00032280"/>
    <w:rsid w:val="0003411A"/>
    <w:rsid w:val="000343F1"/>
    <w:rsid w:val="00041DE4"/>
    <w:rsid w:val="0004292C"/>
    <w:rsid w:val="00044700"/>
    <w:rsid w:val="00047FAD"/>
    <w:rsid w:val="00053D5D"/>
    <w:rsid w:val="0006051B"/>
    <w:rsid w:val="000614F9"/>
    <w:rsid w:val="00063098"/>
    <w:rsid w:val="0006451A"/>
    <w:rsid w:val="0006551D"/>
    <w:rsid w:val="00065679"/>
    <w:rsid w:val="0007004C"/>
    <w:rsid w:val="000724F6"/>
    <w:rsid w:val="00074611"/>
    <w:rsid w:val="00074A62"/>
    <w:rsid w:val="00081F73"/>
    <w:rsid w:val="00086712"/>
    <w:rsid w:val="00091DF8"/>
    <w:rsid w:val="00093CB6"/>
    <w:rsid w:val="00093DD8"/>
    <w:rsid w:val="00097794"/>
    <w:rsid w:val="00097DE5"/>
    <w:rsid w:val="000A0C9E"/>
    <w:rsid w:val="000A4029"/>
    <w:rsid w:val="000A5191"/>
    <w:rsid w:val="000B0963"/>
    <w:rsid w:val="000B38CF"/>
    <w:rsid w:val="000B4080"/>
    <w:rsid w:val="000B58C4"/>
    <w:rsid w:val="000B7685"/>
    <w:rsid w:val="000C714F"/>
    <w:rsid w:val="000D0A6F"/>
    <w:rsid w:val="000D19D8"/>
    <w:rsid w:val="000D1C37"/>
    <w:rsid w:val="000D3D02"/>
    <w:rsid w:val="000D3FCB"/>
    <w:rsid w:val="000D4377"/>
    <w:rsid w:val="000E075D"/>
    <w:rsid w:val="000E2AF6"/>
    <w:rsid w:val="000E36B7"/>
    <w:rsid w:val="000E3C70"/>
    <w:rsid w:val="000E48C3"/>
    <w:rsid w:val="000F0880"/>
    <w:rsid w:val="000F25D5"/>
    <w:rsid w:val="000F2D23"/>
    <w:rsid w:val="000F6CF6"/>
    <w:rsid w:val="0010379B"/>
    <w:rsid w:val="00103FD6"/>
    <w:rsid w:val="001065EE"/>
    <w:rsid w:val="00107534"/>
    <w:rsid w:val="00107ADB"/>
    <w:rsid w:val="00110F5D"/>
    <w:rsid w:val="001134AC"/>
    <w:rsid w:val="00115166"/>
    <w:rsid w:val="0011535B"/>
    <w:rsid w:val="00115A97"/>
    <w:rsid w:val="00122DBA"/>
    <w:rsid w:val="0012469E"/>
    <w:rsid w:val="001262B5"/>
    <w:rsid w:val="001273A2"/>
    <w:rsid w:val="00131738"/>
    <w:rsid w:val="00132587"/>
    <w:rsid w:val="00134CB9"/>
    <w:rsid w:val="001404A9"/>
    <w:rsid w:val="00140F43"/>
    <w:rsid w:val="00145A14"/>
    <w:rsid w:val="00145D5C"/>
    <w:rsid w:val="0014771E"/>
    <w:rsid w:val="00147F58"/>
    <w:rsid w:val="00151133"/>
    <w:rsid w:val="00160506"/>
    <w:rsid w:val="0016131F"/>
    <w:rsid w:val="001615D2"/>
    <w:rsid w:val="001629FA"/>
    <w:rsid w:val="0016387E"/>
    <w:rsid w:val="00164F03"/>
    <w:rsid w:val="00165197"/>
    <w:rsid w:val="00165CAB"/>
    <w:rsid w:val="00166312"/>
    <w:rsid w:val="001674A3"/>
    <w:rsid w:val="00167BB8"/>
    <w:rsid w:val="00170542"/>
    <w:rsid w:val="00172360"/>
    <w:rsid w:val="00172E3A"/>
    <w:rsid w:val="00173F81"/>
    <w:rsid w:val="00174C2A"/>
    <w:rsid w:val="00175FB9"/>
    <w:rsid w:val="00177A0A"/>
    <w:rsid w:val="00180F76"/>
    <w:rsid w:val="00183928"/>
    <w:rsid w:val="00183EAB"/>
    <w:rsid w:val="00185CC1"/>
    <w:rsid w:val="00187BEB"/>
    <w:rsid w:val="001931E8"/>
    <w:rsid w:val="00194232"/>
    <w:rsid w:val="00194587"/>
    <w:rsid w:val="00196F8C"/>
    <w:rsid w:val="001A1422"/>
    <w:rsid w:val="001A14C1"/>
    <w:rsid w:val="001A1CDC"/>
    <w:rsid w:val="001A2462"/>
    <w:rsid w:val="001A3A9A"/>
    <w:rsid w:val="001A3F52"/>
    <w:rsid w:val="001A4093"/>
    <w:rsid w:val="001A6859"/>
    <w:rsid w:val="001A79C1"/>
    <w:rsid w:val="001A7A15"/>
    <w:rsid w:val="001B0943"/>
    <w:rsid w:val="001B19A0"/>
    <w:rsid w:val="001B1CA3"/>
    <w:rsid w:val="001B447F"/>
    <w:rsid w:val="001B580E"/>
    <w:rsid w:val="001B7933"/>
    <w:rsid w:val="001C346E"/>
    <w:rsid w:val="001C3717"/>
    <w:rsid w:val="001C4623"/>
    <w:rsid w:val="001C5CC5"/>
    <w:rsid w:val="001D2C27"/>
    <w:rsid w:val="001D3CAD"/>
    <w:rsid w:val="001D5097"/>
    <w:rsid w:val="001D6E9A"/>
    <w:rsid w:val="001E20EC"/>
    <w:rsid w:val="001E4479"/>
    <w:rsid w:val="001E6DF2"/>
    <w:rsid w:val="001E7173"/>
    <w:rsid w:val="001E74D0"/>
    <w:rsid w:val="001E7803"/>
    <w:rsid w:val="001F1D48"/>
    <w:rsid w:val="001F6F39"/>
    <w:rsid w:val="001F6FE8"/>
    <w:rsid w:val="0020144E"/>
    <w:rsid w:val="0020483F"/>
    <w:rsid w:val="00205E18"/>
    <w:rsid w:val="00206773"/>
    <w:rsid w:val="002069F9"/>
    <w:rsid w:val="00211D67"/>
    <w:rsid w:val="00212869"/>
    <w:rsid w:val="00221308"/>
    <w:rsid w:val="00222C97"/>
    <w:rsid w:val="00222D6E"/>
    <w:rsid w:val="00225761"/>
    <w:rsid w:val="00233835"/>
    <w:rsid w:val="002353A8"/>
    <w:rsid w:val="00241312"/>
    <w:rsid w:val="00241EE9"/>
    <w:rsid w:val="00243734"/>
    <w:rsid w:val="00244500"/>
    <w:rsid w:val="00247D45"/>
    <w:rsid w:val="00252551"/>
    <w:rsid w:val="002568DD"/>
    <w:rsid w:val="00256CCE"/>
    <w:rsid w:val="00260899"/>
    <w:rsid w:val="00261ABA"/>
    <w:rsid w:val="00262E18"/>
    <w:rsid w:val="00264C7A"/>
    <w:rsid w:val="0026571E"/>
    <w:rsid w:val="00270857"/>
    <w:rsid w:val="00272CFD"/>
    <w:rsid w:val="00281874"/>
    <w:rsid w:val="00282C25"/>
    <w:rsid w:val="00284884"/>
    <w:rsid w:val="00285003"/>
    <w:rsid w:val="0028533D"/>
    <w:rsid w:val="00285ECD"/>
    <w:rsid w:val="002860C9"/>
    <w:rsid w:val="002869F5"/>
    <w:rsid w:val="00287DCC"/>
    <w:rsid w:val="00291CB4"/>
    <w:rsid w:val="00291CF1"/>
    <w:rsid w:val="00292324"/>
    <w:rsid w:val="00292587"/>
    <w:rsid w:val="00292C88"/>
    <w:rsid w:val="002A0A19"/>
    <w:rsid w:val="002A143D"/>
    <w:rsid w:val="002A2629"/>
    <w:rsid w:val="002A2F82"/>
    <w:rsid w:val="002A3DE9"/>
    <w:rsid w:val="002A493A"/>
    <w:rsid w:val="002A530A"/>
    <w:rsid w:val="002A5884"/>
    <w:rsid w:val="002A6981"/>
    <w:rsid w:val="002A6ABE"/>
    <w:rsid w:val="002B1C50"/>
    <w:rsid w:val="002B207C"/>
    <w:rsid w:val="002B39A0"/>
    <w:rsid w:val="002B63F5"/>
    <w:rsid w:val="002B7922"/>
    <w:rsid w:val="002B7E1B"/>
    <w:rsid w:val="002C2529"/>
    <w:rsid w:val="002C2A03"/>
    <w:rsid w:val="002C62B3"/>
    <w:rsid w:val="002C7620"/>
    <w:rsid w:val="002D122C"/>
    <w:rsid w:val="002D7CF9"/>
    <w:rsid w:val="002E144A"/>
    <w:rsid w:val="002E2DE2"/>
    <w:rsid w:val="002E43FB"/>
    <w:rsid w:val="002E4B66"/>
    <w:rsid w:val="002E6D81"/>
    <w:rsid w:val="002F05CD"/>
    <w:rsid w:val="002F2FF6"/>
    <w:rsid w:val="002F40E2"/>
    <w:rsid w:val="002F576E"/>
    <w:rsid w:val="002F596F"/>
    <w:rsid w:val="002F5B29"/>
    <w:rsid w:val="002F5B54"/>
    <w:rsid w:val="002F5C6C"/>
    <w:rsid w:val="002F7E40"/>
    <w:rsid w:val="0030122D"/>
    <w:rsid w:val="003012DA"/>
    <w:rsid w:val="00305CC3"/>
    <w:rsid w:val="00305E06"/>
    <w:rsid w:val="00307C5C"/>
    <w:rsid w:val="00312CFE"/>
    <w:rsid w:val="00313480"/>
    <w:rsid w:val="00313C98"/>
    <w:rsid w:val="00313FD9"/>
    <w:rsid w:val="00314448"/>
    <w:rsid w:val="003155BD"/>
    <w:rsid w:val="003177B9"/>
    <w:rsid w:val="00321E0A"/>
    <w:rsid w:val="00324295"/>
    <w:rsid w:val="00325083"/>
    <w:rsid w:val="0032573F"/>
    <w:rsid w:val="00333506"/>
    <w:rsid w:val="00333ACB"/>
    <w:rsid w:val="00340987"/>
    <w:rsid w:val="00340FD4"/>
    <w:rsid w:val="003410AA"/>
    <w:rsid w:val="003441FD"/>
    <w:rsid w:val="0034465F"/>
    <w:rsid w:val="00346950"/>
    <w:rsid w:val="00352A6B"/>
    <w:rsid w:val="00352EC1"/>
    <w:rsid w:val="00354953"/>
    <w:rsid w:val="0035560B"/>
    <w:rsid w:val="00361054"/>
    <w:rsid w:val="0036119D"/>
    <w:rsid w:val="00361284"/>
    <w:rsid w:val="003637A0"/>
    <w:rsid w:val="00363E32"/>
    <w:rsid w:val="0036474E"/>
    <w:rsid w:val="00364CF3"/>
    <w:rsid w:val="00365CAA"/>
    <w:rsid w:val="003666AC"/>
    <w:rsid w:val="00366E2E"/>
    <w:rsid w:val="00367EAB"/>
    <w:rsid w:val="00371498"/>
    <w:rsid w:val="00372573"/>
    <w:rsid w:val="00374CE5"/>
    <w:rsid w:val="00377AB2"/>
    <w:rsid w:val="0038149A"/>
    <w:rsid w:val="0038546F"/>
    <w:rsid w:val="003870BB"/>
    <w:rsid w:val="003877C3"/>
    <w:rsid w:val="0039283B"/>
    <w:rsid w:val="00395883"/>
    <w:rsid w:val="00396EA4"/>
    <w:rsid w:val="003A2157"/>
    <w:rsid w:val="003A3363"/>
    <w:rsid w:val="003A3905"/>
    <w:rsid w:val="003A3CC1"/>
    <w:rsid w:val="003A6635"/>
    <w:rsid w:val="003A6B0E"/>
    <w:rsid w:val="003A78C6"/>
    <w:rsid w:val="003B019B"/>
    <w:rsid w:val="003B4AEF"/>
    <w:rsid w:val="003B5562"/>
    <w:rsid w:val="003B5833"/>
    <w:rsid w:val="003B6363"/>
    <w:rsid w:val="003B737F"/>
    <w:rsid w:val="003C0CF7"/>
    <w:rsid w:val="003C28A2"/>
    <w:rsid w:val="003C2CA5"/>
    <w:rsid w:val="003C2E5D"/>
    <w:rsid w:val="003C59E0"/>
    <w:rsid w:val="003C64D7"/>
    <w:rsid w:val="003C6F2A"/>
    <w:rsid w:val="003D154E"/>
    <w:rsid w:val="003D743C"/>
    <w:rsid w:val="003E029F"/>
    <w:rsid w:val="003E1E8A"/>
    <w:rsid w:val="003E33BA"/>
    <w:rsid w:val="003E6BA0"/>
    <w:rsid w:val="003E73DB"/>
    <w:rsid w:val="003F0ADC"/>
    <w:rsid w:val="003F2C3E"/>
    <w:rsid w:val="003F3E36"/>
    <w:rsid w:val="003F59E6"/>
    <w:rsid w:val="003F5BE6"/>
    <w:rsid w:val="003F671D"/>
    <w:rsid w:val="003F6C00"/>
    <w:rsid w:val="00406545"/>
    <w:rsid w:val="00407314"/>
    <w:rsid w:val="004120B1"/>
    <w:rsid w:val="004123E6"/>
    <w:rsid w:val="00413A41"/>
    <w:rsid w:val="00413E74"/>
    <w:rsid w:val="0041421D"/>
    <w:rsid w:val="0041490D"/>
    <w:rsid w:val="00414A5C"/>
    <w:rsid w:val="00414B3E"/>
    <w:rsid w:val="004156B4"/>
    <w:rsid w:val="004158E6"/>
    <w:rsid w:val="0041697F"/>
    <w:rsid w:val="00420235"/>
    <w:rsid w:val="00421BCE"/>
    <w:rsid w:val="004223AA"/>
    <w:rsid w:val="00423104"/>
    <w:rsid w:val="004267D3"/>
    <w:rsid w:val="00427E2A"/>
    <w:rsid w:val="00433E65"/>
    <w:rsid w:val="004374B2"/>
    <w:rsid w:val="00442AB8"/>
    <w:rsid w:val="004436EA"/>
    <w:rsid w:val="0044456C"/>
    <w:rsid w:val="00450B39"/>
    <w:rsid w:val="00453241"/>
    <w:rsid w:val="00453BC6"/>
    <w:rsid w:val="00454498"/>
    <w:rsid w:val="00456C59"/>
    <w:rsid w:val="00462848"/>
    <w:rsid w:val="00477931"/>
    <w:rsid w:val="00484569"/>
    <w:rsid w:val="00490198"/>
    <w:rsid w:val="00490A14"/>
    <w:rsid w:val="00490E28"/>
    <w:rsid w:val="004959C7"/>
    <w:rsid w:val="00497362"/>
    <w:rsid w:val="00497C77"/>
    <w:rsid w:val="004A0AE7"/>
    <w:rsid w:val="004A204C"/>
    <w:rsid w:val="004A4CEE"/>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939"/>
    <w:rsid w:val="004B7E5C"/>
    <w:rsid w:val="004C3CC4"/>
    <w:rsid w:val="004C4D5E"/>
    <w:rsid w:val="004C51CD"/>
    <w:rsid w:val="004C6B6D"/>
    <w:rsid w:val="004D11ED"/>
    <w:rsid w:val="004D1AD2"/>
    <w:rsid w:val="004D310E"/>
    <w:rsid w:val="004D37D8"/>
    <w:rsid w:val="004D388D"/>
    <w:rsid w:val="004D4B81"/>
    <w:rsid w:val="004D75CB"/>
    <w:rsid w:val="004E1737"/>
    <w:rsid w:val="004E7BED"/>
    <w:rsid w:val="004F5DCD"/>
    <w:rsid w:val="004F6B2B"/>
    <w:rsid w:val="00500542"/>
    <w:rsid w:val="005005DF"/>
    <w:rsid w:val="00505045"/>
    <w:rsid w:val="00510B96"/>
    <w:rsid w:val="00511501"/>
    <w:rsid w:val="00511B5B"/>
    <w:rsid w:val="00512B16"/>
    <w:rsid w:val="00515AF2"/>
    <w:rsid w:val="0051640E"/>
    <w:rsid w:val="00516741"/>
    <w:rsid w:val="0051684E"/>
    <w:rsid w:val="0052458C"/>
    <w:rsid w:val="00527ABC"/>
    <w:rsid w:val="00533CD2"/>
    <w:rsid w:val="0054193D"/>
    <w:rsid w:val="00542A8C"/>
    <w:rsid w:val="00542D59"/>
    <w:rsid w:val="00543637"/>
    <w:rsid w:val="00545DF7"/>
    <w:rsid w:val="00546241"/>
    <w:rsid w:val="00546562"/>
    <w:rsid w:val="0054667B"/>
    <w:rsid w:val="00546CA2"/>
    <w:rsid w:val="0055056F"/>
    <w:rsid w:val="005539F5"/>
    <w:rsid w:val="0055415C"/>
    <w:rsid w:val="00554AAC"/>
    <w:rsid w:val="0055503F"/>
    <w:rsid w:val="005572D7"/>
    <w:rsid w:val="00561D72"/>
    <w:rsid w:val="005620F2"/>
    <w:rsid w:val="00563797"/>
    <w:rsid w:val="005651B5"/>
    <w:rsid w:val="00566234"/>
    <w:rsid w:val="0057109A"/>
    <w:rsid w:val="0057262B"/>
    <w:rsid w:val="00572CFA"/>
    <w:rsid w:val="005779E6"/>
    <w:rsid w:val="005815B3"/>
    <w:rsid w:val="00582A03"/>
    <w:rsid w:val="0058519F"/>
    <w:rsid w:val="00587E37"/>
    <w:rsid w:val="005925D6"/>
    <w:rsid w:val="0059375E"/>
    <w:rsid w:val="00593821"/>
    <w:rsid w:val="005938C9"/>
    <w:rsid w:val="00596E88"/>
    <w:rsid w:val="00597CBD"/>
    <w:rsid w:val="005A0969"/>
    <w:rsid w:val="005A0A11"/>
    <w:rsid w:val="005A5E7A"/>
    <w:rsid w:val="005B0DEF"/>
    <w:rsid w:val="005B2A03"/>
    <w:rsid w:val="005B4A65"/>
    <w:rsid w:val="005B4C1B"/>
    <w:rsid w:val="005B4E48"/>
    <w:rsid w:val="005C2684"/>
    <w:rsid w:val="005C2DDC"/>
    <w:rsid w:val="005C5620"/>
    <w:rsid w:val="005C578C"/>
    <w:rsid w:val="005C6DF5"/>
    <w:rsid w:val="005D1F0F"/>
    <w:rsid w:val="005D261F"/>
    <w:rsid w:val="005D29DB"/>
    <w:rsid w:val="005D41F9"/>
    <w:rsid w:val="005D5424"/>
    <w:rsid w:val="005E4143"/>
    <w:rsid w:val="005E724B"/>
    <w:rsid w:val="00601F7C"/>
    <w:rsid w:val="00602A48"/>
    <w:rsid w:val="00602EF7"/>
    <w:rsid w:val="00606F11"/>
    <w:rsid w:val="00607B03"/>
    <w:rsid w:val="0061059D"/>
    <w:rsid w:val="0061326F"/>
    <w:rsid w:val="00613C91"/>
    <w:rsid w:val="00614393"/>
    <w:rsid w:val="006146F2"/>
    <w:rsid w:val="006148B0"/>
    <w:rsid w:val="00614C00"/>
    <w:rsid w:val="00614E3D"/>
    <w:rsid w:val="006201B5"/>
    <w:rsid w:val="00623567"/>
    <w:rsid w:val="0062747C"/>
    <w:rsid w:val="006304E4"/>
    <w:rsid w:val="006306CB"/>
    <w:rsid w:val="006333D0"/>
    <w:rsid w:val="006412B5"/>
    <w:rsid w:val="00641932"/>
    <w:rsid w:val="00644083"/>
    <w:rsid w:val="0064429B"/>
    <w:rsid w:val="0064477C"/>
    <w:rsid w:val="00650903"/>
    <w:rsid w:val="0065796C"/>
    <w:rsid w:val="006650A8"/>
    <w:rsid w:val="006679C0"/>
    <w:rsid w:val="00671CEA"/>
    <w:rsid w:val="006741C1"/>
    <w:rsid w:val="00680ED5"/>
    <w:rsid w:val="00681956"/>
    <w:rsid w:val="00682FBA"/>
    <w:rsid w:val="00683370"/>
    <w:rsid w:val="00684EC1"/>
    <w:rsid w:val="006858A8"/>
    <w:rsid w:val="006872A6"/>
    <w:rsid w:val="00687B98"/>
    <w:rsid w:val="006903F9"/>
    <w:rsid w:val="006923C8"/>
    <w:rsid w:val="00693148"/>
    <w:rsid w:val="00696AB4"/>
    <w:rsid w:val="00697494"/>
    <w:rsid w:val="006976BF"/>
    <w:rsid w:val="006A05D7"/>
    <w:rsid w:val="006A4628"/>
    <w:rsid w:val="006A685B"/>
    <w:rsid w:val="006B0CE8"/>
    <w:rsid w:val="006B3F39"/>
    <w:rsid w:val="006B4213"/>
    <w:rsid w:val="006B43AF"/>
    <w:rsid w:val="006B4DF0"/>
    <w:rsid w:val="006C1013"/>
    <w:rsid w:val="006C163A"/>
    <w:rsid w:val="006C228B"/>
    <w:rsid w:val="006C2931"/>
    <w:rsid w:val="006D466E"/>
    <w:rsid w:val="006D4B70"/>
    <w:rsid w:val="006D4C35"/>
    <w:rsid w:val="006D5DB8"/>
    <w:rsid w:val="006D7A92"/>
    <w:rsid w:val="006E159D"/>
    <w:rsid w:val="006E3B48"/>
    <w:rsid w:val="006E4344"/>
    <w:rsid w:val="006E5A10"/>
    <w:rsid w:val="006E6184"/>
    <w:rsid w:val="006E631B"/>
    <w:rsid w:val="006E63C7"/>
    <w:rsid w:val="006E728D"/>
    <w:rsid w:val="006F096A"/>
    <w:rsid w:val="006F22E3"/>
    <w:rsid w:val="006F3095"/>
    <w:rsid w:val="006F5455"/>
    <w:rsid w:val="006F5CB6"/>
    <w:rsid w:val="006F6AD0"/>
    <w:rsid w:val="006F6D6E"/>
    <w:rsid w:val="006F79D3"/>
    <w:rsid w:val="00703194"/>
    <w:rsid w:val="00706E50"/>
    <w:rsid w:val="0070737C"/>
    <w:rsid w:val="00711229"/>
    <w:rsid w:val="00711BAB"/>
    <w:rsid w:val="00714BB1"/>
    <w:rsid w:val="00715018"/>
    <w:rsid w:val="007179FE"/>
    <w:rsid w:val="00717F25"/>
    <w:rsid w:val="007201B1"/>
    <w:rsid w:val="007201D7"/>
    <w:rsid w:val="007244B5"/>
    <w:rsid w:val="007249A1"/>
    <w:rsid w:val="00724E14"/>
    <w:rsid w:val="00725AD5"/>
    <w:rsid w:val="00726DB5"/>
    <w:rsid w:val="00726EB4"/>
    <w:rsid w:val="00731878"/>
    <w:rsid w:val="00731945"/>
    <w:rsid w:val="007363DE"/>
    <w:rsid w:val="0073698D"/>
    <w:rsid w:val="00736C0B"/>
    <w:rsid w:val="007379C7"/>
    <w:rsid w:val="00744D93"/>
    <w:rsid w:val="00746531"/>
    <w:rsid w:val="00750F59"/>
    <w:rsid w:val="00751725"/>
    <w:rsid w:val="00752028"/>
    <w:rsid w:val="00753AF6"/>
    <w:rsid w:val="0075450A"/>
    <w:rsid w:val="0075612D"/>
    <w:rsid w:val="0075717D"/>
    <w:rsid w:val="0076017E"/>
    <w:rsid w:val="00760A29"/>
    <w:rsid w:val="00760DB6"/>
    <w:rsid w:val="0076361C"/>
    <w:rsid w:val="007661AE"/>
    <w:rsid w:val="00766A51"/>
    <w:rsid w:val="00771FFF"/>
    <w:rsid w:val="00772818"/>
    <w:rsid w:val="0077405E"/>
    <w:rsid w:val="0077426E"/>
    <w:rsid w:val="0077685D"/>
    <w:rsid w:val="0077788E"/>
    <w:rsid w:val="0078205C"/>
    <w:rsid w:val="007838C9"/>
    <w:rsid w:val="00784439"/>
    <w:rsid w:val="00787E75"/>
    <w:rsid w:val="00793A7B"/>
    <w:rsid w:val="00797257"/>
    <w:rsid w:val="007A2225"/>
    <w:rsid w:val="007A3157"/>
    <w:rsid w:val="007A3E76"/>
    <w:rsid w:val="007A6926"/>
    <w:rsid w:val="007A6E20"/>
    <w:rsid w:val="007B10ED"/>
    <w:rsid w:val="007B1153"/>
    <w:rsid w:val="007B2230"/>
    <w:rsid w:val="007B2B2E"/>
    <w:rsid w:val="007B3202"/>
    <w:rsid w:val="007B3516"/>
    <w:rsid w:val="007B3BFC"/>
    <w:rsid w:val="007B3D0A"/>
    <w:rsid w:val="007B47EF"/>
    <w:rsid w:val="007B4B03"/>
    <w:rsid w:val="007B7322"/>
    <w:rsid w:val="007C4F31"/>
    <w:rsid w:val="007D4E60"/>
    <w:rsid w:val="007D55BB"/>
    <w:rsid w:val="007D6F72"/>
    <w:rsid w:val="007E514D"/>
    <w:rsid w:val="007E51C2"/>
    <w:rsid w:val="007E5257"/>
    <w:rsid w:val="007E5391"/>
    <w:rsid w:val="007E6CE8"/>
    <w:rsid w:val="007F4B1C"/>
    <w:rsid w:val="007F4EF5"/>
    <w:rsid w:val="007F77BF"/>
    <w:rsid w:val="00804105"/>
    <w:rsid w:val="00806D94"/>
    <w:rsid w:val="00807AD8"/>
    <w:rsid w:val="00811800"/>
    <w:rsid w:val="00812E1C"/>
    <w:rsid w:val="00813CFF"/>
    <w:rsid w:val="008140C5"/>
    <w:rsid w:val="00814590"/>
    <w:rsid w:val="00814667"/>
    <w:rsid w:val="008148E2"/>
    <w:rsid w:val="008149E4"/>
    <w:rsid w:val="008156B7"/>
    <w:rsid w:val="00817D90"/>
    <w:rsid w:val="00822355"/>
    <w:rsid w:val="00822FF0"/>
    <w:rsid w:val="0082332D"/>
    <w:rsid w:val="0082402C"/>
    <w:rsid w:val="0082511E"/>
    <w:rsid w:val="00825FF5"/>
    <w:rsid w:val="008262F1"/>
    <w:rsid w:val="00826CAB"/>
    <w:rsid w:val="008279C2"/>
    <w:rsid w:val="008311FA"/>
    <w:rsid w:val="00831685"/>
    <w:rsid w:val="008317EF"/>
    <w:rsid w:val="00836ABA"/>
    <w:rsid w:val="00845BCC"/>
    <w:rsid w:val="0085046D"/>
    <w:rsid w:val="00851465"/>
    <w:rsid w:val="008514B8"/>
    <w:rsid w:val="00852ED8"/>
    <w:rsid w:val="0085330A"/>
    <w:rsid w:val="008533BE"/>
    <w:rsid w:val="00854F8E"/>
    <w:rsid w:val="008550CA"/>
    <w:rsid w:val="0085533A"/>
    <w:rsid w:val="00855543"/>
    <w:rsid w:val="00855D60"/>
    <w:rsid w:val="0085738D"/>
    <w:rsid w:val="00862395"/>
    <w:rsid w:val="00864DD3"/>
    <w:rsid w:val="008708D6"/>
    <w:rsid w:val="0087229E"/>
    <w:rsid w:val="008728E1"/>
    <w:rsid w:val="00874608"/>
    <w:rsid w:val="008760D0"/>
    <w:rsid w:val="00881317"/>
    <w:rsid w:val="00881548"/>
    <w:rsid w:val="008843EE"/>
    <w:rsid w:val="00892CA4"/>
    <w:rsid w:val="00896477"/>
    <w:rsid w:val="00896A14"/>
    <w:rsid w:val="00896BD6"/>
    <w:rsid w:val="00896F5A"/>
    <w:rsid w:val="008A050B"/>
    <w:rsid w:val="008A1867"/>
    <w:rsid w:val="008A2729"/>
    <w:rsid w:val="008A3C37"/>
    <w:rsid w:val="008A43DE"/>
    <w:rsid w:val="008A5898"/>
    <w:rsid w:val="008A7C2D"/>
    <w:rsid w:val="008B1840"/>
    <w:rsid w:val="008B70D3"/>
    <w:rsid w:val="008B73A2"/>
    <w:rsid w:val="008B7FE2"/>
    <w:rsid w:val="008C0BBA"/>
    <w:rsid w:val="008C2450"/>
    <w:rsid w:val="008C3E92"/>
    <w:rsid w:val="008C6E8C"/>
    <w:rsid w:val="008C7817"/>
    <w:rsid w:val="008C7F5B"/>
    <w:rsid w:val="008D079A"/>
    <w:rsid w:val="008D2F40"/>
    <w:rsid w:val="008D5B52"/>
    <w:rsid w:val="008D657A"/>
    <w:rsid w:val="008D6B65"/>
    <w:rsid w:val="008D7256"/>
    <w:rsid w:val="008E0AD6"/>
    <w:rsid w:val="008E4209"/>
    <w:rsid w:val="008E48FC"/>
    <w:rsid w:val="008E55BD"/>
    <w:rsid w:val="008E7527"/>
    <w:rsid w:val="008E7C6C"/>
    <w:rsid w:val="008F2AD6"/>
    <w:rsid w:val="008F42D4"/>
    <w:rsid w:val="008F44F1"/>
    <w:rsid w:val="008F4BA8"/>
    <w:rsid w:val="008F5C07"/>
    <w:rsid w:val="008F610A"/>
    <w:rsid w:val="008F696D"/>
    <w:rsid w:val="008F7777"/>
    <w:rsid w:val="00901CF5"/>
    <w:rsid w:val="00901F53"/>
    <w:rsid w:val="00904C43"/>
    <w:rsid w:val="00906431"/>
    <w:rsid w:val="009115AF"/>
    <w:rsid w:val="00913276"/>
    <w:rsid w:val="009144F5"/>
    <w:rsid w:val="009154C5"/>
    <w:rsid w:val="009173E1"/>
    <w:rsid w:val="00921471"/>
    <w:rsid w:val="00921663"/>
    <w:rsid w:val="009221DF"/>
    <w:rsid w:val="009223AE"/>
    <w:rsid w:val="009224FD"/>
    <w:rsid w:val="009229AF"/>
    <w:rsid w:val="009279F5"/>
    <w:rsid w:val="0093140E"/>
    <w:rsid w:val="0093296C"/>
    <w:rsid w:val="009329D9"/>
    <w:rsid w:val="0093427A"/>
    <w:rsid w:val="00935CC7"/>
    <w:rsid w:val="00935FF6"/>
    <w:rsid w:val="0094002F"/>
    <w:rsid w:val="0094129D"/>
    <w:rsid w:val="00941BB7"/>
    <w:rsid w:val="00944760"/>
    <w:rsid w:val="00945569"/>
    <w:rsid w:val="009466A9"/>
    <w:rsid w:val="00946A91"/>
    <w:rsid w:val="00946AE5"/>
    <w:rsid w:val="00950865"/>
    <w:rsid w:val="00951BAD"/>
    <w:rsid w:val="0095223D"/>
    <w:rsid w:val="009526E4"/>
    <w:rsid w:val="00953AA1"/>
    <w:rsid w:val="00954B44"/>
    <w:rsid w:val="00955BE6"/>
    <w:rsid w:val="009603D1"/>
    <w:rsid w:val="009641AF"/>
    <w:rsid w:val="009644B8"/>
    <w:rsid w:val="009647D6"/>
    <w:rsid w:val="0096732C"/>
    <w:rsid w:val="009703B6"/>
    <w:rsid w:val="009717A6"/>
    <w:rsid w:val="00971A4C"/>
    <w:rsid w:val="00975EB5"/>
    <w:rsid w:val="00983979"/>
    <w:rsid w:val="00983DC2"/>
    <w:rsid w:val="00983DF0"/>
    <w:rsid w:val="00983EFA"/>
    <w:rsid w:val="00985D98"/>
    <w:rsid w:val="009875E5"/>
    <w:rsid w:val="00995647"/>
    <w:rsid w:val="00996A65"/>
    <w:rsid w:val="0099742A"/>
    <w:rsid w:val="009A0446"/>
    <w:rsid w:val="009A062C"/>
    <w:rsid w:val="009A434D"/>
    <w:rsid w:val="009A48AF"/>
    <w:rsid w:val="009A4E92"/>
    <w:rsid w:val="009A522D"/>
    <w:rsid w:val="009A613C"/>
    <w:rsid w:val="009A64AE"/>
    <w:rsid w:val="009B0C68"/>
    <w:rsid w:val="009B1E6B"/>
    <w:rsid w:val="009B3F77"/>
    <w:rsid w:val="009B5132"/>
    <w:rsid w:val="009B5734"/>
    <w:rsid w:val="009C166A"/>
    <w:rsid w:val="009C2059"/>
    <w:rsid w:val="009C6FFB"/>
    <w:rsid w:val="009C7EF5"/>
    <w:rsid w:val="009D0C93"/>
    <w:rsid w:val="009D2FAC"/>
    <w:rsid w:val="009E07DF"/>
    <w:rsid w:val="009E093C"/>
    <w:rsid w:val="009E1311"/>
    <w:rsid w:val="009E151E"/>
    <w:rsid w:val="009E297B"/>
    <w:rsid w:val="009E3305"/>
    <w:rsid w:val="009E3ACF"/>
    <w:rsid w:val="009E5DB6"/>
    <w:rsid w:val="009F120C"/>
    <w:rsid w:val="009F1600"/>
    <w:rsid w:val="009F4084"/>
    <w:rsid w:val="009F777E"/>
    <w:rsid w:val="009F7F52"/>
    <w:rsid w:val="00A00310"/>
    <w:rsid w:val="00A0202C"/>
    <w:rsid w:val="00A0227E"/>
    <w:rsid w:val="00A05459"/>
    <w:rsid w:val="00A05C1E"/>
    <w:rsid w:val="00A0603F"/>
    <w:rsid w:val="00A06051"/>
    <w:rsid w:val="00A112E6"/>
    <w:rsid w:val="00A14966"/>
    <w:rsid w:val="00A159B9"/>
    <w:rsid w:val="00A15CAB"/>
    <w:rsid w:val="00A16E8F"/>
    <w:rsid w:val="00A17CCB"/>
    <w:rsid w:val="00A201DE"/>
    <w:rsid w:val="00A211A9"/>
    <w:rsid w:val="00A235E5"/>
    <w:rsid w:val="00A2422A"/>
    <w:rsid w:val="00A24D3F"/>
    <w:rsid w:val="00A25265"/>
    <w:rsid w:val="00A26FC8"/>
    <w:rsid w:val="00A303A1"/>
    <w:rsid w:val="00A374D1"/>
    <w:rsid w:val="00A40548"/>
    <w:rsid w:val="00A42386"/>
    <w:rsid w:val="00A42F83"/>
    <w:rsid w:val="00A4691A"/>
    <w:rsid w:val="00A50751"/>
    <w:rsid w:val="00A50E72"/>
    <w:rsid w:val="00A54B81"/>
    <w:rsid w:val="00A54BE7"/>
    <w:rsid w:val="00A55417"/>
    <w:rsid w:val="00A564EB"/>
    <w:rsid w:val="00A6500A"/>
    <w:rsid w:val="00A65333"/>
    <w:rsid w:val="00A6719E"/>
    <w:rsid w:val="00A72E5F"/>
    <w:rsid w:val="00A739F1"/>
    <w:rsid w:val="00A758DE"/>
    <w:rsid w:val="00A8189A"/>
    <w:rsid w:val="00A81C2E"/>
    <w:rsid w:val="00A81EC4"/>
    <w:rsid w:val="00A83B8E"/>
    <w:rsid w:val="00A8478F"/>
    <w:rsid w:val="00A84D06"/>
    <w:rsid w:val="00A858C4"/>
    <w:rsid w:val="00A9141E"/>
    <w:rsid w:val="00A9341B"/>
    <w:rsid w:val="00A96ED5"/>
    <w:rsid w:val="00A974CA"/>
    <w:rsid w:val="00A97E12"/>
    <w:rsid w:val="00AA2CD5"/>
    <w:rsid w:val="00AA300C"/>
    <w:rsid w:val="00AA3794"/>
    <w:rsid w:val="00AA4F6C"/>
    <w:rsid w:val="00AB16AE"/>
    <w:rsid w:val="00AB255A"/>
    <w:rsid w:val="00AB392A"/>
    <w:rsid w:val="00AB4CAD"/>
    <w:rsid w:val="00AB5801"/>
    <w:rsid w:val="00AB5A64"/>
    <w:rsid w:val="00AB71A5"/>
    <w:rsid w:val="00AB76C6"/>
    <w:rsid w:val="00AB79E9"/>
    <w:rsid w:val="00AC4635"/>
    <w:rsid w:val="00AC5567"/>
    <w:rsid w:val="00AD04F4"/>
    <w:rsid w:val="00AD576C"/>
    <w:rsid w:val="00AD670F"/>
    <w:rsid w:val="00AD6C71"/>
    <w:rsid w:val="00AD7290"/>
    <w:rsid w:val="00AD7B27"/>
    <w:rsid w:val="00AE1E4B"/>
    <w:rsid w:val="00AE1E54"/>
    <w:rsid w:val="00AE2AFD"/>
    <w:rsid w:val="00AE2BEE"/>
    <w:rsid w:val="00AE42BF"/>
    <w:rsid w:val="00AE4372"/>
    <w:rsid w:val="00AE478A"/>
    <w:rsid w:val="00AE485E"/>
    <w:rsid w:val="00AE75CE"/>
    <w:rsid w:val="00AF0C8D"/>
    <w:rsid w:val="00AF4916"/>
    <w:rsid w:val="00B00778"/>
    <w:rsid w:val="00B03B9D"/>
    <w:rsid w:val="00B04E8C"/>
    <w:rsid w:val="00B04F9A"/>
    <w:rsid w:val="00B050C0"/>
    <w:rsid w:val="00B05642"/>
    <w:rsid w:val="00B06097"/>
    <w:rsid w:val="00B074A1"/>
    <w:rsid w:val="00B10045"/>
    <w:rsid w:val="00B100DF"/>
    <w:rsid w:val="00B10CAE"/>
    <w:rsid w:val="00B12190"/>
    <w:rsid w:val="00B1246A"/>
    <w:rsid w:val="00B1294B"/>
    <w:rsid w:val="00B134E6"/>
    <w:rsid w:val="00B137C3"/>
    <w:rsid w:val="00B14795"/>
    <w:rsid w:val="00B171BB"/>
    <w:rsid w:val="00B2247A"/>
    <w:rsid w:val="00B23ED2"/>
    <w:rsid w:val="00B31ED5"/>
    <w:rsid w:val="00B32411"/>
    <w:rsid w:val="00B34758"/>
    <w:rsid w:val="00B36551"/>
    <w:rsid w:val="00B36E9E"/>
    <w:rsid w:val="00B40E38"/>
    <w:rsid w:val="00B45C9E"/>
    <w:rsid w:val="00B47600"/>
    <w:rsid w:val="00B47C62"/>
    <w:rsid w:val="00B51ACE"/>
    <w:rsid w:val="00B619AA"/>
    <w:rsid w:val="00B623D7"/>
    <w:rsid w:val="00B654BE"/>
    <w:rsid w:val="00B66E7A"/>
    <w:rsid w:val="00B67FFA"/>
    <w:rsid w:val="00B70A12"/>
    <w:rsid w:val="00B74FF6"/>
    <w:rsid w:val="00B75CC7"/>
    <w:rsid w:val="00B76DCF"/>
    <w:rsid w:val="00B8096A"/>
    <w:rsid w:val="00B90585"/>
    <w:rsid w:val="00B90A56"/>
    <w:rsid w:val="00B914DA"/>
    <w:rsid w:val="00B91564"/>
    <w:rsid w:val="00B9206A"/>
    <w:rsid w:val="00B9279E"/>
    <w:rsid w:val="00B951B1"/>
    <w:rsid w:val="00BA1CFA"/>
    <w:rsid w:val="00BA2EB4"/>
    <w:rsid w:val="00BA4284"/>
    <w:rsid w:val="00BB40F4"/>
    <w:rsid w:val="00BB45A0"/>
    <w:rsid w:val="00BC1029"/>
    <w:rsid w:val="00BC2720"/>
    <w:rsid w:val="00BC4728"/>
    <w:rsid w:val="00BC4BF4"/>
    <w:rsid w:val="00BC60B3"/>
    <w:rsid w:val="00BC7017"/>
    <w:rsid w:val="00BC7BCA"/>
    <w:rsid w:val="00BD2253"/>
    <w:rsid w:val="00BD7496"/>
    <w:rsid w:val="00BE042D"/>
    <w:rsid w:val="00BE282C"/>
    <w:rsid w:val="00BE28F3"/>
    <w:rsid w:val="00BE4802"/>
    <w:rsid w:val="00BE7212"/>
    <w:rsid w:val="00BF0D7C"/>
    <w:rsid w:val="00BF331F"/>
    <w:rsid w:val="00BF551B"/>
    <w:rsid w:val="00BF5B25"/>
    <w:rsid w:val="00C00979"/>
    <w:rsid w:val="00C00FDC"/>
    <w:rsid w:val="00C04C64"/>
    <w:rsid w:val="00C053A4"/>
    <w:rsid w:val="00C05CC6"/>
    <w:rsid w:val="00C068C7"/>
    <w:rsid w:val="00C073C2"/>
    <w:rsid w:val="00C11A8E"/>
    <w:rsid w:val="00C134B5"/>
    <w:rsid w:val="00C13C12"/>
    <w:rsid w:val="00C160F4"/>
    <w:rsid w:val="00C1610D"/>
    <w:rsid w:val="00C203B8"/>
    <w:rsid w:val="00C20641"/>
    <w:rsid w:val="00C20F99"/>
    <w:rsid w:val="00C2120D"/>
    <w:rsid w:val="00C215E7"/>
    <w:rsid w:val="00C22316"/>
    <w:rsid w:val="00C233E9"/>
    <w:rsid w:val="00C2605C"/>
    <w:rsid w:val="00C26C5B"/>
    <w:rsid w:val="00C2711B"/>
    <w:rsid w:val="00C303B4"/>
    <w:rsid w:val="00C31B4B"/>
    <w:rsid w:val="00C3327A"/>
    <w:rsid w:val="00C35BA3"/>
    <w:rsid w:val="00C40D37"/>
    <w:rsid w:val="00C40EBC"/>
    <w:rsid w:val="00C41265"/>
    <w:rsid w:val="00C4202E"/>
    <w:rsid w:val="00C42ACA"/>
    <w:rsid w:val="00C51308"/>
    <w:rsid w:val="00C51F78"/>
    <w:rsid w:val="00C5379A"/>
    <w:rsid w:val="00C539F8"/>
    <w:rsid w:val="00C53A47"/>
    <w:rsid w:val="00C53CB7"/>
    <w:rsid w:val="00C5799A"/>
    <w:rsid w:val="00C57BB9"/>
    <w:rsid w:val="00C606F6"/>
    <w:rsid w:val="00C6082E"/>
    <w:rsid w:val="00C61699"/>
    <w:rsid w:val="00C62964"/>
    <w:rsid w:val="00C62B02"/>
    <w:rsid w:val="00C64908"/>
    <w:rsid w:val="00C661F5"/>
    <w:rsid w:val="00C705B5"/>
    <w:rsid w:val="00C7093C"/>
    <w:rsid w:val="00C723CD"/>
    <w:rsid w:val="00C738BD"/>
    <w:rsid w:val="00C75D40"/>
    <w:rsid w:val="00C83627"/>
    <w:rsid w:val="00C85BCC"/>
    <w:rsid w:val="00C85E44"/>
    <w:rsid w:val="00C86851"/>
    <w:rsid w:val="00C92F94"/>
    <w:rsid w:val="00C958B2"/>
    <w:rsid w:val="00C95D81"/>
    <w:rsid w:val="00C960AA"/>
    <w:rsid w:val="00C964C5"/>
    <w:rsid w:val="00C975E6"/>
    <w:rsid w:val="00CA121E"/>
    <w:rsid w:val="00CA2562"/>
    <w:rsid w:val="00CA501D"/>
    <w:rsid w:val="00CA55C4"/>
    <w:rsid w:val="00CB06FC"/>
    <w:rsid w:val="00CB1789"/>
    <w:rsid w:val="00CB1CB2"/>
    <w:rsid w:val="00CB2557"/>
    <w:rsid w:val="00CB44C4"/>
    <w:rsid w:val="00CB47FE"/>
    <w:rsid w:val="00CB4D35"/>
    <w:rsid w:val="00CB53D2"/>
    <w:rsid w:val="00CB6703"/>
    <w:rsid w:val="00CC39B1"/>
    <w:rsid w:val="00CC3D90"/>
    <w:rsid w:val="00CD526B"/>
    <w:rsid w:val="00CD5B93"/>
    <w:rsid w:val="00CD7039"/>
    <w:rsid w:val="00CE0455"/>
    <w:rsid w:val="00CE2698"/>
    <w:rsid w:val="00CE3B32"/>
    <w:rsid w:val="00CE4A24"/>
    <w:rsid w:val="00CE613B"/>
    <w:rsid w:val="00CE7403"/>
    <w:rsid w:val="00CF0826"/>
    <w:rsid w:val="00CF0D8A"/>
    <w:rsid w:val="00CF267F"/>
    <w:rsid w:val="00CF400F"/>
    <w:rsid w:val="00CF57FB"/>
    <w:rsid w:val="00CF7DA0"/>
    <w:rsid w:val="00D0312C"/>
    <w:rsid w:val="00D04614"/>
    <w:rsid w:val="00D069BE"/>
    <w:rsid w:val="00D10791"/>
    <w:rsid w:val="00D1277A"/>
    <w:rsid w:val="00D1723F"/>
    <w:rsid w:val="00D22977"/>
    <w:rsid w:val="00D26B64"/>
    <w:rsid w:val="00D30AA4"/>
    <w:rsid w:val="00D30CE5"/>
    <w:rsid w:val="00D3104B"/>
    <w:rsid w:val="00D311EA"/>
    <w:rsid w:val="00D3674A"/>
    <w:rsid w:val="00D40383"/>
    <w:rsid w:val="00D4085D"/>
    <w:rsid w:val="00D428F4"/>
    <w:rsid w:val="00D4294B"/>
    <w:rsid w:val="00D434F3"/>
    <w:rsid w:val="00D46E83"/>
    <w:rsid w:val="00D51386"/>
    <w:rsid w:val="00D51C6F"/>
    <w:rsid w:val="00D52914"/>
    <w:rsid w:val="00D536DB"/>
    <w:rsid w:val="00D5485B"/>
    <w:rsid w:val="00D54EA1"/>
    <w:rsid w:val="00D5659D"/>
    <w:rsid w:val="00D57346"/>
    <w:rsid w:val="00D61911"/>
    <w:rsid w:val="00D62258"/>
    <w:rsid w:val="00D625A7"/>
    <w:rsid w:val="00D62E0E"/>
    <w:rsid w:val="00D677F9"/>
    <w:rsid w:val="00D702F1"/>
    <w:rsid w:val="00D712E5"/>
    <w:rsid w:val="00D729FA"/>
    <w:rsid w:val="00D7336A"/>
    <w:rsid w:val="00D73591"/>
    <w:rsid w:val="00D802FC"/>
    <w:rsid w:val="00D8532B"/>
    <w:rsid w:val="00D85463"/>
    <w:rsid w:val="00D917A5"/>
    <w:rsid w:val="00D91A55"/>
    <w:rsid w:val="00D91A75"/>
    <w:rsid w:val="00D92E38"/>
    <w:rsid w:val="00D97373"/>
    <w:rsid w:val="00D973A5"/>
    <w:rsid w:val="00D97734"/>
    <w:rsid w:val="00DA205D"/>
    <w:rsid w:val="00DA22FD"/>
    <w:rsid w:val="00DA315A"/>
    <w:rsid w:val="00DA4A91"/>
    <w:rsid w:val="00DA69BF"/>
    <w:rsid w:val="00DA7233"/>
    <w:rsid w:val="00DA76E3"/>
    <w:rsid w:val="00DB22A3"/>
    <w:rsid w:val="00DB2C4C"/>
    <w:rsid w:val="00DB511E"/>
    <w:rsid w:val="00DC4D62"/>
    <w:rsid w:val="00DC50E5"/>
    <w:rsid w:val="00DC76C7"/>
    <w:rsid w:val="00DD01D1"/>
    <w:rsid w:val="00DD125B"/>
    <w:rsid w:val="00DD6C4A"/>
    <w:rsid w:val="00DE311A"/>
    <w:rsid w:val="00DE36EB"/>
    <w:rsid w:val="00DE4A6C"/>
    <w:rsid w:val="00DE64C1"/>
    <w:rsid w:val="00DE6E68"/>
    <w:rsid w:val="00DE7EBC"/>
    <w:rsid w:val="00DF06CD"/>
    <w:rsid w:val="00DF1F9E"/>
    <w:rsid w:val="00DF314D"/>
    <w:rsid w:val="00DF5BAB"/>
    <w:rsid w:val="00DF6CE7"/>
    <w:rsid w:val="00E05AE1"/>
    <w:rsid w:val="00E069C2"/>
    <w:rsid w:val="00E10555"/>
    <w:rsid w:val="00E11087"/>
    <w:rsid w:val="00E16E0A"/>
    <w:rsid w:val="00E204BB"/>
    <w:rsid w:val="00E206A1"/>
    <w:rsid w:val="00E220BC"/>
    <w:rsid w:val="00E23E43"/>
    <w:rsid w:val="00E252A7"/>
    <w:rsid w:val="00E31096"/>
    <w:rsid w:val="00E33938"/>
    <w:rsid w:val="00E33F03"/>
    <w:rsid w:val="00E354D8"/>
    <w:rsid w:val="00E3658A"/>
    <w:rsid w:val="00E3706A"/>
    <w:rsid w:val="00E3738B"/>
    <w:rsid w:val="00E37446"/>
    <w:rsid w:val="00E37730"/>
    <w:rsid w:val="00E4099E"/>
    <w:rsid w:val="00E456AA"/>
    <w:rsid w:val="00E5201F"/>
    <w:rsid w:val="00E579FF"/>
    <w:rsid w:val="00E57FB2"/>
    <w:rsid w:val="00E63D84"/>
    <w:rsid w:val="00E66378"/>
    <w:rsid w:val="00E6698B"/>
    <w:rsid w:val="00E7195E"/>
    <w:rsid w:val="00E72F4A"/>
    <w:rsid w:val="00E7467D"/>
    <w:rsid w:val="00E74B20"/>
    <w:rsid w:val="00E81AC0"/>
    <w:rsid w:val="00E82115"/>
    <w:rsid w:val="00E8281C"/>
    <w:rsid w:val="00E83254"/>
    <w:rsid w:val="00E832FF"/>
    <w:rsid w:val="00E83448"/>
    <w:rsid w:val="00E838D3"/>
    <w:rsid w:val="00E90BF8"/>
    <w:rsid w:val="00E92BD3"/>
    <w:rsid w:val="00E92C8A"/>
    <w:rsid w:val="00E9346D"/>
    <w:rsid w:val="00E9533F"/>
    <w:rsid w:val="00E95AEE"/>
    <w:rsid w:val="00E96B12"/>
    <w:rsid w:val="00E970C7"/>
    <w:rsid w:val="00EA1E95"/>
    <w:rsid w:val="00EA21BF"/>
    <w:rsid w:val="00EA246A"/>
    <w:rsid w:val="00EA25A6"/>
    <w:rsid w:val="00EA5254"/>
    <w:rsid w:val="00EA594C"/>
    <w:rsid w:val="00EA7329"/>
    <w:rsid w:val="00EA7A1C"/>
    <w:rsid w:val="00EB5170"/>
    <w:rsid w:val="00EB7EDA"/>
    <w:rsid w:val="00EC2A52"/>
    <w:rsid w:val="00EC3E78"/>
    <w:rsid w:val="00EC5206"/>
    <w:rsid w:val="00EC5D22"/>
    <w:rsid w:val="00EC6437"/>
    <w:rsid w:val="00EC721F"/>
    <w:rsid w:val="00ED0175"/>
    <w:rsid w:val="00ED0AC8"/>
    <w:rsid w:val="00ED2AC4"/>
    <w:rsid w:val="00ED4036"/>
    <w:rsid w:val="00ED5253"/>
    <w:rsid w:val="00EE041B"/>
    <w:rsid w:val="00EE57AC"/>
    <w:rsid w:val="00EE6603"/>
    <w:rsid w:val="00EE7013"/>
    <w:rsid w:val="00EE74C4"/>
    <w:rsid w:val="00EE7D29"/>
    <w:rsid w:val="00EF33DE"/>
    <w:rsid w:val="00EF6486"/>
    <w:rsid w:val="00EF72D4"/>
    <w:rsid w:val="00F00B42"/>
    <w:rsid w:val="00F03BF8"/>
    <w:rsid w:val="00F11A23"/>
    <w:rsid w:val="00F11DDE"/>
    <w:rsid w:val="00F120E6"/>
    <w:rsid w:val="00F12ACD"/>
    <w:rsid w:val="00F16589"/>
    <w:rsid w:val="00F16639"/>
    <w:rsid w:val="00F2068C"/>
    <w:rsid w:val="00F234AB"/>
    <w:rsid w:val="00F24478"/>
    <w:rsid w:val="00F31DE0"/>
    <w:rsid w:val="00F3245D"/>
    <w:rsid w:val="00F34E70"/>
    <w:rsid w:val="00F37BE0"/>
    <w:rsid w:val="00F4377A"/>
    <w:rsid w:val="00F46237"/>
    <w:rsid w:val="00F47765"/>
    <w:rsid w:val="00F501C6"/>
    <w:rsid w:val="00F57A91"/>
    <w:rsid w:val="00F624B5"/>
    <w:rsid w:val="00F630DB"/>
    <w:rsid w:val="00F630EF"/>
    <w:rsid w:val="00F6403E"/>
    <w:rsid w:val="00F66954"/>
    <w:rsid w:val="00F71346"/>
    <w:rsid w:val="00F715F2"/>
    <w:rsid w:val="00F730C7"/>
    <w:rsid w:val="00F76C87"/>
    <w:rsid w:val="00F772DE"/>
    <w:rsid w:val="00F802BF"/>
    <w:rsid w:val="00F80545"/>
    <w:rsid w:val="00F8684A"/>
    <w:rsid w:val="00F94C3D"/>
    <w:rsid w:val="00F95D26"/>
    <w:rsid w:val="00F979C5"/>
    <w:rsid w:val="00FA0CBF"/>
    <w:rsid w:val="00FA0E45"/>
    <w:rsid w:val="00FA2EC0"/>
    <w:rsid w:val="00FA4E87"/>
    <w:rsid w:val="00FA64FD"/>
    <w:rsid w:val="00FA6B28"/>
    <w:rsid w:val="00FA75BB"/>
    <w:rsid w:val="00FB20C7"/>
    <w:rsid w:val="00FB4200"/>
    <w:rsid w:val="00FB5750"/>
    <w:rsid w:val="00FB5A31"/>
    <w:rsid w:val="00FB6A2E"/>
    <w:rsid w:val="00FC055C"/>
    <w:rsid w:val="00FC1CFC"/>
    <w:rsid w:val="00FD4437"/>
    <w:rsid w:val="00FD7D94"/>
    <w:rsid w:val="00FE06AF"/>
    <w:rsid w:val="00FE13D7"/>
    <w:rsid w:val="00FE26A5"/>
    <w:rsid w:val="00FE347C"/>
    <w:rsid w:val="00FE4A16"/>
    <w:rsid w:val="00FE56D1"/>
    <w:rsid w:val="00FE6B67"/>
    <w:rsid w:val="00FF2CCE"/>
    <w:rsid w:val="00FF5029"/>
    <w:rsid w:val="00FF636B"/>
    <w:rsid w:val="00FF6700"/>
    <w:rsid w:val="00FF678A"/>
    <w:rsid w:val="00FF73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3768FDEB"/>
  <w14:defaultImageDpi w14:val="96"/>
  <w15:docId w15:val="{8D69197B-FFAA-4099-A52F-A9554C01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6D1"/>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850"/>
      </w:tabs>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0"/>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7"/>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tabs>
        <w:tab w:val="clear" w:pos="283"/>
        <w:tab w:val="clear" w:pos="567"/>
        <w:tab w:val="clear" w:pos="1134"/>
      </w:tabs>
      <w:ind w:left="1560" w:firstLine="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3"/>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8"/>
      </w:numPr>
    </w:pPr>
  </w:style>
  <w:style w:type="paragraph" w:customStyle="1" w:styleId="AgreementParties">
    <w:name w:val="AgreementParties"/>
    <w:rsid w:val="00D51386"/>
    <w:pPr>
      <w:tabs>
        <w:tab w:val="num" w:pos="283"/>
        <w:tab w:val="num" w:pos="567"/>
        <w:tab w:val="num" w:pos="1418"/>
        <w:tab w:val="num" w:pos="1701"/>
      </w:tabs>
      <w:spacing w:before="120" w:after="120"/>
      <w:ind w:left="567" w:hanging="567"/>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7"/>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B074A1"/>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08414">
      <w:marLeft w:val="0"/>
      <w:marRight w:val="0"/>
      <w:marTop w:val="0"/>
      <w:marBottom w:val="0"/>
      <w:divBdr>
        <w:top w:val="none" w:sz="0" w:space="0" w:color="auto"/>
        <w:left w:val="none" w:sz="0" w:space="0" w:color="auto"/>
        <w:bottom w:val="none" w:sz="0" w:space="0" w:color="auto"/>
        <w:right w:val="none" w:sz="0" w:space="0" w:color="auto"/>
      </w:divBdr>
    </w:div>
    <w:div w:id="544408415">
      <w:marLeft w:val="0"/>
      <w:marRight w:val="0"/>
      <w:marTop w:val="0"/>
      <w:marBottom w:val="0"/>
      <w:divBdr>
        <w:top w:val="none" w:sz="0" w:space="0" w:color="auto"/>
        <w:left w:val="none" w:sz="0" w:space="0" w:color="auto"/>
        <w:bottom w:val="none" w:sz="0" w:space="0" w:color="auto"/>
        <w:right w:val="none" w:sz="0" w:space="0" w:color="auto"/>
      </w:divBdr>
    </w:div>
    <w:div w:id="544408416">
      <w:marLeft w:val="0"/>
      <w:marRight w:val="0"/>
      <w:marTop w:val="0"/>
      <w:marBottom w:val="0"/>
      <w:divBdr>
        <w:top w:val="none" w:sz="0" w:space="0" w:color="auto"/>
        <w:left w:val="none" w:sz="0" w:space="0" w:color="auto"/>
        <w:bottom w:val="none" w:sz="0" w:space="0" w:color="auto"/>
        <w:right w:val="none" w:sz="0" w:space="0" w:color="auto"/>
      </w:divBdr>
    </w:div>
    <w:div w:id="544408417">
      <w:marLeft w:val="0"/>
      <w:marRight w:val="0"/>
      <w:marTop w:val="0"/>
      <w:marBottom w:val="0"/>
      <w:divBdr>
        <w:top w:val="none" w:sz="0" w:space="0" w:color="auto"/>
        <w:left w:val="none" w:sz="0" w:space="0" w:color="auto"/>
        <w:bottom w:val="none" w:sz="0" w:space="0" w:color="auto"/>
        <w:right w:val="none" w:sz="0" w:space="0" w:color="auto"/>
      </w:divBdr>
    </w:div>
    <w:div w:id="544408418">
      <w:marLeft w:val="0"/>
      <w:marRight w:val="0"/>
      <w:marTop w:val="0"/>
      <w:marBottom w:val="0"/>
      <w:divBdr>
        <w:top w:val="none" w:sz="0" w:space="0" w:color="auto"/>
        <w:left w:val="none" w:sz="0" w:space="0" w:color="auto"/>
        <w:bottom w:val="none" w:sz="0" w:space="0" w:color="auto"/>
        <w:right w:val="none" w:sz="0" w:space="0" w:color="auto"/>
      </w:divBdr>
    </w:div>
    <w:div w:id="544408419">
      <w:marLeft w:val="0"/>
      <w:marRight w:val="0"/>
      <w:marTop w:val="0"/>
      <w:marBottom w:val="0"/>
      <w:divBdr>
        <w:top w:val="none" w:sz="0" w:space="0" w:color="auto"/>
        <w:left w:val="none" w:sz="0" w:space="0" w:color="auto"/>
        <w:bottom w:val="none" w:sz="0" w:space="0" w:color="auto"/>
        <w:right w:val="none" w:sz="0" w:space="0" w:color="auto"/>
      </w:divBdr>
    </w:div>
    <w:div w:id="1231189842">
      <w:marLeft w:val="0"/>
      <w:marRight w:val="0"/>
      <w:marTop w:val="0"/>
      <w:marBottom w:val="0"/>
      <w:divBdr>
        <w:top w:val="none" w:sz="0" w:space="0" w:color="auto"/>
        <w:left w:val="none" w:sz="0" w:space="0" w:color="auto"/>
        <w:bottom w:val="none" w:sz="0" w:space="0" w:color="auto"/>
        <w:right w:val="none" w:sz="0" w:space="0" w:color="auto"/>
      </w:divBdr>
    </w:div>
    <w:div w:id="1231189843">
      <w:marLeft w:val="0"/>
      <w:marRight w:val="0"/>
      <w:marTop w:val="0"/>
      <w:marBottom w:val="0"/>
      <w:divBdr>
        <w:top w:val="none" w:sz="0" w:space="0" w:color="auto"/>
        <w:left w:val="none" w:sz="0" w:space="0" w:color="auto"/>
        <w:bottom w:val="none" w:sz="0" w:space="0" w:color="auto"/>
        <w:right w:val="none" w:sz="0" w:space="0" w:color="auto"/>
      </w:divBdr>
    </w:div>
    <w:div w:id="1231189844">
      <w:marLeft w:val="0"/>
      <w:marRight w:val="0"/>
      <w:marTop w:val="0"/>
      <w:marBottom w:val="0"/>
      <w:divBdr>
        <w:top w:val="none" w:sz="0" w:space="0" w:color="auto"/>
        <w:left w:val="none" w:sz="0" w:space="0" w:color="auto"/>
        <w:bottom w:val="none" w:sz="0" w:space="0" w:color="auto"/>
        <w:right w:val="none" w:sz="0" w:space="0" w:color="auto"/>
      </w:divBdr>
    </w:div>
    <w:div w:id="1231189845">
      <w:marLeft w:val="0"/>
      <w:marRight w:val="0"/>
      <w:marTop w:val="0"/>
      <w:marBottom w:val="0"/>
      <w:divBdr>
        <w:top w:val="none" w:sz="0" w:space="0" w:color="auto"/>
        <w:left w:val="none" w:sz="0" w:space="0" w:color="auto"/>
        <w:bottom w:val="none" w:sz="0" w:space="0" w:color="auto"/>
        <w:right w:val="none" w:sz="0" w:space="0" w:color="auto"/>
      </w:divBdr>
    </w:div>
    <w:div w:id="1231189846">
      <w:marLeft w:val="0"/>
      <w:marRight w:val="0"/>
      <w:marTop w:val="0"/>
      <w:marBottom w:val="0"/>
      <w:divBdr>
        <w:top w:val="none" w:sz="0" w:space="0" w:color="auto"/>
        <w:left w:val="none" w:sz="0" w:space="0" w:color="auto"/>
        <w:bottom w:val="none" w:sz="0" w:space="0" w:color="auto"/>
        <w:right w:val="none" w:sz="0" w:space="0" w:color="auto"/>
      </w:divBdr>
    </w:div>
    <w:div w:id="1231189847">
      <w:marLeft w:val="0"/>
      <w:marRight w:val="0"/>
      <w:marTop w:val="0"/>
      <w:marBottom w:val="0"/>
      <w:divBdr>
        <w:top w:val="none" w:sz="0" w:space="0" w:color="auto"/>
        <w:left w:val="none" w:sz="0" w:space="0" w:color="auto"/>
        <w:bottom w:val="none" w:sz="0" w:space="0" w:color="auto"/>
        <w:right w:val="none" w:sz="0" w:space="0" w:color="auto"/>
      </w:divBdr>
    </w:div>
    <w:div w:id="14726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2020FG-64-85640</_dlc_DocId>
    <_dlc_DocIdUrl xmlns="0f563589-9cf9-4143-b1eb-fb0534803d38">
      <Url>http://tweb/sites/fg/csrd/_layouts/15/DocIdRedir.aspx?ID=2020FG-64-85640</Url>
      <Description>2020FG-64-85640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235" ma:contentTypeDescription=" " ma:contentTypeScope="" ma:versionID="631628baa2cd0761122b48b9e87bb5ee">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28544-7D59-43B7-BEB9-62159EBDDFC6}">
  <ds:schemaRef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3.xml><?xml version="1.0" encoding="utf-8"?>
<ds:datastoreItem xmlns:ds="http://schemas.openxmlformats.org/officeDocument/2006/customXml" ds:itemID="{076BDD8D-6C03-479C-972D-C2DC7F16190E}">
  <ds:schemaRefs>
    <ds:schemaRef ds:uri="office.server.policy"/>
  </ds:schemaRefs>
</ds:datastoreItem>
</file>

<file path=customXml/itemProps4.xml><?xml version="1.0" encoding="utf-8"?>
<ds:datastoreItem xmlns:ds="http://schemas.openxmlformats.org/officeDocument/2006/customXml" ds:itemID="{B59F6CE3-8B9A-41F3-B4FE-E218C6AD7346}">
  <ds:schemaRefs>
    <ds:schemaRef ds:uri="http://schemas.microsoft.com/sharepoint/events"/>
  </ds:schemaRefs>
</ds:datastoreItem>
</file>

<file path=customXml/itemProps5.xml><?xml version="1.0" encoding="utf-8"?>
<ds:datastoreItem xmlns:ds="http://schemas.openxmlformats.org/officeDocument/2006/customXml" ds:itemID="{14623E3B-CCB1-45DB-BF3D-4D9D636F9FEC}">
  <ds:schemaRefs>
    <ds:schemaRef ds:uri="Microsoft.SharePoint.Taxonomy.ContentTypeSync"/>
  </ds:schemaRefs>
</ds:datastoreItem>
</file>

<file path=customXml/itemProps6.xml><?xml version="1.0" encoding="utf-8"?>
<ds:datastoreItem xmlns:ds="http://schemas.openxmlformats.org/officeDocument/2006/customXml" ds:itemID="{F8D3F3FA-CA82-46B8-8BA4-96C08D68245D}"/>
</file>

<file path=customXml/itemProps7.xml><?xml version="1.0" encoding="utf-8"?>
<ds:datastoreItem xmlns:ds="http://schemas.openxmlformats.org/officeDocument/2006/customXml" ds:itemID="{49BED3E9-0630-4E11-9A4A-328647F5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19</TotalTime>
  <Pages>8</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Nieuwenhuize, Holly</cp:lastModifiedBy>
  <cp:revision>4</cp:revision>
  <cp:lastPrinted>2019-06-26T23:31:00Z</cp:lastPrinted>
  <dcterms:created xsi:type="dcterms:W3CDTF">2020-05-29T02:44:00Z</dcterms:created>
  <dcterms:modified xsi:type="dcterms:W3CDTF">2020-06-03T07:37:00Z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b508a4dc5e84436a0fe496b536466aa">
    <vt:lpwstr>TSY RA-8748 - Retain as national archives|243f2231-dbfc-4282-b24a-c9b768286bd0</vt:lpwstr>
  </property>
  <property fmtid="{D5CDD505-2E9C-101B-9397-08002B2CF9AE}" pid="3" name="TaxCatchAll">
    <vt:lpwstr>2;#</vt:lpwstr>
  </property>
  <property fmtid="{D5CDD505-2E9C-101B-9397-08002B2CF9AE}" pid="4" name="ContentTypeId">
    <vt:lpwstr>0x010100348D01E61E107C4DA4B97E380EA20D47005CDF45B49E80F24CAD80DFC012154DA9</vt:lpwstr>
  </property>
  <property fmtid="{D5CDD505-2E9C-101B-9397-08002B2CF9AE}" pid="5" name="RecordPoint_ActiveItemUniqueId">
    <vt:lpwstr>{4ed7cfe8-3391-4225-807a-96a7f4dc150f}</vt:lpwstr>
  </property>
  <property fmtid="{D5CDD505-2E9C-101B-9397-08002B2CF9AE}" pid="6" name="TSYRecordClass">
    <vt:lpwstr>2;#TSY RA-8748 - Retain as national archives|243f2231-dbfc-4282-b24a-c9b768286bd0</vt:lpwstr>
  </property>
  <property fmtid="{D5CDD505-2E9C-101B-9397-08002B2CF9AE}" pid="7" name="RecordPoint_WorkflowType">
    <vt:lpwstr>ActiveSubmitStub</vt:lpwstr>
  </property>
  <property fmtid="{D5CDD505-2E9C-101B-9397-08002B2CF9AE}" pid="8" name="_dlc_DocIdItemGuid">
    <vt:lpwstr>4ed7cfe8-3391-4225-807a-96a7f4dc150f</vt:lpwstr>
  </property>
  <property fmtid="{D5CDD505-2E9C-101B-9397-08002B2CF9AE}" pid="9" name="RecordPoint_ActiveItemListId">
    <vt:lpwstr>{4435c73b-6585-4bc2-a76a-5d21b1a02e06}</vt:lpwstr>
  </property>
  <property fmtid="{D5CDD505-2E9C-101B-9397-08002B2CF9AE}" pid="10" name="RecordPoint_ActiveItemWebId">
    <vt:lpwstr>{a4589788-615f-4b8b-8296-7f9f6dfbab44}</vt:lpwstr>
  </property>
  <property fmtid="{D5CDD505-2E9C-101B-9397-08002B2CF9AE}" pid="11" name="RecordPoint_ActiveItemSiteId">
    <vt:lpwstr>{a3a280d1-e8f1-4ce7-94f0-aaa2322da0dd}</vt:lpwstr>
  </property>
  <property fmtid="{D5CDD505-2E9C-101B-9397-08002B2CF9AE}" pid="12" name="RecordPoint_RecordNumberSubmitted">
    <vt:lpwstr/>
  </property>
  <property fmtid="{D5CDD505-2E9C-101B-9397-08002B2CF9AE}" pid="13" name="RecordPoint_SubmissionCompleted">
    <vt:lpwstr/>
  </property>
  <property fmtid="{D5CDD505-2E9C-101B-9397-08002B2CF9AE}" pid="14" name="_NewReviewCycle">
    <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_dlc_DocId">
    <vt:lpwstr>2020FG-64-73734</vt:lpwstr>
  </property>
  <property fmtid="{D5CDD505-2E9C-101B-9397-08002B2CF9AE}" pid="19" name="_dlc_DocIdUrl">
    <vt:lpwstr>http://tweb/sites/fg/csrd/_layouts/15/DocIdRedir.aspx?ID=2020FG-64-73734, 2020FG-64-73734</vt:lpwstr>
  </property>
</Properties>
</file>